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C7BFC" w14:textId="77777777" w:rsidR="00587694" w:rsidRDefault="00416116">
      <w:pPr>
        <w:spacing w:after="0"/>
        <w:jc w:val="right"/>
        <w:rPr>
          <w:rFonts w:ascii="Arial" w:eastAsia="Arial" w:hAnsi="Arial" w:cs="Arial"/>
          <w:b/>
          <w:sz w:val="36"/>
          <w:szCs w:val="36"/>
        </w:rPr>
      </w:pPr>
      <w:r>
        <w:rPr>
          <w:rFonts w:ascii="Arial" w:eastAsia="Arial" w:hAnsi="Arial" w:cs="Arial"/>
          <w:b/>
          <w:sz w:val="36"/>
          <w:szCs w:val="36"/>
        </w:rPr>
        <w:t>ASSESSING THE SERVICE QUALITY AND CUSTOMER SATISFACTION OF FINANCIAL INSTITUTIONS</w:t>
      </w:r>
    </w:p>
    <w:p w14:paraId="27DEC3CB" w14:textId="77777777" w:rsidR="00DB448B" w:rsidRDefault="00DB448B">
      <w:pPr>
        <w:spacing w:after="0"/>
        <w:rPr>
          <w:rFonts w:ascii="Arial" w:eastAsia="Arial" w:hAnsi="Arial" w:cs="Arial"/>
          <w:b/>
          <w:smallCaps/>
          <w:color w:val="000000"/>
        </w:rPr>
      </w:pPr>
    </w:p>
    <w:bookmarkStart w:id="0" w:name="_GoBack"/>
    <w:bookmarkEnd w:id="0"/>
    <w:p w14:paraId="6187A0E3" w14:textId="69EF9973" w:rsidR="00587694" w:rsidRDefault="00416116">
      <w:pPr>
        <w:spacing w:after="0"/>
        <w:rPr>
          <w:rFonts w:ascii="Arial" w:eastAsia="Arial" w:hAnsi="Arial" w:cs="Arial"/>
          <w:b/>
          <w:smallCaps/>
          <w:color w:val="000000"/>
        </w:rPr>
      </w:pPr>
      <w:r>
        <w:rPr>
          <w:noProof/>
        </w:rPr>
        <mc:AlternateContent>
          <mc:Choice Requires="wps">
            <w:drawing>
              <wp:anchor distT="0" distB="0" distL="0" distR="0" simplePos="0" relativeHeight="251659264" behindDoc="0" locked="0" layoutInCell="1" allowOverlap="1" wp14:anchorId="11AD4F25" wp14:editId="40C1F404">
                <wp:simplePos x="0" y="0"/>
                <wp:positionH relativeFrom="column">
                  <wp:posOffset>0</wp:posOffset>
                </wp:positionH>
                <wp:positionV relativeFrom="paragraph">
                  <wp:posOffset>177800</wp:posOffset>
                </wp:positionV>
                <wp:extent cx="5231130" cy="37465"/>
                <wp:effectExtent l="0" t="0" r="0" b="0"/>
                <wp:wrapTopAndBottom/>
                <wp:docPr id="1026" name="Straight Arrow Connector 1"/>
                <wp:cNvGraphicFramePr/>
                <a:graphic xmlns:a="http://schemas.openxmlformats.org/drawingml/2006/main">
                  <a:graphicData uri="http://schemas.microsoft.com/office/word/2010/wordprocessingShape">
                    <wps:wsp>
                      <wps:cNvCnPr/>
                      <wps:spPr>
                        <a:xfrm>
                          <a:off x="0" y="0"/>
                          <a:ext cx="5231130" cy="37465"/>
                        </a:xfrm>
                        <a:prstGeom prst="straightConnector1">
                          <a:avLst/>
                        </a:prstGeom>
                        <a:ln w="1905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o:spid="_x0000_s1026" o:spt="32" type="#_x0000_t32" style="position:absolute;left:0pt;margin-left:0pt;margin-top:14pt;height:2.95pt;width:411.9pt;mso-wrap-distance-bottom:0pt;mso-wrap-distance-top:0pt;z-index:251659264;mso-width-relative:page;mso-height-relative:page;" filled="f" stroked="t" coordsize="21600,21600" o:gfxdata="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DIWe1wAAAAYBAAAPAAAAAAAAAAEAIAAAACIAAABkcnMvZG93bnJldi54bWxQSwECFAAUAAAACACH&#10;TuJAfPd9NewBAAD9AwAADgAAAAAAAAABACAAAAAmAQAAZHJzL2Uyb0RvYy54bWxQSwUGAAAAAAYA&#10;BgBZAQAAhAUAAAAA&#10;">
                <v:fill on="f" focussize="0,0"/>
                <v:stroke weight="1.5pt" color="#000000" joinstyle="round" startarrowwidth="narrow" startarrowlength="short" endarrowwidth="narrow" endarrowlength="short"/>
                <v:imagedata o:title=""/>
                <o:lock v:ext="edit" aspectratio="f"/>
                <w10:wrap type="topAndBottom"/>
              </v:shape>
            </w:pict>
          </mc:Fallback>
        </mc:AlternateContent>
      </w:r>
    </w:p>
    <w:p w14:paraId="2B340E1E" w14:textId="77777777" w:rsidR="00587694" w:rsidRDefault="00416116">
      <w:pPr>
        <w:spacing w:after="0"/>
        <w:rPr>
          <w:rFonts w:ascii="Arial" w:eastAsia="Arial" w:hAnsi="Arial" w:cs="Arial"/>
          <w:color w:val="000000"/>
          <w:sz w:val="16"/>
          <w:szCs w:val="16"/>
        </w:rPr>
      </w:pPr>
      <w:r>
        <w:rPr>
          <w:rFonts w:ascii="Arial" w:eastAsia="Arial" w:hAnsi="Arial" w:cs="Arial"/>
          <w:b/>
          <w:smallCaps/>
          <w:color w:val="000000"/>
        </w:rPr>
        <w:t>ABSTRACT</w:t>
      </w:r>
      <w:r>
        <w:rPr>
          <w:rFonts w:ascii="Arial" w:eastAsia="Arial" w:hAnsi="Arial" w:cs="Arial"/>
          <w:color w:val="000000"/>
          <w:sz w:val="16"/>
          <w:szCs w:val="16"/>
        </w:rPr>
        <w:t xml:space="preserve"> </w:t>
      </w:r>
    </w:p>
    <w:tbl>
      <w:tblPr>
        <w:tblStyle w:val="Style10"/>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8"/>
      </w:tblGrid>
      <w:tr w:rsidR="00587694" w14:paraId="4AA2150C" w14:textId="77777777">
        <w:tc>
          <w:tcPr>
            <w:tcW w:w="8198" w:type="dxa"/>
            <w:shd w:val="clear" w:color="auto" w:fill="F2F2F2"/>
          </w:tcPr>
          <w:p w14:paraId="070E4CB9"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This study explored service quality and customer satisfaction among clients of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Davao Oriental. It </w:t>
            </w:r>
            <w:proofErr w:type="spellStart"/>
            <w:r>
              <w:rPr>
                <w:rFonts w:ascii="Arial" w:eastAsia="Arial" w:hAnsi="Arial" w:cs="Arial"/>
                <w:sz w:val="20"/>
                <w:szCs w:val="20"/>
              </w:rPr>
              <w:t>analyzed</w:t>
            </w:r>
            <w:proofErr w:type="spellEnd"/>
            <w:r>
              <w:rPr>
                <w:rFonts w:ascii="Arial" w:eastAsia="Arial" w:hAnsi="Arial" w:cs="Arial"/>
                <w:sz w:val="20"/>
                <w:szCs w:val="20"/>
              </w:rPr>
              <w:t xml:space="preserve"> respondents’ demographics (age, gender, civil status, education, income source, and monthly income) and assessed service quality using the SERVQUAL dimensions and satisfaction through loyalty and word-of-mouth. Using a descrip</w:t>
            </w:r>
            <w:r>
              <w:rPr>
                <w:rFonts w:ascii="Arial" w:eastAsia="Arial" w:hAnsi="Arial" w:cs="Arial"/>
                <w:sz w:val="20"/>
                <w:szCs w:val="20"/>
              </w:rPr>
              <w:t xml:space="preserve">tive-comparative and correlational design, data from 183 business owners were </w:t>
            </w:r>
            <w:proofErr w:type="spellStart"/>
            <w:r>
              <w:rPr>
                <w:rFonts w:ascii="Arial" w:eastAsia="Arial" w:hAnsi="Arial" w:cs="Arial"/>
                <w:sz w:val="20"/>
                <w:szCs w:val="20"/>
              </w:rPr>
              <w:t>analyzed</w:t>
            </w:r>
            <w:proofErr w:type="spellEnd"/>
            <w:r>
              <w:rPr>
                <w:rFonts w:ascii="Arial" w:eastAsia="Arial" w:hAnsi="Arial" w:cs="Arial"/>
                <w:sz w:val="20"/>
                <w:szCs w:val="20"/>
              </w:rPr>
              <w:t xml:space="preserve"> via SPSS. Results showed high ratings in assurance and responsiveness, and strong customer satisfaction. ANOVA revealed significant differences based on civil status, ed</w:t>
            </w:r>
            <w:r>
              <w:rPr>
                <w:rFonts w:ascii="Arial" w:eastAsia="Arial" w:hAnsi="Arial" w:cs="Arial"/>
                <w:sz w:val="20"/>
                <w:szCs w:val="20"/>
              </w:rPr>
              <w:t>ucation, and income source, but not gender or income level. A strong positive correlation between service quality and satisfaction highlights the need for demographic-sensitive service strategies.</w:t>
            </w:r>
          </w:p>
        </w:tc>
      </w:tr>
    </w:tbl>
    <w:p w14:paraId="470E3DE8" w14:textId="77777777" w:rsidR="00587694" w:rsidRDefault="00587694">
      <w:pPr>
        <w:spacing w:after="0" w:line="240" w:lineRule="auto"/>
        <w:rPr>
          <w:rFonts w:ascii="Arial" w:eastAsia="Arial" w:hAnsi="Arial" w:cs="Arial"/>
          <w:b/>
          <w:sz w:val="20"/>
          <w:szCs w:val="20"/>
        </w:rPr>
      </w:pPr>
    </w:p>
    <w:p w14:paraId="0869D13D" w14:textId="77777777" w:rsidR="00587694" w:rsidRDefault="00416116">
      <w:pPr>
        <w:spacing w:after="0" w:line="240" w:lineRule="auto"/>
        <w:rPr>
          <w:rFonts w:ascii="Arial" w:eastAsia="Arial" w:hAnsi="Arial" w:cs="Arial"/>
          <w:sz w:val="20"/>
          <w:szCs w:val="20"/>
        </w:rPr>
      </w:pPr>
      <w:r>
        <w:rPr>
          <w:rFonts w:ascii="Arial" w:eastAsia="Arial" w:hAnsi="Arial" w:cs="Arial"/>
          <w:i/>
          <w:sz w:val="20"/>
          <w:szCs w:val="20"/>
        </w:rPr>
        <w:t>Keywords: Assurance, customer satisfaction, empathy, fina</w:t>
      </w:r>
      <w:r>
        <w:rPr>
          <w:rFonts w:ascii="Arial" w:eastAsia="Arial" w:hAnsi="Arial" w:cs="Arial"/>
          <w:i/>
          <w:sz w:val="20"/>
          <w:szCs w:val="20"/>
        </w:rPr>
        <w:t>ncial institutions, reliability, responsiveness, service quality, tangibility</w:t>
      </w:r>
    </w:p>
    <w:p w14:paraId="5E8CD079" w14:textId="77777777" w:rsidR="00587694" w:rsidRDefault="00587694">
      <w:pPr>
        <w:spacing w:after="0" w:line="240" w:lineRule="auto"/>
        <w:rPr>
          <w:rFonts w:ascii="Arial" w:eastAsia="Arial" w:hAnsi="Arial" w:cs="Arial"/>
          <w:sz w:val="20"/>
          <w:szCs w:val="20"/>
        </w:rPr>
      </w:pPr>
    </w:p>
    <w:p w14:paraId="5B269E74" w14:textId="77777777" w:rsidR="00587694" w:rsidRDefault="00416116">
      <w:pPr>
        <w:spacing w:after="0" w:line="240" w:lineRule="auto"/>
        <w:rPr>
          <w:rFonts w:ascii="Arial" w:eastAsia="Arial" w:hAnsi="Arial" w:cs="Arial"/>
          <w:b/>
          <w:smallCaps/>
          <w:sz w:val="20"/>
          <w:szCs w:val="20"/>
        </w:rPr>
      </w:pPr>
      <w:r>
        <w:rPr>
          <w:rFonts w:ascii="Arial" w:eastAsia="Arial" w:hAnsi="Arial" w:cs="Arial"/>
          <w:b/>
          <w:smallCaps/>
          <w:color w:val="000000"/>
          <w:sz w:val="20"/>
          <w:szCs w:val="20"/>
        </w:rPr>
        <w:t xml:space="preserve">1. INTRODUCTION  </w:t>
      </w:r>
    </w:p>
    <w:p w14:paraId="7399A294" w14:textId="77777777" w:rsidR="00587694" w:rsidRDefault="00416116">
      <w:pPr>
        <w:spacing w:after="0" w:line="240" w:lineRule="auto"/>
        <w:jc w:val="both"/>
        <w:rPr>
          <w:rFonts w:ascii="Arial" w:eastAsia="Arial" w:hAnsi="Arial" w:cs="Arial"/>
          <w:sz w:val="20"/>
          <w:szCs w:val="20"/>
        </w:rPr>
      </w:pPr>
      <w:r>
        <w:rPr>
          <w:rFonts w:ascii="Arial" w:eastAsia="Arial" w:hAnsi="Arial" w:cs="Arial"/>
          <w:b/>
          <w:smallCaps/>
          <w:sz w:val="20"/>
          <w:szCs w:val="20"/>
        </w:rPr>
        <w:t xml:space="preserve">           </w:t>
      </w:r>
      <w:r>
        <w:rPr>
          <w:rFonts w:ascii="Arial" w:eastAsia="Arial" w:hAnsi="Arial" w:cs="Arial"/>
          <w:sz w:val="20"/>
          <w:szCs w:val="20"/>
        </w:rPr>
        <w:t xml:space="preserve">In recent years, the service quality provided by financial institutions has become a pressing concern, as it plays a critical role in customer </w:t>
      </w:r>
      <w:r>
        <w:rPr>
          <w:rFonts w:ascii="Arial" w:eastAsia="Arial" w:hAnsi="Arial" w:cs="Arial"/>
          <w:sz w:val="20"/>
          <w:szCs w:val="20"/>
        </w:rPr>
        <w:t>experience and the competitive advantage of banks (</w:t>
      </w:r>
      <w:proofErr w:type="spellStart"/>
      <w:r>
        <w:rPr>
          <w:rFonts w:ascii="Arial" w:eastAsia="Arial" w:hAnsi="Arial" w:cs="Arial"/>
          <w:sz w:val="20"/>
          <w:szCs w:val="20"/>
        </w:rPr>
        <w:t>Iaset</w:t>
      </w:r>
      <w:proofErr w:type="spellEnd"/>
      <w:r>
        <w:rPr>
          <w:rFonts w:ascii="Arial" w:eastAsia="Arial" w:hAnsi="Arial" w:cs="Arial"/>
          <w:sz w:val="20"/>
          <w:szCs w:val="20"/>
        </w:rPr>
        <w:t>, 2021). Many financial institutions face challenges in consistently delivering high-quality service, which can lead to customer dissatisfaction, erosion of loyalty, and adverse impacts on their finan</w:t>
      </w:r>
      <w:r>
        <w:rPr>
          <w:rFonts w:ascii="Arial" w:eastAsia="Arial" w:hAnsi="Arial" w:cs="Arial"/>
          <w:sz w:val="20"/>
          <w:szCs w:val="20"/>
        </w:rPr>
        <w:t>cial performance (</w:t>
      </w:r>
      <w:proofErr w:type="spellStart"/>
      <w:r>
        <w:rPr>
          <w:rFonts w:ascii="Arial" w:eastAsia="Arial" w:hAnsi="Arial" w:cs="Arial"/>
          <w:sz w:val="20"/>
          <w:szCs w:val="20"/>
        </w:rPr>
        <w:t>Ijara</w:t>
      </w:r>
      <w:proofErr w:type="spellEnd"/>
      <w:r>
        <w:rPr>
          <w:rFonts w:ascii="Arial" w:eastAsia="Arial" w:hAnsi="Arial" w:cs="Arial"/>
          <w:sz w:val="20"/>
          <w:szCs w:val="20"/>
        </w:rPr>
        <w:t>, 2020). Factors such as slow response times, inadequate customer support, and subpar physical facilities contribute to the deterioration of service quality, ultimately harming the institution's reputation and profitability (Chakraba</w:t>
      </w:r>
      <w:r>
        <w:rPr>
          <w:rFonts w:ascii="Arial" w:eastAsia="Arial" w:hAnsi="Arial" w:cs="Arial"/>
          <w:sz w:val="20"/>
          <w:szCs w:val="20"/>
        </w:rPr>
        <w:t xml:space="preserve">rti et al., 2018). </w:t>
      </w:r>
    </w:p>
    <w:p w14:paraId="67FEEAD2"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Service quality dimensions, including outcome, personnel, </w:t>
      </w:r>
      <w:proofErr w:type="spellStart"/>
      <w:r>
        <w:rPr>
          <w:rFonts w:ascii="Arial" w:eastAsia="Arial" w:hAnsi="Arial" w:cs="Arial"/>
          <w:sz w:val="20"/>
          <w:szCs w:val="20"/>
        </w:rPr>
        <w:t>servicescape</w:t>
      </w:r>
      <w:proofErr w:type="spellEnd"/>
      <w:r>
        <w:rPr>
          <w:rFonts w:ascii="Arial" w:eastAsia="Arial" w:hAnsi="Arial" w:cs="Arial"/>
          <w:sz w:val="20"/>
          <w:szCs w:val="20"/>
        </w:rPr>
        <w:t xml:space="preserve">, and social qualities, play a critical role in shaping customer emotions and relational </w:t>
      </w:r>
      <w:proofErr w:type="spellStart"/>
      <w:r>
        <w:rPr>
          <w:rFonts w:ascii="Arial" w:eastAsia="Arial" w:hAnsi="Arial" w:cs="Arial"/>
          <w:sz w:val="20"/>
          <w:szCs w:val="20"/>
        </w:rPr>
        <w:t>behaviors</w:t>
      </w:r>
      <w:proofErr w:type="spellEnd"/>
      <w:r>
        <w:rPr>
          <w:rFonts w:ascii="Arial" w:eastAsia="Arial" w:hAnsi="Arial" w:cs="Arial"/>
          <w:sz w:val="20"/>
          <w:szCs w:val="20"/>
        </w:rPr>
        <w:t>, particularly in financial institutions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et al.,</w:t>
      </w:r>
      <w:r>
        <w:rPr>
          <w:rFonts w:ascii="Arial" w:eastAsia="Arial" w:hAnsi="Arial" w:cs="Arial"/>
          <w:sz w:val="20"/>
          <w:szCs w:val="20"/>
        </w:rPr>
        <w:t xml:space="preserve"> 2019; Idrovo Arguello et al., 2019). In the post-crisis banking context, social qualities, such as ethical and sustainable practices, have gained prominence as key drivers of customer loyalty and trust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et al., 2019). While intangible aspects, s</w:t>
      </w:r>
      <w:r>
        <w:rPr>
          <w:rFonts w:ascii="Arial" w:eastAsia="Arial" w:hAnsi="Arial" w:cs="Arial"/>
          <w:sz w:val="20"/>
          <w:szCs w:val="20"/>
        </w:rPr>
        <w:t xml:space="preserve">uch as personnel, outcome, and social qualities, directly foster positive customer emotions and relational </w:t>
      </w:r>
      <w:proofErr w:type="spellStart"/>
      <w:r>
        <w:rPr>
          <w:rFonts w:ascii="Arial" w:eastAsia="Arial" w:hAnsi="Arial" w:cs="Arial"/>
          <w:sz w:val="20"/>
          <w:szCs w:val="20"/>
        </w:rPr>
        <w:t>behaviors</w:t>
      </w:r>
      <w:proofErr w:type="spellEnd"/>
      <w:r>
        <w:rPr>
          <w:rFonts w:ascii="Arial" w:eastAsia="Arial" w:hAnsi="Arial" w:cs="Arial"/>
          <w:sz w:val="20"/>
          <w:szCs w:val="20"/>
        </w:rPr>
        <w:t>, tangible aspects, including the physical environment (</w:t>
      </w:r>
      <w:proofErr w:type="spellStart"/>
      <w:r>
        <w:rPr>
          <w:rFonts w:ascii="Arial" w:eastAsia="Arial" w:hAnsi="Arial" w:cs="Arial"/>
          <w:sz w:val="20"/>
          <w:szCs w:val="20"/>
        </w:rPr>
        <w:t>servicescape</w:t>
      </w:r>
      <w:proofErr w:type="spellEnd"/>
      <w:r>
        <w:rPr>
          <w:rFonts w:ascii="Arial" w:eastAsia="Arial" w:hAnsi="Arial" w:cs="Arial"/>
          <w:sz w:val="20"/>
          <w:szCs w:val="20"/>
        </w:rPr>
        <w:t xml:space="preserve">), influence these outcomes indirectly by enhancing the impact of other </w:t>
      </w:r>
      <w:r>
        <w:rPr>
          <w:rFonts w:ascii="Arial" w:eastAsia="Arial" w:hAnsi="Arial" w:cs="Arial"/>
          <w:sz w:val="20"/>
          <w:szCs w:val="20"/>
        </w:rPr>
        <w:t xml:space="preserve">dimensions (Idrovo Arguello et al., 2019). </w:t>
      </w:r>
    </w:p>
    <w:p w14:paraId="39835939"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Research has consistently demonstrated a direct relationship between service quality, customer satisfaction, and loyalty (</w:t>
      </w:r>
      <w:proofErr w:type="spellStart"/>
      <w:r>
        <w:rPr>
          <w:rFonts w:ascii="Arial" w:eastAsia="Arial" w:hAnsi="Arial" w:cs="Arial"/>
          <w:sz w:val="20"/>
          <w:szCs w:val="20"/>
        </w:rPr>
        <w:t>Ijara</w:t>
      </w:r>
      <w:proofErr w:type="spellEnd"/>
      <w:r>
        <w:rPr>
          <w:rFonts w:ascii="Arial" w:eastAsia="Arial" w:hAnsi="Arial" w:cs="Arial"/>
          <w:sz w:val="20"/>
          <w:szCs w:val="20"/>
        </w:rPr>
        <w:t xml:space="preserve">, 2020). Models such as SERVQUAL and SERVPERF have been widely applied in </w:t>
      </w:r>
      <w:r>
        <w:rPr>
          <w:rFonts w:ascii="Arial" w:eastAsia="Arial" w:hAnsi="Arial" w:cs="Arial"/>
          <w:sz w:val="20"/>
          <w:szCs w:val="20"/>
        </w:rPr>
        <w:t>various studies to measure service quality dimensions, including tangibles, reliability, responsiveness, assurance, and empathy. These dimensions influence customer satisfaction and, subsequently, loyalty. For instance, Mujinga (2019) identified that South</w:t>
      </w:r>
      <w:r>
        <w:rPr>
          <w:rFonts w:ascii="Arial" w:eastAsia="Arial" w:hAnsi="Arial" w:cs="Arial"/>
          <w:sz w:val="20"/>
          <w:szCs w:val="20"/>
        </w:rPr>
        <w:t xml:space="preserve"> African retail banks needed improvements in all five service quality dimensions, while Karmacharya (2022) highlighted the significant impact of assurance, responsiveness, and reliability on customer satisfaction in Nepalese financial institutions.</w:t>
      </w:r>
    </w:p>
    <w:p w14:paraId="7F02BEDD"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sz w:val="20"/>
          <w:szCs w:val="20"/>
        </w:rPr>
        <w:t xml:space="preserve">  Despite the abundance of research on service quality in financial institutions, there was a noticeable lack of studies focusing on rural areas, particularly in small municipalities such as </w:t>
      </w:r>
      <w:proofErr w:type="spellStart"/>
      <w:r>
        <w:rPr>
          <w:rFonts w:ascii="Arial" w:eastAsia="Arial" w:hAnsi="Arial" w:cs="Arial"/>
          <w:sz w:val="20"/>
          <w:szCs w:val="20"/>
        </w:rPr>
        <w:t>Cateel</w:t>
      </w:r>
      <w:proofErr w:type="spellEnd"/>
      <w:r>
        <w:rPr>
          <w:rFonts w:ascii="Arial" w:eastAsia="Arial" w:hAnsi="Arial" w:cs="Arial"/>
          <w:sz w:val="20"/>
          <w:szCs w:val="20"/>
        </w:rPr>
        <w:t>, Davao Oriental. Most research had been conducted in urban</w:t>
      </w:r>
      <w:r>
        <w:rPr>
          <w:rFonts w:ascii="Arial" w:eastAsia="Arial" w:hAnsi="Arial" w:cs="Arial"/>
          <w:sz w:val="20"/>
          <w:szCs w:val="20"/>
        </w:rPr>
        <w:t xml:space="preserve"> </w:t>
      </w:r>
      <w:proofErr w:type="spellStart"/>
      <w:r>
        <w:rPr>
          <w:rFonts w:ascii="Arial" w:eastAsia="Arial" w:hAnsi="Arial" w:cs="Arial"/>
          <w:sz w:val="20"/>
          <w:szCs w:val="20"/>
        </w:rPr>
        <w:t>centers</w:t>
      </w:r>
      <w:proofErr w:type="spellEnd"/>
      <w:r>
        <w:rPr>
          <w:rFonts w:ascii="Arial" w:eastAsia="Arial" w:hAnsi="Arial" w:cs="Arial"/>
          <w:sz w:val="20"/>
          <w:szCs w:val="20"/>
        </w:rPr>
        <w:t xml:space="preserve"> or developed markets, leaving a gap in understanding how service quality was perceived in rural financial institutions and its impact on customer satisfaction. This study addressed this gap by exploring the dimensions of service quality in financi</w:t>
      </w:r>
      <w:r>
        <w:rPr>
          <w:rFonts w:ascii="Arial" w:eastAsia="Arial" w:hAnsi="Arial" w:cs="Arial"/>
          <w:sz w:val="20"/>
          <w:szCs w:val="20"/>
        </w:rPr>
        <w:t xml:space="preserve">al institutions within the municipality of </w:t>
      </w:r>
      <w:proofErr w:type="spellStart"/>
      <w:r>
        <w:rPr>
          <w:rFonts w:ascii="Arial" w:eastAsia="Arial" w:hAnsi="Arial" w:cs="Arial"/>
          <w:sz w:val="20"/>
          <w:szCs w:val="20"/>
        </w:rPr>
        <w:t>Cateel</w:t>
      </w:r>
      <w:proofErr w:type="spellEnd"/>
      <w:r>
        <w:rPr>
          <w:rFonts w:ascii="Arial" w:eastAsia="Arial" w:hAnsi="Arial" w:cs="Arial"/>
          <w:sz w:val="20"/>
          <w:szCs w:val="20"/>
        </w:rPr>
        <w:t xml:space="preserve">, Davao Oriental, providing insights into how these factors influenced customer </w:t>
      </w:r>
      <w:proofErr w:type="spellStart"/>
      <w:r>
        <w:rPr>
          <w:rFonts w:ascii="Arial" w:eastAsia="Arial" w:hAnsi="Arial" w:cs="Arial"/>
          <w:sz w:val="20"/>
          <w:szCs w:val="20"/>
        </w:rPr>
        <w:t>behavior</w:t>
      </w:r>
      <w:proofErr w:type="spellEnd"/>
      <w:r>
        <w:rPr>
          <w:rFonts w:ascii="Arial" w:eastAsia="Arial" w:hAnsi="Arial" w:cs="Arial"/>
          <w:sz w:val="20"/>
          <w:szCs w:val="20"/>
        </w:rPr>
        <w:t xml:space="preserve"> in rural banking contexts. By focusing on the SERVQUAL dimensions—tangibility, reliability, responsiveness, assurance,</w:t>
      </w:r>
      <w:r>
        <w:rPr>
          <w:rFonts w:ascii="Arial" w:eastAsia="Arial" w:hAnsi="Arial" w:cs="Arial"/>
          <w:sz w:val="20"/>
          <w:szCs w:val="20"/>
        </w:rPr>
        <w:t xml:space="preserve"> and empathy—the study aimed to assess how perceived service quality impacts customer satisfaction and established a clear understanding of how service quality affects customer </w:t>
      </w:r>
      <w:proofErr w:type="spellStart"/>
      <w:r>
        <w:rPr>
          <w:rFonts w:ascii="Arial" w:eastAsia="Arial" w:hAnsi="Arial" w:cs="Arial"/>
          <w:sz w:val="20"/>
          <w:szCs w:val="20"/>
        </w:rPr>
        <w:t>behavior</w:t>
      </w:r>
      <w:proofErr w:type="spellEnd"/>
      <w:r>
        <w:rPr>
          <w:rFonts w:ascii="Arial" w:eastAsia="Arial" w:hAnsi="Arial" w:cs="Arial"/>
          <w:sz w:val="20"/>
          <w:szCs w:val="20"/>
        </w:rPr>
        <w:t>, which can guide local financial institutions in enhancing their servi</w:t>
      </w:r>
      <w:r>
        <w:rPr>
          <w:rFonts w:ascii="Arial" w:eastAsia="Arial" w:hAnsi="Arial" w:cs="Arial"/>
          <w:sz w:val="20"/>
          <w:szCs w:val="20"/>
        </w:rPr>
        <w:t xml:space="preserve">ces to meet the expectations of rural clients better. </w:t>
      </w:r>
    </w:p>
    <w:p w14:paraId="2761185A" w14:textId="77777777" w:rsidR="00587694" w:rsidRDefault="00587694">
      <w:pPr>
        <w:spacing w:after="0" w:line="240" w:lineRule="auto"/>
        <w:jc w:val="both"/>
        <w:rPr>
          <w:rFonts w:ascii="Arial" w:eastAsia="Arial" w:hAnsi="Arial" w:cs="Arial"/>
          <w:sz w:val="20"/>
          <w:szCs w:val="20"/>
        </w:rPr>
      </w:pPr>
    </w:p>
    <w:p w14:paraId="52EFF61B" w14:textId="77777777" w:rsidR="00587694" w:rsidRDefault="00416116">
      <w:pPr>
        <w:spacing w:after="0" w:line="24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2. OBJECTIVES</w:t>
      </w:r>
    </w:p>
    <w:p w14:paraId="5AC1599A"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The primary objective of this study was to assess the service quality of financial institutions in the municipality of </w:t>
      </w:r>
      <w:proofErr w:type="spellStart"/>
      <w:r>
        <w:rPr>
          <w:rFonts w:ascii="Arial" w:eastAsia="Arial" w:hAnsi="Arial" w:cs="Arial"/>
          <w:sz w:val="20"/>
          <w:szCs w:val="20"/>
        </w:rPr>
        <w:t>Cateel</w:t>
      </w:r>
      <w:proofErr w:type="spellEnd"/>
      <w:r>
        <w:rPr>
          <w:rFonts w:ascii="Arial" w:eastAsia="Arial" w:hAnsi="Arial" w:cs="Arial"/>
          <w:sz w:val="20"/>
          <w:szCs w:val="20"/>
        </w:rPr>
        <w:t>, Davao Oriental, and its effect on customer satisfact</w:t>
      </w:r>
      <w:r>
        <w:rPr>
          <w:rFonts w:ascii="Arial" w:eastAsia="Arial" w:hAnsi="Arial" w:cs="Arial"/>
          <w:sz w:val="20"/>
          <w:szCs w:val="20"/>
        </w:rPr>
        <w:t xml:space="preserve">ion. Specifically, the study aimed to: </w:t>
      </w:r>
    </w:p>
    <w:p w14:paraId="46974315" w14:textId="77777777" w:rsidR="00587694" w:rsidRDefault="00416116">
      <w:pPr>
        <w:numPr>
          <w:ilvl w:val="0"/>
          <w:numId w:val="1"/>
        </w:numPr>
        <w:spacing w:before="240" w:after="0" w:line="240" w:lineRule="auto"/>
        <w:ind w:right="100"/>
        <w:jc w:val="both"/>
        <w:rPr>
          <w:rFonts w:ascii="Arial" w:eastAsia="Arial" w:hAnsi="Arial" w:cs="Arial"/>
          <w:sz w:val="20"/>
          <w:szCs w:val="20"/>
        </w:rPr>
      </w:pPr>
      <w:r>
        <w:rPr>
          <w:rFonts w:ascii="Arial" w:eastAsia="Arial" w:hAnsi="Arial" w:cs="Arial"/>
          <w:sz w:val="20"/>
          <w:szCs w:val="20"/>
        </w:rPr>
        <w:t xml:space="preserve">Determine the profile of respondents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Philippines, in terms of: </w:t>
      </w:r>
    </w:p>
    <w:p w14:paraId="33F56A2D"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Age; </w:t>
      </w:r>
    </w:p>
    <w:p w14:paraId="68F70940"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Civil Status; </w:t>
      </w:r>
    </w:p>
    <w:p w14:paraId="682AD256"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Educational Attainment; </w:t>
      </w:r>
    </w:p>
    <w:p w14:paraId="4DD41145"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Gender; </w:t>
      </w:r>
    </w:p>
    <w:p w14:paraId="5BA770B6"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Source of income; and </w:t>
      </w:r>
    </w:p>
    <w:p w14:paraId="419BDE7E" w14:textId="77777777" w:rsidR="00587694" w:rsidRDefault="00416116">
      <w:pPr>
        <w:numPr>
          <w:ilvl w:val="1"/>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Monthly Income </w:t>
      </w:r>
    </w:p>
    <w:p w14:paraId="13B36297" w14:textId="77777777" w:rsidR="00587694" w:rsidRDefault="00416116">
      <w:pPr>
        <w:numPr>
          <w:ilvl w:val="0"/>
          <w:numId w:val="1"/>
        </w:numPr>
        <w:spacing w:after="0" w:line="240" w:lineRule="auto"/>
        <w:ind w:right="100"/>
        <w:jc w:val="both"/>
        <w:rPr>
          <w:rFonts w:ascii="Arial" w:eastAsia="Arial" w:hAnsi="Arial" w:cs="Arial"/>
          <w:sz w:val="20"/>
          <w:szCs w:val="20"/>
        </w:rPr>
      </w:pPr>
      <w:r>
        <w:rPr>
          <w:rFonts w:ascii="Arial" w:eastAsia="Arial" w:hAnsi="Arial" w:cs="Arial"/>
          <w:sz w:val="20"/>
          <w:szCs w:val="20"/>
        </w:rPr>
        <w:t>Identify the level of service quality in financ</w:t>
      </w:r>
      <w:r>
        <w:rPr>
          <w:rFonts w:ascii="Arial" w:eastAsia="Arial" w:hAnsi="Arial" w:cs="Arial"/>
          <w:sz w:val="20"/>
          <w:szCs w:val="20"/>
        </w:rPr>
        <w:t xml:space="preserve">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w:t>
      </w:r>
    </w:p>
    <w:p w14:paraId="63D9F406" w14:textId="77777777" w:rsidR="00587694" w:rsidRDefault="00416116">
      <w:pPr>
        <w:numPr>
          <w:ilvl w:val="0"/>
          <w:numId w:val="2"/>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Responsiveness; </w:t>
      </w:r>
    </w:p>
    <w:p w14:paraId="3B737AB9" w14:textId="77777777" w:rsidR="00587694" w:rsidRDefault="00416116">
      <w:pPr>
        <w:numPr>
          <w:ilvl w:val="0"/>
          <w:numId w:val="2"/>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Reliability; </w:t>
      </w:r>
    </w:p>
    <w:p w14:paraId="5837DE4D" w14:textId="77777777" w:rsidR="00587694" w:rsidRDefault="00416116">
      <w:pPr>
        <w:numPr>
          <w:ilvl w:val="0"/>
          <w:numId w:val="2"/>
        </w:numPr>
        <w:spacing w:after="0" w:line="240" w:lineRule="auto"/>
        <w:ind w:right="100"/>
        <w:jc w:val="both"/>
        <w:rPr>
          <w:rFonts w:ascii="Arial" w:eastAsia="Arial" w:hAnsi="Arial" w:cs="Arial"/>
          <w:sz w:val="20"/>
          <w:szCs w:val="20"/>
        </w:rPr>
      </w:pPr>
      <w:r>
        <w:rPr>
          <w:rFonts w:ascii="Arial" w:eastAsia="Arial" w:hAnsi="Arial" w:cs="Arial"/>
          <w:sz w:val="20"/>
          <w:szCs w:val="20"/>
        </w:rPr>
        <w:t>Tangibility;</w:t>
      </w:r>
    </w:p>
    <w:p w14:paraId="72581AAB" w14:textId="77777777" w:rsidR="00587694" w:rsidRDefault="00416116">
      <w:pPr>
        <w:numPr>
          <w:ilvl w:val="0"/>
          <w:numId w:val="2"/>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Assurance; and </w:t>
      </w:r>
    </w:p>
    <w:p w14:paraId="39040523" w14:textId="77777777" w:rsidR="00587694" w:rsidRDefault="00416116">
      <w:pPr>
        <w:numPr>
          <w:ilvl w:val="0"/>
          <w:numId w:val="2"/>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Empathy </w:t>
      </w:r>
    </w:p>
    <w:p w14:paraId="6A45E2A9" w14:textId="77777777" w:rsidR="00587694" w:rsidRDefault="00416116">
      <w:pPr>
        <w:numPr>
          <w:ilvl w:val="0"/>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Determine the significant difference in service quality levels when respondents are </w:t>
      </w:r>
      <w:proofErr w:type="gramStart"/>
      <w:r>
        <w:rPr>
          <w:rFonts w:ascii="Arial" w:eastAsia="Arial" w:hAnsi="Arial" w:cs="Arial"/>
          <w:sz w:val="20"/>
          <w:szCs w:val="20"/>
        </w:rPr>
        <w:t>grouped  by</w:t>
      </w:r>
      <w:proofErr w:type="gramEnd"/>
      <w:r>
        <w:rPr>
          <w:rFonts w:ascii="Arial" w:eastAsia="Arial" w:hAnsi="Arial" w:cs="Arial"/>
          <w:sz w:val="20"/>
          <w:szCs w:val="20"/>
        </w:rPr>
        <w:t xml:space="preserve"> profile. </w:t>
      </w:r>
    </w:p>
    <w:p w14:paraId="16154A29" w14:textId="77777777" w:rsidR="00587694" w:rsidRDefault="00416116">
      <w:pPr>
        <w:numPr>
          <w:ilvl w:val="0"/>
          <w:numId w:val="1"/>
        </w:numPr>
        <w:spacing w:after="0" w:line="240" w:lineRule="auto"/>
        <w:ind w:right="100"/>
        <w:jc w:val="both"/>
        <w:rPr>
          <w:rFonts w:ascii="Arial" w:eastAsia="Arial" w:hAnsi="Arial" w:cs="Arial"/>
          <w:sz w:val="20"/>
          <w:szCs w:val="20"/>
        </w:rPr>
      </w:pPr>
      <w:r>
        <w:rPr>
          <w:rFonts w:ascii="Arial" w:eastAsia="Arial" w:hAnsi="Arial" w:cs="Arial"/>
          <w:sz w:val="20"/>
          <w:szCs w:val="20"/>
        </w:rPr>
        <w:t xml:space="preserve">Assess if there is a significant difference in the level of service quality when respondents are grouped according to their profile </w:t>
      </w:r>
    </w:p>
    <w:p w14:paraId="49CAB56D" w14:textId="77777777" w:rsidR="00587694" w:rsidRDefault="00416116">
      <w:pPr>
        <w:numPr>
          <w:ilvl w:val="0"/>
          <w:numId w:val="1"/>
        </w:numPr>
        <w:spacing w:after="0" w:line="240" w:lineRule="auto"/>
        <w:ind w:right="100"/>
        <w:jc w:val="both"/>
        <w:rPr>
          <w:rFonts w:ascii="Arial" w:eastAsia="Arial" w:hAnsi="Arial" w:cs="Arial"/>
          <w:sz w:val="20"/>
          <w:szCs w:val="20"/>
        </w:rPr>
      </w:pPr>
      <w:proofErr w:type="spellStart"/>
      <w:r>
        <w:rPr>
          <w:rFonts w:ascii="Arial" w:eastAsia="Arial" w:hAnsi="Arial" w:cs="Arial"/>
          <w:sz w:val="20"/>
          <w:szCs w:val="20"/>
        </w:rPr>
        <w:t>Analyze</w:t>
      </w:r>
      <w:proofErr w:type="spellEnd"/>
      <w:r>
        <w:rPr>
          <w:rFonts w:ascii="Arial" w:eastAsia="Arial" w:hAnsi="Arial" w:cs="Arial"/>
          <w:sz w:val="20"/>
          <w:szCs w:val="20"/>
        </w:rPr>
        <w:t xml:space="preserve"> the relationship between the level of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w:t>
      </w:r>
    </w:p>
    <w:p w14:paraId="009EE8B9" w14:textId="77777777" w:rsidR="00587694" w:rsidRDefault="00587694">
      <w:pPr>
        <w:spacing w:after="0" w:line="240" w:lineRule="auto"/>
        <w:jc w:val="both"/>
        <w:rPr>
          <w:rFonts w:ascii="Arial" w:eastAsia="Arial" w:hAnsi="Arial" w:cs="Arial"/>
          <w:sz w:val="20"/>
          <w:szCs w:val="20"/>
        </w:rPr>
      </w:pPr>
    </w:p>
    <w:p w14:paraId="6B52B7AD" w14:textId="77777777" w:rsidR="00587694" w:rsidRDefault="00587694">
      <w:pPr>
        <w:spacing w:after="0" w:line="240" w:lineRule="auto"/>
        <w:jc w:val="both"/>
        <w:rPr>
          <w:rFonts w:ascii="Arial" w:eastAsia="Arial" w:hAnsi="Arial" w:cs="Arial"/>
          <w:sz w:val="20"/>
          <w:szCs w:val="20"/>
        </w:rPr>
      </w:pPr>
    </w:p>
    <w:p w14:paraId="5F5D6A13" w14:textId="77777777" w:rsidR="00587694" w:rsidRDefault="00416116">
      <w:pPr>
        <w:spacing w:after="0" w:line="240" w:lineRule="auto"/>
        <w:jc w:val="both"/>
        <w:rPr>
          <w:rFonts w:ascii="Arial" w:eastAsia="Arial" w:hAnsi="Arial" w:cs="Arial"/>
          <w:b/>
          <w:smallCaps/>
          <w:color w:val="000000"/>
          <w:sz w:val="20"/>
          <w:szCs w:val="20"/>
        </w:rPr>
      </w:pPr>
      <w:r>
        <w:rPr>
          <w:rFonts w:ascii="Arial" w:eastAsia="Arial" w:hAnsi="Arial" w:cs="Arial"/>
          <w:b/>
          <w:smallCaps/>
          <w:color w:val="000000"/>
          <w:sz w:val="20"/>
          <w:szCs w:val="20"/>
        </w:rPr>
        <w:t>3. MATERIALS AND METHODS</w:t>
      </w:r>
    </w:p>
    <w:p w14:paraId="1DBB3472" w14:textId="77777777" w:rsidR="00587694" w:rsidRDefault="00416116">
      <w:pPr>
        <w:spacing w:after="0" w:line="240" w:lineRule="auto"/>
        <w:jc w:val="both"/>
        <w:rPr>
          <w:rFonts w:ascii="Arial" w:eastAsia="Arial" w:hAnsi="Arial" w:cs="Arial"/>
          <w:b/>
          <w:sz w:val="20"/>
          <w:szCs w:val="20"/>
        </w:rPr>
      </w:pPr>
      <w:r>
        <w:rPr>
          <w:rFonts w:ascii="Arial" w:eastAsia="Arial" w:hAnsi="Arial" w:cs="Arial"/>
          <w:b/>
          <w:sz w:val="20"/>
          <w:szCs w:val="20"/>
        </w:rPr>
        <w:t>Research Design</w:t>
      </w:r>
    </w:p>
    <w:p w14:paraId="31D7AF37" w14:textId="77777777" w:rsidR="00587694" w:rsidRDefault="00416116">
      <w:pPr>
        <w:spacing w:after="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This study used descriptive-comparative and descriptive-correlational designs to examine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Davao Oriental. The comparative design explored differences in perceptions based on age, gender, and income, while the correlational approach </w:t>
      </w:r>
      <w:proofErr w:type="spellStart"/>
      <w:r>
        <w:rPr>
          <w:rFonts w:ascii="Arial" w:eastAsia="Arial" w:hAnsi="Arial" w:cs="Arial"/>
          <w:sz w:val="20"/>
          <w:szCs w:val="20"/>
        </w:rPr>
        <w:t>analyzed</w:t>
      </w:r>
      <w:proofErr w:type="spellEnd"/>
      <w:r>
        <w:rPr>
          <w:rFonts w:ascii="Arial" w:eastAsia="Arial" w:hAnsi="Arial" w:cs="Arial"/>
          <w:sz w:val="20"/>
          <w:szCs w:val="20"/>
        </w:rPr>
        <w:t xml:space="preserve"> the relationship between the five SERVQUAL dimensions and customer satisfaction. Data were gathered usi</w:t>
      </w:r>
      <w:r>
        <w:rPr>
          <w:rFonts w:ascii="Arial" w:eastAsia="Arial" w:hAnsi="Arial" w:cs="Arial"/>
          <w:sz w:val="20"/>
          <w:szCs w:val="20"/>
        </w:rPr>
        <w:t>ng a modified SERVQUAL-based questionnaire.</w:t>
      </w:r>
    </w:p>
    <w:p w14:paraId="3A69947E" w14:textId="77777777" w:rsidR="00587694" w:rsidRDefault="00587694">
      <w:pPr>
        <w:spacing w:after="0" w:line="240" w:lineRule="auto"/>
        <w:ind w:firstLine="720"/>
        <w:jc w:val="both"/>
        <w:rPr>
          <w:rFonts w:ascii="Arial" w:eastAsia="Arial" w:hAnsi="Arial" w:cs="Arial"/>
          <w:sz w:val="20"/>
          <w:szCs w:val="20"/>
        </w:rPr>
      </w:pPr>
    </w:p>
    <w:p w14:paraId="7F72727F" w14:textId="77777777" w:rsidR="00587694" w:rsidRDefault="00416116">
      <w:pPr>
        <w:spacing w:after="0" w:line="240" w:lineRule="auto"/>
        <w:jc w:val="both"/>
        <w:rPr>
          <w:rFonts w:ascii="Arial" w:eastAsia="Arial" w:hAnsi="Arial" w:cs="Arial"/>
          <w:sz w:val="20"/>
          <w:szCs w:val="20"/>
        </w:rPr>
      </w:pPr>
      <w:r>
        <w:rPr>
          <w:rFonts w:ascii="Arial" w:eastAsia="Arial" w:hAnsi="Arial" w:cs="Arial"/>
          <w:b/>
          <w:sz w:val="20"/>
          <w:szCs w:val="20"/>
        </w:rPr>
        <w:t>Research Instrument</w:t>
      </w:r>
      <w:r>
        <w:rPr>
          <w:rFonts w:ascii="Arial" w:eastAsia="Arial" w:hAnsi="Arial" w:cs="Arial"/>
          <w:sz w:val="20"/>
          <w:szCs w:val="20"/>
        </w:rPr>
        <w:t xml:space="preserve">           </w:t>
      </w:r>
    </w:p>
    <w:p w14:paraId="649F7256"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The study used a structured questionnaire to assess service quality and its impact on customer satisfaction in financial institutions. Adapted from </w:t>
      </w:r>
      <w:proofErr w:type="spellStart"/>
      <w:r>
        <w:rPr>
          <w:rFonts w:ascii="Arial" w:eastAsia="Arial" w:hAnsi="Arial" w:cs="Arial"/>
          <w:sz w:val="20"/>
          <w:szCs w:val="20"/>
        </w:rPr>
        <w:t>Vencataya</w:t>
      </w:r>
      <w:proofErr w:type="spellEnd"/>
      <w:r>
        <w:rPr>
          <w:rFonts w:ascii="Arial" w:eastAsia="Arial" w:hAnsi="Arial" w:cs="Arial"/>
          <w:sz w:val="20"/>
          <w:szCs w:val="20"/>
        </w:rPr>
        <w:t xml:space="preserve"> et al. (</w:t>
      </w:r>
      <w:r>
        <w:rPr>
          <w:rFonts w:ascii="Arial" w:eastAsia="Arial" w:hAnsi="Arial" w:cs="Arial"/>
          <w:sz w:val="20"/>
          <w:szCs w:val="20"/>
        </w:rPr>
        <w:t xml:space="preserve">2019) and Makhija (2017), it employed the SERVQUAL model's five dimensions—tangibles, reliability, responsiveness, assurance, and empathy—measured on a 5-point Likert scale. The customer </w:t>
      </w:r>
      <w:r>
        <w:rPr>
          <w:rFonts w:ascii="Arial" w:eastAsia="Arial" w:hAnsi="Arial" w:cs="Arial"/>
          <w:sz w:val="20"/>
          <w:szCs w:val="20"/>
        </w:rPr>
        <w:lastRenderedPageBreak/>
        <w:t>satisfaction section was based on Felix (2017), enabling a comprehens</w:t>
      </w:r>
      <w:r>
        <w:rPr>
          <w:rFonts w:ascii="Arial" w:eastAsia="Arial" w:hAnsi="Arial" w:cs="Arial"/>
          <w:sz w:val="20"/>
          <w:szCs w:val="20"/>
        </w:rPr>
        <w:t>ive evaluation of the service-satisfaction link.</w:t>
      </w:r>
    </w:p>
    <w:p w14:paraId="53F2455A" w14:textId="77777777" w:rsidR="00587694" w:rsidRDefault="00416116">
      <w:pPr>
        <w:spacing w:after="0" w:line="240" w:lineRule="auto"/>
        <w:jc w:val="both"/>
        <w:rPr>
          <w:rFonts w:ascii="Arial" w:eastAsia="Arial" w:hAnsi="Arial" w:cs="Arial"/>
          <w:sz w:val="20"/>
          <w:szCs w:val="20"/>
        </w:rPr>
      </w:pPr>
      <w:r>
        <w:rPr>
          <w:rFonts w:ascii="Arial" w:eastAsia="Arial" w:hAnsi="Arial" w:cs="Arial"/>
          <w:b/>
          <w:color w:val="000000"/>
          <w:sz w:val="20"/>
          <w:szCs w:val="20"/>
          <w:highlight w:val="white"/>
        </w:rPr>
        <w:t>Respondents of the Study</w:t>
      </w:r>
    </w:p>
    <w:p w14:paraId="105B6E0E"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This study involved business owners in </w:t>
      </w:r>
      <w:proofErr w:type="spellStart"/>
      <w:r>
        <w:rPr>
          <w:rFonts w:ascii="Arial" w:eastAsia="Arial" w:hAnsi="Arial" w:cs="Arial"/>
          <w:sz w:val="20"/>
          <w:szCs w:val="20"/>
        </w:rPr>
        <w:t>Cateel</w:t>
      </w:r>
      <w:proofErr w:type="spellEnd"/>
      <w:r>
        <w:rPr>
          <w:rFonts w:ascii="Arial" w:eastAsia="Arial" w:hAnsi="Arial" w:cs="Arial"/>
          <w:sz w:val="20"/>
          <w:szCs w:val="20"/>
        </w:rPr>
        <w:t>, Davao Oriental, who used services from commercial banks, microfinance institutions, and cooperatives. To ensure reliable data</w:t>
      </w:r>
      <w:r>
        <w:rPr>
          <w:rFonts w:ascii="Arial" w:eastAsia="Arial" w:hAnsi="Arial" w:cs="Arial"/>
          <w:sz w:val="20"/>
          <w:szCs w:val="20"/>
        </w:rPr>
        <w:t>, participants had to be registered business owners with at least six months of consistent banking activity and experience with at least two types of services, such as savings and loans. Only those aged 18 and above who gave informed consent were included.</w:t>
      </w:r>
      <w:r>
        <w:rPr>
          <w:rFonts w:ascii="Arial" w:eastAsia="Arial" w:hAnsi="Arial" w:cs="Arial"/>
          <w:sz w:val="20"/>
          <w:szCs w:val="20"/>
        </w:rPr>
        <w:t xml:space="preserve"> Respondents were selected through purposive sampling based on their relevant banking experience.</w:t>
      </w:r>
    </w:p>
    <w:p w14:paraId="1E99D931" w14:textId="77777777" w:rsidR="00587694" w:rsidRDefault="00416116">
      <w:pPr>
        <w:spacing w:after="0" w:line="240" w:lineRule="auto"/>
        <w:jc w:val="both"/>
        <w:rPr>
          <w:rFonts w:ascii="Arial" w:eastAsia="Arial" w:hAnsi="Arial" w:cs="Arial"/>
          <w:sz w:val="20"/>
          <w:szCs w:val="20"/>
        </w:rPr>
      </w:pPr>
      <w:r>
        <w:rPr>
          <w:rFonts w:ascii="Arial" w:eastAsia="Arial" w:hAnsi="Arial" w:cs="Arial"/>
          <w:b/>
          <w:sz w:val="20"/>
          <w:szCs w:val="20"/>
        </w:rPr>
        <w:t>Data Gathering</w:t>
      </w:r>
    </w:p>
    <w:p w14:paraId="0F2DF8EE"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The researchers adopted a structured process for data collection. Ethical clearance was obtained beforehand, ensuring informed consen</w:t>
      </w:r>
      <w:r>
        <w:rPr>
          <w:rFonts w:ascii="Arial" w:eastAsia="Arial" w:hAnsi="Arial" w:cs="Arial"/>
          <w:sz w:val="20"/>
          <w:szCs w:val="20"/>
        </w:rPr>
        <w:t xml:space="preserve">t, anonymity, confidentiality, and data protection. Permission to conduct the study was requested from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followed by a pilot test to confirm the questionnaire's clarity and reliability. Once finalized, the su</w:t>
      </w:r>
      <w:r>
        <w:rPr>
          <w:rFonts w:ascii="Arial" w:eastAsia="Arial" w:hAnsi="Arial" w:cs="Arial"/>
          <w:sz w:val="20"/>
          <w:szCs w:val="20"/>
        </w:rPr>
        <w:t>rvey was distributed to selected respondents, who were informed about the study’s purpose, confidentiality, and their voluntary participation. During the collection period, follow-ups were made to secure adequate responses. Completed questionnaires were th</w:t>
      </w:r>
      <w:r>
        <w:rPr>
          <w:rFonts w:ascii="Arial" w:eastAsia="Arial" w:hAnsi="Arial" w:cs="Arial"/>
          <w:sz w:val="20"/>
          <w:szCs w:val="20"/>
        </w:rPr>
        <w:t xml:space="preserve">en reviewed and encoded for analysis. A statistician used SPSS to </w:t>
      </w:r>
      <w:proofErr w:type="spellStart"/>
      <w:r>
        <w:rPr>
          <w:rFonts w:ascii="Arial" w:eastAsia="Arial" w:hAnsi="Arial" w:cs="Arial"/>
          <w:sz w:val="20"/>
          <w:szCs w:val="20"/>
        </w:rPr>
        <w:t>analyze</w:t>
      </w:r>
      <w:proofErr w:type="spellEnd"/>
      <w:r>
        <w:rPr>
          <w:rFonts w:ascii="Arial" w:eastAsia="Arial" w:hAnsi="Arial" w:cs="Arial"/>
          <w:sz w:val="20"/>
          <w:szCs w:val="20"/>
        </w:rPr>
        <w:t xml:space="preserve"> the data and assess the link between service quality dimensions and customer satisfaction.</w:t>
      </w:r>
    </w:p>
    <w:p w14:paraId="71B38AEA" w14:textId="77777777" w:rsidR="00587694" w:rsidRDefault="00416116">
      <w:pPr>
        <w:spacing w:after="0" w:line="240" w:lineRule="auto"/>
        <w:jc w:val="both"/>
        <w:rPr>
          <w:rFonts w:ascii="Arial" w:eastAsia="Arial" w:hAnsi="Arial" w:cs="Arial"/>
          <w:b/>
          <w:sz w:val="20"/>
          <w:szCs w:val="20"/>
        </w:rPr>
      </w:pPr>
      <w:r>
        <w:rPr>
          <w:rFonts w:ascii="Arial" w:eastAsia="Arial" w:hAnsi="Arial" w:cs="Arial"/>
          <w:b/>
          <w:sz w:val="20"/>
          <w:szCs w:val="20"/>
        </w:rPr>
        <w:t xml:space="preserve">Data Analysis </w:t>
      </w:r>
    </w:p>
    <w:p w14:paraId="0FE525A7" w14:textId="77777777" w:rsidR="00587694" w:rsidRDefault="00416116">
      <w:pPr>
        <w:spacing w:after="0" w:line="240" w:lineRule="auto"/>
        <w:jc w:val="both"/>
        <w:rPr>
          <w:rFonts w:ascii="Arial" w:eastAsia="Arial" w:hAnsi="Arial" w:cs="Arial"/>
          <w:sz w:val="20"/>
          <w:szCs w:val="20"/>
        </w:rPr>
      </w:pPr>
      <w:r>
        <w:rPr>
          <w:rFonts w:ascii="Arial" w:eastAsia="Arial" w:hAnsi="Arial" w:cs="Arial"/>
          <w:sz w:val="20"/>
          <w:szCs w:val="20"/>
        </w:rPr>
        <w:t xml:space="preserve">            The researchers tallied and recorded the participants' responses</w:t>
      </w:r>
      <w:r>
        <w:rPr>
          <w:rFonts w:ascii="Arial" w:eastAsia="Arial" w:hAnsi="Arial" w:cs="Arial"/>
          <w:sz w:val="20"/>
          <w:szCs w:val="20"/>
        </w:rPr>
        <w:t xml:space="preserve"> for each item in the questionnaire. The statistical tools employed in the analysis included: </w:t>
      </w:r>
    </w:p>
    <w:p w14:paraId="64E227D8" w14:textId="77777777" w:rsidR="00587694" w:rsidRDefault="00587694">
      <w:pPr>
        <w:spacing w:after="0" w:line="240" w:lineRule="auto"/>
        <w:jc w:val="both"/>
        <w:rPr>
          <w:rFonts w:ascii="Arial" w:eastAsia="Arial" w:hAnsi="Arial" w:cs="Arial"/>
          <w:sz w:val="20"/>
          <w:szCs w:val="20"/>
        </w:rPr>
      </w:pPr>
    </w:p>
    <w:p w14:paraId="531F81CE" w14:textId="77777777" w:rsidR="00587694" w:rsidRDefault="00416116">
      <w:pPr>
        <w:numPr>
          <w:ilvl w:val="0"/>
          <w:numId w:val="3"/>
        </w:numPr>
        <w:spacing w:after="0" w:line="240" w:lineRule="auto"/>
        <w:jc w:val="both"/>
        <w:rPr>
          <w:rFonts w:ascii="Arial" w:eastAsia="Arial" w:hAnsi="Arial" w:cs="Arial"/>
          <w:sz w:val="20"/>
          <w:szCs w:val="20"/>
        </w:rPr>
      </w:pPr>
      <w:r>
        <w:rPr>
          <w:rFonts w:ascii="Arial" w:eastAsia="Arial" w:hAnsi="Arial" w:cs="Arial"/>
          <w:b/>
          <w:sz w:val="20"/>
          <w:szCs w:val="20"/>
        </w:rPr>
        <w:t>Percentage</w:t>
      </w:r>
      <w:r>
        <w:rPr>
          <w:rFonts w:ascii="Arial" w:eastAsia="Arial" w:hAnsi="Arial" w:cs="Arial"/>
          <w:sz w:val="20"/>
          <w:szCs w:val="20"/>
        </w:rPr>
        <w:t xml:space="preserve">: This measure was used to determine the profiles of business owners. </w:t>
      </w:r>
    </w:p>
    <w:p w14:paraId="7AC38ABB" w14:textId="77777777" w:rsidR="00587694" w:rsidRDefault="00416116">
      <w:pPr>
        <w:numPr>
          <w:ilvl w:val="0"/>
          <w:numId w:val="4"/>
        </w:numPr>
        <w:spacing w:after="0" w:line="240" w:lineRule="auto"/>
        <w:jc w:val="both"/>
        <w:rPr>
          <w:rFonts w:ascii="Arial" w:eastAsia="Arial" w:hAnsi="Arial" w:cs="Arial"/>
          <w:sz w:val="20"/>
          <w:szCs w:val="20"/>
        </w:rPr>
      </w:pPr>
      <w:r>
        <w:rPr>
          <w:rFonts w:ascii="Arial" w:eastAsia="Arial" w:hAnsi="Arial" w:cs="Arial"/>
          <w:b/>
          <w:sz w:val="20"/>
          <w:szCs w:val="20"/>
        </w:rPr>
        <w:t>Mean</w:t>
      </w:r>
      <w:r>
        <w:rPr>
          <w:rFonts w:ascii="Arial" w:eastAsia="Arial" w:hAnsi="Arial" w:cs="Arial"/>
          <w:sz w:val="20"/>
          <w:szCs w:val="20"/>
        </w:rPr>
        <w:t>: This statistical tool was utilized to assess the levels of the five dimen</w:t>
      </w:r>
      <w:r>
        <w:rPr>
          <w:rFonts w:ascii="Arial" w:eastAsia="Arial" w:hAnsi="Arial" w:cs="Arial"/>
          <w:sz w:val="20"/>
          <w:szCs w:val="20"/>
        </w:rPr>
        <w:t xml:space="preserve">sions of service quality among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w:t>
      </w:r>
    </w:p>
    <w:p w14:paraId="3AAE3267" w14:textId="77777777" w:rsidR="00587694" w:rsidRDefault="00587694">
      <w:pPr>
        <w:spacing w:after="0" w:line="240" w:lineRule="auto"/>
        <w:jc w:val="both"/>
        <w:rPr>
          <w:rFonts w:ascii="Arial" w:eastAsia="Arial" w:hAnsi="Arial" w:cs="Arial"/>
          <w:sz w:val="20"/>
          <w:szCs w:val="20"/>
        </w:rPr>
      </w:pPr>
    </w:p>
    <w:p w14:paraId="47D066AB" w14:textId="77777777" w:rsidR="00587694" w:rsidRDefault="00416116">
      <w:pPr>
        <w:spacing w:after="0" w:line="240" w:lineRule="auto"/>
        <w:rPr>
          <w:rFonts w:ascii="Arial" w:hAnsi="Arial" w:cs="Arial"/>
          <w:color w:val="000000"/>
          <w:sz w:val="20"/>
          <w:szCs w:val="20"/>
        </w:rPr>
      </w:pPr>
      <w:r>
        <w:rPr>
          <w:rFonts w:ascii="Arial" w:eastAsia="Arial" w:hAnsi="Arial" w:cs="Arial"/>
          <w:b/>
          <w:sz w:val="20"/>
          <w:szCs w:val="20"/>
        </w:rPr>
        <w:t>Table 1.</w:t>
      </w:r>
      <w:r>
        <w:rPr>
          <w:rFonts w:ascii="Arial" w:eastAsia="Arial" w:hAnsi="Arial" w:cs="Arial"/>
          <w:sz w:val="20"/>
          <w:szCs w:val="20"/>
        </w:rPr>
        <w:t xml:space="preserve"> Interpretation of Service Quality and Customer Satisfaction Level</w:t>
      </w:r>
    </w:p>
    <w:tbl>
      <w:tblPr>
        <w:tblStyle w:val="TableGrid"/>
        <w:tblpPr w:leftFromText="180" w:rightFromText="180" w:vertAnchor="text" w:horzAnchor="margin" w:tblpX="1" w:tblpY="-3"/>
        <w:tblW w:w="8931" w:type="dxa"/>
        <w:tblInd w:w="0" w:type="dxa"/>
        <w:tblCellMar>
          <w:top w:w="18" w:type="dxa"/>
          <w:right w:w="115" w:type="dxa"/>
        </w:tblCellMar>
        <w:tblLook w:val="04A0" w:firstRow="1" w:lastRow="0" w:firstColumn="1" w:lastColumn="0" w:noHBand="0" w:noVBand="1"/>
      </w:tblPr>
      <w:tblGrid>
        <w:gridCol w:w="1210"/>
        <w:gridCol w:w="1909"/>
        <w:gridCol w:w="3441"/>
        <w:gridCol w:w="2371"/>
      </w:tblGrid>
      <w:tr w:rsidR="00587694" w14:paraId="03BB38D4" w14:textId="77777777">
        <w:trPr>
          <w:trHeight w:val="292"/>
        </w:trPr>
        <w:tc>
          <w:tcPr>
            <w:tcW w:w="1210" w:type="dxa"/>
            <w:tcBorders>
              <w:top w:val="single" w:sz="4" w:space="0" w:color="000000"/>
              <w:left w:val="nil"/>
              <w:bottom w:val="single" w:sz="4" w:space="0" w:color="000000"/>
              <w:right w:val="nil"/>
            </w:tcBorders>
          </w:tcPr>
          <w:p w14:paraId="20FF9261" w14:textId="77777777" w:rsidR="00587694" w:rsidRDefault="00416116">
            <w:pPr>
              <w:spacing w:after="0" w:line="240" w:lineRule="auto"/>
              <w:ind w:left="312"/>
              <w:rPr>
                <w:rFonts w:ascii="Arial" w:hAnsi="Arial" w:cs="Arial"/>
                <w:color w:val="000000"/>
                <w:sz w:val="20"/>
                <w:szCs w:val="20"/>
              </w:rPr>
            </w:pPr>
            <w:r>
              <w:rPr>
                <w:rFonts w:ascii="Arial" w:hAnsi="Arial" w:cs="Arial"/>
                <w:b/>
                <w:color w:val="000000"/>
                <w:sz w:val="20"/>
                <w:szCs w:val="20"/>
              </w:rPr>
              <w:t>Interval</w:t>
            </w:r>
          </w:p>
        </w:tc>
        <w:tc>
          <w:tcPr>
            <w:tcW w:w="1909" w:type="dxa"/>
            <w:tcBorders>
              <w:top w:val="single" w:sz="4" w:space="0" w:color="000000"/>
              <w:left w:val="nil"/>
              <w:bottom w:val="single" w:sz="4" w:space="0" w:color="000000"/>
              <w:right w:val="nil"/>
            </w:tcBorders>
          </w:tcPr>
          <w:p w14:paraId="079F4811" w14:textId="77777777" w:rsidR="00587694" w:rsidRDefault="00416116">
            <w:pPr>
              <w:spacing w:after="0" w:line="240" w:lineRule="auto"/>
              <w:ind w:left="350"/>
              <w:rPr>
                <w:rFonts w:ascii="Arial" w:hAnsi="Arial" w:cs="Arial"/>
                <w:color w:val="000000"/>
                <w:sz w:val="20"/>
                <w:szCs w:val="20"/>
              </w:rPr>
            </w:pPr>
            <w:r>
              <w:rPr>
                <w:rFonts w:ascii="Arial" w:hAnsi="Arial" w:cs="Arial"/>
                <w:b/>
                <w:color w:val="000000"/>
                <w:sz w:val="20"/>
                <w:szCs w:val="20"/>
              </w:rPr>
              <w:t>Response</w:t>
            </w:r>
          </w:p>
        </w:tc>
        <w:tc>
          <w:tcPr>
            <w:tcW w:w="3441" w:type="dxa"/>
            <w:tcBorders>
              <w:top w:val="single" w:sz="4" w:space="0" w:color="000000"/>
              <w:left w:val="nil"/>
              <w:bottom w:val="single" w:sz="4" w:space="0" w:color="000000"/>
              <w:right w:val="nil"/>
            </w:tcBorders>
          </w:tcPr>
          <w:p w14:paraId="049C69D4" w14:textId="77777777" w:rsidR="00587694" w:rsidRDefault="00416116">
            <w:pPr>
              <w:spacing w:after="0" w:line="240" w:lineRule="auto"/>
              <w:ind w:left="10"/>
              <w:rPr>
                <w:rFonts w:ascii="Arial" w:hAnsi="Arial" w:cs="Arial"/>
                <w:color w:val="000000"/>
                <w:sz w:val="20"/>
                <w:szCs w:val="20"/>
              </w:rPr>
            </w:pPr>
            <w:r>
              <w:rPr>
                <w:rFonts w:ascii="Arial" w:hAnsi="Arial" w:cs="Arial"/>
                <w:b/>
                <w:color w:val="000000"/>
                <w:sz w:val="20"/>
                <w:szCs w:val="20"/>
              </w:rPr>
              <w:t>Description</w:t>
            </w:r>
          </w:p>
        </w:tc>
        <w:tc>
          <w:tcPr>
            <w:tcW w:w="2371" w:type="dxa"/>
            <w:tcBorders>
              <w:top w:val="single" w:sz="4" w:space="0" w:color="000000"/>
              <w:left w:val="nil"/>
              <w:bottom w:val="single" w:sz="4" w:space="0" w:color="000000"/>
              <w:right w:val="nil"/>
            </w:tcBorders>
          </w:tcPr>
          <w:p w14:paraId="7F949F96" w14:textId="77777777" w:rsidR="00587694" w:rsidRDefault="00416116">
            <w:pPr>
              <w:spacing w:after="0" w:line="240" w:lineRule="auto"/>
              <w:ind w:left="10"/>
              <w:rPr>
                <w:rFonts w:ascii="Arial" w:hAnsi="Arial" w:cs="Arial"/>
                <w:b/>
                <w:color w:val="000000"/>
                <w:sz w:val="20"/>
                <w:szCs w:val="20"/>
              </w:rPr>
            </w:pPr>
            <w:r>
              <w:rPr>
                <w:rFonts w:ascii="Arial" w:hAnsi="Arial" w:cs="Arial"/>
                <w:b/>
                <w:color w:val="000000"/>
                <w:sz w:val="20"/>
                <w:szCs w:val="20"/>
              </w:rPr>
              <w:t>Interpretation</w:t>
            </w:r>
          </w:p>
        </w:tc>
      </w:tr>
      <w:tr w:rsidR="00587694" w14:paraId="64B0E2B2" w14:textId="77777777">
        <w:trPr>
          <w:trHeight w:val="775"/>
        </w:trPr>
        <w:tc>
          <w:tcPr>
            <w:tcW w:w="1210" w:type="dxa"/>
            <w:tcBorders>
              <w:top w:val="single" w:sz="4" w:space="0" w:color="000000"/>
              <w:left w:val="nil"/>
              <w:bottom w:val="single" w:sz="4" w:space="0" w:color="000000"/>
              <w:right w:val="nil"/>
            </w:tcBorders>
            <w:vAlign w:val="center"/>
          </w:tcPr>
          <w:p w14:paraId="407FCFE4" w14:textId="77777777" w:rsidR="00587694" w:rsidRDefault="00416116">
            <w:pPr>
              <w:spacing w:after="0" w:line="240" w:lineRule="auto"/>
              <w:ind w:left="154"/>
              <w:rPr>
                <w:rFonts w:ascii="Arial" w:hAnsi="Arial" w:cs="Arial"/>
                <w:color w:val="000000"/>
                <w:sz w:val="20"/>
                <w:szCs w:val="20"/>
              </w:rPr>
            </w:pPr>
            <w:r>
              <w:rPr>
                <w:rFonts w:ascii="Arial" w:hAnsi="Arial" w:cs="Arial"/>
                <w:color w:val="000000"/>
                <w:sz w:val="20"/>
                <w:szCs w:val="20"/>
              </w:rPr>
              <w:t>1.00 – 1.80</w:t>
            </w:r>
          </w:p>
        </w:tc>
        <w:tc>
          <w:tcPr>
            <w:tcW w:w="1909" w:type="dxa"/>
            <w:tcBorders>
              <w:top w:val="single" w:sz="4" w:space="0" w:color="000000"/>
              <w:left w:val="nil"/>
              <w:bottom w:val="single" w:sz="4" w:space="0" w:color="000000"/>
              <w:right w:val="nil"/>
            </w:tcBorders>
            <w:vAlign w:val="center"/>
          </w:tcPr>
          <w:p w14:paraId="0257447C"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Very Low</w:t>
            </w:r>
          </w:p>
        </w:tc>
        <w:tc>
          <w:tcPr>
            <w:tcW w:w="3441" w:type="dxa"/>
            <w:tcBorders>
              <w:top w:val="single" w:sz="4" w:space="0" w:color="000000"/>
              <w:left w:val="nil"/>
              <w:bottom w:val="single" w:sz="4" w:space="0" w:color="000000"/>
              <w:right w:val="nil"/>
            </w:tcBorders>
            <w:vAlign w:val="center"/>
          </w:tcPr>
          <w:p w14:paraId="68EAF6AD"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 xml:space="preserve">This indicates a very weak level of service </w:t>
            </w:r>
            <w:r>
              <w:rPr>
                <w:rFonts w:ascii="Arial" w:hAnsi="Arial" w:cs="Arial"/>
                <w:color w:val="000000"/>
                <w:sz w:val="20"/>
                <w:szCs w:val="20"/>
              </w:rPr>
              <w:t>quality and customer satisfaction.</w:t>
            </w:r>
          </w:p>
        </w:tc>
        <w:tc>
          <w:tcPr>
            <w:tcW w:w="2371" w:type="dxa"/>
            <w:tcBorders>
              <w:top w:val="single" w:sz="4" w:space="0" w:color="000000"/>
              <w:left w:val="nil"/>
              <w:bottom w:val="single" w:sz="4" w:space="0" w:color="000000"/>
              <w:right w:val="nil"/>
            </w:tcBorders>
          </w:tcPr>
          <w:p w14:paraId="19063C72" w14:textId="77777777" w:rsidR="00587694" w:rsidRDefault="00416116">
            <w:pPr>
              <w:pStyle w:val="Default"/>
              <w:rPr>
                <w:sz w:val="20"/>
                <w:szCs w:val="20"/>
              </w:rPr>
            </w:pPr>
            <w:r>
              <w:rPr>
                <w:sz w:val="20"/>
                <w:szCs w:val="20"/>
              </w:rPr>
              <w:t xml:space="preserve">This indicates that the factors are not manifested at all. </w:t>
            </w:r>
          </w:p>
          <w:p w14:paraId="1F49939E" w14:textId="77777777" w:rsidR="00587694" w:rsidRDefault="00587694">
            <w:pPr>
              <w:spacing w:after="0" w:line="240" w:lineRule="auto"/>
              <w:rPr>
                <w:rFonts w:ascii="Arial" w:hAnsi="Arial" w:cs="Arial"/>
                <w:color w:val="000000"/>
                <w:sz w:val="20"/>
                <w:szCs w:val="20"/>
                <w:lang w:val="en-PH"/>
              </w:rPr>
            </w:pPr>
          </w:p>
        </w:tc>
      </w:tr>
      <w:tr w:rsidR="00587694" w14:paraId="1D2D949F" w14:textId="77777777">
        <w:trPr>
          <w:trHeight w:val="800"/>
        </w:trPr>
        <w:tc>
          <w:tcPr>
            <w:tcW w:w="1210" w:type="dxa"/>
            <w:tcBorders>
              <w:top w:val="single" w:sz="4" w:space="0" w:color="000000"/>
              <w:left w:val="nil"/>
              <w:bottom w:val="single" w:sz="4" w:space="0" w:color="000000"/>
              <w:right w:val="nil"/>
            </w:tcBorders>
          </w:tcPr>
          <w:p w14:paraId="70F5BFBF" w14:textId="77777777" w:rsidR="00587694" w:rsidRDefault="00416116">
            <w:pPr>
              <w:spacing w:after="0" w:line="240" w:lineRule="auto"/>
              <w:ind w:left="154"/>
              <w:rPr>
                <w:rFonts w:ascii="Arial" w:hAnsi="Arial" w:cs="Arial"/>
                <w:color w:val="000000"/>
                <w:sz w:val="20"/>
                <w:szCs w:val="20"/>
              </w:rPr>
            </w:pPr>
            <w:r>
              <w:rPr>
                <w:rFonts w:ascii="Arial" w:hAnsi="Arial" w:cs="Arial"/>
                <w:color w:val="000000"/>
                <w:sz w:val="20"/>
                <w:szCs w:val="20"/>
              </w:rPr>
              <w:t>1.81 – 2.60</w:t>
            </w:r>
          </w:p>
        </w:tc>
        <w:tc>
          <w:tcPr>
            <w:tcW w:w="1909" w:type="dxa"/>
            <w:tcBorders>
              <w:top w:val="single" w:sz="4" w:space="0" w:color="000000"/>
              <w:left w:val="nil"/>
              <w:bottom w:val="single" w:sz="4" w:space="0" w:color="000000"/>
              <w:right w:val="nil"/>
            </w:tcBorders>
          </w:tcPr>
          <w:p w14:paraId="1EC9F09C"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Low</w:t>
            </w:r>
          </w:p>
        </w:tc>
        <w:tc>
          <w:tcPr>
            <w:tcW w:w="3441" w:type="dxa"/>
            <w:tcBorders>
              <w:top w:val="single" w:sz="4" w:space="0" w:color="000000"/>
              <w:left w:val="nil"/>
              <w:bottom w:val="single" w:sz="4" w:space="0" w:color="000000"/>
              <w:right w:val="nil"/>
            </w:tcBorders>
          </w:tcPr>
          <w:p w14:paraId="44204BA4"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This indicates a weak level of service quality and customer satisfaction</w:t>
            </w:r>
          </w:p>
        </w:tc>
        <w:tc>
          <w:tcPr>
            <w:tcW w:w="2371" w:type="dxa"/>
            <w:tcBorders>
              <w:top w:val="single" w:sz="4" w:space="0" w:color="000000"/>
              <w:left w:val="nil"/>
              <w:bottom w:val="single" w:sz="4" w:space="0" w:color="000000"/>
              <w:right w:val="nil"/>
            </w:tcBorders>
          </w:tcPr>
          <w:p w14:paraId="2602AA8C" w14:textId="77777777" w:rsidR="00587694" w:rsidRDefault="00416116">
            <w:pPr>
              <w:pStyle w:val="Default"/>
              <w:rPr>
                <w:sz w:val="20"/>
                <w:szCs w:val="20"/>
              </w:rPr>
            </w:pPr>
            <w:r>
              <w:rPr>
                <w:sz w:val="20"/>
                <w:szCs w:val="20"/>
              </w:rPr>
              <w:t xml:space="preserve">This suggests that the factors are manifested over time. </w:t>
            </w:r>
          </w:p>
          <w:p w14:paraId="4F5579C7" w14:textId="77777777" w:rsidR="00587694" w:rsidRDefault="00587694">
            <w:pPr>
              <w:spacing w:after="0" w:line="240" w:lineRule="auto"/>
              <w:rPr>
                <w:rFonts w:ascii="Arial" w:hAnsi="Arial" w:cs="Arial"/>
                <w:color w:val="000000"/>
                <w:sz w:val="20"/>
                <w:szCs w:val="20"/>
                <w:lang w:val="en-PH"/>
              </w:rPr>
            </w:pPr>
          </w:p>
        </w:tc>
      </w:tr>
      <w:tr w:rsidR="00587694" w14:paraId="22ECAB2E" w14:textId="77777777">
        <w:trPr>
          <w:trHeight w:val="565"/>
        </w:trPr>
        <w:tc>
          <w:tcPr>
            <w:tcW w:w="1210" w:type="dxa"/>
            <w:tcBorders>
              <w:top w:val="single" w:sz="4" w:space="0" w:color="000000"/>
              <w:left w:val="nil"/>
              <w:bottom w:val="single" w:sz="4" w:space="0" w:color="000000"/>
              <w:right w:val="nil"/>
            </w:tcBorders>
            <w:vAlign w:val="center"/>
          </w:tcPr>
          <w:p w14:paraId="78AB5C9E" w14:textId="77777777" w:rsidR="00587694" w:rsidRDefault="00416116">
            <w:pPr>
              <w:spacing w:after="0" w:line="240" w:lineRule="auto"/>
              <w:ind w:left="154"/>
              <w:rPr>
                <w:rFonts w:ascii="Arial" w:hAnsi="Arial" w:cs="Arial"/>
                <w:color w:val="000000"/>
                <w:sz w:val="20"/>
                <w:szCs w:val="20"/>
              </w:rPr>
            </w:pPr>
            <w:r>
              <w:rPr>
                <w:rFonts w:ascii="Arial" w:hAnsi="Arial" w:cs="Arial"/>
                <w:color w:val="000000"/>
                <w:sz w:val="20"/>
                <w:szCs w:val="20"/>
              </w:rPr>
              <w:t xml:space="preserve">2.61 – </w:t>
            </w:r>
            <w:r>
              <w:rPr>
                <w:rFonts w:ascii="Arial" w:hAnsi="Arial" w:cs="Arial"/>
                <w:color w:val="000000"/>
                <w:sz w:val="20"/>
                <w:szCs w:val="20"/>
              </w:rPr>
              <w:t>3.40</w:t>
            </w:r>
          </w:p>
        </w:tc>
        <w:tc>
          <w:tcPr>
            <w:tcW w:w="1909" w:type="dxa"/>
            <w:tcBorders>
              <w:top w:val="single" w:sz="4" w:space="0" w:color="000000"/>
              <w:left w:val="nil"/>
              <w:bottom w:val="single" w:sz="4" w:space="0" w:color="000000"/>
              <w:right w:val="nil"/>
            </w:tcBorders>
          </w:tcPr>
          <w:p w14:paraId="610D16D4" w14:textId="77777777" w:rsidR="00587694" w:rsidRDefault="00416116">
            <w:pPr>
              <w:spacing w:after="0" w:line="240" w:lineRule="auto"/>
              <w:ind w:left="434" w:hanging="427"/>
              <w:rPr>
                <w:rFonts w:ascii="Arial" w:hAnsi="Arial" w:cs="Arial"/>
                <w:color w:val="000000"/>
                <w:sz w:val="20"/>
                <w:szCs w:val="20"/>
              </w:rPr>
            </w:pPr>
            <w:r>
              <w:rPr>
                <w:rFonts w:ascii="Arial" w:hAnsi="Arial" w:cs="Arial"/>
                <w:color w:val="000000"/>
                <w:sz w:val="20"/>
                <w:szCs w:val="20"/>
              </w:rPr>
              <w:t>Moderate</w:t>
            </w:r>
          </w:p>
        </w:tc>
        <w:tc>
          <w:tcPr>
            <w:tcW w:w="3441" w:type="dxa"/>
            <w:tcBorders>
              <w:top w:val="single" w:sz="4" w:space="0" w:color="000000"/>
              <w:left w:val="nil"/>
              <w:bottom w:val="single" w:sz="4" w:space="0" w:color="000000"/>
              <w:right w:val="nil"/>
            </w:tcBorders>
            <w:vAlign w:val="center"/>
          </w:tcPr>
          <w:p w14:paraId="4E319F8D"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This indicates an average level of service quality and customer satisfaction.</w:t>
            </w:r>
          </w:p>
        </w:tc>
        <w:tc>
          <w:tcPr>
            <w:tcW w:w="2371" w:type="dxa"/>
            <w:tcBorders>
              <w:top w:val="single" w:sz="4" w:space="0" w:color="000000"/>
              <w:left w:val="nil"/>
              <w:bottom w:val="single" w:sz="4" w:space="0" w:color="000000"/>
              <w:right w:val="nil"/>
            </w:tcBorders>
          </w:tcPr>
          <w:p w14:paraId="60C2CA93" w14:textId="77777777" w:rsidR="00587694" w:rsidRDefault="00416116">
            <w:pPr>
              <w:pStyle w:val="Default"/>
              <w:rPr>
                <w:sz w:val="20"/>
                <w:szCs w:val="20"/>
              </w:rPr>
            </w:pPr>
            <w:r>
              <w:rPr>
                <w:sz w:val="20"/>
                <w:szCs w:val="20"/>
              </w:rPr>
              <w:t xml:space="preserve">This indicates that the factors are manifested sometimes. </w:t>
            </w:r>
          </w:p>
          <w:p w14:paraId="2BE247E3" w14:textId="77777777" w:rsidR="00587694" w:rsidRDefault="00587694">
            <w:pPr>
              <w:spacing w:after="0" w:line="240" w:lineRule="auto"/>
              <w:rPr>
                <w:rFonts w:ascii="Arial" w:hAnsi="Arial" w:cs="Arial"/>
                <w:color w:val="000000"/>
                <w:sz w:val="20"/>
                <w:szCs w:val="20"/>
                <w:lang w:val="en-PH"/>
              </w:rPr>
            </w:pPr>
          </w:p>
        </w:tc>
      </w:tr>
      <w:tr w:rsidR="00587694" w14:paraId="07AA14E0" w14:textId="77777777">
        <w:trPr>
          <w:trHeight w:val="292"/>
        </w:trPr>
        <w:tc>
          <w:tcPr>
            <w:tcW w:w="1210" w:type="dxa"/>
            <w:tcBorders>
              <w:top w:val="single" w:sz="4" w:space="0" w:color="000000"/>
              <w:left w:val="nil"/>
              <w:bottom w:val="single" w:sz="4" w:space="0" w:color="000000"/>
              <w:right w:val="nil"/>
            </w:tcBorders>
          </w:tcPr>
          <w:p w14:paraId="6C6FC3C6" w14:textId="77777777" w:rsidR="00587694" w:rsidRDefault="00416116">
            <w:pPr>
              <w:spacing w:after="0" w:line="240" w:lineRule="auto"/>
              <w:ind w:left="154"/>
              <w:rPr>
                <w:rFonts w:ascii="Arial" w:hAnsi="Arial" w:cs="Arial"/>
                <w:color w:val="000000"/>
                <w:sz w:val="20"/>
                <w:szCs w:val="20"/>
              </w:rPr>
            </w:pPr>
            <w:r>
              <w:rPr>
                <w:rFonts w:ascii="Arial" w:hAnsi="Arial" w:cs="Arial"/>
                <w:color w:val="000000"/>
                <w:sz w:val="20"/>
                <w:szCs w:val="20"/>
              </w:rPr>
              <w:t>3.41 – 4.20</w:t>
            </w:r>
          </w:p>
        </w:tc>
        <w:tc>
          <w:tcPr>
            <w:tcW w:w="1909" w:type="dxa"/>
            <w:tcBorders>
              <w:top w:val="single" w:sz="4" w:space="0" w:color="000000"/>
              <w:left w:val="nil"/>
              <w:bottom w:val="single" w:sz="4" w:space="0" w:color="000000"/>
              <w:right w:val="nil"/>
            </w:tcBorders>
          </w:tcPr>
          <w:p w14:paraId="16B66863"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High</w:t>
            </w:r>
          </w:p>
        </w:tc>
        <w:tc>
          <w:tcPr>
            <w:tcW w:w="3441" w:type="dxa"/>
            <w:tcBorders>
              <w:top w:val="single" w:sz="4" w:space="0" w:color="000000"/>
              <w:left w:val="nil"/>
              <w:bottom w:val="single" w:sz="4" w:space="0" w:color="000000"/>
              <w:right w:val="nil"/>
            </w:tcBorders>
          </w:tcPr>
          <w:p w14:paraId="6ECF4F57"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This indicates a strong level of service quality and customer satisfaction</w:t>
            </w:r>
          </w:p>
        </w:tc>
        <w:tc>
          <w:tcPr>
            <w:tcW w:w="2371" w:type="dxa"/>
            <w:tcBorders>
              <w:top w:val="single" w:sz="4" w:space="0" w:color="000000"/>
              <w:left w:val="nil"/>
              <w:bottom w:val="single" w:sz="4" w:space="0" w:color="000000"/>
              <w:right w:val="nil"/>
            </w:tcBorders>
          </w:tcPr>
          <w:p w14:paraId="2223B159" w14:textId="77777777" w:rsidR="00587694" w:rsidRDefault="00416116">
            <w:pPr>
              <w:pStyle w:val="Default"/>
              <w:rPr>
                <w:sz w:val="20"/>
                <w:szCs w:val="20"/>
              </w:rPr>
            </w:pPr>
            <w:r>
              <w:rPr>
                <w:sz w:val="20"/>
                <w:szCs w:val="20"/>
              </w:rPr>
              <w:t xml:space="preserve">This suggests that the factors are typically present. </w:t>
            </w:r>
          </w:p>
          <w:p w14:paraId="4E5756CF" w14:textId="77777777" w:rsidR="00587694" w:rsidRDefault="00587694">
            <w:pPr>
              <w:spacing w:after="0" w:line="240" w:lineRule="auto"/>
              <w:rPr>
                <w:rFonts w:ascii="Arial" w:hAnsi="Arial" w:cs="Arial"/>
                <w:color w:val="000000"/>
                <w:sz w:val="20"/>
                <w:szCs w:val="20"/>
                <w:lang w:val="en-PH"/>
              </w:rPr>
            </w:pPr>
          </w:p>
        </w:tc>
      </w:tr>
      <w:tr w:rsidR="00587694" w14:paraId="566DB276" w14:textId="77777777">
        <w:trPr>
          <w:trHeight w:val="655"/>
        </w:trPr>
        <w:tc>
          <w:tcPr>
            <w:tcW w:w="1210" w:type="dxa"/>
            <w:tcBorders>
              <w:top w:val="single" w:sz="4" w:space="0" w:color="000000"/>
              <w:left w:val="nil"/>
              <w:bottom w:val="single" w:sz="4" w:space="0" w:color="000000"/>
              <w:right w:val="nil"/>
            </w:tcBorders>
          </w:tcPr>
          <w:p w14:paraId="22EF8867" w14:textId="77777777" w:rsidR="00587694" w:rsidRDefault="00416116">
            <w:pPr>
              <w:spacing w:after="0" w:line="240" w:lineRule="auto"/>
              <w:ind w:left="154"/>
              <w:rPr>
                <w:rFonts w:ascii="Arial" w:hAnsi="Arial" w:cs="Arial"/>
                <w:color w:val="000000"/>
                <w:sz w:val="20"/>
                <w:szCs w:val="20"/>
              </w:rPr>
            </w:pPr>
            <w:r>
              <w:rPr>
                <w:rFonts w:ascii="Arial" w:hAnsi="Arial" w:cs="Arial"/>
                <w:color w:val="000000"/>
                <w:sz w:val="20"/>
                <w:szCs w:val="20"/>
              </w:rPr>
              <w:t>4.21 – 5.00</w:t>
            </w:r>
          </w:p>
        </w:tc>
        <w:tc>
          <w:tcPr>
            <w:tcW w:w="1909" w:type="dxa"/>
            <w:tcBorders>
              <w:top w:val="single" w:sz="4" w:space="0" w:color="000000"/>
              <w:left w:val="nil"/>
              <w:bottom w:val="single" w:sz="4" w:space="0" w:color="000000"/>
              <w:right w:val="nil"/>
            </w:tcBorders>
          </w:tcPr>
          <w:p w14:paraId="5A50A5A4" w14:textId="77777777" w:rsidR="00587694" w:rsidRDefault="00416116">
            <w:pPr>
              <w:spacing w:after="0" w:line="240" w:lineRule="auto"/>
              <w:ind w:left="149"/>
              <w:rPr>
                <w:rFonts w:ascii="Arial" w:hAnsi="Arial" w:cs="Arial"/>
                <w:color w:val="000000"/>
                <w:sz w:val="20"/>
                <w:szCs w:val="20"/>
              </w:rPr>
            </w:pPr>
            <w:r>
              <w:rPr>
                <w:rFonts w:ascii="Arial" w:hAnsi="Arial" w:cs="Arial"/>
                <w:color w:val="000000"/>
                <w:sz w:val="20"/>
                <w:szCs w:val="20"/>
              </w:rPr>
              <w:t>Very High</w:t>
            </w:r>
          </w:p>
        </w:tc>
        <w:tc>
          <w:tcPr>
            <w:tcW w:w="3441" w:type="dxa"/>
            <w:tcBorders>
              <w:top w:val="single" w:sz="4" w:space="0" w:color="000000"/>
              <w:left w:val="nil"/>
              <w:bottom w:val="single" w:sz="4" w:space="0" w:color="000000"/>
              <w:right w:val="nil"/>
            </w:tcBorders>
          </w:tcPr>
          <w:p w14:paraId="62EF76B1" w14:textId="77777777" w:rsidR="00587694" w:rsidRDefault="00416116">
            <w:pPr>
              <w:spacing w:after="0" w:line="240" w:lineRule="auto"/>
              <w:rPr>
                <w:rFonts w:ascii="Arial" w:hAnsi="Arial" w:cs="Arial"/>
                <w:color w:val="000000"/>
                <w:sz w:val="20"/>
                <w:szCs w:val="20"/>
              </w:rPr>
            </w:pPr>
            <w:r>
              <w:rPr>
                <w:rFonts w:ascii="Arial" w:hAnsi="Arial" w:cs="Arial"/>
                <w:color w:val="000000"/>
                <w:sz w:val="20"/>
                <w:szCs w:val="20"/>
              </w:rPr>
              <w:t>This indicates a very strong level of service quality and customer satisfaction.</w:t>
            </w:r>
          </w:p>
        </w:tc>
        <w:tc>
          <w:tcPr>
            <w:tcW w:w="2371" w:type="dxa"/>
            <w:tcBorders>
              <w:top w:val="single" w:sz="4" w:space="0" w:color="000000"/>
              <w:left w:val="nil"/>
              <w:bottom w:val="single" w:sz="4" w:space="0" w:color="000000"/>
              <w:right w:val="nil"/>
            </w:tcBorders>
          </w:tcPr>
          <w:p w14:paraId="17A956A5" w14:textId="77777777" w:rsidR="00587694" w:rsidRDefault="00416116">
            <w:pPr>
              <w:pStyle w:val="Default"/>
              <w:rPr>
                <w:sz w:val="20"/>
                <w:szCs w:val="20"/>
              </w:rPr>
            </w:pPr>
            <w:r>
              <w:rPr>
                <w:sz w:val="20"/>
                <w:szCs w:val="20"/>
              </w:rPr>
              <w:t xml:space="preserve">This indicates that the factors are always manifested. </w:t>
            </w:r>
          </w:p>
        </w:tc>
      </w:tr>
    </w:tbl>
    <w:p w14:paraId="49642D63"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ANOVA</w:t>
      </w:r>
      <w:r>
        <w:rPr>
          <w:rFonts w:ascii="Arial" w:eastAsia="Arial" w:hAnsi="Arial" w:cs="Arial"/>
          <w:sz w:val="20"/>
          <w:szCs w:val="20"/>
        </w:rPr>
        <w:t xml:space="preserve">: It was utilized to determine whether significant differences existed in levels of service quality and customer satisfaction based on variables such as age, civil status, gender, educational attainment, source of income, and monthly income. </w:t>
      </w:r>
    </w:p>
    <w:p w14:paraId="232E049C"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Pearso</w:t>
      </w:r>
      <w:r>
        <w:rPr>
          <w:rFonts w:ascii="Arial" w:eastAsia="Arial" w:hAnsi="Arial" w:cs="Arial"/>
          <w:b/>
          <w:sz w:val="20"/>
          <w:szCs w:val="20"/>
        </w:rPr>
        <w:t xml:space="preserve">n's R: </w:t>
      </w:r>
      <w:r>
        <w:rPr>
          <w:rFonts w:ascii="Arial" w:eastAsia="Arial" w:hAnsi="Arial" w:cs="Arial"/>
          <w:sz w:val="20"/>
          <w:szCs w:val="20"/>
        </w:rPr>
        <w:t>The researchers followed a structured data collection process, starting with ethical clearance to ensure consent, confidentiality, and data protection. Permissions were obtained from financial institutions, and a pilot test confirmed the questionnai</w:t>
      </w:r>
      <w:r>
        <w:rPr>
          <w:rFonts w:ascii="Arial" w:eastAsia="Arial" w:hAnsi="Arial" w:cs="Arial"/>
          <w:sz w:val="20"/>
          <w:szCs w:val="20"/>
        </w:rPr>
        <w:t xml:space="preserve">re’s reliability. The finalized survey was distributed to informed participants, with follow-ups to boost response rates. Completed forms were reviewed and encoded, and a statistician </w:t>
      </w:r>
      <w:proofErr w:type="spellStart"/>
      <w:r>
        <w:rPr>
          <w:rFonts w:ascii="Arial" w:eastAsia="Arial" w:hAnsi="Arial" w:cs="Arial"/>
          <w:sz w:val="20"/>
          <w:szCs w:val="20"/>
        </w:rPr>
        <w:t>analyzed</w:t>
      </w:r>
      <w:proofErr w:type="spellEnd"/>
      <w:r>
        <w:rPr>
          <w:rFonts w:ascii="Arial" w:eastAsia="Arial" w:hAnsi="Arial" w:cs="Arial"/>
          <w:sz w:val="20"/>
          <w:szCs w:val="20"/>
        </w:rPr>
        <w:t xml:space="preserve"> the data using SPSS to examine the link between service quality</w:t>
      </w:r>
      <w:r>
        <w:rPr>
          <w:rFonts w:ascii="Arial" w:eastAsia="Arial" w:hAnsi="Arial" w:cs="Arial"/>
          <w:sz w:val="20"/>
          <w:szCs w:val="20"/>
        </w:rPr>
        <w:t xml:space="preserve"> and customer satisfaction.</w:t>
      </w:r>
    </w:p>
    <w:p w14:paraId="37739FC0" w14:textId="77777777" w:rsidR="00587694" w:rsidRDefault="00587694">
      <w:pPr>
        <w:spacing w:after="0" w:line="240" w:lineRule="auto"/>
        <w:rPr>
          <w:rFonts w:ascii="Arial" w:eastAsia="Arial" w:hAnsi="Arial" w:cs="Arial"/>
          <w:sz w:val="20"/>
          <w:szCs w:val="20"/>
        </w:rPr>
      </w:pPr>
    </w:p>
    <w:p w14:paraId="69C462BD" w14:textId="77777777" w:rsidR="00587694" w:rsidRDefault="00416116">
      <w:pPr>
        <w:spacing w:after="0" w:line="240" w:lineRule="auto"/>
        <w:rPr>
          <w:rFonts w:ascii="Arial" w:eastAsia="Arial" w:hAnsi="Arial" w:cs="Arial"/>
          <w:b/>
          <w:smallCaps/>
          <w:color w:val="000000"/>
          <w:sz w:val="20"/>
          <w:szCs w:val="20"/>
        </w:rPr>
      </w:pPr>
      <w:r>
        <w:rPr>
          <w:rFonts w:ascii="Arial" w:eastAsia="Arial" w:hAnsi="Arial" w:cs="Arial"/>
          <w:b/>
          <w:smallCaps/>
          <w:color w:val="000000"/>
          <w:sz w:val="20"/>
          <w:szCs w:val="20"/>
        </w:rPr>
        <w:t>4. RESULTS AND DISCUSSION</w:t>
      </w:r>
    </w:p>
    <w:p w14:paraId="2E0CCC45" w14:textId="77777777" w:rsidR="00587694" w:rsidRDefault="00416116">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4.1 Profile of the Respondents</w:t>
      </w:r>
    </w:p>
    <w:p w14:paraId="3C054437" w14:textId="77777777" w:rsidR="00587694" w:rsidRDefault="00416116">
      <w:pPr>
        <w:shd w:val="clear" w:color="auto" w:fill="FFFFFF"/>
        <w:spacing w:after="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Respondent profiles were </w:t>
      </w:r>
      <w:proofErr w:type="spellStart"/>
      <w:r>
        <w:rPr>
          <w:rFonts w:ascii="Arial" w:eastAsia="Arial" w:hAnsi="Arial" w:cs="Arial"/>
          <w:sz w:val="20"/>
          <w:szCs w:val="20"/>
        </w:rPr>
        <w:t>analyzed</w:t>
      </w:r>
      <w:proofErr w:type="spellEnd"/>
      <w:r>
        <w:rPr>
          <w:rFonts w:ascii="Arial" w:eastAsia="Arial" w:hAnsi="Arial" w:cs="Arial"/>
          <w:sz w:val="20"/>
          <w:szCs w:val="20"/>
        </w:rPr>
        <w:t xml:space="preserve"> based on age, gender, civil status, education, income source, and monthly income. Table 2 shows that most respondents were aged 41 and above (44.81%), followed by those 31–40 (34.97%), and 21–30 (20.22%), indicating that older adults are the primary users</w:t>
      </w:r>
      <w:r>
        <w:rPr>
          <w:rFonts w:ascii="Arial" w:eastAsia="Arial" w:hAnsi="Arial" w:cs="Arial"/>
          <w:sz w:val="20"/>
          <w:szCs w:val="20"/>
        </w:rPr>
        <w:t xml:space="preserve"> of financial services in </w:t>
      </w:r>
      <w:proofErr w:type="spellStart"/>
      <w:r>
        <w:rPr>
          <w:rFonts w:ascii="Arial" w:eastAsia="Arial" w:hAnsi="Arial" w:cs="Arial"/>
          <w:sz w:val="20"/>
          <w:szCs w:val="20"/>
        </w:rPr>
        <w:t>Cateel</w:t>
      </w:r>
      <w:proofErr w:type="spellEnd"/>
      <w:r>
        <w:rPr>
          <w:rFonts w:ascii="Arial" w:eastAsia="Arial" w:hAnsi="Arial" w:cs="Arial"/>
          <w:sz w:val="20"/>
          <w:szCs w:val="20"/>
        </w:rPr>
        <w:t>.</w:t>
      </w:r>
    </w:p>
    <w:p w14:paraId="3116C0F5" w14:textId="77777777" w:rsidR="00587694" w:rsidRDefault="00587694">
      <w:pPr>
        <w:shd w:val="clear" w:color="auto" w:fill="FFFFFF"/>
        <w:spacing w:after="0" w:line="240" w:lineRule="auto"/>
        <w:jc w:val="both"/>
        <w:rPr>
          <w:rFonts w:ascii="Arial" w:eastAsia="Arial" w:hAnsi="Arial" w:cs="Arial"/>
          <w:sz w:val="20"/>
          <w:szCs w:val="20"/>
        </w:rPr>
      </w:pPr>
    </w:p>
    <w:p w14:paraId="50F53BB6" w14:textId="77777777" w:rsidR="00587694" w:rsidRDefault="00416116">
      <w:pPr>
        <w:shd w:val="clear" w:color="auto" w:fill="FFFFFF"/>
        <w:spacing w:after="0" w:line="240" w:lineRule="auto"/>
        <w:rPr>
          <w:rFonts w:ascii="Arial" w:eastAsia="Arial" w:hAnsi="Arial" w:cs="Arial"/>
          <w:sz w:val="20"/>
          <w:szCs w:val="20"/>
        </w:rPr>
      </w:pPr>
      <w:r>
        <w:rPr>
          <w:rFonts w:ascii="Arial" w:eastAsia="Arial" w:hAnsi="Arial" w:cs="Arial"/>
          <w:b/>
          <w:color w:val="222222"/>
          <w:sz w:val="20"/>
          <w:szCs w:val="20"/>
        </w:rPr>
        <w:t>Table 2</w:t>
      </w:r>
      <w:r>
        <w:rPr>
          <w:rFonts w:ascii="Arial" w:eastAsia="Arial" w:hAnsi="Arial" w:cs="Arial"/>
          <w:color w:val="222222"/>
          <w:sz w:val="20"/>
          <w:szCs w:val="20"/>
        </w:rPr>
        <w:t xml:space="preserve">. </w:t>
      </w:r>
      <w:r>
        <w:rPr>
          <w:rFonts w:ascii="Arial" w:eastAsia="Arial" w:hAnsi="Arial" w:cs="Arial"/>
          <w:sz w:val="20"/>
          <w:szCs w:val="20"/>
        </w:rPr>
        <w:t>Demographic profile of respondents in terms of age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32"/>
        <w:gridCol w:w="2180"/>
        <w:gridCol w:w="1696"/>
      </w:tblGrid>
      <w:tr w:rsidR="00587694" w14:paraId="65F7D8DA" w14:textId="77777777">
        <w:trPr>
          <w:trHeight w:val="174"/>
        </w:trPr>
        <w:tc>
          <w:tcPr>
            <w:tcW w:w="2639" w:type="pct"/>
            <w:shd w:val="clear" w:color="auto" w:fill="auto"/>
            <w:vAlign w:val="bottom"/>
          </w:tcPr>
          <w:p w14:paraId="6B00A49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Age Bracket</w:t>
            </w:r>
          </w:p>
        </w:tc>
        <w:tc>
          <w:tcPr>
            <w:tcW w:w="1328" w:type="pct"/>
            <w:shd w:val="clear" w:color="auto" w:fill="auto"/>
            <w:vAlign w:val="bottom"/>
          </w:tcPr>
          <w:p w14:paraId="12B7D94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033" w:type="pct"/>
            <w:shd w:val="clear" w:color="auto" w:fill="auto"/>
            <w:vAlign w:val="bottom"/>
          </w:tcPr>
          <w:p w14:paraId="321836B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09B1FC44" w14:textId="77777777">
        <w:trPr>
          <w:trHeight w:val="151"/>
        </w:trPr>
        <w:tc>
          <w:tcPr>
            <w:tcW w:w="2639" w:type="pct"/>
            <w:shd w:val="clear" w:color="auto" w:fill="auto"/>
          </w:tcPr>
          <w:p w14:paraId="7047233F"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21 to 30 years old</w:t>
            </w:r>
          </w:p>
        </w:tc>
        <w:tc>
          <w:tcPr>
            <w:tcW w:w="1328" w:type="pct"/>
            <w:shd w:val="clear" w:color="auto" w:fill="auto"/>
            <w:noWrap/>
            <w:vAlign w:val="center"/>
          </w:tcPr>
          <w:p w14:paraId="742011F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37</w:t>
            </w:r>
          </w:p>
        </w:tc>
        <w:tc>
          <w:tcPr>
            <w:tcW w:w="1033" w:type="pct"/>
            <w:shd w:val="clear" w:color="auto" w:fill="auto"/>
            <w:noWrap/>
            <w:vAlign w:val="center"/>
          </w:tcPr>
          <w:p w14:paraId="0D5ED22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20.22</w:t>
            </w:r>
          </w:p>
        </w:tc>
      </w:tr>
      <w:tr w:rsidR="00587694" w14:paraId="7D340C4B" w14:textId="77777777">
        <w:trPr>
          <w:trHeight w:val="82"/>
        </w:trPr>
        <w:tc>
          <w:tcPr>
            <w:tcW w:w="2639" w:type="pct"/>
            <w:shd w:val="clear" w:color="auto" w:fill="auto"/>
          </w:tcPr>
          <w:p w14:paraId="0C27701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31 to 40 years old</w:t>
            </w:r>
          </w:p>
        </w:tc>
        <w:tc>
          <w:tcPr>
            <w:tcW w:w="1328" w:type="pct"/>
            <w:shd w:val="clear" w:color="auto" w:fill="auto"/>
            <w:noWrap/>
            <w:vAlign w:val="center"/>
          </w:tcPr>
          <w:p w14:paraId="6004868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64</w:t>
            </w:r>
          </w:p>
        </w:tc>
        <w:tc>
          <w:tcPr>
            <w:tcW w:w="1033" w:type="pct"/>
            <w:shd w:val="clear" w:color="auto" w:fill="auto"/>
            <w:noWrap/>
            <w:vAlign w:val="center"/>
          </w:tcPr>
          <w:p w14:paraId="28A92D1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34.97</w:t>
            </w:r>
          </w:p>
        </w:tc>
      </w:tr>
      <w:tr w:rsidR="00587694" w14:paraId="0B47BA0B" w14:textId="77777777">
        <w:trPr>
          <w:trHeight w:val="87"/>
        </w:trPr>
        <w:tc>
          <w:tcPr>
            <w:tcW w:w="2639" w:type="pct"/>
            <w:shd w:val="clear" w:color="auto" w:fill="auto"/>
          </w:tcPr>
          <w:p w14:paraId="50C88EE2"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41 years old and above</w:t>
            </w:r>
          </w:p>
        </w:tc>
        <w:tc>
          <w:tcPr>
            <w:tcW w:w="1328" w:type="pct"/>
            <w:shd w:val="clear" w:color="auto" w:fill="auto"/>
            <w:noWrap/>
            <w:vAlign w:val="center"/>
          </w:tcPr>
          <w:p w14:paraId="391E54D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82</w:t>
            </w:r>
          </w:p>
        </w:tc>
        <w:tc>
          <w:tcPr>
            <w:tcW w:w="1033" w:type="pct"/>
            <w:shd w:val="clear" w:color="auto" w:fill="auto"/>
            <w:noWrap/>
            <w:vAlign w:val="center"/>
          </w:tcPr>
          <w:p w14:paraId="5BA95C5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44.81</w:t>
            </w:r>
          </w:p>
        </w:tc>
      </w:tr>
      <w:tr w:rsidR="00587694" w14:paraId="24C682FE" w14:textId="77777777">
        <w:trPr>
          <w:trHeight w:val="300"/>
        </w:trPr>
        <w:tc>
          <w:tcPr>
            <w:tcW w:w="2639" w:type="pct"/>
            <w:shd w:val="clear" w:color="auto" w:fill="auto"/>
          </w:tcPr>
          <w:p w14:paraId="59B8DBF6"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Total</w:t>
            </w:r>
          </w:p>
        </w:tc>
        <w:tc>
          <w:tcPr>
            <w:tcW w:w="1328" w:type="pct"/>
            <w:shd w:val="clear" w:color="auto" w:fill="auto"/>
            <w:noWrap/>
            <w:vAlign w:val="center"/>
          </w:tcPr>
          <w:p w14:paraId="23DB4D67"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033" w:type="pct"/>
            <w:shd w:val="clear" w:color="auto" w:fill="auto"/>
            <w:noWrap/>
            <w:vAlign w:val="center"/>
          </w:tcPr>
          <w:p w14:paraId="2F352483"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6E9C1619" w14:textId="77777777" w:rsidR="00587694" w:rsidRDefault="00416116">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  According to </w:t>
      </w:r>
      <w:proofErr w:type="spellStart"/>
      <w:r>
        <w:rPr>
          <w:rFonts w:ascii="Arial" w:eastAsia="Arial" w:hAnsi="Arial" w:cs="Arial"/>
          <w:sz w:val="20"/>
          <w:szCs w:val="20"/>
        </w:rPr>
        <w:t>Llanto</w:t>
      </w:r>
      <w:proofErr w:type="spellEnd"/>
      <w:r>
        <w:rPr>
          <w:rFonts w:ascii="Arial" w:eastAsia="Arial" w:hAnsi="Arial" w:cs="Arial"/>
          <w:sz w:val="20"/>
          <w:szCs w:val="20"/>
        </w:rPr>
        <w:t xml:space="preserve"> and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older individuals often have stronger financial discipline and longer relationships with banks due to greater exposure to formal financial systems. Similarly, </w:t>
      </w:r>
      <w:proofErr w:type="spellStart"/>
      <w:r>
        <w:rPr>
          <w:rFonts w:ascii="Arial" w:eastAsia="Arial" w:hAnsi="Arial" w:cs="Arial"/>
          <w:sz w:val="20"/>
          <w:szCs w:val="20"/>
        </w:rPr>
        <w:t>Bancoro</w:t>
      </w:r>
      <w:proofErr w:type="spellEnd"/>
      <w:r>
        <w:rPr>
          <w:rFonts w:ascii="Arial" w:eastAsia="Arial" w:hAnsi="Arial" w:cs="Arial"/>
          <w:sz w:val="20"/>
          <w:szCs w:val="20"/>
        </w:rPr>
        <w:t xml:space="preserve"> et al. (2023) note that older adults are more </w:t>
      </w:r>
      <w:r>
        <w:rPr>
          <w:rFonts w:ascii="Arial" w:eastAsia="Arial" w:hAnsi="Arial" w:cs="Arial"/>
          <w:sz w:val="20"/>
          <w:szCs w:val="20"/>
        </w:rPr>
        <w:t>engaged in banking, especially in business settings where trust and financial consistency are important.</w:t>
      </w:r>
    </w:p>
    <w:p w14:paraId="7508B663" w14:textId="77777777" w:rsidR="00587694" w:rsidRDefault="00416116">
      <w:pPr>
        <w:spacing w:after="0" w:line="240" w:lineRule="auto"/>
        <w:rPr>
          <w:rFonts w:ascii="Arial" w:eastAsia="Arial" w:hAnsi="Arial" w:cs="Arial"/>
          <w:sz w:val="20"/>
          <w:szCs w:val="20"/>
        </w:rPr>
      </w:pPr>
      <w:r>
        <w:rPr>
          <w:rFonts w:ascii="Arial" w:eastAsia="Arial" w:hAnsi="Arial" w:cs="Arial"/>
          <w:b/>
          <w:color w:val="000000"/>
          <w:sz w:val="20"/>
          <w:szCs w:val="20"/>
        </w:rPr>
        <w:t>Table 3</w:t>
      </w:r>
      <w:r>
        <w:rPr>
          <w:rFonts w:ascii="Arial" w:eastAsia="Arial" w:hAnsi="Arial" w:cs="Arial"/>
          <w:color w:val="000000"/>
          <w:sz w:val="20"/>
          <w:szCs w:val="20"/>
        </w:rPr>
        <w:t>.</w:t>
      </w:r>
      <w:r>
        <w:rPr>
          <w:rFonts w:ascii="Arial" w:eastAsia="Arial" w:hAnsi="Arial" w:cs="Arial"/>
          <w:sz w:val="20"/>
          <w:szCs w:val="20"/>
        </w:rPr>
        <w:t xml:space="preserve"> Demographic profile of respondents in terms of civil status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55"/>
        <w:gridCol w:w="1912"/>
        <w:gridCol w:w="2141"/>
      </w:tblGrid>
      <w:tr w:rsidR="00587694" w14:paraId="66048A70" w14:textId="77777777">
        <w:trPr>
          <w:trHeight w:val="300"/>
        </w:trPr>
        <w:tc>
          <w:tcPr>
            <w:tcW w:w="2531" w:type="pct"/>
            <w:shd w:val="clear" w:color="auto" w:fill="auto"/>
            <w:vAlign w:val="bottom"/>
          </w:tcPr>
          <w:p w14:paraId="6A49F72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Civil Status</w:t>
            </w:r>
          </w:p>
        </w:tc>
        <w:tc>
          <w:tcPr>
            <w:tcW w:w="1165" w:type="pct"/>
            <w:shd w:val="clear" w:color="auto" w:fill="auto"/>
            <w:vAlign w:val="bottom"/>
          </w:tcPr>
          <w:p w14:paraId="329BE23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304" w:type="pct"/>
            <w:shd w:val="clear" w:color="auto" w:fill="auto"/>
            <w:vAlign w:val="bottom"/>
          </w:tcPr>
          <w:p w14:paraId="21416D2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12623F04" w14:textId="77777777">
        <w:trPr>
          <w:trHeight w:val="147"/>
        </w:trPr>
        <w:tc>
          <w:tcPr>
            <w:tcW w:w="2531" w:type="pct"/>
            <w:shd w:val="clear" w:color="auto" w:fill="auto"/>
          </w:tcPr>
          <w:p w14:paraId="573FE9C4"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Married</w:t>
            </w:r>
          </w:p>
        </w:tc>
        <w:tc>
          <w:tcPr>
            <w:tcW w:w="1165" w:type="pct"/>
            <w:shd w:val="clear" w:color="auto" w:fill="auto"/>
            <w:noWrap/>
            <w:vAlign w:val="center"/>
          </w:tcPr>
          <w:p w14:paraId="49F7E07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168</w:t>
            </w:r>
          </w:p>
        </w:tc>
        <w:tc>
          <w:tcPr>
            <w:tcW w:w="1304" w:type="pct"/>
            <w:shd w:val="clear" w:color="auto" w:fill="auto"/>
            <w:noWrap/>
            <w:vAlign w:val="center"/>
          </w:tcPr>
          <w:p w14:paraId="456A198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91.80</w:t>
            </w:r>
          </w:p>
        </w:tc>
      </w:tr>
      <w:tr w:rsidR="00587694" w14:paraId="4BBFAC43" w14:textId="77777777">
        <w:trPr>
          <w:trHeight w:val="122"/>
        </w:trPr>
        <w:tc>
          <w:tcPr>
            <w:tcW w:w="2531" w:type="pct"/>
            <w:shd w:val="clear" w:color="auto" w:fill="auto"/>
          </w:tcPr>
          <w:p w14:paraId="5E18304D"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Widow</w:t>
            </w:r>
          </w:p>
        </w:tc>
        <w:tc>
          <w:tcPr>
            <w:tcW w:w="1165" w:type="pct"/>
            <w:shd w:val="clear" w:color="auto" w:fill="auto"/>
            <w:noWrap/>
            <w:vAlign w:val="center"/>
          </w:tcPr>
          <w:p w14:paraId="6101EE7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13</w:t>
            </w:r>
          </w:p>
        </w:tc>
        <w:tc>
          <w:tcPr>
            <w:tcW w:w="1304" w:type="pct"/>
            <w:shd w:val="clear" w:color="auto" w:fill="auto"/>
            <w:noWrap/>
            <w:vAlign w:val="center"/>
          </w:tcPr>
          <w:p w14:paraId="2226F63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7.10</w:t>
            </w:r>
          </w:p>
        </w:tc>
      </w:tr>
      <w:tr w:rsidR="00587694" w14:paraId="1504EE8C" w14:textId="77777777">
        <w:trPr>
          <w:trHeight w:val="99"/>
        </w:trPr>
        <w:tc>
          <w:tcPr>
            <w:tcW w:w="2531" w:type="pct"/>
            <w:shd w:val="clear" w:color="auto" w:fill="auto"/>
          </w:tcPr>
          <w:p w14:paraId="134066DA"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xml:space="preserve">Divorced / </w:t>
            </w:r>
            <w:r>
              <w:rPr>
                <w:rFonts w:ascii="Arial" w:eastAsia="Times New Roman" w:hAnsi="Arial" w:cs="Arial"/>
                <w:color w:val="000000"/>
                <w:sz w:val="20"/>
                <w:szCs w:val="20"/>
                <w:lang w:val="en-PH" w:eastAsia="en-PH"/>
              </w:rPr>
              <w:t>Separated</w:t>
            </w:r>
          </w:p>
        </w:tc>
        <w:tc>
          <w:tcPr>
            <w:tcW w:w="1165" w:type="pct"/>
            <w:shd w:val="clear" w:color="auto" w:fill="auto"/>
            <w:noWrap/>
            <w:vAlign w:val="center"/>
          </w:tcPr>
          <w:p w14:paraId="28B66AE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w:t>
            </w:r>
          </w:p>
        </w:tc>
        <w:tc>
          <w:tcPr>
            <w:tcW w:w="1304" w:type="pct"/>
            <w:shd w:val="clear" w:color="auto" w:fill="auto"/>
            <w:noWrap/>
            <w:vAlign w:val="center"/>
          </w:tcPr>
          <w:p w14:paraId="792ED74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1.09</w:t>
            </w:r>
          </w:p>
        </w:tc>
      </w:tr>
      <w:tr w:rsidR="00587694" w14:paraId="5CA5B189" w14:textId="77777777">
        <w:trPr>
          <w:trHeight w:val="202"/>
        </w:trPr>
        <w:tc>
          <w:tcPr>
            <w:tcW w:w="2531" w:type="pct"/>
            <w:shd w:val="clear" w:color="auto" w:fill="auto"/>
          </w:tcPr>
          <w:p w14:paraId="7940362A"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Total</w:t>
            </w:r>
          </w:p>
        </w:tc>
        <w:tc>
          <w:tcPr>
            <w:tcW w:w="1165" w:type="pct"/>
            <w:shd w:val="clear" w:color="auto" w:fill="auto"/>
            <w:noWrap/>
            <w:vAlign w:val="center"/>
          </w:tcPr>
          <w:p w14:paraId="2F6AEA23"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304" w:type="pct"/>
            <w:shd w:val="clear" w:color="auto" w:fill="auto"/>
            <w:noWrap/>
            <w:vAlign w:val="center"/>
          </w:tcPr>
          <w:p w14:paraId="33A50460"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5B98CCBA" w14:textId="77777777" w:rsidR="00587694" w:rsidRDefault="00416116">
      <w:pPr>
        <w:spacing w:before="280" w:line="240" w:lineRule="auto"/>
        <w:jc w:val="both"/>
        <w:rPr>
          <w:rFonts w:ascii="Arial" w:eastAsia="Arial" w:hAnsi="Arial" w:cs="Arial"/>
          <w:sz w:val="20"/>
          <w:szCs w:val="20"/>
        </w:rPr>
      </w:pPr>
      <w:r>
        <w:rPr>
          <w:rFonts w:ascii="Arial" w:hAnsi="Arial" w:cs="Arial"/>
          <w:color w:val="222222"/>
          <w:sz w:val="20"/>
          <w:szCs w:val="20"/>
          <w:highlight w:val="white"/>
        </w:rPr>
        <w:t xml:space="preserve">        </w:t>
      </w:r>
      <w:r>
        <w:rPr>
          <w:rFonts w:ascii="Arial" w:eastAsia="Arial" w:hAnsi="Arial" w:cs="Arial"/>
          <w:sz w:val="20"/>
          <w:szCs w:val="20"/>
        </w:rPr>
        <w:t xml:space="preserve">Table 3 shows that most respondents were married (91.80%), indicating that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largely in stable relationships with shared financial roles. Marital status influences financial </w:t>
      </w:r>
      <w:proofErr w:type="spellStart"/>
      <w:r>
        <w:rPr>
          <w:rFonts w:ascii="Arial" w:eastAsia="Arial" w:hAnsi="Arial" w:cs="Arial"/>
          <w:sz w:val="20"/>
          <w:szCs w:val="20"/>
        </w:rPr>
        <w:t>behavior</w:t>
      </w:r>
      <w:proofErr w:type="spellEnd"/>
      <w:r>
        <w:rPr>
          <w:rFonts w:ascii="Arial" w:eastAsia="Arial" w:hAnsi="Arial" w:cs="Arial"/>
          <w:sz w:val="20"/>
          <w:szCs w:val="20"/>
        </w:rPr>
        <w:t>—married individuals often lead household decisions (</w:t>
      </w:r>
      <w:proofErr w:type="spellStart"/>
      <w:r>
        <w:rPr>
          <w:rFonts w:ascii="Arial" w:eastAsia="Arial" w:hAnsi="Arial" w:cs="Arial"/>
          <w:sz w:val="20"/>
          <w:szCs w:val="20"/>
        </w:rPr>
        <w:t>Malabanan</w:t>
      </w:r>
      <w:proofErr w:type="spellEnd"/>
      <w:r>
        <w:rPr>
          <w:rFonts w:ascii="Arial" w:eastAsia="Arial" w:hAnsi="Arial" w:cs="Arial"/>
          <w:sz w:val="20"/>
          <w:szCs w:val="20"/>
        </w:rPr>
        <w:t xml:space="preserve"> &amp; </w:t>
      </w:r>
      <w:proofErr w:type="spellStart"/>
      <w:r>
        <w:rPr>
          <w:rFonts w:ascii="Arial" w:eastAsia="Arial" w:hAnsi="Arial" w:cs="Arial"/>
          <w:sz w:val="20"/>
          <w:szCs w:val="20"/>
        </w:rPr>
        <w:t>Dacara</w:t>
      </w:r>
      <w:proofErr w:type="spellEnd"/>
      <w:r>
        <w:rPr>
          <w:rFonts w:ascii="Arial" w:eastAsia="Arial" w:hAnsi="Arial" w:cs="Arial"/>
          <w:sz w:val="20"/>
          <w:szCs w:val="20"/>
        </w:rPr>
        <w:t>, 2024), while singles may focus on careers or education (Asio, 2021; Tus, 2020; Flores et al., 2024). These insights suggest a need for services tailored to family-based financ</w:t>
      </w:r>
      <w:r>
        <w:rPr>
          <w:rFonts w:ascii="Arial" w:eastAsia="Arial" w:hAnsi="Arial" w:cs="Arial"/>
          <w:sz w:val="20"/>
          <w:szCs w:val="20"/>
        </w:rPr>
        <w:t>ial planning and dual-income households.</w:t>
      </w:r>
    </w:p>
    <w:p w14:paraId="0FF2F45C" w14:textId="77777777" w:rsidR="00587694" w:rsidRDefault="00416116">
      <w:pPr>
        <w:spacing w:line="240" w:lineRule="auto"/>
        <w:rPr>
          <w:rFonts w:ascii="Arial" w:eastAsia="Arial" w:hAnsi="Arial" w:cs="Arial"/>
          <w:sz w:val="20"/>
          <w:szCs w:val="20"/>
        </w:rPr>
      </w:pPr>
      <w:r>
        <w:rPr>
          <w:rFonts w:ascii="Arial" w:eastAsia="Arial" w:hAnsi="Arial" w:cs="Arial"/>
          <w:b/>
          <w:color w:val="000000"/>
          <w:sz w:val="20"/>
          <w:szCs w:val="20"/>
        </w:rPr>
        <w:t>Table 4.</w:t>
      </w:r>
      <w:r>
        <w:rPr>
          <w:rFonts w:ascii="Arial" w:eastAsia="Arial" w:hAnsi="Arial" w:cs="Arial"/>
          <w:color w:val="000000"/>
          <w:sz w:val="20"/>
          <w:szCs w:val="20"/>
        </w:rPr>
        <w:t xml:space="preserve"> </w:t>
      </w:r>
      <w:r>
        <w:rPr>
          <w:rFonts w:ascii="Arial" w:eastAsia="Arial" w:hAnsi="Arial" w:cs="Arial"/>
          <w:sz w:val="20"/>
          <w:szCs w:val="20"/>
        </w:rPr>
        <w:t>Demographic profile of respondents in terms of educational attainment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55"/>
        <w:gridCol w:w="1912"/>
        <w:gridCol w:w="2141"/>
      </w:tblGrid>
      <w:tr w:rsidR="00587694" w14:paraId="4492FB8F" w14:textId="77777777">
        <w:trPr>
          <w:trHeight w:val="300"/>
        </w:trPr>
        <w:tc>
          <w:tcPr>
            <w:tcW w:w="2531" w:type="pct"/>
            <w:shd w:val="clear" w:color="auto" w:fill="auto"/>
            <w:vAlign w:val="bottom"/>
          </w:tcPr>
          <w:p w14:paraId="7695196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Educational Level</w:t>
            </w:r>
          </w:p>
        </w:tc>
        <w:tc>
          <w:tcPr>
            <w:tcW w:w="1165" w:type="pct"/>
            <w:shd w:val="clear" w:color="auto" w:fill="auto"/>
            <w:vAlign w:val="bottom"/>
          </w:tcPr>
          <w:p w14:paraId="50FC762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304" w:type="pct"/>
            <w:shd w:val="clear" w:color="auto" w:fill="auto"/>
            <w:vAlign w:val="bottom"/>
          </w:tcPr>
          <w:p w14:paraId="004DD28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55CF3EC8" w14:textId="77777777">
        <w:trPr>
          <w:trHeight w:val="300"/>
        </w:trPr>
        <w:tc>
          <w:tcPr>
            <w:tcW w:w="2531" w:type="pct"/>
            <w:shd w:val="clear" w:color="auto" w:fill="auto"/>
          </w:tcPr>
          <w:p w14:paraId="55C9675A" w14:textId="77777777" w:rsidR="00587694" w:rsidRDefault="00416116">
            <w:pPr>
              <w:spacing w:after="0" w:line="240" w:lineRule="auto"/>
              <w:jc w:val="both"/>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Elementary Level</w:t>
            </w:r>
          </w:p>
        </w:tc>
        <w:tc>
          <w:tcPr>
            <w:tcW w:w="1165" w:type="pct"/>
            <w:shd w:val="clear" w:color="auto" w:fill="auto"/>
            <w:noWrap/>
            <w:vAlign w:val="center"/>
          </w:tcPr>
          <w:p w14:paraId="2A8EDE1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11</w:t>
            </w:r>
          </w:p>
        </w:tc>
        <w:tc>
          <w:tcPr>
            <w:tcW w:w="1304" w:type="pct"/>
            <w:shd w:val="clear" w:color="auto" w:fill="auto"/>
            <w:noWrap/>
            <w:vAlign w:val="center"/>
          </w:tcPr>
          <w:p w14:paraId="45EAA52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6.01</w:t>
            </w:r>
          </w:p>
        </w:tc>
      </w:tr>
      <w:tr w:rsidR="00587694" w14:paraId="3712398C" w14:textId="77777777">
        <w:trPr>
          <w:trHeight w:val="300"/>
        </w:trPr>
        <w:tc>
          <w:tcPr>
            <w:tcW w:w="2531" w:type="pct"/>
            <w:shd w:val="clear" w:color="auto" w:fill="auto"/>
          </w:tcPr>
          <w:p w14:paraId="0AA86889" w14:textId="77777777" w:rsidR="00587694" w:rsidRDefault="00416116">
            <w:pPr>
              <w:spacing w:after="0" w:line="240" w:lineRule="auto"/>
              <w:jc w:val="both"/>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High School Level</w:t>
            </w:r>
          </w:p>
        </w:tc>
        <w:tc>
          <w:tcPr>
            <w:tcW w:w="1165" w:type="pct"/>
            <w:shd w:val="clear" w:color="auto" w:fill="auto"/>
            <w:noWrap/>
            <w:vAlign w:val="center"/>
          </w:tcPr>
          <w:p w14:paraId="79BEF62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65</w:t>
            </w:r>
          </w:p>
        </w:tc>
        <w:tc>
          <w:tcPr>
            <w:tcW w:w="1304" w:type="pct"/>
            <w:shd w:val="clear" w:color="auto" w:fill="auto"/>
            <w:noWrap/>
            <w:vAlign w:val="center"/>
          </w:tcPr>
          <w:p w14:paraId="2DF5503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35.52</w:t>
            </w:r>
          </w:p>
        </w:tc>
      </w:tr>
      <w:tr w:rsidR="00587694" w14:paraId="094A05BE" w14:textId="77777777">
        <w:trPr>
          <w:trHeight w:val="300"/>
        </w:trPr>
        <w:tc>
          <w:tcPr>
            <w:tcW w:w="2531" w:type="pct"/>
            <w:shd w:val="clear" w:color="auto" w:fill="auto"/>
          </w:tcPr>
          <w:p w14:paraId="51369037" w14:textId="77777777" w:rsidR="00587694" w:rsidRDefault="00416116">
            <w:pPr>
              <w:spacing w:after="0" w:line="240" w:lineRule="auto"/>
              <w:jc w:val="both"/>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lastRenderedPageBreak/>
              <w:t>Bachelor's Degree</w:t>
            </w:r>
          </w:p>
        </w:tc>
        <w:tc>
          <w:tcPr>
            <w:tcW w:w="1165" w:type="pct"/>
            <w:shd w:val="clear" w:color="auto" w:fill="auto"/>
            <w:noWrap/>
            <w:vAlign w:val="center"/>
          </w:tcPr>
          <w:p w14:paraId="35477E7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84</w:t>
            </w:r>
          </w:p>
        </w:tc>
        <w:tc>
          <w:tcPr>
            <w:tcW w:w="1304" w:type="pct"/>
            <w:shd w:val="clear" w:color="auto" w:fill="auto"/>
            <w:noWrap/>
            <w:vAlign w:val="center"/>
          </w:tcPr>
          <w:p w14:paraId="12CACD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45.90</w:t>
            </w:r>
          </w:p>
        </w:tc>
      </w:tr>
      <w:tr w:rsidR="00587694" w14:paraId="5EBE5A45" w14:textId="77777777">
        <w:trPr>
          <w:trHeight w:val="300"/>
        </w:trPr>
        <w:tc>
          <w:tcPr>
            <w:tcW w:w="2531" w:type="pct"/>
            <w:shd w:val="clear" w:color="auto" w:fill="auto"/>
          </w:tcPr>
          <w:p w14:paraId="77CAEFEF" w14:textId="77777777" w:rsidR="00587694" w:rsidRDefault="00416116">
            <w:pPr>
              <w:spacing w:after="0" w:line="240" w:lineRule="auto"/>
              <w:jc w:val="both"/>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Post Graduate</w:t>
            </w:r>
          </w:p>
        </w:tc>
        <w:tc>
          <w:tcPr>
            <w:tcW w:w="1165" w:type="pct"/>
            <w:shd w:val="clear" w:color="auto" w:fill="auto"/>
            <w:noWrap/>
            <w:vAlign w:val="center"/>
          </w:tcPr>
          <w:p w14:paraId="3F63A09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23</w:t>
            </w:r>
          </w:p>
        </w:tc>
        <w:tc>
          <w:tcPr>
            <w:tcW w:w="1304" w:type="pct"/>
            <w:shd w:val="clear" w:color="auto" w:fill="auto"/>
            <w:noWrap/>
            <w:vAlign w:val="center"/>
          </w:tcPr>
          <w:p w14:paraId="6C14383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12.57</w:t>
            </w:r>
          </w:p>
        </w:tc>
      </w:tr>
      <w:tr w:rsidR="00587694" w14:paraId="482278CE" w14:textId="77777777">
        <w:trPr>
          <w:trHeight w:val="300"/>
        </w:trPr>
        <w:tc>
          <w:tcPr>
            <w:tcW w:w="2531" w:type="pct"/>
            <w:shd w:val="clear" w:color="auto" w:fill="auto"/>
          </w:tcPr>
          <w:p w14:paraId="4799E84D" w14:textId="77777777" w:rsidR="00587694" w:rsidRDefault="00416116">
            <w:pPr>
              <w:spacing w:after="0" w:line="240" w:lineRule="auto"/>
              <w:jc w:val="both"/>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Total</w:t>
            </w:r>
          </w:p>
        </w:tc>
        <w:tc>
          <w:tcPr>
            <w:tcW w:w="1165" w:type="pct"/>
            <w:shd w:val="clear" w:color="auto" w:fill="auto"/>
            <w:noWrap/>
            <w:vAlign w:val="center"/>
          </w:tcPr>
          <w:p w14:paraId="7671A6A3"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304" w:type="pct"/>
            <w:shd w:val="clear" w:color="auto" w:fill="auto"/>
            <w:noWrap/>
            <w:vAlign w:val="center"/>
          </w:tcPr>
          <w:p w14:paraId="0112C529"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6D81588B" w14:textId="77777777" w:rsidR="00587694" w:rsidRDefault="00416116">
      <w:pPr>
        <w:spacing w:before="280" w:line="240" w:lineRule="auto"/>
        <w:jc w:val="both"/>
        <w:rPr>
          <w:rFonts w:ascii="Arial" w:eastAsia="Arial" w:hAnsi="Arial" w:cs="Arial"/>
          <w:sz w:val="20"/>
          <w:szCs w:val="20"/>
        </w:rPr>
      </w:pPr>
      <w:r>
        <w:rPr>
          <w:rFonts w:ascii="Arial" w:eastAsia="Arial" w:hAnsi="Arial" w:cs="Arial"/>
          <w:sz w:val="20"/>
          <w:szCs w:val="20"/>
        </w:rPr>
        <w:t xml:space="preserve">           Table 4 reveals that most respondents held a bachelor's degree (45.90%), suggesting that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generally well-educated. Higher education often correlates with greater financial literacy and expectations, while those with less education may depend more on trust, underscoring the need for clear and inclusive communication. Studies by </w:t>
      </w:r>
      <w:proofErr w:type="spellStart"/>
      <w:r>
        <w:rPr>
          <w:rFonts w:ascii="Arial" w:eastAsia="Arial" w:hAnsi="Arial" w:cs="Arial"/>
          <w:sz w:val="20"/>
          <w:szCs w:val="20"/>
        </w:rPr>
        <w:t>Oyeleye</w:t>
      </w:r>
      <w:proofErr w:type="spellEnd"/>
      <w:r>
        <w:rPr>
          <w:rFonts w:ascii="Arial" w:eastAsia="Arial" w:hAnsi="Arial" w:cs="Arial"/>
          <w:sz w:val="20"/>
          <w:szCs w:val="20"/>
        </w:rPr>
        <w:t xml:space="preserve"> et a</w:t>
      </w:r>
      <w:r>
        <w:rPr>
          <w:rFonts w:ascii="Arial" w:eastAsia="Arial" w:hAnsi="Arial" w:cs="Arial"/>
          <w:sz w:val="20"/>
          <w:szCs w:val="20"/>
        </w:rPr>
        <w:t>l. (2015) and Mburu (2015) also link education to e-banking use, satisfaction, and customer retention.</w:t>
      </w:r>
    </w:p>
    <w:p w14:paraId="162EAC68" w14:textId="77777777" w:rsidR="00587694" w:rsidRDefault="00416116">
      <w:pPr>
        <w:spacing w:line="240" w:lineRule="auto"/>
        <w:rPr>
          <w:rFonts w:ascii="Arial" w:eastAsia="Arial" w:hAnsi="Arial" w:cs="Arial"/>
          <w:sz w:val="20"/>
          <w:szCs w:val="20"/>
        </w:rPr>
      </w:pPr>
      <w:r>
        <w:rPr>
          <w:rFonts w:ascii="Arial" w:eastAsia="Arial" w:hAnsi="Arial" w:cs="Arial"/>
          <w:b/>
          <w:color w:val="000000"/>
          <w:sz w:val="20"/>
          <w:szCs w:val="20"/>
        </w:rPr>
        <w:t xml:space="preserve">Table 5. </w:t>
      </w:r>
      <w:r>
        <w:rPr>
          <w:rFonts w:ascii="Arial" w:eastAsia="Arial" w:hAnsi="Arial" w:cs="Arial"/>
          <w:sz w:val="20"/>
          <w:szCs w:val="20"/>
        </w:rPr>
        <w:t xml:space="preserve">Demographic profile of respondents in terms of gender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55"/>
        <w:gridCol w:w="1912"/>
        <w:gridCol w:w="2141"/>
      </w:tblGrid>
      <w:tr w:rsidR="00587694" w14:paraId="1FFAD9CD" w14:textId="77777777">
        <w:trPr>
          <w:trHeight w:val="168"/>
        </w:trPr>
        <w:tc>
          <w:tcPr>
            <w:tcW w:w="2531" w:type="pct"/>
            <w:shd w:val="clear" w:color="auto" w:fill="auto"/>
            <w:vAlign w:val="bottom"/>
          </w:tcPr>
          <w:p w14:paraId="1798D87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Gender</w:t>
            </w:r>
          </w:p>
        </w:tc>
        <w:tc>
          <w:tcPr>
            <w:tcW w:w="1165" w:type="pct"/>
            <w:shd w:val="clear" w:color="auto" w:fill="auto"/>
            <w:vAlign w:val="bottom"/>
          </w:tcPr>
          <w:p w14:paraId="5DB4258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304" w:type="pct"/>
            <w:shd w:val="clear" w:color="auto" w:fill="auto"/>
            <w:vAlign w:val="bottom"/>
          </w:tcPr>
          <w:p w14:paraId="63110BB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310A65E0" w14:textId="77777777">
        <w:trPr>
          <w:trHeight w:val="171"/>
        </w:trPr>
        <w:tc>
          <w:tcPr>
            <w:tcW w:w="2531" w:type="pct"/>
            <w:shd w:val="clear" w:color="auto" w:fill="auto"/>
          </w:tcPr>
          <w:p w14:paraId="7582460A"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Female</w:t>
            </w:r>
          </w:p>
        </w:tc>
        <w:tc>
          <w:tcPr>
            <w:tcW w:w="1165" w:type="pct"/>
            <w:shd w:val="clear" w:color="auto" w:fill="auto"/>
            <w:noWrap/>
            <w:vAlign w:val="center"/>
          </w:tcPr>
          <w:p w14:paraId="21C5F32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126</w:t>
            </w:r>
          </w:p>
        </w:tc>
        <w:tc>
          <w:tcPr>
            <w:tcW w:w="1304" w:type="pct"/>
            <w:shd w:val="clear" w:color="auto" w:fill="auto"/>
            <w:noWrap/>
            <w:vAlign w:val="center"/>
          </w:tcPr>
          <w:p w14:paraId="420E136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68.85</w:t>
            </w:r>
          </w:p>
        </w:tc>
      </w:tr>
      <w:tr w:rsidR="00587694" w14:paraId="1520F2ED" w14:textId="77777777">
        <w:trPr>
          <w:trHeight w:val="70"/>
        </w:trPr>
        <w:tc>
          <w:tcPr>
            <w:tcW w:w="2531" w:type="pct"/>
            <w:shd w:val="clear" w:color="auto" w:fill="auto"/>
          </w:tcPr>
          <w:p w14:paraId="76F322F4"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Male</w:t>
            </w:r>
          </w:p>
        </w:tc>
        <w:tc>
          <w:tcPr>
            <w:tcW w:w="1165" w:type="pct"/>
            <w:shd w:val="clear" w:color="auto" w:fill="auto"/>
            <w:noWrap/>
            <w:vAlign w:val="center"/>
          </w:tcPr>
          <w:p w14:paraId="6890F00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54</w:t>
            </w:r>
          </w:p>
        </w:tc>
        <w:tc>
          <w:tcPr>
            <w:tcW w:w="1304" w:type="pct"/>
            <w:shd w:val="clear" w:color="auto" w:fill="auto"/>
            <w:noWrap/>
            <w:vAlign w:val="center"/>
          </w:tcPr>
          <w:p w14:paraId="1B54893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29.51</w:t>
            </w:r>
          </w:p>
        </w:tc>
      </w:tr>
      <w:tr w:rsidR="00587694" w14:paraId="6F9941FF" w14:textId="77777777">
        <w:trPr>
          <w:trHeight w:val="221"/>
        </w:trPr>
        <w:tc>
          <w:tcPr>
            <w:tcW w:w="2531" w:type="pct"/>
            <w:shd w:val="clear" w:color="auto" w:fill="auto"/>
          </w:tcPr>
          <w:p w14:paraId="2C142FD0"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LGBTQ</w:t>
            </w:r>
          </w:p>
        </w:tc>
        <w:tc>
          <w:tcPr>
            <w:tcW w:w="1165" w:type="pct"/>
            <w:shd w:val="clear" w:color="auto" w:fill="auto"/>
            <w:noWrap/>
            <w:vAlign w:val="center"/>
          </w:tcPr>
          <w:p w14:paraId="1D7AFD8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w:t>
            </w:r>
          </w:p>
        </w:tc>
        <w:tc>
          <w:tcPr>
            <w:tcW w:w="1304" w:type="pct"/>
            <w:shd w:val="clear" w:color="auto" w:fill="auto"/>
            <w:noWrap/>
            <w:vAlign w:val="center"/>
          </w:tcPr>
          <w:p w14:paraId="125C078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1.64</w:t>
            </w:r>
          </w:p>
        </w:tc>
      </w:tr>
      <w:tr w:rsidR="00587694" w14:paraId="265C0CBF" w14:textId="77777777">
        <w:trPr>
          <w:trHeight w:val="98"/>
        </w:trPr>
        <w:tc>
          <w:tcPr>
            <w:tcW w:w="2531" w:type="pct"/>
            <w:shd w:val="clear" w:color="auto" w:fill="auto"/>
          </w:tcPr>
          <w:p w14:paraId="6585B4D1"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Total</w:t>
            </w:r>
          </w:p>
        </w:tc>
        <w:tc>
          <w:tcPr>
            <w:tcW w:w="1165" w:type="pct"/>
            <w:shd w:val="clear" w:color="auto" w:fill="auto"/>
            <w:noWrap/>
            <w:vAlign w:val="center"/>
          </w:tcPr>
          <w:p w14:paraId="5576A664"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304" w:type="pct"/>
            <w:shd w:val="clear" w:color="auto" w:fill="auto"/>
            <w:noWrap/>
            <w:vAlign w:val="center"/>
          </w:tcPr>
          <w:p w14:paraId="43DA3CD2"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3461C7AA" w14:textId="77777777" w:rsidR="00587694" w:rsidRDefault="00416116">
      <w:pPr>
        <w:spacing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lang w:val="en-US"/>
        </w:rPr>
        <w:tab/>
      </w:r>
      <w:r>
        <w:rPr>
          <w:rFonts w:ascii="Arial" w:eastAsia="Arial" w:hAnsi="Arial" w:cs="Arial"/>
          <w:sz w:val="20"/>
          <w:szCs w:val="20"/>
        </w:rPr>
        <w:t xml:space="preserve"> Table 5 shows that most respondents were female (68.85%), highlighting women's key role in using financial services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especially in rural areas. This aligns with </w:t>
      </w:r>
      <w:proofErr w:type="spellStart"/>
      <w:r>
        <w:rPr>
          <w:rFonts w:ascii="Arial" w:eastAsia="Arial" w:hAnsi="Arial" w:cs="Arial"/>
          <w:sz w:val="20"/>
          <w:szCs w:val="20"/>
        </w:rPr>
        <w:t>Llanto</w:t>
      </w:r>
      <w:proofErr w:type="spellEnd"/>
      <w:r>
        <w:rPr>
          <w:rFonts w:ascii="Arial" w:eastAsia="Arial" w:hAnsi="Arial" w:cs="Arial"/>
          <w:sz w:val="20"/>
          <w:szCs w:val="20"/>
        </w:rPr>
        <w:t xml:space="preserve"> and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who emphasized women's financial involvement. Studies by </w:t>
      </w:r>
      <w:proofErr w:type="spellStart"/>
      <w:r>
        <w:rPr>
          <w:rFonts w:ascii="Arial" w:eastAsia="Arial" w:hAnsi="Arial" w:cs="Arial"/>
          <w:sz w:val="20"/>
          <w:szCs w:val="20"/>
        </w:rPr>
        <w:t>Aljasser</w:t>
      </w:r>
      <w:proofErr w:type="spellEnd"/>
      <w:r>
        <w:rPr>
          <w:rFonts w:ascii="Arial" w:eastAsia="Arial" w:hAnsi="Arial" w:cs="Arial"/>
          <w:sz w:val="20"/>
          <w:szCs w:val="20"/>
        </w:rPr>
        <w:t xml:space="preserve"> and </w:t>
      </w:r>
      <w:proofErr w:type="spellStart"/>
      <w:r>
        <w:rPr>
          <w:rFonts w:ascii="Arial" w:eastAsia="Arial" w:hAnsi="Arial" w:cs="Arial"/>
          <w:sz w:val="20"/>
          <w:szCs w:val="20"/>
        </w:rPr>
        <w:t>Sasidhar</w:t>
      </w:r>
      <w:proofErr w:type="spellEnd"/>
      <w:r>
        <w:rPr>
          <w:rFonts w:ascii="Arial" w:eastAsia="Arial" w:hAnsi="Arial" w:cs="Arial"/>
          <w:sz w:val="20"/>
          <w:szCs w:val="20"/>
        </w:rPr>
        <w:t xml:space="preserve"> (2015), </w:t>
      </w:r>
      <w:proofErr w:type="spellStart"/>
      <w:r>
        <w:rPr>
          <w:rFonts w:ascii="Arial" w:eastAsia="Arial" w:hAnsi="Arial" w:cs="Arial"/>
          <w:sz w:val="20"/>
          <w:szCs w:val="20"/>
        </w:rPr>
        <w:t>Yavas</w:t>
      </w:r>
      <w:proofErr w:type="spellEnd"/>
      <w:r>
        <w:rPr>
          <w:rFonts w:ascii="Arial" w:eastAsia="Arial" w:hAnsi="Arial" w:cs="Arial"/>
          <w:sz w:val="20"/>
          <w:szCs w:val="20"/>
        </w:rPr>
        <w:t xml:space="preserve"> et al. (2014), and Jain (2013) suggest that gender influences satisfaction, loyalty, and perceptions of service. These findings support the need for gende</w:t>
      </w:r>
      <w:r>
        <w:rPr>
          <w:rFonts w:ascii="Arial" w:eastAsia="Arial" w:hAnsi="Arial" w:cs="Arial"/>
          <w:sz w:val="20"/>
          <w:szCs w:val="20"/>
        </w:rPr>
        <w:t>r-aware strategies, including targeted financial literacy and inclusive service practices.</w:t>
      </w:r>
    </w:p>
    <w:p w14:paraId="26359B27" w14:textId="77777777" w:rsidR="00587694" w:rsidRDefault="00416116">
      <w:pPr>
        <w:spacing w:line="240" w:lineRule="auto"/>
        <w:rPr>
          <w:rFonts w:ascii="Arial" w:eastAsia="Arial" w:hAnsi="Arial" w:cs="Arial"/>
          <w:sz w:val="20"/>
          <w:szCs w:val="20"/>
        </w:rPr>
      </w:pPr>
      <w:r>
        <w:rPr>
          <w:rFonts w:ascii="Arial" w:eastAsia="Arial" w:hAnsi="Arial" w:cs="Arial"/>
          <w:b/>
          <w:color w:val="000000"/>
          <w:sz w:val="20"/>
          <w:szCs w:val="20"/>
        </w:rPr>
        <w:t>Table 6.</w:t>
      </w:r>
      <w:r>
        <w:rPr>
          <w:rFonts w:ascii="Arial" w:eastAsia="Arial" w:hAnsi="Arial" w:cs="Arial"/>
          <w:color w:val="000000"/>
          <w:sz w:val="20"/>
          <w:szCs w:val="20"/>
        </w:rPr>
        <w:t xml:space="preserve"> </w:t>
      </w:r>
      <w:r>
        <w:rPr>
          <w:rFonts w:ascii="Arial" w:eastAsia="Arial" w:hAnsi="Arial" w:cs="Arial"/>
          <w:sz w:val="20"/>
          <w:szCs w:val="20"/>
        </w:rPr>
        <w:t>Demographic profile of respondents in terms of source of income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55"/>
        <w:gridCol w:w="1912"/>
        <w:gridCol w:w="2141"/>
      </w:tblGrid>
      <w:tr w:rsidR="00587694" w14:paraId="2BA68595" w14:textId="77777777">
        <w:trPr>
          <w:trHeight w:val="208"/>
        </w:trPr>
        <w:tc>
          <w:tcPr>
            <w:tcW w:w="2531" w:type="pct"/>
            <w:shd w:val="clear" w:color="auto" w:fill="auto"/>
            <w:vAlign w:val="bottom"/>
          </w:tcPr>
          <w:p w14:paraId="718DEB3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Source of Income</w:t>
            </w:r>
          </w:p>
        </w:tc>
        <w:tc>
          <w:tcPr>
            <w:tcW w:w="1165" w:type="pct"/>
            <w:shd w:val="clear" w:color="auto" w:fill="auto"/>
            <w:vAlign w:val="bottom"/>
          </w:tcPr>
          <w:p w14:paraId="6C85010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304" w:type="pct"/>
            <w:shd w:val="clear" w:color="auto" w:fill="auto"/>
            <w:vAlign w:val="bottom"/>
          </w:tcPr>
          <w:p w14:paraId="4585735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4C1B6A39" w14:textId="77777777">
        <w:trPr>
          <w:trHeight w:val="171"/>
        </w:trPr>
        <w:tc>
          <w:tcPr>
            <w:tcW w:w="2531" w:type="pct"/>
            <w:shd w:val="clear" w:color="auto" w:fill="auto"/>
          </w:tcPr>
          <w:p w14:paraId="2E5F68B7"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Self-Employed</w:t>
            </w:r>
          </w:p>
        </w:tc>
        <w:tc>
          <w:tcPr>
            <w:tcW w:w="1165" w:type="pct"/>
            <w:shd w:val="clear" w:color="auto" w:fill="auto"/>
            <w:noWrap/>
            <w:vAlign w:val="center"/>
          </w:tcPr>
          <w:p w14:paraId="1D41082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152</w:t>
            </w:r>
          </w:p>
        </w:tc>
        <w:tc>
          <w:tcPr>
            <w:tcW w:w="1304" w:type="pct"/>
            <w:shd w:val="clear" w:color="auto" w:fill="auto"/>
            <w:noWrap/>
            <w:vAlign w:val="center"/>
          </w:tcPr>
          <w:p w14:paraId="62E37C1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83.06</w:t>
            </w:r>
          </w:p>
        </w:tc>
      </w:tr>
      <w:tr w:rsidR="00587694" w14:paraId="3EC48197" w14:textId="77777777">
        <w:trPr>
          <w:trHeight w:val="160"/>
        </w:trPr>
        <w:tc>
          <w:tcPr>
            <w:tcW w:w="2531" w:type="pct"/>
            <w:shd w:val="clear" w:color="auto" w:fill="auto"/>
          </w:tcPr>
          <w:p w14:paraId="52C6E29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Government Employee</w:t>
            </w:r>
          </w:p>
        </w:tc>
        <w:tc>
          <w:tcPr>
            <w:tcW w:w="1165" w:type="pct"/>
            <w:shd w:val="clear" w:color="auto" w:fill="auto"/>
            <w:noWrap/>
            <w:vAlign w:val="center"/>
          </w:tcPr>
          <w:p w14:paraId="32EF016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11</w:t>
            </w:r>
          </w:p>
        </w:tc>
        <w:tc>
          <w:tcPr>
            <w:tcW w:w="1304" w:type="pct"/>
            <w:shd w:val="clear" w:color="auto" w:fill="auto"/>
            <w:noWrap/>
            <w:vAlign w:val="center"/>
          </w:tcPr>
          <w:p w14:paraId="1615009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6.01</w:t>
            </w:r>
          </w:p>
        </w:tc>
      </w:tr>
      <w:tr w:rsidR="00587694" w14:paraId="2D277DF8" w14:textId="77777777">
        <w:trPr>
          <w:trHeight w:val="265"/>
        </w:trPr>
        <w:tc>
          <w:tcPr>
            <w:tcW w:w="2531" w:type="pct"/>
            <w:shd w:val="clear" w:color="auto" w:fill="auto"/>
          </w:tcPr>
          <w:p w14:paraId="13AC4471"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Private Job</w:t>
            </w:r>
          </w:p>
        </w:tc>
        <w:tc>
          <w:tcPr>
            <w:tcW w:w="1165" w:type="pct"/>
            <w:shd w:val="clear" w:color="auto" w:fill="auto"/>
            <w:noWrap/>
            <w:vAlign w:val="center"/>
          </w:tcPr>
          <w:p w14:paraId="52CA5A9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20</w:t>
            </w:r>
          </w:p>
        </w:tc>
        <w:tc>
          <w:tcPr>
            <w:tcW w:w="1304" w:type="pct"/>
            <w:shd w:val="clear" w:color="auto" w:fill="auto"/>
            <w:noWrap/>
            <w:vAlign w:val="center"/>
          </w:tcPr>
          <w:p w14:paraId="380183B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10.93</w:t>
            </w:r>
          </w:p>
        </w:tc>
      </w:tr>
      <w:tr w:rsidR="00587694" w14:paraId="2666B3C6" w14:textId="77777777">
        <w:trPr>
          <w:trHeight w:val="98"/>
        </w:trPr>
        <w:tc>
          <w:tcPr>
            <w:tcW w:w="2531" w:type="pct"/>
            <w:shd w:val="clear" w:color="auto" w:fill="auto"/>
          </w:tcPr>
          <w:p w14:paraId="5F184F2F"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Total</w:t>
            </w:r>
          </w:p>
        </w:tc>
        <w:tc>
          <w:tcPr>
            <w:tcW w:w="1165" w:type="pct"/>
            <w:shd w:val="clear" w:color="auto" w:fill="auto"/>
            <w:noWrap/>
            <w:vAlign w:val="center"/>
          </w:tcPr>
          <w:p w14:paraId="42A2B1D7"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304" w:type="pct"/>
            <w:shd w:val="clear" w:color="auto" w:fill="auto"/>
            <w:noWrap/>
            <w:vAlign w:val="center"/>
          </w:tcPr>
          <w:p w14:paraId="768D50EE"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4D0B6967"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Table 6 shows that 83.06% of respondents are self-employed, indicating it as the main income source in </w:t>
      </w:r>
      <w:proofErr w:type="spellStart"/>
      <w:r>
        <w:rPr>
          <w:rFonts w:ascii="Arial" w:eastAsia="Arial" w:hAnsi="Arial" w:cs="Arial"/>
          <w:sz w:val="20"/>
          <w:szCs w:val="20"/>
        </w:rPr>
        <w:t>Cateel</w:t>
      </w:r>
      <w:proofErr w:type="spellEnd"/>
      <w:r>
        <w:rPr>
          <w:rFonts w:ascii="Arial" w:eastAsia="Arial" w:hAnsi="Arial" w:cs="Arial"/>
          <w:sz w:val="20"/>
          <w:szCs w:val="20"/>
        </w:rPr>
        <w:t>. This reflects rural trends where limited formal jobs lead to microenterprise reliance (</w:t>
      </w:r>
      <w:proofErr w:type="spellStart"/>
      <w:r>
        <w:rPr>
          <w:rFonts w:ascii="Arial" w:eastAsia="Arial" w:hAnsi="Arial" w:cs="Arial"/>
          <w:sz w:val="20"/>
          <w:szCs w:val="20"/>
        </w:rPr>
        <w:t>Adom</w:t>
      </w:r>
      <w:proofErr w:type="spellEnd"/>
      <w:r>
        <w:rPr>
          <w:rFonts w:ascii="Arial" w:eastAsia="Arial" w:hAnsi="Arial" w:cs="Arial"/>
          <w:sz w:val="20"/>
          <w:szCs w:val="20"/>
        </w:rPr>
        <w:t xml:space="preserve"> &amp; </w:t>
      </w:r>
      <w:proofErr w:type="spellStart"/>
      <w:r>
        <w:rPr>
          <w:rFonts w:ascii="Arial" w:eastAsia="Arial" w:hAnsi="Arial" w:cs="Arial"/>
          <w:sz w:val="20"/>
          <w:szCs w:val="20"/>
        </w:rPr>
        <w:t>Asare-Yeboa</w:t>
      </w:r>
      <w:proofErr w:type="spellEnd"/>
      <w:r>
        <w:rPr>
          <w:rFonts w:ascii="Arial" w:eastAsia="Arial" w:hAnsi="Arial" w:cs="Arial"/>
          <w:sz w:val="20"/>
          <w:szCs w:val="20"/>
        </w:rPr>
        <w:t xml:space="preserve">, 2016; ILO, 2020). Self-employed individuals often use financial services like savings and loans (Beck &amp; </w:t>
      </w:r>
      <w:proofErr w:type="spellStart"/>
      <w:r>
        <w:rPr>
          <w:rFonts w:ascii="Arial" w:eastAsia="Arial" w:hAnsi="Arial" w:cs="Arial"/>
          <w:sz w:val="20"/>
          <w:szCs w:val="20"/>
        </w:rPr>
        <w:t>Demirgüç-Kunt</w:t>
      </w:r>
      <w:proofErr w:type="spellEnd"/>
      <w:r>
        <w:rPr>
          <w:rFonts w:ascii="Arial" w:eastAsia="Arial" w:hAnsi="Arial" w:cs="Arial"/>
          <w:sz w:val="20"/>
          <w:szCs w:val="20"/>
        </w:rPr>
        <w:t xml:space="preserve">, 2008), with microfinance supporting their needs (Ledgerwood et al., 2013). Occupation shapes financial </w:t>
      </w:r>
      <w:proofErr w:type="spellStart"/>
      <w:r>
        <w:rPr>
          <w:rFonts w:ascii="Arial" w:eastAsia="Arial" w:hAnsi="Arial" w:cs="Arial"/>
          <w:sz w:val="20"/>
          <w:szCs w:val="20"/>
        </w:rPr>
        <w:t>behavior</w:t>
      </w:r>
      <w:proofErr w:type="spellEnd"/>
      <w:r>
        <w:rPr>
          <w:rFonts w:ascii="Arial" w:eastAsia="Arial" w:hAnsi="Arial" w:cs="Arial"/>
          <w:sz w:val="20"/>
          <w:szCs w:val="20"/>
        </w:rPr>
        <w:t xml:space="preserve"> (R. &amp; George</w:t>
      </w:r>
      <w:r>
        <w:rPr>
          <w:rFonts w:ascii="Arial" w:eastAsia="Arial" w:hAnsi="Arial" w:cs="Arial"/>
          <w:sz w:val="20"/>
          <w:szCs w:val="20"/>
        </w:rPr>
        <w:t>, 2022), though trends vary by region (Kumar, 2019). These insights stress the need for tailored financial literacy and consumer protection efforts for the self-employed.</w:t>
      </w:r>
    </w:p>
    <w:p w14:paraId="49D77048" w14:textId="77777777" w:rsidR="00587694" w:rsidRDefault="00416116">
      <w:pPr>
        <w:spacing w:after="0" w:line="240" w:lineRule="auto"/>
        <w:rPr>
          <w:rFonts w:ascii="Arial" w:eastAsia="Arial" w:hAnsi="Arial" w:cs="Arial"/>
          <w:sz w:val="20"/>
          <w:szCs w:val="20"/>
        </w:rPr>
      </w:pPr>
      <w:r>
        <w:rPr>
          <w:rFonts w:ascii="Arial" w:eastAsia="Arial" w:hAnsi="Arial" w:cs="Arial"/>
          <w:b/>
          <w:sz w:val="20"/>
          <w:szCs w:val="20"/>
        </w:rPr>
        <w:t>Table 7.</w:t>
      </w:r>
      <w:r>
        <w:rPr>
          <w:rFonts w:ascii="Arial" w:eastAsia="Arial" w:hAnsi="Arial" w:cs="Arial"/>
          <w:sz w:val="20"/>
          <w:szCs w:val="20"/>
        </w:rPr>
        <w:t xml:space="preserve"> Demographic profile of respondents in terms of monthly income from customers</w:t>
      </w:r>
      <w:r>
        <w:rPr>
          <w:rFonts w:ascii="Arial" w:eastAsia="Arial" w:hAnsi="Arial" w:cs="Arial"/>
          <w:sz w:val="20"/>
          <w:szCs w:val="20"/>
        </w:rPr>
        <w:t xml:space="preserve"> of financial institutions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55"/>
        <w:gridCol w:w="1912"/>
        <w:gridCol w:w="2141"/>
      </w:tblGrid>
      <w:tr w:rsidR="00587694" w14:paraId="62C8978B" w14:textId="77777777">
        <w:trPr>
          <w:trHeight w:val="300"/>
        </w:trPr>
        <w:tc>
          <w:tcPr>
            <w:tcW w:w="2531" w:type="pct"/>
            <w:shd w:val="clear" w:color="auto" w:fill="auto"/>
            <w:vAlign w:val="bottom"/>
          </w:tcPr>
          <w:p w14:paraId="68FB482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Monthly Income Bracket</w:t>
            </w:r>
          </w:p>
        </w:tc>
        <w:tc>
          <w:tcPr>
            <w:tcW w:w="1165" w:type="pct"/>
            <w:shd w:val="clear" w:color="auto" w:fill="auto"/>
            <w:vAlign w:val="bottom"/>
          </w:tcPr>
          <w:p w14:paraId="0B0C03B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Frequency</w:t>
            </w:r>
          </w:p>
        </w:tc>
        <w:tc>
          <w:tcPr>
            <w:tcW w:w="1304" w:type="pct"/>
            <w:shd w:val="clear" w:color="auto" w:fill="auto"/>
            <w:vAlign w:val="bottom"/>
          </w:tcPr>
          <w:p w14:paraId="66F8685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Percent</w:t>
            </w:r>
          </w:p>
        </w:tc>
      </w:tr>
      <w:tr w:rsidR="00587694" w14:paraId="084D087A" w14:textId="77777777">
        <w:trPr>
          <w:trHeight w:val="300"/>
        </w:trPr>
        <w:tc>
          <w:tcPr>
            <w:tcW w:w="2531" w:type="pct"/>
            <w:shd w:val="clear" w:color="auto" w:fill="auto"/>
          </w:tcPr>
          <w:p w14:paraId="446A8E95"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Php 10,000 and below</w:t>
            </w:r>
          </w:p>
        </w:tc>
        <w:tc>
          <w:tcPr>
            <w:tcW w:w="1165" w:type="pct"/>
            <w:shd w:val="clear" w:color="auto" w:fill="auto"/>
            <w:noWrap/>
            <w:vAlign w:val="center"/>
          </w:tcPr>
          <w:p w14:paraId="46ECB0D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70</w:t>
            </w:r>
          </w:p>
        </w:tc>
        <w:tc>
          <w:tcPr>
            <w:tcW w:w="1304" w:type="pct"/>
            <w:shd w:val="clear" w:color="auto" w:fill="auto"/>
            <w:noWrap/>
            <w:vAlign w:val="center"/>
          </w:tcPr>
          <w:p w14:paraId="0149D3B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38.25</w:t>
            </w:r>
          </w:p>
        </w:tc>
      </w:tr>
      <w:tr w:rsidR="00587694" w14:paraId="6D90C268" w14:textId="77777777">
        <w:trPr>
          <w:trHeight w:val="300"/>
        </w:trPr>
        <w:tc>
          <w:tcPr>
            <w:tcW w:w="2531" w:type="pct"/>
            <w:shd w:val="clear" w:color="auto" w:fill="auto"/>
          </w:tcPr>
          <w:p w14:paraId="0E4AEBB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Php 10,001 to Php 20,000</w:t>
            </w:r>
          </w:p>
        </w:tc>
        <w:tc>
          <w:tcPr>
            <w:tcW w:w="1165" w:type="pct"/>
            <w:shd w:val="clear" w:color="auto" w:fill="auto"/>
            <w:noWrap/>
            <w:vAlign w:val="center"/>
          </w:tcPr>
          <w:p w14:paraId="6B42989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26</w:t>
            </w:r>
          </w:p>
        </w:tc>
        <w:tc>
          <w:tcPr>
            <w:tcW w:w="1304" w:type="pct"/>
            <w:shd w:val="clear" w:color="auto" w:fill="auto"/>
            <w:noWrap/>
            <w:vAlign w:val="center"/>
          </w:tcPr>
          <w:p w14:paraId="74E4189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14.21</w:t>
            </w:r>
          </w:p>
        </w:tc>
      </w:tr>
      <w:tr w:rsidR="00587694" w14:paraId="11539FD9" w14:textId="77777777">
        <w:trPr>
          <w:trHeight w:val="300"/>
        </w:trPr>
        <w:tc>
          <w:tcPr>
            <w:tcW w:w="2531" w:type="pct"/>
            <w:shd w:val="clear" w:color="auto" w:fill="auto"/>
          </w:tcPr>
          <w:p w14:paraId="657EF05D"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Php 20,001 to Php 30,000</w:t>
            </w:r>
          </w:p>
        </w:tc>
        <w:tc>
          <w:tcPr>
            <w:tcW w:w="1165" w:type="pct"/>
            <w:shd w:val="clear" w:color="auto" w:fill="auto"/>
            <w:noWrap/>
            <w:vAlign w:val="center"/>
          </w:tcPr>
          <w:p w14:paraId="51D7FED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20</w:t>
            </w:r>
          </w:p>
        </w:tc>
        <w:tc>
          <w:tcPr>
            <w:tcW w:w="1304" w:type="pct"/>
            <w:shd w:val="clear" w:color="auto" w:fill="auto"/>
            <w:noWrap/>
            <w:vAlign w:val="center"/>
          </w:tcPr>
          <w:p w14:paraId="665977B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10.93</w:t>
            </w:r>
          </w:p>
        </w:tc>
      </w:tr>
      <w:tr w:rsidR="00587694" w14:paraId="7C88F3AE" w14:textId="77777777">
        <w:trPr>
          <w:trHeight w:val="300"/>
        </w:trPr>
        <w:tc>
          <w:tcPr>
            <w:tcW w:w="2531" w:type="pct"/>
            <w:shd w:val="clear" w:color="auto" w:fill="auto"/>
          </w:tcPr>
          <w:p w14:paraId="502809E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Php 30,001 to Php 40,000</w:t>
            </w:r>
          </w:p>
        </w:tc>
        <w:tc>
          <w:tcPr>
            <w:tcW w:w="1165" w:type="pct"/>
            <w:shd w:val="clear" w:color="auto" w:fill="auto"/>
            <w:noWrap/>
            <w:vAlign w:val="center"/>
          </w:tcPr>
          <w:p w14:paraId="2B115E2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23</w:t>
            </w:r>
          </w:p>
        </w:tc>
        <w:tc>
          <w:tcPr>
            <w:tcW w:w="1304" w:type="pct"/>
            <w:shd w:val="clear" w:color="auto" w:fill="auto"/>
            <w:noWrap/>
            <w:vAlign w:val="center"/>
          </w:tcPr>
          <w:p w14:paraId="5455D99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12.57</w:t>
            </w:r>
          </w:p>
        </w:tc>
      </w:tr>
      <w:tr w:rsidR="00587694" w14:paraId="1BC2B7D3" w14:textId="77777777">
        <w:trPr>
          <w:trHeight w:val="300"/>
        </w:trPr>
        <w:tc>
          <w:tcPr>
            <w:tcW w:w="2531" w:type="pct"/>
            <w:shd w:val="clear" w:color="auto" w:fill="auto"/>
          </w:tcPr>
          <w:p w14:paraId="2CF95026"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Php 40,001 and above</w:t>
            </w:r>
          </w:p>
        </w:tc>
        <w:tc>
          <w:tcPr>
            <w:tcW w:w="1165" w:type="pct"/>
            <w:shd w:val="clear" w:color="auto" w:fill="auto"/>
            <w:noWrap/>
            <w:vAlign w:val="center"/>
          </w:tcPr>
          <w:p w14:paraId="7384980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w:t>
            </w:r>
          </w:p>
        </w:tc>
        <w:tc>
          <w:tcPr>
            <w:tcW w:w="1304" w:type="pct"/>
            <w:shd w:val="clear" w:color="auto" w:fill="auto"/>
            <w:noWrap/>
            <w:vAlign w:val="center"/>
          </w:tcPr>
          <w:p w14:paraId="40C9E0D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24.04</w:t>
            </w:r>
          </w:p>
        </w:tc>
      </w:tr>
      <w:tr w:rsidR="00587694" w14:paraId="0452F2B0" w14:textId="77777777">
        <w:trPr>
          <w:trHeight w:val="300"/>
        </w:trPr>
        <w:tc>
          <w:tcPr>
            <w:tcW w:w="2531" w:type="pct"/>
            <w:shd w:val="clear" w:color="auto" w:fill="auto"/>
          </w:tcPr>
          <w:p w14:paraId="1812E3D6"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lastRenderedPageBreak/>
              <w:t>Total</w:t>
            </w:r>
          </w:p>
        </w:tc>
        <w:tc>
          <w:tcPr>
            <w:tcW w:w="1165" w:type="pct"/>
            <w:shd w:val="clear" w:color="auto" w:fill="auto"/>
            <w:noWrap/>
            <w:vAlign w:val="center"/>
          </w:tcPr>
          <w:p w14:paraId="27BB357A"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183</w:t>
            </w:r>
          </w:p>
        </w:tc>
        <w:tc>
          <w:tcPr>
            <w:tcW w:w="1304" w:type="pct"/>
            <w:shd w:val="clear" w:color="auto" w:fill="auto"/>
            <w:noWrap/>
            <w:vAlign w:val="center"/>
          </w:tcPr>
          <w:p w14:paraId="53FF4DA7"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100.00</w:t>
            </w:r>
          </w:p>
        </w:tc>
      </w:tr>
    </w:tbl>
    <w:p w14:paraId="7D34F671" w14:textId="77777777" w:rsidR="00587694" w:rsidRDefault="00416116">
      <w:pPr>
        <w:spacing w:before="240" w:line="240" w:lineRule="auto"/>
        <w:jc w:val="both"/>
        <w:rPr>
          <w:rFonts w:ascii="Arial" w:eastAsia="Arial" w:hAnsi="Arial" w:cs="Arial"/>
          <w:sz w:val="20"/>
          <w:szCs w:val="20"/>
        </w:rPr>
      </w:pPr>
      <w:r>
        <w:rPr>
          <w:rFonts w:ascii="Arial" w:eastAsia="Arial" w:hAnsi="Arial" w:cs="Arial"/>
          <w:sz w:val="20"/>
          <w:szCs w:val="20"/>
        </w:rPr>
        <w:t xml:space="preserve">          Table 7 shows that 38.25% of respondents earn Php 10,000 or less, indicating that most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low- to middle-income earners. This reflects the rural, entrepreneurial economy. These income patterns call for flexible </w:t>
      </w:r>
      <w:r>
        <w:rPr>
          <w:rFonts w:ascii="Arial" w:eastAsia="Arial" w:hAnsi="Arial" w:cs="Arial"/>
          <w:sz w:val="20"/>
          <w:szCs w:val="20"/>
        </w:rPr>
        <w:t xml:space="preserve">services like microloans for lower earners and investment options for higher earners. Income shapes financial </w:t>
      </w:r>
      <w:proofErr w:type="spellStart"/>
      <w:r>
        <w:rPr>
          <w:rFonts w:ascii="Arial" w:eastAsia="Arial" w:hAnsi="Arial" w:cs="Arial"/>
          <w:sz w:val="20"/>
          <w:szCs w:val="20"/>
        </w:rPr>
        <w:t>behavior</w:t>
      </w:r>
      <w:proofErr w:type="spellEnd"/>
      <w:r>
        <w:rPr>
          <w:rFonts w:ascii="Arial" w:eastAsia="Arial" w:hAnsi="Arial" w:cs="Arial"/>
          <w:sz w:val="20"/>
          <w:szCs w:val="20"/>
        </w:rPr>
        <w:t>—Gautam and Matta (2016) and George (2022) linked it to financial proactivity, while Prasad and Lakshmi (2020) stressed the need for educa</w:t>
      </w:r>
      <w:r>
        <w:rPr>
          <w:rFonts w:ascii="Arial" w:eastAsia="Arial" w:hAnsi="Arial" w:cs="Arial"/>
          <w:sz w:val="20"/>
          <w:szCs w:val="20"/>
        </w:rPr>
        <w:t>tion among low-income clients.</w:t>
      </w:r>
    </w:p>
    <w:p w14:paraId="73DF4934" w14:textId="77777777" w:rsidR="00587694" w:rsidRDefault="00416116">
      <w:pPr>
        <w:spacing w:before="240" w:line="240" w:lineRule="auto"/>
        <w:ind w:left="20"/>
        <w:rPr>
          <w:rFonts w:ascii="Arial" w:eastAsia="Arial" w:hAnsi="Arial" w:cs="Arial"/>
          <w:b/>
          <w:sz w:val="20"/>
          <w:szCs w:val="20"/>
        </w:rPr>
      </w:pPr>
      <w:r>
        <w:rPr>
          <w:rFonts w:ascii="Arial" w:eastAsia="Arial" w:hAnsi="Arial" w:cs="Arial"/>
          <w:b/>
          <w:sz w:val="20"/>
          <w:szCs w:val="20"/>
        </w:rPr>
        <w:t xml:space="preserve">4.2 Level of Service Quality Provided by Financial Institutions in </w:t>
      </w:r>
      <w:proofErr w:type="spellStart"/>
      <w:r>
        <w:rPr>
          <w:rFonts w:ascii="Arial" w:eastAsia="Arial" w:hAnsi="Arial" w:cs="Arial"/>
          <w:b/>
          <w:sz w:val="20"/>
          <w:szCs w:val="20"/>
        </w:rPr>
        <w:t>Cateel</w:t>
      </w:r>
      <w:proofErr w:type="spellEnd"/>
      <w:r>
        <w:rPr>
          <w:rFonts w:ascii="Arial" w:eastAsia="Arial" w:hAnsi="Arial" w:cs="Arial"/>
          <w:b/>
          <w:sz w:val="20"/>
          <w:szCs w:val="20"/>
        </w:rPr>
        <w:t xml:space="preserve"> </w:t>
      </w:r>
    </w:p>
    <w:p w14:paraId="58084F58" w14:textId="77777777" w:rsidR="00587694" w:rsidRDefault="00416116">
      <w:pPr>
        <w:spacing w:before="240" w:line="240" w:lineRule="auto"/>
        <w:ind w:left="20"/>
        <w:jc w:val="both"/>
        <w:rPr>
          <w:rFonts w:ascii="Arial" w:eastAsia="Arial" w:hAnsi="Arial" w:cs="Arial"/>
          <w:sz w:val="20"/>
          <w:szCs w:val="20"/>
        </w:rPr>
      </w:pPr>
      <w:r>
        <w:rPr>
          <w:rFonts w:ascii="Arial" w:eastAsia="Arial" w:hAnsi="Arial" w:cs="Arial"/>
          <w:sz w:val="20"/>
          <w:szCs w:val="20"/>
        </w:rPr>
        <w:t xml:space="preserve">        Table 8 shows that respondents rated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highly for responsiveness, with top scores for being attentive to needs (4.52), responding promptly (4.48), and willingness to help (4.42). Even the lowest-rated item scored 4.23, resulting in an overall mean of 4.41, indicating strong agreement on servic</w:t>
      </w:r>
      <w:r>
        <w:rPr>
          <w:rFonts w:ascii="Arial" w:eastAsia="Arial" w:hAnsi="Arial" w:cs="Arial"/>
          <w:sz w:val="20"/>
          <w:szCs w:val="20"/>
        </w:rPr>
        <w:t>e responsiveness.</w:t>
      </w:r>
    </w:p>
    <w:p w14:paraId="51D8BBC2"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 xml:space="preserve">Table </w:t>
      </w:r>
      <w:r>
        <w:rPr>
          <w:rFonts w:ascii="Arial" w:eastAsia="Arial" w:hAnsi="Arial" w:cs="Arial"/>
          <w:b/>
          <w:sz w:val="20"/>
          <w:szCs w:val="20"/>
        </w:rPr>
        <w:t>8</w:t>
      </w:r>
      <w:r>
        <w:rPr>
          <w:rFonts w:ascii="Arial" w:eastAsia="Arial" w:hAnsi="Arial" w:cs="Arial"/>
          <w:b/>
          <w:color w:val="000000"/>
          <w:sz w:val="20"/>
          <w:szCs w:val="20"/>
        </w:rPr>
        <w:t>.</w:t>
      </w:r>
      <w:r>
        <w:rPr>
          <w:rFonts w:ascii="Arial" w:eastAsia="Arial" w:hAnsi="Arial" w:cs="Arial"/>
          <w:sz w:val="20"/>
          <w:szCs w:val="20"/>
        </w:rPr>
        <w:t xml:space="preserve"> Level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in terms of responsiveness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520"/>
        <w:gridCol w:w="901"/>
        <w:gridCol w:w="1131"/>
        <w:gridCol w:w="1656"/>
      </w:tblGrid>
      <w:tr w:rsidR="00587694" w14:paraId="3F3A741F" w14:textId="77777777">
        <w:trPr>
          <w:trHeight w:val="387"/>
        </w:trPr>
        <w:tc>
          <w:tcPr>
            <w:tcW w:w="2752" w:type="pct"/>
            <w:shd w:val="clear" w:color="auto" w:fill="auto"/>
            <w:vAlign w:val="center"/>
          </w:tcPr>
          <w:p w14:paraId="02A7E4B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549" w:type="pct"/>
            <w:shd w:val="clear" w:color="auto" w:fill="auto"/>
            <w:vAlign w:val="center"/>
          </w:tcPr>
          <w:p w14:paraId="7DFCD3E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689" w:type="pct"/>
            <w:shd w:val="clear" w:color="auto" w:fill="auto"/>
            <w:vAlign w:val="center"/>
          </w:tcPr>
          <w:p w14:paraId="675B40C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009" w:type="pct"/>
            <w:shd w:val="clear" w:color="auto" w:fill="auto"/>
            <w:noWrap/>
            <w:vAlign w:val="center"/>
          </w:tcPr>
          <w:p w14:paraId="32D20C9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2DD18A3A" w14:textId="77777777">
        <w:trPr>
          <w:trHeight w:val="300"/>
        </w:trPr>
        <w:tc>
          <w:tcPr>
            <w:tcW w:w="2752" w:type="pct"/>
            <w:shd w:val="clear" w:color="auto" w:fill="auto"/>
          </w:tcPr>
          <w:p w14:paraId="40858C9F"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The employees provide punctual service and handle requests promptly in the bank.</w:t>
            </w:r>
          </w:p>
        </w:tc>
        <w:tc>
          <w:tcPr>
            <w:tcW w:w="549" w:type="pct"/>
            <w:shd w:val="clear" w:color="auto" w:fill="auto"/>
            <w:noWrap/>
            <w:vAlign w:val="bottom"/>
          </w:tcPr>
          <w:p w14:paraId="5E7094E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4.39</w:t>
            </w:r>
          </w:p>
        </w:tc>
        <w:tc>
          <w:tcPr>
            <w:tcW w:w="689" w:type="pct"/>
            <w:shd w:val="clear" w:color="auto" w:fill="auto"/>
            <w:noWrap/>
            <w:vAlign w:val="bottom"/>
          </w:tcPr>
          <w:p w14:paraId="200DB71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0.80</w:t>
            </w:r>
          </w:p>
        </w:tc>
        <w:tc>
          <w:tcPr>
            <w:tcW w:w="1009" w:type="pct"/>
            <w:shd w:val="clear" w:color="auto" w:fill="auto"/>
            <w:noWrap/>
            <w:vAlign w:val="bottom"/>
          </w:tcPr>
          <w:p w14:paraId="4935BE4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2240C9C0" w14:textId="77777777">
        <w:trPr>
          <w:trHeight w:val="361"/>
        </w:trPr>
        <w:tc>
          <w:tcPr>
            <w:tcW w:w="2752" w:type="pct"/>
            <w:shd w:val="clear" w:color="auto" w:fill="auto"/>
          </w:tcPr>
          <w:p w14:paraId="5AB0A424"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The bank's employees are helpful and willing to assist and guide.</w:t>
            </w:r>
          </w:p>
        </w:tc>
        <w:tc>
          <w:tcPr>
            <w:tcW w:w="549" w:type="pct"/>
            <w:shd w:val="clear" w:color="auto" w:fill="auto"/>
            <w:noWrap/>
            <w:vAlign w:val="bottom"/>
          </w:tcPr>
          <w:p w14:paraId="4595E77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4.46</w:t>
            </w:r>
          </w:p>
        </w:tc>
        <w:tc>
          <w:tcPr>
            <w:tcW w:w="689" w:type="pct"/>
            <w:shd w:val="clear" w:color="auto" w:fill="auto"/>
            <w:noWrap/>
            <w:vAlign w:val="bottom"/>
          </w:tcPr>
          <w:p w14:paraId="22DCEF9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0.75</w:t>
            </w:r>
          </w:p>
        </w:tc>
        <w:tc>
          <w:tcPr>
            <w:tcW w:w="1009" w:type="pct"/>
            <w:shd w:val="clear" w:color="auto" w:fill="auto"/>
            <w:noWrap/>
            <w:vAlign w:val="bottom"/>
          </w:tcPr>
          <w:p w14:paraId="10E0FC6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775BA6D2" w14:textId="77777777">
        <w:trPr>
          <w:trHeight w:val="300"/>
        </w:trPr>
        <w:tc>
          <w:tcPr>
            <w:tcW w:w="2752" w:type="pct"/>
            <w:shd w:val="clear" w:color="auto" w:fill="auto"/>
          </w:tcPr>
          <w:p w14:paraId="2A8890A9"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The bank's employees efficiently handle queries via telephone.</w:t>
            </w:r>
          </w:p>
        </w:tc>
        <w:tc>
          <w:tcPr>
            <w:tcW w:w="549" w:type="pct"/>
            <w:shd w:val="clear" w:color="auto" w:fill="auto"/>
            <w:noWrap/>
            <w:vAlign w:val="bottom"/>
          </w:tcPr>
          <w:p w14:paraId="542268E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4.30</w:t>
            </w:r>
          </w:p>
        </w:tc>
        <w:tc>
          <w:tcPr>
            <w:tcW w:w="689" w:type="pct"/>
            <w:shd w:val="clear" w:color="auto" w:fill="auto"/>
            <w:noWrap/>
            <w:vAlign w:val="bottom"/>
          </w:tcPr>
          <w:p w14:paraId="47203B8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0.80</w:t>
            </w:r>
          </w:p>
        </w:tc>
        <w:tc>
          <w:tcPr>
            <w:tcW w:w="1009" w:type="pct"/>
            <w:shd w:val="clear" w:color="auto" w:fill="auto"/>
            <w:noWrap/>
            <w:vAlign w:val="bottom"/>
          </w:tcPr>
          <w:p w14:paraId="3A98149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74EAE405" w14:textId="77777777">
        <w:trPr>
          <w:trHeight w:val="300"/>
        </w:trPr>
        <w:tc>
          <w:tcPr>
            <w:tcW w:w="2752" w:type="pct"/>
            <w:shd w:val="clear" w:color="auto" w:fill="auto"/>
          </w:tcPr>
          <w:p w14:paraId="121BB3B0"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 xml:space="preserve">The employees provide fast and effective service at the </w:t>
            </w:r>
            <w:r>
              <w:rPr>
                <w:rFonts w:ascii="Arial" w:hAnsi="Arial" w:cs="Arial"/>
                <w:color w:val="000000"/>
                <w:sz w:val="20"/>
                <w:szCs w:val="20"/>
                <w:shd w:val="clear" w:color="auto" w:fill="FFFFFF"/>
                <w:lang w:val="en-PH"/>
              </w:rPr>
              <w:t>bank's counters.</w:t>
            </w:r>
          </w:p>
        </w:tc>
        <w:tc>
          <w:tcPr>
            <w:tcW w:w="549" w:type="pct"/>
            <w:shd w:val="clear" w:color="auto" w:fill="auto"/>
            <w:noWrap/>
            <w:vAlign w:val="bottom"/>
          </w:tcPr>
          <w:p w14:paraId="4BC921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4.41</w:t>
            </w:r>
          </w:p>
        </w:tc>
        <w:tc>
          <w:tcPr>
            <w:tcW w:w="689" w:type="pct"/>
            <w:shd w:val="clear" w:color="auto" w:fill="auto"/>
            <w:noWrap/>
            <w:vAlign w:val="bottom"/>
          </w:tcPr>
          <w:p w14:paraId="7E26993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0.77</w:t>
            </w:r>
          </w:p>
        </w:tc>
        <w:tc>
          <w:tcPr>
            <w:tcW w:w="1009" w:type="pct"/>
            <w:shd w:val="clear" w:color="auto" w:fill="auto"/>
            <w:noWrap/>
            <w:vAlign w:val="bottom"/>
          </w:tcPr>
          <w:p w14:paraId="29D1E92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Very High</w:t>
            </w:r>
          </w:p>
        </w:tc>
      </w:tr>
      <w:tr w:rsidR="00587694" w14:paraId="059E41AC" w14:textId="77777777">
        <w:trPr>
          <w:trHeight w:val="300"/>
        </w:trPr>
        <w:tc>
          <w:tcPr>
            <w:tcW w:w="2752" w:type="pct"/>
            <w:shd w:val="clear" w:color="auto" w:fill="auto"/>
          </w:tcPr>
          <w:p w14:paraId="723A8601"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The bank staff are highly responsive to customer needs, requirements, and queries.</w:t>
            </w:r>
          </w:p>
        </w:tc>
        <w:tc>
          <w:tcPr>
            <w:tcW w:w="549" w:type="pct"/>
            <w:shd w:val="clear" w:color="auto" w:fill="auto"/>
            <w:noWrap/>
            <w:vAlign w:val="bottom"/>
          </w:tcPr>
          <w:p w14:paraId="4A33CDA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4.52</w:t>
            </w:r>
          </w:p>
        </w:tc>
        <w:tc>
          <w:tcPr>
            <w:tcW w:w="689" w:type="pct"/>
            <w:shd w:val="clear" w:color="auto" w:fill="auto"/>
            <w:noWrap/>
            <w:vAlign w:val="bottom"/>
          </w:tcPr>
          <w:p w14:paraId="40661C5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0.74</w:t>
            </w:r>
          </w:p>
        </w:tc>
        <w:tc>
          <w:tcPr>
            <w:tcW w:w="1009" w:type="pct"/>
            <w:shd w:val="clear" w:color="auto" w:fill="auto"/>
            <w:noWrap/>
            <w:vAlign w:val="bottom"/>
          </w:tcPr>
          <w:p w14:paraId="285951A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Very High</w:t>
            </w:r>
          </w:p>
        </w:tc>
      </w:tr>
      <w:tr w:rsidR="00587694" w14:paraId="5319A2E1" w14:textId="77777777">
        <w:trPr>
          <w:trHeight w:val="300"/>
        </w:trPr>
        <w:tc>
          <w:tcPr>
            <w:tcW w:w="2752" w:type="pct"/>
            <w:shd w:val="clear" w:color="auto" w:fill="auto"/>
            <w:vAlign w:val="bottom"/>
          </w:tcPr>
          <w:p w14:paraId="234A1A55"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549" w:type="pct"/>
            <w:shd w:val="clear" w:color="auto" w:fill="auto"/>
            <w:noWrap/>
            <w:vAlign w:val="bottom"/>
          </w:tcPr>
          <w:p w14:paraId="6CE10738"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4.41</w:t>
            </w:r>
          </w:p>
        </w:tc>
        <w:tc>
          <w:tcPr>
            <w:tcW w:w="689" w:type="pct"/>
            <w:shd w:val="clear" w:color="auto" w:fill="auto"/>
            <w:noWrap/>
            <w:vAlign w:val="bottom"/>
          </w:tcPr>
          <w:p w14:paraId="0FDECF1B"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0.59</w:t>
            </w:r>
          </w:p>
        </w:tc>
        <w:tc>
          <w:tcPr>
            <w:tcW w:w="1009" w:type="pct"/>
            <w:shd w:val="clear" w:color="auto" w:fill="auto"/>
            <w:noWrap/>
            <w:vAlign w:val="bottom"/>
          </w:tcPr>
          <w:p w14:paraId="71BBF7AD"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 Very High</w:t>
            </w:r>
          </w:p>
        </w:tc>
      </w:tr>
    </w:tbl>
    <w:p w14:paraId="198A7578"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noted that responsiveness is crucial for trust in rural banking, though often lacking. In contrast, this study shows </w:t>
      </w:r>
      <w:proofErr w:type="spellStart"/>
      <w:r>
        <w:rPr>
          <w:rFonts w:ascii="Arial" w:eastAsia="Arial" w:hAnsi="Arial" w:cs="Arial"/>
          <w:sz w:val="20"/>
          <w:szCs w:val="20"/>
        </w:rPr>
        <w:t>Cateel</w:t>
      </w:r>
      <w:proofErr w:type="spellEnd"/>
      <w:r>
        <w:rPr>
          <w:rFonts w:ascii="Arial" w:eastAsia="Arial" w:hAnsi="Arial" w:cs="Arial"/>
          <w:sz w:val="20"/>
          <w:szCs w:val="20"/>
        </w:rPr>
        <w:t xml:space="preserve"> banks meet that expectation. Similarly, Chakrabarti et al. (2018) found delays in responsiveness caused dissatisfaction in I</w:t>
      </w:r>
      <w:r>
        <w:rPr>
          <w:rFonts w:ascii="Arial" w:eastAsia="Arial" w:hAnsi="Arial" w:cs="Arial"/>
          <w:sz w:val="20"/>
          <w:szCs w:val="20"/>
        </w:rPr>
        <w:t xml:space="preserve">ndian banks—unlike the positive feedback seen here. These findings suggest that responsiveness is a major driver of customer satisfaction and trust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w:t>
      </w:r>
    </w:p>
    <w:p w14:paraId="6FC94D5D"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w:t>
      </w:r>
      <w:r>
        <w:rPr>
          <w:rFonts w:ascii="Arial" w:eastAsia="Arial" w:hAnsi="Arial" w:cs="Arial"/>
          <w:sz w:val="20"/>
          <w:szCs w:val="20"/>
        </w:rPr>
        <w:t xml:space="preserve"> </w:t>
      </w:r>
      <w:r>
        <w:rPr>
          <w:rFonts w:ascii="Arial" w:eastAsia="Arial" w:hAnsi="Arial" w:cs="Arial"/>
          <w:b/>
          <w:sz w:val="20"/>
          <w:szCs w:val="20"/>
        </w:rPr>
        <w:t>9</w:t>
      </w:r>
      <w:r>
        <w:rPr>
          <w:rFonts w:ascii="Arial" w:eastAsia="Arial" w:hAnsi="Arial" w:cs="Arial"/>
          <w:sz w:val="20"/>
          <w:szCs w:val="20"/>
        </w:rPr>
        <w:t xml:space="preserve">. Level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reliability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25"/>
        <w:gridCol w:w="717"/>
        <w:gridCol w:w="1152"/>
        <w:gridCol w:w="2114"/>
      </w:tblGrid>
      <w:tr w:rsidR="00587694" w14:paraId="6FA32E4A" w14:textId="77777777">
        <w:trPr>
          <w:trHeight w:val="313"/>
        </w:trPr>
        <w:tc>
          <w:tcPr>
            <w:tcW w:w="4815" w:type="dxa"/>
            <w:shd w:val="clear" w:color="auto" w:fill="auto"/>
            <w:vAlign w:val="center"/>
          </w:tcPr>
          <w:p w14:paraId="18A9E1A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549" w:type="dxa"/>
            <w:shd w:val="clear" w:color="auto" w:fill="auto"/>
            <w:vAlign w:val="center"/>
          </w:tcPr>
          <w:p w14:paraId="4842505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1152" w:type="dxa"/>
            <w:shd w:val="clear" w:color="auto" w:fill="auto"/>
            <w:vAlign w:val="center"/>
          </w:tcPr>
          <w:p w14:paraId="33109B1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2114" w:type="dxa"/>
            <w:shd w:val="clear" w:color="auto" w:fill="auto"/>
            <w:noWrap/>
            <w:vAlign w:val="center"/>
          </w:tcPr>
          <w:p w14:paraId="1F1B269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128F3FA0" w14:textId="77777777">
        <w:trPr>
          <w:trHeight w:val="348"/>
        </w:trPr>
        <w:tc>
          <w:tcPr>
            <w:tcW w:w="4815" w:type="dxa"/>
            <w:shd w:val="clear" w:color="auto" w:fill="auto"/>
          </w:tcPr>
          <w:p w14:paraId="6233ADC3" w14:textId="77777777" w:rsidR="00587694" w:rsidRDefault="00416116">
            <w:pPr>
              <w:spacing w:after="0" w:line="240" w:lineRule="auto"/>
              <w:rPr>
                <w:rFonts w:ascii="Arial" w:hAnsi="Arial" w:cs="Arial"/>
                <w:color w:val="000000"/>
                <w:sz w:val="20"/>
                <w:szCs w:val="20"/>
                <w:lang w:val="en-PH"/>
              </w:rPr>
            </w:pPr>
            <w:r>
              <w:rPr>
                <w:rFonts w:ascii="Arial" w:hAnsi="Arial" w:cs="Arial"/>
                <w:color w:val="000000"/>
                <w:sz w:val="20"/>
                <w:szCs w:val="20"/>
                <w:lang w:val="en-PH"/>
              </w:rPr>
              <w:t xml:space="preserve">When </w:t>
            </w:r>
            <w:r>
              <w:rPr>
                <w:rFonts w:ascii="Arial" w:hAnsi="Arial" w:cs="Arial"/>
                <w:color w:val="000000"/>
                <w:sz w:val="20"/>
                <w:szCs w:val="20"/>
              </w:rPr>
              <w:t>a financial institution</w:t>
            </w:r>
            <w:r>
              <w:rPr>
                <w:rFonts w:ascii="Arial" w:hAnsi="Arial" w:cs="Arial"/>
                <w:color w:val="000000"/>
                <w:sz w:val="20"/>
                <w:szCs w:val="20"/>
                <w:lang w:val="en-PH"/>
              </w:rPr>
              <w:t xml:space="preserve"> promises to do something by a certain time, it fulfills that promise.</w:t>
            </w:r>
          </w:p>
        </w:tc>
        <w:tc>
          <w:tcPr>
            <w:tcW w:w="549" w:type="dxa"/>
            <w:shd w:val="clear" w:color="auto" w:fill="auto"/>
            <w:noWrap/>
            <w:vAlign w:val="bottom"/>
          </w:tcPr>
          <w:p w14:paraId="739E0CC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4.60</w:t>
            </w:r>
          </w:p>
        </w:tc>
        <w:tc>
          <w:tcPr>
            <w:tcW w:w="1152" w:type="dxa"/>
            <w:shd w:val="clear" w:color="auto" w:fill="auto"/>
            <w:noWrap/>
            <w:vAlign w:val="bottom"/>
          </w:tcPr>
          <w:p w14:paraId="115DCAB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0.65</w:t>
            </w:r>
          </w:p>
        </w:tc>
        <w:tc>
          <w:tcPr>
            <w:tcW w:w="2114" w:type="dxa"/>
            <w:shd w:val="clear" w:color="auto" w:fill="auto"/>
            <w:noWrap/>
            <w:vAlign w:val="bottom"/>
          </w:tcPr>
          <w:p w14:paraId="5636E22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75198F7E" w14:textId="77777777">
        <w:trPr>
          <w:trHeight w:val="256"/>
        </w:trPr>
        <w:tc>
          <w:tcPr>
            <w:tcW w:w="4815" w:type="dxa"/>
            <w:shd w:val="clear" w:color="auto" w:fill="auto"/>
          </w:tcPr>
          <w:p w14:paraId="1C8892DA"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rPr>
              <w:t xml:space="preserve">When it has problems, </w:t>
            </w:r>
            <w:r>
              <w:rPr>
                <w:rFonts w:ascii="Arial" w:hAnsi="Arial" w:cs="Arial"/>
                <w:color w:val="000000"/>
                <w:sz w:val="20"/>
                <w:szCs w:val="20"/>
              </w:rPr>
              <w:t>a financial institution</w:t>
            </w:r>
            <w:r>
              <w:rPr>
                <w:rFonts w:ascii="Arial" w:hAnsi="Arial" w:cs="Arial"/>
                <w:color w:val="000000"/>
                <w:sz w:val="20"/>
                <w:szCs w:val="20"/>
                <w:shd w:val="clear" w:color="auto" w:fill="FFFFFF"/>
              </w:rPr>
              <w:t xml:space="preserve"> is sympathetic and reassuring</w:t>
            </w:r>
          </w:p>
        </w:tc>
        <w:tc>
          <w:tcPr>
            <w:tcW w:w="549" w:type="dxa"/>
            <w:shd w:val="clear" w:color="auto" w:fill="auto"/>
            <w:noWrap/>
            <w:vAlign w:val="bottom"/>
          </w:tcPr>
          <w:p w14:paraId="3E7671B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4.50</w:t>
            </w:r>
          </w:p>
        </w:tc>
        <w:tc>
          <w:tcPr>
            <w:tcW w:w="1152" w:type="dxa"/>
            <w:shd w:val="clear" w:color="auto" w:fill="auto"/>
            <w:noWrap/>
            <w:vAlign w:val="bottom"/>
          </w:tcPr>
          <w:p w14:paraId="60F6308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0.68</w:t>
            </w:r>
          </w:p>
        </w:tc>
        <w:tc>
          <w:tcPr>
            <w:tcW w:w="2114" w:type="dxa"/>
            <w:shd w:val="clear" w:color="auto" w:fill="auto"/>
            <w:noWrap/>
            <w:vAlign w:val="bottom"/>
          </w:tcPr>
          <w:p w14:paraId="5FAFC4B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48CEC006" w14:textId="77777777">
        <w:trPr>
          <w:trHeight w:val="178"/>
        </w:trPr>
        <w:tc>
          <w:tcPr>
            <w:tcW w:w="4815" w:type="dxa"/>
            <w:shd w:val="clear" w:color="auto" w:fill="auto"/>
          </w:tcPr>
          <w:p w14:paraId="70A2C2C4"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rPr>
              <w:t>Financial institutions are dependable</w:t>
            </w:r>
          </w:p>
        </w:tc>
        <w:tc>
          <w:tcPr>
            <w:tcW w:w="549" w:type="dxa"/>
            <w:shd w:val="clear" w:color="auto" w:fill="auto"/>
            <w:noWrap/>
            <w:vAlign w:val="bottom"/>
          </w:tcPr>
          <w:p w14:paraId="2F16CBE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4.50</w:t>
            </w:r>
          </w:p>
        </w:tc>
        <w:tc>
          <w:tcPr>
            <w:tcW w:w="1152" w:type="dxa"/>
            <w:shd w:val="clear" w:color="auto" w:fill="auto"/>
            <w:noWrap/>
            <w:vAlign w:val="bottom"/>
          </w:tcPr>
          <w:p w14:paraId="1899D3C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0.60</w:t>
            </w:r>
          </w:p>
        </w:tc>
        <w:tc>
          <w:tcPr>
            <w:tcW w:w="2114" w:type="dxa"/>
            <w:shd w:val="clear" w:color="auto" w:fill="auto"/>
            <w:noWrap/>
            <w:vAlign w:val="bottom"/>
          </w:tcPr>
          <w:p w14:paraId="605F731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29BF5825" w14:textId="77777777">
        <w:trPr>
          <w:trHeight w:val="183"/>
        </w:trPr>
        <w:tc>
          <w:tcPr>
            <w:tcW w:w="4815" w:type="dxa"/>
            <w:shd w:val="clear" w:color="auto" w:fill="auto"/>
          </w:tcPr>
          <w:p w14:paraId="3EA9866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rPr>
              <w:lastRenderedPageBreak/>
              <w:t>Financial institutions</w:t>
            </w:r>
            <w:r>
              <w:rPr>
                <w:rFonts w:ascii="Arial" w:hAnsi="Arial" w:cs="Arial"/>
                <w:color w:val="000000"/>
                <w:sz w:val="20"/>
                <w:szCs w:val="20"/>
              </w:rPr>
              <w:t xml:space="preserve"> keep their records accurately</w:t>
            </w:r>
          </w:p>
        </w:tc>
        <w:tc>
          <w:tcPr>
            <w:tcW w:w="549" w:type="dxa"/>
            <w:shd w:val="clear" w:color="auto" w:fill="auto"/>
            <w:noWrap/>
            <w:vAlign w:val="bottom"/>
          </w:tcPr>
          <w:p w14:paraId="0895668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4.61</w:t>
            </w:r>
          </w:p>
        </w:tc>
        <w:tc>
          <w:tcPr>
            <w:tcW w:w="1152" w:type="dxa"/>
            <w:shd w:val="clear" w:color="auto" w:fill="auto"/>
            <w:noWrap/>
            <w:vAlign w:val="bottom"/>
          </w:tcPr>
          <w:p w14:paraId="6689EA8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0.64</w:t>
            </w:r>
          </w:p>
        </w:tc>
        <w:tc>
          <w:tcPr>
            <w:tcW w:w="2114" w:type="dxa"/>
            <w:shd w:val="clear" w:color="auto" w:fill="auto"/>
            <w:noWrap/>
            <w:vAlign w:val="bottom"/>
          </w:tcPr>
          <w:p w14:paraId="53F644E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High</w:t>
            </w:r>
          </w:p>
        </w:tc>
      </w:tr>
      <w:tr w:rsidR="00587694" w14:paraId="73D6B386" w14:textId="77777777">
        <w:trPr>
          <w:trHeight w:val="261"/>
        </w:trPr>
        <w:tc>
          <w:tcPr>
            <w:tcW w:w="4815" w:type="dxa"/>
            <w:shd w:val="clear" w:color="auto" w:fill="auto"/>
          </w:tcPr>
          <w:p w14:paraId="2CA55CAF" w14:textId="77777777" w:rsidR="00587694" w:rsidRDefault="00416116">
            <w:pPr>
              <w:spacing w:after="0" w:line="240" w:lineRule="auto"/>
              <w:rPr>
                <w:rFonts w:ascii="Arial" w:hAnsi="Arial" w:cs="Arial"/>
                <w:color w:val="000000"/>
                <w:sz w:val="20"/>
                <w:szCs w:val="20"/>
                <w:shd w:val="clear" w:color="auto" w:fill="FFFFFF"/>
                <w:lang w:val="en-PH"/>
              </w:rPr>
            </w:pPr>
            <w:r>
              <w:rPr>
                <w:rFonts w:ascii="Arial" w:hAnsi="Arial" w:cs="Arial"/>
                <w:color w:val="000000"/>
                <w:sz w:val="20"/>
                <w:szCs w:val="20"/>
                <w:shd w:val="clear" w:color="auto" w:fill="FFFFFF"/>
              </w:rPr>
              <w:t xml:space="preserve">Financial institutions </w:t>
            </w:r>
            <w:r>
              <w:rPr>
                <w:rFonts w:ascii="Arial" w:hAnsi="Arial" w:cs="Arial"/>
                <w:color w:val="000000"/>
                <w:sz w:val="20"/>
                <w:szCs w:val="20"/>
                <w:shd w:val="clear" w:color="auto" w:fill="FFFFFF"/>
                <w:lang w:val="en-PH"/>
              </w:rPr>
              <w:t xml:space="preserve">provide their services at the time they </w:t>
            </w:r>
            <w:r>
              <w:rPr>
                <w:rFonts w:ascii="Arial" w:hAnsi="Arial" w:cs="Arial"/>
                <w:color w:val="000000"/>
                <w:sz w:val="20"/>
                <w:szCs w:val="20"/>
                <w:shd w:val="clear" w:color="auto" w:fill="FFFFFF"/>
                <w:lang w:val="en-PH"/>
              </w:rPr>
              <w:t>promise to do so</w:t>
            </w:r>
          </w:p>
        </w:tc>
        <w:tc>
          <w:tcPr>
            <w:tcW w:w="549" w:type="dxa"/>
            <w:shd w:val="clear" w:color="auto" w:fill="auto"/>
            <w:noWrap/>
            <w:vAlign w:val="bottom"/>
          </w:tcPr>
          <w:p w14:paraId="5EE165D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4.56</w:t>
            </w:r>
          </w:p>
        </w:tc>
        <w:tc>
          <w:tcPr>
            <w:tcW w:w="1152" w:type="dxa"/>
            <w:shd w:val="clear" w:color="auto" w:fill="auto"/>
            <w:noWrap/>
            <w:vAlign w:val="bottom"/>
          </w:tcPr>
          <w:p w14:paraId="080DA34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0.63</w:t>
            </w:r>
          </w:p>
        </w:tc>
        <w:tc>
          <w:tcPr>
            <w:tcW w:w="2114" w:type="dxa"/>
            <w:shd w:val="clear" w:color="auto" w:fill="auto"/>
            <w:noWrap/>
            <w:vAlign w:val="bottom"/>
          </w:tcPr>
          <w:p w14:paraId="0E3DCC6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Very High</w:t>
            </w:r>
          </w:p>
        </w:tc>
      </w:tr>
      <w:tr w:rsidR="00587694" w14:paraId="1211DD70" w14:textId="77777777">
        <w:trPr>
          <w:trHeight w:val="580"/>
        </w:trPr>
        <w:tc>
          <w:tcPr>
            <w:tcW w:w="4815" w:type="dxa"/>
            <w:shd w:val="clear" w:color="auto" w:fill="auto"/>
          </w:tcPr>
          <w:p w14:paraId="0EB2196A" w14:textId="77777777" w:rsidR="00587694" w:rsidRDefault="00416116">
            <w:pPr>
              <w:spacing w:after="0" w:line="240" w:lineRule="auto"/>
              <w:rPr>
                <w:rFonts w:ascii="Arial" w:hAnsi="Arial" w:cs="Arial"/>
                <w:color w:val="000000"/>
                <w:sz w:val="20"/>
                <w:szCs w:val="20"/>
                <w:shd w:val="clear" w:color="auto" w:fill="FFFFFF"/>
                <w:lang w:val="en-PH"/>
              </w:rPr>
            </w:pPr>
            <w:r>
              <w:rPr>
                <w:rFonts w:ascii="Arial" w:hAnsi="Arial" w:cs="Arial"/>
                <w:color w:val="000000"/>
                <w:sz w:val="20"/>
                <w:szCs w:val="20"/>
                <w:shd w:val="clear" w:color="auto" w:fill="FFFFFF"/>
              </w:rPr>
              <w:t xml:space="preserve">Financial institutions </w:t>
            </w:r>
            <w:r>
              <w:rPr>
                <w:rFonts w:ascii="Arial" w:hAnsi="Arial" w:cs="Arial"/>
                <w:color w:val="000000"/>
                <w:sz w:val="20"/>
                <w:szCs w:val="20"/>
                <w:shd w:val="clear" w:color="auto" w:fill="FFFFFF"/>
                <w:lang w:val="en-PH"/>
              </w:rPr>
              <w:t>do not tell their customers exactly when services will be performed</w:t>
            </w:r>
          </w:p>
        </w:tc>
        <w:tc>
          <w:tcPr>
            <w:tcW w:w="549" w:type="dxa"/>
            <w:shd w:val="clear" w:color="auto" w:fill="auto"/>
            <w:noWrap/>
            <w:vAlign w:val="bottom"/>
          </w:tcPr>
          <w:p w14:paraId="6185A33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1.54</w:t>
            </w:r>
          </w:p>
        </w:tc>
        <w:tc>
          <w:tcPr>
            <w:tcW w:w="1152" w:type="dxa"/>
            <w:shd w:val="clear" w:color="auto" w:fill="auto"/>
            <w:noWrap/>
            <w:vAlign w:val="bottom"/>
          </w:tcPr>
          <w:p w14:paraId="5ED264A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0.81</w:t>
            </w:r>
          </w:p>
        </w:tc>
        <w:tc>
          <w:tcPr>
            <w:tcW w:w="2114" w:type="dxa"/>
            <w:shd w:val="clear" w:color="auto" w:fill="auto"/>
            <w:noWrap/>
            <w:vAlign w:val="bottom"/>
          </w:tcPr>
          <w:p w14:paraId="486CD41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Low</w:t>
            </w:r>
          </w:p>
        </w:tc>
      </w:tr>
      <w:tr w:rsidR="00587694" w14:paraId="1B3E91F0" w14:textId="77777777">
        <w:trPr>
          <w:trHeight w:val="300"/>
        </w:trPr>
        <w:tc>
          <w:tcPr>
            <w:tcW w:w="4815" w:type="dxa"/>
            <w:shd w:val="clear" w:color="auto" w:fill="auto"/>
          </w:tcPr>
          <w:p w14:paraId="5268CC0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Does to receive prompt service from bank employees.</w:t>
            </w:r>
          </w:p>
        </w:tc>
        <w:tc>
          <w:tcPr>
            <w:tcW w:w="549" w:type="dxa"/>
            <w:shd w:val="clear" w:color="auto" w:fill="auto"/>
            <w:noWrap/>
            <w:vAlign w:val="bottom"/>
          </w:tcPr>
          <w:p w14:paraId="1969220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1.66</w:t>
            </w:r>
          </w:p>
        </w:tc>
        <w:tc>
          <w:tcPr>
            <w:tcW w:w="1152" w:type="dxa"/>
            <w:shd w:val="clear" w:color="auto" w:fill="auto"/>
            <w:noWrap/>
            <w:vAlign w:val="bottom"/>
          </w:tcPr>
          <w:p w14:paraId="714B6AC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0.77</w:t>
            </w:r>
          </w:p>
        </w:tc>
        <w:tc>
          <w:tcPr>
            <w:tcW w:w="2114" w:type="dxa"/>
            <w:shd w:val="clear" w:color="auto" w:fill="auto"/>
            <w:noWrap/>
            <w:vAlign w:val="bottom"/>
          </w:tcPr>
          <w:p w14:paraId="754CB81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Low</w:t>
            </w:r>
          </w:p>
        </w:tc>
      </w:tr>
      <w:tr w:rsidR="00587694" w14:paraId="3C46BD29" w14:textId="77777777">
        <w:trPr>
          <w:trHeight w:val="300"/>
        </w:trPr>
        <w:tc>
          <w:tcPr>
            <w:tcW w:w="4815" w:type="dxa"/>
            <w:shd w:val="clear" w:color="auto" w:fill="auto"/>
          </w:tcPr>
          <w:p w14:paraId="4A71605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 xml:space="preserve">Employees of Financial </w:t>
            </w:r>
            <w:r>
              <w:rPr>
                <w:rFonts w:ascii="Arial" w:hAnsi="Arial" w:cs="Arial"/>
                <w:color w:val="000000"/>
                <w:sz w:val="20"/>
                <w:szCs w:val="20"/>
                <w:shd w:val="clear" w:color="auto" w:fill="FFFFFF"/>
                <w:lang w:val="en-PH"/>
              </w:rPr>
              <w:t>Institutions are not always willing to help customers</w:t>
            </w:r>
          </w:p>
        </w:tc>
        <w:tc>
          <w:tcPr>
            <w:tcW w:w="549" w:type="dxa"/>
            <w:shd w:val="clear" w:color="auto" w:fill="auto"/>
            <w:noWrap/>
            <w:vAlign w:val="bottom"/>
          </w:tcPr>
          <w:p w14:paraId="7A8A576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1.51</w:t>
            </w:r>
          </w:p>
        </w:tc>
        <w:tc>
          <w:tcPr>
            <w:tcW w:w="1152" w:type="dxa"/>
            <w:shd w:val="clear" w:color="auto" w:fill="auto"/>
            <w:noWrap/>
            <w:vAlign w:val="bottom"/>
          </w:tcPr>
          <w:p w14:paraId="2848DEA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0.85</w:t>
            </w:r>
          </w:p>
        </w:tc>
        <w:tc>
          <w:tcPr>
            <w:tcW w:w="2114" w:type="dxa"/>
            <w:shd w:val="clear" w:color="auto" w:fill="auto"/>
            <w:noWrap/>
            <w:vAlign w:val="bottom"/>
          </w:tcPr>
          <w:p w14:paraId="0E93198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Low</w:t>
            </w:r>
          </w:p>
        </w:tc>
      </w:tr>
      <w:tr w:rsidR="00587694" w14:paraId="6DB64632" w14:textId="77777777">
        <w:trPr>
          <w:trHeight w:val="112"/>
        </w:trPr>
        <w:tc>
          <w:tcPr>
            <w:tcW w:w="4815" w:type="dxa"/>
            <w:shd w:val="clear" w:color="auto" w:fill="auto"/>
          </w:tcPr>
          <w:p w14:paraId="00D3B06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shd w:val="clear" w:color="auto" w:fill="FFFFFF"/>
                <w:lang w:val="en-PH"/>
              </w:rPr>
              <w:t>Employees of Financial Institutions are too busy to respond to customer requests promptly</w:t>
            </w:r>
          </w:p>
        </w:tc>
        <w:tc>
          <w:tcPr>
            <w:tcW w:w="549" w:type="dxa"/>
            <w:shd w:val="clear" w:color="auto" w:fill="auto"/>
            <w:noWrap/>
            <w:vAlign w:val="bottom"/>
          </w:tcPr>
          <w:p w14:paraId="542419F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1.72</w:t>
            </w:r>
          </w:p>
        </w:tc>
        <w:tc>
          <w:tcPr>
            <w:tcW w:w="1152" w:type="dxa"/>
            <w:shd w:val="clear" w:color="auto" w:fill="auto"/>
            <w:noWrap/>
            <w:vAlign w:val="bottom"/>
          </w:tcPr>
          <w:p w14:paraId="080506C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0.85</w:t>
            </w:r>
          </w:p>
        </w:tc>
        <w:tc>
          <w:tcPr>
            <w:tcW w:w="2114" w:type="dxa"/>
            <w:shd w:val="clear" w:color="auto" w:fill="auto"/>
            <w:noWrap/>
            <w:vAlign w:val="bottom"/>
          </w:tcPr>
          <w:p w14:paraId="43E2C54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Very Low</w:t>
            </w:r>
          </w:p>
        </w:tc>
      </w:tr>
    </w:tbl>
    <w:p w14:paraId="04AFE879" w14:textId="77777777" w:rsidR="00587694" w:rsidRDefault="00416116">
      <w:pPr>
        <w:spacing w:before="280" w:line="240" w:lineRule="auto"/>
        <w:ind w:firstLine="720"/>
        <w:jc w:val="both"/>
        <w:rPr>
          <w:rFonts w:ascii="Arial" w:eastAsia="Arial" w:hAnsi="Arial" w:cs="Arial"/>
          <w:b/>
          <w:sz w:val="20"/>
          <w:szCs w:val="20"/>
        </w:rPr>
      </w:pPr>
      <w:r>
        <w:rPr>
          <w:rFonts w:ascii="Arial" w:hAnsi="Arial" w:cs="Arial"/>
          <w:sz w:val="20"/>
          <w:szCs w:val="20"/>
        </w:rPr>
        <w:t xml:space="preserve">    </w:t>
      </w:r>
      <w:r>
        <w:rPr>
          <w:rFonts w:ascii="Arial" w:eastAsia="Arial Unicode MS" w:hAnsi="Arial" w:cs="Arial"/>
          <w:sz w:val="20"/>
          <w:szCs w:val="20"/>
        </w:rPr>
        <w:t xml:space="preserve">Table 9 shows high ratings for reliability, with statements like </w:t>
      </w:r>
      <w:r>
        <w:rPr>
          <w:rFonts w:ascii="Arial" w:eastAsia="Arial Unicode MS" w:hAnsi="Arial" w:cs="Arial"/>
          <w:sz w:val="20"/>
          <w:szCs w:val="20"/>
        </w:rPr>
        <w:t>“The bank keeps accurate records” (mean = 4.61) and “</w:t>
      </w:r>
      <w:proofErr w:type="spellStart"/>
      <w:r>
        <w:rPr>
          <w:rFonts w:ascii="Arial" w:eastAsia="Arial Unicode MS" w:hAnsi="Arial" w:cs="Arial"/>
          <w:sz w:val="20"/>
          <w:szCs w:val="20"/>
        </w:rPr>
        <w:t>Fulfills</w:t>
      </w:r>
      <w:proofErr w:type="spellEnd"/>
      <w:r>
        <w:rPr>
          <w:rFonts w:ascii="Arial" w:eastAsia="Arial Unicode MS" w:hAnsi="Arial" w:cs="Arial"/>
          <w:sz w:val="20"/>
          <w:szCs w:val="20"/>
        </w:rPr>
        <w:t xml:space="preserve"> promises on time” (4.60), indicating strong trust in dependable service. Low scores on negative statements (mean ≈ 1.51–1.72) confirm that customers reject the idea of unhelpful staff. This supp</w:t>
      </w:r>
      <w:r>
        <w:rPr>
          <w:rFonts w:ascii="Arial" w:eastAsia="Arial Unicode MS" w:hAnsi="Arial" w:cs="Arial"/>
          <w:sz w:val="20"/>
          <w:szCs w:val="20"/>
        </w:rPr>
        <w:t>orts Islam et al. (2022), Karmacharya (2022), and Adil (2013), who emphasize reliability as a key factor in customer satisfaction, especially in rural areas.</w:t>
      </w:r>
    </w:p>
    <w:p w14:paraId="6B762A9E"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 xml:space="preserve">Table </w:t>
      </w:r>
      <w:r>
        <w:rPr>
          <w:rFonts w:ascii="Arial" w:eastAsia="Arial" w:hAnsi="Arial" w:cs="Arial"/>
          <w:b/>
          <w:sz w:val="20"/>
          <w:szCs w:val="20"/>
        </w:rPr>
        <w:t>10</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 xml:space="preserve">Level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tangibility</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715"/>
        <w:gridCol w:w="753"/>
        <w:gridCol w:w="1095"/>
        <w:gridCol w:w="1645"/>
      </w:tblGrid>
      <w:tr w:rsidR="00587694" w14:paraId="14AB58C9" w14:textId="77777777">
        <w:trPr>
          <w:trHeight w:val="267"/>
        </w:trPr>
        <w:tc>
          <w:tcPr>
            <w:tcW w:w="2872" w:type="pct"/>
            <w:shd w:val="clear" w:color="auto" w:fill="auto"/>
            <w:vAlign w:val="center"/>
          </w:tcPr>
          <w:p w14:paraId="2F4DE63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459" w:type="pct"/>
            <w:shd w:val="clear" w:color="auto" w:fill="auto"/>
            <w:vAlign w:val="center"/>
          </w:tcPr>
          <w:p w14:paraId="5A8668E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667" w:type="pct"/>
            <w:shd w:val="clear" w:color="auto" w:fill="auto"/>
            <w:vAlign w:val="center"/>
          </w:tcPr>
          <w:p w14:paraId="71746A3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002" w:type="pct"/>
            <w:shd w:val="clear" w:color="auto" w:fill="auto"/>
            <w:noWrap/>
            <w:vAlign w:val="center"/>
          </w:tcPr>
          <w:p w14:paraId="1A1AE40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4D5AF9F2" w14:textId="77777777">
        <w:trPr>
          <w:trHeight w:val="300"/>
        </w:trPr>
        <w:tc>
          <w:tcPr>
            <w:tcW w:w="2872" w:type="pct"/>
            <w:shd w:val="clear" w:color="auto" w:fill="auto"/>
          </w:tcPr>
          <w:p w14:paraId="0C79C1E2"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A financial institution has a good physical appearance</w:t>
            </w:r>
          </w:p>
        </w:tc>
        <w:tc>
          <w:tcPr>
            <w:tcW w:w="459" w:type="pct"/>
            <w:shd w:val="clear" w:color="auto" w:fill="auto"/>
            <w:noWrap/>
            <w:vAlign w:val="center"/>
          </w:tcPr>
          <w:p w14:paraId="360FAAA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4.69</w:t>
            </w:r>
          </w:p>
        </w:tc>
        <w:tc>
          <w:tcPr>
            <w:tcW w:w="667" w:type="pct"/>
            <w:shd w:val="clear" w:color="auto" w:fill="auto"/>
            <w:noWrap/>
            <w:vAlign w:val="center"/>
          </w:tcPr>
          <w:p w14:paraId="1213BC2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0.55</w:t>
            </w:r>
          </w:p>
        </w:tc>
        <w:tc>
          <w:tcPr>
            <w:tcW w:w="1002" w:type="pct"/>
            <w:shd w:val="clear" w:color="auto" w:fill="auto"/>
            <w:noWrap/>
            <w:vAlign w:val="bottom"/>
          </w:tcPr>
          <w:p w14:paraId="1A2660C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53CCA1E3" w14:textId="77777777">
        <w:trPr>
          <w:trHeight w:val="300"/>
        </w:trPr>
        <w:tc>
          <w:tcPr>
            <w:tcW w:w="2872" w:type="pct"/>
            <w:shd w:val="clear" w:color="auto" w:fill="auto"/>
          </w:tcPr>
          <w:p w14:paraId="3633A257"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The equipment/ATMs are available and accessible in the Financial Institution</w:t>
            </w:r>
          </w:p>
        </w:tc>
        <w:tc>
          <w:tcPr>
            <w:tcW w:w="459" w:type="pct"/>
            <w:shd w:val="clear" w:color="auto" w:fill="auto"/>
            <w:noWrap/>
            <w:vAlign w:val="center"/>
          </w:tcPr>
          <w:p w14:paraId="75E7ACE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4.64</w:t>
            </w:r>
          </w:p>
        </w:tc>
        <w:tc>
          <w:tcPr>
            <w:tcW w:w="667" w:type="pct"/>
            <w:shd w:val="clear" w:color="auto" w:fill="auto"/>
            <w:noWrap/>
            <w:vAlign w:val="center"/>
          </w:tcPr>
          <w:p w14:paraId="53E04CA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0.64</w:t>
            </w:r>
          </w:p>
        </w:tc>
        <w:tc>
          <w:tcPr>
            <w:tcW w:w="1002" w:type="pct"/>
            <w:shd w:val="clear" w:color="auto" w:fill="auto"/>
            <w:noWrap/>
            <w:vAlign w:val="bottom"/>
          </w:tcPr>
          <w:p w14:paraId="5EEA0B9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16B52B9C" w14:textId="77777777">
        <w:trPr>
          <w:trHeight w:val="300"/>
        </w:trPr>
        <w:tc>
          <w:tcPr>
            <w:tcW w:w="2872" w:type="pct"/>
            <w:shd w:val="clear" w:color="auto" w:fill="auto"/>
          </w:tcPr>
          <w:p w14:paraId="6C6B541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 xml:space="preserve">The </w:t>
            </w:r>
            <w:r>
              <w:rPr>
                <w:rFonts w:ascii="Arial" w:hAnsi="Arial" w:cs="Arial"/>
                <w:color w:val="000000"/>
                <w:sz w:val="20"/>
                <w:szCs w:val="20"/>
              </w:rPr>
              <w:t>informative brochures and pamphlets are available in the Financial Institution</w:t>
            </w:r>
          </w:p>
        </w:tc>
        <w:tc>
          <w:tcPr>
            <w:tcW w:w="459" w:type="pct"/>
            <w:shd w:val="clear" w:color="auto" w:fill="auto"/>
            <w:noWrap/>
            <w:vAlign w:val="center"/>
          </w:tcPr>
          <w:p w14:paraId="6C869D6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4.48</w:t>
            </w:r>
          </w:p>
        </w:tc>
        <w:tc>
          <w:tcPr>
            <w:tcW w:w="667" w:type="pct"/>
            <w:shd w:val="clear" w:color="auto" w:fill="auto"/>
            <w:noWrap/>
            <w:vAlign w:val="center"/>
          </w:tcPr>
          <w:p w14:paraId="03521DC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0.64</w:t>
            </w:r>
          </w:p>
        </w:tc>
        <w:tc>
          <w:tcPr>
            <w:tcW w:w="1002" w:type="pct"/>
            <w:shd w:val="clear" w:color="auto" w:fill="auto"/>
            <w:noWrap/>
            <w:vAlign w:val="bottom"/>
          </w:tcPr>
          <w:p w14:paraId="004CA07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4EF396F9" w14:textId="77777777">
        <w:trPr>
          <w:trHeight w:val="300"/>
        </w:trPr>
        <w:tc>
          <w:tcPr>
            <w:tcW w:w="2872" w:type="pct"/>
            <w:shd w:val="clear" w:color="auto" w:fill="auto"/>
          </w:tcPr>
          <w:p w14:paraId="3F56CE7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A financial institution</w:t>
            </w:r>
            <w:r>
              <w:rPr>
                <w:rFonts w:ascii="Arial" w:hAnsi="Arial" w:cs="Arial"/>
                <w:color w:val="000000"/>
                <w:sz w:val="20"/>
                <w:szCs w:val="20"/>
                <w:lang w:val="en-PH" w:eastAsia="en-PH"/>
              </w:rPr>
              <w:t xml:space="preserve"> has up-to-date equipment</w:t>
            </w:r>
          </w:p>
        </w:tc>
        <w:tc>
          <w:tcPr>
            <w:tcW w:w="459" w:type="pct"/>
            <w:shd w:val="clear" w:color="auto" w:fill="auto"/>
            <w:noWrap/>
            <w:vAlign w:val="center"/>
          </w:tcPr>
          <w:p w14:paraId="003C84A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4.52</w:t>
            </w:r>
          </w:p>
        </w:tc>
        <w:tc>
          <w:tcPr>
            <w:tcW w:w="667" w:type="pct"/>
            <w:shd w:val="clear" w:color="auto" w:fill="auto"/>
            <w:noWrap/>
            <w:vAlign w:val="center"/>
          </w:tcPr>
          <w:p w14:paraId="2CB9BC1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0.62</w:t>
            </w:r>
          </w:p>
        </w:tc>
        <w:tc>
          <w:tcPr>
            <w:tcW w:w="1002" w:type="pct"/>
            <w:shd w:val="clear" w:color="auto" w:fill="auto"/>
            <w:noWrap/>
            <w:vAlign w:val="bottom"/>
          </w:tcPr>
          <w:p w14:paraId="6C713B0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0AAC5E54" w14:textId="77777777">
        <w:trPr>
          <w:trHeight w:val="300"/>
        </w:trPr>
        <w:tc>
          <w:tcPr>
            <w:tcW w:w="2872" w:type="pct"/>
            <w:shd w:val="clear" w:color="auto" w:fill="auto"/>
          </w:tcPr>
          <w:p w14:paraId="71F3B747"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Financial institutions' physical facilities are visually appealing</w:t>
            </w:r>
          </w:p>
        </w:tc>
        <w:tc>
          <w:tcPr>
            <w:tcW w:w="459" w:type="pct"/>
            <w:shd w:val="clear" w:color="auto" w:fill="auto"/>
            <w:noWrap/>
            <w:vAlign w:val="center"/>
          </w:tcPr>
          <w:p w14:paraId="2DCB236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4.52</w:t>
            </w:r>
          </w:p>
        </w:tc>
        <w:tc>
          <w:tcPr>
            <w:tcW w:w="667" w:type="pct"/>
            <w:shd w:val="clear" w:color="auto" w:fill="auto"/>
            <w:noWrap/>
            <w:vAlign w:val="center"/>
          </w:tcPr>
          <w:p w14:paraId="651A86D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0.58</w:t>
            </w:r>
          </w:p>
        </w:tc>
        <w:tc>
          <w:tcPr>
            <w:tcW w:w="1002" w:type="pct"/>
            <w:shd w:val="clear" w:color="auto" w:fill="auto"/>
            <w:noWrap/>
            <w:vAlign w:val="bottom"/>
          </w:tcPr>
          <w:p w14:paraId="45B34D6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78257A87" w14:textId="77777777">
        <w:trPr>
          <w:trHeight w:val="300"/>
        </w:trPr>
        <w:tc>
          <w:tcPr>
            <w:tcW w:w="2872" w:type="pct"/>
            <w:shd w:val="clear" w:color="auto" w:fill="auto"/>
          </w:tcPr>
          <w:p w14:paraId="11AB7910"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Financial Institution</w:t>
            </w:r>
            <w:r>
              <w:rPr>
                <w:rFonts w:ascii="Arial" w:hAnsi="Arial" w:cs="Arial"/>
                <w:color w:val="000000"/>
                <w:sz w:val="20"/>
                <w:szCs w:val="20"/>
                <w:lang w:val="en-PH" w:eastAsia="en-PH"/>
              </w:rPr>
              <w:t xml:space="preserve"> employees are well-dressed and appear neat</w:t>
            </w:r>
          </w:p>
        </w:tc>
        <w:tc>
          <w:tcPr>
            <w:tcW w:w="459" w:type="pct"/>
            <w:shd w:val="clear" w:color="auto" w:fill="auto"/>
            <w:noWrap/>
            <w:vAlign w:val="center"/>
          </w:tcPr>
          <w:p w14:paraId="7A50054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4.56</w:t>
            </w:r>
          </w:p>
        </w:tc>
        <w:tc>
          <w:tcPr>
            <w:tcW w:w="667" w:type="pct"/>
            <w:shd w:val="clear" w:color="auto" w:fill="auto"/>
            <w:noWrap/>
            <w:vAlign w:val="center"/>
          </w:tcPr>
          <w:p w14:paraId="6AE80E1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0.55</w:t>
            </w:r>
          </w:p>
        </w:tc>
        <w:tc>
          <w:tcPr>
            <w:tcW w:w="1002" w:type="pct"/>
            <w:shd w:val="clear" w:color="auto" w:fill="auto"/>
            <w:noWrap/>
            <w:vAlign w:val="bottom"/>
          </w:tcPr>
          <w:p w14:paraId="6370C43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2DC8DCEC" w14:textId="77777777">
        <w:trPr>
          <w:trHeight w:val="300"/>
        </w:trPr>
        <w:tc>
          <w:tcPr>
            <w:tcW w:w="2872" w:type="pct"/>
            <w:shd w:val="clear" w:color="auto" w:fill="auto"/>
          </w:tcPr>
          <w:p w14:paraId="50DA7E7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The appearance of a financial institution's physical facilities is consistent with the type of service it provides.</w:t>
            </w:r>
          </w:p>
        </w:tc>
        <w:tc>
          <w:tcPr>
            <w:tcW w:w="459" w:type="pct"/>
            <w:shd w:val="clear" w:color="auto" w:fill="auto"/>
            <w:noWrap/>
            <w:vAlign w:val="center"/>
          </w:tcPr>
          <w:p w14:paraId="6933352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4.72</w:t>
            </w:r>
          </w:p>
        </w:tc>
        <w:tc>
          <w:tcPr>
            <w:tcW w:w="667" w:type="pct"/>
            <w:shd w:val="clear" w:color="auto" w:fill="auto"/>
            <w:noWrap/>
            <w:vAlign w:val="center"/>
          </w:tcPr>
          <w:p w14:paraId="6C8C399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0.54</w:t>
            </w:r>
          </w:p>
        </w:tc>
        <w:tc>
          <w:tcPr>
            <w:tcW w:w="1002" w:type="pct"/>
            <w:shd w:val="clear" w:color="auto" w:fill="auto"/>
            <w:noWrap/>
            <w:vAlign w:val="bottom"/>
          </w:tcPr>
          <w:p w14:paraId="5A8B51A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55A38049" w14:textId="77777777">
        <w:trPr>
          <w:trHeight w:val="300"/>
        </w:trPr>
        <w:tc>
          <w:tcPr>
            <w:tcW w:w="2872" w:type="pct"/>
            <w:shd w:val="clear" w:color="auto" w:fill="auto"/>
          </w:tcPr>
          <w:p w14:paraId="0DD00E5F"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459" w:type="pct"/>
            <w:shd w:val="clear" w:color="auto" w:fill="auto"/>
            <w:noWrap/>
            <w:vAlign w:val="center"/>
          </w:tcPr>
          <w:p w14:paraId="01C414AD"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4.59</w:t>
            </w:r>
          </w:p>
        </w:tc>
        <w:tc>
          <w:tcPr>
            <w:tcW w:w="667" w:type="pct"/>
            <w:shd w:val="clear" w:color="auto" w:fill="auto"/>
            <w:noWrap/>
            <w:vAlign w:val="center"/>
          </w:tcPr>
          <w:p w14:paraId="5A59F33C"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0.37</w:t>
            </w:r>
          </w:p>
        </w:tc>
        <w:tc>
          <w:tcPr>
            <w:tcW w:w="1002" w:type="pct"/>
            <w:shd w:val="clear" w:color="auto" w:fill="auto"/>
            <w:noWrap/>
            <w:vAlign w:val="bottom"/>
          </w:tcPr>
          <w:p w14:paraId="47D51C17"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  </w:t>
            </w:r>
            <w:r>
              <w:rPr>
                <w:rFonts w:ascii="Arial" w:hAnsi="Arial" w:cs="Arial"/>
                <w:b/>
                <w:bCs/>
                <w:color w:val="000000"/>
                <w:sz w:val="20"/>
                <w:szCs w:val="20"/>
              </w:rPr>
              <w:t>Very High</w:t>
            </w:r>
          </w:p>
        </w:tc>
      </w:tr>
    </w:tbl>
    <w:p w14:paraId="7C7D59DE" w14:textId="77777777" w:rsidR="00587694" w:rsidRDefault="00416116">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  Table 10 shows strong agreement on tangibility, with high ratings for facility appearance (4.72), ATM access (4.64), staff presentation (4.56), and overall physical quality. These results confirm tangibility as a key driver of trust and satisfaction in </w:t>
      </w:r>
      <w:proofErr w:type="spellStart"/>
      <w:r>
        <w:rPr>
          <w:rFonts w:ascii="Arial" w:eastAsia="Arial" w:hAnsi="Arial" w:cs="Arial"/>
          <w:sz w:val="20"/>
          <w:szCs w:val="20"/>
        </w:rPr>
        <w:t>C</w:t>
      </w:r>
      <w:r>
        <w:rPr>
          <w:rFonts w:ascii="Arial" w:eastAsia="Arial" w:hAnsi="Arial" w:cs="Arial"/>
          <w:sz w:val="20"/>
          <w:szCs w:val="20"/>
        </w:rPr>
        <w:t>ateel’s</w:t>
      </w:r>
      <w:proofErr w:type="spellEnd"/>
      <w:r>
        <w:rPr>
          <w:rFonts w:ascii="Arial" w:eastAsia="Arial" w:hAnsi="Arial" w:cs="Arial"/>
          <w:sz w:val="20"/>
          <w:szCs w:val="20"/>
        </w:rPr>
        <w:t xml:space="preserve"> financial institutions. As a core SERVQUAL dimension, tangibility—including facilities, equipment, and staff appearance—shapes customer impressions (Awoke, 2015; Islam et al., 2022). This supports findings by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Pakur</w:t>
      </w:r>
      <w:r>
        <w:rPr>
          <w:rFonts w:ascii="Arial" w:eastAsia="Arial" w:hAnsi="Arial" w:cs="Arial"/>
          <w:sz w:val="20"/>
          <w:szCs w:val="20"/>
        </w:rPr>
        <w:t>ár et al. (2019), who link well-maintained environments to satisfaction and loyalty. Similar effects are seen in other sectors (Putta, 2023; Aqsa et al., 2021), underscoring tangibility’s broad influence on customer experience.</w:t>
      </w:r>
    </w:p>
    <w:p w14:paraId="6FED8252" w14:textId="77777777" w:rsidR="00587694" w:rsidRDefault="00416116">
      <w:pPr>
        <w:spacing w:before="280" w:line="240"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Table 11. </w:t>
      </w:r>
      <w:r>
        <w:rPr>
          <w:rFonts w:ascii="Arial" w:eastAsia="Arial" w:hAnsi="Arial" w:cs="Arial"/>
          <w:color w:val="000000"/>
          <w:sz w:val="20"/>
          <w:szCs w:val="20"/>
        </w:rPr>
        <w:t>Level of service q</w:t>
      </w:r>
      <w:r>
        <w:rPr>
          <w:rFonts w:ascii="Arial" w:eastAsia="Arial" w:hAnsi="Arial" w:cs="Arial"/>
          <w:color w:val="000000"/>
          <w:sz w:val="20"/>
          <w:szCs w:val="20"/>
        </w:rPr>
        <w:t xml:space="preserve">uality provided by financial institutions in </w:t>
      </w:r>
      <w:proofErr w:type="spellStart"/>
      <w:r>
        <w:rPr>
          <w:rFonts w:ascii="Arial" w:eastAsia="Arial" w:hAnsi="Arial" w:cs="Arial"/>
          <w:color w:val="000000"/>
          <w:sz w:val="20"/>
          <w:szCs w:val="20"/>
        </w:rPr>
        <w:t>Cateel</w:t>
      </w:r>
      <w:proofErr w:type="spellEnd"/>
      <w:r>
        <w:rPr>
          <w:rFonts w:ascii="Arial" w:eastAsia="Arial" w:hAnsi="Arial" w:cs="Arial"/>
          <w:color w:val="000000"/>
          <w:sz w:val="20"/>
          <w:szCs w:val="20"/>
        </w:rPr>
        <w:t xml:space="preserve"> in terms of assurance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47"/>
        <w:gridCol w:w="888"/>
        <w:gridCol w:w="1095"/>
        <w:gridCol w:w="1878"/>
      </w:tblGrid>
      <w:tr w:rsidR="00587694" w14:paraId="21FA92C7" w14:textId="77777777">
        <w:trPr>
          <w:trHeight w:val="458"/>
        </w:trPr>
        <w:tc>
          <w:tcPr>
            <w:tcW w:w="2648" w:type="pct"/>
            <w:shd w:val="clear" w:color="auto" w:fill="auto"/>
            <w:vAlign w:val="center"/>
          </w:tcPr>
          <w:p w14:paraId="05AD7A8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541" w:type="pct"/>
            <w:shd w:val="clear" w:color="auto" w:fill="auto"/>
            <w:vAlign w:val="center"/>
          </w:tcPr>
          <w:p w14:paraId="6B43495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667" w:type="pct"/>
            <w:shd w:val="clear" w:color="auto" w:fill="auto"/>
            <w:vAlign w:val="center"/>
          </w:tcPr>
          <w:p w14:paraId="0F6076F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144" w:type="pct"/>
            <w:shd w:val="clear" w:color="auto" w:fill="auto"/>
            <w:noWrap/>
            <w:vAlign w:val="center"/>
          </w:tcPr>
          <w:p w14:paraId="02C02F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195307D9" w14:textId="77777777">
        <w:trPr>
          <w:trHeight w:val="437"/>
        </w:trPr>
        <w:tc>
          <w:tcPr>
            <w:tcW w:w="2648" w:type="pct"/>
            <w:shd w:val="clear" w:color="auto" w:fill="auto"/>
          </w:tcPr>
          <w:p w14:paraId="24DD9851"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 xml:space="preserve">Can trust the employees of financial institutions. </w:t>
            </w:r>
          </w:p>
        </w:tc>
        <w:tc>
          <w:tcPr>
            <w:tcW w:w="541" w:type="pct"/>
            <w:shd w:val="clear" w:color="auto" w:fill="auto"/>
            <w:noWrap/>
            <w:vAlign w:val="bottom"/>
          </w:tcPr>
          <w:p w14:paraId="6429127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4.54</w:t>
            </w:r>
          </w:p>
        </w:tc>
        <w:tc>
          <w:tcPr>
            <w:tcW w:w="667" w:type="pct"/>
            <w:shd w:val="clear" w:color="auto" w:fill="auto"/>
            <w:noWrap/>
            <w:vAlign w:val="bottom"/>
          </w:tcPr>
          <w:p w14:paraId="16B77F6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0.64</w:t>
            </w:r>
          </w:p>
        </w:tc>
        <w:tc>
          <w:tcPr>
            <w:tcW w:w="1144" w:type="pct"/>
            <w:shd w:val="clear" w:color="auto" w:fill="auto"/>
            <w:noWrap/>
            <w:vAlign w:val="bottom"/>
          </w:tcPr>
          <w:p w14:paraId="189EA60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492A21FF" w14:textId="77777777">
        <w:trPr>
          <w:trHeight w:val="300"/>
        </w:trPr>
        <w:tc>
          <w:tcPr>
            <w:tcW w:w="2648" w:type="pct"/>
            <w:shd w:val="clear" w:color="auto" w:fill="auto"/>
          </w:tcPr>
          <w:p w14:paraId="2160CC00"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 xml:space="preserve">Can feel safe in transactions with financial institutions' </w:t>
            </w:r>
            <w:r>
              <w:rPr>
                <w:rFonts w:ascii="Arial" w:hAnsi="Arial" w:cs="Arial"/>
                <w:color w:val="000000"/>
                <w:sz w:val="20"/>
                <w:szCs w:val="20"/>
                <w:lang w:val="en-PH"/>
              </w:rPr>
              <w:t>employees</w:t>
            </w:r>
          </w:p>
        </w:tc>
        <w:tc>
          <w:tcPr>
            <w:tcW w:w="541" w:type="pct"/>
            <w:shd w:val="clear" w:color="auto" w:fill="auto"/>
            <w:noWrap/>
            <w:vAlign w:val="bottom"/>
          </w:tcPr>
          <w:p w14:paraId="197EF05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4.67</w:t>
            </w:r>
          </w:p>
        </w:tc>
        <w:tc>
          <w:tcPr>
            <w:tcW w:w="667" w:type="pct"/>
            <w:shd w:val="clear" w:color="auto" w:fill="auto"/>
            <w:noWrap/>
            <w:vAlign w:val="bottom"/>
          </w:tcPr>
          <w:p w14:paraId="35D8343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0.55</w:t>
            </w:r>
          </w:p>
        </w:tc>
        <w:tc>
          <w:tcPr>
            <w:tcW w:w="1144" w:type="pct"/>
            <w:shd w:val="clear" w:color="auto" w:fill="auto"/>
            <w:noWrap/>
            <w:vAlign w:val="bottom"/>
          </w:tcPr>
          <w:p w14:paraId="42581BA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12D8AB4B" w14:textId="77777777">
        <w:trPr>
          <w:trHeight w:val="300"/>
        </w:trPr>
        <w:tc>
          <w:tcPr>
            <w:tcW w:w="2648" w:type="pct"/>
            <w:shd w:val="clear" w:color="auto" w:fill="auto"/>
          </w:tcPr>
          <w:p w14:paraId="70671A49"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Employees of financial institutions are polite</w:t>
            </w:r>
          </w:p>
        </w:tc>
        <w:tc>
          <w:tcPr>
            <w:tcW w:w="541" w:type="pct"/>
            <w:shd w:val="clear" w:color="auto" w:fill="auto"/>
            <w:noWrap/>
            <w:vAlign w:val="bottom"/>
          </w:tcPr>
          <w:p w14:paraId="3E685CE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4.61</w:t>
            </w:r>
          </w:p>
        </w:tc>
        <w:tc>
          <w:tcPr>
            <w:tcW w:w="667" w:type="pct"/>
            <w:shd w:val="clear" w:color="auto" w:fill="auto"/>
            <w:noWrap/>
            <w:vAlign w:val="bottom"/>
          </w:tcPr>
          <w:p w14:paraId="44BFEF0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0.57</w:t>
            </w:r>
          </w:p>
        </w:tc>
        <w:tc>
          <w:tcPr>
            <w:tcW w:w="1144" w:type="pct"/>
            <w:shd w:val="clear" w:color="auto" w:fill="auto"/>
            <w:noWrap/>
            <w:vAlign w:val="bottom"/>
          </w:tcPr>
          <w:p w14:paraId="1242418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590F9B77" w14:textId="77777777">
        <w:trPr>
          <w:trHeight w:val="300"/>
        </w:trPr>
        <w:tc>
          <w:tcPr>
            <w:tcW w:w="2648" w:type="pct"/>
            <w:shd w:val="clear" w:color="auto" w:fill="auto"/>
          </w:tcPr>
          <w:p w14:paraId="1D300828"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 xml:space="preserve">Employees receive adequate support from the bank to perform their jobs effectively. </w:t>
            </w:r>
          </w:p>
        </w:tc>
        <w:tc>
          <w:tcPr>
            <w:tcW w:w="541" w:type="pct"/>
            <w:shd w:val="clear" w:color="auto" w:fill="auto"/>
            <w:noWrap/>
            <w:vAlign w:val="bottom"/>
          </w:tcPr>
          <w:p w14:paraId="56B5AAF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4.67</w:t>
            </w:r>
          </w:p>
        </w:tc>
        <w:tc>
          <w:tcPr>
            <w:tcW w:w="667" w:type="pct"/>
            <w:shd w:val="clear" w:color="auto" w:fill="auto"/>
            <w:noWrap/>
            <w:vAlign w:val="bottom"/>
          </w:tcPr>
          <w:p w14:paraId="126BB32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0.56</w:t>
            </w:r>
          </w:p>
        </w:tc>
        <w:tc>
          <w:tcPr>
            <w:tcW w:w="1144" w:type="pct"/>
            <w:shd w:val="clear" w:color="auto" w:fill="auto"/>
            <w:noWrap/>
            <w:vAlign w:val="bottom"/>
          </w:tcPr>
          <w:p w14:paraId="48C56DB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7AE72E23" w14:textId="77777777">
        <w:trPr>
          <w:trHeight w:val="300"/>
        </w:trPr>
        <w:tc>
          <w:tcPr>
            <w:tcW w:w="2648" w:type="pct"/>
            <w:shd w:val="clear" w:color="auto" w:fill="auto"/>
            <w:vAlign w:val="bottom"/>
          </w:tcPr>
          <w:p w14:paraId="46CBF9B9"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541" w:type="pct"/>
            <w:shd w:val="clear" w:color="auto" w:fill="auto"/>
            <w:noWrap/>
            <w:vAlign w:val="bottom"/>
          </w:tcPr>
          <w:p w14:paraId="1A3811B7"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4.62</w:t>
            </w:r>
          </w:p>
        </w:tc>
        <w:tc>
          <w:tcPr>
            <w:tcW w:w="667" w:type="pct"/>
            <w:shd w:val="clear" w:color="auto" w:fill="auto"/>
            <w:noWrap/>
            <w:vAlign w:val="bottom"/>
          </w:tcPr>
          <w:p w14:paraId="740C5558"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0.40</w:t>
            </w:r>
          </w:p>
        </w:tc>
        <w:tc>
          <w:tcPr>
            <w:tcW w:w="1144" w:type="pct"/>
            <w:shd w:val="clear" w:color="auto" w:fill="auto"/>
            <w:noWrap/>
            <w:vAlign w:val="bottom"/>
          </w:tcPr>
          <w:p w14:paraId="18331632"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 </w:t>
            </w:r>
            <w:r>
              <w:rPr>
                <w:rFonts w:ascii="Arial" w:hAnsi="Arial" w:cs="Arial"/>
                <w:b/>
                <w:bCs/>
                <w:color w:val="000000"/>
                <w:sz w:val="20"/>
                <w:szCs w:val="20"/>
              </w:rPr>
              <w:t>Very High</w:t>
            </w:r>
          </w:p>
        </w:tc>
      </w:tr>
    </w:tbl>
    <w:p w14:paraId="11E1FAD7" w14:textId="77777777" w:rsidR="00587694" w:rsidRDefault="00416116">
      <w:pPr>
        <w:spacing w:before="240" w:after="240" w:line="240" w:lineRule="auto"/>
        <w:jc w:val="both"/>
        <w:rPr>
          <w:rFonts w:ascii="Arial" w:eastAsia="Arial" w:hAnsi="Arial" w:cs="Arial"/>
          <w:sz w:val="20"/>
          <w:szCs w:val="20"/>
        </w:rPr>
      </w:pPr>
      <w:bookmarkStart w:id="1" w:name="_tayboykwln56" w:colFirst="0" w:colLast="0"/>
      <w:bookmarkEnd w:id="1"/>
      <w:r>
        <w:rPr>
          <w:rFonts w:ascii="Arial" w:eastAsia="Arial" w:hAnsi="Arial" w:cs="Arial"/>
          <w:sz w:val="20"/>
          <w:szCs w:val="20"/>
        </w:rPr>
        <w:t xml:space="preserve">           Table 11 reveals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perform strongly in assurance, with high ratings for employee trustworthiness (mean = 4.54), safety (4.67), politeness (4.61), and institutional support (4.67), resulting in an overall mean </w:t>
      </w:r>
      <w:r>
        <w:rPr>
          <w:rFonts w:ascii="Arial" w:eastAsia="Arial" w:hAnsi="Arial" w:cs="Arial"/>
          <w:sz w:val="20"/>
          <w:szCs w:val="20"/>
        </w:rPr>
        <w:t>of 4.62. This shows customers view staff as competent, respectful, and reliable—key drivers of satisfaction and loyalty (Karmacharya, 2022; Islam et al., 2022; Pakurár et al., 2019). Trust is especially vital in rural banking, where services are intangible</w:t>
      </w:r>
      <w:r>
        <w:rPr>
          <w:rFonts w:ascii="Arial" w:eastAsia="Arial" w:hAnsi="Arial" w:cs="Arial"/>
          <w:sz w:val="20"/>
          <w:szCs w:val="20"/>
        </w:rPr>
        <w:t xml:space="preserve"> and relationships matter (Adil, 2013). Additionally, high empathy scores reflect banks’ ability to offer personalized care, which enhances customer experience—an essential aspect of service quality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&amp; </w:t>
      </w:r>
      <w:proofErr w:type="spellStart"/>
      <w:r>
        <w:rPr>
          <w:rFonts w:ascii="Arial" w:eastAsia="Arial" w:hAnsi="Arial" w:cs="Arial"/>
          <w:sz w:val="20"/>
          <w:szCs w:val="20"/>
        </w:rPr>
        <w:t>Octaviana</w:t>
      </w:r>
      <w:proofErr w:type="spellEnd"/>
      <w:r>
        <w:rPr>
          <w:rFonts w:ascii="Arial" w:eastAsia="Arial" w:hAnsi="Arial" w:cs="Arial"/>
          <w:sz w:val="20"/>
          <w:szCs w:val="20"/>
        </w:rPr>
        <w:t>, 2021; Karthik, 2024).</w:t>
      </w:r>
    </w:p>
    <w:p w14:paraId="2560C2FA"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2</w:t>
      </w:r>
      <w:r>
        <w:rPr>
          <w:rFonts w:ascii="Arial" w:eastAsia="Arial" w:hAnsi="Arial" w:cs="Arial"/>
          <w:b/>
          <w:color w:val="000000"/>
          <w:sz w:val="20"/>
          <w:szCs w:val="20"/>
        </w:rPr>
        <w:t>.</w:t>
      </w:r>
      <w:r>
        <w:rPr>
          <w:rFonts w:ascii="Arial" w:eastAsia="Arial" w:hAnsi="Arial" w:cs="Arial"/>
          <w:b/>
          <w:sz w:val="20"/>
          <w:szCs w:val="20"/>
        </w:rPr>
        <w:t xml:space="preserve"> </w:t>
      </w:r>
      <w:r>
        <w:rPr>
          <w:rFonts w:ascii="Arial" w:eastAsia="Arial" w:hAnsi="Arial" w:cs="Arial"/>
          <w:sz w:val="20"/>
          <w:szCs w:val="20"/>
        </w:rPr>
        <w:t>Le</w:t>
      </w:r>
      <w:r>
        <w:rPr>
          <w:rFonts w:ascii="Arial" w:eastAsia="Arial" w:hAnsi="Arial" w:cs="Arial"/>
          <w:sz w:val="20"/>
          <w:szCs w:val="20"/>
        </w:rPr>
        <w:t xml:space="preserv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empathy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53"/>
        <w:gridCol w:w="895"/>
        <w:gridCol w:w="1075"/>
        <w:gridCol w:w="1885"/>
      </w:tblGrid>
      <w:tr w:rsidR="00587694" w14:paraId="102DB537" w14:textId="77777777">
        <w:trPr>
          <w:trHeight w:val="570"/>
        </w:trPr>
        <w:tc>
          <w:tcPr>
            <w:tcW w:w="2652" w:type="pct"/>
            <w:shd w:val="clear" w:color="auto" w:fill="auto"/>
            <w:vAlign w:val="center"/>
          </w:tcPr>
          <w:p w14:paraId="0C24C57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545" w:type="pct"/>
            <w:shd w:val="clear" w:color="auto" w:fill="auto"/>
            <w:vAlign w:val="center"/>
          </w:tcPr>
          <w:p w14:paraId="79B92FF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655" w:type="pct"/>
            <w:shd w:val="clear" w:color="auto" w:fill="auto"/>
            <w:vAlign w:val="center"/>
          </w:tcPr>
          <w:p w14:paraId="5072E61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148" w:type="pct"/>
            <w:shd w:val="clear" w:color="auto" w:fill="auto"/>
            <w:noWrap/>
            <w:vAlign w:val="center"/>
          </w:tcPr>
          <w:p w14:paraId="62F29AE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1F2E8465" w14:textId="77777777">
        <w:trPr>
          <w:trHeight w:val="300"/>
        </w:trPr>
        <w:tc>
          <w:tcPr>
            <w:tcW w:w="2652" w:type="pct"/>
            <w:shd w:val="clear" w:color="auto" w:fill="auto"/>
          </w:tcPr>
          <w:p w14:paraId="448DA6E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A financial institution does not give individual attention</w:t>
            </w:r>
          </w:p>
        </w:tc>
        <w:tc>
          <w:tcPr>
            <w:tcW w:w="545" w:type="pct"/>
            <w:shd w:val="clear" w:color="auto" w:fill="auto"/>
            <w:noWrap/>
            <w:vAlign w:val="bottom"/>
          </w:tcPr>
          <w:p w14:paraId="0949581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1.65</w:t>
            </w:r>
          </w:p>
        </w:tc>
        <w:tc>
          <w:tcPr>
            <w:tcW w:w="655" w:type="pct"/>
            <w:shd w:val="clear" w:color="auto" w:fill="auto"/>
            <w:noWrap/>
            <w:vAlign w:val="bottom"/>
          </w:tcPr>
          <w:p w14:paraId="5DC5589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0.80</w:t>
            </w:r>
          </w:p>
        </w:tc>
        <w:tc>
          <w:tcPr>
            <w:tcW w:w="1148" w:type="pct"/>
            <w:shd w:val="clear" w:color="auto" w:fill="auto"/>
            <w:noWrap/>
            <w:vAlign w:val="bottom"/>
          </w:tcPr>
          <w:p w14:paraId="76E3E0A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hAnsi="Arial" w:cs="Arial"/>
                <w:color w:val="000000"/>
                <w:sz w:val="20"/>
                <w:szCs w:val="20"/>
              </w:rPr>
              <w:t>Very Low</w:t>
            </w:r>
          </w:p>
        </w:tc>
      </w:tr>
      <w:tr w:rsidR="00587694" w14:paraId="4D72C61C" w14:textId="77777777">
        <w:trPr>
          <w:trHeight w:val="300"/>
        </w:trPr>
        <w:tc>
          <w:tcPr>
            <w:tcW w:w="2652" w:type="pct"/>
            <w:shd w:val="clear" w:color="auto" w:fill="auto"/>
          </w:tcPr>
          <w:p w14:paraId="5699D7C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 xml:space="preserve">Employees of a financial institution do not give personal attention. </w:t>
            </w:r>
          </w:p>
        </w:tc>
        <w:tc>
          <w:tcPr>
            <w:tcW w:w="545" w:type="pct"/>
            <w:shd w:val="clear" w:color="auto" w:fill="auto"/>
            <w:noWrap/>
            <w:vAlign w:val="bottom"/>
          </w:tcPr>
          <w:p w14:paraId="66F8CDC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1.58</w:t>
            </w:r>
          </w:p>
        </w:tc>
        <w:tc>
          <w:tcPr>
            <w:tcW w:w="655" w:type="pct"/>
            <w:shd w:val="clear" w:color="auto" w:fill="auto"/>
            <w:noWrap/>
            <w:vAlign w:val="bottom"/>
          </w:tcPr>
          <w:p w14:paraId="71FA4FB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0.91</w:t>
            </w:r>
          </w:p>
        </w:tc>
        <w:tc>
          <w:tcPr>
            <w:tcW w:w="1148" w:type="pct"/>
            <w:shd w:val="clear" w:color="auto" w:fill="auto"/>
            <w:noWrap/>
            <w:vAlign w:val="bottom"/>
          </w:tcPr>
          <w:p w14:paraId="2AD1CB5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hAnsi="Arial" w:cs="Arial"/>
                <w:color w:val="000000"/>
                <w:sz w:val="20"/>
                <w:szCs w:val="20"/>
              </w:rPr>
              <w:t>Very Low</w:t>
            </w:r>
          </w:p>
        </w:tc>
      </w:tr>
      <w:tr w:rsidR="00587694" w14:paraId="39687803" w14:textId="77777777">
        <w:trPr>
          <w:trHeight w:val="300"/>
        </w:trPr>
        <w:tc>
          <w:tcPr>
            <w:tcW w:w="2652" w:type="pct"/>
            <w:shd w:val="clear" w:color="auto" w:fill="auto"/>
          </w:tcPr>
          <w:p w14:paraId="47270387" w14:textId="77777777" w:rsidR="00587694" w:rsidRDefault="00416116">
            <w:pPr>
              <w:spacing w:after="0" w:line="240" w:lineRule="auto"/>
              <w:rPr>
                <w:rFonts w:ascii="Arial" w:hAnsi="Arial" w:cs="Arial"/>
                <w:color w:val="000000"/>
                <w:sz w:val="20"/>
                <w:szCs w:val="20"/>
                <w:lang w:val="en-PH"/>
              </w:rPr>
            </w:pPr>
            <w:r>
              <w:rPr>
                <w:rFonts w:ascii="Arial" w:hAnsi="Arial" w:cs="Arial"/>
                <w:color w:val="000000"/>
                <w:sz w:val="20"/>
                <w:szCs w:val="20"/>
                <w:lang w:val="en-PH"/>
              </w:rPr>
              <w:t xml:space="preserve">Employees are unaware of the needs. </w:t>
            </w:r>
          </w:p>
        </w:tc>
        <w:tc>
          <w:tcPr>
            <w:tcW w:w="545" w:type="pct"/>
            <w:shd w:val="clear" w:color="auto" w:fill="auto"/>
            <w:noWrap/>
            <w:vAlign w:val="bottom"/>
          </w:tcPr>
          <w:p w14:paraId="3EBF265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1.67</w:t>
            </w:r>
          </w:p>
        </w:tc>
        <w:tc>
          <w:tcPr>
            <w:tcW w:w="655" w:type="pct"/>
            <w:shd w:val="clear" w:color="auto" w:fill="auto"/>
            <w:noWrap/>
            <w:vAlign w:val="bottom"/>
          </w:tcPr>
          <w:p w14:paraId="462E985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0.81</w:t>
            </w:r>
          </w:p>
        </w:tc>
        <w:tc>
          <w:tcPr>
            <w:tcW w:w="1148" w:type="pct"/>
            <w:shd w:val="clear" w:color="auto" w:fill="auto"/>
            <w:noWrap/>
            <w:vAlign w:val="bottom"/>
          </w:tcPr>
          <w:p w14:paraId="04973F6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hAnsi="Arial" w:cs="Arial"/>
                <w:color w:val="000000"/>
                <w:sz w:val="20"/>
                <w:szCs w:val="20"/>
              </w:rPr>
              <w:t>Very Low</w:t>
            </w:r>
          </w:p>
        </w:tc>
      </w:tr>
      <w:tr w:rsidR="00587694" w14:paraId="4603A0AB" w14:textId="77777777">
        <w:trPr>
          <w:trHeight w:val="300"/>
        </w:trPr>
        <w:tc>
          <w:tcPr>
            <w:tcW w:w="2652" w:type="pct"/>
            <w:shd w:val="clear" w:color="auto" w:fill="auto"/>
          </w:tcPr>
          <w:p w14:paraId="77D0CEE6"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A financial institution does not have the best interests at heart.</w:t>
            </w:r>
          </w:p>
        </w:tc>
        <w:tc>
          <w:tcPr>
            <w:tcW w:w="545" w:type="pct"/>
            <w:shd w:val="clear" w:color="auto" w:fill="auto"/>
            <w:noWrap/>
            <w:vAlign w:val="bottom"/>
          </w:tcPr>
          <w:p w14:paraId="209E362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1.56</w:t>
            </w:r>
          </w:p>
        </w:tc>
        <w:tc>
          <w:tcPr>
            <w:tcW w:w="655" w:type="pct"/>
            <w:shd w:val="clear" w:color="auto" w:fill="auto"/>
            <w:noWrap/>
            <w:vAlign w:val="bottom"/>
          </w:tcPr>
          <w:p w14:paraId="709065E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0.82</w:t>
            </w:r>
          </w:p>
        </w:tc>
        <w:tc>
          <w:tcPr>
            <w:tcW w:w="1148" w:type="pct"/>
            <w:shd w:val="clear" w:color="auto" w:fill="auto"/>
            <w:noWrap/>
            <w:vAlign w:val="bottom"/>
          </w:tcPr>
          <w:p w14:paraId="6EA188A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hAnsi="Arial" w:cs="Arial"/>
                <w:color w:val="000000"/>
                <w:sz w:val="20"/>
                <w:szCs w:val="20"/>
              </w:rPr>
              <w:t>Very Low</w:t>
            </w:r>
          </w:p>
        </w:tc>
      </w:tr>
      <w:tr w:rsidR="00587694" w14:paraId="26C5F64D" w14:textId="77777777">
        <w:trPr>
          <w:trHeight w:val="300"/>
        </w:trPr>
        <w:tc>
          <w:tcPr>
            <w:tcW w:w="2652" w:type="pct"/>
            <w:shd w:val="clear" w:color="auto" w:fill="auto"/>
          </w:tcPr>
          <w:p w14:paraId="143796A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lang w:val="en-PH"/>
              </w:rPr>
              <w:t xml:space="preserve">A financial </w:t>
            </w:r>
            <w:r>
              <w:rPr>
                <w:rFonts w:ascii="Arial" w:hAnsi="Arial" w:cs="Arial"/>
                <w:color w:val="000000"/>
                <w:sz w:val="20"/>
                <w:szCs w:val="20"/>
                <w:lang w:val="en-PH"/>
              </w:rPr>
              <w:t>institution does not have operating hours convenient to all its customers</w:t>
            </w:r>
          </w:p>
        </w:tc>
        <w:tc>
          <w:tcPr>
            <w:tcW w:w="545" w:type="pct"/>
            <w:shd w:val="clear" w:color="auto" w:fill="auto"/>
            <w:noWrap/>
            <w:vAlign w:val="bottom"/>
          </w:tcPr>
          <w:p w14:paraId="339BC9B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1.44</w:t>
            </w:r>
          </w:p>
        </w:tc>
        <w:tc>
          <w:tcPr>
            <w:tcW w:w="655" w:type="pct"/>
            <w:shd w:val="clear" w:color="auto" w:fill="auto"/>
            <w:noWrap/>
            <w:vAlign w:val="bottom"/>
          </w:tcPr>
          <w:p w14:paraId="7A96D9D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0.86</w:t>
            </w:r>
          </w:p>
        </w:tc>
        <w:tc>
          <w:tcPr>
            <w:tcW w:w="1148" w:type="pct"/>
            <w:shd w:val="clear" w:color="auto" w:fill="auto"/>
            <w:noWrap/>
            <w:vAlign w:val="bottom"/>
          </w:tcPr>
          <w:p w14:paraId="082FA47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hAnsi="Arial" w:cs="Arial"/>
                <w:color w:val="000000"/>
                <w:sz w:val="20"/>
                <w:szCs w:val="20"/>
              </w:rPr>
              <w:t>Very Low</w:t>
            </w:r>
          </w:p>
        </w:tc>
      </w:tr>
      <w:tr w:rsidR="00587694" w14:paraId="42F96CE0" w14:textId="77777777">
        <w:trPr>
          <w:trHeight w:val="300"/>
        </w:trPr>
        <w:tc>
          <w:tcPr>
            <w:tcW w:w="2652" w:type="pct"/>
            <w:shd w:val="clear" w:color="auto" w:fill="auto"/>
            <w:vAlign w:val="bottom"/>
          </w:tcPr>
          <w:p w14:paraId="1386A5DE"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545" w:type="pct"/>
            <w:shd w:val="clear" w:color="auto" w:fill="auto"/>
            <w:noWrap/>
            <w:vAlign w:val="bottom"/>
          </w:tcPr>
          <w:p w14:paraId="2F95EA79"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1.58</w:t>
            </w:r>
          </w:p>
        </w:tc>
        <w:tc>
          <w:tcPr>
            <w:tcW w:w="655" w:type="pct"/>
            <w:shd w:val="clear" w:color="auto" w:fill="auto"/>
            <w:noWrap/>
            <w:vAlign w:val="bottom"/>
          </w:tcPr>
          <w:p w14:paraId="2550FFF9"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0.71</w:t>
            </w:r>
          </w:p>
        </w:tc>
        <w:tc>
          <w:tcPr>
            <w:tcW w:w="1148" w:type="pct"/>
            <w:shd w:val="clear" w:color="auto" w:fill="auto"/>
            <w:noWrap/>
            <w:vAlign w:val="bottom"/>
          </w:tcPr>
          <w:p w14:paraId="2F78A908"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hAnsi="Arial" w:cs="Arial"/>
                <w:b/>
                <w:bCs/>
                <w:color w:val="000000"/>
                <w:sz w:val="20"/>
                <w:szCs w:val="20"/>
              </w:rPr>
              <w:t>Very Low</w:t>
            </w:r>
          </w:p>
        </w:tc>
      </w:tr>
    </w:tbl>
    <w:p w14:paraId="75D2A676" w14:textId="77777777" w:rsidR="00587694" w:rsidRDefault="00416116">
      <w:pPr>
        <w:spacing w:before="280" w:line="240" w:lineRule="auto"/>
        <w:jc w:val="both"/>
        <w:rPr>
          <w:rFonts w:ascii="Arial" w:eastAsia="Arial" w:hAnsi="Arial" w:cs="Arial"/>
          <w:sz w:val="20"/>
          <w:szCs w:val="20"/>
        </w:rPr>
      </w:pPr>
      <w:r>
        <w:rPr>
          <w:rFonts w:ascii="Arial" w:eastAsia="Arial" w:hAnsi="Arial" w:cs="Arial"/>
          <w:b/>
          <w:color w:val="000000"/>
          <w:sz w:val="20"/>
          <w:szCs w:val="20"/>
        </w:rPr>
        <w:t xml:space="preserve">    </w:t>
      </w:r>
      <w:r>
        <w:rPr>
          <w:rFonts w:ascii="Arial" w:hAnsi="Arial" w:cs="Arial"/>
          <w:sz w:val="20"/>
          <w:szCs w:val="20"/>
        </w:rPr>
        <w:tab/>
      </w:r>
      <w:r>
        <w:rPr>
          <w:rFonts w:ascii="Arial" w:eastAsia="Arial" w:hAnsi="Arial" w:cs="Arial"/>
          <w:sz w:val="20"/>
          <w:szCs w:val="20"/>
        </w:rPr>
        <w:t xml:space="preserve">Table 12 shows strong empathy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low mean scores (avg. = 1.58) on negative items, indicating customers feel well cared for and understood. This aligns with studies by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Islam et al. (2022), and Huh and Kim (2023), who link empathy to tru</w:t>
      </w:r>
      <w:r>
        <w:rPr>
          <w:rFonts w:ascii="Arial" w:eastAsia="Arial" w:hAnsi="Arial" w:cs="Arial"/>
          <w:sz w:val="20"/>
          <w:szCs w:val="20"/>
        </w:rPr>
        <w:t>st and customer-</w:t>
      </w:r>
      <w:proofErr w:type="spellStart"/>
      <w:r>
        <w:rPr>
          <w:rFonts w:ascii="Arial" w:eastAsia="Arial" w:hAnsi="Arial" w:cs="Arial"/>
          <w:sz w:val="20"/>
          <w:szCs w:val="20"/>
        </w:rPr>
        <w:t>centered</w:t>
      </w:r>
      <w:proofErr w:type="spellEnd"/>
      <w:r>
        <w:rPr>
          <w:rFonts w:ascii="Arial" w:eastAsia="Arial" w:hAnsi="Arial" w:cs="Arial"/>
          <w:sz w:val="20"/>
          <w:szCs w:val="20"/>
        </w:rPr>
        <w:t xml:space="preserve"> service. Pakurár et al. (2019) and Vidani (2024) also stress empathy’s role in balancing technology and human interaction. Overall, empathy stands out as a key strength driving loyalty and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rural banking sec</w:t>
      </w:r>
      <w:r>
        <w:rPr>
          <w:rFonts w:ascii="Arial" w:eastAsia="Arial" w:hAnsi="Arial" w:cs="Arial"/>
          <w:sz w:val="20"/>
          <w:szCs w:val="20"/>
        </w:rPr>
        <w:t>tor.</w:t>
      </w:r>
    </w:p>
    <w:p w14:paraId="2D48FBF2"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3</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 xml:space="preserve">Summary of the level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in terms of empathy</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1"/>
        <w:gridCol w:w="965"/>
        <w:gridCol w:w="1308"/>
        <w:gridCol w:w="2354"/>
      </w:tblGrid>
      <w:tr w:rsidR="00587694" w14:paraId="3A086B05" w14:textId="77777777">
        <w:trPr>
          <w:trHeight w:val="720"/>
        </w:trPr>
        <w:tc>
          <w:tcPr>
            <w:tcW w:w="2181" w:type="pct"/>
            <w:shd w:val="clear" w:color="auto" w:fill="auto"/>
            <w:vAlign w:val="center"/>
          </w:tcPr>
          <w:p w14:paraId="63F64F26"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lastRenderedPageBreak/>
              <w:t>Factors of Service Quality</w:t>
            </w:r>
          </w:p>
        </w:tc>
        <w:tc>
          <w:tcPr>
            <w:tcW w:w="588" w:type="pct"/>
            <w:shd w:val="clear" w:color="auto" w:fill="auto"/>
            <w:vAlign w:val="center"/>
          </w:tcPr>
          <w:p w14:paraId="7B4755A5"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Mean</w:t>
            </w:r>
          </w:p>
        </w:tc>
        <w:tc>
          <w:tcPr>
            <w:tcW w:w="797" w:type="pct"/>
            <w:shd w:val="clear" w:color="auto" w:fill="auto"/>
            <w:vAlign w:val="center"/>
          </w:tcPr>
          <w:p w14:paraId="7AAD89E8"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Std. Deviation</w:t>
            </w:r>
          </w:p>
        </w:tc>
        <w:tc>
          <w:tcPr>
            <w:tcW w:w="1434" w:type="pct"/>
            <w:shd w:val="clear" w:color="auto" w:fill="auto"/>
            <w:noWrap/>
            <w:vAlign w:val="center"/>
          </w:tcPr>
          <w:p w14:paraId="6E9089EE"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Interpretation</w:t>
            </w:r>
          </w:p>
        </w:tc>
      </w:tr>
      <w:tr w:rsidR="00587694" w14:paraId="5694D08E" w14:textId="77777777">
        <w:trPr>
          <w:trHeight w:val="300"/>
        </w:trPr>
        <w:tc>
          <w:tcPr>
            <w:tcW w:w="2181" w:type="pct"/>
            <w:shd w:val="clear" w:color="auto" w:fill="auto"/>
          </w:tcPr>
          <w:p w14:paraId="6FFE6685"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Tangible</w:t>
            </w:r>
          </w:p>
        </w:tc>
        <w:tc>
          <w:tcPr>
            <w:tcW w:w="588" w:type="pct"/>
            <w:shd w:val="clear" w:color="auto" w:fill="auto"/>
            <w:noWrap/>
            <w:vAlign w:val="center"/>
          </w:tcPr>
          <w:p w14:paraId="0DAFF601"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4.59</w:t>
            </w:r>
          </w:p>
        </w:tc>
        <w:tc>
          <w:tcPr>
            <w:tcW w:w="797" w:type="pct"/>
            <w:shd w:val="clear" w:color="auto" w:fill="auto"/>
            <w:noWrap/>
            <w:vAlign w:val="center"/>
          </w:tcPr>
          <w:p w14:paraId="327D373E"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0.37</w:t>
            </w:r>
          </w:p>
        </w:tc>
        <w:tc>
          <w:tcPr>
            <w:tcW w:w="1434" w:type="pct"/>
            <w:shd w:val="clear" w:color="auto" w:fill="auto"/>
            <w:noWrap/>
            <w:vAlign w:val="bottom"/>
          </w:tcPr>
          <w:p w14:paraId="08BD05D1"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Very High</w:t>
            </w:r>
          </w:p>
        </w:tc>
      </w:tr>
      <w:tr w:rsidR="00587694" w14:paraId="2473B3A9" w14:textId="77777777">
        <w:trPr>
          <w:trHeight w:val="300"/>
        </w:trPr>
        <w:tc>
          <w:tcPr>
            <w:tcW w:w="2181" w:type="pct"/>
            <w:shd w:val="clear" w:color="auto" w:fill="auto"/>
          </w:tcPr>
          <w:p w14:paraId="2611C92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Reliability</w:t>
            </w:r>
          </w:p>
        </w:tc>
        <w:tc>
          <w:tcPr>
            <w:tcW w:w="588" w:type="pct"/>
            <w:shd w:val="clear" w:color="auto" w:fill="auto"/>
            <w:noWrap/>
            <w:vAlign w:val="center"/>
          </w:tcPr>
          <w:p w14:paraId="135FAB4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3.24</w:t>
            </w:r>
          </w:p>
        </w:tc>
        <w:tc>
          <w:tcPr>
            <w:tcW w:w="797" w:type="pct"/>
            <w:shd w:val="clear" w:color="auto" w:fill="auto"/>
            <w:noWrap/>
            <w:vAlign w:val="center"/>
          </w:tcPr>
          <w:p w14:paraId="583A73C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0.28</w:t>
            </w:r>
          </w:p>
        </w:tc>
        <w:tc>
          <w:tcPr>
            <w:tcW w:w="1434" w:type="pct"/>
            <w:shd w:val="clear" w:color="auto" w:fill="auto"/>
            <w:noWrap/>
            <w:vAlign w:val="bottom"/>
          </w:tcPr>
          <w:p w14:paraId="55792B01"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Moderate</w:t>
            </w:r>
          </w:p>
        </w:tc>
      </w:tr>
      <w:tr w:rsidR="00587694" w14:paraId="23B5E19B" w14:textId="77777777">
        <w:trPr>
          <w:trHeight w:val="300"/>
        </w:trPr>
        <w:tc>
          <w:tcPr>
            <w:tcW w:w="2181" w:type="pct"/>
            <w:shd w:val="clear" w:color="auto" w:fill="auto"/>
          </w:tcPr>
          <w:p w14:paraId="05C01C4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Responsiveness</w:t>
            </w:r>
          </w:p>
        </w:tc>
        <w:tc>
          <w:tcPr>
            <w:tcW w:w="588" w:type="pct"/>
            <w:shd w:val="clear" w:color="auto" w:fill="auto"/>
            <w:noWrap/>
            <w:vAlign w:val="bottom"/>
          </w:tcPr>
          <w:p w14:paraId="3608DCD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4.41</w:t>
            </w:r>
          </w:p>
        </w:tc>
        <w:tc>
          <w:tcPr>
            <w:tcW w:w="797" w:type="pct"/>
            <w:shd w:val="clear" w:color="auto" w:fill="auto"/>
            <w:noWrap/>
            <w:vAlign w:val="bottom"/>
          </w:tcPr>
          <w:p w14:paraId="0D0D7EF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0.59</w:t>
            </w:r>
          </w:p>
        </w:tc>
        <w:tc>
          <w:tcPr>
            <w:tcW w:w="1434" w:type="pct"/>
            <w:shd w:val="clear" w:color="auto" w:fill="auto"/>
            <w:noWrap/>
            <w:vAlign w:val="bottom"/>
          </w:tcPr>
          <w:p w14:paraId="59CCDFE3" w14:textId="77777777" w:rsidR="00587694" w:rsidRDefault="00416116">
            <w:pPr>
              <w:spacing w:after="0" w:line="240" w:lineRule="auto"/>
              <w:jc w:val="center"/>
              <w:rPr>
                <w:rFonts w:ascii="Arial" w:eastAsia="Times New Roman" w:hAnsi="Arial" w:cs="Arial"/>
                <w:color w:val="C00000"/>
                <w:sz w:val="20"/>
                <w:szCs w:val="20"/>
                <w:lang w:val="en-PH" w:eastAsia="en-PH"/>
              </w:rPr>
            </w:pPr>
            <w:r>
              <w:rPr>
                <w:rFonts w:ascii="Arial" w:eastAsia="Times New Roman" w:hAnsi="Arial" w:cs="Arial"/>
                <w:sz w:val="20"/>
                <w:szCs w:val="20"/>
                <w:lang w:val="en-PH" w:eastAsia="en-PH"/>
              </w:rPr>
              <w:t>Very High</w:t>
            </w:r>
          </w:p>
        </w:tc>
      </w:tr>
      <w:tr w:rsidR="00587694" w14:paraId="10CFDDD8" w14:textId="77777777">
        <w:trPr>
          <w:trHeight w:val="300"/>
        </w:trPr>
        <w:tc>
          <w:tcPr>
            <w:tcW w:w="2181" w:type="pct"/>
            <w:shd w:val="clear" w:color="auto" w:fill="auto"/>
          </w:tcPr>
          <w:p w14:paraId="139CBE7E"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Assurance</w:t>
            </w:r>
          </w:p>
        </w:tc>
        <w:tc>
          <w:tcPr>
            <w:tcW w:w="588" w:type="pct"/>
            <w:shd w:val="clear" w:color="auto" w:fill="auto"/>
            <w:noWrap/>
            <w:vAlign w:val="center"/>
          </w:tcPr>
          <w:p w14:paraId="7F44B0A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4.62</w:t>
            </w:r>
          </w:p>
        </w:tc>
        <w:tc>
          <w:tcPr>
            <w:tcW w:w="797" w:type="pct"/>
            <w:shd w:val="clear" w:color="auto" w:fill="auto"/>
            <w:noWrap/>
            <w:vAlign w:val="center"/>
          </w:tcPr>
          <w:p w14:paraId="093AD2F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0.40</w:t>
            </w:r>
          </w:p>
        </w:tc>
        <w:tc>
          <w:tcPr>
            <w:tcW w:w="1434" w:type="pct"/>
            <w:shd w:val="clear" w:color="auto" w:fill="auto"/>
            <w:noWrap/>
            <w:vAlign w:val="bottom"/>
          </w:tcPr>
          <w:p w14:paraId="30BAFEDB"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Very High</w:t>
            </w:r>
          </w:p>
        </w:tc>
      </w:tr>
      <w:tr w:rsidR="00587694" w14:paraId="4C3721DB" w14:textId="77777777">
        <w:trPr>
          <w:trHeight w:val="300"/>
        </w:trPr>
        <w:tc>
          <w:tcPr>
            <w:tcW w:w="2181" w:type="pct"/>
            <w:shd w:val="clear" w:color="auto" w:fill="auto"/>
          </w:tcPr>
          <w:p w14:paraId="117E697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Empathy</w:t>
            </w:r>
          </w:p>
        </w:tc>
        <w:tc>
          <w:tcPr>
            <w:tcW w:w="588" w:type="pct"/>
            <w:shd w:val="clear" w:color="auto" w:fill="auto"/>
            <w:noWrap/>
            <w:vAlign w:val="center"/>
          </w:tcPr>
          <w:p w14:paraId="39A16E7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1.58</w:t>
            </w:r>
          </w:p>
        </w:tc>
        <w:tc>
          <w:tcPr>
            <w:tcW w:w="797" w:type="pct"/>
            <w:shd w:val="clear" w:color="auto" w:fill="auto"/>
            <w:noWrap/>
            <w:vAlign w:val="center"/>
          </w:tcPr>
          <w:p w14:paraId="0118DDA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0.71</w:t>
            </w:r>
          </w:p>
        </w:tc>
        <w:tc>
          <w:tcPr>
            <w:tcW w:w="1434" w:type="pct"/>
            <w:shd w:val="clear" w:color="auto" w:fill="auto"/>
            <w:noWrap/>
            <w:vAlign w:val="bottom"/>
          </w:tcPr>
          <w:p w14:paraId="31FCD9AA"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Ver Low</w:t>
            </w:r>
          </w:p>
        </w:tc>
      </w:tr>
      <w:tr w:rsidR="00587694" w14:paraId="7F9F2FE3" w14:textId="77777777">
        <w:trPr>
          <w:trHeight w:val="300"/>
        </w:trPr>
        <w:tc>
          <w:tcPr>
            <w:tcW w:w="2181" w:type="pct"/>
            <w:shd w:val="clear" w:color="auto" w:fill="auto"/>
          </w:tcPr>
          <w:p w14:paraId="7A1A9E64"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Overall Service Quality</w:t>
            </w:r>
          </w:p>
        </w:tc>
        <w:tc>
          <w:tcPr>
            <w:tcW w:w="588" w:type="pct"/>
            <w:shd w:val="clear" w:color="auto" w:fill="auto"/>
            <w:noWrap/>
            <w:vAlign w:val="center"/>
          </w:tcPr>
          <w:p w14:paraId="6A3B63F4"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3.69</w:t>
            </w:r>
          </w:p>
        </w:tc>
        <w:tc>
          <w:tcPr>
            <w:tcW w:w="797" w:type="pct"/>
            <w:shd w:val="clear" w:color="auto" w:fill="auto"/>
            <w:noWrap/>
            <w:vAlign w:val="center"/>
          </w:tcPr>
          <w:p w14:paraId="03766AC6"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0.22</w:t>
            </w:r>
          </w:p>
        </w:tc>
        <w:tc>
          <w:tcPr>
            <w:tcW w:w="1434" w:type="pct"/>
            <w:shd w:val="clear" w:color="auto" w:fill="auto"/>
            <w:noWrap/>
            <w:vAlign w:val="bottom"/>
          </w:tcPr>
          <w:p w14:paraId="70EAED51" w14:textId="77777777" w:rsidR="00587694" w:rsidRDefault="00416116">
            <w:pPr>
              <w:spacing w:after="0" w:line="240" w:lineRule="auto"/>
              <w:jc w:val="center"/>
              <w:rPr>
                <w:rFonts w:ascii="Arial" w:eastAsia="Times New Roman" w:hAnsi="Arial" w:cs="Arial"/>
                <w:b/>
                <w:bCs/>
                <w:color w:val="C00000"/>
                <w:sz w:val="20"/>
                <w:szCs w:val="20"/>
                <w:lang w:val="en-PH" w:eastAsia="en-PH"/>
              </w:rPr>
            </w:pPr>
            <w:r>
              <w:rPr>
                <w:rFonts w:ascii="Arial" w:eastAsia="Times New Roman" w:hAnsi="Arial" w:cs="Arial"/>
                <w:b/>
                <w:bCs/>
                <w:color w:val="000000"/>
                <w:sz w:val="20"/>
                <w:szCs w:val="20"/>
                <w:lang w:val="en-PH" w:eastAsia="en-PH"/>
              </w:rPr>
              <w:t>High</w:t>
            </w:r>
          </w:p>
        </w:tc>
      </w:tr>
    </w:tbl>
    <w:p w14:paraId="18FD1439"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13 shows high service quality ratings in tangibility (4.59), responsiveness (4.41), and assurance (4.62). While empathy shows a low mean (1.58), this reflects strong performance due to disagreement with negative statements, indicating cus</w:t>
      </w:r>
      <w:r>
        <w:rPr>
          <w:rFonts w:ascii="Arial" w:eastAsia="Arial" w:hAnsi="Arial" w:cs="Arial"/>
          <w:sz w:val="20"/>
          <w:szCs w:val="20"/>
        </w:rPr>
        <w:t xml:space="preserve">tomers feel well cared for. This supports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Huh and Kim (2023), who highlight empathy’s role in building satisfaction and loyalty. Islam et al. (2022) also emphasize empathy’s importance in creating trust and emotional conne</w:t>
      </w:r>
      <w:r>
        <w:rPr>
          <w:rFonts w:ascii="Arial" w:eastAsia="Arial" w:hAnsi="Arial" w:cs="Arial"/>
          <w:sz w:val="20"/>
          <w:szCs w:val="20"/>
        </w:rPr>
        <w:t xml:space="preserve">ction. Thus, empathy is a key contributor to overall service quality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w:t>
      </w:r>
    </w:p>
    <w:p w14:paraId="3FFD92D1"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 xml:space="preserve">4.3 Level of Customer Satisfaction Provided by Financial Institutions in </w:t>
      </w:r>
      <w:proofErr w:type="spellStart"/>
      <w:r>
        <w:rPr>
          <w:rFonts w:ascii="Arial" w:eastAsia="Arial" w:hAnsi="Arial" w:cs="Arial"/>
          <w:b/>
          <w:sz w:val="20"/>
          <w:szCs w:val="20"/>
        </w:rPr>
        <w:t>Cateel</w:t>
      </w:r>
      <w:proofErr w:type="spellEnd"/>
    </w:p>
    <w:p w14:paraId="7DF63A08"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14 shows high customer satisfaction and loyalty towa</w:t>
      </w:r>
      <w:r>
        <w:rPr>
          <w:rFonts w:ascii="Arial" w:eastAsia="Arial" w:hAnsi="Arial" w:cs="Arial"/>
          <w:sz w:val="20"/>
          <w:szCs w:val="20"/>
        </w:rPr>
        <w:t xml:space="preserve">rd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with a mean score of 4.59 and low variability (SD = 0.40). Respondents expressed strong satisfaction with innovation (4.62), continued engagement (4.64), and </w:t>
      </w:r>
      <w:proofErr w:type="spellStart"/>
      <w:r>
        <w:rPr>
          <w:rFonts w:ascii="Arial" w:eastAsia="Arial" w:hAnsi="Arial" w:cs="Arial"/>
          <w:sz w:val="20"/>
          <w:szCs w:val="20"/>
        </w:rPr>
        <w:t>fulfillment</w:t>
      </w:r>
      <w:proofErr w:type="spellEnd"/>
      <w:r>
        <w:rPr>
          <w:rFonts w:ascii="Arial" w:eastAsia="Arial" w:hAnsi="Arial" w:cs="Arial"/>
          <w:sz w:val="20"/>
          <w:szCs w:val="20"/>
        </w:rPr>
        <w:t xml:space="preserve"> of needs (4.69). Satisfaction with physical facil</w:t>
      </w:r>
      <w:r>
        <w:rPr>
          <w:rFonts w:ascii="Arial" w:eastAsia="Arial" w:hAnsi="Arial" w:cs="Arial"/>
          <w:sz w:val="20"/>
          <w:szCs w:val="20"/>
        </w:rPr>
        <w:t>ities (4.52) also reflects the value of both service quality and environment.</w:t>
      </w:r>
    </w:p>
    <w:p w14:paraId="6A1D4A80"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4</w:t>
      </w:r>
      <w:r>
        <w:rPr>
          <w:rFonts w:ascii="Arial" w:eastAsia="Arial" w:hAnsi="Arial" w:cs="Arial"/>
          <w:color w:val="000000"/>
          <w:sz w:val="20"/>
          <w:szCs w:val="20"/>
        </w:rPr>
        <w:t xml:space="preserve">. </w:t>
      </w:r>
      <w:r>
        <w:rPr>
          <w:rFonts w:ascii="Arial" w:eastAsia="Arial" w:hAnsi="Arial" w:cs="Arial"/>
          <w:sz w:val="20"/>
          <w:szCs w:val="20"/>
        </w:rPr>
        <w:t xml:space="preserve">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customer loyalty</w:t>
      </w:r>
    </w:p>
    <w:tbl>
      <w:tblPr>
        <w:tblW w:w="8740" w:type="dxa"/>
        <w:tblBorders>
          <w:top w:val="single" w:sz="4" w:space="0" w:color="auto"/>
          <w:bottom w:val="single" w:sz="4" w:space="0" w:color="auto"/>
          <w:insideH w:val="single" w:sz="4" w:space="0" w:color="auto"/>
        </w:tblBorders>
        <w:tblLook w:val="04A0" w:firstRow="1" w:lastRow="0" w:firstColumn="1" w:lastColumn="0" w:noHBand="0" w:noVBand="1"/>
      </w:tblPr>
      <w:tblGrid>
        <w:gridCol w:w="5022"/>
        <w:gridCol w:w="790"/>
        <w:gridCol w:w="1151"/>
        <w:gridCol w:w="1777"/>
      </w:tblGrid>
      <w:tr w:rsidR="00587694" w14:paraId="1358F4C7" w14:textId="77777777">
        <w:trPr>
          <w:trHeight w:val="437"/>
        </w:trPr>
        <w:tc>
          <w:tcPr>
            <w:tcW w:w="5022" w:type="dxa"/>
            <w:shd w:val="clear" w:color="auto" w:fill="auto"/>
            <w:vAlign w:val="center"/>
          </w:tcPr>
          <w:p w14:paraId="00C00B9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790" w:type="dxa"/>
            <w:shd w:val="clear" w:color="auto" w:fill="auto"/>
            <w:vAlign w:val="center"/>
          </w:tcPr>
          <w:p w14:paraId="628A23D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1151" w:type="dxa"/>
            <w:shd w:val="clear" w:color="auto" w:fill="auto"/>
            <w:vAlign w:val="center"/>
          </w:tcPr>
          <w:p w14:paraId="688E6DA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777" w:type="dxa"/>
            <w:shd w:val="clear" w:color="auto" w:fill="auto"/>
            <w:noWrap/>
            <w:vAlign w:val="center"/>
          </w:tcPr>
          <w:p w14:paraId="3B10ECC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7191E3DE" w14:textId="77777777">
        <w:trPr>
          <w:trHeight w:val="300"/>
        </w:trPr>
        <w:tc>
          <w:tcPr>
            <w:tcW w:w="5022" w:type="dxa"/>
            <w:shd w:val="clear" w:color="auto" w:fill="auto"/>
          </w:tcPr>
          <w:p w14:paraId="56B31F47"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 xml:space="preserve">Extremely </w:t>
            </w:r>
            <w:r>
              <w:rPr>
                <w:rFonts w:ascii="Arial" w:hAnsi="Arial" w:cs="Arial"/>
                <w:color w:val="000000"/>
                <w:sz w:val="20"/>
                <w:szCs w:val="20"/>
              </w:rPr>
              <w:t>satisfied with the new innovations and creativity introduced by the financial institution; continued engagement is likely.</w:t>
            </w:r>
          </w:p>
        </w:tc>
        <w:tc>
          <w:tcPr>
            <w:tcW w:w="790" w:type="dxa"/>
            <w:shd w:val="clear" w:color="auto" w:fill="auto"/>
            <w:noWrap/>
            <w:vAlign w:val="center"/>
          </w:tcPr>
          <w:p w14:paraId="30C3CE5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4.62</w:t>
            </w:r>
          </w:p>
        </w:tc>
        <w:tc>
          <w:tcPr>
            <w:tcW w:w="1151" w:type="dxa"/>
            <w:shd w:val="clear" w:color="auto" w:fill="auto"/>
            <w:noWrap/>
            <w:vAlign w:val="center"/>
          </w:tcPr>
          <w:p w14:paraId="62CFE0D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0.54</w:t>
            </w:r>
          </w:p>
        </w:tc>
        <w:tc>
          <w:tcPr>
            <w:tcW w:w="1777" w:type="dxa"/>
            <w:shd w:val="clear" w:color="auto" w:fill="auto"/>
            <w:noWrap/>
            <w:vAlign w:val="bottom"/>
          </w:tcPr>
          <w:p w14:paraId="5BF2180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4B027FB7" w14:textId="77777777">
        <w:trPr>
          <w:trHeight w:val="300"/>
        </w:trPr>
        <w:tc>
          <w:tcPr>
            <w:tcW w:w="5022" w:type="dxa"/>
            <w:shd w:val="clear" w:color="auto" w:fill="auto"/>
          </w:tcPr>
          <w:p w14:paraId="04DFB57C" w14:textId="77777777" w:rsidR="00587694" w:rsidRDefault="00416116">
            <w:pPr>
              <w:spacing w:after="0" w:line="240" w:lineRule="auto"/>
              <w:ind w:left="8"/>
              <w:rPr>
                <w:rFonts w:ascii="Arial" w:eastAsia="Times New Roman" w:hAnsi="Arial" w:cs="Arial"/>
                <w:color w:val="000000"/>
                <w:sz w:val="20"/>
                <w:szCs w:val="20"/>
                <w:lang w:val="en-PH" w:eastAsia="en-PH"/>
              </w:rPr>
            </w:pPr>
            <w:r>
              <w:rPr>
                <w:rFonts w:ascii="Arial" w:hAnsi="Arial" w:cs="Arial"/>
                <w:color w:val="000000"/>
                <w:sz w:val="20"/>
                <w:szCs w:val="20"/>
              </w:rPr>
              <w:t xml:space="preserve">More business will likely be conducted with the financial institution in the next few years compared to the </w:t>
            </w:r>
            <w:r>
              <w:rPr>
                <w:rFonts w:ascii="Arial" w:hAnsi="Arial" w:cs="Arial"/>
                <w:color w:val="000000"/>
                <w:sz w:val="20"/>
                <w:szCs w:val="20"/>
              </w:rPr>
              <w:t>present.</w:t>
            </w:r>
          </w:p>
        </w:tc>
        <w:tc>
          <w:tcPr>
            <w:tcW w:w="790" w:type="dxa"/>
            <w:shd w:val="clear" w:color="auto" w:fill="auto"/>
            <w:noWrap/>
            <w:vAlign w:val="center"/>
          </w:tcPr>
          <w:p w14:paraId="1542170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4.64</w:t>
            </w:r>
          </w:p>
        </w:tc>
        <w:tc>
          <w:tcPr>
            <w:tcW w:w="1151" w:type="dxa"/>
            <w:shd w:val="clear" w:color="auto" w:fill="auto"/>
            <w:noWrap/>
            <w:vAlign w:val="center"/>
          </w:tcPr>
          <w:p w14:paraId="2379941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0.60</w:t>
            </w:r>
          </w:p>
        </w:tc>
        <w:tc>
          <w:tcPr>
            <w:tcW w:w="1777" w:type="dxa"/>
            <w:shd w:val="clear" w:color="auto" w:fill="auto"/>
            <w:noWrap/>
            <w:vAlign w:val="bottom"/>
          </w:tcPr>
          <w:p w14:paraId="0A32696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2F86452E" w14:textId="77777777">
        <w:trPr>
          <w:trHeight w:val="300"/>
        </w:trPr>
        <w:tc>
          <w:tcPr>
            <w:tcW w:w="5022" w:type="dxa"/>
            <w:shd w:val="clear" w:color="auto" w:fill="auto"/>
          </w:tcPr>
          <w:p w14:paraId="39EA6D84"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Extremely satisfied with the financial services rendered by the financial institution; continued loyalty is expected.</w:t>
            </w:r>
          </w:p>
        </w:tc>
        <w:tc>
          <w:tcPr>
            <w:tcW w:w="790" w:type="dxa"/>
            <w:shd w:val="clear" w:color="auto" w:fill="auto"/>
            <w:noWrap/>
            <w:vAlign w:val="center"/>
          </w:tcPr>
          <w:p w14:paraId="7178393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4.50</w:t>
            </w:r>
          </w:p>
        </w:tc>
        <w:tc>
          <w:tcPr>
            <w:tcW w:w="1151" w:type="dxa"/>
            <w:shd w:val="clear" w:color="auto" w:fill="auto"/>
            <w:noWrap/>
            <w:vAlign w:val="center"/>
          </w:tcPr>
          <w:p w14:paraId="2C37F22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0.60</w:t>
            </w:r>
          </w:p>
        </w:tc>
        <w:tc>
          <w:tcPr>
            <w:tcW w:w="1777" w:type="dxa"/>
            <w:shd w:val="clear" w:color="auto" w:fill="auto"/>
            <w:noWrap/>
            <w:vAlign w:val="bottom"/>
          </w:tcPr>
          <w:p w14:paraId="7950E5A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3D4BEC7E" w14:textId="77777777">
        <w:trPr>
          <w:trHeight w:val="300"/>
        </w:trPr>
        <w:tc>
          <w:tcPr>
            <w:tcW w:w="5022" w:type="dxa"/>
            <w:shd w:val="clear" w:color="auto" w:fill="auto"/>
          </w:tcPr>
          <w:p w14:paraId="4D18BA92"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 xml:space="preserve">The financial institution does a good job of satisfying customer needs, and all </w:t>
            </w:r>
            <w:r>
              <w:rPr>
                <w:rFonts w:ascii="Arial" w:hAnsi="Arial" w:cs="Arial"/>
                <w:color w:val="000000"/>
                <w:sz w:val="20"/>
                <w:szCs w:val="20"/>
              </w:rPr>
              <w:t>things being equal, continued usage is highly likely.</w:t>
            </w:r>
          </w:p>
        </w:tc>
        <w:tc>
          <w:tcPr>
            <w:tcW w:w="790" w:type="dxa"/>
            <w:shd w:val="clear" w:color="auto" w:fill="auto"/>
            <w:noWrap/>
            <w:vAlign w:val="center"/>
          </w:tcPr>
          <w:p w14:paraId="48BA4A1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4.69</w:t>
            </w:r>
          </w:p>
        </w:tc>
        <w:tc>
          <w:tcPr>
            <w:tcW w:w="1151" w:type="dxa"/>
            <w:shd w:val="clear" w:color="auto" w:fill="auto"/>
            <w:noWrap/>
            <w:vAlign w:val="center"/>
          </w:tcPr>
          <w:p w14:paraId="2DB9CA3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0.56</w:t>
            </w:r>
          </w:p>
        </w:tc>
        <w:tc>
          <w:tcPr>
            <w:tcW w:w="1777" w:type="dxa"/>
            <w:shd w:val="clear" w:color="auto" w:fill="auto"/>
            <w:noWrap/>
            <w:vAlign w:val="bottom"/>
          </w:tcPr>
          <w:p w14:paraId="4B8EB89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4FDEBF68" w14:textId="77777777">
        <w:trPr>
          <w:trHeight w:val="300"/>
        </w:trPr>
        <w:tc>
          <w:tcPr>
            <w:tcW w:w="5022" w:type="dxa"/>
            <w:shd w:val="clear" w:color="auto" w:fill="auto"/>
          </w:tcPr>
          <w:p w14:paraId="24BC78BD"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The financial institution’s physical facilities are visually appealing.</w:t>
            </w:r>
          </w:p>
        </w:tc>
        <w:tc>
          <w:tcPr>
            <w:tcW w:w="790" w:type="dxa"/>
            <w:shd w:val="clear" w:color="auto" w:fill="auto"/>
            <w:noWrap/>
            <w:vAlign w:val="center"/>
          </w:tcPr>
          <w:p w14:paraId="6D70B1C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4.52</w:t>
            </w:r>
          </w:p>
        </w:tc>
        <w:tc>
          <w:tcPr>
            <w:tcW w:w="1151" w:type="dxa"/>
            <w:shd w:val="clear" w:color="auto" w:fill="auto"/>
            <w:noWrap/>
            <w:vAlign w:val="center"/>
          </w:tcPr>
          <w:p w14:paraId="1760948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0.62</w:t>
            </w:r>
          </w:p>
        </w:tc>
        <w:tc>
          <w:tcPr>
            <w:tcW w:w="1777" w:type="dxa"/>
            <w:shd w:val="clear" w:color="auto" w:fill="auto"/>
            <w:noWrap/>
            <w:vAlign w:val="bottom"/>
          </w:tcPr>
          <w:p w14:paraId="6F2DECB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7ACB9E34" w14:textId="77777777">
        <w:trPr>
          <w:trHeight w:val="300"/>
        </w:trPr>
        <w:tc>
          <w:tcPr>
            <w:tcW w:w="5022" w:type="dxa"/>
            <w:shd w:val="clear" w:color="auto" w:fill="auto"/>
          </w:tcPr>
          <w:p w14:paraId="2F61E91A"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790" w:type="dxa"/>
            <w:shd w:val="clear" w:color="auto" w:fill="auto"/>
            <w:noWrap/>
            <w:vAlign w:val="center"/>
          </w:tcPr>
          <w:p w14:paraId="5A3848A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4.59</w:t>
            </w:r>
          </w:p>
        </w:tc>
        <w:tc>
          <w:tcPr>
            <w:tcW w:w="1151" w:type="dxa"/>
            <w:shd w:val="clear" w:color="auto" w:fill="auto"/>
            <w:noWrap/>
            <w:vAlign w:val="center"/>
          </w:tcPr>
          <w:p w14:paraId="3C4765E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0.40</w:t>
            </w:r>
          </w:p>
        </w:tc>
        <w:tc>
          <w:tcPr>
            <w:tcW w:w="1777" w:type="dxa"/>
            <w:shd w:val="clear" w:color="auto" w:fill="auto"/>
            <w:noWrap/>
            <w:vAlign w:val="bottom"/>
          </w:tcPr>
          <w:p w14:paraId="1A1D8D8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bl>
    <w:p w14:paraId="70811E22"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The findings support research showing that service quality—especially reliability, empathy, assurance, and tangibility—drives customer loyalty (Karthik, 2024;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&amp; </w:t>
      </w:r>
      <w:proofErr w:type="spellStart"/>
      <w:r>
        <w:rPr>
          <w:rFonts w:ascii="Arial" w:eastAsia="Arial" w:hAnsi="Arial" w:cs="Arial"/>
          <w:sz w:val="20"/>
          <w:szCs w:val="20"/>
        </w:rPr>
        <w:t>Octaviana</w:t>
      </w:r>
      <w:proofErr w:type="spellEnd"/>
      <w:r>
        <w:rPr>
          <w:rFonts w:ascii="Arial" w:eastAsia="Arial" w:hAnsi="Arial" w:cs="Arial"/>
          <w:sz w:val="20"/>
          <w:szCs w:val="20"/>
        </w:rPr>
        <w:t>, 2021). While Park and Lee (2023) note that reliability and responsive</w:t>
      </w:r>
      <w:r>
        <w:rPr>
          <w:rFonts w:ascii="Arial" w:eastAsia="Arial" w:hAnsi="Arial" w:cs="Arial"/>
          <w:sz w:val="20"/>
          <w:szCs w:val="20"/>
        </w:rPr>
        <w:t xml:space="preserve">ness can sometimes </w:t>
      </w:r>
      <w:r>
        <w:rPr>
          <w:rFonts w:ascii="Arial" w:eastAsia="Arial" w:hAnsi="Arial" w:cs="Arial"/>
          <w:sz w:val="20"/>
          <w:szCs w:val="20"/>
        </w:rPr>
        <w:lastRenderedPageBreak/>
        <w:t>lower satisfaction, empathy and tangibility remain key. In digital banking, usability, security, and support are vital for trust (Constantino, 2025), while emotional factors also influence loyalty (Bridges et al., 2022). Trust and custom</w:t>
      </w:r>
      <w:r>
        <w:rPr>
          <w:rFonts w:ascii="Arial" w:eastAsia="Arial" w:hAnsi="Arial" w:cs="Arial"/>
          <w:sz w:val="20"/>
          <w:szCs w:val="20"/>
        </w:rPr>
        <w:t xml:space="preserve">er focus, linked to empathy and responsiveness (Huh &amp; Kim, 2023), are essential, with Mian (2014) and Mahardika et al. (2018) viewing trust as the link between satisfaction and loyalty. In </w:t>
      </w:r>
      <w:proofErr w:type="spellStart"/>
      <w:r>
        <w:rPr>
          <w:rFonts w:ascii="Arial" w:eastAsia="Arial" w:hAnsi="Arial" w:cs="Arial"/>
          <w:sz w:val="20"/>
          <w:szCs w:val="20"/>
        </w:rPr>
        <w:t>Cateel</w:t>
      </w:r>
      <w:proofErr w:type="spellEnd"/>
      <w:r>
        <w:rPr>
          <w:rFonts w:ascii="Arial" w:eastAsia="Arial" w:hAnsi="Arial" w:cs="Arial"/>
          <w:sz w:val="20"/>
          <w:szCs w:val="20"/>
        </w:rPr>
        <w:t>, loyalty stems from both service quality and trust-based rel</w:t>
      </w:r>
      <w:r>
        <w:rPr>
          <w:rFonts w:ascii="Arial" w:eastAsia="Arial" w:hAnsi="Arial" w:cs="Arial"/>
          <w:sz w:val="20"/>
          <w:szCs w:val="20"/>
        </w:rPr>
        <w:t>ationships.</w:t>
      </w:r>
    </w:p>
    <w:p w14:paraId="246DF843"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5</w:t>
      </w:r>
      <w:r>
        <w:rPr>
          <w:rFonts w:ascii="Arial" w:eastAsia="Arial" w:hAnsi="Arial" w:cs="Arial"/>
          <w:color w:val="000000"/>
          <w:sz w:val="20"/>
          <w:szCs w:val="20"/>
        </w:rPr>
        <w:t>.</w:t>
      </w:r>
      <w:r>
        <w:rPr>
          <w:rFonts w:ascii="Arial" w:eastAsia="Arial" w:hAnsi="Arial" w:cs="Arial"/>
          <w:sz w:val="20"/>
          <w:szCs w:val="20"/>
        </w:rPr>
        <w:t xml:space="preserve"> 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positive word of mouth</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359"/>
        <w:gridCol w:w="901"/>
        <w:gridCol w:w="1277"/>
        <w:gridCol w:w="1671"/>
      </w:tblGrid>
      <w:tr w:rsidR="00587694" w14:paraId="35B7C9B2" w14:textId="77777777">
        <w:trPr>
          <w:trHeight w:val="570"/>
        </w:trPr>
        <w:tc>
          <w:tcPr>
            <w:tcW w:w="2654" w:type="pct"/>
            <w:shd w:val="clear" w:color="auto" w:fill="auto"/>
            <w:vAlign w:val="center"/>
          </w:tcPr>
          <w:p w14:paraId="29D9EA3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Statements</w:t>
            </w:r>
          </w:p>
        </w:tc>
        <w:tc>
          <w:tcPr>
            <w:tcW w:w="549" w:type="pct"/>
            <w:shd w:val="clear" w:color="auto" w:fill="auto"/>
            <w:vAlign w:val="center"/>
          </w:tcPr>
          <w:p w14:paraId="27FA616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Mean</w:t>
            </w:r>
          </w:p>
        </w:tc>
        <w:tc>
          <w:tcPr>
            <w:tcW w:w="778" w:type="pct"/>
            <w:shd w:val="clear" w:color="auto" w:fill="auto"/>
            <w:vAlign w:val="center"/>
          </w:tcPr>
          <w:p w14:paraId="4B783D3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Std. Deviation</w:t>
            </w:r>
          </w:p>
        </w:tc>
        <w:tc>
          <w:tcPr>
            <w:tcW w:w="1018" w:type="pct"/>
            <w:shd w:val="clear" w:color="auto" w:fill="auto"/>
            <w:noWrap/>
            <w:vAlign w:val="center"/>
          </w:tcPr>
          <w:p w14:paraId="5ED1E7D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r>
      <w:tr w:rsidR="00587694" w14:paraId="23B4150A" w14:textId="77777777">
        <w:trPr>
          <w:trHeight w:val="300"/>
        </w:trPr>
        <w:tc>
          <w:tcPr>
            <w:tcW w:w="2654" w:type="pct"/>
            <w:shd w:val="clear" w:color="auto" w:fill="auto"/>
          </w:tcPr>
          <w:p w14:paraId="66C17A0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 xml:space="preserve">Positive remarks about the financial institution are shared with friends, </w:t>
            </w:r>
            <w:r>
              <w:rPr>
                <w:rFonts w:ascii="Arial" w:hAnsi="Arial" w:cs="Arial"/>
                <w:color w:val="000000"/>
                <w:sz w:val="20"/>
                <w:szCs w:val="20"/>
              </w:rPr>
              <w:t>relatives, associates, and others.</w:t>
            </w:r>
          </w:p>
        </w:tc>
        <w:tc>
          <w:tcPr>
            <w:tcW w:w="549" w:type="pct"/>
            <w:shd w:val="clear" w:color="auto" w:fill="auto"/>
            <w:noWrap/>
            <w:vAlign w:val="center"/>
          </w:tcPr>
          <w:p w14:paraId="2773E3A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4.50</w:t>
            </w:r>
          </w:p>
        </w:tc>
        <w:tc>
          <w:tcPr>
            <w:tcW w:w="778" w:type="pct"/>
            <w:shd w:val="clear" w:color="auto" w:fill="auto"/>
            <w:noWrap/>
            <w:vAlign w:val="center"/>
          </w:tcPr>
          <w:p w14:paraId="23F1F1A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0.59</w:t>
            </w:r>
          </w:p>
        </w:tc>
        <w:tc>
          <w:tcPr>
            <w:tcW w:w="1018" w:type="pct"/>
            <w:shd w:val="clear" w:color="auto" w:fill="auto"/>
            <w:noWrap/>
            <w:vAlign w:val="bottom"/>
          </w:tcPr>
          <w:p w14:paraId="13CFBDE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7AB1EFE4" w14:textId="77777777">
        <w:trPr>
          <w:trHeight w:val="300"/>
        </w:trPr>
        <w:tc>
          <w:tcPr>
            <w:tcW w:w="2654" w:type="pct"/>
            <w:shd w:val="clear" w:color="auto" w:fill="auto"/>
          </w:tcPr>
          <w:p w14:paraId="4E97F23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Friends and colleagues are encouraged to do business with the financial institution.</w:t>
            </w:r>
          </w:p>
        </w:tc>
        <w:tc>
          <w:tcPr>
            <w:tcW w:w="549" w:type="pct"/>
            <w:shd w:val="clear" w:color="auto" w:fill="auto"/>
            <w:noWrap/>
            <w:vAlign w:val="center"/>
          </w:tcPr>
          <w:p w14:paraId="363493D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4.54</w:t>
            </w:r>
          </w:p>
        </w:tc>
        <w:tc>
          <w:tcPr>
            <w:tcW w:w="778" w:type="pct"/>
            <w:shd w:val="clear" w:color="auto" w:fill="auto"/>
            <w:noWrap/>
            <w:vAlign w:val="center"/>
          </w:tcPr>
          <w:p w14:paraId="1A190A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0.64</w:t>
            </w:r>
          </w:p>
        </w:tc>
        <w:tc>
          <w:tcPr>
            <w:tcW w:w="1018" w:type="pct"/>
            <w:shd w:val="clear" w:color="auto" w:fill="auto"/>
            <w:noWrap/>
            <w:vAlign w:val="bottom"/>
          </w:tcPr>
          <w:p w14:paraId="4DC431A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71925D34" w14:textId="77777777">
        <w:trPr>
          <w:trHeight w:val="300"/>
        </w:trPr>
        <w:tc>
          <w:tcPr>
            <w:tcW w:w="2654" w:type="pct"/>
            <w:shd w:val="clear" w:color="auto" w:fill="auto"/>
          </w:tcPr>
          <w:p w14:paraId="174CF352"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 xml:space="preserve">Good financial services offered by the financial institution are frequently discussed with </w:t>
            </w:r>
            <w:r>
              <w:rPr>
                <w:rFonts w:ascii="Arial" w:hAnsi="Arial" w:cs="Arial"/>
                <w:color w:val="000000"/>
                <w:sz w:val="20"/>
                <w:szCs w:val="20"/>
              </w:rPr>
              <w:t>others.</w:t>
            </w:r>
          </w:p>
        </w:tc>
        <w:tc>
          <w:tcPr>
            <w:tcW w:w="549" w:type="pct"/>
            <w:shd w:val="clear" w:color="auto" w:fill="auto"/>
            <w:noWrap/>
            <w:vAlign w:val="center"/>
          </w:tcPr>
          <w:p w14:paraId="7E1F3D1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4.54</w:t>
            </w:r>
          </w:p>
        </w:tc>
        <w:tc>
          <w:tcPr>
            <w:tcW w:w="778" w:type="pct"/>
            <w:shd w:val="clear" w:color="auto" w:fill="auto"/>
            <w:noWrap/>
            <w:vAlign w:val="center"/>
          </w:tcPr>
          <w:p w14:paraId="0F76C2C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0.60</w:t>
            </w:r>
          </w:p>
        </w:tc>
        <w:tc>
          <w:tcPr>
            <w:tcW w:w="1018" w:type="pct"/>
            <w:shd w:val="clear" w:color="auto" w:fill="auto"/>
            <w:noWrap/>
            <w:vAlign w:val="bottom"/>
          </w:tcPr>
          <w:p w14:paraId="5A1BA4E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6F91B72F" w14:textId="77777777">
        <w:trPr>
          <w:trHeight w:val="300"/>
        </w:trPr>
        <w:tc>
          <w:tcPr>
            <w:tcW w:w="2654" w:type="pct"/>
            <w:shd w:val="clear" w:color="auto" w:fill="auto"/>
          </w:tcPr>
          <w:p w14:paraId="170E769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Being a customer of the financial institution is a point of pride when shared with others.</w:t>
            </w:r>
          </w:p>
        </w:tc>
        <w:tc>
          <w:tcPr>
            <w:tcW w:w="549" w:type="pct"/>
            <w:shd w:val="clear" w:color="auto" w:fill="auto"/>
            <w:noWrap/>
            <w:vAlign w:val="center"/>
          </w:tcPr>
          <w:p w14:paraId="20E7A16C"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4.67</w:t>
            </w:r>
          </w:p>
        </w:tc>
        <w:tc>
          <w:tcPr>
            <w:tcW w:w="778" w:type="pct"/>
            <w:shd w:val="clear" w:color="auto" w:fill="auto"/>
            <w:noWrap/>
            <w:vAlign w:val="center"/>
          </w:tcPr>
          <w:p w14:paraId="712872A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0.56</w:t>
            </w:r>
          </w:p>
        </w:tc>
        <w:tc>
          <w:tcPr>
            <w:tcW w:w="1018" w:type="pct"/>
            <w:shd w:val="clear" w:color="auto" w:fill="auto"/>
            <w:noWrap/>
            <w:vAlign w:val="bottom"/>
          </w:tcPr>
          <w:p w14:paraId="37C3DA1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1645FA32" w14:textId="77777777">
        <w:trPr>
          <w:trHeight w:val="300"/>
        </w:trPr>
        <w:tc>
          <w:tcPr>
            <w:tcW w:w="2654" w:type="pct"/>
            <w:shd w:val="clear" w:color="auto" w:fill="auto"/>
          </w:tcPr>
          <w:p w14:paraId="442D6D5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hAnsi="Arial" w:cs="Arial"/>
                <w:color w:val="000000"/>
                <w:sz w:val="20"/>
                <w:szCs w:val="20"/>
              </w:rPr>
              <w:t>Friends, relatives, associates, and others are recommended to open an account and do business with the financial</w:t>
            </w:r>
            <w:r>
              <w:rPr>
                <w:rFonts w:ascii="Arial" w:hAnsi="Arial" w:cs="Arial"/>
                <w:color w:val="000000"/>
                <w:sz w:val="20"/>
                <w:szCs w:val="20"/>
              </w:rPr>
              <w:t xml:space="preserve"> institution.</w:t>
            </w:r>
          </w:p>
        </w:tc>
        <w:tc>
          <w:tcPr>
            <w:tcW w:w="549" w:type="pct"/>
            <w:shd w:val="clear" w:color="auto" w:fill="auto"/>
            <w:noWrap/>
            <w:vAlign w:val="center"/>
          </w:tcPr>
          <w:p w14:paraId="1DC7EEA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4.72</w:t>
            </w:r>
          </w:p>
        </w:tc>
        <w:tc>
          <w:tcPr>
            <w:tcW w:w="778" w:type="pct"/>
            <w:shd w:val="clear" w:color="auto" w:fill="auto"/>
            <w:noWrap/>
            <w:vAlign w:val="center"/>
          </w:tcPr>
          <w:p w14:paraId="1A1C67C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0.58</w:t>
            </w:r>
          </w:p>
        </w:tc>
        <w:tc>
          <w:tcPr>
            <w:tcW w:w="1018" w:type="pct"/>
            <w:shd w:val="clear" w:color="auto" w:fill="auto"/>
            <w:noWrap/>
            <w:vAlign w:val="bottom"/>
          </w:tcPr>
          <w:p w14:paraId="4EC5D33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w:t>
            </w:r>
            <w:r>
              <w:rPr>
                <w:rFonts w:ascii="Arial" w:hAnsi="Arial" w:cs="Arial"/>
                <w:color w:val="000000"/>
                <w:sz w:val="20"/>
                <w:szCs w:val="20"/>
              </w:rPr>
              <w:t>Very High</w:t>
            </w:r>
          </w:p>
        </w:tc>
      </w:tr>
      <w:tr w:rsidR="00587694" w14:paraId="5530DEA0" w14:textId="77777777">
        <w:trPr>
          <w:trHeight w:val="300"/>
        </w:trPr>
        <w:tc>
          <w:tcPr>
            <w:tcW w:w="2654" w:type="pct"/>
            <w:shd w:val="clear" w:color="auto" w:fill="auto"/>
          </w:tcPr>
          <w:p w14:paraId="159C0FA2" w14:textId="77777777" w:rsidR="00587694" w:rsidRDefault="00416116">
            <w:pPr>
              <w:spacing w:after="0" w:line="240" w:lineRule="auto"/>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Average</w:t>
            </w:r>
          </w:p>
        </w:tc>
        <w:tc>
          <w:tcPr>
            <w:tcW w:w="549" w:type="pct"/>
            <w:shd w:val="clear" w:color="auto" w:fill="auto"/>
            <w:noWrap/>
            <w:vAlign w:val="center"/>
          </w:tcPr>
          <w:p w14:paraId="1F10678F"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4.59</w:t>
            </w:r>
          </w:p>
        </w:tc>
        <w:tc>
          <w:tcPr>
            <w:tcW w:w="778" w:type="pct"/>
            <w:shd w:val="clear" w:color="auto" w:fill="auto"/>
            <w:noWrap/>
            <w:vAlign w:val="center"/>
          </w:tcPr>
          <w:p w14:paraId="5361AB25"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0.41</w:t>
            </w:r>
          </w:p>
        </w:tc>
        <w:tc>
          <w:tcPr>
            <w:tcW w:w="1018" w:type="pct"/>
            <w:shd w:val="clear" w:color="auto" w:fill="auto"/>
            <w:noWrap/>
            <w:vAlign w:val="bottom"/>
          </w:tcPr>
          <w:p w14:paraId="64EF8E3E" w14:textId="77777777" w:rsidR="00587694" w:rsidRDefault="00416116">
            <w:pPr>
              <w:spacing w:after="0" w:line="240" w:lineRule="auto"/>
              <w:jc w:val="center"/>
              <w:rPr>
                <w:rFonts w:ascii="Arial" w:eastAsia="Times New Roman" w:hAnsi="Arial" w:cs="Arial"/>
                <w:b/>
                <w:bCs/>
                <w:color w:val="000000"/>
                <w:sz w:val="20"/>
                <w:szCs w:val="20"/>
                <w:lang w:val="en-PH" w:eastAsia="en-PH"/>
              </w:rPr>
            </w:pPr>
            <w:r>
              <w:rPr>
                <w:rFonts w:ascii="Arial" w:eastAsia="Times New Roman" w:hAnsi="Arial" w:cs="Arial"/>
                <w:b/>
                <w:bCs/>
                <w:color w:val="000000"/>
                <w:sz w:val="20"/>
                <w:szCs w:val="20"/>
                <w:lang w:val="en-PH" w:eastAsia="en-PH"/>
              </w:rPr>
              <w:t>  </w:t>
            </w:r>
            <w:r>
              <w:rPr>
                <w:rFonts w:ascii="Arial" w:hAnsi="Arial" w:cs="Arial"/>
                <w:b/>
                <w:bCs/>
                <w:color w:val="000000"/>
                <w:sz w:val="20"/>
                <w:szCs w:val="20"/>
              </w:rPr>
              <w:t>Very High</w:t>
            </w:r>
          </w:p>
        </w:tc>
      </w:tr>
    </w:tbl>
    <w:p w14:paraId="4ED994DD"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15 shows strong customer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a high overall mean of 4.59 and low variability, reflecting positive word-of-mouth (WOM). High ratings on innovation (4.62), future engagement (4.64), and needs </w:t>
      </w:r>
      <w:proofErr w:type="spellStart"/>
      <w:r>
        <w:rPr>
          <w:rFonts w:ascii="Arial" w:eastAsia="Arial" w:hAnsi="Arial" w:cs="Arial"/>
          <w:sz w:val="20"/>
          <w:szCs w:val="20"/>
        </w:rPr>
        <w:t>fulfillment</w:t>
      </w:r>
      <w:proofErr w:type="spellEnd"/>
      <w:r>
        <w:rPr>
          <w:rFonts w:ascii="Arial" w:eastAsia="Arial" w:hAnsi="Arial" w:cs="Arial"/>
          <w:sz w:val="20"/>
          <w:szCs w:val="20"/>
        </w:rPr>
        <w:t xml:space="preserve"> (4.69), along with satisfaction with facilities (4.52</w:t>
      </w:r>
      <w:r>
        <w:rPr>
          <w:rFonts w:ascii="Arial" w:eastAsia="Arial" w:hAnsi="Arial" w:cs="Arial"/>
          <w:sz w:val="20"/>
          <w:szCs w:val="20"/>
        </w:rPr>
        <w:t xml:space="preserve">), highlight both service and environment as key factors. These results support Adil and Khan (2013) and Choudhury (2014), who link reliability and empathy to WOM. Tangible quality also boosts satisfaction, as noted by </w:t>
      </w:r>
      <w:proofErr w:type="spellStart"/>
      <w:r>
        <w:rPr>
          <w:rFonts w:ascii="Arial" w:eastAsia="Arial" w:hAnsi="Arial" w:cs="Arial"/>
          <w:sz w:val="20"/>
          <w:szCs w:val="20"/>
        </w:rPr>
        <w:t>Jham</w:t>
      </w:r>
      <w:proofErr w:type="spellEnd"/>
      <w:r>
        <w:rPr>
          <w:rFonts w:ascii="Arial" w:eastAsia="Arial" w:hAnsi="Arial" w:cs="Arial"/>
          <w:sz w:val="20"/>
          <w:szCs w:val="20"/>
        </w:rPr>
        <w:t xml:space="preserve"> (2018) and </w:t>
      </w:r>
      <w:proofErr w:type="spellStart"/>
      <w:r>
        <w:rPr>
          <w:rFonts w:ascii="Arial" w:eastAsia="Arial" w:hAnsi="Arial" w:cs="Arial"/>
          <w:sz w:val="20"/>
          <w:szCs w:val="20"/>
        </w:rPr>
        <w:t>Puspitasari</w:t>
      </w:r>
      <w:proofErr w:type="spellEnd"/>
      <w:r>
        <w:rPr>
          <w:rFonts w:ascii="Arial" w:eastAsia="Arial" w:hAnsi="Arial" w:cs="Arial"/>
          <w:sz w:val="20"/>
          <w:szCs w:val="20"/>
        </w:rPr>
        <w:t xml:space="preserve"> and </w:t>
      </w:r>
      <w:proofErr w:type="spellStart"/>
      <w:r>
        <w:rPr>
          <w:rFonts w:ascii="Arial" w:eastAsia="Arial" w:hAnsi="Arial" w:cs="Arial"/>
          <w:sz w:val="20"/>
          <w:szCs w:val="20"/>
        </w:rPr>
        <w:t>Kusti</w:t>
      </w:r>
      <w:r>
        <w:rPr>
          <w:rFonts w:ascii="Arial" w:eastAsia="Arial" w:hAnsi="Arial" w:cs="Arial"/>
          <w:sz w:val="20"/>
          <w:szCs w:val="20"/>
        </w:rPr>
        <w:t>awan</w:t>
      </w:r>
      <w:proofErr w:type="spellEnd"/>
      <w:r>
        <w:rPr>
          <w:rFonts w:ascii="Arial" w:eastAsia="Arial" w:hAnsi="Arial" w:cs="Arial"/>
          <w:sz w:val="20"/>
          <w:szCs w:val="20"/>
        </w:rPr>
        <w:t xml:space="preserve"> (2023). Positive WOM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strengthens institutional reputation and encourages continued customer engagement.</w:t>
      </w:r>
    </w:p>
    <w:p w14:paraId="0C30BBFA"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Table 16.</w:t>
      </w:r>
      <w:r>
        <w:rPr>
          <w:rFonts w:ascii="Arial" w:eastAsia="Arial" w:hAnsi="Arial" w:cs="Arial"/>
          <w:sz w:val="20"/>
          <w:szCs w:val="20"/>
        </w:rPr>
        <w:t xml:space="preserve"> Summary of the 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positive word of mouth</w:t>
      </w:r>
    </w:p>
    <w:tbl>
      <w:tblPr>
        <w:tblW w:w="874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40"/>
        <w:gridCol w:w="960"/>
        <w:gridCol w:w="1360"/>
        <w:gridCol w:w="1780"/>
      </w:tblGrid>
      <w:tr w:rsidR="00587694" w14:paraId="5D952FD1" w14:textId="77777777">
        <w:trPr>
          <w:trHeight w:val="570"/>
        </w:trPr>
        <w:tc>
          <w:tcPr>
            <w:tcW w:w="4640" w:type="dxa"/>
            <w:shd w:val="clear" w:color="auto" w:fill="auto"/>
            <w:vAlign w:val="center"/>
          </w:tcPr>
          <w:p w14:paraId="44A8298E"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F</w:t>
            </w:r>
            <w:r>
              <w:rPr>
                <w:rFonts w:ascii="Arial" w:eastAsia="Times New Roman" w:hAnsi="Arial" w:cs="Arial"/>
                <w:sz w:val="20"/>
                <w:szCs w:val="20"/>
                <w:lang w:val="en-PH" w:eastAsia="en-PH"/>
              </w:rPr>
              <w:t>actors of Customer Satisfaction</w:t>
            </w:r>
          </w:p>
        </w:tc>
        <w:tc>
          <w:tcPr>
            <w:tcW w:w="960" w:type="dxa"/>
            <w:shd w:val="clear" w:color="auto" w:fill="auto"/>
            <w:vAlign w:val="center"/>
          </w:tcPr>
          <w:p w14:paraId="024F0E39"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Mean</w:t>
            </w:r>
          </w:p>
        </w:tc>
        <w:tc>
          <w:tcPr>
            <w:tcW w:w="1360" w:type="dxa"/>
            <w:shd w:val="clear" w:color="auto" w:fill="auto"/>
            <w:vAlign w:val="center"/>
          </w:tcPr>
          <w:p w14:paraId="2DE147D2"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Std. Deviation</w:t>
            </w:r>
          </w:p>
        </w:tc>
        <w:tc>
          <w:tcPr>
            <w:tcW w:w="1780" w:type="dxa"/>
            <w:shd w:val="clear" w:color="auto" w:fill="auto"/>
            <w:noWrap/>
            <w:vAlign w:val="center"/>
          </w:tcPr>
          <w:p w14:paraId="368D1617"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Interpretation</w:t>
            </w:r>
          </w:p>
        </w:tc>
      </w:tr>
      <w:tr w:rsidR="00587694" w14:paraId="366E5E3A" w14:textId="77777777">
        <w:trPr>
          <w:trHeight w:val="300"/>
        </w:trPr>
        <w:tc>
          <w:tcPr>
            <w:tcW w:w="4640" w:type="dxa"/>
            <w:shd w:val="clear" w:color="auto" w:fill="auto"/>
          </w:tcPr>
          <w:p w14:paraId="3F585F5C" w14:textId="77777777" w:rsidR="00587694" w:rsidRDefault="00416116">
            <w:pPr>
              <w:spacing w:after="0" w:line="240" w:lineRule="auto"/>
              <w:rPr>
                <w:rFonts w:ascii="Arial" w:eastAsia="Times New Roman" w:hAnsi="Arial" w:cs="Arial"/>
                <w:sz w:val="20"/>
                <w:szCs w:val="20"/>
                <w:lang w:val="en-PH" w:eastAsia="en-PH"/>
              </w:rPr>
            </w:pPr>
            <w:r>
              <w:rPr>
                <w:rFonts w:ascii="Arial" w:eastAsia="Times New Roman" w:hAnsi="Arial" w:cs="Arial"/>
                <w:sz w:val="20"/>
                <w:szCs w:val="20"/>
                <w:lang w:val="en-PH" w:eastAsia="en-PH"/>
              </w:rPr>
              <w:t>Customer's Loyalty</w:t>
            </w:r>
          </w:p>
        </w:tc>
        <w:tc>
          <w:tcPr>
            <w:tcW w:w="960" w:type="dxa"/>
            <w:shd w:val="clear" w:color="auto" w:fill="auto"/>
            <w:noWrap/>
            <w:vAlign w:val="center"/>
          </w:tcPr>
          <w:p w14:paraId="3C4F1E9E"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4.59</w:t>
            </w:r>
          </w:p>
        </w:tc>
        <w:tc>
          <w:tcPr>
            <w:tcW w:w="1360" w:type="dxa"/>
            <w:shd w:val="clear" w:color="auto" w:fill="auto"/>
            <w:noWrap/>
            <w:vAlign w:val="center"/>
          </w:tcPr>
          <w:p w14:paraId="42567734"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0.40</w:t>
            </w:r>
          </w:p>
        </w:tc>
        <w:tc>
          <w:tcPr>
            <w:tcW w:w="1780" w:type="dxa"/>
            <w:shd w:val="clear" w:color="auto" w:fill="auto"/>
            <w:noWrap/>
            <w:vAlign w:val="bottom"/>
          </w:tcPr>
          <w:p w14:paraId="0A27DDA3"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Very High</w:t>
            </w:r>
          </w:p>
        </w:tc>
      </w:tr>
      <w:tr w:rsidR="00587694" w14:paraId="5964AD0D" w14:textId="77777777">
        <w:trPr>
          <w:trHeight w:val="300"/>
        </w:trPr>
        <w:tc>
          <w:tcPr>
            <w:tcW w:w="4640" w:type="dxa"/>
            <w:shd w:val="clear" w:color="auto" w:fill="auto"/>
          </w:tcPr>
          <w:p w14:paraId="4321B0C2" w14:textId="77777777" w:rsidR="00587694" w:rsidRDefault="00416116">
            <w:pPr>
              <w:spacing w:after="0" w:line="240" w:lineRule="auto"/>
              <w:rPr>
                <w:rFonts w:ascii="Arial" w:eastAsia="Times New Roman" w:hAnsi="Arial" w:cs="Arial"/>
                <w:sz w:val="20"/>
                <w:szCs w:val="20"/>
                <w:lang w:val="en-PH" w:eastAsia="en-PH"/>
              </w:rPr>
            </w:pPr>
            <w:r>
              <w:rPr>
                <w:rFonts w:ascii="Arial" w:eastAsia="Times New Roman" w:hAnsi="Arial" w:cs="Arial"/>
                <w:sz w:val="20"/>
                <w:szCs w:val="20"/>
                <w:lang w:val="en-PH" w:eastAsia="en-PH"/>
              </w:rPr>
              <w:t>Positive Word of Mouth</w:t>
            </w:r>
          </w:p>
        </w:tc>
        <w:tc>
          <w:tcPr>
            <w:tcW w:w="960" w:type="dxa"/>
            <w:shd w:val="clear" w:color="auto" w:fill="auto"/>
            <w:noWrap/>
            <w:vAlign w:val="center"/>
          </w:tcPr>
          <w:p w14:paraId="7E86EC92"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4.59</w:t>
            </w:r>
          </w:p>
        </w:tc>
        <w:tc>
          <w:tcPr>
            <w:tcW w:w="1360" w:type="dxa"/>
            <w:shd w:val="clear" w:color="auto" w:fill="auto"/>
            <w:noWrap/>
            <w:vAlign w:val="center"/>
          </w:tcPr>
          <w:p w14:paraId="192EA509"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0.41</w:t>
            </w:r>
          </w:p>
        </w:tc>
        <w:tc>
          <w:tcPr>
            <w:tcW w:w="1780" w:type="dxa"/>
            <w:shd w:val="clear" w:color="auto" w:fill="auto"/>
            <w:noWrap/>
          </w:tcPr>
          <w:p w14:paraId="2D7E17D2" w14:textId="77777777" w:rsidR="00587694" w:rsidRDefault="00416116">
            <w:pPr>
              <w:spacing w:after="0" w:line="240" w:lineRule="auto"/>
              <w:jc w:val="center"/>
              <w:rPr>
                <w:rFonts w:ascii="Arial" w:eastAsia="Times New Roman" w:hAnsi="Arial" w:cs="Arial"/>
                <w:sz w:val="20"/>
                <w:szCs w:val="20"/>
                <w:lang w:val="en-PH" w:eastAsia="en-PH"/>
              </w:rPr>
            </w:pPr>
            <w:r>
              <w:rPr>
                <w:rFonts w:ascii="Arial" w:eastAsia="Times New Roman" w:hAnsi="Arial" w:cs="Arial"/>
                <w:sz w:val="20"/>
                <w:szCs w:val="20"/>
                <w:lang w:val="en-PH" w:eastAsia="en-PH"/>
              </w:rPr>
              <w:t>Very High</w:t>
            </w:r>
          </w:p>
        </w:tc>
      </w:tr>
      <w:tr w:rsidR="00587694" w14:paraId="53BC35CC" w14:textId="77777777">
        <w:trPr>
          <w:trHeight w:val="300"/>
        </w:trPr>
        <w:tc>
          <w:tcPr>
            <w:tcW w:w="4640" w:type="dxa"/>
            <w:shd w:val="clear" w:color="auto" w:fill="auto"/>
          </w:tcPr>
          <w:p w14:paraId="064FBCCB" w14:textId="77777777" w:rsidR="00587694" w:rsidRDefault="00416116">
            <w:pPr>
              <w:spacing w:after="0" w:line="240" w:lineRule="auto"/>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Overall Customer Satisfaction</w:t>
            </w:r>
          </w:p>
        </w:tc>
        <w:tc>
          <w:tcPr>
            <w:tcW w:w="960" w:type="dxa"/>
            <w:shd w:val="clear" w:color="auto" w:fill="auto"/>
            <w:noWrap/>
            <w:vAlign w:val="center"/>
          </w:tcPr>
          <w:p w14:paraId="3C0A6EE5" w14:textId="77777777" w:rsidR="00587694" w:rsidRDefault="00416116">
            <w:pPr>
              <w:spacing w:after="0" w:line="240" w:lineRule="auto"/>
              <w:jc w:val="center"/>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4.59</w:t>
            </w:r>
          </w:p>
        </w:tc>
        <w:tc>
          <w:tcPr>
            <w:tcW w:w="1360" w:type="dxa"/>
            <w:shd w:val="clear" w:color="auto" w:fill="auto"/>
            <w:noWrap/>
            <w:vAlign w:val="center"/>
          </w:tcPr>
          <w:p w14:paraId="774D150A" w14:textId="77777777" w:rsidR="00587694" w:rsidRDefault="00416116">
            <w:pPr>
              <w:spacing w:after="0" w:line="240" w:lineRule="auto"/>
              <w:jc w:val="center"/>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0.36</w:t>
            </w:r>
          </w:p>
        </w:tc>
        <w:tc>
          <w:tcPr>
            <w:tcW w:w="1780" w:type="dxa"/>
            <w:shd w:val="clear" w:color="auto" w:fill="auto"/>
            <w:noWrap/>
          </w:tcPr>
          <w:p w14:paraId="632D1645" w14:textId="77777777" w:rsidR="00587694" w:rsidRDefault="00416116">
            <w:pPr>
              <w:spacing w:after="0" w:line="240" w:lineRule="auto"/>
              <w:jc w:val="center"/>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Very High</w:t>
            </w:r>
          </w:p>
        </w:tc>
      </w:tr>
    </w:tbl>
    <w:p w14:paraId="7668C00D" w14:textId="77777777" w:rsidR="00587694" w:rsidRDefault="00416116">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 Table 16 reflects very high customer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overall, loyalty, and word-of-mouth ratings all at 4.59 (SD = 0.36). This suggests customers are satisfied, loyal, and likely to recommend their banks. These findin</w:t>
      </w:r>
      <w:r>
        <w:rPr>
          <w:rFonts w:ascii="Arial" w:eastAsia="Arial" w:hAnsi="Arial" w:cs="Arial"/>
          <w:sz w:val="20"/>
          <w:szCs w:val="20"/>
        </w:rPr>
        <w:t xml:space="preserve">gs align with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who link satisfaction to loyalty and referrals.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Islam et al. (2022) emphasize the role of assurance and tangibility, while Huh and Kim (2023) note that satisfied, loyal clients help dr</w:t>
      </w:r>
      <w:r>
        <w:rPr>
          <w:rFonts w:ascii="Arial" w:eastAsia="Arial" w:hAnsi="Arial" w:cs="Arial"/>
          <w:sz w:val="20"/>
          <w:szCs w:val="20"/>
        </w:rPr>
        <w:t>ive long-term growth through advocacy.</w:t>
      </w:r>
    </w:p>
    <w:p w14:paraId="2B9CB6F9" w14:textId="77777777" w:rsidR="00587694" w:rsidRDefault="00416116">
      <w:pPr>
        <w:spacing w:before="240" w:after="240" w:line="240" w:lineRule="auto"/>
        <w:rPr>
          <w:rFonts w:ascii="Arial" w:eastAsia="Arial" w:hAnsi="Arial" w:cs="Arial"/>
          <w:b/>
          <w:sz w:val="20"/>
          <w:szCs w:val="20"/>
        </w:rPr>
      </w:pPr>
      <w:r>
        <w:rPr>
          <w:rFonts w:ascii="Arial" w:eastAsia="Arial" w:hAnsi="Arial" w:cs="Arial"/>
          <w:b/>
          <w:sz w:val="20"/>
          <w:szCs w:val="20"/>
        </w:rPr>
        <w:lastRenderedPageBreak/>
        <w:t>Significant Difference in the Level of Service Quality When Respondents are Grouped According to Profile</w:t>
      </w:r>
    </w:p>
    <w:p w14:paraId="362438DD"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16 shows that age does not significantly affect how customers perceive service quality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The ANOVA result (F = 0.173, p = 0.841) indicates no meaningful difference across age groups, suggesting a consistent service experience for all ages.</w:t>
      </w:r>
    </w:p>
    <w:p w14:paraId="26A637ED" w14:textId="77777777" w:rsidR="00587694" w:rsidRDefault="00416116">
      <w:pPr>
        <w:spacing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7.</w:t>
      </w:r>
      <w:r>
        <w:rPr>
          <w:rFonts w:ascii="Arial" w:eastAsia="Arial" w:hAnsi="Arial" w:cs="Arial"/>
          <w:color w:val="000000"/>
          <w:sz w:val="20"/>
          <w:szCs w:val="20"/>
        </w:rPr>
        <w:t xml:space="preserve"> </w:t>
      </w:r>
      <w:r>
        <w:rPr>
          <w:rFonts w:ascii="Arial" w:eastAsia="Arial" w:hAnsi="Arial" w:cs="Arial"/>
          <w:sz w:val="20"/>
          <w:szCs w:val="20"/>
        </w:rPr>
        <w:t>Significant difference in the level of service quality when re</w:t>
      </w:r>
      <w:r>
        <w:rPr>
          <w:rFonts w:ascii="Arial" w:eastAsia="Arial" w:hAnsi="Arial" w:cs="Arial"/>
          <w:sz w:val="20"/>
          <w:szCs w:val="20"/>
        </w:rPr>
        <w:t>spondents are grouped according to age</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26"/>
        <w:gridCol w:w="2149"/>
        <w:gridCol w:w="617"/>
        <w:gridCol w:w="1824"/>
        <w:gridCol w:w="694"/>
        <w:gridCol w:w="698"/>
      </w:tblGrid>
      <w:tr w:rsidR="00587694" w14:paraId="3C997B51" w14:textId="77777777">
        <w:trPr>
          <w:cantSplit/>
        </w:trPr>
        <w:tc>
          <w:tcPr>
            <w:tcW w:w="5000" w:type="pct"/>
            <w:gridSpan w:val="6"/>
            <w:shd w:val="clear" w:color="auto" w:fill="FFFFFF"/>
            <w:vAlign w:val="center"/>
          </w:tcPr>
          <w:p w14:paraId="51BC371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4F68DCA3" w14:textId="77777777">
        <w:trPr>
          <w:cantSplit/>
        </w:trPr>
        <w:tc>
          <w:tcPr>
            <w:tcW w:w="5000" w:type="pct"/>
            <w:gridSpan w:val="6"/>
            <w:shd w:val="clear" w:color="auto" w:fill="FFFFFF"/>
            <w:vAlign w:val="bottom"/>
          </w:tcPr>
          <w:p w14:paraId="671C9ABB"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53266E7F" w14:textId="77777777">
        <w:trPr>
          <w:cantSplit/>
        </w:trPr>
        <w:tc>
          <w:tcPr>
            <w:tcW w:w="1356" w:type="pct"/>
            <w:shd w:val="clear" w:color="auto" w:fill="FFFFFF"/>
            <w:vAlign w:val="bottom"/>
          </w:tcPr>
          <w:p w14:paraId="04E537DA"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1309" w:type="pct"/>
            <w:shd w:val="clear" w:color="auto" w:fill="FFFFFF"/>
            <w:vAlign w:val="bottom"/>
          </w:tcPr>
          <w:p w14:paraId="689C697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6" w:type="pct"/>
            <w:shd w:val="clear" w:color="auto" w:fill="FFFFFF"/>
            <w:vAlign w:val="bottom"/>
          </w:tcPr>
          <w:p w14:paraId="538771D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11" w:type="pct"/>
            <w:shd w:val="clear" w:color="auto" w:fill="FFFFFF"/>
            <w:vAlign w:val="bottom"/>
          </w:tcPr>
          <w:p w14:paraId="0E2837D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3" w:type="pct"/>
            <w:shd w:val="clear" w:color="auto" w:fill="FFFFFF"/>
            <w:vAlign w:val="bottom"/>
          </w:tcPr>
          <w:p w14:paraId="37F376B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23" w:type="pct"/>
            <w:shd w:val="clear" w:color="auto" w:fill="FFFFFF"/>
            <w:vAlign w:val="bottom"/>
          </w:tcPr>
          <w:p w14:paraId="121F3AF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444DC686" w14:textId="77777777">
        <w:trPr>
          <w:cantSplit/>
        </w:trPr>
        <w:tc>
          <w:tcPr>
            <w:tcW w:w="1356" w:type="pct"/>
            <w:shd w:val="clear" w:color="auto" w:fill="FFFFFF"/>
          </w:tcPr>
          <w:p w14:paraId="0469EAA3"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9" w:type="pct"/>
            <w:shd w:val="clear" w:color="auto" w:fill="FFFFFF"/>
            <w:vAlign w:val="center"/>
          </w:tcPr>
          <w:p w14:paraId="6E5B234A"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.016</w:t>
            </w:r>
          </w:p>
        </w:tc>
        <w:tc>
          <w:tcPr>
            <w:tcW w:w="376" w:type="pct"/>
            <w:shd w:val="clear" w:color="auto" w:fill="FFFFFF"/>
            <w:vAlign w:val="center"/>
          </w:tcPr>
          <w:p w14:paraId="3965B0F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11" w:type="pct"/>
            <w:shd w:val="clear" w:color="auto" w:fill="FFFFFF"/>
            <w:vAlign w:val="center"/>
          </w:tcPr>
          <w:p w14:paraId="0D41C62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.008</w:t>
            </w:r>
          </w:p>
        </w:tc>
        <w:tc>
          <w:tcPr>
            <w:tcW w:w="423" w:type="pct"/>
            <w:shd w:val="clear" w:color="auto" w:fill="FFFFFF"/>
            <w:vAlign w:val="center"/>
          </w:tcPr>
          <w:p w14:paraId="2F5A726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.173</w:t>
            </w:r>
          </w:p>
        </w:tc>
        <w:tc>
          <w:tcPr>
            <w:tcW w:w="423" w:type="pct"/>
            <w:shd w:val="clear" w:color="auto" w:fill="FFFFFF"/>
            <w:vAlign w:val="center"/>
          </w:tcPr>
          <w:p w14:paraId="3BE466F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.841</w:t>
            </w:r>
          </w:p>
        </w:tc>
      </w:tr>
      <w:tr w:rsidR="00587694" w14:paraId="276F42A5" w14:textId="77777777">
        <w:trPr>
          <w:cantSplit/>
        </w:trPr>
        <w:tc>
          <w:tcPr>
            <w:tcW w:w="1356" w:type="pct"/>
            <w:shd w:val="clear" w:color="auto" w:fill="FFFFFF"/>
          </w:tcPr>
          <w:p w14:paraId="76C5EB80"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9" w:type="pct"/>
            <w:shd w:val="clear" w:color="auto" w:fill="FFFFFF"/>
            <w:vAlign w:val="center"/>
          </w:tcPr>
          <w:p w14:paraId="21E8922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8.592</w:t>
            </w:r>
          </w:p>
        </w:tc>
        <w:tc>
          <w:tcPr>
            <w:tcW w:w="376" w:type="pct"/>
            <w:shd w:val="clear" w:color="auto" w:fill="FFFFFF"/>
            <w:vAlign w:val="center"/>
          </w:tcPr>
          <w:p w14:paraId="723A9C9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111" w:type="pct"/>
            <w:shd w:val="clear" w:color="auto" w:fill="FFFFFF"/>
            <w:vAlign w:val="center"/>
          </w:tcPr>
          <w:p w14:paraId="4D95DA7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.048</w:t>
            </w:r>
          </w:p>
        </w:tc>
        <w:tc>
          <w:tcPr>
            <w:tcW w:w="423" w:type="pct"/>
            <w:shd w:val="clear" w:color="auto" w:fill="FFFFFF"/>
            <w:vAlign w:val="center"/>
          </w:tcPr>
          <w:p w14:paraId="08EBF00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5E636D91"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00FFF8EC" w14:textId="77777777">
        <w:trPr>
          <w:cantSplit/>
        </w:trPr>
        <w:tc>
          <w:tcPr>
            <w:tcW w:w="1356" w:type="pct"/>
            <w:shd w:val="clear" w:color="auto" w:fill="FFFFFF"/>
          </w:tcPr>
          <w:p w14:paraId="725C8E27" w14:textId="77777777" w:rsidR="00587694" w:rsidRDefault="00416116">
            <w:pPr>
              <w:autoSpaceDE w:val="0"/>
              <w:autoSpaceDN w:val="0"/>
              <w:adjustRightInd w:val="0"/>
              <w:spacing w:after="0" w:line="240" w:lineRule="auto"/>
              <w:ind w:left="60" w:right="60"/>
              <w:rPr>
                <w:rFonts w:ascii="Arial" w:hAnsi="Arial" w:cs="Arial"/>
                <w:b/>
                <w:bCs/>
                <w:color w:val="000000"/>
                <w:sz w:val="20"/>
                <w:szCs w:val="20"/>
                <w:lang w:val="en-PH"/>
              </w:rPr>
            </w:pPr>
            <w:r>
              <w:rPr>
                <w:rFonts w:ascii="Arial" w:hAnsi="Arial" w:cs="Arial"/>
                <w:b/>
                <w:bCs/>
                <w:color w:val="000000"/>
                <w:sz w:val="20"/>
                <w:szCs w:val="20"/>
                <w:lang w:val="en-PH"/>
              </w:rPr>
              <w:t>Total</w:t>
            </w:r>
          </w:p>
        </w:tc>
        <w:tc>
          <w:tcPr>
            <w:tcW w:w="1309" w:type="pct"/>
            <w:shd w:val="clear" w:color="auto" w:fill="FFFFFF"/>
            <w:vAlign w:val="center"/>
          </w:tcPr>
          <w:p w14:paraId="63C662AE"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8.608</w:t>
            </w:r>
          </w:p>
        </w:tc>
        <w:tc>
          <w:tcPr>
            <w:tcW w:w="376" w:type="pct"/>
            <w:shd w:val="clear" w:color="auto" w:fill="FFFFFF"/>
            <w:vAlign w:val="center"/>
          </w:tcPr>
          <w:p w14:paraId="4CC4986F"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182</w:t>
            </w:r>
          </w:p>
        </w:tc>
        <w:tc>
          <w:tcPr>
            <w:tcW w:w="1111" w:type="pct"/>
            <w:shd w:val="clear" w:color="auto" w:fill="FFFFFF"/>
            <w:vAlign w:val="center"/>
          </w:tcPr>
          <w:p w14:paraId="2D18B16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275A25B7"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4865B5E5"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76FD2A55"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17 shows no significant difference in perceived service quality across age groups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consistent with findings by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in the Philippines and Kumari and Rani (2011) in India, suggesting that age may not strongly i</w:t>
      </w:r>
      <w:r>
        <w:rPr>
          <w:rFonts w:ascii="Arial" w:eastAsia="Arial" w:hAnsi="Arial" w:cs="Arial"/>
          <w:sz w:val="20"/>
          <w:szCs w:val="20"/>
        </w:rPr>
        <w:t xml:space="preserve">nfluence customer perceptions. In contrast,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 found age-related differences in Albania, indicating that cultural and regional factors may affect service quality perceptions.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also note the impact of </w:t>
      </w:r>
      <w:r>
        <w:rPr>
          <w:rFonts w:ascii="Arial" w:eastAsia="Arial" w:hAnsi="Arial" w:cs="Arial"/>
          <w:sz w:val="20"/>
          <w:szCs w:val="20"/>
        </w:rPr>
        <w:t xml:space="preserve">other demographics like gender, occupation, and income, while education may not always play a role. Overall, these findings highlight that demographic influences on service quality are context-dependent. The uniform perceptions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suggest equitable </w:t>
      </w:r>
      <w:r>
        <w:rPr>
          <w:rFonts w:ascii="Arial" w:eastAsia="Arial" w:hAnsi="Arial" w:cs="Arial"/>
          <w:sz w:val="20"/>
          <w:szCs w:val="20"/>
        </w:rPr>
        <w:t>service delivery across age groups, guiding banks to prioritize overall service improvements over age-based strategies.</w:t>
      </w:r>
    </w:p>
    <w:p w14:paraId="694DEC59" w14:textId="77777777" w:rsidR="00587694" w:rsidRDefault="00416116">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8</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Significant difference in the level of service quality when respondents are grouped according to civil status</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822"/>
        <w:gridCol w:w="1576"/>
        <w:gridCol w:w="1100"/>
        <w:gridCol w:w="1512"/>
        <w:gridCol w:w="1100"/>
        <w:gridCol w:w="1098"/>
      </w:tblGrid>
      <w:tr w:rsidR="00587694" w14:paraId="240978A7" w14:textId="77777777">
        <w:trPr>
          <w:cantSplit/>
        </w:trPr>
        <w:tc>
          <w:tcPr>
            <w:tcW w:w="5000" w:type="pct"/>
            <w:gridSpan w:val="6"/>
            <w:shd w:val="clear" w:color="auto" w:fill="FFFFFF"/>
            <w:vAlign w:val="center"/>
          </w:tcPr>
          <w:p w14:paraId="6D71063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65EAFEC3" w14:textId="77777777">
        <w:trPr>
          <w:cantSplit/>
        </w:trPr>
        <w:tc>
          <w:tcPr>
            <w:tcW w:w="5000" w:type="pct"/>
            <w:gridSpan w:val="6"/>
            <w:shd w:val="clear" w:color="auto" w:fill="FFFFFF"/>
            <w:vAlign w:val="bottom"/>
          </w:tcPr>
          <w:p w14:paraId="1A666986"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0D4CE4DE" w14:textId="77777777">
        <w:trPr>
          <w:cantSplit/>
        </w:trPr>
        <w:tc>
          <w:tcPr>
            <w:tcW w:w="1110" w:type="pct"/>
            <w:shd w:val="clear" w:color="auto" w:fill="FFFFFF"/>
            <w:vAlign w:val="bottom"/>
          </w:tcPr>
          <w:p w14:paraId="033C6AD1"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960" w:type="pct"/>
            <w:shd w:val="clear" w:color="auto" w:fill="FFFFFF"/>
            <w:vAlign w:val="bottom"/>
          </w:tcPr>
          <w:p w14:paraId="3FDA7D9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670" w:type="pct"/>
            <w:shd w:val="clear" w:color="auto" w:fill="FFFFFF"/>
            <w:vAlign w:val="bottom"/>
          </w:tcPr>
          <w:p w14:paraId="3C10BD0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921" w:type="pct"/>
            <w:shd w:val="clear" w:color="auto" w:fill="FFFFFF"/>
            <w:vAlign w:val="bottom"/>
          </w:tcPr>
          <w:p w14:paraId="6930CF1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670" w:type="pct"/>
            <w:shd w:val="clear" w:color="auto" w:fill="FFFFFF"/>
            <w:vAlign w:val="bottom"/>
          </w:tcPr>
          <w:p w14:paraId="1084C65A"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669" w:type="pct"/>
            <w:shd w:val="clear" w:color="auto" w:fill="FFFFFF"/>
            <w:vAlign w:val="bottom"/>
          </w:tcPr>
          <w:p w14:paraId="50BA11E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7255A740" w14:textId="77777777">
        <w:trPr>
          <w:cantSplit/>
        </w:trPr>
        <w:tc>
          <w:tcPr>
            <w:tcW w:w="1110" w:type="pct"/>
            <w:shd w:val="clear" w:color="auto" w:fill="FFFFFF"/>
          </w:tcPr>
          <w:p w14:paraId="59F4E35A"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960" w:type="pct"/>
            <w:shd w:val="clear" w:color="auto" w:fill="FFFFFF"/>
            <w:vAlign w:val="center"/>
          </w:tcPr>
          <w:p w14:paraId="22C2D13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.029</w:t>
            </w:r>
          </w:p>
        </w:tc>
        <w:tc>
          <w:tcPr>
            <w:tcW w:w="670" w:type="pct"/>
            <w:shd w:val="clear" w:color="auto" w:fill="FFFFFF"/>
            <w:vAlign w:val="center"/>
          </w:tcPr>
          <w:p w14:paraId="26E0AC1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921" w:type="pct"/>
            <w:shd w:val="clear" w:color="auto" w:fill="FFFFFF"/>
            <w:vAlign w:val="center"/>
          </w:tcPr>
          <w:p w14:paraId="1437571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.015</w:t>
            </w:r>
          </w:p>
        </w:tc>
        <w:tc>
          <w:tcPr>
            <w:tcW w:w="670" w:type="pct"/>
            <w:shd w:val="clear" w:color="auto" w:fill="FFFFFF"/>
            <w:vAlign w:val="center"/>
          </w:tcPr>
          <w:p w14:paraId="2A14A13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.307</w:t>
            </w:r>
          </w:p>
        </w:tc>
        <w:tc>
          <w:tcPr>
            <w:tcW w:w="669" w:type="pct"/>
            <w:shd w:val="clear" w:color="auto" w:fill="FFFFFF"/>
            <w:vAlign w:val="center"/>
          </w:tcPr>
          <w:p w14:paraId="747973A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.736</w:t>
            </w:r>
          </w:p>
        </w:tc>
      </w:tr>
      <w:tr w:rsidR="00587694" w14:paraId="09CDE71F" w14:textId="77777777">
        <w:trPr>
          <w:cantSplit/>
        </w:trPr>
        <w:tc>
          <w:tcPr>
            <w:tcW w:w="1110" w:type="pct"/>
            <w:shd w:val="clear" w:color="auto" w:fill="FFFFFF"/>
          </w:tcPr>
          <w:p w14:paraId="5AFE3244"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960" w:type="pct"/>
            <w:shd w:val="clear" w:color="auto" w:fill="FFFFFF"/>
            <w:vAlign w:val="center"/>
          </w:tcPr>
          <w:p w14:paraId="64DB49D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8.579</w:t>
            </w:r>
          </w:p>
        </w:tc>
        <w:tc>
          <w:tcPr>
            <w:tcW w:w="670" w:type="pct"/>
            <w:shd w:val="clear" w:color="auto" w:fill="FFFFFF"/>
            <w:vAlign w:val="center"/>
          </w:tcPr>
          <w:p w14:paraId="4BABE57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921" w:type="pct"/>
            <w:shd w:val="clear" w:color="auto" w:fill="FFFFFF"/>
            <w:vAlign w:val="center"/>
          </w:tcPr>
          <w:p w14:paraId="1C8DE5F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.048</w:t>
            </w:r>
          </w:p>
        </w:tc>
        <w:tc>
          <w:tcPr>
            <w:tcW w:w="670" w:type="pct"/>
            <w:shd w:val="clear" w:color="auto" w:fill="FFFFFF"/>
            <w:vAlign w:val="center"/>
          </w:tcPr>
          <w:p w14:paraId="0ABBD3E7"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69" w:type="pct"/>
            <w:shd w:val="clear" w:color="auto" w:fill="FFFFFF"/>
            <w:vAlign w:val="center"/>
          </w:tcPr>
          <w:p w14:paraId="62BD0DF9"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53A76D5F" w14:textId="77777777">
        <w:trPr>
          <w:cantSplit/>
        </w:trPr>
        <w:tc>
          <w:tcPr>
            <w:tcW w:w="1110" w:type="pct"/>
            <w:shd w:val="clear" w:color="auto" w:fill="FFFFFF"/>
          </w:tcPr>
          <w:p w14:paraId="3B2845B0"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960" w:type="pct"/>
            <w:shd w:val="clear" w:color="auto" w:fill="FFFFFF"/>
            <w:vAlign w:val="center"/>
          </w:tcPr>
          <w:p w14:paraId="130637F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8.608</w:t>
            </w:r>
          </w:p>
        </w:tc>
        <w:tc>
          <w:tcPr>
            <w:tcW w:w="670" w:type="pct"/>
            <w:shd w:val="clear" w:color="auto" w:fill="FFFFFF"/>
            <w:vAlign w:val="center"/>
          </w:tcPr>
          <w:p w14:paraId="709E066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921" w:type="pct"/>
            <w:shd w:val="clear" w:color="auto" w:fill="FFFFFF"/>
            <w:vAlign w:val="center"/>
          </w:tcPr>
          <w:p w14:paraId="79695B8F"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70" w:type="pct"/>
            <w:shd w:val="clear" w:color="auto" w:fill="FFFFFF"/>
            <w:vAlign w:val="center"/>
          </w:tcPr>
          <w:p w14:paraId="59EA86BE"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69" w:type="pct"/>
            <w:shd w:val="clear" w:color="auto" w:fill="FFFFFF"/>
            <w:vAlign w:val="center"/>
          </w:tcPr>
          <w:p w14:paraId="1540025D"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591BA935" w14:textId="77777777" w:rsidR="00587694" w:rsidRDefault="00416116">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Table 18 shows no significant difference in perceived service quality based on civil status (F = 0.307, p = 0.736), indicating that whether respondents are single, married, or otherwise, their evaluations remain consistent. This suggests that financial ins</w:t>
      </w:r>
      <w:r>
        <w:rPr>
          <w:rFonts w:ascii="Arial" w:eastAsia="Arial" w:hAnsi="Arial" w:cs="Arial"/>
          <w:sz w:val="20"/>
          <w:szCs w:val="20"/>
        </w:rPr>
        <w:t xml:space="preserve">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offer uniform service quality across civil status groups. This aligns with </w:t>
      </w:r>
      <w:proofErr w:type="spellStart"/>
      <w:r>
        <w:rPr>
          <w:rFonts w:ascii="Arial" w:eastAsia="Arial" w:hAnsi="Arial" w:cs="Arial"/>
          <w:sz w:val="20"/>
          <w:szCs w:val="20"/>
        </w:rPr>
        <w:t>Weerathunga</w:t>
      </w:r>
      <w:proofErr w:type="spellEnd"/>
      <w:r>
        <w:rPr>
          <w:rFonts w:ascii="Arial" w:eastAsia="Arial" w:hAnsi="Arial" w:cs="Arial"/>
          <w:sz w:val="20"/>
          <w:szCs w:val="20"/>
        </w:rPr>
        <w:t xml:space="preserve"> (2022), who also found civil status had little impact on customer perceptions in various sectors. However, broader literature presents mixed results—</w:t>
      </w:r>
      <w:r>
        <w:rPr>
          <w:rFonts w:ascii="Arial" w:eastAsia="Arial" w:hAnsi="Arial" w:cs="Arial"/>
          <w:sz w:val="20"/>
          <w:szCs w:val="20"/>
        </w:rPr>
        <w:t>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found that factors like gender, occupation, income, and religion can influence service perceptions, though age and education often do not. Meanwhile, </w:t>
      </w:r>
      <w:proofErr w:type="gramStart"/>
      <w:r>
        <w:rPr>
          <w:rFonts w:ascii="Arial" w:eastAsia="Arial" w:hAnsi="Arial" w:cs="Arial"/>
          <w:sz w:val="20"/>
          <w:szCs w:val="20"/>
        </w:rPr>
        <w:t>Go</w:t>
      </w:r>
      <w:proofErr w:type="gramEnd"/>
      <w:r>
        <w:rPr>
          <w:rFonts w:ascii="Arial" w:eastAsia="Arial" w:hAnsi="Arial" w:cs="Arial"/>
          <w:sz w:val="20"/>
          <w:szCs w:val="20"/>
        </w:rPr>
        <w:t xml:space="preserve"> et al. (2022) observed significant differences tied to age and education. </w:t>
      </w:r>
      <w:r>
        <w:rPr>
          <w:rFonts w:ascii="Arial" w:eastAsia="Arial" w:hAnsi="Arial" w:cs="Arial"/>
          <w:sz w:val="20"/>
          <w:szCs w:val="20"/>
        </w:rPr>
        <w:t xml:space="preserve">Overall, the findings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support the idea of inclusive, equitable service delivery, though demographic effects remain context-dependent.</w:t>
      </w:r>
    </w:p>
    <w:p w14:paraId="15372BFA"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 xml:space="preserve">Table 19. </w:t>
      </w:r>
      <w:r>
        <w:rPr>
          <w:rFonts w:ascii="Arial" w:eastAsia="Arial" w:hAnsi="Arial" w:cs="Arial"/>
          <w:sz w:val="20"/>
          <w:szCs w:val="20"/>
        </w:rPr>
        <w:t>Significant difference in the level</w:t>
      </w:r>
      <w:r>
        <w:rPr>
          <w:rFonts w:ascii="Arial" w:eastAsia="Arial" w:hAnsi="Arial" w:cs="Arial"/>
          <w:sz w:val="20"/>
          <w:szCs w:val="20"/>
        </w:rPr>
        <w:tab/>
        <w:t>of service quality when respondents are grouped according to educa</w:t>
      </w:r>
      <w:r>
        <w:rPr>
          <w:rFonts w:ascii="Arial" w:eastAsia="Arial" w:hAnsi="Arial" w:cs="Arial"/>
          <w:sz w:val="20"/>
          <w:szCs w:val="20"/>
        </w:rPr>
        <w:t>tional attainment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822"/>
        <w:gridCol w:w="1576"/>
        <w:gridCol w:w="1100"/>
        <w:gridCol w:w="1512"/>
        <w:gridCol w:w="1100"/>
        <w:gridCol w:w="1098"/>
      </w:tblGrid>
      <w:tr w:rsidR="00587694" w14:paraId="657247BB" w14:textId="77777777">
        <w:trPr>
          <w:cantSplit/>
        </w:trPr>
        <w:tc>
          <w:tcPr>
            <w:tcW w:w="5000" w:type="pct"/>
            <w:gridSpan w:val="6"/>
            <w:shd w:val="clear" w:color="auto" w:fill="FFFFFF"/>
            <w:vAlign w:val="center"/>
          </w:tcPr>
          <w:p w14:paraId="009EC18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lastRenderedPageBreak/>
              <w:t>ANOVA</w:t>
            </w:r>
          </w:p>
        </w:tc>
      </w:tr>
      <w:tr w:rsidR="00587694" w14:paraId="092E0077" w14:textId="77777777">
        <w:trPr>
          <w:cantSplit/>
        </w:trPr>
        <w:tc>
          <w:tcPr>
            <w:tcW w:w="5000" w:type="pct"/>
            <w:gridSpan w:val="6"/>
            <w:shd w:val="clear" w:color="auto" w:fill="FFFFFF"/>
            <w:vAlign w:val="bottom"/>
          </w:tcPr>
          <w:p w14:paraId="6C36B0EA"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1A8DEFC3" w14:textId="77777777">
        <w:trPr>
          <w:cantSplit/>
        </w:trPr>
        <w:tc>
          <w:tcPr>
            <w:tcW w:w="1110" w:type="pct"/>
            <w:shd w:val="clear" w:color="auto" w:fill="FFFFFF"/>
            <w:vAlign w:val="bottom"/>
          </w:tcPr>
          <w:p w14:paraId="44D487A8"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960" w:type="pct"/>
            <w:shd w:val="clear" w:color="auto" w:fill="FFFFFF"/>
            <w:vAlign w:val="bottom"/>
          </w:tcPr>
          <w:p w14:paraId="28651B3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670" w:type="pct"/>
            <w:shd w:val="clear" w:color="auto" w:fill="FFFFFF"/>
            <w:vAlign w:val="bottom"/>
          </w:tcPr>
          <w:p w14:paraId="49D2B98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921" w:type="pct"/>
            <w:shd w:val="clear" w:color="auto" w:fill="FFFFFF"/>
            <w:vAlign w:val="bottom"/>
          </w:tcPr>
          <w:p w14:paraId="3423EC4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670" w:type="pct"/>
            <w:shd w:val="clear" w:color="auto" w:fill="FFFFFF"/>
            <w:vAlign w:val="bottom"/>
          </w:tcPr>
          <w:p w14:paraId="612CF64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669" w:type="pct"/>
            <w:shd w:val="clear" w:color="auto" w:fill="FFFFFF"/>
            <w:vAlign w:val="bottom"/>
          </w:tcPr>
          <w:p w14:paraId="14F1C7E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5C51DDDC" w14:textId="77777777">
        <w:trPr>
          <w:cantSplit/>
        </w:trPr>
        <w:tc>
          <w:tcPr>
            <w:tcW w:w="1110" w:type="pct"/>
            <w:shd w:val="clear" w:color="auto" w:fill="FFFFFF"/>
          </w:tcPr>
          <w:p w14:paraId="5233CA54"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960" w:type="pct"/>
            <w:shd w:val="clear" w:color="auto" w:fill="FFFFFF"/>
            <w:vAlign w:val="center"/>
          </w:tcPr>
          <w:p w14:paraId="27E5E51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.022</w:t>
            </w:r>
          </w:p>
        </w:tc>
        <w:tc>
          <w:tcPr>
            <w:tcW w:w="670" w:type="pct"/>
            <w:shd w:val="clear" w:color="auto" w:fill="FFFFFF"/>
            <w:vAlign w:val="center"/>
          </w:tcPr>
          <w:p w14:paraId="39925E6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3</w:t>
            </w:r>
          </w:p>
        </w:tc>
        <w:tc>
          <w:tcPr>
            <w:tcW w:w="921" w:type="pct"/>
            <w:shd w:val="clear" w:color="auto" w:fill="FFFFFF"/>
            <w:vAlign w:val="center"/>
          </w:tcPr>
          <w:p w14:paraId="3F3C4DF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.007</w:t>
            </w:r>
          </w:p>
        </w:tc>
        <w:tc>
          <w:tcPr>
            <w:tcW w:w="670" w:type="pct"/>
            <w:shd w:val="clear" w:color="auto" w:fill="FFFFFF"/>
            <w:vAlign w:val="center"/>
          </w:tcPr>
          <w:p w14:paraId="0788C21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.153</w:t>
            </w:r>
          </w:p>
        </w:tc>
        <w:tc>
          <w:tcPr>
            <w:tcW w:w="669" w:type="pct"/>
            <w:shd w:val="clear" w:color="auto" w:fill="FFFFFF"/>
            <w:vAlign w:val="center"/>
          </w:tcPr>
          <w:p w14:paraId="2489FA3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.928</w:t>
            </w:r>
          </w:p>
        </w:tc>
      </w:tr>
      <w:tr w:rsidR="00587694" w14:paraId="6A2A342D" w14:textId="77777777">
        <w:trPr>
          <w:cantSplit/>
        </w:trPr>
        <w:tc>
          <w:tcPr>
            <w:tcW w:w="1110" w:type="pct"/>
            <w:shd w:val="clear" w:color="auto" w:fill="FFFFFF"/>
          </w:tcPr>
          <w:p w14:paraId="4BB929BF"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960" w:type="pct"/>
            <w:shd w:val="clear" w:color="auto" w:fill="FFFFFF"/>
            <w:vAlign w:val="center"/>
          </w:tcPr>
          <w:p w14:paraId="198362A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8.587</w:t>
            </w:r>
          </w:p>
        </w:tc>
        <w:tc>
          <w:tcPr>
            <w:tcW w:w="670" w:type="pct"/>
            <w:shd w:val="clear" w:color="auto" w:fill="FFFFFF"/>
            <w:vAlign w:val="center"/>
          </w:tcPr>
          <w:p w14:paraId="606C411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179</w:t>
            </w:r>
          </w:p>
        </w:tc>
        <w:tc>
          <w:tcPr>
            <w:tcW w:w="921" w:type="pct"/>
            <w:shd w:val="clear" w:color="auto" w:fill="FFFFFF"/>
            <w:vAlign w:val="center"/>
          </w:tcPr>
          <w:p w14:paraId="340AC1F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.048</w:t>
            </w:r>
          </w:p>
        </w:tc>
        <w:tc>
          <w:tcPr>
            <w:tcW w:w="670" w:type="pct"/>
            <w:shd w:val="clear" w:color="auto" w:fill="FFFFFF"/>
            <w:vAlign w:val="center"/>
          </w:tcPr>
          <w:p w14:paraId="1BBFDEB3"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69" w:type="pct"/>
            <w:shd w:val="clear" w:color="auto" w:fill="FFFFFF"/>
            <w:vAlign w:val="center"/>
          </w:tcPr>
          <w:p w14:paraId="2ACF34D2"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56A4147B" w14:textId="77777777">
        <w:trPr>
          <w:cantSplit/>
        </w:trPr>
        <w:tc>
          <w:tcPr>
            <w:tcW w:w="1110" w:type="pct"/>
            <w:shd w:val="clear" w:color="auto" w:fill="FFFFFF"/>
          </w:tcPr>
          <w:p w14:paraId="7020A505"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960" w:type="pct"/>
            <w:shd w:val="clear" w:color="auto" w:fill="FFFFFF"/>
            <w:vAlign w:val="center"/>
          </w:tcPr>
          <w:p w14:paraId="2F67A8A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8.608</w:t>
            </w:r>
          </w:p>
        </w:tc>
        <w:tc>
          <w:tcPr>
            <w:tcW w:w="670" w:type="pct"/>
            <w:shd w:val="clear" w:color="auto" w:fill="FFFFFF"/>
            <w:vAlign w:val="center"/>
          </w:tcPr>
          <w:p w14:paraId="36BCED0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921" w:type="pct"/>
            <w:shd w:val="clear" w:color="auto" w:fill="FFFFFF"/>
            <w:vAlign w:val="center"/>
          </w:tcPr>
          <w:p w14:paraId="08DEC6EB"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70" w:type="pct"/>
            <w:shd w:val="clear" w:color="auto" w:fill="FFFFFF"/>
            <w:vAlign w:val="center"/>
          </w:tcPr>
          <w:p w14:paraId="6581EBE0"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669" w:type="pct"/>
            <w:shd w:val="clear" w:color="auto" w:fill="FFFFFF"/>
            <w:vAlign w:val="center"/>
          </w:tcPr>
          <w:p w14:paraId="4442EDA8"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6FB29357" w14:textId="77777777" w:rsidR="00587694" w:rsidRDefault="00416116">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Table 19 reveals no significant difference in perceived service quality across educational levels (F = 0.153, p = 0.928), suggesting that respondents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evaluate financial services similarly regardless of their educational background. This indicates</w:t>
      </w:r>
      <w:r>
        <w:rPr>
          <w:rFonts w:ascii="Arial" w:eastAsia="Arial" w:hAnsi="Arial" w:cs="Arial"/>
          <w:sz w:val="20"/>
          <w:szCs w:val="20"/>
        </w:rPr>
        <w:t xml:space="preserve"> that institutions there provide consistent, inclusive service. Similar findings were reported by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and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 supporting the idea that education may not strongly influence service perceptions. However, o</w:t>
      </w:r>
      <w:r>
        <w:rPr>
          <w:rFonts w:ascii="Arial" w:eastAsia="Arial" w:hAnsi="Arial" w:cs="Arial"/>
          <w:sz w:val="20"/>
          <w:szCs w:val="20"/>
        </w:rPr>
        <w:t>ther studies highlight mixed effects from demographics such as income, occupation, and gender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&amp; Sultan, 2017; Kumari &amp; Rani, 2011), while </w:t>
      </w:r>
      <w:proofErr w:type="spellStart"/>
      <w:r>
        <w:rPr>
          <w:rFonts w:ascii="Arial" w:eastAsia="Arial" w:hAnsi="Arial" w:cs="Arial"/>
          <w:sz w:val="20"/>
          <w:szCs w:val="20"/>
        </w:rPr>
        <w:t>Weerathunga</w:t>
      </w:r>
      <w:proofErr w:type="spellEnd"/>
      <w:r>
        <w:rPr>
          <w:rFonts w:ascii="Arial" w:eastAsia="Arial" w:hAnsi="Arial" w:cs="Arial"/>
          <w:sz w:val="20"/>
          <w:szCs w:val="20"/>
        </w:rPr>
        <w:t xml:space="preserve"> (2022) emphasizes perception gaps between customers and employees. Overall, the </w:t>
      </w:r>
      <w:proofErr w:type="spellStart"/>
      <w:r>
        <w:rPr>
          <w:rFonts w:ascii="Arial" w:eastAsia="Arial" w:hAnsi="Arial" w:cs="Arial"/>
          <w:sz w:val="20"/>
          <w:szCs w:val="20"/>
        </w:rPr>
        <w:t>Cateel</w:t>
      </w:r>
      <w:proofErr w:type="spellEnd"/>
      <w:r>
        <w:rPr>
          <w:rFonts w:ascii="Arial" w:eastAsia="Arial" w:hAnsi="Arial" w:cs="Arial"/>
          <w:sz w:val="20"/>
          <w:szCs w:val="20"/>
        </w:rPr>
        <w:t xml:space="preserve"> data su</w:t>
      </w:r>
      <w:r>
        <w:rPr>
          <w:rFonts w:ascii="Arial" w:eastAsia="Arial" w:hAnsi="Arial" w:cs="Arial"/>
          <w:sz w:val="20"/>
          <w:szCs w:val="20"/>
        </w:rPr>
        <w:t>ggest effective, equitable service delivery, though demographic impacts remain context-specific.</w:t>
      </w:r>
    </w:p>
    <w:p w14:paraId="30CB5696"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Table 20.</w:t>
      </w:r>
      <w:r>
        <w:rPr>
          <w:rFonts w:ascii="Arial" w:eastAsia="Arial" w:hAnsi="Arial" w:cs="Arial"/>
          <w:sz w:val="20"/>
          <w:szCs w:val="20"/>
        </w:rPr>
        <w:t xml:space="preserve"> Significant difference in the level of service quality when respondents are grouped according to gender</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18"/>
        <w:gridCol w:w="2142"/>
        <w:gridCol w:w="625"/>
        <w:gridCol w:w="1819"/>
        <w:gridCol w:w="703"/>
        <w:gridCol w:w="701"/>
      </w:tblGrid>
      <w:tr w:rsidR="00587694" w14:paraId="49080C8A" w14:textId="77777777">
        <w:trPr>
          <w:cantSplit/>
          <w:trHeight w:val="121"/>
        </w:trPr>
        <w:tc>
          <w:tcPr>
            <w:tcW w:w="5000" w:type="pct"/>
            <w:gridSpan w:val="6"/>
            <w:shd w:val="clear" w:color="auto" w:fill="FFFFFF"/>
            <w:vAlign w:val="center"/>
          </w:tcPr>
          <w:p w14:paraId="03C5743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2D948DC0" w14:textId="77777777">
        <w:trPr>
          <w:cantSplit/>
        </w:trPr>
        <w:tc>
          <w:tcPr>
            <w:tcW w:w="5000" w:type="pct"/>
            <w:gridSpan w:val="6"/>
            <w:shd w:val="clear" w:color="auto" w:fill="FFFFFF"/>
            <w:vAlign w:val="bottom"/>
          </w:tcPr>
          <w:p w14:paraId="54D5EA91"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09693A3C" w14:textId="77777777">
        <w:trPr>
          <w:cantSplit/>
        </w:trPr>
        <w:tc>
          <w:tcPr>
            <w:tcW w:w="1351" w:type="pct"/>
            <w:shd w:val="clear" w:color="auto" w:fill="FFFFFF"/>
            <w:vAlign w:val="bottom"/>
          </w:tcPr>
          <w:p w14:paraId="370EC6C2"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5" w:type="pct"/>
            <w:shd w:val="clear" w:color="auto" w:fill="FFFFFF"/>
            <w:vAlign w:val="bottom"/>
          </w:tcPr>
          <w:p w14:paraId="4CEBC94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 xml:space="preserve">Sum of </w:t>
            </w:r>
            <w:r>
              <w:rPr>
                <w:rFonts w:ascii="Arial" w:hAnsi="Arial" w:cs="Arial"/>
                <w:color w:val="000000"/>
                <w:sz w:val="20"/>
                <w:szCs w:val="20"/>
                <w:lang w:val="en-PH"/>
              </w:rPr>
              <w:t>Squares</w:t>
            </w:r>
          </w:p>
        </w:tc>
        <w:tc>
          <w:tcPr>
            <w:tcW w:w="381" w:type="pct"/>
            <w:shd w:val="clear" w:color="auto" w:fill="FFFFFF"/>
            <w:vAlign w:val="bottom"/>
          </w:tcPr>
          <w:p w14:paraId="0C96A47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08" w:type="pct"/>
            <w:shd w:val="clear" w:color="auto" w:fill="FFFFFF"/>
            <w:vAlign w:val="bottom"/>
          </w:tcPr>
          <w:p w14:paraId="0A2FDE4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8" w:type="pct"/>
            <w:shd w:val="clear" w:color="auto" w:fill="FFFFFF"/>
            <w:vAlign w:val="bottom"/>
          </w:tcPr>
          <w:p w14:paraId="696FA92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28" w:type="pct"/>
            <w:shd w:val="clear" w:color="auto" w:fill="FFFFFF"/>
            <w:vAlign w:val="bottom"/>
          </w:tcPr>
          <w:p w14:paraId="7BB9291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1117021E" w14:textId="77777777">
        <w:trPr>
          <w:cantSplit/>
        </w:trPr>
        <w:tc>
          <w:tcPr>
            <w:tcW w:w="1351" w:type="pct"/>
            <w:shd w:val="clear" w:color="auto" w:fill="FFFFFF"/>
          </w:tcPr>
          <w:p w14:paraId="24EBC72C"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5" w:type="pct"/>
            <w:shd w:val="clear" w:color="auto" w:fill="FFFFFF"/>
            <w:vAlign w:val="center"/>
          </w:tcPr>
          <w:p w14:paraId="04449F6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.070</w:t>
            </w:r>
          </w:p>
        </w:tc>
        <w:tc>
          <w:tcPr>
            <w:tcW w:w="381" w:type="pct"/>
            <w:shd w:val="clear" w:color="auto" w:fill="FFFFFF"/>
            <w:vAlign w:val="center"/>
          </w:tcPr>
          <w:p w14:paraId="57A30F2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08" w:type="pct"/>
            <w:shd w:val="clear" w:color="auto" w:fill="FFFFFF"/>
            <w:vAlign w:val="center"/>
          </w:tcPr>
          <w:p w14:paraId="2589068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.035</w:t>
            </w:r>
          </w:p>
        </w:tc>
        <w:tc>
          <w:tcPr>
            <w:tcW w:w="428" w:type="pct"/>
            <w:shd w:val="clear" w:color="auto" w:fill="FFFFFF"/>
            <w:vAlign w:val="center"/>
          </w:tcPr>
          <w:p w14:paraId="14CBA40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.741</w:t>
            </w:r>
          </w:p>
        </w:tc>
        <w:tc>
          <w:tcPr>
            <w:tcW w:w="428" w:type="pct"/>
            <w:shd w:val="clear" w:color="auto" w:fill="FFFFFF"/>
            <w:vAlign w:val="center"/>
          </w:tcPr>
          <w:p w14:paraId="6360BBF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.478</w:t>
            </w:r>
          </w:p>
        </w:tc>
      </w:tr>
    </w:tbl>
    <w:p w14:paraId="3AB8EC26" w14:textId="77777777" w:rsidR="00587694" w:rsidRDefault="00416116">
      <w:pPr>
        <w:spacing w:before="240" w:after="240" w:line="240" w:lineRule="auto"/>
        <w:ind w:firstLine="720"/>
        <w:jc w:val="both"/>
        <w:rPr>
          <w:rFonts w:ascii="Arial" w:eastAsia="Arial" w:hAnsi="Arial" w:cs="Arial"/>
          <w:sz w:val="20"/>
          <w:szCs w:val="20"/>
        </w:rPr>
      </w:pPr>
      <w:r>
        <w:rPr>
          <w:rFonts w:ascii="Arial" w:eastAsia="Arial" w:hAnsi="Arial" w:cs="Arial"/>
          <w:sz w:val="20"/>
          <w:szCs w:val="20"/>
        </w:rPr>
        <w:t xml:space="preserve">Table 19 shows no significant difference in perceived service quality between genders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0.741, p = 0.478), indicating that male and female customers evaluate services similarly. This aligns with Riyad Moosa (2023), who also found minimal gender-based variation in service quality perceptions. These results suggest that financial institut</w:t>
      </w:r>
      <w:r>
        <w:rPr>
          <w:rFonts w:ascii="Arial" w:eastAsia="Arial" w:hAnsi="Arial" w:cs="Arial"/>
          <w:sz w:val="20"/>
          <w:szCs w:val="20"/>
        </w:rPr>
        <w:t xml:space="preserve">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offer equitable, inclusive service. While gender-specific strategies can be useful, banks should focus on maintaining overall service quality that benefits all customers.</w:t>
      </w:r>
    </w:p>
    <w:p w14:paraId="634850EF"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 xml:space="preserve">Table 21. </w:t>
      </w:r>
      <w:r>
        <w:rPr>
          <w:rFonts w:ascii="Arial" w:eastAsia="Arial" w:hAnsi="Arial" w:cs="Arial"/>
          <w:sz w:val="20"/>
          <w:szCs w:val="20"/>
        </w:rPr>
        <w:t xml:space="preserve">Significant difference in the level of service quality when </w:t>
      </w:r>
      <w:r>
        <w:rPr>
          <w:rFonts w:ascii="Arial" w:eastAsia="Arial" w:hAnsi="Arial" w:cs="Arial"/>
          <w:sz w:val="20"/>
          <w:szCs w:val="20"/>
        </w:rPr>
        <w:t>respondents are grouped according to the source of income.</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26"/>
        <w:gridCol w:w="2149"/>
        <w:gridCol w:w="617"/>
        <w:gridCol w:w="1824"/>
        <w:gridCol w:w="694"/>
        <w:gridCol w:w="698"/>
      </w:tblGrid>
      <w:tr w:rsidR="00587694" w14:paraId="3DAFE8DE" w14:textId="77777777">
        <w:trPr>
          <w:cantSplit/>
          <w:trHeight w:val="79"/>
        </w:trPr>
        <w:tc>
          <w:tcPr>
            <w:tcW w:w="5000" w:type="pct"/>
            <w:gridSpan w:val="6"/>
            <w:shd w:val="clear" w:color="auto" w:fill="FFFFFF"/>
            <w:vAlign w:val="center"/>
          </w:tcPr>
          <w:p w14:paraId="6855C69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38328129" w14:textId="77777777">
        <w:trPr>
          <w:cantSplit/>
          <w:trHeight w:val="169"/>
        </w:trPr>
        <w:tc>
          <w:tcPr>
            <w:tcW w:w="5000" w:type="pct"/>
            <w:gridSpan w:val="6"/>
            <w:shd w:val="clear" w:color="auto" w:fill="FFFFFF"/>
            <w:vAlign w:val="bottom"/>
          </w:tcPr>
          <w:p w14:paraId="208562F8"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3BD0809D" w14:textId="77777777">
        <w:trPr>
          <w:cantSplit/>
        </w:trPr>
        <w:tc>
          <w:tcPr>
            <w:tcW w:w="1356" w:type="pct"/>
            <w:shd w:val="clear" w:color="auto" w:fill="FFFFFF"/>
            <w:vAlign w:val="bottom"/>
          </w:tcPr>
          <w:p w14:paraId="0491DD29"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9" w:type="pct"/>
            <w:shd w:val="clear" w:color="auto" w:fill="FFFFFF"/>
            <w:vAlign w:val="bottom"/>
          </w:tcPr>
          <w:p w14:paraId="6ADE2A8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6" w:type="pct"/>
            <w:shd w:val="clear" w:color="auto" w:fill="FFFFFF"/>
            <w:vAlign w:val="bottom"/>
          </w:tcPr>
          <w:p w14:paraId="6811BB6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11" w:type="pct"/>
            <w:shd w:val="clear" w:color="auto" w:fill="FFFFFF"/>
            <w:vAlign w:val="bottom"/>
          </w:tcPr>
          <w:p w14:paraId="0B4F5A2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3" w:type="pct"/>
            <w:shd w:val="clear" w:color="auto" w:fill="FFFFFF"/>
            <w:vAlign w:val="bottom"/>
          </w:tcPr>
          <w:p w14:paraId="7E41533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23" w:type="pct"/>
            <w:shd w:val="clear" w:color="auto" w:fill="FFFFFF"/>
            <w:vAlign w:val="bottom"/>
          </w:tcPr>
          <w:p w14:paraId="2B21694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4970D79B" w14:textId="77777777">
        <w:trPr>
          <w:cantSplit/>
        </w:trPr>
        <w:tc>
          <w:tcPr>
            <w:tcW w:w="1356" w:type="pct"/>
            <w:shd w:val="clear" w:color="auto" w:fill="FFFFFF"/>
          </w:tcPr>
          <w:p w14:paraId="48E2ED3D"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9" w:type="pct"/>
            <w:shd w:val="clear" w:color="auto" w:fill="FFFFFF"/>
            <w:vAlign w:val="center"/>
          </w:tcPr>
          <w:p w14:paraId="44B40DB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.026</w:t>
            </w:r>
          </w:p>
        </w:tc>
        <w:tc>
          <w:tcPr>
            <w:tcW w:w="376" w:type="pct"/>
            <w:shd w:val="clear" w:color="auto" w:fill="FFFFFF"/>
            <w:vAlign w:val="center"/>
          </w:tcPr>
          <w:p w14:paraId="4A7EBCB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11" w:type="pct"/>
            <w:shd w:val="clear" w:color="auto" w:fill="FFFFFF"/>
            <w:vAlign w:val="center"/>
          </w:tcPr>
          <w:p w14:paraId="7B1A516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.013</w:t>
            </w:r>
          </w:p>
        </w:tc>
        <w:tc>
          <w:tcPr>
            <w:tcW w:w="423" w:type="pct"/>
            <w:shd w:val="clear" w:color="auto" w:fill="FFFFFF"/>
            <w:vAlign w:val="center"/>
          </w:tcPr>
          <w:p w14:paraId="3BB2D57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.273</w:t>
            </w:r>
          </w:p>
        </w:tc>
        <w:tc>
          <w:tcPr>
            <w:tcW w:w="423" w:type="pct"/>
            <w:shd w:val="clear" w:color="auto" w:fill="FFFFFF"/>
            <w:vAlign w:val="center"/>
          </w:tcPr>
          <w:p w14:paraId="56B3C3F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.762</w:t>
            </w:r>
          </w:p>
        </w:tc>
      </w:tr>
      <w:tr w:rsidR="00587694" w14:paraId="766A0D26" w14:textId="77777777">
        <w:trPr>
          <w:cantSplit/>
        </w:trPr>
        <w:tc>
          <w:tcPr>
            <w:tcW w:w="1356" w:type="pct"/>
            <w:shd w:val="clear" w:color="auto" w:fill="FFFFFF"/>
          </w:tcPr>
          <w:p w14:paraId="090C3419"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9" w:type="pct"/>
            <w:shd w:val="clear" w:color="auto" w:fill="FFFFFF"/>
            <w:vAlign w:val="center"/>
          </w:tcPr>
          <w:p w14:paraId="34374DF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8.582</w:t>
            </w:r>
          </w:p>
        </w:tc>
        <w:tc>
          <w:tcPr>
            <w:tcW w:w="376" w:type="pct"/>
            <w:shd w:val="clear" w:color="auto" w:fill="FFFFFF"/>
            <w:vAlign w:val="center"/>
          </w:tcPr>
          <w:p w14:paraId="48B5EC7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111" w:type="pct"/>
            <w:shd w:val="clear" w:color="auto" w:fill="FFFFFF"/>
            <w:vAlign w:val="center"/>
          </w:tcPr>
          <w:p w14:paraId="063E84B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.048</w:t>
            </w:r>
          </w:p>
        </w:tc>
        <w:tc>
          <w:tcPr>
            <w:tcW w:w="423" w:type="pct"/>
            <w:shd w:val="clear" w:color="auto" w:fill="FFFFFF"/>
            <w:vAlign w:val="center"/>
          </w:tcPr>
          <w:p w14:paraId="27769D1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0C74C303"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43312902" w14:textId="77777777">
        <w:trPr>
          <w:cantSplit/>
        </w:trPr>
        <w:tc>
          <w:tcPr>
            <w:tcW w:w="1356" w:type="pct"/>
            <w:shd w:val="clear" w:color="auto" w:fill="FFFFFF"/>
          </w:tcPr>
          <w:p w14:paraId="5D875A72"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1309" w:type="pct"/>
            <w:shd w:val="clear" w:color="auto" w:fill="FFFFFF"/>
            <w:vAlign w:val="center"/>
          </w:tcPr>
          <w:p w14:paraId="2CA5BA2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8.608</w:t>
            </w:r>
          </w:p>
        </w:tc>
        <w:tc>
          <w:tcPr>
            <w:tcW w:w="376" w:type="pct"/>
            <w:shd w:val="clear" w:color="auto" w:fill="FFFFFF"/>
            <w:vAlign w:val="center"/>
          </w:tcPr>
          <w:p w14:paraId="6CE2615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11" w:type="pct"/>
            <w:shd w:val="clear" w:color="auto" w:fill="FFFFFF"/>
            <w:vAlign w:val="center"/>
          </w:tcPr>
          <w:p w14:paraId="43BD799C"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56EF2D43"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30A84A25"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4FFF1B13" w14:textId="77777777" w:rsidR="00587694" w:rsidRDefault="00416116">
      <w:pPr>
        <w:spacing w:before="240" w:after="240" w:line="240" w:lineRule="auto"/>
        <w:jc w:val="both"/>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Table 20 shows no significant difference in perceived service quality across income sources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0.273, p = 0.762), indicating that customers—whether earning from employment, business, or other means—evaluate service quality similarly. This sugge</w:t>
      </w:r>
      <w:r>
        <w:rPr>
          <w:rFonts w:ascii="Arial" w:eastAsia="Arial" w:hAnsi="Arial" w:cs="Arial"/>
          <w:sz w:val="20"/>
          <w:szCs w:val="20"/>
        </w:rPr>
        <w:t>sts that financial institutions provide consistent, inclusive service across diverse economic backgrounds, promoting broad customer satisfaction.</w:t>
      </w:r>
    </w:p>
    <w:p w14:paraId="08BE9095" w14:textId="77777777" w:rsidR="00587694" w:rsidRDefault="00416116">
      <w:pPr>
        <w:spacing w:before="240" w:after="240" w:line="24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Table 21 shows no significant difference in perceived service quality based on income source, consistent with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 who found income had little effect on customer perceptions in the financial sector. This suggests that equitable s</w:t>
      </w:r>
      <w:r>
        <w:rPr>
          <w:rFonts w:ascii="Arial" w:eastAsia="Arial" w:hAnsi="Arial" w:cs="Arial"/>
          <w:sz w:val="20"/>
          <w:szCs w:val="20"/>
        </w:rPr>
        <w:t xml:space="preserve">ervice can lead to consistent evaluations across economic backgrounds. However, </w:t>
      </w:r>
      <w:proofErr w:type="spellStart"/>
      <w:r>
        <w:rPr>
          <w:rFonts w:ascii="Arial" w:eastAsia="Arial" w:hAnsi="Arial" w:cs="Arial"/>
          <w:sz w:val="20"/>
          <w:szCs w:val="20"/>
        </w:rPr>
        <w:t>Weerathunga</w:t>
      </w:r>
      <w:proofErr w:type="spellEnd"/>
      <w:r>
        <w:rPr>
          <w:rFonts w:ascii="Arial" w:eastAsia="Arial" w:hAnsi="Arial" w:cs="Arial"/>
          <w:sz w:val="20"/>
          <w:szCs w:val="20"/>
        </w:rPr>
        <w:t xml:space="preserve"> (2022) noted </w:t>
      </w:r>
      <w:r>
        <w:rPr>
          <w:rFonts w:ascii="Arial" w:eastAsia="Arial" w:hAnsi="Arial" w:cs="Arial"/>
          <w:sz w:val="20"/>
          <w:szCs w:val="20"/>
        </w:rPr>
        <w:lastRenderedPageBreak/>
        <w:t>that perception gaps may stem more from stakeholder roles than income, highlighting the need to consider other factors when improving service delivery.</w:t>
      </w:r>
    </w:p>
    <w:p w14:paraId="11BD4E18"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 xml:space="preserve">Table 22. </w:t>
      </w:r>
      <w:r>
        <w:rPr>
          <w:rFonts w:ascii="Arial" w:eastAsia="Arial" w:hAnsi="Arial" w:cs="Arial"/>
          <w:sz w:val="20"/>
          <w:szCs w:val="20"/>
        </w:rPr>
        <w:t>Significant difference in the level of service quality when respondents are grouped according to monthly income</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26"/>
        <w:gridCol w:w="2149"/>
        <w:gridCol w:w="617"/>
        <w:gridCol w:w="1824"/>
        <w:gridCol w:w="694"/>
        <w:gridCol w:w="698"/>
      </w:tblGrid>
      <w:tr w:rsidR="00587694" w14:paraId="3BE23C76" w14:textId="77777777">
        <w:trPr>
          <w:cantSplit/>
        </w:trPr>
        <w:tc>
          <w:tcPr>
            <w:tcW w:w="5000" w:type="pct"/>
            <w:gridSpan w:val="6"/>
            <w:shd w:val="clear" w:color="auto" w:fill="FFFFFF"/>
            <w:vAlign w:val="center"/>
          </w:tcPr>
          <w:p w14:paraId="2669976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493D5961" w14:textId="77777777">
        <w:trPr>
          <w:cantSplit/>
        </w:trPr>
        <w:tc>
          <w:tcPr>
            <w:tcW w:w="5000" w:type="pct"/>
            <w:gridSpan w:val="6"/>
            <w:shd w:val="clear" w:color="auto" w:fill="FFFFFF"/>
            <w:vAlign w:val="bottom"/>
          </w:tcPr>
          <w:p w14:paraId="71363FE0"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Service Quality  </w:t>
            </w:r>
          </w:p>
        </w:tc>
      </w:tr>
      <w:tr w:rsidR="00587694" w14:paraId="61BD1667" w14:textId="77777777">
        <w:trPr>
          <w:cantSplit/>
        </w:trPr>
        <w:tc>
          <w:tcPr>
            <w:tcW w:w="1356" w:type="pct"/>
            <w:shd w:val="clear" w:color="auto" w:fill="FFFFFF"/>
            <w:vAlign w:val="bottom"/>
          </w:tcPr>
          <w:p w14:paraId="519AB262"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9" w:type="pct"/>
            <w:shd w:val="clear" w:color="auto" w:fill="FFFFFF"/>
            <w:vAlign w:val="bottom"/>
          </w:tcPr>
          <w:p w14:paraId="36BA32C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6" w:type="pct"/>
            <w:shd w:val="clear" w:color="auto" w:fill="FFFFFF"/>
            <w:vAlign w:val="bottom"/>
          </w:tcPr>
          <w:p w14:paraId="203A68E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11" w:type="pct"/>
            <w:shd w:val="clear" w:color="auto" w:fill="FFFFFF"/>
            <w:vAlign w:val="bottom"/>
          </w:tcPr>
          <w:p w14:paraId="7BD6A49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3" w:type="pct"/>
            <w:shd w:val="clear" w:color="auto" w:fill="FFFFFF"/>
            <w:vAlign w:val="bottom"/>
          </w:tcPr>
          <w:p w14:paraId="7474B2F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25" w:type="pct"/>
            <w:shd w:val="clear" w:color="auto" w:fill="FFFFFF"/>
            <w:vAlign w:val="bottom"/>
          </w:tcPr>
          <w:p w14:paraId="3C0332B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45AEDE26" w14:textId="77777777">
        <w:trPr>
          <w:cantSplit/>
        </w:trPr>
        <w:tc>
          <w:tcPr>
            <w:tcW w:w="1356" w:type="pct"/>
            <w:shd w:val="clear" w:color="auto" w:fill="FFFFFF"/>
          </w:tcPr>
          <w:p w14:paraId="2E1166A7"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9" w:type="pct"/>
            <w:shd w:val="clear" w:color="auto" w:fill="FFFFFF"/>
            <w:vAlign w:val="center"/>
          </w:tcPr>
          <w:p w14:paraId="6C9BEA7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.062</w:t>
            </w:r>
          </w:p>
        </w:tc>
        <w:tc>
          <w:tcPr>
            <w:tcW w:w="376" w:type="pct"/>
            <w:shd w:val="clear" w:color="auto" w:fill="FFFFFF"/>
            <w:vAlign w:val="center"/>
          </w:tcPr>
          <w:p w14:paraId="347E89E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4</w:t>
            </w:r>
          </w:p>
        </w:tc>
        <w:tc>
          <w:tcPr>
            <w:tcW w:w="1111" w:type="pct"/>
            <w:shd w:val="clear" w:color="auto" w:fill="FFFFFF"/>
            <w:vAlign w:val="center"/>
          </w:tcPr>
          <w:p w14:paraId="757C74D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.015</w:t>
            </w:r>
          </w:p>
        </w:tc>
        <w:tc>
          <w:tcPr>
            <w:tcW w:w="423" w:type="pct"/>
            <w:shd w:val="clear" w:color="auto" w:fill="FFFFFF"/>
            <w:vAlign w:val="center"/>
          </w:tcPr>
          <w:p w14:paraId="429B893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.321</w:t>
            </w:r>
          </w:p>
        </w:tc>
        <w:tc>
          <w:tcPr>
            <w:tcW w:w="425" w:type="pct"/>
            <w:shd w:val="clear" w:color="auto" w:fill="FFFFFF"/>
            <w:vAlign w:val="center"/>
          </w:tcPr>
          <w:p w14:paraId="63EAE70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.864</w:t>
            </w:r>
          </w:p>
        </w:tc>
      </w:tr>
      <w:tr w:rsidR="00587694" w14:paraId="54738B9E" w14:textId="77777777">
        <w:trPr>
          <w:cantSplit/>
        </w:trPr>
        <w:tc>
          <w:tcPr>
            <w:tcW w:w="1356" w:type="pct"/>
            <w:shd w:val="clear" w:color="auto" w:fill="FFFFFF"/>
          </w:tcPr>
          <w:p w14:paraId="608D3E61"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9" w:type="pct"/>
            <w:shd w:val="clear" w:color="auto" w:fill="FFFFFF"/>
            <w:vAlign w:val="center"/>
          </w:tcPr>
          <w:p w14:paraId="259F02A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8.547</w:t>
            </w:r>
          </w:p>
        </w:tc>
        <w:tc>
          <w:tcPr>
            <w:tcW w:w="376" w:type="pct"/>
            <w:shd w:val="clear" w:color="auto" w:fill="FFFFFF"/>
            <w:vAlign w:val="center"/>
          </w:tcPr>
          <w:p w14:paraId="6034A9D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178</w:t>
            </w:r>
          </w:p>
        </w:tc>
        <w:tc>
          <w:tcPr>
            <w:tcW w:w="1111" w:type="pct"/>
            <w:shd w:val="clear" w:color="auto" w:fill="FFFFFF"/>
            <w:vAlign w:val="center"/>
          </w:tcPr>
          <w:p w14:paraId="5F645E4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.048</w:t>
            </w:r>
          </w:p>
        </w:tc>
        <w:tc>
          <w:tcPr>
            <w:tcW w:w="423" w:type="pct"/>
            <w:shd w:val="clear" w:color="auto" w:fill="FFFFFF"/>
            <w:vAlign w:val="center"/>
          </w:tcPr>
          <w:p w14:paraId="28823E23"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279684DB"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1D161E64" w14:textId="77777777">
        <w:trPr>
          <w:cantSplit/>
        </w:trPr>
        <w:tc>
          <w:tcPr>
            <w:tcW w:w="1356" w:type="pct"/>
            <w:shd w:val="clear" w:color="auto" w:fill="FFFFFF"/>
          </w:tcPr>
          <w:p w14:paraId="6FBFFFDE"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1309" w:type="pct"/>
            <w:shd w:val="clear" w:color="auto" w:fill="FFFFFF"/>
            <w:vAlign w:val="center"/>
          </w:tcPr>
          <w:p w14:paraId="33C7CED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8.608</w:t>
            </w:r>
          </w:p>
        </w:tc>
        <w:tc>
          <w:tcPr>
            <w:tcW w:w="376" w:type="pct"/>
            <w:shd w:val="clear" w:color="auto" w:fill="FFFFFF"/>
            <w:vAlign w:val="center"/>
          </w:tcPr>
          <w:p w14:paraId="1356532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11" w:type="pct"/>
            <w:shd w:val="clear" w:color="auto" w:fill="FFFFFF"/>
            <w:vAlign w:val="center"/>
          </w:tcPr>
          <w:p w14:paraId="71C0416D"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3" w:type="pct"/>
            <w:shd w:val="clear" w:color="auto" w:fill="FFFFFF"/>
            <w:vAlign w:val="center"/>
          </w:tcPr>
          <w:p w14:paraId="779AD90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0A84A0B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7498A59C" w14:textId="77777777" w:rsidR="00587694" w:rsidRDefault="00416116">
      <w:pPr>
        <w:spacing w:before="280" w:line="240" w:lineRule="auto"/>
        <w:ind w:firstLine="720"/>
        <w:jc w:val="both"/>
        <w:rPr>
          <w:rFonts w:ascii="Arial" w:eastAsia="Arial" w:hAnsi="Arial" w:cs="Arial"/>
          <w:b/>
          <w:sz w:val="20"/>
          <w:szCs w:val="20"/>
        </w:rPr>
      </w:pPr>
      <w:r>
        <w:rPr>
          <w:rFonts w:ascii="Arial" w:eastAsia="Arial" w:hAnsi="Arial" w:cs="Arial"/>
          <w:sz w:val="20"/>
          <w:szCs w:val="20"/>
        </w:rPr>
        <w:t xml:space="preserve">Table 22 shows no significant difference in perceived service quality across monthly income levels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0.321, p = 0.864), indicating that customers view service quality similarly regardless of income. This suggests that financial institutions deliver consistent, inclusive service that meets expectations across all income brackets.</w:t>
      </w:r>
    </w:p>
    <w:p w14:paraId="1F165639" w14:textId="77777777" w:rsidR="00587694" w:rsidRDefault="00416116">
      <w:pPr>
        <w:spacing w:before="280" w:line="240" w:lineRule="auto"/>
        <w:rPr>
          <w:rFonts w:ascii="Arial" w:eastAsia="Arial" w:hAnsi="Arial" w:cs="Arial"/>
          <w:b/>
          <w:sz w:val="20"/>
          <w:szCs w:val="20"/>
        </w:rPr>
      </w:pPr>
      <w:r>
        <w:rPr>
          <w:rFonts w:ascii="Arial" w:eastAsia="Arial" w:hAnsi="Arial" w:cs="Arial"/>
          <w:b/>
          <w:sz w:val="20"/>
          <w:szCs w:val="20"/>
        </w:rPr>
        <w:t>Significant Differen</w:t>
      </w:r>
      <w:r>
        <w:rPr>
          <w:rFonts w:ascii="Arial" w:eastAsia="Arial" w:hAnsi="Arial" w:cs="Arial"/>
          <w:b/>
          <w:sz w:val="20"/>
          <w:szCs w:val="20"/>
        </w:rPr>
        <w:t>ce on the Level of Customer Satisfaction When Respondents are Grouped According to Profile</w:t>
      </w:r>
    </w:p>
    <w:p w14:paraId="36F6889F" w14:textId="77777777" w:rsidR="00587694" w:rsidRDefault="00416116">
      <w:pPr>
        <w:spacing w:before="280" w:line="240" w:lineRule="auto"/>
        <w:jc w:val="both"/>
        <w:rPr>
          <w:rFonts w:ascii="Arial" w:eastAsia="Arial" w:hAnsi="Arial" w:cs="Arial"/>
          <w:sz w:val="20"/>
          <w:szCs w:val="20"/>
        </w:rPr>
      </w:pPr>
      <w:r>
        <w:rPr>
          <w:rFonts w:ascii="Arial" w:eastAsia="Arial" w:hAnsi="Arial" w:cs="Arial"/>
          <w:sz w:val="20"/>
          <w:szCs w:val="20"/>
        </w:rPr>
        <w:t xml:space="preserve">             Table 23 shows no significant difference in customer satisfaction across age groups (F = 0.684, p = 0.506), suggesting that respondents of all ages in </w:t>
      </w:r>
      <w:proofErr w:type="spellStart"/>
      <w:r>
        <w:rPr>
          <w:rFonts w:ascii="Arial" w:eastAsia="Arial" w:hAnsi="Arial" w:cs="Arial"/>
          <w:sz w:val="20"/>
          <w:szCs w:val="20"/>
        </w:rPr>
        <w:t>C</w:t>
      </w:r>
      <w:r>
        <w:rPr>
          <w:rFonts w:ascii="Arial" w:eastAsia="Arial" w:hAnsi="Arial" w:cs="Arial"/>
          <w:sz w:val="20"/>
          <w:szCs w:val="20"/>
        </w:rPr>
        <w:t>ateel</w:t>
      </w:r>
      <w:proofErr w:type="spellEnd"/>
      <w:r>
        <w:rPr>
          <w:rFonts w:ascii="Arial" w:eastAsia="Arial" w:hAnsi="Arial" w:cs="Arial"/>
          <w:sz w:val="20"/>
          <w:szCs w:val="20"/>
        </w:rPr>
        <w:t xml:space="preserve"> report similar satisfaction levels. This indicates that financial institutions provide consistently inclusive service that meets expectations across age brackets.</w:t>
      </w:r>
    </w:p>
    <w:p w14:paraId="2AE41348" w14:textId="77777777" w:rsidR="00587694" w:rsidRDefault="00416116">
      <w:pPr>
        <w:spacing w:before="280" w:line="240" w:lineRule="auto"/>
        <w:rPr>
          <w:rFonts w:ascii="Arial" w:eastAsia="Arial" w:hAnsi="Arial" w:cs="Arial"/>
          <w:sz w:val="20"/>
          <w:szCs w:val="20"/>
        </w:rPr>
      </w:pPr>
      <w:r>
        <w:rPr>
          <w:rFonts w:ascii="Arial" w:eastAsia="Arial" w:hAnsi="Arial" w:cs="Arial"/>
          <w:b/>
          <w:sz w:val="20"/>
          <w:szCs w:val="20"/>
        </w:rPr>
        <w:t xml:space="preserve">Table 23. </w:t>
      </w:r>
      <w:r>
        <w:rPr>
          <w:rFonts w:ascii="Arial" w:eastAsia="Arial" w:hAnsi="Arial" w:cs="Arial"/>
          <w:sz w:val="20"/>
          <w:szCs w:val="20"/>
        </w:rPr>
        <w:t>Significant difference in the level of customer satisfaction when respondents</w:t>
      </w:r>
      <w:r>
        <w:rPr>
          <w:rFonts w:ascii="Arial" w:eastAsia="Arial" w:hAnsi="Arial" w:cs="Arial"/>
          <w:sz w:val="20"/>
          <w:szCs w:val="20"/>
        </w:rPr>
        <w:t xml:space="preserve"> are grouped according to age</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11"/>
        <w:gridCol w:w="2121"/>
        <w:gridCol w:w="639"/>
        <w:gridCol w:w="1796"/>
        <w:gridCol w:w="712"/>
        <w:gridCol w:w="729"/>
      </w:tblGrid>
      <w:tr w:rsidR="00587694" w14:paraId="2C3B622E" w14:textId="77777777">
        <w:trPr>
          <w:cantSplit/>
        </w:trPr>
        <w:tc>
          <w:tcPr>
            <w:tcW w:w="5000" w:type="pct"/>
            <w:gridSpan w:val="6"/>
            <w:shd w:val="clear" w:color="auto" w:fill="FFFFFF"/>
            <w:vAlign w:val="center"/>
          </w:tcPr>
          <w:p w14:paraId="0AC46AA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0C00D2FD" w14:textId="77777777">
        <w:trPr>
          <w:cantSplit/>
        </w:trPr>
        <w:tc>
          <w:tcPr>
            <w:tcW w:w="5000" w:type="pct"/>
            <w:gridSpan w:val="6"/>
            <w:shd w:val="clear" w:color="auto" w:fill="FFFFFF"/>
            <w:vAlign w:val="bottom"/>
          </w:tcPr>
          <w:p w14:paraId="7D324152"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Customer Satisfaction  </w:t>
            </w:r>
          </w:p>
        </w:tc>
      </w:tr>
      <w:tr w:rsidR="00587694" w14:paraId="00F227C7" w14:textId="77777777">
        <w:trPr>
          <w:cantSplit/>
        </w:trPr>
        <w:tc>
          <w:tcPr>
            <w:tcW w:w="1347" w:type="pct"/>
            <w:shd w:val="clear" w:color="auto" w:fill="FFFFFF"/>
            <w:vAlign w:val="bottom"/>
          </w:tcPr>
          <w:p w14:paraId="16AAF27A"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292" w:type="pct"/>
            <w:shd w:val="clear" w:color="auto" w:fill="FFFFFF"/>
            <w:vAlign w:val="bottom"/>
          </w:tcPr>
          <w:p w14:paraId="3724FF7F"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89" w:type="pct"/>
            <w:shd w:val="clear" w:color="auto" w:fill="FFFFFF"/>
            <w:vAlign w:val="bottom"/>
          </w:tcPr>
          <w:p w14:paraId="216A886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094" w:type="pct"/>
            <w:shd w:val="clear" w:color="auto" w:fill="FFFFFF"/>
            <w:vAlign w:val="bottom"/>
          </w:tcPr>
          <w:p w14:paraId="0F00768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34" w:type="pct"/>
            <w:shd w:val="clear" w:color="auto" w:fill="FFFFFF"/>
            <w:vAlign w:val="bottom"/>
          </w:tcPr>
          <w:p w14:paraId="1FD08E2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43" w:type="pct"/>
            <w:shd w:val="clear" w:color="auto" w:fill="FFFFFF"/>
            <w:vAlign w:val="bottom"/>
          </w:tcPr>
          <w:p w14:paraId="1EE98DD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27C0A151" w14:textId="77777777">
        <w:trPr>
          <w:cantSplit/>
        </w:trPr>
        <w:tc>
          <w:tcPr>
            <w:tcW w:w="1347" w:type="pct"/>
            <w:shd w:val="clear" w:color="auto" w:fill="FFFFFF"/>
          </w:tcPr>
          <w:p w14:paraId="64ECAE25"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292" w:type="pct"/>
            <w:shd w:val="clear" w:color="auto" w:fill="FFFFFF"/>
            <w:vAlign w:val="center"/>
          </w:tcPr>
          <w:p w14:paraId="66E1ABC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389" w:type="pct"/>
            <w:shd w:val="clear" w:color="auto" w:fill="FFFFFF"/>
            <w:vAlign w:val="center"/>
          </w:tcPr>
          <w:p w14:paraId="7A8759D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094" w:type="pct"/>
            <w:shd w:val="clear" w:color="auto" w:fill="FFFFFF"/>
            <w:vAlign w:val="center"/>
          </w:tcPr>
          <w:p w14:paraId="358E6C9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.090</w:t>
            </w:r>
          </w:p>
        </w:tc>
        <w:tc>
          <w:tcPr>
            <w:tcW w:w="434" w:type="pct"/>
            <w:shd w:val="clear" w:color="auto" w:fill="FFFFFF"/>
            <w:vAlign w:val="center"/>
          </w:tcPr>
          <w:p w14:paraId="33E7BA0A"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.684</w:t>
            </w:r>
          </w:p>
        </w:tc>
        <w:tc>
          <w:tcPr>
            <w:tcW w:w="443" w:type="pct"/>
            <w:shd w:val="clear" w:color="auto" w:fill="FFFFFF"/>
            <w:vAlign w:val="center"/>
          </w:tcPr>
          <w:p w14:paraId="5BD8D06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.506</w:t>
            </w:r>
          </w:p>
        </w:tc>
      </w:tr>
      <w:tr w:rsidR="00587694" w14:paraId="6135E681" w14:textId="77777777">
        <w:trPr>
          <w:cantSplit/>
        </w:trPr>
        <w:tc>
          <w:tcPr>
            <w:tcW w:w="1347" w:type="pct"/>
            <w:shd w:val="clear" w:color="auto" w:fill="FFFFFF"/>
          </w:tcPr>
          <w:p w14:paraId="23F9715A"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292" w:type="pct"/>
            <w:shd w:val="clear" w:color="auto" w:fill="FFFFFF"/>
            <w:vAlign w:val="center"/>
          </w:tcPr>
          <w:p w14:paraId="337E43C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23.615</w:t>
            </w:r>
          </w:p>
        </w:tc>
        <w:tc>
          <w:tcPr>
            <w:tcW w:w="389" w:type="pct"/>
            <w:shd w:val="clear" w:color="auto" w:fill="FFFFFF"/>
            <w:vAlign w:val="center"/>
          </w:tcPr>
          <w:p w14:paraId="0DFA874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094" w:type="pct"/>
            <w:shd w:val="clear" w:color="auto" w:fill="FFFFFF"/>
            <w:vAlign w:val="center"/>
          </w:tcPr>
          <w:p w14:paraId="5F2476C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.131</w:t>
            </w:r>
          </w:p>
        </w:tc>
        <w:tc>
          <w:tcPr>
            <w:tcW w:w="434" w:type="pct"/>
            <w:shd w:val="clear" w:color="auto" w:fill="FFFFFF"/>
            <w:vAlign w:val="center"/>
          </w:tcPr>
          <w:p w14:paraId="14EE5F4E"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43" w:type="pct"/>
            <w:shd w:val="clear" w:color="auto" w:fill="FFFFFF"/>
            <w:vAlign w:val="center"/>
          </w:tcPr>
          <w:p w14:paraId="17CAFC18"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1010AC07" w14:textId="77777777">
        <w:trPr>
          <w:cantSplit/>
        </w:trPr>
        <w:tc>
          <w:tcPr>
            <w:tcW w:w="1347" w:type="pct"/>
            <w:shd w:val="clear" w:color="auto" w:fill="FFFFFF"/>
          </w:tcPr>
          <w:p w14:paraId="6BD8CF22" w14:textId="77777777" w:rsidR="00587694" w:rsidRDefault="00416116">
            <w:pPr>
              <w:autoSpaceDE w:val="0"/>
              <w:autoSpaceDN w:val="0"/>
              <w:adjustRightInd w:val="0"/>
              <w:spacing w:after="0" w:line="240" w:lineRule="auto"/>
              <w:ind w:left="60" w:right="60"/>
              <w:rPr>
                <w:rFonts w:ascii="Arial" w:hAnsi="Arial" w:cs="Arial"/>
                <w:b/>
                <w:bCs/>
                <w:color w:val="000000"/>
                <w:sz w:val="20"/>
                <w:szCs w:val="20"/>
                <w:lang w:val="en-PH"/>
              </w:rPr>
            </w:pPr>
            <w:r>
              <w:rPr>
                <w:rFonts w:ascii="Arial" w:hAnsi="Arial" w:cs="Arial"/>
                <w:b/>
                <w:bCs/>
                <w:color w:val="000000"/>
                <w:sz w:val="20"/>
                <w:szCs w:val="20"/>
                <w:lang w:val="en-PH"/>
              </w:rPr>
              <w:t>Total</w:t>
            </w:r>
          </w:p>
        </w:tc>
        <w:tc>
          <w:tcPr>
            <w:tcW w:w="1292" w:type="pct"/>
            <w:shd w:val="clear" w:color="auto" w:fill="FFFFFF"/>
            <w:vAlign w:val="center"/>
          </w:tcPr>
          <w:p w14:paraId="778F373F"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23.795</w:t>
            </w:r>
          </w:p>
        </w:tc>
        <w:tc>
          <w:tcPr>
            <w:tcW w:w="389" w:type="pct"/>
            <w:shd w:val="clear" w:color="auto" w:fill="FFFFFF"/>
            <w:vAlign w:val="center"/>
          </w:tcPr>
          <w:p w14:paraId="4C475B4E"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182</w:t>
            </w:r>
          </w:p>
        </w:tc>
        <w:tc>
          <w:tcPr>
            <w:tcW w:w="1094" w:type="pct"/>
            <w:shd w:val="clear" w:color="auto" w:fill="FFFFFF"/>
            <w:vAlign w:val="center"/>
          </w:tcPr>
          <w:p w14:paraId="68869D12" w14:textId="77777777" w:rsidR="00587694" w:rsidRDefault="00587694">
            <w:pPr>
              <w:autoSpaceDE w:val="0"/>
              <w:autoSpaceDN w:val="0"/>
              <w:adjustRightInd w:val="0"/>
              <w:spacing w:after="0" w:line="240" w:lineRule="auto"/>
              <w:jc w:val="center"/>
              <w:rPr>
                <w:rFonts w:ascii="Arial" w:hAnsi="Arial" w:cs="Arial"/>
                <w:b/>
                <w:bCs/>
                <w:color w:val="000000"/>
                <w:sz w:val="20"/>
                <w:szCs w:val="20"/>
                <w:lang w:val="en-PH"/>
              </w:rPr>
            </w:pPr>
          </w:p>
        </w:tc>
        <w:tc>
          <w:tcPr>
            <w:tcW w:w="434" w:type="pct"/>
            <w:shd w:val="clear" w:color="auto" w:fill="FFFFFF"/>
            <w:vAlign w:val="center"/>
          </w:tcPr>
          <w:p w14:paraId="0F449E4C"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43" w:type="pct"/>
            <w:shd w:val="clear" w:color="auto" w:fill="FFFFFF"/>
            <w:vAlign w:val="center"/>
          </w:tcPr>
          <w:p w14:paraId="56798C85"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6AA4369F" w14:textId="77777777" w:rsidR="00587694" w:rsidRDefault="00416116">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Table 23 shows no significant difference in customer satisfaction across age groups in </w:t>
      </w:r>
      <w:proofErr w:type="spellStart"/>
      <w:r>
        <w:rPr>
          <w:rFonts w:ascii="Arial" w:eastAsia="Arial" w:hAnsi="Arial" w:cs="Arial"/>
          <w:sz w:val="20"/>
          <w:szCs w:val="20"/>
        </w:rPr>
        <w:t>Cateel</w:t>
      </w:r>
      <w:proofErr w:type="spellEnd"/>
      <w:r>
        <w:rPr>
          <w:rFonts w:ascii="Arial" w:eastAsia="Arial" w:hAnsi="Arial" w:cs="Arial"/>
          <w:sz w:val="20"/>
          <w:szCs w:val="20"/>
        </w:rPr>
        <w:t>, aligning with Yaya et al. (2014), who found age had little impact on banking satisfaction. This suggests that financial institutions effectively meet expectation</w:t>
      </w:r>
      <w:r>
        <w:rPr>
          <w:rFonts w:ascii="Arial" w:eastAsia="Arial" w:hAnsi="Arial" w:cs="Arial"/>
          <w:sz w:val="20"/>
          <w:szCs w:val="20"/>
        </w:rPr>
        <w:t xml:space="preserve">s across generations. However, studies by Sahoo et al. (2016) and </w:t>
      </w:r>
      <w:proofErr w:type="spellStart"/>
      <w:r>
        <w:rPr>
          <w:rFonts w:ascii="Arial" w:eastAsia="Arial" w:hAnsi="Arial" w:cs="Arial"/>
          <w:sz w:val="20"/>
          <w:szCs w:val="20"/>
        </w:rPr>
        <w:t>Umer</w:t>
      </w:r>
      <w:proofErr w:type="spellEnd"/>
      <w:r>
        <w:rPr>
          <w:rFonts w:ascii="Arial" w:eastAsia="Arial" w:hAnsi="Arial" w:cs="Arial"/>
          <w:sz w:val="20"/>
          <w:szCs w:val="20"/>
        </w:rPr>
        <w:t xml:space="preserve"> and </w:t>
      </w:r>
      <w:proofErr w:type="spellStart"/>
      <w:r>
        <w:rPr>
          <w:rFonts w:ascii="Arial" w:eastAsia="Arial" w:hAnsi="Arial" w:cs="Arial"/>
          <w:sz w:val="20"/>
          <w:szCs w:val="20"/>
        </w:rPr>
        <w:t>Kesavapattapa</w:t>
      </w:r>
      <w:proofErr w:type="spellEnd"/>
      <w:r>
        <w:rPr>
          <w:rFonts w:ascii="Arial" w:eastAsia="Arial" w:hAnsi="Arial" w:cs="Arial"/>
          <w:sz w:val="20"/>
          <w:szCs w:val="20"/>
        </w:rPr>
        <w:t xml:space="preserve"> (2024) note younger customers may prefer services like green and mobile banking. These mixed findings highlight that while satisfaction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is age-independent, i</w:t>
      </w:r>
      <w:r>
        <w:rPr>
          <w:rFonts w:ascii="Arial" w:eastAsia="Arial" w:hAnsi="Arial" w:cs="Arial"/>
          <w:sz w:val="20"/>
          <w:szCs w:val="20"/>
        </w:rPr>
        <w:t>nstitutions should still adapt to evolving preferences while maintaining inclusive service.</w:t>
      </w:r>
    </w:p>
    <w:p w14:paraId="38D066CD"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Table 24.</w:t>
      </w:r>
      <w:r>
        <w:rPr>
          <w:rFonts w:ascii="Arial" w:eastAsia="Arial" w:hAnsi="Arial" w:cs="Arial"/>
          <w:sz w:val="20"/>
          <w:szCs w:val="20"/>
        </w:rPr>
        <w:t xml:space="preserve"> Significant difference in the level of customer satisfaction when respondents are grouped according to civil status</w:t>
      </w:r>
      <w:r>
        <w:rPr>
          <w:rFonts w:ascii="Arial" w:eastAsia="Arial" w:hAnsi="Arial" w:cs="Arial"/>
          <w:sz w:val="20"/>
          <w:szCs w:val="20"/>
          <w:lang w:val="en-US"/>
        </w:rPr>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30"/>
        <w:gridCol w:w="2142"/>
        <w:gridCol w:w="621"/>
        <w:gridCol w:w="1809"/>
        <w:gridCol w:w="698"/>
        <w:gridCol w:w="708"/>
      </w:tblGrid>
      <w:tr w:rsidR="00587694" w14:paraId="00EEC11A" w14:textId="77777777">
        <w:trPr>
          <w:cantSplit/>
        </w:trPr>
        <w:tc>
          <w:tcPr>
            <w:tcW w:w="5000" w:type="pct"/>
            <w:gridSpan w:val="6"/>
            <w:shd w:val="clear" w:color="auto" w:fill="FFFFFF"/>
            <w:vAlign w:val="center"/>
          </w:tcPr>
          <w:p w14:paraId="2E0495A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671E605E" w14:textId="77777777">
        <w:trPr>
          <w:cantSplit/>
        </w:trPr>
        <w:tc>
          <w:tcPr>
            <w:tcW w:w="5000" w:type="pct"/>
            <w:gridSpan w:val="6"/>
            <w:shd w:val="clear" w:color="auto" w:fill="FFFFFF"/>
            <w:vAlign w:val="bottom"/>
          </w:tcPr>
          <w:p w14:paraId="6272BF36"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Customer Satisfaction  </w:t>
            </w:r>
          </w:p>
        </w:tc>
      </w:tr>
      <w:tr w:rsidR="00587694" w14:paraId="51207468" w14:textId="77777777">
        <w:trPr>
          <w:cantSplit/>
        </w:trPr>
        <w:tc>
          <w:tcPr>
            <w:tcW w:w="1359" w:type="pct"/>
            <w:shd w:val="clear" w:color="auto" w:fill="FFFFFF"/>
            <w:vAlign w:val="bottom"/>
          </w:tcPr>
          <w:p w14:paraId="1363F514"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5" w:type="pct"/>
            <w:shd w:val="clear" w:color="auto" w:fill="FFFFFF"/>
            <w:vAlign w:val="bottom"/>
          </w:tcPr>
          <w:p w14:paraId="7CBDCE9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8" w:type="pct"/>
            <w:shd w:val="clear" w:color="auto" w:fill="FFFFFF"/>
            <w:vAlign w:val="bottom"/>
          </w:tcPr>
          <w:p w14:paraId="18AA636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02" w:type="pct"/>
            <w:shd w:val="clear" w:color="auto" w:fill="FFFFFF"/>
            <w:vAlign w:val="bottom"/>
          </w:tcPr>
          <w:p w14:paraId="5BB407E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5" w:type="pct"/>
            <w:shd w:val="clear" w:color="auto" w:fill="FFFFFF"/>
            <w:vAlign w:val="bottom"/>
          </w:tcPr>
          <w:p w14:paraId="24A056E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31" w:type="pct"/>
            <w:shd w:val="clear" w:color="auto" w:fill="FFFFFF"/>
            <w:vAlign w:val="bottom"/>
          </w:tcPr>
          <w:p w14:paraId="3632ACE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445D4FA9" w14:textId="77777777">
        <w:trPr>
          <w:cantSplit/>
        </w:trPr>
        <w:tc>
          <w:tcPr>
            <w:tcW w:w="1359" w:type="pct"/>
            <w:shd w:val="clear" w:color="auto" w:fill="FFFFFF"/>
          </w:tcPr>
          <w:p w14:paraId="651EAD18"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5" w:type="pct"/>
            <w:shd w:val="clear" w:color="auto" w:fill="FFFFFF"/>
            <w:vAlign w:val="center"/>
          </w:tcPr>
          <w:p w14:paraId="64E3607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.079</w:t>
            </w:r>
          </w:p>
        </w:tc>
        <w:tc>
          <w:tcPr>
            <w:tcW w:w="378" w:type="pct"/>
            <w:shd w:val="clear" w:color="auto" w:fill="FFFFFF"/>
            <w:vAlign w:val="center"/>
          </w:tcPr>
          <w:p w14:paraId="01F87A8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02" w:type="pct"/>
            <w:shd w:val="clear" w:color="auto" w:fill="FFFFFF"/>
            <w:vAlign w:val="center"/>
          </w:tcPr>
          <w:p w14:paraId="3481DAA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.040</w:t>
            </w:r>
          </w:p>
        </w:tc>
        <w:tc>
          <w:tcPr>
            <w:tcW w:w="425" w:type="pct"/>
            <w:shd w:val="clear" w:color="auto" w:fill="FFFFFF"/>
            <w:vAlign w:val="center"/>
          </w:tcPr>
          <w:p w14:paraId="74ADD5F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.300</w:t>
            </w:r>
          </w:p>
        </w:tc>
        <w:tc>
          <w:tcPr>
            <w:tcW w:w="431" w:type="pct"/>
            <w:shd w:val="clear" w:color="auto" w:fill="FFFFFF"/>
            <w:vAlign w:val="center"/>
          </w:tcPr>
          <w:p w14:paraId="4BF6566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.741</w:t>
            </w:r>
          </w:p>
        </w:tc>
      </w:tr>
      <w:tr w:rsidR="00587694" w14:paraId="75EA6EE0" w14:textId="77777777">
        <w:trPr>
          <w:cantSplit/>
        </w:trPr>
        <w:tc>
          <w:tcPr>
            <w:tcW w:w="1359" w:type="pct"/>
            <w:shd w:val="clear" w:color="auto" w:fill="FFFFFF"/>
          </w:tcPr>
          <w:p w14:paraId="4AC5E09C"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5" w:type="pct"/>
            <w:shd w:val="clear" w:color="auto" w:fill="FFFFFF"/>
            <w:vAlign w:val="center"/>
          </w:tcPr>
          <w:p w14:paraId="24468ED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23.716</w:t>
            </w:r>
          </w:p>
        </w:tc>
        <w:tc>
          <w:tcPr>
            <w:tcW w:w="378" w:type="pct"/>
            <w:shd w:val="clear" w:color="auto" w:fill="FFFFFF"/>
            <w:vAlign w:val="center"/>
          </w:tcPr>
          <w:p w14:paraId="41E1F97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102" w:type="pct"/>
            <w:shd w:val="clear" w:color="auto" w:fill="FFFFFF"/>
            <w:vAlign w:val="center"/>
          </w:tcPr>
          <w:p w14:paraId="152B0DCA"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.132</w:t>
            </w:r>
          </w:p>
        </w:tc>
        <w:tc>
          <w:tcPr>
            <w:tcW w:w="425" w:type="pct"/>
            <w:shd w:val="clear" w:color="auto" w:fill="FFFFFF"/>
            <w:vAlign w:val="center"/>
          </w:tcPr>
          <w:p w14:paraId="2FBCB887"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75FFEB15"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4249A6A0" w14:textId="77777777">
        <w:trPr>
          <w:cantSplit/>
        </w:trPr>
        <w:tc>
          <w:tcPr>
            <w:tcW w:w="1359" w:type="pct"/>
            <w:shd w:val="clear" w:color="auto" w:fill="FFFFFF"/>
          </w:tcPr>
          <w:p w14:paraId="3DAC7718"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lastRenderedPageBreak/>
              <w:t>Total</w:t>
            </w:r>
          </w:p>
        </w:tc>
        <w:tc>
          <w:tcPr>
            <w:tcW w:w="1305" w:type="pct"/>
            <w:shd w:val="clear" w:color="auto" w:fill="FFFFFF"/>
            <w:vAlign w:val="center"/>
          </w:tcPr>
          <w:p w14:paraId="1C61A6F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23.795</w:t>
            </w:r>
          </w:p>
        </w:tc>
        <w:tc>
          <w:tcPr>
            <w:tcW w:w="378" w:type="pct"/>
            <w:shd w:val="clear" w:color="auto" w:fill="FFFFFF"/>
            <w:vAlign w:val="center"/>
          </w:tcPr>
          <w:p w14:paraId="694F240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02" w:type="pct"/>
            <w:shd w:val="clear" w:color="auto" w:fill="FFFFFF"/>
            <w:vAlign w:val="center"/>
          </w:tcPr>
          <w:p w14:paraId="1C24FEC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524EC58D"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32FD80F9"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1E8A1D9F" w14:textId="77777777" w:rsidR="00587694" w:rsidRDefault="00416116">
      <w:pPr>
        <w:spacing w:before="280" w:line="240" w:lineRule="auto"/>
        <w:jc w:val="both"/>
        <w:rPr>
          <w:rFonts w:ascii="Arial" w:eastAsia="Arial" w:hAnsi="Arial" w:cs="Arial"/>
          <w:sz w:val="20"/>
          <w:szCs w:val="20"/>
        </w:rPr>
      </w:pPr>
      <w:r>
        <w:rPr>
          <w:rFonts w:ascii="Arial" w:eastAsia="Arial" w:hAnsi="Arial" w:cs="Arial"/>
          <w:sz w:val="20"/>
          <w:szCs w:val="20"/>
        </w:rPr>
        <w:t xml:space="preserve">             Table 24 shows no significant difference in customer satisfaction across civil status groups (F = 0.300, p = 0.741), suggesting that satisfaction remains consistent whether customers are single, married, or otherwise. This aligns with </w:t>
      </w:r>
      <w:proofErr w:type="spellStart"/>
      <w:r>
        <w:rPr>
          <w:rFonts w:ascii="Arial" w:eastAsia="Arial" w:hAnsi="Arial" w:cs="Arial"/>
          <w:sz w:val="20"/>
          <w:szCs w:val="20"/>
        </w:rPr>
        <w:t>Llanto</w:t>
      </w:r>
      <w:proofErr w:type="spellEnd"/>
      <w:r>
        <w:rPr>
          <w:rFonts w:ascii="Arial" w:eastAsia="Arial" w:hAnsi="Arial" w:cs="Arial"/>
          <w:sz w:val="20"/>
          <w:szCs w:val="20"/>
        </w:rPr>
        <w:t xml:space="preserve"> a</w:t>
      </w:r>
      <w:r>
        <w:rPr>
          <w:rFonts w:ascii="Arial" w:eastAsia="Arial" w:hAnsi="Arial" w:cs="Arial"/>
          <w:sz w:val="20"/>
          <w:szCs w:val="20"/>
        </w:rPr>
        <w:t xml:space="preserve">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and </w:t>
      </w:r>
      <w:proofErr w:type="spellStart"/>
      <w:r>
        <w:rPr>
          <w:rFonts w:ascii="Arial" w:eastAsia="Arial" w:hAnsi="Arial" w:cs="Arial"/>
          <w:sz w:val="20"/>
          <w:szCs w:val="20"/>
        </w:rPr>
        <w:t>Laguador</w:t>
      </w:r>
      <w:proofErr w:type="spellEnd"/>
      <w:r>
        <w:rPr>
          <w:rFonts w:ascii="Arial" w:eastAsia="Arial" w:hAnsi="Arial" w:cs="Arial"/>
          <w:sz w:val="20"/>
          <w:szCs w:val="20"/>
        </w:rPr>
        <w:t xml:space="preserve"> et al. (2015), who noted that civil status may affect service access but not necessarily satisfaction. The consistent satisfaction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reflects inclusive, customer-oriented practices. Supporting this, Carreon (2024) an</w:t>
      </w:r>
      <w:r>
        <w:rPr>
          <w:rFonts w:ascii="Arial" w:eastAsia="Arial" w:hAnsi="Arial" w:cs="Arial"/>
          <w:sz w:val="20"/>
          <w:szCs w:val="20"/>
        </w:rPr>
        <w:t>d Chavan and Ahmad (2013) highlight the role of service quality factors—like reliability and responsiveness—in shaping satisfaction, likely enhanced by staff training and transparent processes.</w:t>
      </w:r>
    </w:p>
    <w:p w14:paraId="339F19E7"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 xml:space="preserve">Table 25. </w:t>
      </w:r>
      <w:r>
        <w:rPr>
          <w:rFonts w:ascii="Arial" w:eastAsia="Arial" w:hAnsi="Arial" w:cs="Arial"/>
          <w:sz w:val="20"/>
          <w:szCs w:val="20"/>
        </w:rPr>
        <w:t>Significant difference in the level of customer sati</w:t>
      </w:r>
      <w:r>
        <w:rPr>
          <w:rFonts w:ascii="Arial" w:eastAsia="Arial" w:hAnsi="Arial" w:cs="Arial"/>
          <w:sz w:val="20"/>
          <w:szCs w:val="20"/>
        </w:rPr>
        <w:t>sfaction when respondents are grouped according to educational attainment</w:t>
      </w:r>
      <w:r>
        <w:rPr>
          <w:rFonts w:ascii="Arial" w:eastAsia="Arial" w:hAnsi="Arial" w:cs="Arial"/>
          <w:sz w:val="20"/>
          <w:szCs w:val="20"/>
          <w:lang w:val="en-US"/>
        </w:rPr>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30"/>
        <w:gridCol w:w="2142"/>
        <w:gridCol w:w="621"/>
        <w:gridCol w:w="1809"/>
        <w:gridCol w:w="698"/>
        <w:gridCol w:w="708"/>
      </w:tblGrid>
      <w:tr w:rsidR="00587694" w14:paraId="2CB3B1AA" w14:textId="77777777">
        <w:trPr>
          <w:cantSplit/>
        </w:trPr>
        <w:tc>
          <w:tcPr>
            <w:tcW w:w="5000" w:type="pct"/>
            <w:gridSpan w:val="6"/>
            <w:shd w:val="clear" w:color="auto" w:fill="FFFFFF"/>
            <w:vAlign w:val="center"/>
          </w:tcPr>
          <w:p w14:paraId="79B1952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79EB61D6" w14:textId="77777777">
        <w:trPr>
          <w:cantSplit/>
        </w:trPr>
        <w:tc>
          <w:tcPr>
            <w:tcW w:w="5000" w:type="pct"/>
            <w:gridSpan w:val="6"/>
            <w:shd w:val="clear" w:color="auto" w:fill="FFFFFF"/>
            <w:vAlign w:val="bottom"/>
          </w:tcPr>
          <w:p w14:paraId="04B39F1A"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Customer Satisfaction  </w:t>
            </w:r>
          </w:p>
        </w:tc>
      </w:tr>
      <w:tr w:rsidR="00587694" w14:paraId="1E1F957D" w14:textId="77777777">
        <w:trPr>
          <w:cantSplit/>
        </w:trPr>
        <w:tc>
          <w:tcPr>
            <w:tcW w:w="1359" w:type="pct"/>
            <w:shd w:val="clear" w:color="auto" w:fill="FFFFFF"/>
            <w:vAlign w:val="bottom"/>
          </w:tcPr>
          <w:p w14:paraId="56155430"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5" w:type="pct"/>
            <w:shd w:val="clear" w:color="auto" w:fill="FFFFFF"/>
            <w:vAlign w:val="bottom"/>
          </w:tcPr>
          <w:p w14:paraId="0B4BA29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8" w:type="pct"/>
            <w:shd w:val="clear" w:color="auto" w:fill="FFFFFF"/>
            <w:vAlign w:val="bottom"/>
          </w:tcPr>
          <w:p w14:paraId="6FAA071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02" w:type="pct"/>
            <w:shd w:val="clear" w:color="auto" w:fill="FFFFFF"/>
            <w:vAlign w:val="bottom"/>
          </w:tcPr>
          <w:p w14:paraId="68DF2E6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5" w:type="pct"/>
            <w:shd w:val="clear" w:color="auto" w:fill="FFFFFF"/>
            <w:vAlign w:val="bottom"/>
          </w:tcPr>
          <w:p w14:paraId="5504546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31" w:type="pct"/>
            <w:shd w:val="clear" w:color="auto" w:fill="FFFFFF"/>
            <w:vAlign w:val="bottom"/>
          </w:tcPr>
          <w:p w14:paraId="2225C5B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4B5283F8" w14:textId="77777777">
        <w:trPr>
          <w:cantSplit/>
        </w:trPr>
        <w:tc>
          <w:tcPr>
            <w:tcW w:w="1359" w:type="pct"/>
            <w:shd w:val="clear" w:color="auto" w:fill="FFFFFF"/>
          </w:tcPr>
          <w:p w14:paraId="3CB6AE3B"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5" w:type="pct"/>
            <w:shd w:val="clear" w:color="auto" w:fill="FFFFFF"/>
            <w:vAlign w:val="center"/>
          </w:tcPr>
          <w:p w14:paraId="4746F4C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.190</w:t>
            </w:r>
          </w:p>
        </w:tc>
        <w:tc>
          <w:tcPr>
            <w:tcW w:w="378" w:type="pct"/>
            <w:shd w:val="clear" w:color="auto" w:fill="FFFFFF"/>
            <w:vAlign w:val="center"/>
          </w:tcPr>
          <w:p w14:paraId="0828A2D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3</w:t>
            </w:r>
          </w:p>
        </w:tc>
        <w:tc>
          <w:tcPr>
            <w:tcW w:w="1102" w:type="pct"/>
            <w:shd w:val="clear" w:color="auto" w:fill="FFFFFF"/>
            <w:vAlign w:val="center"/>
          </w:tcPr>
          <w:p w14:paraId="19FB452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.063</w:t>
            </w:r>
          </w:p>
        </w:tc>
        <w:tc>
          <w:tcPr>
            <w:tcW w:w="425" w:type="pct"/>
            <w:shd w:val="clear" w:color="auto" w:fill="FFFFFF"/>
            <w:vAlign w:val="center"/>
          </w:tcPr>
          <w:p w14:paraId="5798D47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.479</w:t>
            </w:r>
          </w:p>
        </w:tc>
        <w:tc>
          <w:tcPr>
            <w:tcW w:w="431" w:type="pct"/>
            <w:shd w:val="clear" w:color="auto" w:fill="FFFFFF"/>
            <w:vAlign w:val="center"/>
          </w:tcPr>
          <w:p w14:paraId="1D1BB74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.697</w:t>
            </w:r>
          </w:p>
        </w:tc>
      </w:tr>
      <w:tr w:rsidR="00587694" w14:paraId="5F21D76C" w14:textId="77777777">
        <w:trPr>
          <w:cantSplit/>
        </w:trPr>
        <w:tc>
          <w:tcPr>
            <w:tcW w:w="1359" w:type="pct"/>
            <w:shd w:val="clear" w:color="auto" w:fill="FFFFFF"/>
          </w:tcPr>
          <w:p w14:paraId="379D99E2"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5" w:type="pct"/>
            <w:shd w:val="clear" w:color="auto" w:fill="FFFFFF"/>
            <w:vAlign w:val="center"/>
          </w:tcPr>
          <w:p w14:paraId="3425564F"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23.605</w:t>
            </w:r>
          </w:p>
        </w:tc>
        <w:tc>
          <w:tcPr>
            <w:tcW w:w="378" w:type="pct"/>
            <w:shd w:val="clear" w:color="auto" w:fill="FFFFFF"/>
            <w:vAlign w:val="center"/>
          </w:tcPr>
          <w:p w14:paraId="176CDB0F"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179</w:t>
            </w:r>
          </w:p>
        </w:tc>
        <w:tc>
          <w:tcPr>
            <w:tcW w:w="1102" w:type="pct"/>
            <w:shd w:val="clear" w:color="auto" w:fill="FFFFFF"/>
            <w:vAlign w:val="center"/>
          </w:tcPr>
          <w:p w14:paraId="461C976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.132</w:t>
            </w:r>
          </w:p>
        </w:tc>
        <w:tc>
          <w:tcPr>
            <w:tcW w:w="425" w:type="pct"/>
            <w:shd w:val="clear" w:color="auto" w:fill="FFFFFF"/>
            <w:vAlign w:val="center"/>
          </w:tcPr>
          <w:p w14:paraId="51EA2DA7"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1FE63F9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2FF7148D" w14:textId="77777777">
        <w:trPr>
          <w:cantSplit/>
        </w:trPr>
        <w:tc>
          <w:tcPr>
            <w:tcW w:w="1359" w:type="pct"/>
            <w:shd w:val="clear" w:color="auto" w:fill="FFFFFF"/>
          </w:tcPr>
          <w:p w14:paraId="30522F17"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1305" w:type="pct"/>
            <w:shd w:val="clear" w:color="auto" w:fill="FFFFFF"/>
            <w:vAlign w:val="center"/>
          </w:tcPr>
          <w:p w14:paraId="5BE54B9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23.795</w:t>
            </w:r>
          </w:p>
        </w:tc>
        <w:tc>
          <w:tcPr>
            <w:tcW w:w="378" w:type="pct"/>
            <w:shd w:val="clear" w:color="auto" w:fill="FFFFFF"/>
            <w:vAlign w:val="center"/>
          </w:tcPr>
          <w:p w14:paraId="0690B4B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02" w:type="pct"/>
            <w:shd w:val="clear" w:color="auto" w:fill="FFFFFF"/>
            <w:vAlign w:val="center"/>
          </w:tcPr>
          <w:p w14:paraId="7871D5C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4223127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5687B9FD"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34DC1F71" w14:textId="77777777" w:rsidR="00587694" w:rsidRDefault="00416116">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  Table 25 shows no significant difference in customer satisfaction across education levels (F = 0.479, p = 0.697), suggesting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provide consistent service regardless of educational background. This supports an inclusive</w:t>
      </w:r>
      <w:r>
        <w:rPr>
          <w:rFonts w:ascii="Arial" w:eastAsia="Arial" w:hAnsi="Arial" w:cs="Arial"/>
          <w:sz w:val="20"/>
          <w:szCs w:val="20"/>
        </w:rPr>
        <w:t xml:space="preserve"> approach to satisfaction. While Sánchez (2023) found strong links between service quality and satisfaction in education, banking results vary—</w:t>
      </w:r>
      <w:proofErr w:type="spellStart"/>
      <w:r>
        <w:rPr>
          <w:rFonts w:ascii="Arial" w:eastAsia="Arial" w:hAnsi="Arial" w:cs="Arial"/>
          <w:sz w:val="20"/>
          <w:szCs w:val="20"/>
        </w:rPr>
        <w:t>Sanjuq</w:t>
      </w:r>
      <w:proofErr w:type="spellEnd"/>
      <w:r>
        <w:rPr>
          <w:rFonts w:ascii="Arial" w:eastAsia="Arial" w:hAnsi="Arial" w:cs="Arial"/>
          <w:sz w:val="20"/>
          <w:szCs w:val="20"/>
        </w:rPr>
        <w:t xml:space="preserve"> (2014) noted only tangible factors mattered, and Arora and </w:t>
      </w:r>
      <w:proofErr w:type="spellStart"/>
      <w:r>
        <w:rPr>
          <w:rFonts w:ascii="Arial" w:eastAsia="Arial" w:hAnsi="Arial" w:cs="Arial"/>
          <w:sz w:val="20"/>
          <w:szCs w:val="20"/>
        </w:rPr>
        <w:t>Lochab</w:t>
      </w:r>
      <w:proofErr w:type="spellEnd"/>
      <w:r>
        <w:rPr>
          <w:rFonts w:ascii="Arial" w:eastAsia="Arial" w:hAnsi="Arial" w:cs="Arial"/>
          <w:sz w:val="20"/>
          <w:szCs w:val="20"/>
        </w:rPr>
        <w:t xml:space="preserve"> (2018) found education influenced mobile</w:t>
      </w:r>
      <w:r>
        <w:rPr>
          <w:rFonts w:ascii="Arial" w:eastAsia="Arial" w:hAnsi="Arial" w:cs="Arial"/>
          <w:sz w:val="20"/>
          <w:szCs w:val="20"/>
        </w:rPr>
        <w:t xml:space="preserve"> banking concerns. </w:t>
      </w:r>
      <w:proofErr w:type="spellStart"/>
      <w:r>
        <w:rPr>
          <w:rFonts w:ascii="Arial" w:eastAsia="Arial" w:hAnsi="Arial" w:cs="Arial"/>
          <w:sz w:val="20"/>
          <w:szCs w:val="20"/>
        </w:rPr>
        <w:t>Cateel's</w:t>
      </w:r>
      <w:proofErr w:type="spellEnd"/>
      <w:r>
        <w:rPr>
          <w:rFonts w:ascii="Arial" w:eastAsia="Arial" w:hAnsi="Arial" w:cs="Arial"/>
          <w:sz w:val="20"/>
          <w:szCs w:val="20"/>
        </w:rPr>
        <w:t xml:space="preserve"> results highlight how local context shapes the relationship between education and satisfaction, underlining the need for context-aware service strategies.</w:t>
      </w:r>
    </w:p>
    <w:p w14:paraId="7BAF110E"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 xml:space="preserve">Table 26. </w:t>
      </w:r>
      <w:r>
        <w:rPr>
          <w:rFonts w:ascii="Arial" w:eastAsia="Arial" w:hAnsi="Arial" w:cs="Arial"/>
          <w:sz w:val="20"/>
          <w:szCs w:val="20"/>
        </w:rPr>
        <w:t>Significant difference in the level of customer satisfaction wh</w:t>
      </w:r>
      <w:r>
        <w:rPr>
          <w:rFonts w:ascii="Arial" w:eastAsia="Arial" w:hAnsi="Arial" w:cs="Arial"/>
          <w:sz w:val="20"/>
          <w:szCs w:val="20"/>
        </w:rPr>
        <w:t>en respondents are grouped according to gender</w:t>
      </w:r>
      <w:r>
        <w:rPr>
          <w:rFonts w:ascii="Arial" w:eastAsia="Arial" w:hAnsi="Arial" w:cs="Arial"/>
          <w:sz w:val="20"/>
          <w:szCs w:val="20"/>
          <w:lang w:val="en-US"/>
        </w:rPr>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30"/>
        <w:gridCol w:w="2142"/>
        <w:gridCol w:w="621"/>
        <w:gridCol w:w="1809"/>
        <w:gridCol w:w="698"/>
        <w:gridCol w:w="708"/>
      </w:tblGrid>
      <w:tr w:rsidR="00587694" w14:paraId="3A22C16C" w14:textId="77777777">
        <w:trPr>
          <w:cantSplit/>
          <w:trHeight w:val="125"/>
        </w:trPr>
        <w:tc>
          <w:tcPr>
            <w:tcW w:w="5000" w:type="pct"/>
            <w:gridSpan w:val="6"/>
            <w:shd w:val="clear" w:color="auto" w:fill="FFFFFF"/>
            <w:vAlign w:val="center"/>
          </w:tcPr>
          <w:p w14:paraId="062E529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0E263631" w14:textId="77777777">
        <w:trPr>
          <w:cantSplit/>
        </w:trPr>
        <w:tc>
          <w:tcPr>
            <w:tcW w:w="5000" w:type="pct"/>
            <w:gridSpan w:val="6"/>
            <w:shd w:val="clear" w:color="auto" w:fill="FFFFFF"/>
            <w:vAlign w:val="bottom"/>
          </w:tcPr>
          <w:p w14:paraId="626314EA" w14:textId="77777777" w:rsidR="00587694" w:rsidRDefault="00416116">
            <w:pPr>
              <w:autoSpaceDE w:val="0"/>
              <w:autoSpaceDN w:val="0"/>
              <w:adjustRightInd w:val="0"/>
              <w:spacing w:after="0" w:line="240" w:lineRule="auto"/>
              <w:jc w:val="both"/>
              <w:rPr>
                <w:rFonts w:ascii="Arial" w:hAnsi="Arial" w:cs="Arial"/>
                <w:color w:val="000000"/>
                <w:sz w:val="20"/>
                <w:szCs w:val="20"/>
                <w:lang w:val="en-PH"/>
              </w:rPr>
            </w:pPr>
            <w:r>
              <w:rPr>
                <w:rFonts w:ascii="Arial" w:hAnsi="Arial" w:cs="Arial"/>
                <w:color w:val="000000"/>
                <w:sz w:val="20"/>
                <w:szCs w:val="20"/>
                <w:shd w:val="clear" w:color="auto" w:fill="FFFFFF"/>
                <w:lang w:val="en-PH"/>
              </w:rPr>
              <w:t>Overall Customer Satisfaction</w:t>
            </w:r>
          </w:p>
        </w:tc>
      </w:tr>
      <w:tr w:rsidR="00587694" w14:paraId="1834D9D3" w14:textId="77777777">
        <w:trPr>
          <w:cantSplit/>
        </w:trPr>
        <w:tc>
          <w:tcPr>
            <w:tcW w:w="1359" w:type="pct"/>
            <w:shd w:val="clear" w:color="auto" w:fill="FFFFFF"/>
            <w:vAlign w:val="bottom"/>
          </w:tcPr>
          <w:p w14:paraId="6AF9BFD4" w14:textId="77777777" w:rsidR="00587694" w:rsidRDefault="00587694">
            <w:pPr>
              <w:autoSpaceDE w:val="0"/>
              <w:autoSpaceDN w:val="0"/>
              <w:adjustRightInd w:val="0"/>
              <w:spacing w:after="0" w:line="240" w:lineRule="auto"/>
              <w:jc w:val="both"/>
              <w:rPr>
                <w:rFonts w:ascii="Arial" w:hAnsi="Arial" w:cs="Arial"/>
                <w:color w:val="000000"/>
                <w:sz w:val="20"/>
                <w:szCs w:val="20"/>
                <w:lang w:val="en-PH"/>
              </w:rPr>
            </w:pPr>
          </w:p>
        </w:tc>
        <w:tc>
          <w:tcPr>
            <w:tcW w:w="1305" w:type="pct"/>
            <w:shd w:val="clear" w:color="auto" w:fill="FFFFFF"/>
            <w:vAlign w:val="bottom"/>
          </w:tcPr>
          <w:p w14:paraId="0A41138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8" w:type="pct"/>
            <w:shd w:val="clear" w:color="auto" w:fill="FFFFFF"/>
            <w:vAlign w:val="bottom"/>
          </w:tcPr>
          <w:p w14:paraId="7D9761C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02" w:type="pct"/>
            <w:shd w:val="clear" w:color="auto" w:fill="FFFFFF"/>
            <w:vAlign w:val="bottom"/>
          </w:tcPr>
          <w:p w14:paraId="338F2EE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5" w:type="pct"/>
            <w:shd w:val="clear" w:color="auto" w:fill="FFFFFF"/>
            <w:vAlign w:val="bottom"/>
          </w:tcPr>
          <w:p w14:paraId="1706B6C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31" w:type="pct"/>
            <w:shd w:val="clear" w:color="auto" w:fill="FFFFFF"/>
            <w:vAlign w:val="bottom"/>
          </w:tcPr>
          <w:p w14:paraId="779E8A8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399189CF" w14:textId="77777777">
        <w:trPr>
          <w:cantSplit/>
        </w:trPr>
        <w:tc>
          <w:tcPr>
            <w:tcW w:w="1359" w:type="pct"/>
            <w:shd w:val="clear" w:color="auto" w:fill="FFFFFF"/>
          </w:tcPr>
          <w:p w14:paraId="3E952E79" w14:textId="77777777" w:rsidR="00587694" w:rsidRDefault="00416116">
            <w:pPr>
              <w:autoSpaceDE w:val="0"/>
              <w:autoSpaceDN w:val="0"/>
              <w:adjustRightInd w:val="0"/>
              <w:spacing w:after="0" w:line="240" w:lineRule="auto"/>
              <w:ind w:left="60" w:right="60"/>
              <w:jc w:val="both"/>
              <w:rPr>
                <w:rFonts w:ascii="Arial" w:hAnsi="Arial" w:cs="Arial"/>
                <w:color w:val="000000"/>
                <w:sz w:val="20"/>
                <w:szCs w:val="20"/>
                <w:lang w:val="en-PH"/>
              </w:rPr>
            </w:pPr>
            <w:r>
              <w:rPr>
                <w:rFonts w:ascii="Arial" w:hAnsi="Arial" w:cs="Arial"/>
                <w:color w:val="000000"/>
                <w:sz w:val="20"/>
                <w:szCs w:val="20"/>
                <w:lang w:val="en-PH"/>
              </w:rPr>
              <w:t>Between Groups</w:t>
            </w:r>
          </w:p>
        </w:tc>
        <w:tc>
          <w:tcPr>
            <w:tcW w:w="1305" w:type="pct"/>
            <w:shd w:val="clear" w:color="auto" w:fill="FFFFFF"/>
            <w:vAlign w:val="center"/>
          </w:tcPr>
          <w:p w14:paraId="7C24A1F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.122</w:t>
            </w:r>
          </w:p>
        </w:tc>
        <w:tc>
          <w:tcPr>
            <w:tcW w:w="378" w:type="pct"/>
            <w:shd w:val="clear" w:color="auto" w:fill="FFFFFF"/>
            <w:vAlign w:val="center"/>
          </w:tcPr>
          <w:p w14:paraId="24672C1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02" w:type="pct"/>
            <w:shd w:val="clear" w:color="auto" w:fill="FFFFFF"/>
            <w:vAlign w:val="center"/>
          </w:tcPr>
          <w:p w14:paraId="25127B3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.061</w:t>
            </w:r>
          </w:p>
        </w:tc>
        <w:tc>
          <w:tcPr>
            <w:tcW w:w="425" w:type="pct"/>
            <w:shd w:val="clear" w:color="auto" w:fill="FFFFFF"/>
            <w:vAlign w:val="center"/>
          </w:tcPr>
          <w:p w14:paraId="510CD9A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.462</w:t>
            </w:r>
          </w:p>
        </w:tc>
        <w:tc>
          <w:tcPr>
            <w:tcW w:w="431" w:type="pct"/>
            <w:shd w:val="clear" w:color="auto" w:fill="FFFFFF"/>
            <w:vAlign w:val="center"/>
          </w:tcPr>
          <w:p w14:paraId="7507714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.631</w:t>
            </w:r>
          </w:p>
        </w:tc>
      </w:tr>
      <w:tr w:rsidR="00587694" w14:paraId="05FC1C8B" w14:textId="77777777">
        <w:trPr>
          <w:cantSplit/>
        </w:trPr>
        <w:tc>
          <w:tcPr>
            <w:tcW w:w="1359" w:type="pct"/>
            <w:shd w:val="clear" w:color="auto" w:fill="FFFFFF"/>
          </w:tcPr>
          <w:p w14:paraId="1F609BF3" w14:textId="77777777" w:rsidR="00587694" w:rsidRDefault="00416116">
            <w:pPr>
              <w:autoSpaceDE w:val="0"/>
              <w:autoSpaceDN w:val="0"/>
              <w:adjustRightInd w:val="0"/>
              <w:spacing w:after="0" w:line="240" w:lineRule="auto"/>
              <w:ind w:left="60" w:right="60"/>
              <w:jc w:val="both"/>
              <w:rPr>
                <w:rFonts w:ascii="Arial" w:hAnsi="Arial" w:cs="Arial"/>
                <w:color w:val="000000"/>
                <w:sz w:val="20"/>
                <w:szCs w:val="20"/>
                <w:lang w:val="en-PH"/>
              </w:rPr>
            </w:pPr>
            <w:r>
              <w:rPr>
                <w:rFonts w:ascii="Arial" w:hAnsi="Arial" w:cs="Arial"/>
                <w:color w:val="000000"/>
                <w:sz w:val="20"/>
                <w:szCs w:val="20"/>
                <w:lang w:val="en-PH"/>
              </w:rPr>
              <w:t>Within Groups</w:t>
            </w:r>
          </w:p>
        </w:tc>
        <w:tc>
          <w:tcPr>
            <w:tcW w:w="1305" w:type="pct"/>
            <w:shd w:val="clear" w:color="auto" w:fill="FFFFFF"/>
            <w:vAlign w:val="center"/>
          </w:tcPr>
          <w:p w14:paraId="584B734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23.673</w:t>
            </w:r>
          </w:p>
        </w:tc>
        <w:tc>
          <w:tcPr>
            <w:tcW w:w="378" w:type="pct"/>
            <w:shd w:val="clear" w:color="auto" w:fill="FFFFFF"/>
            <w:vAlign w:val="center"/>
          </w:tcPr>
          <w:p w14:paraId="61920E8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102" w:type="pct"/>
            <w:shd w:val="clear" w:color="auto" w:fill="FFFFFF"/>
            <w:vAlign w:val="center"/>
          </w:tcPr>
          <w:p w14:paraId="3B4469E6"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.132</w:t>
            </w:r>
          </w:p>
        </w:tc>
        <w:tc>
          <w:tcPr>
            <w:tcW w:w="425" w:type="pct"/>
            <w:shd w:val="clear" w:color="auto" w:fill="FFFFFF"/>
            <w:vAlign w:val="center"/>
          </w:tcPr>
          <w:p w14:paraId="4A9F6503"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5FF2F05D"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2C2CCDB3" w14:textId="77777777">
        <w:trPr>
          <w:cantSplit/>
        </w:trPr>
        <w:tc>
          <w:tcPr>
            <w:tcW w:w="1359" w:type="pct"/>
            <w:shd w:val="clear" w:color="auto" w:fill="FFFFFF"/>
          </w:tcPr>
          <w:p w14:paraId="33DFC488" w14:textId="77777777" w:rsidR="00587694" w:rsidRDefault="00416116">
            <w:pPr>
              <w:autoSpaceDE w:val="0"/>
              <w:autoSpaceDN w:val="0"/>
              <w:adjustRightInd w:val="0"/>
              <w:spacing w:after="0" w:line="240" w:lineRule="auto"/>
              <w:ind w:left="60" w:right="60"/>
              <w:jc w:val="both"/>
              <w:rPr>
                <w:rFonts w:ascii="Arial" w:hAnsi="Arial" w:cs="Arial"/>
                <w:color w:val="000000"/>
                <w:sz w:val="20"/>
                <w:szCs w:val="20"/>
                <w:lang w:val="en-PH"/>
              </w:rPr>
            </w:pPr>
            <w:r>
              <w:rPr>
                <w:rFonts w:ascii="Arial" w:hAnsi="Arial" w:cs="Arial"/>
                <w:color w:val="000000"/>
                <w:sz w:val="20"/>
                <w:szCs w:val="20"/>
                <w:lang w:val="en-PH"/>
              </w:rPr>
              <w:t>Total</w:t>
            </w:r>
          </w:p>
        </w:tc>
        <w:tc>
          <w:tcPr>
            <w:tcW w:w="1305" w:type="pct"/>
            <w:shd w:val="clear" w:color="auto" w:fill="FFFFFF"/>
            <w:vAlign w:val="center"/>
          </w:tcPr>
          <w:p w14:paraId="2A836C8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23.795</w:t>
            </w:r>
          </w:p>
        </w:tc>
        <w:tc>
          <w:tcPr>
            <w:tcW w:w="378" w:type="pct"/>
            <w:shd w:val="clear" w:color="auto" w:fill="FFFFFF"/>
            <w:vAlign w:val="center"/>
          </w:tcPr>
          <w:p w14:paraId="0EE81A3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02" w:type="pct"/>
            <w:shd w:val="clear" w:color="auto" w:fill="FFFFFF"/>
            <w:vAlign w:val="center"/>
          </w:tcPr>
          <w:p w14:paraId="7942844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07D95889"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382630D9"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4DDC0FD6" w14:textId="77777777" w:rsidR="00587694" w:rsidRDefault="00416116">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Table 26 shows no significant difference in customer satisfaction across genders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0.462, p = 0.631), indicating that all gender groups report similar satisfaction levels. This aligns with J. Belas et al. (2015), who also found no major gender</w:t>
      </w:r>
      <w:r>
        <w:rPr>
          <w:rFonts w:ascii="Arial" w:eastAsia="Arial" w:hAnsi="Arial" w:cs="Arial"/>
          <w:sz w:val="20"/>
          <w:szCs w:val="20"/>
        </w:rPr>
        <w:t>-based differences in overall banking satisfaction. While Dr. Khatib et al. (2024) and Belas et al. (2015) noted gender-based preferences—such as women's higher satisfaction with digital wallets or friendly service—these do not appear to impact overall sat</w:t>
      </w:r>
      <w:r>
        <w:rPr>
          <w:rFonts w:ascii="Arial" w:eastAsia="Arial" w:hAnsi="Arial" w:cs="Arial"/>
          <w:sz w:val="20"/>
          <w:szCs w:val="20"/>
        </w:rPr>
        <w:t xml:space="preserve">isfaction significantly. The findings suggest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deliver equitable, inclusive service, while also highlighting the value of addressing specific preferences within a consistent quality framework.</w:t>
      </w:r>
    </w:p>
    <w:p w14:paraId="0E586D58"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 xml:space="preserve">Table 27. </w:t>
      </w:r>
      <w:r>
        <w:rPr>
          <w:rFonts w:ascii="Arial" w:eastAsia="Arial" w:hAnsi="Arial" w:cs="Arial"/>
          <w:sz w:val="20"/>
          <w:szCs w:val="20"/>
        </w:rPr>
        <w:t>Significant diff</w:t>
      </w:r>
      <w:r>
        <w:rPr>
          <w:rFonts w:ascii="Arial" w:eastAsia="Arial" w:hAnsi="Arial" w:cs="Arial"/>
          <w:sz w:val="20"/>
          <w:szCs w:val="20"/>
        </w:rPr>
        <w:t>erence in the level of customer satisfaction when respondents are grouped according to the source of income</w:t>
      </w:r>
      <w:r>
        <w:rPr>
          <w:rFonts w:ascii="Arial" w:eastAsia="Arial" w:hAnsi="Arial" w:cs="Arial"/>
          <w:sz w:val="20"/>
          <w:szCs w:val="20"/>
          <w:lang w:val="en-US"/>
        </w:rPr>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30"/>
        <w:gridCol w:w="2142"/>
        <w:gridCol w:w="621"/>
        <w:gridCol w:w="1809"/>
        <w:gridCol w:w="698"/>
        <w:gridCol w:w="708"/>
      </w:tblGrid>
      <w:tr w:rsidR="00587694" w14:paraId="2D654D53" w14:textId="77777777">
        <w:trPr>
          <w:cantSplit/>
          <w:trHeight w:val="79"/>
        </w:trPr>
        <w:tc>
          <w:tcPr>
            <w:tcW w:w="5000" w:type="pct"/>
            <w:gridSpan w:val="6"/>
            <w:shd w:val="clear" w:color="auto" w:fill="FFFFFF"/>
            <w:vAlign w:val="center"/>
          </w:tcPr>
          <w:p w14:paraId="7167925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lastRenderedPageBreak/>
              <w:t>ANOVA</w:t>
            </w:r>
          </w:p>
        </w:tc>
      </w:tr>
      <w:tr w:rsidR="00587694" w14:paraId="1372F4C7" w14:textId="77777777">
        <w:trPr>
          <w:cantSplit/>
          <w:trHeight w:val="95"/>
        </w:trPr>
        <w:tc>
          <w:tcPr>
            <w:tcW w:w="5000" w:type="pct"/>
            <w:gridSpan w:val="6"/>
            <w:shd w:val="clear" w:color="auto" w:fill="FFFFFF"/>
            <w:vAlign w:val="bottom"/>
          </w:tcPr>
          <w:p w14:paraId="2254349B"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Customer Satisfaction  </w:t>
            </w:r>
          </w:p>
        </w:tc>
      </w:tr>
      <w:tr w:rsidR="00587694" w14:paraId="677D2D2F" w14:textId="77777777">
        <w:trPr>
          <w:cantSplit/>
          <w:trHeight w:val="184"/>
        </w:trPr>
        <w:tc>
          <w:tcPr>
            <w:tcW w:w="1359" w:type="pct"/>
            <w:shd w:val="clear" w:color="auto" w:fill="FFFFFF"/>
            <w:vAlign w:val="bottom"/>
          </w:tcPr>
          <w:p w14:paraId="3C25414C"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305" w:type="pct"/>
            <w:shd w:val="clear" w:color="auto" w:fill="FFFFFF"/>
            <w:vAlign w:val="bottom"/>
          </w:tcPr>
          <w:p w14:paraId="7C46D3A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8" w:type="pct"/>
            <w:shd w:val="clear" w:color="auto" w:fill="FFFFFF"/>
            <w:vAlign w:val="bottom"/>
          </w:tcPr>
          <w:p w14:paraId="4431AB3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102" w:type="pct"/>
            <w:shd w:val="clear" w:color="auto" w:fill="FFFFFF"/>
            <w:vAlign w:val="bottom"/>
          </w:tcPr>
          <w:p w14:paraId="40825431"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425" w:type="pct"/>
            <w:shd w:val="clear" w:color="auto" w:fill="FFFFFF"/>
            <w:vAlign w:val="bottom"/>
          </w:tcPr>
          <w:p w14:paraId="62E4B543"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31" w:type="pct"/>
            <w:shd w:val="clear" w:color="auto" w:fill="FFFFFF"/>
            <w:vAlign w:val="bottom"/>
          </w:tcPr>
          <w:p w14:paraId="7B0AC6E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1D656761" w14:textId="77777777">
        <w:trPr>
          <w:cantSplit/>
        </w:trPr>
        <w:tc>
          <w:tcPr>
            <w:tcW w:w="1359" w:type="pct"/>
            <w:shd w:val="clear" w:color="auto" w:fill="FFFFFF"/>
          </w:tcPr>
          <w:p w14:paraId="483B56CA"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305" w:type="pct"/>
            <w:shd w:val="clear" w:color="auto" w:fill="FFFFFF"/>
            <w:vAlign w:val="center"/>
          </w:tcPr>
          <w:p w14:paraId="277D60BF"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.071</w:t>
            </w:r>
          </w:p>
        </w:tc>
        <w:tc>
          <w:tcPr>
            <w:tcW w:w="378" w:type="pct"/>
            <w:shd w:val="clear" w:color="auto" w:fill="FFFFFF"/>
            <w:vAlign w:val="center"/>
          </w:tcPr>
          <w:p w14:paraId="0FF53F4E"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w:t>
            </w:r>
          </w:p>
        </w:tc>
        <w:tc>
          <w:tcPr>
            <w:tcW w:w="1102" w:type="pct"/>
            <w:shd w:val="clear" w:color="auto" w:fill="FFFFFF"/>
            <w:vAlign w:val="center"/>
          </w:tcPr>
          <w:p w14:paraId="4E8A447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.035</w:t>
            </w:r>
          </w:p>
        </w:tc>
        <w:tc>
          <w:tcPr>
            <w:tcW w:w="425" w:type="pct"/>
            <w:shd w:val="clear" w:color="auto" w:fill="FFFFFF"/>
            <w:vAlign w:val="center"/>
          </w:tcPr>
          <w:p w14:paraId="29724F3F"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.269</w:t>
            </w:r>
          </w:p>
        </w:tc>
        <w:tc>
          <w:tcPr>
            <w:tcW w:w="431" w:type="pct"/>
            <w:shd w:val="clear" w:color="auto" w:fill="FFFFFF"/>
            <w:vAlign w:val="center"/>
          </w:tcPr>
          <w:p w14:paraId="2156E39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.765</w:t>
            </w:r>
          </w:p>
        </w:tc>
      </w:tr>
      <w:tr w:rsidR="00587694" w14:paraId="50D9FEF5" w14:textId="77777777">
        <w:trPr>
          <w:cantSplit/>
        </w:trPr>
        <w:tc>
          <w:tcPr>
            <w:tcW w:w="1359" w:type="pct"/>
            <w:shd w:val="clear" w:color="auto" w:fill="FFFFFF"/>
          </w:tcPr>
          <w:p w14:paraId="563BBA12"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305" w:type="pct"/>
            <w:shd w:val="clear" w:color="auto" w:fill="FFFFFF"/>
            <w:vAlign w:val="center"/>
          </w:tcPr>
          <w:p w14:paraId="4C5E297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23.724</w:t>
            </w:r>
          </w:p>
        </w:tc>
        <w:tc>
          <w:tcPr>
            <w:tcW w:w="378" w:type="pct"/>
            <w:shd w:val="clear" w:color="auto" w:fill="FFFFFF"/>
            <w:vAlign w:val="center"/>
          </w:tcPr>
          <w:p w14:paraId="5369ADC5"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180</w:t>
            </w:r>
          </w:p>
        </w:tc>
        <w:tc>
          <w:tcPr>
            <w:tcW w:w="1102" w:type="pct"/>
            <w:shd w:val="clear" w:color="auto" w:fill="FFFFFF"/>
            <w:vAlign w:val="center"/>
          </w:tcPr>
          <w:p w14:paraId="183C3BD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.132</w:t>
            </w:r>
          </w:p>
        </w:tc>
        <w:tc>
          <w:tcPr>
            <w:tcW w:w="425" w:type="pct"/>
            <w:shd w:val="clear" w:color="auto" w:fill="FFFFFF"/>
            <w:vAlign w:val="center"/>
          </w:tcPr>
          <w:p w14:paraId="59D0F981"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4100A580"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57DB23C6" w14:textId="77777777">
        <w:trPr>
          <w:cantSplit/>
        </w:trPr>
        <w:tc>
          <w:tcPr>
            <w:tcW w:w="1359" w:type="pct"/>
            <w:shd w:val="clear" w:color="auto" w:fill="FFFFFF"/>
          </w:tcPr>
          <w:p w14:paraId="5616E694"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Total</w:t>
            </w:r>
          </w:p>
        </w:tc>
        <w:tc>
          <w:tcPr>
            <w:tcW w:w="1305" w:type="pct"/>
            <w:shd w:val="clear" w:color="auto" w:fill="FFFFFF"/>
            <w:vAlign w:val="center"/>
          </w:tcPr>
          <w:p w14:paraId="479892F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23.795</w:t>
            </w:r>
          </w:p>
        </w:tc>
        <w:tc>
          <w:tcPr>
            <w:tcW w:w="378" w:type="pct"/>
            <w:shd w:val="clear" w:color="auto" w:fill="FFFFFF"/>
            <w:vAlign w:val="center"/>
          </w:tcPr>
          <w:p w14:paraId="434B918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182</w:t>
            </w:r>
          </w:p>
        </w:tc>
        <w:tc>
          <w:tcPr>
            <w:tcW w:w="1102" w:type="pct"/>
            <w:shd w:val="clear" w:color="auto" w:fill="FFFFFF"/>
            <w:vAlign w:val="center"/>
          </w:tcPr>
          <w:p w14:paraId="4519F866"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5" w:type="pct"/>
            <w:shd w:val="clear" w:color="auto" w:fill="FFFFFF"/>
            <w:vAlign w:val="center"/>
          </w:tcPr>
          <w:p w14:paraId="105B4889"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31" w:type="pct"/>
            <w:shd w:val="clear" w:color="auto" w:fill="FFFFFF"/>
            <w:vAlign w:val="center"/>
          </w:tcPr>
          <w:p w14:paraId="18FA5D5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0CF84EFB" w14:textId="77777777" w:rsidR="00587694" w:rsidRDefault="00416116">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   Table 27 shows no significant difference in customer satisfaction across income sources (F = 0.269, p = 0.765), indicating that customers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report similar satisfaction regardless of whether they earn through employment, business, or other means. This aligns with findings by Md Abdul Hai and Rahman (2016) in Bangladesh and </w:t>
      </w:r>
      <w:proofErr w:type="spellStart"/>
      <w:r>
        <w:rPr>
          <w:rFonts w:ascii="Arial" w:eastAsia="Arial" w:hAnsi="Arial" w:cs="Arial"/>
          <w:sz w:val="20"/>
          <w:szCs w:val="20"/>
        </w:rPr>
        <w:t>Veesar</w:t>
      </w:r>
      <w:proofErr w:type="spellEnd"/>
      <w:r>
        <w:rPr>
          <w:rFonts w:ascii="Arial" w:eastAsia="Arial" w:hAnsi="Arial" w:cs="Arial"/>
          <w:sz w:val="20"/>
          <w:szCs w:val="20"/>
        </w:rPr>
        <w:t xml:space="preserve"> et al. (2020) in Pakistan, who also found income had little impa</w:t>
      </w:r>
      <w:r>
        <w:rPr>
          <w:rFonts w:ascii="Arial" w:eastAsia="Arial" w:hAnsi="Arial" w:cs="Arial"/>
          <w:sz w:val="20"/>
          <w:szCs w:val="20"/>
        </w:rPr>
        <w:t>ct on financial service satisfaction. Yuliani et al. (2022) further emphasized that financial literacy plays a greater role in shaping satisfaction than income. These results suggest that service quality, education, and financial knowledge are more influen</w:t>
      </w:r>
      <w:r>
        <w:rPr>
          <w:rFonts w:ascii="Arial" w:eastAsia="Arial" w:hAnsi="Arial" w:cs="Arial"/>
          <w:sz w:val="20"/>
          <w:szCs w:val="20"/>
        </w:rPr>
        <w:t>tial than income in determining customer satisfaction, highlighting the importance of inclusive, customer-focused strategies.</w:t>
      </w:r>
    </w:p>
    <w:p w14:paraId="2CFAA3D0"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 xml:space="preserve">Table 28. </w:t>
      </w:r>
      <w:r>
        <w:rPr>
          <w:rFonts w:ascii="Arial" w:eastAsia="Arial" w:hAnsi="Arial" w:cs="Arial"/>
          <w:sz w:val="20"/>
          <w:szCs w:val="20"/>
        </w:rPr>
        <w:t>Significant difference in the level of customer satisfaction when respondents are grouped according to monthly income</w:t>
      </w:r>
      <w:r>
        <w:rPr>
          <w:rFonts w:ascii="Arial" w:eastAsia="Arial" w:hAnsi="Arial" w:cs="Arial"/>
          <w:sz w:val="20"/>
          <w:szCs w:val="20"/>
          <w:lang w:val="en-US"/>
        </w:rPr>
        <w:t xml:space="preserve"> </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190"/>
        <w:gridCol w:w="2103"/>
        <w:gridCol w:w="609"/>
        <w:gridCol w:w="1776"/>
        <w:gridCol w:w="834"/>
        <w:gridCol w:w="696"/>
      </w:tblGrid>
      <w:tr w:rsidR="00587694" w14:paraId="7A4F74B8" w14:textId="77777777">
        <w:trPr>
          <w:cantSplit/>
        </w:trPr>
        <w:tc>
          <w:tcPr>
            <w:tcW w:w="5000" w:type="pct"/>
            <w:gridSpan w:val="6"/>
            <w:shd w:val="clear" w:color="auto" w:fill="FFFFFF"/>
            <w:vAlign w:val="center"/>
          </w:tcPr>
          <w:p w14:paraId="266B37F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b/>
                <w:bCs/>
                <w:color w:val="000000"/>
                <w:sz w:val="20"/>
                <w:szCs w:val="20"/>
                <w:lang w:val="en-PH"/>
              </w:rPr>
              <w:t>ANOVA</w:t>
            </w:r>
          </w:p>
        </w:tc>
      </w:tr>
      <w:tr w:rsidR="00587694" w14:paraId="37C465CD" w14:textId="77777777">
        <w:trPr>
          <w:cantSplit/>
        </w:trPr>
        <w:tc>
          <w:tcPr>
            <w:tcW w:w="5000" w:type="pct"/>
            <w:gridSpan w:val="6"/>
            <w:shd w:val="clear" w:color="auto" w:fill="FFFFFF"/>
            <w:vAlign w:val="bottom"/>
          </w:tcPr>
          <w:p w14:paraId="553D9D32" w14:textId="77777777" w:rsidR="00587694" w:rsidRDefault="00416116">
            <w:pPr>
              <w:autoSpaceDE w:val="0"/>
              <w:autoSpaceDN w:val="0"/>
              <w:adjustRightInd w:val="0"/>
              <w:spacing w:after="0" w:line="240" w:lineRule="auto"/>
              <w:rPr>
                <w:rFonts w:ascii="Arial" w:hAnsi="Arial" w:cs="Arial"/>
                <w:color w:val="000000"/>
                <w:sz w:val="20"/>
                <w:szCs w:val="20"/>
                <w:lang w:val="en-PH"/>
              </w:rPr>
            </w:pPr>
            <w:r>
              <w:rPr>
                <w:rFonts w:ascii="Arial" w:hAnsi="Arial" w:cs="Arial"/>
                <w:color w:val="000000"/>
                <w:sz w:val="20"/>
                <w:szCs w:val="20"/>
                <w:shd w:val="clear" w:color="auto" w:fill="FFFFFF"/>
                <w:lang w:val="en-PH"/>
              </w:rPr>
              <w:t xml:space="preserve">Overall Customer Satisfaction  </w:t>
            </w:r>
          </w:p>
        </w:tc>
      </w:tr>
      <w:tr w:rsidR="00587694" w14:paraId="7466ACA3" w14:textId="77777777">
        <w:trPr>
          <w:cantSplit/>
        </w:trPr>
        <w:tc>
          <w:tcPr>
            <w:tcW w:w="1334" w:type="pct"/>
            <w:shd w:val="clear" w:color="auto" w:fill="FFFFFF"/>
            <w:vAlign w:val="bottom"/>
          </w:tcPr>
          <w:p w14:paraId="04822CC3" w14:textId="77777777" w:rsidR="00587694" w:rsidRDefault="00587694">
            <w:pPr>
              <w:autoSpaceDE w:val="0"/>
              <w:autoSpaceDN w:val="0"/>
              <w:adjustRightInd w:val="0"/>
              <w:spacing w:after="0" w:line="240" w:lineRule="auto"/>
              <w:rPr>
                <w:rFonts w:ascii="Arial" w:hAnsi="Arial" w:cs="Arial"/>
                <w:color w:val="000000"/>
                <w:sz w:val="20"/>
                <w:szCs w:val="20"/>
                <w:lang w:val="en-PH"/>
              </w:rPr>
            </w:pPr>
          </w:p>
        </w:tc>
        <w:tc>
          <w:tcPr>
            <w:tcW w:w="1281" w:type="pct"/>
            <w:shd w:val="clear" w:color="auto" w:fill="FFFFFF"/>
            <w:vAlign w:val="bottom"/>
          </w:tcPr>
          <w:p w14:paraId="10FBECAA"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Sum of Squares</w:t>
            </w:r>
          </w:p>
        </w:tc>
        <w:tc>
          <w:tcPr>
            <w:tcW w:w="371" w:type="pct"/>
            <w:shd w:val="clear" w:color="auto" w:fill="FFFFFF"/>
            <w:vAlign w:val="bottom"/>
          </w:tcPr>
          <w:p w14:paraId="2BB2F599"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df</w:t>
            </w:r>
          </w:p>
        </w:tc>
        <w:tc>
          <w:tcPr>
            <w:tcW w:w="1082" w:type="pct"/>
            <w:shd w:val="clear" w:color="auto" w:fill="FFFFFF"/>
            <w:vAlign w:val="bottom"/>
          </w:tcPr>
          <w:p w14:paraId="0B84BF2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Mean Square</w:t>
            </w:r>
          </w:p>
        </w:tc>
        <w:tc>
          <w:tcPr>
            <w:tcW w:w="508" w:type="pct"/>
            <w:shd w:val="clear" w:color="auto" w:fill="FFFFFF"/>
            <w:vAlign w:val="bottom"/>
          </w:tcPr>
          <w:p w14:paraId="7EA538F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F</w:t>
            </w:r>
          </w:p>
        </w:tc>
        <w:tc>
          <w:tcPr>
            <w:tcW w:w="424" w:type="pct"/>
            <w:shd w:val="clear" w:color="auto" w:fill="FFFFFF"/>
            <w:vAlign w:val="bottom"/>
          </w:tcPr>
          <w:p w14:paraId="23865B3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Sig.</w:t>
            </w:r>
          </w:p>
        </w:tc>
      </w:tr>
      <w:tr w:rsidR="00587694" w14:paraId="22A8935F" w14:textId="77777777">
        <w:trPr>
          <w:cantSplit/>
        </w:trPr>
        <w:tc>
          <w:tcPr>
            <w:tcW w:w="1334" w:type="pct"/>
            <w:shd w:val="clear" w:color="auto" w:fill="FFFFFF"/>
          </w:tcPr>
          <w:p w14:paraId="21F9F0FD"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Between Groups</w:t>
            </w:r>
          </w:p>
        </w:tc>
        <w:tc>
          <w:tcPr>
            <w:tcW w:w="1281" w:type="pct"/>
            <w:shd w:val="clear" w:color="auto" w:fill="FFFFFF"/>
            <w:vAlign w:val="center"/>
          </w:tcPr>
          <w:p w14:paraId="0C9ED27C"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.887</w:t>
            </w:r>
          </w:p>
        </w:tc>
        <w:tc>
          <w:tcPr>
            <w:tcW w:w="371" w:type="pct"/>
            <w:shd w:val="clear" w:color="auto" w:fill="FFFFFF"/>
            <w:vAlign w:val="center"/>
          </w:tcPr>
          <w:p w14:paraId="43FD97D8"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4</w:t>
            </w:r>
          </w:p>
        </w:tc>
        <w:tc>
          <w:tcPr>
            <w:tcW w:w="1082" w:type="pct"/>
            <w:shd w:val="clear" w:color="auto" w:fill="FFFFFF"/>
            <w:vAlign w:val="center"/>
          </w:tcPr>
          <w:p w14:paraId="72B7072B"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.222</w:t>
            </w:r>
          </w:p>
        </w:tc>
        <w:tc>
          <w:tcPr>
            <w:tcW w:w="508" w:type="pct"/>
            <w:shd w:val="clear" w:color="auto" w:fill="FFFFFF"/>
            <w:vAlign w:val="center"/>
          </w:tcPr>
          <w:p w14:paraId="729AE452"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1.722</w:t>
            </w:r>
          </w:p>
        </w:tc>
        <w:tc>
          <w:tcPr>
            <w:tcW w:w="424" w:type="pct"/>
            <w:shd w:val="clear" w:color="auto" w:fill="FFFFFF"/>
            <w:vAlign w:val="center"/>
          </w:tcPr>
          <w:p w14:paraId="3B36069D"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.147</w:t>
            </w:r>
          </w:p>
        </w:tc>
      </w:tr>
      <w:tr w:rsidR="00587694" w14:paraId="1D878D2B" w14:textId="77777777">
        <w:trPr>
          <w:cantSplit/>
        </w:trPr>
        <w:tc>
          <w:tcPr>
            <w:tcW w:w="1334" w:type="pct"/>
            <w:shd w:val="clear" w:color="auto" w:fill="FFFFFF"/>
          </w:tcPr>
          <w:p w14:paraId="382A714A" w14:textId="77777777" w:rsidR="00587694" w:rsidRDefault="00416116">
            <w:pPr>
              <w:autoSpaceDE w:val="0"/>
              <w:autoSpaceDN w:val="0"/>
              <w:adjustRightInd w:val="0"/>
              <w:spacing w:after="0" w:line="240" w:lineRule="auto"/>
              <w:ind w:left="60" w:right="60"/>
              <w:rPr>
                <w:rFonts w:ascii="Arial" w:hAnsi="Arial" w:cs="Arial"/>
                <w:color w:val="000000"/>
                <w:sz w:val="20"/>
                <w:szCs w:val="20"/>
                <w:lang w:val="en-PH"/>
              </w:rPr>
            </w:pPr>
            <w:r>
              <w:rPr>
                <w:rFonts w:ascii="Arial" w:hAnsi="Arial" w:cs="Arial"/>
                <w:color w:val="000000"/>
                <w:sz w:val="20"/>
                <w:szCs w:val="20"/>
                <w:lang w:val="en-PH"/>
              </w:rPr>
              <w:t>Within Groups</w:t>
            </w:r>
          </w:p>
        </w:tc>
        <w:tc>
          <w:tcPr>
            <w:tcW w:w="1281" w:type="pct"/>
            <w:shd w:val="clear" w:color="auto" w:fill="FFFFFF"/>
            <w:vAlign w:val="center"/>
          </w:tcPr>
          <w:p w14:paraId="4F48EC30"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22.908</w:t>
            </w:r>
          </w:p>
        </w:tc>
        <w:tc>
          <w:tcPr>
            <w:tcW w:w="371" w:type="pct"/>
            <w:shd w:val="clear" w:color="auto" w:fill="FFFFFF"/>
            <w:vAlign w:val="center"/>
          </w:tcPr>
          <w:p w14:paraId="3B99D224"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178</w:t>
            </w:r>
          </w:p>
        </w:tc>
        <w:tc>
          <w:tcPr>
            <w:tcW w:w="1082" w:type="pct"/>
            <w:shd w:val="clear" w:color="auto" w:fill="FFFFFF"/>
            <w:vAlign w:val="center"/>
          </w:tcPr>
          <w:p w14:paraId="171F8DB7" w14:textId="77777777" w:rsidR="00587694" w:rsidRDefault="00416116">
            <w:pPr>
              <w:autoSpaceDE w:val="0"/>
              <w:autoSpaceDN w:val="0"/>
              <w:adjustRightInd w:val="0"/>
              <w:spacing w:after="0" w:line="240" w:lineRule="auto"/>
              <w:ind w:left="60" w:right="60"/>
              <w:jc w:val="center"/>
              <w:rPr>
                <w:rFonts w:ascii="Arial" w:hAnsi="Arial" w:cs="Arial"/>
                <w:color w:val="000000"/>
                <w:sz w:val="20"/>
                <w:szCs w:val="20"/>
                <w:lang w:val="en-PH"/>
              </w:rPr>
            </w:pPr>
            <w:r>
              <w:rPr>
                <w:rFonts w:ascii="Arial" w:hAnsi="Arial" w:cs="Arial"/>
                <w:color w:val="000000"/>
                <w:sz w:val="20"/>
                <w:szCs w:val="20"/>
                <w:lang w:val="en-PH"/>
              </w:rPr>
              <w:t>.129</w:t>
            </w:r>
          </w:p>
        </w:tc>
        <w:tc>
          <w:tcPr>
            <w:tcW w:w="508" w:type="pct"/>
            <w:shd w:val="clear" w:color="auto" w:fill="FFFFFF"/>
            <w:vAlign w:val="center"/>
          </w:tcPr>
          <w:p w14:paraId="308C68C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4" w:type="pct"/>
            <w:shd w:val="clear" w:color="auto" w:fill="FFFFFF"/>
            <w:vAlign w:val="center"/>
          </w:tcPr>
          <w:p w14:paraId="159C0564"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r w:rsidR="00587694" w14:paraId="6A29735A" w14:textId="77777777">
        <w:trPr>
          <w:cantSplit/>
        </w:trPr>
        <w:tc>
          <w:tcPr>
            <w:tcW w:w="1334" w:type="pct"/>
            <w:shd w:val="clear" w:color="auto" w:fill="FFFFFF"/>
          </w:tcPr>
          <w:p w14:paraId="743F7B2B" w14:textId="77777777" w:rsidR="00587694" w:rsidRDefault="00416116">
            <w:pPr>
              <w:autoSpaceDE w:val="0"/>
              <w:autoSpaceDN w:val="0"/>
              <w:adjustRightInd w:val="0"/>
              <w:spacing w:after="0" w:line="240" w:lineRule="auto"/>
              <w:ind w:left="60" w:right="60"/>
              <w:rPr>
                <w:rFonts w:ascii="Arial" w:hAnsi="Arial" w:cs="Arial"/>
                <w:b/>
                <w:bCs/>
                <w:color w:val="000000"/>
                <w:sz w:val="20"/>
                <w:szCs w:val="20"/>
                <w:lang w:val="en-PH"/>
              </w:rPr>
            </w:pPr>
            <w:r>
              <w:rPr>
                <w:rFonts w:ascii="Arial" w:hAnsi="Arial" w:cs="Arial"/>
                <w:b/>
                <w:bCs/>
                <w:color w:val="000000"/>
                <w:sz w:val="20"/>
                <w:szCs w:val="20"/>
                <w:lang w:val="en-PH"/>
              </w:rPr>
              <w:t>Total</w:t>
            </w:r>
          </w:p>
        </w:tc>
        <w:tc>
          <w:tcPr>
            <w:tcW w:w="1281" w:type="pct"/>
            <w:shd w:val="clear" w:color="auto" w:fill="FFFFFF"/>
            <w:vAlign w:val="center"/>
          </w:tcPr>
          <w:p w14:paraId="42650493"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23.795</w:t>
            </w:r>
          </w:p>
        </w:tc>
        <w:tc>
          <w:tcPr>
            <w:tcW w:w="371" w:type="pct"/>
            <w:shd w:val="clear" w:color="auto" w:fill="FFFFFF"/>
            <w:vAlign w:val="center"/>
          </w:tcPr>
          <w:p w14:paraId="386D613B" w14:textId="77777777" w:rsidR="00587694" w:rsidRDefault="00416116">
            <w:pPr>
              <w:autoSpaceDE w:val="0"/>
              <w:autoSpaceDN w:val="0"/>
              <w:adjustRightInd w:val="0"/>
              <w:spacing w:after="0" w:line="240" w:lineRule="auto"/>
              <w:ind w:left="60" w:right="60"/>
              <w:jc w:val="center"/>
              <w:rPr>
                <w:rFonts w:ascii="Arial" w:hAnsi="Arial" w:cs="Arial"/>
                <w:b/>
                <w:bCs/>
                <w:color w:val="000000"/>
                <w:sz w:val="20"/>
                <w:szCs w:val="20"/>
                <w:lang w:val="en-PH"/>
              </w:rPr>
            </w:pPr>
            <w:r>
              <w:rPr>
                <w:rFonts w:ascii="Arial" w:hAnsi="Arial" w:cs="Arial"/>
                <w:b/>
                <w:bCs/>
                <w:color w:val="000000"/>
                <w:sz w:val="20"/>
                <w:szCs w:val="20"/>
                <w:lang w:val="en-PH"/>
              </w:rPr>
              <w:t>182</w:t>
            </w:r>
          </w:p>
        </w:tc>
        <w:tc>
          <w:tcPr>
            <w:tcW w:w="1082" w:type="pct"/>
            <w:shd w:val="clear" w:color="auto" w:fill="FFFFFF"/>
            <w:vAlign w:val="center"/>
          </w:tcPr>
          <w:p w14:paraId="5737E881"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508" w:type="pct"/>
            <w:shd w:val="clear" w:color="auto" w:fill="FFFFFF"/>
            <w:vAlign w:val="center"/>
          </w:tcPr>
          <w:p w14:paraId="16DF6F10"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c>
          <w:tcPr>
            <w:tcW w:w="424" w:type="pct"/>
            <w:shd w:val="clear" w:color="auto" w:fill="FFFFFF"/>
            <w:vAlign w:val="center"/>
          </w:tcPr>
          <w:p w14:paraId="14B47642" w14:textId="77777777" w:rsidR="00587694" w:rsidRDefault="00587694">
            <w:pPr>
              <w:autoSpaceDE w:val="0"/>
              <w:autoSpaceDN w:val="0"/>
              <w:adjustRightInd w:val="0"/>
              <w:spacing w:after="0" w:line="240" w:lineRule="auto"/>
              <w:jc w:val="center"/>
              <w:rPr>
                <w:rFonts w:ascii="Arial" w:hAnsi="Arial" w:cs="Arial"/>
                <w:color w:val="000000"/>
                <w:sz w:val="20"/>
                <w:szCs w:val="20"/>
                <w:lang w:val="en-PH"/>
              </w:rPr>
            </w:pPr>
          </w:p>
        </w:tc>
      </w:tr>
    </w:tbl>
    <w:p w14:paraId="533B386F" w14:textId="77777777" w:rsidR="00587694" w:rsidRDefault="00416116">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Table 28 shows no significant difference in customer satisfaction across monthly income groups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1.722, p = 0.147), suggesting that financial institutions deliver consistent satisfaction regardless of income. This aligns with </w:t>
      </w:r>
      <w:proofErr w:type="spellStart"/>
      <w:r>
        <w:rPr>
          <w:rFonts w:ascii="Arial" w:eastAsia="Arial" w:hAnsi="Arial" w:cs="Arial"/>
          <w:sz w:val="20"/>
          <w:szCs w:val="20"/>
        </w:rPr>
        <w:t>Veesar</w:t>
      </w:r>
      <w:proofErr w:type="spellEnd"/>
      <w:r>
        <w:rPr>
          <w:rFonts w:ascii="Arial" w:eastAsia="Arial" w:hAnsi="Arial" w:cs="Arial"/>
          <w:sz w:val="20"/>
          <w:szCs w:val="20"/>
        </w:rPr>
        <w:t xml:space="preserve"> et al. (20</w:t>
      </w:r>
      <w:r>
        <w:rPr>
          <w:rFonts w:ascii="Arial" w:eastAsia="Arial" w:hAnsi="Arial" w:cs="Arial"/>
          <w:sz w:val="20"/>
          <w:szCs w:val="20"/>
        </w:rPr>
        <w:t xml:space="preserve">20) and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who found income had little impact on satisfaction in financial services. While Bento Alves da Costa Filho et al. (2023) noted that higher-income customers may prioritize factors like loyalty and service quality, the </w:t>
      </w:r>
      <w:proofErr w:type="spellStart"/>
      <w:r>
        <w:rPr>
          <w:rFonts w:ascii="Arial" w:eastAsia="Arial" w:hAnsi="Arial" w:cs="Arial"/>
          <w:sz w:val="20"/>
          <w:szCs w:val="20"/>
        </w:rPr>
        <w:t>Cateel</w:t>
      </w:r>
      <w:proofErr w:type="spellEnd"/>
      <w:r>
        <w:rPr>
          <w:rFonts w:ascii="Arial" w:eastAsia="Arial" w:hAnsi="Arial" w:cs="Arial"/>
          <w:sz w:val="20"/>
          <w:szCs w:val="20"/>
        </w:rPr>
        <w:t xml:space="preserve"> </w:t>
      </w:r>
      <w:r>
        <w:rPr>
          <w:rFonts w:ascii="Arial" w:eastAsia="Arial" w:hAnsi="Arial" w:cs="Arial"/>
          <w:sz w:val="20"/>
          <w:szCs w:val="20"/>
        </w:rPr>
        <w:t>data highlight the success of inclusive service practices. These findings suggest that maintaining high service standards benefits all income groups, while targeted strategies can address specific segment needs.</w:t>
      </w:r>
    </w:p>
    <w:p w14:paraId="21F0D404" w14:textId="77777777" w:rsidR="00587694" w:rsidRDefault="00416116">
      <w:pPr>
        <w:spacing w:before="280" w:line="240" w:lineRule="auto"/>
        <w:rPr>
          <w:rFonts w:ascii="Arial" w:eastAsia="Arial" w:hAnsi="Arial" w:cs="Arial"/>
          <w:b/>
          <w:sz w:val="20"/>
          <w:szCs w:val="20"/>
        </w:rPr>
      </w:pPr>
      <w:r>
        <w:rPr>
          <w:rFonts w:ascii="Arial" w:eastAsia="Arial" w:hAnsi="Arial" w:cs="Arial"/>
          <w:b/>
          <w:sz w:val="20"/>
          <w:szCs w:val="20"/>
        </w:rPr>
        <w:t>Significant Relationship Between the Level o</w:t>
      </w:r>
      <w:r>
        <w:rPr>
          <w:rFonts w:ascii="Arial" w:eastAsia="Arial" w:hAnsi="Arial" w:cs="Arial"/>
          <w:b/>
          <w:sz w:val="20"/>
          <w:szCs w:val="20"/>
        </w:rPr>
        <w:t>f Service Quality in Financial Institutions and Customer Satisfaction</w:t>
      </w:r>
    </w:p>
    <w:p w14:paraId="2F026131" w14:textId="77777777" w:rsidR="00587694" w:rsidRDefault="00416116">
      <w:pPr>
        <w:spacing w:before="280" w:line="240" w:lineRule="auto"/>
        <w:jc w:val="both"/>
        <w:rPr>
          <w:rFonts w:ascii="Arial" w:eastAsia="Arial" w:hAnsi="Arial" w:cs="Arial"/>
          <w:sz w:val="20"/>
          <w:szCs w:val="20"/>
        </w:rPr>
      </w:pPr>
      <w:r>
        <w:rPr>
          <w:rFonts w:ascii="Arial" w:eastAsia="Arial" w:hAnsi="Arial" w:cs="Arial"/>
          <w:sz w:val="20"/>
          <w:szCs w:val="20"/>
        </w:rPr>
        <w:t xml:space="preserve">            Table 29 shows a moderate positive correlation between tangibility and assurance and key customer outcomes—loyalty, word of mouth, and satisfaction (r = 0.48–0.65, p &lt; 0.00).</w:t>
      </w:r>
      <w:r>
        <w:rPr>
          <w:rFonts w:ascii="Arial" w:eastAsia="Arial" w:hAnsi="Arial" w:cs="Arial"/>
          <w:sz w:val="20"/>
          <w:szCs w:val="20"/>
        </w:rPr>
        <w:t xml:space="preserve"> This indicates that customers who value physical facilities and staff competence tend to be more loyal, more likely to recommend the institution, and more satisfied overall.</w:t>
      </w:r>
    </w:p>
    <w:p w14:paraId="09575013" w14:textId="77777777" w:rsidR="00587694" w:rsidRDefault="00416116">
      <w:pPr>
        <w:spacing w:before="280" w:line="240" w:lineRule="auto"/>
        <w:rPr>
          <w:rFonts w:ascii="Arial" w:eastAsia="Arial" w:hAnsi="Arial" w:cs="Arial"/>
          <w:sz w:val="20"/>
          <w:szCs w:val="20"/>
          <w:lang w:val="en-US"/>
        </w:rPr>
      </w:pPr>
      <w:r>
        <w:rPr>
          <w:rFonts w:ascii="Arial" w:eastAsia="Arial" w:hAnsi="Arial" w:cs="Arial"/>
          <w:b/>
          <w:sz w:val="20"/>
          <w:szCs w:val="20"/>
        </w:rPr>
        <w:t xml:space="preserve">Table 29. </w:t>
      </w:r>
      <w:r>
        <w:rPr>
          <w:rFonts w:ascii="Arial" w:eastAsia="Arial" w:hAnsi="Arial" w:cs="Arial"/>
          <w:sz w:val="20"/>
          <w:szCs w:val="20"/>
        </w:rPr>
        <w:t>Significant relationship between the level of service quality in financ</w:t>
      </w:r>
      <w:r>
        <w:rPr>
          <w:rFonts w:ascii="Arial" w:eastAsia="Arial" w:hAnsi="Arial" w:cs="Arial"/>
          <w:sz w:val="20"/>
          <w:szCs w:val="20"/>
        </w:rPr>
        <w:t>ial institutions and customer satisfaction</w:t>
      </w:r>
      <w:r>
        <w:rPr>
          <w:rFonts w:ascii="Arial" w:eastAsia="Arial" w:hAnsi="Arial" w:cs="Arial"/>
          <w:sz w:val="20"/>
          <w:szCs w:val="20"/>
          <w:lang w:val="en-US"/>
        </w:rPr>
        <w:t xml:space="preserve"> </w:t>
      </w:r>
    </w:p>
    <w:tbl>
      <w:tblPr>
        <w:tblW w:w="863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73"/>
        <w:gridCol w:w="1687"/>
        <w:gridCol w:w="1890"/>
        <w:gridCol w:w="1880"/>
      </w:tblGrid>
      <w:tr w:rsidR="00587694" w14:paraId="1B519AE6" w14:textId="77777777">
        <w:trPr>
          <w:trHeight w:val="224"/>
        </w:trPr>
        <w:tc>
          <w:tcPr>
            <w:tcW w:w="3173" w:type="dxa"/>
            <w:gridSpan w:val="2"/>
            <w:shd w:val="clear" w:color="auto" w:fill="auto"/>
            <w:vAlign w:val="center"/>
          </w:tcPr>
          <w:p w14:paraId="75A7900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Independent Variables</w:t>
            </w:r>
          </w:p>
        </w:tc>
        <w:tc>
          <w:tcPr>
            <w:tcW w:w="1687" w:type="dxa"/>
            <w:shd w:val="clear" w:color="auto" w:fill="auto"/>
            <w:vAlign w:val="center"/>
          </w:tcPr>
          <w:p w14:paraId="384CBC4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Customer's Loyalty</w:t>
            </w:r>
          </w:p>
        </w:tc>
        <w:tc>
          <w:tcPr>
            <w:tcW w:w="1890" w:type="dxa"/>
            <w:shd w:val="clear" w:color="auto" w:fill="auto"/>
            <w:vAlign w:val="center"/>
          </w:tcPr>
          <w:p w14:paraId="72DEB22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Positive Word of Mouth</w:t>
            </w:r>
          </w:p>
        </w:tc>
        <w:tc>
          <w:tcPr>
            <w:tcW w:w="1880" w:type="dxa"/>
            <w:shd w:val="clear" w:color="auto" w:fill="auto"/>
            <w:vAlign w:val="center"/>
          </w:tcPr>
          <w:p w14:paraId="64653F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Overall Customer Satisfaction</w:t>
            </w:r>
          </w:p>
        </w:tc>
      </w:tr>
      <w:tr w:rsidR="00587694" w14:paraId="3CAF0968" w14:textId="77777777">
        <w:trPr>
          <w:trHeight w:val="203"/>
        </w:trPr>
        <w:tc>
          <w:tcPr>
            <w:tcW w:w="1800" w:type="dxa"/>
            <w:vMerge w:val="restart"/>
            <w:shd w:val="clear" w:color="auto" w:fill="auto"/>
          </w:tcPr>
          <w:p w14:paraId="24B02773"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Tangible</w:t>
            </w:r>
          </w:p>
        </w:tc>
        <w:tc>
          <w:tcPr>
            <w:tcW w:w="1373" w:type="dxa"/>
            <w:shd w:val="clear" w:color="auto" w:fill="auto"/>
          </w:tcPr>
          <w:p w14:paraId="14E61B9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noWrap/>
            <w:vAlign w:val="center"/>
          </w:tcPr>
          <w:p w14:paraId="5ABDBEF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0.48</w:t>
            </w:r>
          </w:p>
        </w:tc>
        <w:tc>
          <w:tcPr>
            <w:tcW w:w="1890" w:type="dxa"/>
            <w:shd w:val="clear" w:color="auto" w:fill="auto"/>
            <w:noWrap/>
            <w:vAlign w:val="center"/>
          </w:tcPr>
          <w:p w14:paraId="3C5398F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0.61</w:t>
            </w:r>
          </w:p>
        </w:tc>
        <w:tc>
          <w:tcPr>
            <w:tcW w:w="1880" w:type="dxa"/>
            <w:shd w:val="clear" w:color="auto" w:fill="auto"/>
            <w:noWrap/>
            <w:vAlign w:val="center"/>
          </w:tcPr>
          <w:p w14:paraId="6E1F2A8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0.61</w:t>
            </w:r>
          </w:p>
        </w:tc>
      </w:tr>
      <w:tr w:rsidR="00587694" w14:paraId="718A4796" w14:textId="77777777">
        <w:trPr>
          <w:trHeight w:val="358"/>
        </w:trPr>
        <w:tc>
          <w:tcPr>
            <w:tcW w:w="1800" w:type="dxa"/>
            <w:vMerge/>
            <w:vAlign w:val="center"/>
          </w:tcPr>
          <w:p w14:paraId="2208B393"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42DDCB3F"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noWrap/>
            <w:vAlign w:val="center"/>
          </w:tcPr>
          <w:p w14:paraId="51CAF63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90" w:type="dxa"/>
            <w:shd w:val="clear" w:color="auto" w:fill="auto"/>
            <w:noWrap/>
            <w:vAlign w:val="center"/>
          </w:tcPr>
          <w:p w14:paraId="725597D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80" w:type="dxa"/>
            <w:shd w:val="clear" w:color="auto" w:fill="auto"/>
            <w:noWrap/>
            <w:vAlign w:val="center"/>
          </w:tcPr>
          <w:p w14:paraId="58AFF65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r>
      <w:tr w:rsidR="00587694" w14:paraId="38EC6CD3" w14:textId="77777777">
        <w:trPr>
          <w:trHeight w:val="185"/>
        </w:trPr>
        <w:tc>
          <w:tcPr>
            <w:tcW w:w="1800" w:type="dxa"/>
            <w:vMerge/>
            <w:vAlign w:val="center"/>
          </w:tcPr>
          <w:p w14:paraId="60E9397B"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6E4F046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6869437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xml:space="preserve">Moderate positive </w:t>
            </w:r>
            <w:r>
              <w:rPr>
                <w:rFonts w:ascii="Arial" w:eastAsia="Times New Roman" w:hAnsi="Arial" w:cs="Arial"/>
                <w:color w:val="000000"/>
                <w:sz w:val="20"/>
                <w:szCs w:val="20"/>
                <w:lang w:val="en-PH" w:eastAsia="en-PH"/>
              </w:rPr>
              <w:t>relationship</w:t>
            </w:r>
          </w:p>
        </w:tc>
        <w:tc>
          <w:tcPr>
            <w:tcW w:w="1890" w:type="dxa"/>
            <w:shd w:val="clear" w:color="auto" w:fill="auto"/>
            <w:vAlign w:val="center"/>
          </w:tcPr>
          <w:p w14:paraId="294D972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positive relationship</w:t>
            </w:r>
          </w:p>
        </w:tc>
        <w:tc>
          <w:tcPr>
            <w:tcW w:w="1880" w:type="dxa"/>
            <w:shd w:val="clear" w:color="auto" w:fill="auto"/>
            <w:vAlign w:val="center"/>
          </w:tcPr>
          <w:p w14:paraId="20AD719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positive relationship</w:t>
            </w:r>
          </w:p>
        </w:tc>
      </w:tr>
      <w:tr w:rsidR="00587694" w14:paraId="2E6D40F6" w14:textId="77777777">
        <w:trPr>
          <w:trHeight w:val="191"/>
        </w:trPr>
        <w:tc>
          <w:tcPr>
            <w:tcW w:w="1800" w:type="dxa"/>
            <w:vMerge w:val="restart"/>
            <w:shd w:val="clear" w:color="auto" w:fill="auto"/>
          </w:tcPr>
          <w:p w14:paraId="6117BDDB"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Reliability</w:t>
            </w:r>
          </w:p>
        </w:tc>
        <w:tc>
          <w:tcPr>
            <w:tcW w:w="1373" w:type="dxa"/>
            <w:shd w:val="clear" w:color="auto" w:fill="auto"/>
          </w:tcPr>
          <w:p w14:paraId="66DB674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noWrap/>
            <w:vAlign w:val="center"/>
          </w:tcPr>
          <w:p w14:paraId="0A15FE2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0.04</w:t>
            </w:r>
          </w:p>
        </w:tc>
        <w:tc>
          <w:tcPr>
            <w:tcW w:w="1890" w:type="dxa"/>
            <w:shd w:val="clear" w:color="auto" w:fill="auto"/>
            <w:noWrap/>
            <w:vAlign w:val="center"/>
          </w:tcPr>
          <w:p w14:paraId="08C35B6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0.04</w:t>
            </w:r>
          </w:p>
        </w:tc>
        <w:tc>
          <w:tcPr>
            <w:tcW w:w="1880" w:type="dxa"/>
            <w:shd w:val="clear" w:color="auto" w:fill="auto"/>
            <w:noWrap/>
            <w:vAlign w:val="center"/>
          </w:tcPr>
          <w:p w14:paraId="499684B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0.04</w:t>
            </w:r>
          </w:p>
        </w:tc>
      </w:tr>
      <w:tr w:rsidR="00587694" w14:paraId="5AD15838" w14:textId="77777777">
        <w:trPr>
          <w:trHeight w:val="70"/>
        </w:trPr>
        <w:tc>
          <w:tcPr>
            <w:tcW w:w="1800" w:type="dxa"/>
            <w:vMerge/>
            <w:vAlign w:val="center"/>
          </w:tcPr>
          <w:p w14:paraId="3061DBDC"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353C4D2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noWrap/>
            <w:vAlign w:val="center"/>
          </w:tcPr>
          <w:p w14:paraId="6567CC6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0.63</w:t>
            </w:r>
          </w:p>
        </w:tc>
        <w:tc>
          <w:tcPr>
            <w:tcW w:w="1890" w:type="dxa"/>
            <w:shd w:val="clear" w:color="auto" w:fill="auto"/>
            <w:noWrap/>
            <w:vAlign w:val="center"/>
          </w:tcPr>
          <w:p w14:paraId="5A191DA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0.63</w:t>
            </w:r>
          </w:p>
        </w:tc>
        <w:tc>
          <w:tcPr>
            <w:tcW w:w="1880" w:type="dxa"/>
            <w:shd w:val="clear" w:color="auto" w:fill="auto"/>
            <w:noWrap/>
            <w:vAlign w:val="center"/>
          </w:tcPr>
          <w:p w14:paraId="1092624A"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0.60</w:t>
            </w:r>
          </w:p>
        </w:tc>
      </w:tr>
      <w:tr w:rsidR="00587694" w14:paraId="3C7AFC35" w14:textId="77777777">
        <w:trPr>
          <w:trHeight w:val="384"/>
        </w:trPr>
        <w:tc>
          <w:tcPr>
            <w:tcW w:w="1800" w:type="dxa"/>
            <w:vMerge/>
            <w:vAlign w:val="center"/>
          </w:tcPr>
          <w:p w14:paraId="2C32440C"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1F6942D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2435508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Negligible relationship</w:t>
            </w:r>
          </w:p>
        </w:tc>
        <w:tc>
          <w:tcPr>
            <w:tcW w:w="1890" w:type="dxa"/>
            <w:shd w:val="clear" w:color="auto" w:fill="auto"/>
            <w:vAlign w:val="center"/>
          </w:tcPr>
          <w:p w14:paraId="2C5FF80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Negligible relationship</w:t>
            </w:r>
          </w:p>
        </w:tc>
        <w:tc>
          <w:tcPr>
            <w:tcW w:w="1880" w:type="dxa"/>
            <w:shd w:val="clear" w:color="auto" w:fill="auto"/>
            <w:vAlign w:val="center"/>
          </w:tcPr>
          <w:p w14:paraId="78BB1754"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Negligible relationship</w:t>
            </w:r>
          </w:p>
        </w:tc>
      </w:tr>
      <w:tr w:rsidR="00587694" w14:paraId="44917BD2" w14:textId="77777777">
        <w:trPr>
          <w:trHeight w:val="249"/>
        </w:trPr>
        <w:tc>
          <w:tcPr>
            <w:tcW w:w="1800" w:type="dxa"/>
            <w:vMerge w:val="restart"/>
            <w:shd w:val="clear" w:color="auto" w:fill="auto"/>
          </w:tcPr>
          <w:p w14:paraId="552A5F7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Assurance</w:t>
            </w:r>
          </w:p>
        </w:tc>
        <w:tc>
          <w:tcPr>
            <w:tcW w:w="1373" w:type="dxa"/>
            <w:shd w:val="clear" w:color="auto" w:fill="auto"/>
          </w:tcPr>
          <w:p w14:paraId="559DF6E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noWrap/>
            <w:vAlign w:val="center"/>
          </w:tcPr>
          <w:p w14:paraId="2815FA7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0.55</w:t>
            </w:r>
          </w:p>
        </w:tc>
        <w:tc>
          <w:tcPr>
            <w:tcW w:w="1890" w:type="dxa"/>
            <w:shd w:val="clear" w:color="auto" w:fill="auto"/>
            <w:noWrap/>
            <w:vAlign w:val="center"/>
          </w:tcPr>
          <w:p w14:paraId="6E36C5C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0.61</w:t>
            </w:r>
          </w:p>
        </w:tc>
        <w:tc>
          <w:tcPr>
            <w:tcW w:w="1880" w:type="dxa"/>
            <w:shd w:val="clear" w:color="auto" w:fill="auto"/>
            <w:noWrap/>
            <w:vAlign w:val="center"/>
          </w:tcPr>
          <w:p w14:paraId="464E4A9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0.65</w:t>
            </w:r>
          </w:p>
        </w:tc>
      </w:tr>
      <w:tr w:rsidR="00587694" w14:paraId="08530583" w14:textId="77777777">
        <w:trPr>
          <w:trHeight w:val="98"/>
        </w:trPr>
        <w:tc>
          <w:tcPr>
            <w:tcW w:w="1800" w:type="dxa"/>
            <w:vMerge/>
            <w:vAlign w:val="center"/>
          </w:tcPr>
          <w:p w14:paraId="1C47FAC3"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106BCBA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noWrap/>
            <w:vAlign w:val="center"/>
          </w:tcPr>
          <w:p w14:paraId="1270A41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90" w:type="dxa"/>
            <w:shd w:val="clear" w:color="auto" w:fill="auto"/>
            <w:noWrap/>
            <w:vAlign w:val="center"/>
          </w:tcPr>
          <w:p w14:paraId="0653680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80" w:type="dxa"/>
            <w:shd w:val="clear" w:color="auto" w:fill="auto"/>
            <w:noWrap/>
            <w:vAlign w:val="center"/>
          </w:tcPr>
          <w:p w14:paraId="48C9FF4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r>
      <w:tr w:rsidR="00587694" w14:paraId="0A93705C" w14:textId="77777777">
        <w:trPr>
          <w:trHeight w:val="277"/>
        </w:trPr>
        <w:tc>
          <w:tcPr>
            <w:tcW w:w="1800" w:type="dxa"/>
            <w:vMerge/>
            <w:vAlign w:val="center"/>
          </w:tcPr>
          <w:p w14:paraId="74072756"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517D09A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44E8057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positive relationship</w:t>
            </w:r>
          </w:p>
        </w:tc>
        <w:tc>
          <w:tcPr>
            <w:tcW w:w="1890" w:type="dxa"/>
            <w:shd w:val="clear" w:color="auto" w:fill="auto"/>
            <w:vAlign w:val="center"/>
          </w:tcPr>
          <w:p w14:paraId="14257541"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positive relationship</w:t>
            </w:r>
          </w:p>
        </w:tc>
        <w:tc>
          <w:tcPr>
            <w:tcW w:w="1880" w:type="dxa"/>
            <w:shd w:val="clear" w:color="auto" w:fill="auto"/>
            <w:vAlign w:val="center"/>
          </w:tcPr>
          <w:p w14:paraId="7C0FF0B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positive relationship</w:t>
            </w:r>
          </w:p>
        </w:tc>
      </w:tr>
      <w:tr w:rsidR="00587694" w14:paraId="6659F9AD" w14:textId="77777777">
        <w:trPr>
          <w:trHeight w:val="135"/>
        </w:trPr>
        <w:tc>
          <w:tcPr>
            <w:tcW w:w="1800" w:type="dxa"/>
            <w:vMerge w:val="restart"/>
            <w:shd w:val="clear" w:color="auto" w:fill="auto"/>
          </w:tcPr>
          <w:p w14:paraId="554A29E6"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Empathy</w:t>
            </w:r>
          </w:p>
        </w:tc>
        <w:tc>
          <w:tcPr>
            <w:tcW w:w="1373" w:type="dxa"/>
            <w:shd w:val="clear" w:color="auto" w:fill="auto"/>
          </w:tcPr>
          <w:p w14:paraId="19364A6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noWrap/>
            <w:vAlign w:val="center"/>
          </w:tcPr>
          <w:p w14:paraId="52D10FD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-0.33</w:t>
            </w:r>
          </w:p>
        </w:tc>
        <w:tc>
          <w:tcPr>
            <w:tcW w:w="1890" w:type="dxa"/>
            <w:shd w:val="clear" w:color="auto" w:fill="auto"/>
            <w:noWrap/>
            <w:vAlign w:val="center"/>
          </w:tcPr>
          <w:p w14:paraId="395943F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-0.49</w:t>
            </w:r>
          </w:p>
        </w:tc>
        <w:tc>
          <w:tcPr>
            <w:tcW w:w="1880" w:type="dxa"/>
            <w:shd w:val="clear" w:color="auto" w:fill="auto"/>
            <w:noWrap/>
            <w:vAlign w:val="center"/>
          </w:tcPr>
          <w:p w14:paraId="3091D9B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-0.46</w:t>
            </w:r>
          </w:p>
        </w:tc>
      </w:tr>
      <w:tr w:rsidR="00587694" w14:paraId="0B074DE8" w14:textId="77777777">
        <w:trPr>
          <w:trHeight w:val="70"/>
        </w:trPr>
        <w:tc>
          <w:tcPr>
            <w:tcW w:w="1800" w:type="dxa"/>
            <w:vMerge/>
            <w:vAlign w:val="center"/>
          </w:tcPr>
          <w:p w14:paraId="24CC4488"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4B6DD15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noWrap/>
            <w:vAlign w:val="center"/>
          </w:tcPr>
          <w:p w14:paraId="4F052929"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90" w:type="dxa"/>
            <w:shd w:val="clear" w:color="auto" w:fill="auto"/>
            <w:noWrap/>
            <w:vAlign w:val="center"/>
          </w:tcPr>
          <w:p w14:paraId="1408DDF8"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c>
          <w:tcPr>
            <w:tcW w:w="1880" w:type="dxa"/>
            <w:shd w:val="clear" w:color="auto" w:fill="auto"/>
            <w:noWrap/>
            <w:vAlign w:val="center"/>
          </w:tcPr>
          <w:p w14:paraId="33381EE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w:t>
            </w:r>
          </w:p>
        </w:tc>
      </w:tr>
      <w:tr w:rsidR="00587694" w14:paraId="24337F4E" w14:textId="77777777">
        <w:trPr>
          <w:trHeight w:val="70"/>
        </w:trPr>
        <w:tc>
          <w:tcPr>
            <w:tcW w:w="1800" w:type="dxa"/>
            <w:vMerge/>
            <w:vAlign w:val="center"/>
          </w:tcPr>
          <w:p w14:paraId="32446EA9"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065617C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2FDABA4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negative relationship</w:t>
            </w:r>
          </w:p>
        </w:tc>
        <w:tc>
          <w:tcPr>
            <w:tcW w:w="1890" w:type="dxa"/>
            <w:shd w:val="clear" w:color="auto" w:fill="auto"/>
            <w:vAlign w:val="center"/>
          </w:tcPr>
          <w:p w14:paraId="752839B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negative relationship</w:t>
            </w:r>
          </w:p>
        </w:tc>
        <w:tc>
          <w:tcPr>
            <w:tcW w:w="1880" w:type="dxa"/>
            <w:shd w:val="clear" w:color="auto" w:fill="auto"/>
            <w:vAlign w:val="center"/>
          </w:tcPr>
          <w:p w14:paraId="233ADCC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Moderate negative relationship</w:t>
            </w:r>
          </w:p>
        </w:tc>
      </w:tr>
      <w:tr w:rsidR="00587694" w14:paraId="166E40AA" w14:textId="77777777">
        <w:trPr>
          <w:trHeight w:val="139"/>
        </w:trPr>
        <w:tc>
          <w:tcPr>
            <w:tcW w:w="1800" w:type="dxa"/>
            <w:vMerge w:val="restart"/>
            <w:vAlign w:val="center"/>
          </w:tcPr>
          <w:p w14:paraId="66A786BC"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Responsiveness</w:t>
            </w:r>
          </w:p>
        </w:tc>
        <w:tc>
          <w:tcPr>
            <w:tcW w:w="1373" w:type="dxa"/>
            <w:shd w:val="clear" w:color="auto" w:fill="auto"/>
          </w:tcPr>
          <w:p w14:paraId="43E8CB5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vAlign w:val="center"/>
          </w:tcPr>
          <w:p w14:paraId="54CE8C4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0.20</w:t>
            </w:r>
          </w:p>
        </w:tc>
        <w:tc>
          <w:tcPr>
            <w:tcW w:w="1890" w:type="dxa"/>
            <w:shd w:val="clear" w:color="auto" w:fill="auto"/>
            <w:vAlign w:val="center"/>
          </w:tcPr>
          <w:p w14:paraId="12E90D7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0.14</w:t>
            </w:r>
          </w:p>
        </w:tc>
        <w:tc>
          <w:tcPr>
            <w:tcW w:w="1880" w:type="dxa"/>
            <w:shd w:val="clear" w:color="auto" w:fill="auto"/>
            <w:vAlign w:val="center"/>
          </w:tcPr>
          <w:p w14:paraId="11B6372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0.18</w:t>
            </w:r>
          </w:p>
        </w:tc>
      </w:tr>
      <w:tr w:rsidR="00587694" w14:paraId="0C082E19" w14:textId="77777777">
        <w:trPr>
          <w:trHeight w:val="185"/>
        </w:trPr>
        <w:tc>
          <w:tcPr>
            <w:tcW w:w="1800" w:type="dxa"/>
            <w:vMerge/>
            <w:vAlign w:val="center"/>
          </w:tcPr>
          <w:p w14:paraId="1EB37268"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6538BF8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vAlign w:val="center"/>
          </w:tcPr>
          <w:p w14:paraId="4D192770"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0.008</w:t>
            </w:r>
          </w:p>
        </w:tc>
        <w:tc>
          <w:tcPr>
            <w:tcW w:w="1890" w:type="dxa"/>
            <w:shd w:val="clear" w:color="auto" w:fill="auto"/>
            <w:vAlign w:val="center"/>
          </w:tcPr>
          <w:p w14:paraId="590ADBC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0.069</w:t>
            </w:r>
          </w:p>
        </w:tc>
        <w:tc>
          <w:tcPr>
            <w:tcW w:w="1880" w:type="dxa"/>
            <w:shd w:val="clear" w:color="auto" w:fill="auto"/>
            <w:vAlign w:val="center"/>
          </w:tcPr>
          <w:p w14:paraId="109DAD2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0.012</w:t>
            </w:r>
          </w:p>
        </w:tc>
      </w:tr>
      <w:tr w:rsidR="00587694" w14:paraId="6D245BC8" w14:textId="77777777">
        <w:trPr>
          <w:trHeight w:val="70"/>
        </w:trPr>
        <w:tc>
          <w:tcPr>
            <w:tcW w:w="1800" w:type="dxa"/>
            <w:vMerge/>
            <w:vAlign w:val="center"/>
          </w:tcPr>
          <w:p w14:paraId="30DD3DC4"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3297430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6FF3073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positive relationship</w:t>
            </w:r>
          </w:p>
        </w:tc>
        <w:tc>
          <w:tcPr>
            <w:tcW w:w="1890" w:type="dxa"/>
            <w:shd w:val="clear" w:color="auto" w:fill="auto"/>
            <w:vAlign w:val="center"/>
          </w:tcPr>
          <w:p w14:paraId="596867C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 xml:space="preserve">Weak positive </w:t>
            </w:r>
            <w:r>
              <w:rPr>
                <w:rFonts w:ascii="Arial" w:eastAsia="Times New Roman" w:hAnsi="Arial" w:cs="Arial"/>
                <w:color w:val="000000"/>
                <w:sz w:val="20"/>
                <w:szCs w:val="20"/>
                <w:lang w:val="en-PH" w:eastAsia="en-PH"/>
              </w:rPr>
              <w:t>relationship</w:t>
            </w:r>
          </w:p>
        </w:tc>
        <w:tc>
          <w:tcPr>
            <w:tcW w:w="1880" w:type="dxa"/>
            <w:shd w:val="clear" w:color="auto" w:fill="auto"/>
            <w:vAlign w:val="center"/>
          </w:tcPr>
          <w:p w14:paraId="156209F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positive relationship</w:t>
            </w:r>
          </w:p>
        </w:tc>
      </w:tr>
      <w:tr w:rsidR="00587694" w14:paraId="4EF98619" w14:textId="77777777">
        <w:trPr>
          <w:trHeight w:val="122"/>
        </w:trPr>
        <w:tc>
          <w:tcPr>
            <w:tcW w:w="1800" w:type="dxa"/>
            <w:vMerge w:val="restart"/>
            <w:shd w:val="clear" w:color="auto" w:fill="auto"/>
          </w:tcPr>
          <w:p w14:paraId="26E203D0" w14:textId="77777777" w:rsidR="00587694" w:rsidRDefault="00416116">
            <w:pPr>
              <w:spacing w:after="0" w:line="240" w:lineRule="auto"/>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Overall Service Quality</w:t>
            </w:r>
          </w:p>
        </w:tc>
        <w:tc>
          <w:tcPr>
            <w:tcW w:w="1373" w:type="dxa"/>
            <w:shd w:val="clear" w:color="auto" w:fill="auto"/>
          </w:tcPr>
          <w:p w14:paraId="47B91BA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Pearson Correlation</w:t>
            </w:r>
          </w:p>
        </w:tc>
        <w:tc>
          <w:tcPr>
            <w:tcW w:w="1687" w:type="dxa"/>
            <w:shd w:val="clear" w:color="auto" w:fill="auto"/>
            <w:noWrap/>
            <w:vAlign w:val="center"/>
          </w:tcPr>
          <w:p w14:paraId="2366AE63"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0.27</w:t>
            </w:r>
          </w:p>
        </w:tc>
        <w:tc>
          <w:tcPr>
            <w:tcW w:w="1890" w:type="dxa"/>
            <w:shd w:val="clear" w:color="auto" w:fill="auto"/>
            <w:noWrap/>
            <w:vAlign w:val="center"/>
          </w:tcPr>
          <w:p w14:paraId="353CC1D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0.19</w:t>
            </w:r>
          </w:p>
        </w:tc>
        <w:tc>
          <w:tcPr>
            <w:tcW w:w="1880" w:type="dxa"/>
            <w:shd w:val="clear" w:color="auto" w:fill="auto"/>
            <w:noWrap/>
            <w:vAlign w:val="center"/>
          </w:tcPr>
          <w:p w14:paraId="76E51F9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0.256</w:t>
            </w:r>
          </w:p>
        </w:tc>
      </w:tr>
      <w:tr w:rsidR="00587694" w14:paraId="3C127EEE" w14:textId="77777777">
        <w:trPr>
          <w:trHeight w:val="70"/>
        </w:trPr>
        <w:tc>
          <w:tcPr>
            <w:tcW w:w="1800" w:type="dxa"/>
            <w:vMerge/>
            <w:vAlign w:val="center"/>
          </w:tcPr>
          <w:p w14:paraId="559A475F"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1AB0DCA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Sig. (2-tailed)</w:t>
            </w:r>
          </w:p>
        </w:tc>
        <w:tc>
          <w:tcPr>
            <w:tcW w:w="1687" w:type="dxa"/>
            <w:shd w:val="clear" w:color="auto" w:fill="auto"/>
            <w:noWrap/>
            <w:vAlign w:val="center"/>
          </w:tcPr>
          <w:p w14:paraId="0E0CF385"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0.000</w:t>
            </w:r>
          </w:p>
        </w:tc>
        <w:tc>
          <w:tcPr>
            <w:tcW w:w="1890" w:type="dxa"/>
            <w:shd w:val="clear" w:color="auto" w:fill="auto"/>
            <w:noWrap/>
            <w:vAlign w:val="center"/>
          </w:tcPr>
          <w:p w14:paraId="21E6DF6E"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0.009</w:t>
            </w:r>
          </w:p>
        </w:tc>
        <w:tc>
          <w:tcPr>
            <w:tcW w:w="1880" w:type="dxa"/>
            <w:shd w:val="clear" w:color="auto" w:fill="auto"/>
            <w:noWrap/>
            <w:vAlign w:val="center"/>
          </w:tcPr>
          <w:p w14:paraId="31163596"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0.000</w:t>
            </w:r>
          </w:p>
        </w:tc>
      </w:tr>
      <w:tr w:rsidR="00587694" w14:paraId="212BA942" w14:textId="77777777">
        <w:trPr>
          <w:trHeight w:val="70"/>
        </w:trPr>
        <w:tc>
          <w:tcPr>
            <w:tcW w:w="1800" w:type="dxa"/>
            <w:vMerge/>
            <w:vAlign w:val="center"/>
          </w:tcPr>
          <w:p w14:paraId="2C9C3638" w14:textId="77777777" w:rsidR="00587694" w:rsidRDefault="00587694">
            <w:pPr>
              <w:spacing w:after="0" w:line="240" w:lineRule="auto"/>
              <w:rPr>
                <w:rFonts w:ascii="Arial" w:eastAsia="Times New Roman" w:hAnsi="Arial" w:cs="Arial"/>
                <w:color w:val="000000"/>
                <w:sz w:val="20"/>
                <w:szCs w:val="20"/>
                <w:lang w:val="en-PH" w:eastAsia="en-PH"/>
              </w:rPr>
            </w:pPr>
          </w:p>
        </w:tc>
        <w:tc>
          <w:tcPr>
            <w:tcW w:w="1373" w:type="dxa"/>
            <w:shd w:val="clear" w:color="auto" w:fill="auto"/>
          </w:tcPr>
          <w:p w14:paraId="7FD8E04D"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Interpretation</w:t>
            </w:r>
          </w:p>
        </w:tc>
        <w:tc>
          <w:tcPr>
            <w:tcW w:w="1687" w:type="dxa"/>
            <w:shd w:val="clear" w:color="auto" w:fill="auto"/>
            <w:vAlign w:val="center"/>
          </w:tcPr>
          <w:p w14:paraId="3E21E1A2"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positive relationship</w:t>
            </w:r>
          </w:p>
        </w:tc>
        <w:tc>
          <w:tcPr>
            <w:tcW w:w="1890" w:type="dxa"/>
            <w:shd w:val="clear" w:color="auto" w:fill="auto"/>
            <w:vAlign w:val="center"/>
          </w:tcPr>
          <w:p w14:paraId="34D9E0D7"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positive relationship</w:t>
            </w:r>
          </w:p>
        </w:tc>
        <w:tc>
          <w:tcPr>
            <w:tcW w:w="1880" w:type="dxa"/>
            <w:shd w:val="clear" w:color="auto" w:fill="auto"/>
            <w:vAlign w:val="center"/>
          </w:tcPr>
          <w:p w14:paraId="25935B8B" w14:textId="77777777" w:rsidR="00587694" w:rsidRDefault="00416116">
            <w:pPr>
              <w:spacing w:after="0" w:line="240" w:lineRule="auto"/>
              <w:jc w:val="center"/>
              <w:rPr>
                <w:rFonts w:ascii="Arial" w:eastAsia="Times New Roman" w:hAnsi="Arial" w:cs="Arial"/>
                <w:color w:val="000000"/>
                <w:sz w:val="20"/>
                <w:szCs w:val="20"/>
                <w:lang w:val="en-PH" w:eastAsia="en-PH"/>
              </w:rPr>
            </w:pPr>
            <w:r>
              <w:rPr>
                <w:rFonts w:ascii="Arial" w:eastAsia="Times New Roman" w:hAnsi="Arial" w:cs="Arial"/>
                <w:color w:val="000000"/>
                <w:sz w:val="20"/>
                <w:szCs w:val="20"/>
                <w:lang w:val="en-PH" w:eastAsia="en-PH"/>
              </w:rPr>
              <w:t>Weak positive relationship</w:t>
            </w:r>
          </w:p>
        </w:tc>
      </w:tr>
    </w:tbl>
    <w:p w14:paraId="23090093" w14:textId="77777777" w:rsidR="00587694" w:rsidRDefault="00416116">
      <w:pPr>
        <w:spacing w:before="280" w:line="240" w:lineRule="auto"/>
        <w:ind w:firstLine="720"/>
        <w:jc w:val="both"/>
        <w:rPr>
          <w:rFonts w:ascii="Arial" w:eastAsia="Arial" w:hAnsi="Arial" w:cs="Arial"/>
          <w:sz w:val="20"/>
          <w:szCs w:val="20"/>
        </w:rPr>
      </w:pPr>
      <w:r>
        <w:rPr>
          <w:rFonts w:ascii="Arial" w:eastAsia="Arial Unicode MS" w:hAnsi="Arial" w:cs="Arial"/>
          <w:sz w:val="20"/>
          <w:szCs w:val="20"/>
        </w:rPr>
        <w:t xml:space="preserve">Table 29 shows that </w:t>
      </w:r>
      <w:r>
        <w:rPr>
          <w:rFonts w:ascii="Arial" w:eastAsia="Arial Unicode MS" w:hAnsi="Arial" w:cs="Arial"/>
          <w:sz w:val="20"/>
          <w:szCs w:val="20"/>
        </w:rPr>
        <w:t xml:space="preserve">tangibility and assurance have the strongest positive correlations with loyalty, satisfaction, and word of mouth (r = 0.48–0.65, p &lt; 0.01), highlighting the importance of physical facilities, trust, and staff competence. Reliability shows little impact (r </w:t>
      </w:r>
      <w:r>
        <w:rPr>
          <w:rFonts w:ascii="Arial" w:eastAsia="Arial Unicode MS" w:hAnsi="Arial" w:cs="Arial"/>
          <w:sz w:val="20"/>
          <w:szCs w:val="20"/>
        </w:rPr>
        <w:t>≈ 0.04, p &gt; 0.60), suggesting it's seen as a basic expectation. Surprisingly, empathy has a moderate negative correlation (r = -0.33 to -0.49), possibly due to cultural or contextual factors. Responsiveness and overall service quality show weak but signifi</w:t>
      </w:r>
      <w:r>
        <w:rPr>
          <w:rFonts w:ascii="Arial" w:eastAsia="Arial Unicode MS" w:hAnsi="Arial" w:cs="Arial"/>
          <w:sz w:val="20"/>
          <w:szCs w:val="20"/>
        </w:rPr>
        <w:t>cant positive links (r = 0.14–0.27). Overall, tangibility and assurance are the most influential, while empathy warrants further investigation.</w:t>
      </w:r>
    </w:p>
    <w:p w14:paraId="2B67D8B3" w14:textId="77777777" w:rsidR="00587694" w:rsidRDefault="00416116">
      <w:pPr>
        <w:spacing w:before="240" w:after="240" w:line="240" w:lineRule="auto"/>
        <w:ind w:right="100"/>
        <w:rPr>
          <w:rFonts w:ascii="Arial" w:eastAsia="Arial" w:hAnsi="Arial" w:cs="Arial"/>
          <w:b/>
          <w:sz w:val="20"/>
          <w:szCs w:val="20"/>
        </w:rPr>
      </w:pPr>
      <w:r>
        <w:rPr>
          <w:rFonts w:ascii="Arial" w:eastAsia="Arial" w:hAnsi="Arial" w:cs="Arial"/>
          <w:b/>
          <w:sz w:val="20"/>
          <w:szCs w:val="20"/>
        </w:rPr>
        <w:t xml:space="preserve">Implications for Financial Institutions </w:t>
      </w:r>
    </w:p>
    <w:p w14:paraId="49F127F0"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This study finds that tangibility and assurance are the key dr</w:t>
      </w:r>
      <w:r>
        <w:rPr>
          <w:rFonts w:ascii="Arial" w:eastAsia="Arial" w:hAnsi="Arial" w:cs="Arial"/>
          <w:sz w:val="20"/>
          <w:szCs w:val="20"/>
        </w:rPr>
        <w:t xml:space="preserve">ivers of customer satisfaction, loyalty, and word of mouth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Customers prioritize clean facilities, modern tools, and trustworthy staff. While responsiveness and overall service quality have smaller but positive effects, p</w:t>
      </w:r>
      <w:r>
        <w:rPr>
          <w:rFonts w:ascii="Arial" w:eastAsia="Arial" w:hAnsi="Arial" w:cs="Arial"/>
          <w:sz w:val="20"/>
          <w:szCs w:val="20"/>
        </w:rPr>
        <w:t xml:space="preserve">rompt and attentive service still matters. Empathy, </w:t>
      </w:r>
      <w:r>
        <w:rPr>
          <w:rFonts w:ascii="Arial" w:eastAsia="Arial" w:hAnsi="Arial" w:cs="Arial"/>
          <w:sz w:val="20"/>
          <w:szCs w:val="20"/>
        </w:rPr>
        <w:lastRenderedPageBreak/>
        <w:t>however, showed a negative correlation, suggesting a disconnect between delivery and local perceptions. No significant differences were found across demographics, indicating an inclusive service experienc</w:t>
      </w:r>
      <w:r>
        <w:rPr>
          <w:rFonts w:ascii="Arial" w:eastAsia="Arial" w:hAnsi="Arial" w:cs="Arial"/>
          <w:sz w:val="20"/>
          <w:szCs w:val="20"/>
        </w:rPr>
        <w:t>e. To boost satisfaction and loyalty, banks should focus on improving tangibility, assurance, responsiveness, and culturally attuned empathetic service.</w:t>
      </w:r>
    </w:p>
    <w:p w14:paraId="43960505" w14:textId="77777777" w:rsidR="00587694" w:rsidRDefault="00416116">
      <w:pPr>
        <w:spacing w:after="0" w:line="240" w:lineRule="auto"/>
        <w:jc w:val="both"/>
        <w:rPr>
          <w:rFonts w:ascii="Arial" w:eastAsia="Arial" w:hAnsi="Arial" w:cs="Arial"/>
          <w:sz w:val="20"/>
          <w:szCs w:val="20"/>
        </w:rPr>
      </w:pPr>
      <w:r>
        <w:rPr>
          <w:rFonts w:ascii="Arial" w:eastAsia="Arial" w:hAnsi="Arial" w:cs="Arial"/>
          <w:b/>
          <w:smallCaps/>
          <w:color w:val="000000"/>
          <w:sz w:val="20"/>
          <w:szCs w:val="20"/>
        </w:rPr>
        <w:t>5. CONCLUSIONS AND RECOMMENDATIONS</w:t>
      </w:r>
    </w:p>
    <w:p w14:paraId="6D4B5AB1" w14:textId="77777777" w:rsidR="00587694" w:rsidRDefault="00587694">
      <w:pPr>
        <w:shd w:val="clear" w:color="auto" w:fill="FFFFFF"/>
        <w:spacing w:after="0" w:line="240" w:lineRule="auto"/>
        <w:jc w:val="both"/>
        <w:rPr>
          <w:rFonts w:ascii="Arial" w:hAnsi="Arial" w:cs="Arial"/>
          <w:b/>
          <w:sz w:val="20"/>
          <w:szCs w:val="20"/>
        </w:rPr>
      </w:pPr>
    </w:p>
    <w:p w14:paraId="7EE33C3F" w14:textId="77777777" w:rsidR="00587694" w:rsidRDefault="00416116">
      <w:pPr>
        <w:shd w:val="clear" w:color="auto" w:fill="FFFFFF"/>
        <w:spacing w:after="0" w:line="240" w:lineRule="auto"/>
        <w:jc w:val="both"/>
        <w:rPr>
          <w:rFonts w:ascii="Arial" w:hAnsi="Arial" w:cs="Arial"/>
          <w:b/>
          <w:sz w:val="20"/>
          <w:szCs w:val="20"/>
        </w:rPr>
      </w:pPr>
      <w:r>
        <w:rPr>
          <w:rFonts w:ascii="Arial" w:eastAsia="Arial" w:hAnsi="Arial" w:cs="Arial"/>
          <w:b/>
          <w:color w:val="000000"/>
          <w:sz w:val="20"/>
          <w:szCs w:val="20"/>
          <w:highlight w:val="white"/>
        </w:rPr>
        <w:t>Conclusion</w:t>
      </w:r>
    </w:p>
    <w:p w14:paraId="6E8B3824" w14:textId="77777777" w:rsidR="00587694" w:rsidRDefault="00416116">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             Based on the study, the researchers concluded the following:</w:t>
      </w:r>
    </w:p>
    <w:p w14:paraId="6DF5B5A3" w14:textId="77777777" w:rsidR="00587694" w:rsidRDefault="00416116">
      <w:pPr>
        <w:numPr>
          <w:ilvl w:val="0"/>
          <w:numId w:val="5"/>
        </w:numPr>
        <w:spacing w:before="240" w:after="0" w:line="240" w:lineRule="auto"/>
        <w:jc w:val="both"/>
        <w:rPr>
          <w:rFonts w:ascii="Arial" w:eastAsia="Arial" w:hAnsi="Arial" w:cs="Arial"/>
          <w:sz w:val="20"/>
          <w:szCs w:val="20"/>
        </w:rPr>
      </w:pPr>
      <w:r>
        <w:rPr>
          <w:rFonts w:ascii="Arial" w:eastAsia="Arial" w:hAnsi="Arial" w:cs="Arial"/>
          <w:sz w:val="20"/>
          <w:szCs w:val="20"/>
        </w:rPr>
        <w:t>Tangibility significantly influenced customer loyalty and positive word-of-mouth. Clean, modern, and visually appealing facilities enhanced customer satisfaction.</w:t>
      </w:r>
      <w:r>
        <w:rPr>
          <w:rFonts w:ascii="Arial" w:eastAsia="Arial" w:hAnsi="Arial" w:cs="Arial"/>
          <w:sz w:val="20"/>
          <w:szCs w:val="20"/>
        </w:rPr>
        <w:br/>
      </w:r>
    </w:p>
    <w:p w14:paraId="06461219" w14:textId="77777777" w:rsidR="00587694" w:rsidRDefault="00416116">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Assurance had a st</w:t>
      </w:r>
      <w:r>
        <w:rPr>
          <w:rFonts w:ascii="Arial" w:eastAsia="Arial" w:hAnsi="Arial" w:cs="Arial"/>
          <w:sz w:val="20"/>
          <w:szCs w:val="20"/>
        </w:rPr>
        <w:t>rong positive effect on satisfaction. Competent and trustworthy staff build customer trust and loyalty.</w:t>
      </w:r>
      <w:r>
        <w:rPr>
          <w:rFonts w:ascii="Arial" w:eastAsia="Arial" w:hAnsi="Arial" w:cs="Arial"/>
          <w:sz w:val="20"/>
          <w:szCs w:val="20"/>
        </w:rPr>
        <w:br/>
      </w:r>
    </w:p>
    <w:p w14:paraId="49310181" w14:textId="77777777" w:rsidR="00587694" w:rsidRDefault="00416116">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Responsiveness had a weaker yet positive link to satisfaction. Prompt service was valued but not a key driver of loyalty.</w:t>
      </w:r>
      <w:r>
        <w:rPr>
          <w:rFonts w:ascii="Arial" w:eastAsia="Arial" w:hAnsi="Arial" w:cs="Arial"/>
          <w:sz w:val="20"/>
          <w:szCs w:val="20"/>
        </w:rPr>
        <w:br/>
      </w:r>
    </w:p>
    <w:p w14:paraId="78138315" w14:textId="77777777" w:rsidR="00587694" w:rsidRDefault="00416116">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Reliability was moderately l</w:t>
      </w:r>
      <w:r>
        <w:rPr>
          <w:rFonts w:ascii="Arial" w:eastAsia="Arial" w:hAnsi="Arial" w:cs="Arial"/>
          <w:sz w:val="20"/>
          <w:szCs w:val="20"/>
        </w:rPr>
        <w:t xml:space="preserve">inked to satisfaction. Accurate and consistent </w:t>
      </w:r>
      <w:proofErr w:type="gramStart"/>
      <w:r>
        <w:rPr>
          <w:rFonts w:ascii="Arial" w:eastAsia="Arial" w:hAnsi="Arial" w:cs="Arial"/>
          <w:sz w:val="20"/>
          <w:szCs w:val="20"/>
        </w:rPr>
        <w:t>service built</w:t>
      </w:r>
      <w:proofErr w:type="gramEnd"/>
      <w:r>
        <w:rPr>
          <w:rFonts w:ascii="Arial" w:eastAsia="Arial" w:hAnsi="Arial" w:cs="Arial"/>
          <w:sz w:val="20"/>
          <w:szCs w:val="20"/>
        </w:rPr>
        <w:t xml:space="preserve"> trust but needed support from other factors.</w:t>
      </w:r>
      <w:r>
        <w:rPr>
          <w:rFonts w:ascii="Arial" w:eastAsia="Arial" w:hAnsi="Arial" w:cs="Arial"/>
          <w:sz w:val="20"/>
          <w:szCs w:val="20"/>
        </w:rPr>
        <w:br/>
      </w:r>
    </w:p>
    <w:p w14:paraId="1F98B8F0" w14:textId="77777777" w:rsidR="00587694" w:rsidRDefault="00416116">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Empathy showed a negative relationship with satisfaction and loyalty, suggesting a disconnect between service personalization and customer expectatio</w:t>
      </w:r>
      <w:r>
        <w:rPr>
          <w:rFonts w:ascii="Arial" w:eastAsia="Arial" w:hAnsi="Arial" w:cs="Arial"/>
          <w:sz w:val="20"/>
          <w:szCs w:val="20"/>
        </w:rPr>
        <w:t>ns.</w:t>
      </w:r>
      <w:r>
        <w:rPr>
          <w:rFonts w:ascii="Arial" w:eastAsia="Arial" w:hAnsi="Arial" w:cs="Arial"/>
          <w:sz w:val="20"/>
          <w:szCs w:val="20"/>
        </w:rPr>
        <w:br/>
      </w:r>
    </w:p>
    <w:p w14:paraId="40FB8FDA" w14:textId="77777777" w:rsidR="00587694" w:rsidRDefault="00416116">
      <w:pPr>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Tangibility and assurance were the most influential in fostering loyalty and long-term customer relationships.</w:t>
      </w:r>
      <w:r>
        <w:rPr>
          <w:rFonts w:ascii="Arial" w:eastAsia="Arial" w:hAnsi="Arial" w:cs="Arial"/>
          <w:sz w:val="20"/>
          <w:szCs w:val="20"/>
        </w:rPr>
        <w:br/>
      </w:r>
    </w:p>
    <w:p w14:paraId="0DCA6EAC" w14:textId="77777777" w:rsidR="00587694" w:rsidRDefault="00416116">
      <w:pPr>
        <w:numPr>
          <w:ilvl w:val="0"/>
          <w:numId w:val="5"/>
        </w:numPr>
        <w:spacing w:after="240" w:line="240" w:lineRule="auto"/>
        <w:jc w:val="both"/>
        <w:rPr>
          <w:rFonts w:ascii="Arial" w:eastAsia="Arial" w:hAnsi="Arial" w:cs="Arial"/>
          <w:sz w:val="20"/>
          <w:szCs w:val="20"/>
        </w:rPr>
      </w:pPr>
      <w:r>
        <w:rPr>
          <w:rFonts w:ascii="Arial" w:eastAsia="Arial" w:hAnsi="Arial" w:cs="Arial"/>
          <w:sz w:val="20"/>
          <w:szCs w:val="20"/>
        </w:rPr>
        <w:t>These same factors also encouraged positive word-of-mouth, as customers preferred institutions that looked professional and inspired confid</w:t>
      </w:r>
      <w:r>
        <w:rPr>
          <w:rFonts w:ascii="Arial" w:eastAsia="Arial" w:hAnsi="Arial" w:cs="Arial"/>
          <w:sz w:val="20"/>
          <w:szCs w:val="20"/>
        </w:rPr>
        <w:t>ence.</w:t>
      </w:r>
    </w:p>
    <w:p w14:paraId="2A04731C" w14:textId="77777777" w:rsidR="00587694" w:rsidRDefault="00416116">
      <w:pPr>
        <w:shd w:val="clear" w:color="auto" w:fill="FFFFFF"/>
        <w:spacing w:line="240" w:lineRule="auto"/>
        <w:jc w:val="both"/>
        <w:rPr>
          <w:rFonts w:ascii="Arial" w:eastAsia="Arial" w:hAnsi="Arial" w:cs="Arial"/>
          <w:b/>
          <w:sz w:val="20"/>
          <w:szCs w:val="20"/>
          <w:highlight w:val="white"/>
        </w:rPr>
      </w:pPr>
      <w:r>
        <w:rPr>
          <w:rFonts w:ascii="Arial" w:eastAsia="Arial" w:hAnsi="Arial" w:cs="Arial"/>
          <w:b/>
          <w:color w:val="000000"/>
          <w:sz w:val="20"/>
          <w:szCs w:val="20"/>
          <w:highlight w:val="white"/>
        </w:rPr>
        <w:t>Recommendatio</w:t>
      </w:r>
      <w:r>
        <w:rPr>
          <w:rFonts w:ascii="Arial" w:eastAsia="Arial" w:hAnsi="Arial" w:cs="Arial"/>
          <w:b/>
          <w:sz w:val="20"/>
          <w:szCs w:val="20"/>
          <w:highlight w:val="white"/>
        </w:rPr>
        <w:t>n</w:t>
      </w:r>
    </w:p>
    <w:p w14:paraId="07C0BC9C" w14:textId="77777777" w:rsidR="00587694" w:rsidRDefault="00416116">
      <w:pPr>
        <w:shd w:val="clear" w:color="auto" w:fill="FFFFFF"/>
        <w:spacing w:line="240" w:lineRule="auto"/>
        <w:jc w:val="both"/>
        <w:rPr>
          <w:rFonts w:ascii="Arial" w:eastAsia="Arial" w:hAnsi="Arial" w:cs="Arial"/>
          <w:sz w:val="20"/>
          <w:szCs w:val="20"/>
        </w:rPr>
      </w:pPr>
      <w:r>
        <w:rPr>
          <w:rFonts w:ascii="Arial" w:eastAsia="Arial" w:hAnsi="Arial" w:cs="Arial"/>
          <w:sz w:val="20"/>
          <w:szCs w:val="20"/>
        </w:rPr>
        <w:t xml:space="preserve">          This study effectively assessed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Results showed that tangibility and assurance strongly influence satisfaction and loyalty, while r</w:t>
      </w:r>
      <w:r>
        <w:rPr>
          <w:rFonts w:ascii="Arial" w:eastAsia="Arial" w:hAnsi="Arial" w:cs="Arial"/>
          <w:sz w:val="20"/>
          <w:szCs w:val="20"/>
        </w:rPr>
        <w:t>esponsiveness had a moderate effect. Surprisingly, empathy showed a negative relationship with satisfaction. Based on these insights, the following recommendations are made:</w:t>
      </w:r>
    </w:p>
    <w:p w14:paraId="0810726F" w14:textId="77777777" w:rsidR="00587694" w:rsidRDefault="00416116">
      <w:pPr>
        <w:numPr>
          <w:ilvl w:val="0"/>
          <w:numId w:val="6"/>
        </w:numPr>
        <w:spacing w:before="240" w:after="0" w:line="240" w:lineRule="auto"/>
        <w:jc w:val="both"/>
        <w:rPr>
          <w:rFonts w:ascii="Arial" w:eastAsia="Arial" w:hAnsi="Arial" w:cs="Arial"/>
          <w:sz w:val="20"/>
          <w:szCs w:val="20"/>
        </w:rPr>
      </w:pPr>
      <w:r>
        <w:rPr>
          <w:rFonts w:ascii="Arial" w:eastAsia="Arial" w:hAnsi="Arial" w:cs="Arial"/>
          <w:sz w:val="20"/>
          <w:szCs w:val="20"/>
        </w:rPr>
        <w:t>Enhance tangibles by upgrading facilities, equipment, and staff presentation to bu</w:t>
      </w:r>
      <w:r>
        <w:rPr>
          <w:rFonts w:ascii="Arial" w:eastAsia="Arial" w:hAnsi="Arial" w:cs="Arial"/>
          <w:sz w:val="20"/>
          <w:szCs w:val="20"/>
        </w:rPr>
        <w:t>ild customer trust.</w:t>
      </w:r>
      <w:r>
        <w:rPr>
          <w:rFonts w:ascii="Arial" w:eastAsia="Arial" w:hAnsi="Arial" w:cs="Arial"/>
          <w:sz w:val="20"/>
          <w:szCs w:val="20"/>
        </w:rPr>
        <w:br/>
      </w:r>
    </w:p>
    <w:p w14:paraId="7A02C3EB" w14:textId="77777777" w:rsidR="00587694" w:rsidRDefault="00416116">
      <w:pPr>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Improve assurance through employee training focused on professionalism, knowledge, and reliability.</w:t>
      </w:r>
      <w:r>
        <w:rPr>
          <w:rFonts w:ascii="Arial" w:eastAsia="Arial" w:hAnsi="Arial" w:cs="Arial"/>
          <w:sz w:val="20"/>
          <w:szCs w:val="20"/>
        </w:rPr>
        <w:br/>
      </w:r>
    </w:p>
    <w:p w14:paraId="57230608" w14:textId="77777777" w:rsidR="00587694" w:rsidRDefault="00416116">
      <w:pPr>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Boost responsiveness by simplifying processes and promoting prompt customer service.</w:t>
      </w:r>
      <w:r>
        <w:rPr>
          <w:rFonts w:ascii="Arial" w:eastAsia="Arial" w:hAnsi="Arial" w:cs="Arial"/>
          <w:sz w:val="20"/>
          <w:szCs w:val="20"/>
        </w:rPr>
        <w:br/>
      </w:r>
    </w:p>
    <w:p w14:paraId="75AB3DE4" w14:textId="77777777" w:rsidR="00587694" w:rsidRDefault="00416116">
      <w:pPr>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Reassess empathy delivery, aligning communicatio</w:t>
      </w:r>
      <w:r>
        <w:rPr>
          <w:rFonts w:ascii="Arial" w:eastAsia="Arial" w:hAnsi="Arial" w:cs="Arial"/>
          <w:sz w:val="20"/>
          <w:szCs w:val="20"/>
        </w:rPr>
        <w:t>n styles with local expectations.</w:t>
      </w:r>
      <w:r>
        <w:rPr>
          <w:rFonts w:ascii="Arial" w:eastAsia="Arial" w:hAnsi="Arial" w:cs="Arial"/>
          <w:sz w:val="20"/>
          <w:szCs w:val="20"/>
        </w:rPr>
        <w:br/>
      </w:r>
    </w:p>
    <w:p w14:paraId="45723DA0" w14:textId="77777777" w:rsidR="00587694" w:rsidRDefault="00416116">
      <w:pPr>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t>Adopt inclusive strategies to serve diverse customer groups, as perceptions did not vary by demographics.</w:t>
      </w:r>
      <w:r>
        <w:rPr>
          <w:rFonts w:ascii="Arial" w:eastAsia="Arial" w:hAnsi="Arial" w:cs="Arial"/>
          <w:sz w:val="20"/>
          <w:szCs w:val="20"/>
        </w:rPr>
        <w:br/>
      </w:r>
    </w:p>
    <w:p w14:paraId="4AB30F3F" w14:textId="77777777" w:rsidR="00587694" w:rsidRDefault="00416116">
      <w:pPr>
        <w:numPr>
          <w:ilvl w:val="0"/>
          <w:numId w:val="6"/>
        </w:numPr>
        <w:spacing w:after="0" w:line="240" w:lineRule="auto"/>
        <w:jc w:val="both"/>
        <w:rPr>
          <w:rFonts w:ascii="Arial" w:eastAsia="Arial" w:hAnsi="Arial" w:cs="Arial"/>
          <w:sz w:val="20"/>
          <w:szCs w:val="20"/>
        </w:rPr>
      </w:pPr>
      <w:r>
        <w:rPr>
          <w:rFonts w:ascii="Arial" w:eastAsia="Arial" w:hAnsi="Arial" w:cs="Arial"/>
          <w:sz w:val="20"/>
          <w:szCs w:val="20"/>
        </w:rPr>
        <w:lastRenderedPageBreak/>
        <w:t>Explore cultural factors affecting empathy in rural banking through mixed-method research.</w:t>
      </w:r>
      <w:r>
        <w:rPr>
          <w:rFonts w:ascii="Arial" w:eastAsia="Arial" w:hAnsi="Arial" w:cs="Arial"/>
          <w:sz w:val="20"/>
          <w:szCs w:val="20"/>
        </w:rPr>
        <w:br/>
      </w:r>
    </w:p>
    <w:p w14:paraId="525CC1D9" w14:textId="77777777" w:rsidR="00587694" w:rsidRDefault="00416116">
      <w:pPr>
        <w:numPr>
          <w:ilvl w:val="0"/>
          <w:numId w:val="6"/>
        </w:numPr>
        <w:spacing w:after="240" w:line="240" w:lineRule="auto"/>
        <w:jc w:val="both"/>
        <w:rPr>
          <w:rFonts w:ascii="Arial" w:eastAsia="Arial" w:hAnsi="Arial" w:cs="Arial"/>
          <w:sz w:val="20"/>
          <w:szCs w:val="20"/>
        </w:rPr>
      </w:pPr>
      <w:r>
        <w:rPr>
          <w:rFonts w:ascii="Arial" w:eastAsia="Arial" w:hAnsi="Arial" w:cs="Arial"/>
          <w:sz w:val="20"/>
          <w:szCs w:val="20"/>
        </w:rPr>
        <w:t xml:space="preserve">Study digital </w:t>
      </w:r>
      <w:r>
        <w:rPr>
          <w:rFonts w:ascii="Arial" w:eastAsia="Arial" w:hAnsi="Arial" w:cs="Arial"/>
          <w:sz w:val="20"/>
          <w:szCs w:val="20"/>
        </w:rPr>
        <w:t>integration to support financial inclusion and complement traditional services.</w:t>
      </w:r>
    </w:p>
    <w:p w14:paraId="4B857321" w14:textId="77777777" w:rsidR="00587694" w:rsidRDefault="00416116">
      <w:pPr>
        <w:spacing w:before="240" w:after="240" w:line="240" w:lineRule="auto"/>
        <w:jc w:val="both"/>
        <w:rPr>
          <w:rFonts w:ascii="Arial" w:eastAsia="Arial" w:hAnsi="Arial" w:cs="Arial"/>
          <w:b/>
          <w:color w:val="000000"/>
          <w:sz w:val="20"/>
          <w:szCs w:val="20"/>
          <w:highlight w:val="white"/>
        </w:rPr>
      </w:pPr>
      <w:r>
        <w:rPr>
          <w:rFonts w:ascii="Arial" w:eastAsia="Arial" w:hAnsi="Arial" w:cs="Arial"/>
          <w:b/>
          <w:color w:val="000000"/>
          <w:sz w:val="20"/>
          <w:szCs w:val="20"/>
          <w:highlight w:val="white"/>
        </w:rPr>
        <w:t>COMPETING INTERESTS</w:t>
      </w:r>
    </w:p>
    <w:p w14:paraId="599E95E6" w14:textId="77777777" w:rsidR="00587694" w:rsidRDefault="0041611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Authors have declared that no competing interests exist.</w:t>
      </w:r>
    </w:p>
    <w:p w14:paraId="33E97B63" w14:textId="77777777" w:rsidR="00587694" w:rsidRDefault="00416116">
      <w:pPr>
        <w:spacing w:before="240" w:after="240" w:line="240" w:lineRule="auto"/>
        <w:jc w:val="both"/>
        <w:rPr>
          <w:rFonts w:ascii="Arial" w:eastAsia="Arial" w:hAnsi="Arial" w:cs="Arial"/>
          <w:color w:val="000000"/>
          <w:sz w:val="20"/>
          <w:szCs w:val="20"/>
        </w:rPr>
      </w:pPr>
      <w:r>
        <w:rPr>
          <w:rFonts w:ascii="Arial" w:eastAsia="Arial" w:hAnsi="Arial" w:cs="Arial"/>
          <w:b/>
          <w:color w:val="000000"/>
          <w:sz w:val="20"/>
          <w:szCs w:val="20"/>
        </w:rPr>
        <w:t>Disclaimer (Artificial intelligence)</w:t>
      </w:r>
      <w:r>
        <w:rPr>
          <w:rFonts w:ascii="Arial" w:eastAsia="Arial" w:hAnsi="Arial" w:cs="Arial"/>
          <w:color w:val="000000"/>
          <w:sz w:val="20"/>
          <w:szCs w:val="20"/>
        </w:rPr>
        <w:t xml:space="preserve">     </w:t>
      </w:r>
    </w:p>
    <w:p w14:paraId="1F2F4ED9" w14:textId="77777777" w:rsidR="00587694" w:rsidRDefault="00416116">
      <w:pPr>
        <w:spacing w:before="240" w:after="240" w:line="240" w:lineRule="auto"/>
        <w:jc w:val="both"/>
        <w:rPr>
          <w:rFonts w:ascii="Arial" w:eastAsia="Arial" w:hAnsi="Arial" w:cs="Arial"/>
          <w:color w:val="000000"/>
          <w:sz w:val="20"/>
          <w:szCs w:val="20"/>
          <w:highlight w:val="white"/>
        </w:rPr>
      </w:pPr>
      <w:r>
        <w:rPr>
          <w:rFonts w:ascii="Arial" w:eastAsia="Arial" w:hAnsi="Arial" w:cs="Arial"/>
          <w:sz w:val="20"/>
          <w:szCs w:val="20"/>
        </w:rPr>
        <w:t xml:space="preserve">        </w:t>
      </w:r>
      <w:r>
        <w:rPr>
          <w:rFonts w:ascii="Arial" w:eastAsia="Arial" w:hAnsi="Arial" w:cs="Arial"/>
          <w:color w:val="000000"/>
          <w:sz w:val="20"/>
          <w:szCs w:val="20"/>
        </w:rPr>
        <w:t xml:space="preserve">The authors hereby declare that generative Al technologies, specifically Large Language Models, were used during the writing and editing of this manuscript. Details of the Al usage are as follows: </w:t>
      </w:r>
    </w:p>
    <w:p w14:paraId="74F0920D" w14:textId="77777777" w:rsidR="00587694" w:rsidRDefault="00416116">
      <w:pPr>
        <w:numPr>
          <w:ilvl w:val="0"/>
          <w:numId w:val="7"/>
        </w:numPr>
        <w:spacing w:before="240"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Name of the Al Tool: ChatGPT </w:t>
      </w:r>
    </w:p>
    <w:p w14:paraId="4C1FF7E8" w14:textId="77777777" w:rsidR="00587694" w:rsidRDefault="00416116">
      <w:pPr>
        <w:numPr>
          <w:ilvl w:val="0"/>
          <w:numId w:val="7"/>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Version/Model: GPT-4 </w:t>
      </w:r>
    </w:p>
    <w:p w14:paraId="01764A70" w14:textId="77777777" w:rsidR="00587694" w:rsidRDefault="00416116">
      <w:pPr>
        <w:numPr>
          <w:ilvl w:val="0"/>
          <w:numId w:val="7"/>
        </w:numPr>
        <w:spacing w:line="240" w:lineRule="auto"/>
        <w:jc w:val="both"/>
        <w:rPr>
          <w:rFonts w:ascii="Arial" w:eastAsia="Arial" w:hAnsi="Arial" w:cs="Arial"/>
          <w:color w:val="000000"/>
          <w:sz w:val="20"/>
          <w:szCs w:val="20"/>
        </w:rPr>
      </w:pPr>
      <w:r>
        <w:rPr>
          <w:rFonts w:ascii="Arial" w:eastAsia="Arial" w:hAnsi="Arial" w:cs="Arial"/>
          <w:color w:val="000000"/>
          <w:sz w:val="20"/>
          <w:szCs w:val="20"/>
        </w:rPr>
        <w:t>Source</w:t>
      </w:r>
      <w:r>
        <w:rPr>
          <w:rFonts w:ascii="Arial" w:eastAsia="Arial" w:hAnsi="Arial" w:cs="Arial"/>
          <w:color w:val="000000"/>
          <w:sz w:val="20"/>
          <w:szCs w:val="20"/>
        </w:rPr>
        <w:t xml:space="preserve">/Provider: </w:t>
      </w:r>
      <w:proofErr w:type="spellStart"/>
      <w:r>
        <w:rPr>
          <w:rFonts w:ascii="Arial" w:eastAsia="Arial" w:hAnsi="Arial" w:cs="Arial"/>
          <w:color w:val="000000"/>
          <w:sz w:val="20"/>
          <w:szCs w:val="20"/>
        </w:rPr>
        <w:t>OpenAl</w:t>
      </w:r>
      <w:proofErr w:type="spellEnd"/>
      <w:r>
        <w:rPr>
          <w:rFonts w:ascii="Arial" w:eastAsia="Arial" w:hAnsi="Arial" w:cs="Arial"/>
          <w:color w:val="000000"/>
          <w:sz w:val="20"/>
          <w:szCs w:val="20"/>
        </w:rPr>
        <w:t xml:space="preserve"> (https://chat.openai.com)</w:t>
      </w:r>
    </w:p>
    <w:p w14:paraId="32126548" w14:textId="77777777" w:rsidR="00587694" w:rsidRDefault="00416116">
      <w:pPr>
        <w:spacing w:before="240" w:after="240" w:line="240" w:lineRule="auto"/>
        <w:jc w:val="both"/>
        <w:rPr>
          <w:rFonts w:ascii="Arial" w:eastAsia="Arial" w:hAnsi="Arial" w:cs="Arial"/>
          <w:color w:val="000000"/>
          <w:sz w:val="20"/>
          <w:szCs w:val="20"/>
          <w:highlight w:val="white"/>
        </w:rPr>
      </w:pPr>
      <w:r>
        <w:rPr>
          <w:rFonts w:ascii="Arial" w:eastAsia="Arial" w:hAnsi="Arial" w:cs="Arial"/>
          <w:color w:val="000000"/>
          <w:sz w:val="20"/>
          <w:szCs w:val="20"/>
        </w:rPr>
        <w:t xml:space="preserve">   Purpose of Use: Generative Al was primarily employed to enhance the clarity and coherence of the discussion, improve the overall language and grammar, and refine the abstract for better readability and adheren</w:t>
      </w:r>
      <w:r>
        <w:rPr>
          <w:rFonts w:ascii="Arial" w:eastAsia="Arial" w:hAnsi="Arial" w:cs="Arial"/>
          <w:color w:val="000000"/>
          <w:sz w:val="20"/>
          <w:szCs w:val="20"/>
        </w:rPr>
        <w:t xml:space="preserve">ce to academic standards. </w:t>
      </w:r>
    </w:p>
    <w:p w14:paraId="06C456A6" w14:textId="77777777" w:rsidR="00587694" w:rsidRDefault="00416116">
      <w:pPr>
        <w:spacing w:before="240" w:after="240" w:line="240" w:lineRule="auto"/>
        <w:jc w:val="both"/>
        <w:rPr>
          <w:rFonts w:ascii="Arial" w:eastAsia="Arial" w:hAnsi="Arial" w:cs="Arial"/>
          <w:color w:val="000000"/>
          <w:sz w:val="20"/>
          <w:szCs w:val="20"/>
          <w:highlight w:val="white"/>
        </w:rPr>
      </w:pPr>
      <w:r>
        <w:rPr>
          <w:rFonts w:ascii="Arial" w:eastAsia="Arial" w:hAnsi="Arial" w:cs="Arial"/>
          <w:color w:val="000000"/>
          <w:sz w:val="20"/>
          <w:szCs w:val="20"/>
        </w:rPr>
        <w:t xml:space="preserve">Sample Prompts Provided to the Al </w:t>
      </w:r>
    </w:p>
    <w:p w14:paraId="353CD4F7" w14:textId="77777777" w:rsidR="00587694" w:rsidRDefault="00416116">
      <w:pPr>
        <w:numPr>
          <w:ilvl w:val="0"/>
          <w:numId w:val="8"/>
        </w:numPr>
        <w:spacing w:before="240"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"Please enhance this abstract to improve clarity, focus, and impact." </w:t>
      </w:r>
    </w:p>
    <w:p w14:paraId="79C2E1D4" w14:textId="77777777" w:rsidR="00587694" w:rsidRDefault="00416116">
      <w:pPr>
        <w:numPr>
          <w:ilvl w:val="0"/>
          <w:numId w:val="8"/>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"Correct grammar and improve the flow of this discussion section" </w:t>
      </w:r>
    </w:p>
    <w:p w14:paraId="445E7F42" w14:textId="77777777" w:rsidR="00587694" w:rsidRDefault="00416116">
      <w:pPr>
        <w:numPr>
          <w:ilvl w:val="0"/>
          <w:numId w:val="8"/>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Summarize findings in a more concise academic style" </w:t>
      </w:r>
    </w:p>
    <w:p w14:paraId="7844E529" w14:textId="77777777" w:rsidR="00587694" w:rsidRDefault="00416116">
      <w:pPr>
        <w:numPr>
          <w:ilvl w:val="0"/>
          <w:numId w:val="8"/>
        </w:numPr>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"Rephrase this paragraph to sound more formal and scholarly </w:t>
      </w:r>
    </w:p>
    <w:p w14:paraId="06183C1A" w14:textId="77777777" w:rsidR="00587694" w:rsidRDefault="00416116">
      <w:pPr>
        <w:spacing w:line="240" w:lineRule="auto"/>
        <w:jc w:val="both"/>
        <w:rPr>
          <w:rFonts w:ascii="Arial" w:eastAsia="Arial" w:hAnsi="Arial" w:cs="Arial"/>
          <w:color w:val="000000"/>
          <w:sz w:val="20"/>
          <w:szCs w:val="20"/>
          <w:highlight w:val="white"/>
        </w:rPr>
      </w:pPr>
      <w:r>
        <w:rPr>
          <w:rFonts w:ascii="Arial" w:eastAsia="Arial" w:hAnsi="Arial" w:cs="Arial"/>
          <w:color w:val="000000"/>
          <w:sz w:val="20"/>
          <w:szCs w:val="20"/>
        </w:rPr>
        <w:t xml:space="preserve">   All intellectual content, data interpretation, and scientific conclusions remain the responsibility of the authors. The Al tool served only as an editorial assistant and did not generate origi</w:t>
      </w:r>
      <w:r>
        <w:rPr>
          <w:rFonts w:ascii="Arial" w:eastAsia="Arial" w:hAnsi="Arial" w:cs="Arial"/>
          <w:color w:val="000000"/>
          <w:sz w:val="20"/>
          <w:szCs w:val="20"/>
        </w:rPr>
        <w:t>nal scientific ideas or perform data analysis.</w:t>
      </w:r>
    </w:p>
    <w:p w14:paraId="6AC65BA1" w14:textId="77777777" w:rsidR="00587694" w:rsidRDefault="00416116">
      <w:pPr>
        <w:shd w:val="clear" w:color="auto" w:fill="FFFFFF"/>
        <w:spacing w:line="240" w:lineRule="auto"/>
        <w:jc w:val="both"/>
        <w:rPr>
          <w:rFonts w:ascii="Arial" w:hAnsi="Arial" w:cs="Arial"/>
          <w:sz w:val="20"/>
          <w:szCs w:val="20"/>
        </w:rPr>
      </w:pPr>
      <w:r>
        <w:rPr>
          <w:rFonts w:ascii="Arial" w:eastAsia="Arial" w:hAnsi="Arial" w:cs="Arial"/>
          <w:b/>
          <w:color w:val="000000"/>
          <w:sz w:val="20"/>
          <w:szCs w:val="20"/>
          <w:highlight w:val="white"/>
        </w:rPr>
        <w:t>REFERENCES</w:t>
      </w:r>
    </w:p>
    <w:p w14:paraId="56B61371" w14:textId="77777777" w:rsidR="00587694" w:rsidRDefault="00416116">
      <w:pPr>
        <w:shd w:val="clear" w:color="auto" w:fill="FFFFFF"/>
        <w:spacing w:line="240" w:lineRule="auto"/>
        <w:jc w:val="both"/>
        <w:rPr>
          <w:rFonts w:ascii="Arial" w:eastAsia="Arial" w:hAnsi="Arial" w:cs="Arial"/>
          <w:sz w:val="20"/>
          <w:szCs w:val="20"/>
        </w:rPr>
      </w:pPr>
      <w:r>
        <w:rPr>
          <w:rFonts w:ascii="Arial" w:eastAsia="Arial" w:hAnsi="Arial" w:cs="Arial"/>
          <w:sz w:val="20"/>
          <w:szCs w:val="20"/>
        </w:rPr>
        <w:t>Adil, M. (2013). The Relationship Between Service Quality and Customer Satisfaction I India’s Rural Banking Sector: An Item Analysis and Factor-Specific Approach.</w:t>
      </w:r>
    </w:p>
    <w:p w14:paraId="2214BBE1"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Adil, M., &amp; Khan, M.N. (2013). Expl</w:t>
      </w:r>
      <w:r>
        <w:rPr>
          <w:rFonts w:ascii="Arial" w:eastAsia="Arial" w:hAnsi="Arial" w:cs="Arial"/>
          <w:sz w:val="20"/>
          <w:szCs w:val="20"/>
        </w:rPr>
        <w:t xml:space="preserve">oring Relationship between Service Quality and Positive Word of Mouth at Retail Banks in Rural India. </w:t>
      </w:r>
      <w:r>
        <w:rPr>
          <w:rFonts w:ascii="Arial" w:eastAsia="Arial" w:hAnsi="Arial" w:cs="Arial"/>
          <w:i/>
          <w:sz w:val="20"/>
          <w:szCs w:val="20"/>
        </w:rPr>
        <w:t>International Journal of Customer Relationship Marketing and Management, 4</w:t>
      </w:r>
      <w:r>
        <w:rPr>
          <w:rFonts w:ascii="Arial" w:eastAsia="Arial" w:hAnsi="Arial" w:cs="Arial"/>
          <w:sz w:val="20"/>
          <w:szCs w:val="20"/>
        </w:rPr>
        <w:t>, 57-71. https://doi.org/10.4018/JCRMM.2013070104</w:t>
      </w:r>
    </w:p>
    <w:p w14:paraId="10787AD0"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Aljasser</w:t>
      </w:r>
      <w:proofErr w:type="spellEnd"/>
      <w:r>
        <w:rPr>
          <w:rFonts w:ascii="Arial" w:eastAsia="Arial" w:hAnsi="Arial" w:cs="Arial"/>
          <w:sz w:val="20"/>
          <w:szCs w:val="20"/>
        </w:rPr>
        <w:t xml:space="preserve">, I.A., &amp; </w:t>
      </w:r>
      <w:proofErr w:type="spellStart"/>
      <w:r>
        <w:rPr>
          <w:rFonts w:ascii="Arial" w:eastAsia="Arial" w:hAnsi="Arial" w:cs="Arial"/>
          <w:sz w:val="20"/>
          <w:szCs w:val="20"/>
        </w:rPr>
        <w:t>Sasidhar</w:t>
      </w:r>
      <w:proofErr w:type="spellEnd"/>
      <w:r>
        <w:rPr>
          <w:rFonts w:ascii="Arial" w:eastAsia="Arial" w:hAnsi="Arial" w:cs="Arial"/>
          <w:sz w:val="20"/>
          <w:szCs w:val="20"/>
        </w:rPr>
        <w:t>, B.</w:t>
      </w:r>
      <w:r>
        <w:rPr>
          <w:rFonts w:ascii="Arial" w:eastAsia="Arial" w:hAnsi="Arial" w:cs="Arial"/>
          <w:sz w:val="20"/>
          <w:szCs w:val="20"/>
        </w:rPr>
        <w:t xml:space="preserve"> (2015). Satisfaction Perceptions Differences of Customers of Banks in Saudi Arabia Based on Gender. </w:t>
      </w:r>
      <w:r>
        <w:rPr>
          <w:rFonts w:ascii="Arial" w:eastAsia="Arial" w:hAnsi="Arial" w:cs="Arial"/>
          <w:i/>
          <w:sz w:val="20"/>
          <w:szCs w:val="20"/>
        </w:rPr>
        <w:t>British Journal of Economics, Management and Trade, 7</w:t>
      </w:r>
      <w:r>
        <w:rPr>
          <w:rFonts w:ascii="Arial" w:eastAsia="Arial" w:hAnsi="Arial" w:cs="Arial"/>
          <w:sz w:val="20"/>
          <w:szCs w:val="20"/>
        </w:rPr>
        <w:t>, 279-287. https://doi.org/10.9734/bjemt%2F2015%2F16858</w:t>
      </w:r>
    </w:p>
    <w:p w14:paraId="790C2964"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AnilChandran</w:t>
      </w:r>
      <w:proofErr w:type="spellEnd"/>
      <w:r>
        <w:rPr>
          <w:rFonts w:ascii="Arial" w:eastAsia="Arial" w:hAnsi="Arial" w:cs="Arial"/>
          <w:sz w:val="20"/>
          <w:szCs w:val="20"/>
        </w:rPr>
        <w:t>., S., &amp; M.G, K. (2020). A Study o</w:t>
      </w:r>
      <w:r>
        <w:rPr>
          <w:rFonts w:ascii="Arial" w:eastAsia="Arial" w:hAnsi="Arial" w:cs="Arial"/>
          <w:sz w:val="20"/>
          <w:szCs w:val="20"/>
        </w:rPr>
        <w:t xml:space="preserve">n the Role of Service Quality on Customer Satisfaction in Banks- with special reference to public sector banks in Kannur District. </w:t>
      </w:r>
      <w:r>
        <w:rPr>
          <w:rFonts w:ascii="Arial" w:eastAsia="Arial" w:hAnsi="Arial" w:cs="Arial"/>
          <w:i/>
          <w:sz w:val="20"/>
          <w:szCs w:val="20"/>
        </w:rPr>
        <w:t>International Journal of Research, 7</w:t>
      </w:r>
      <w:r>
        <w:rPr>
          <w:rFonts w:ascii="Arial" w:eastAsia="Arial" w:hAnsi="Arial" w:cs="Arial"/>
          <w:sz w:val="20"/>
          <w:szCs w:val="20"/>
        </w:rPr>
        <w:t>, 257-267.</w:t>
      </w:r>
    </w:p>
    <w:p w14:paraId="629CEB7E"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lastRenderedPageBreak/>
        <w:t>Amegbe</w:t>
      </w:r>
      <w:proofErr w:type="spellEnd"/>
      <w:r>
        <w:rPr>
          <w:rFonts w:ascii="Arial" w:eastAsia="Arial" w:hAnsi="Arial" w:cs="Arial"/>
          <w:sz w:val="20"/>
          <w:szCs w:val="20"/>
        </w:rPr>
        <w:t xml:space="preserve">, H., &amp; Osakwe, C.N. (2018). Towards achieving strong customer loyalty in the financial services industry. </w:t>
      </w:r>
      <w:r>
        <w:rPr>
          <w:rFonts w:ascii="Arial" w:eastAsia="Arial" w:hAnsi="Arial" w:cs="Arial"/>
          <w:i/>
          <w:sz w:val="20"/>
          <w:szCs w:val="20"/>
        </w:rPr>
        <w:t>International Journal of Bank Marketing</w:t>
      </w:r>
      <w:r>
        <w:rPr>
          <w:rFonts w:ascii="Arial" w:eastAsia="Arial" w:hAnsi="Arial" w:cs="Arial"/>
          <w:sz w:val="20"/>
          <w:szCs w:val="20"/>
        </w:rPr>
        <w:t xml:space="preserve">. </w:t>
      </w:r>
      <w:hyperlink r:id="rId8">
        <w:r>
          <w:rPr>
            <w:rFonts w:ascii="Arial" w:eastAsia="Arial" w:hAnsi="Arial" w:cs="Arial"/>
            <w:sz w:val="20"/>
            <w:szCs w:val="20"/>
          </w:rPr>
          <w:t>https://doi.org/10.1108/IJBM-06-2017-0120</w:t>
        </w:r>
      </w:hyperlink>
    </w:p>
    <w:p w14:paraId="39033EE1"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Avdia</w:t>
      </w:r>
      <w:r>
        <w:rPr>
          <w:rFonts w:ascii="Arial" w:eastAsia="Arial" w:hAnsi="Arial" w:cs="Arial"/>
          <w:sz w:val="20"/>
          <w:szCs w:val="20"/>
        </w:rPr>
        <w:t>j</w:t>
      </w:r>
      <w:proofErr w:type="spellEnd"/>
      <w:r>
        <w:rPr>
          <w:rFonts w:ascii="Arial" w:eastAsia="Arial" w:hAnsi="Arial" w:cs="Arial"/>
          <w:sz w:val="20"/>
          <w:szCs w:val="20"/>
        </w:rPr>
        <w:t xml:space="preserve">, G. (2019). FINANCIAL IMPACT OF CUSTOMER EXPERIENCE MANAGEMENT- EVIDENCE FROM KOSOVO BANKING MARKET. </w:t>
      </w:r>
      <w:r>
        <w:rPr>
          <w:rFonts w:ascii="Arial" w:eastAsia="Arial" w:hAnsi="Arial" w:cs="Arial"/>
          <w:i/>
          <w:sz w:val="20"/>
          <w:szCs w:val="20"/>
        </w:rPr>
        <w:t>Knowledge International</w:t>
      </w:r>
      <w:r>
        <w:rPr>
          <w:rFonts w:ascii="Arial" w:eastAsia="Arial" w:hAnsi="Arial" w:cs="Arial"/>
          <w:sz w:val="20"/>
          <w:szCs w:val="20"/>
        </w:rPr>
        <w:t xml:space="preserve"> </w:t>
      </w:r>
      <w:r>
        <w:rPr>
          <w:rFonts w:ascii="Arial" w:eastAsia="Arial" w:hAnsi="Arial" w:cs="Arial"/>
          <w:i/>
          <w:sz w:val="20"/>
          <w:szCs w:val="20"/>
        </w:rPr>
        <w:t>Journal</w:t>
      </w:r>
      <w:r>
        <w:rPr>
          <w:rFonts w:ascii="Arial" w:eastAsia="Arial" w:hAnsi="Arial" w:cs="Arial"/>
          <w:sz w:val="20"/>
          <w:szCs w:val="20"/>
        </w:rPr>
        <w:t>.</w:t>
      </w:r>
    </w:p>
    <w:p w14:paraId="4C900C1D"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Arguello, M.A.,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Tirado, D., &amp; Estrada Guillén, M. (2019). Service quality in a post-crisis context: emotional </w:t>
      </w:r>
      <w:r>
        <w:rPr>
          <w:rFonts w:ascii="Arial" w:eastAsia="Arial" w:hAnsi="Arial" w:cs="Arial"/>
          <w:sz w:val="20"/>
          <w:szCs w:val="20"/>
        </w:rPr>
        <w:t>effects and behaviours. International Journal of Bank Marketing.</w:t>
      </w:r>
    </w:p>
    <w:p w14:paraId="4D2D8E39"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Asio, J. M. R., &amp; Riego de Dios, E. (2021). Demographic profiles and procrastination of employees: Relationships and determinants. </w:t>
      </w:r>
      <w:r>
        <w:rPr>
          <w:rFonts w:ascii="Arial" w:eastAsia="Arial" w:hAnsi="Arial" w:cs="Arial"/>
          <w:i/>
          <w:sz w:val="20"/>
          <w:szCs w:val="20"/>
        </w:rPr>
        <w:t>Asio, JMR, &amp; Riego de Dios, EE (2021). Demographic profile a</w:t>
      </w:r>
      <w:r>
        <w:rPr>
          <w:rFonts w:ascii="Arial" w:eastAsia="Arial" w:hAnsi="Arial" w:cs="Arial"/>
          <w:i/>
          <w:sz w:val="20"/>
          <w:szCs w:val="20"/>
        </w:rPr>
        <w:t>nd procrastination of employees: Relationships and determinants. International Journal of Humanities, Arts, and Social Sciences</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(1), 36-46.</w:t>
      </w:r>
      <w:hyperlink r:id="rId9">
        <w:r>
          <w:rPr>
            <w:rFonts w:ascii="Arial" w:eastAsia="Arial" w:hAnsi="Arial" w:cs="Arial"/>
            <w:sz w:val="20"/>
            <w:szCs w:val="20"/>
          </w:rPr>
          <w:t xml:space="preserve"> </w:t>
        </w:r>
      </w:hyperlink>
      <w:hyperlink r:id="rId10">
        <w:r>
          <w:rPr>
            <w:rFonts w:ascii="Arial" w:eastAsia="Arial" w:hAnsi="Arial" w:cs="Arial"/>
            <w:sz w:val="20"/>
            <w:szCs w:val="20"/>
          </w:rPr>
          <w:t>https://doi.org/10.20469/ijhss.7.20004-1</w:t>
        </w:r>
      </w:hyperlink>
    </w:p>
    <w:p w14:paraId="67B60ACE"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Awoke, H.M. (2015). Service Quality and Customer Satisfaction: Empirical Evidence from Saving Account Customers of Banking Industry. </w:t>
      </w:r>
      <w:r>
        <w:rPr>
          <w:rFonts w:ascii="Arial" w:eastAsia="Arial" w:hAnsi="Arial" w:cs="Arial"/>
          <w:i/>
          <w:sz w:val="20"/>
          <w:szCs w:val="20"/>
        </w:rPr>
        <w:t>European Journal of Business and Management, 7</w:t>
      </w:r>
      <w:r>
        <w:rPr>
          <w:rFonts w:ascii="Arial" w:eastAsia="Arial" w:hAnsi="Arial" w:cs="Arial"/>
          <w:sz w:val="20"/>
          <w:szCs w:val="20"/>
        </w:rPr>
        <w:t>, 144-164. https://www.semanti</w:t>
      </w:r>
      <w:r>
        <w:rPr>
          <w:rFonts w:ascii="Arial" w:eastAsia="Arial" w:hAnsi="Arial" w:cs="Arial"/>
          <w:sz w:val="20"/>
          <w:szCs w:val="20"/>
        </w:rPr>
        <w:t>cscholar.org/author/H.-Awoke/123895988</w:t>
      </w:r>
    </w:p>
    <w:p w14:paraId="4DC96278"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Bataev</w:t>
      </w:r>
      <w:proofErr w:type="spellEnd"/>
      <w:r>
        <w:rPr>
          <w:rFonts w:ascii="Arial" w:eastAsia="Arial" w:hAnsi="Arial" w:cs="Arial"/>
          <w:sz w:val="20"/>
          <w:szCs w:val="20"/>
        </w:rPr>
        <w:t xml:space="preserve">, A.V., &amp; </w:t>
      </w:r>
      <w:proofErr w:type="spellStart"/>
      <w:r>
        <w:rPr>
          <w:rFonts w:ascii="Arial" w:eastAsia="Arial" w:hAnsi="Arial" w:cs="Arial"/>
          <w:sz w:val="20"/>
          <w:szCs w:val="20"/>
        </w:rPr>
        <w:t>Rodionov</w:t>
      </w:r>
      <w:proofErr w:type="spellEnd"/>
      <w:r>
        <w:rPr>
          <w:rFonts w:ascii="Arial" w:eastAsia="Arial" w:hAnsi="Arial" w:cs="Arial"/>
          <w:sz w:val="20"/>
          <w:szCs w:val="20"/>
        </w:rPr>
        <w:t>, D.G. (2020). Improving the Quality of Customer Service of Financial Institutions: The Implementation of Challenger Banks.</w:t>
      </w:r>
    </w:p>
    <w:p w14:paraId="41D36312"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Bancoro</w:t>
      </w:r>
      <w:proofErr w:type="spellEnd"/>
      <w:r>
        <w:rPr>
          <w:rFonts w:ascii="Arial" w:eastAsia="Arial" w:hAnsi="Arial" w:cs="Arial"/>
          <w:sz w:val="20"/>
          <w:szCs w:val="20"/>
        </w:rPr>
        <w:t xml:space="preserve">, J. C., </w:t>
      </w:r>
      <w:proofErr w:type="spellStart"/>
      <w:r>
        <w:rPr>
          <w:rFonts w:ascii="Arial" w:eastAsia="Arial" w:hAnsi="Arial" w:cs="Arial"/>
          <w:sz w:val="20"/>
          <w:szCs w:val="20"/>
        </w:rPr>
        <w:t>Villagonzalo</w:t>
      </w:r>
      <w:proofErr w:type="spellEnd"/>
      <w:r>
        <w:rPr>
          <w:rFonts w:ascii="Arial" w:eastAsia="Arial" w:hAnsi="Arial" w:cs="Arial"/>
          <w:sz w:val="20"/>
          <w:szCs w:val="20"/>
        </w:rPr>
        <w:t>, B. S., Jr., &amp; Villanueva, I. T. (2023).</w:t>
      </w:r>
      <w:r>
        <w:rPr>
          <w:rFonts w:ascii="Arial" w:eastAsia="Arial" w:hAnsi="Arial" w:cs="Arial"/>
          <w:sz w:val="20"/>
          <w:szCs w:val="20"/>
        </w:rPr>
        <w:t xml:space="preserve"> Financial attitude of sari-sari store owners in Barangay </w:t>
      </w:r>
      <w:proofErr w:type="spellStart"/>
      <w:r>
        <w:rPr>
          <w:rFonts w:ascii="Arial" w:eastAsia="Arial" w:hAnsi="Arial" w:cs="Arial"/>
          <w:sz w:val="20"/>
          <w:szCs w:val="20"/>
        </w:rPr>
        <w:t>Batinguel</w:t>
      </w:r>
      <w:proofErr w:type="spellEnd"/>
      <w:r>
        <w:rPr>
          <w:rFonts w:ascii="Arial" w:eastAsia="Arial" w:hAnsi="Arial" w:cs="Arial"/>
          <w:sz w:val="20"/>
          <w:szCs w:val="20"/>
        </w:rPr>
        <w:t xml:space="preserve"> Dumaguete City towards microfinancing. </w:t>
      </w:r>
      <w:r>
        <w:rPr>
          <w:rFonts w:ascii="Arial" w:eastAsia="Arial" w:hAnsi="Arial" w:cs="Arial"/>
          <w:i/>
          <w:sz w:val="20"/>
          <w:szCs w:val="20"/>
        </w:rPr>
        <w:t>East Asian Journal of Multidisciplinary Research, 2</w:t>
      </w:r>
      <w:r>
        <w:rPr>
          <w:rFonts w:ascii="Arial" w:eastAsia="Arial" w:hAnsi="Arial" w:cs="Arial"/>
          <w:sz w:val="20"/>
          <w:szCs w:val="20"/>
        </w:rPr>
        <w:t>(4).</w:t>
      </w:r>
      <w:hyperlink r:id="rId11">
        <w:r>
          <w:rPr>
            <w:rFonts w:ascii="Arial" w:eastAsia="Arial" w:hAnsi="Arial" w:cs="Arial"/>
            <w:sz w:val="20"/>
            <w:szCs w:val="20"/>
          </w:rPr>
          <w:t xml:space="preserve"> </w:t>
        </w:r>
      </w:hyperlink>
      <w:hyperlink r:id="rId12">
        <w:r>
          <w:rPr>
            <w:rFonts w:ascii="Arial" w:eastAsia="Arial" w:hAnsi="Arial" w:cs="Arial"/>
            <w:sz w:val="20"/>
            <w:szCs w:val="20"/>
          </w:rPr>
          <w:t>https://doi.org/10.55927/eajmr.v2i4.3822</w:t>
        </w:r>
      </w:hyperlink>
    </w:p>
    <w:p w14:paraId="658C7C55"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Bridges, A.M., Elkins, B., Gross, K., &amp; Silva, B.D. (2022). Closing the experience gap in banking: Humanising customer experience in four dimensions. </w:t>
      </w:r>
      <w:r>
        <w:rPr>
          <w:rFonts w:ascii="Arial" w:eastAsia="Arial" w:hAnsi="Arial" w:cs="Arial"/>
          <w:i/>
          <w:sz w:val="20"/>
          <w:szCs w:val="20"/>
        </w:rPr>
        <w:t>Journal of Digital Banking</w:t>
      </w:r>
      <w:r>
        <w:rPr>
          <w:rFonts w:ascii="Arial" w:eastAsia="Arial" w:hAnsi="Arial" w:cs="Arial"/>
          <w:sz w:val="20"/>
          <w:szCs w:val="20"/>
        </w:rPr>
        <w:t>.</w:t>
      </w:r>
    </w:p>
    <w:p w14:paraId="598ABE11"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Constantin</w:t>
      </w:r>
      <w:r>
        <w:rPr>
          <w:rFonts w:ascii="Arial" w:eastAsia="Arial" w:hAnsi="Arial" w:cs="Arial"/>
          <w:sz w:val="20"/>
          <w:szCs w:val="20"/>
        </w:rPr>
        <w:t xml:space="preserve">o, C.J. (2025). EFFECTIVENESS OF E-BANKING FACILITY SERVICES AND CUSTOMER LOYALTY OF USERS OF UNIVERSAL BANK BRANCHES IN DAVAO CITY: BASIS FOR ACTION PLAN. </w:t>
      </w:r>
      <w:r>
        <w:rPr>
          <w:rFonts w:ascii="Arial" w:eastAsia="Arial" w:hAnsi="Arial" w:cs="Arial"/>
          <w:i/>
          <w:sz w:val="20"/>
          <w:szCs w:val="20"/>
        </w:rPr>
        <w:t>EPRA International Journal of Economics, Business and Management Studies</w:t>
      </w:r>
      <w:r>
        <w:rPr>
          <w:rFonts w:ascii="Arial" w:eastAsia="Arial" w:hAnsi="Arial" w:cs="Arial"/>
          <w:sz w:val="20"/>
          <w:szCs w:val="20"/>
        </w:rPr>
        <w:t>. https://doi.org/10.36713/e</w:t>
      </w:r>
      <w:r>
        <w:rPr>
          <w:rFonts w:ascii="Arial" w:eastAsia="Arial" w:hAnsi="Arial" w:cs="Arial"/>
          <w:sz w:val="20"/>
          <w:szCs w:val="20"/>
        </w:rPr>
        <w:t>pra19696</w:t>
      </w:r>
    </w:p>
    <w:p w14:paraId="3AAA6F50"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Chakrabarti, S., Trehan, D., &amp; Makhija, M. (2018). Assessment of service quality using text mining – evidence from private sector banks in India. </w:t>
      </w:r>
      <w:r>
        <w:rPr>
          <w:rFonts w:ascii="Arial" w:eastAsia="Arial" w:hAnsi="Arial" w:cs="Arial"/>
          <w:i/>
          <w:sz w:val="20"/>
          <w:szCs w:val="20"/>
        </w:rPr>
        <w:t>International Journal of Bank Marketing</w:t>
      </w:r>
      <w:r>
        <w:rPr>
          <w:rFonts w:ascii="Arial" w:eastAsia="Arial" w:hAnsi="Arial" w:cs="Arial"/>
          <w:sz w:val="20"/>
          <w:szCs w:val="20"/>
        </w:rPr>
        <w:t>.</w:t>
      </w:r>
      <w:hyperlink r:id="rId13">
        <w:r>
          <w:rPr>
            <w:rFonts w:ascii="Arial" w:eastAsia="Arial" w:hAnsi="Arial" w:cs="Arial"/>
            <w:sz w:val="20"/>
            <w:szCs w:val="20"/>
          </w:rPr>
          <w:t xml:space="preserve"> </w:t>
        </w:r>
      </w:hyperlink>
      <w:hyperlink r:id="rId14">
        <w:r>
          <w:rPr>
            <w:rFonts w:ascii="Arial" w:eastAsia="Arial" w:hAnsi="Arial" w:cs="Arial"/>
            <w:sz w:val="20"/>
            <w:szCs w:val="20"/>
          </w:rPr>
          <w:t>https://doi.org/10.1108/IJBM-04-2017-0070</w:t>
        </w:r>
      </w:hyperlink>
    </w:p>
    <w:p w14:paraId="377D216F"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Choudhury, K. (2014). Service quality and word of mouth: a study of the banking sector. </w:t>
      </w:r>
      <w:r>
        <w:rPr>
          <w:rFonts w:ascii="Arial" w:eastAsia="Arial" w:hAnsi="Arial" w:cs="Arial"/>
          <w:i/>
          <w:sz w:val="20"/>
          <w:szCs w:val="20"/>
        </w:rPr>
        <w:t>International Journal of Bank Marketing, 32</w:t>
      </w:r>
      <w:r>
        <w:rPr>
          <w:rFonts w:ascii="Arial" w:eastAsia="Arial" w:hAnsi="Arial" w:cs="Arial"/>
          <w:sz w:val="20"/>
          <w:szCs w:val="20"/>
        </w:rPr>
        <w:t>, 612-627. https://do</w:t>
      </w:r>
      <w:r>
        <w:rPr>
          <w:rFonts w:ascii="Arial" w:eastAsia="Arial" w:hAnsi="Arial" w:cs="Arial"/>
          <w:sz w:val="20"/>
          <w:szCs w:val="20"/>
        </w:rPr>
        <w:t>i.org/10.1108/IJBM-12-2012-0122</w:t>
      </w:r>
    </w:p>
    <w:p w14:paraId="56788334"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East, R., Uncles, M.D., Romaniuk, J., &amp; Lomax, W. (2016). Measuring the Impact of Positive and Negative Word of Mouth: A Reappraisal. </w:t>
      </w:r>
      <w:r>
        <w:rPr>
          <w:rFonts w:ascii="Arial" w:eastAsia="Arial" w:hAnsi="Arial" w:cs="Arial"/>
          <w:i/>
          <w:sz w:val="20"/>
          <w:szCs w:val="20"/>
        </w:rPr>
        <w:t>Australasian Marketing Journal, 24</w:t>
      </w:r>
      <w:r>
        <w:rPr>
          <w:rFonts w:ascii="Arial" w:eastAsia="Arial" w:hAnsi="Arial" w:cs="Arial"/>
          <w:sz w:val="20"/>
          <w:szCs w:val="20"/>
        </w:rPr>
        <w:t>, 54 - 58.</w:t>
      </w:r>
    </w:p>
    <w:p w14:paraId="684E4099"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Flores¹, E. L., Casing, M. G., &amp; Sudaria, R. </w:t>
      </w:r>
      <w:r>
        <w:rPr>
          <w:rFonts w:ascii="Arial" w:eastAsia="Arial" w:hAnsi="Arial" w:cs="Arial"/>
          <w:sz w:val="20"/>
          <w:szCs w:val="20"/>
        </w:rPr>
        <w:t>V. Compelling Educators’ Needs: Graduate Studies Pursuits.</w:t>
      </w:r>
      <w:hyperlink r:id="rId15">
        <w:r>
          <w:rPr>
            <w:rFonts w:ascii="Arial" w:eastAsia="Arial" w:hAnsi="Arial" w:cs="Arial"/>
            <w:sz w:val="20"/>
            <w:szCs w:val="20"/>
          </w:rPr>
          <w:t xml:space="preserve"> </w:t>
        </w:r>
      </w:hyperlink>
      <w:hyperlink r:id="rId16">
        <w:r>
          <w:rPr>
            <w:rFonts w:ascii="Arial" w:eastAsia="Arial" w:hAnsi="Arial" w:cs="Arial"/>
            <w:sz w:val="20"/>
            <w:szCs w:val="20"/>
          </w:rPr>
          <w:t>https://doi.org/10.38124/ijisrt/IJISRT24AUG1071</w:t>
        </w:r>
      </w:hyperlink>
    </w:p>
    <w:p w14:paraId="1D111E34"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Gajić, T., Petrović, M.D., </w:t>
      </w:r>
      <w:proofErr w:type="spellStart"/>
      <w:r>
        <w:rPr>
          <w:rFonts w:ascii="Arial" w:eastAsia="Arial" w:hAnsi="Arial" w:cs="Arial"/>
          <w:sz w:val="20"/>
          <w:szCs w:val="20"/>
        </w:rPr>
        <w:t>Radovanović</w:t>
      </w:r>
      <w:proofErr w:type="spellEnd"/>
      <w:r>
        <w:rPr>
          <w:rFonts w:ascii="Arial" w:eastAsia="Arial" w:hAnsi="Arial" w:cs="Arial"/>
          <w:sz w:val="20"/>
          <w:szCs w:val="20"/>
        </w:rPr>
        <w:t xml:space="preserve">, M.M., </w:t>
      </w:r>
      <w:proofErr w:type="spellStart"/>
      <w:r>
        <w:rPr>
          <w:rFonts w:ascii="Arial" w:eastAsia="Arial" w:hAnsi="Arial" w:cs="Arial"/>
          <w:sz w:val="20"/>
          <w:szCs w:val="20"/>
        </w:rPr>
        <w:t>Tretiakova</w:t>
      </w:r>
      <w:proofErr w:type="spellEnd"/>
      <w:r>
        <w:rPr>
          <w:rFonts w:ascii="Arial" w:eastAsia="Arial" w:hAnsi="Arial" w:cs="Arial"/>
          <w:sz w:val="20"/>
          <w:szCs w:val="20"/>
        </w:rPr>
        <w:t xml:space="preserve">, T.N., &amp; </w:t>
      </w:r>
      <w:proofErr w:type="spellStart"/>
      <w:r>
        <w:rPr>
          <w:rFonts w:ascii="Arial" w:eastAsia="Arial" w:hAnsi="Arial" w:cs="Arial"/>
          <w:sz w:val="20"/>
          <w:szCs w:val="20"/>
        </w:rPr>
        <w:t>Syromiatnikova</w:t>
      </w:r>
      <w:proofErr w:type="spellEnd"/>
      <w:r>
        <w:rPr>
          <w:rFonts w:ascii="Arial" w:eastAsia="Arial" w:hAnsi="Arial" w:cs="Arial"/>
          <w:sz w:val="20"/>
          <w:szCs w:val="20"/>
        </w:rPr>
        <w:t xml:space="preserve">, J.A. (2020). Possibilities of Turning Passive Rural Areas into Tourist Attractions Through Attained Service Quality. </w:t>
      </w:r>
      <w:r>
        <w:rPr>
          <w:rFonts w:ascii="Arial" w:eastAsia="Arial" w:hAnsi="Arial" w:cs="Arial"/>
          <w:i/>
          <w:sz w:val="20"/>
          <w:szCs w:val="20"/>
        </w:rPr>
        <w:t>European Countryside, 12</w:t>
      </w:r>
      <w:r>
        <w:rPr>
          <w:rFonts w:ascii="Arial" w:eastAsia="Arial" w:hAnsi="Arial" w:cs="Arial"/>
          <w:sz w:val="20"/>
          <w:szCs w:val="20"/>
        </w:rPr>
        <w:t>, 179 - 192.</w:t>
      </w:r>
    </w:p>
    <w:p w14:paraId="34C06498"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lastRenderedPageBreak/>
        <w:t>Hallencreutz</w:t>
      </w:r>
      <w:proofErr w:type="spellEnd"/>
      <w:r>
        <w:rPr>
          <w:rFonts w:ascii="Arial" w:eastAsia="Arial" w:hAnsi="Arial" w:cs="Arial"/>
          <w:sz w:val="20"/>
          <w:szCs w:val="20"/>
        </w:rPr>
        <w:t xml:space="preserve">, J., </w:t>
      </w:r>
      <w:proofErr w:type="spellStart"/>
      <w:r>
        <w:rPr>
          <w:rFonts w:ascii="Arial" w:eastAsia="Arial" w:hAnsi="Arial" w:cs="Arial"/>
          <w:sz w:val="20"/>
          <w:szCs w:val="20"/>
        </w:rPr>
        <w:t>Parmler</w:t>
      </w:r>
      <w:proofErr w:type="spellEnd"/>
      <w:r>
        <w:rPr>
          <w:rFonts w:ascii="Arial" w:eastAsia="Arial" w:hAnsi="Arial" w:cs="Arial"/>
          <w:sz w:val="20"/>
          <w:szCs w:val="20"/>
        </w:rPr>
        <w:t xml:space="preserve">, J., &amp; Westin, L. (2024). Important drivers for customer satisfaction–a Swedish crisis reflection. </w:t>
      </w:r>
      <w:r>
        <w:rPr>
          <w:rFonts w:ascii="Arial" w:eastAsia="Arial" w:hAnsi="Arial" w:cs="Arial"/>
          <w:i/>
          <w:sz w:val="20"/>
          <w:szCs w:val="20"/>
        </w:rPr>
        <w:t>International Journal of Lean Six Sigma</w:t>
      </w:r>
      <w:r>
        <w:rPr>
          <w:rFonts w:ascii="Arial" w:eastAsia="Arial" w:hAnsi="Arial" w:cs="Arial"/>
          <w:sz w:val="20"/>
          <w:szCs w:val="20"/>
        </w:rPr>
        <w:t>.</w:t>
      </w:r>
    </w:p>
    <w:p w14:paraId="53DFDB6E"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Haron, R., </w:t>
      </w:r>
      <w:proofErr w:type="spellStart"/>
      <w:r>
        <w:rPr>
          <w:rFonts w:ascii="Arial" w:eastAsia="Arial" w:hAnsi="Arial" w:cs="Arial"/>
          <w:sz w:val="20"/>
          <w:szCs w:val="20"/>
        </w:rPr>
        <w:t>Subar</w:t>
      </w:r>
      <w:proofErr w:type="spellEnd"/>
      <w:r>
        <w:rPr>
          <w:rFonts w:ascii="Arial" w:eastAsia="Arial" w:hAnsi="Arial" w:cs="Arial"/>
          <w:sz w:val="20"/>
          <w:szCs w:val="20"/>
        </w:rPr>
        <w:t>, N.A., &amp; Ibrahim, K. (2020). Service Quality of Islamic Banks: Satisfaction, Loyalty and th</w:t>
      </w:r>
      <w:r>
        <w:rPr>
          <w:rFonts w:ascii="Arial" w:eastAsia="Arial" w:hAnsi="Arial" w:cs="Arial"/>
          <w:sz w:val="20"/>
          <w:szCs w:val="20"/>
        </w:rPr>
        <w:t xml:space="preserve">e Mediating Role of Trust. </w:t>
      </w:r>
      <w:r>
        <w:rPr>
          <w:rFonts w:ascii="Arial" w:eastAsia="Arial" w:hAnsi="Arial" w:cs="Arial"/>
          <w:i/>
          <w:sz w:val="20"/>
          <w:szCs w:val="20"/>
        </w:rPr>
        <w:t>Islamic Economic Studies (IES)</w:t>
      </w:r>
      <w:r>
        <w:rPr>
          <w:rFonts w:ascii="Arial" w:eastAsia="Arial" w:hAnsi="Arial" w:cs="Arial"/>
          <w:sz w:val="20"/>
          <w:szCs w:val="20"/>
        </w:rPr>
        <w:t>.</w:t>
      </w:r>
    </w:p>
    <w:p w14:paraId="4DF1FE5A"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Hill, J. (2020). Overview of financial institutions.</w:t>
      </w:r>
    </w:p>
    <w:p w14:paraId="57B7920B"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Hinnenberg</w:t>
      </w:r>
      <w:proofErr w:type="spellEnd"/>
      <w:r>
        <w:rPr>
          <w:rFonts w:ascii="Arial" w:eastAsia="Arial" w:hAnsi="Arial" w:cs="Arial"/>
          <w:sz w:val="20"/>
          <w:szCs w:val="20"/>
        </w:rPr>
        <w:t xml:space="preserve">, M., &amp; </w:t>
      </w:r>
      <w:proofErr w:type="spellStart"/>
      <w:r>
        <w:rPr>
          <w:rFonts w:ascii="Arial" w:eastAsia="Arial" w:hAnsi="Arial" w:cs="Arial"/>
          <w:sz w:val="20"/>
          <w:szCs w:val="20"/>
        </w:rPr>
        <w:t>Löfstedt</w:t>
      </w:r>
      <w:proofErr w:type="spellEnd"/>
      <w:r>
        <w:rPr>
          <w:rFonts w:ascii="Arial" w:eastAsia="Arial" w:hAnsi="Arial" w:cs="Arial"/>
          <w:sz w:val="20"/>
          <w:szCs w:val="20"/>
        </w:rPr>
        <w:t xml:space="preserve">, N. (2017). Opening the Black Box of a competitive customer experience strategy. </w:t>
      </w:r>
      <w:r>
        <w:rPr>
          <w:rFonts w:ascii="Arial" w:eastAsia="Arial" w:hAnsi="Arial" w:cs="Arial"/>
          <w:i/>
          <w:sz w:val="20"/>
          <w:szCs w:val="20"/>
        </w:rPr>
        <w:t>Journal of Digital Banking</w:t>
      </w:r>
      <w:r>
        <w:rPr>
          <w:rFonts w:ascii="Arial" w:eastAsia="Arial" w:hAnsi="Arial" w:cs="Arial"/>
          <w:sz w:val="20"/>
          <w:szCs w:val="20"/>
        </w:rPr>
        <w:t>.</w:t>
      </w:r>
    </w:p>
    <w:p w14:paraId="386A978C"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Hennayak</w:t>
      </w:r>
      <w:r>
        <w:rPr>
          <w:rFonts w:ascii="Arial" w:eastAsia="Arial" w:hAnsi="Arial" w:cs="Arial"/>
          <w:sz w:val="20"/>
          <w:szCs w:val="20"/>
        </w:rPr>
        <w:t>e</w:t>
      </w:r>
      <w:proofErr w:type="spellEnd"/>
      <w:r>
        <w:rPr>
          <w:rFonts w:ascii="Arial" w:eastAsia="Arial" w:hAnsi="Arial" w:cs="Arial"/>
          <w:sz w:val="20"/>
          <w:szCs w:val="20"/>
        </w:rPr>
        <w:t xml:space="preserve">, H. (2017). Impact of Service Quality on Customer Satisfaction of Public Sector Commercial </w:t>
      </w:r>
      <w:proofErr w:type="gramStart"/>
      <w:r>
        <w:rPr>
          <w:rFonts w:ascii="Arial" w:eastAsia="Arial" w:hAnsi="Arial" w:cs="Arial"/>
          <w:sz w:val="20"/>
          <w:szCs w:val="20"/>
        </w:rPr>
        <w:t>Banks :</w:t>
      </w:r>
      <w:proofErr w:type="gramEnd"/>
      <w:r>
        <w:rPr>
          <w:rFonts w:ascii="Arial" w:eastAsia="Arial" w:hAnsi="Arial" w:cs="Arial"/>
          <w:sz w:val="20"/>
          <w:szCs w:val="20"/>
        </w:rPr>
        <w:t xml:space="preserve"> A Study on Rural Economic Context.</w:t>
      </w:r>
    </w:p>
    <w:p w14:paraId="6C44B0BF"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Huh, H., &amp; Kim, S. (2023). The Effects of Customer Orientation on Service Quality and Customer Satisfaction in Financial</w:t>
      </w:r>
      <w:r>
        <w:rPr>
          <w:rFonts w:ascii="Arial" w:eastAsia="Arial" w:hAnsi="Arial" w:cs="Arial"/>
          <w:sz w:val="20"/>
          <w:szCs w:val="20"/>
        </w:rPr>
        <w:t xml:space="preserve"> Service Sector. </w:t>
      </w:r>
      <w:r>
        <w:rPr>
          <w:rFonts w:ascii="Arial" w:eastAsia="Arial" w:hAnsi="Arial" w:cs="Arial"/>
          <w:i/>
          <w:sz w:val="20"/>
          <w:szCs w:val="20"/>
        </w:rPr>
        <w:t>Global Knowledge and Convergence Association</w:t>
      </w:r>
      <w:r>
        <w:rPr>
          <w:rFonts w:ascii="Arial" w:eastAsia="Arial" w:hAnsi="Arial" w:cs="Arial"/>
          <w:sz w:val="20"/>
          <w:szCs w:val="20"/>
        </w:rPr>
        <w:t>.</w:t>
      </w:r>
    </w:p>
    <w:p w14:paraId="223D75E4"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Iaset</w:t>
      </w:r>
      <w:proofErr w:type="spellEnd"/>
      <w:r>
        <w:rPr>
          <w:rFonts w:ascii="Arial" w:eastAsia="Arial" w:hAnsi="Arial" w:cs="Arial"/>
          <w:sz w:val="20"/>
          <w:szCs w:val="20"/>
        </w:rPr>
        <w:t xml:space="preserve">, I. (2021). SERVICE QUALITY INDEXING (SQI) FOR FINANCIAL INSTITUTIONS. </w:t>
      </w:r>
      <w:r>
        <w:rPr>
          <w:rFonts w:ascii="Arial" w:eastAsia="Arial" w:hAnsi="Arial" w:cs="Arial"/>
          <w:i/>
          <w:sz w:val="20"/>
          <w:szCs w:val="20"/>
        </w:rPr>
        <w:t>SSRN Electronic Journal</w:t>
      </w:r>
      <w:r>
        <w:rPr>
          <w:rFonts w:ascii="Arial" w:eastAsia="Arial" w:hAnsi="Arial" w:cs="Arial"/>
          <w:sz w:val="20"/>
          <w:szCs w:val="20"/>
        </w:rPr>
        <w:t>.</w:t>
      </w:r>
    </w:p>
    <w:p w14:paraId="2AE071E3"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Išoraitė</w:t>
      </w:r>
      <w:proofErr w:type="spellEnd"/>
      <w:r>
        <w:rPr>
          <w:rFonts w:ascii="Arial" w:eastAsia="Arial" w:hAnsi="Arial" w:cs="Arial"/>
          <w:sz w:val="20"/>
          <w:szCs w:val="20"/>
        </w:rPr>
        <w:t xml:space="preserve">, M. (2016). CUSTOMER LOYALTY THEORETICAL ASPECTS. </w:t>
      </w:r>
      <w:proofErr w:type="spellStart"/>
      <w:r>
        <w:rPr>
          <w:rFonts w:ascii="Arial" w:eastAsia="Arial" w:hAnsi="Arial" w:cs="Arial"/>
          <w:i/>
          <w:sz w:val="20"/>
          <w:szCs w:val="20"/>
        </w:rPr>
        <w:t>Ecoforum</w:t>
      </w:r>
      <w:proofErr w:type="spellEnd"/>
      <w:r>
        <w:rPr>
          <w:rFonts w:ascii="Arial" w:eastAsia="Arial" w:hAnsi="Arial" w:cs="Arial"/>
          <w:i/>
          <w:sz w:val="20"/>
          <w:szCs w:val="20"/>
        </w:rPr>
        <w:t>, 5</w:t>
      </w:r>
      <w:r>
        <w:rPr>
          <w:rFonts w:ascii="Arial" w:eastAsia="Arial" w:hAnsi="Arial" w:cs="Arial"/>
          <w:sz w:val="20"/>
          <w:szCs w:val="20"/>
        </w:rPr>
        <w:t>.</w:t>
      </w:r>
    </w:p>
    <w:p w14:paraId="7F7DE4EE"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Islam, T., Habib, S</w:t>
      </w:r>
      <w:r>
        <w:rPr>
          <w:rFonts w:ascii="Arial" w:eastAsia="Arial" w:hAnsi="Arial" w:cs="Arial"/>
          <w:sz w:val="20"/>
          <w:szCs w:val="20"/>
        </w:rPr>
        <w:t xml:space="preserve">., Sharmin, R., &amp; Islam, R. (2022). INVESTIGATING THE IMPACT OF SERVICE DIMENSIONS ON CUSTOMER SATISFACTION AND CUSTOMER LOYALTY: A CONTEXT ON EMERGING SERVICE ECONOMY. </w:t>
      </w:r>
      <w:r>
        <w:rPr>
          <w:rFonts w:ascii="Arial" w:eastAsia="Arial" w:hAnsi="Arial" w:cs="Arial"/>
          <w:i/>
          <w:sz w:val="20"/>
          <w:szCs w:val="20"/>
        </w:rPr>
        <w:t>Journal of</w:t>
      </w:r>
      <w:r>
        <w:rPr>
          <w:rFonts w:ascii="Arial" w:eastAsia="Arial" w:hAnsi="Arial" w:cs="Arial"/>
          <w:sz w:val="20"/>
          <w:szCs w:val="20"/>
        </w:rPr>
        <w:t xml:space="preserve"> </w:t>
      </w:r>
      <w:r>
        <w:rPr>
          <w:rFonts w:ascii="Arial" w:eastAsia="Arial" w:hAnsi="Arial" w:cs="Arial"/>
          <w:i/>
          <w:sz w:val="20"/>
          <w:szCs w:val="20"/>
        </w:rPr>
        <w:t>Science and Technology</w:t>
      </w:r>
      <w:r>
        <w:rPr>
          <w:rFonts w:ascii="Arial" w:eastAsia="Arial" w:hAnsi="Arial" w:cs="Arial"/>
          <w:sz w:val="20"/>
          <w:szCs w:val="20"/>
        </w:rPr>
        <w:t>.</w:t>
      </w:r>
    </w:p>
    <w:p w14:paraId="1BC48C01"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Isaac, H.M., &amp; Gonzales, A. (2024). Assuring Service</w:t>
      </w:r>
      <w:r>
        <w:rPr>
          <w:rFonts w:ascii="Arial" w:eastAsia="Arial" w:hAnsi="Arial" w:cs="Arial"/>
          <w:sz w:val="20"/>
          <w:szCs w:val="20"/>
        </w:rPr>
        <w:t xml:space="preserve"> Quality through SERVQUAL at the Land Bank of the Philippines North NCR Branches. </w:t>
      </w:r>
      <w:r>
        <w:rPr>
          <w:rFonts w:ascii="Arial" w:eastAsia="Arial" w:hAnsi="Arial" w:cs="Arial"/>
          <w:i/>
          <w:sz w:val="20"/>
          <w:szCs w:val="20"/>
        </w:rPr>
        <w:t>Business Fora: Business and Allied Industries International Journal</w:t>
      </w:r>
      <w:r>
        <w:rPr>
          <w:rFonts w:ascii="Arial" w:eastAsia="Arial" w:hAnsi="Arial" w:cs="Arial"/>
          <w:sz w:val="20"/>
          <w:szCs w:val="20"/>
        </w:rPr>
        <w:t>. https://doi.org/10.62718/vmca.bf-baiij.2.1.sc-0824-010</w:t>
      </w:r>
    </w:p>
    <w:p w14:paraId="5E3BBA7C" w14:textId="77777777" w:rsidR="00587694" w:rsidRDefault="00416116">
      <w:pPr>
        <w:spacing w:before="240" w:after="0" w:line="240" w:lineRule="auto"/>
        <w:ind w:right="100"/>
        <w:jc w:val="both"/>
        <w:rPr>
          <w:rFonts w:ascii="Arial" w:eastAsia="Arial" w:hAnsi="Arial" w:cs="Arial"/>
          <w:sz w:val="20"/>
          <w:szCs w:val="20"/>
        </w:rPr>
      </w:pPr>
      <w:proofErr w:type="spellStart"/>
      <w:r>
        <w:rPr>
          <w:rFonts w:ascii="Arial" w:eastAsia="Arial" w:hAnsi="Arial" w:cs="Arial"/>
          <w:sz w:val="20"/>
          <w:szCs w:val="20"/>
        </w:rPr>
        <w:t>Ijara</w:t>
      </w:r>
      <w:proofErr w:type="spellEnd"/>
      <w:r>
        <w:rPr>
          <w:rFonts w:ascii="Arial" w:eastAsia="Arial" w:hAnsi="Arial" w:cs="Arial"/>
          <w:sz w:val="20"/>
          <w:szCs w:val="20"/>
        </w:rPr>
        <w:t xml:space="preserve">, T.M. (2020). Service Quality and Financial </w:t>
      </w:r>
      <w:r>
        <w:rPr>
          <w:rFonts w:ascii="Arial" w:eastAsia="Arial" w:hAnsi="Arial" w:cs="Arial"/>
          <w:sz w:val="20"/>
          <w:szCs w:val="20"/>
        </w:rPr>
        <w:t xml:space="preserve">Performance of Banks (A </w:t>
      </w:r>
      <w:proofErr w:type="spellStart"/>
      <w:r>
        <w:rPr>
          <w:rFonts w:ascii="Arial" w:eastAsia="Arial" w:hAnsi="Arial" w:cs="Arial"/>
          <w:sz w:val="20"/>
          <w:szCs w:val="20"/>
        </w:rPr>
        <w:t>MetaAnalysis</w:t>
      </w:r>
      <w:proofErr w:type="spellEnd"/>
      <w:r>
        <w:rPr>
          <w:rFonts w:ascii="Arial" w:eastAsia="Arial" w:hAnsi="Arial" w:cs="Arial"/>
          <w:sz w:val="20"/>
          <w:szCs w:val="20"/>
        </w:rPr>
        <w:t xml:space="preserve">). </w:t>
      </w:r>
      <w:r>
        <w:rPr>
          <w:rFonts w:ascii="Arial" w:eastAsia="Arial" w:hAnsi="Arial" w:cs="Arial"/>
          <w:i/>
          <w:sz w:val="20"/>
          <w:szCs w:val="20"/>
        </w:rPr>
        <w:t>International journal of scientific and research publications, 10</w:t>
      </w:r>
      <w:r>
        <w:rPr>
          <w:rFonts w:ascii="Arial" w:eastAsia="Arial" w:hAnsi="Arial" w:cs="Arial"/>
          <w:sz w:val="20"/>
          <w:szCs w:val="20"/>
        </w:rPr>
        <w:t>, 349359.</w:t>
      </w:r>
    </w:p>
    <w:p w14:paraId="346E02C3"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Jain, P. (2013). Service Assurance Perception and Customer Demography: Empirical Study of State Bank of India.</w:t>
      </w:r>
    </w:p>
    <w:p w14:paraId="7B6CB2E6" w14:textId="77777777" w:rsidR="00587694" w:rsidRDefault="00416116">
      <w:pPr>
        <w:spacing w:before="240" w:after="0" w:line="240" w:lineRule="auto"/>
        <w:ind w:right="100"/>
        <w:jc w:val="both"/>
        <w:rPr>
          <w:rFonts w:ascii="Arial" w:eastAsia="Arial" w:hAnsi="Arial" w:cs="Arial"/>
          <w:sz w:val="20"/>
          <w:szCs w:val="20"/>
        </w:rPr>
      </w:pPr>
      <w:proofErr w:type="spellStart"/>
      <w:r>
        <w:rPr>
          <w:rFonts w:ascii="Arial" w:eastAsia="Arial" w:hAnsi="Arial" w:cs="Arial"/>
          <w:sz w:val="20"/>
          <w:szCs w:val="20"/>
        </w:rPr>
        <w:t>Jham</w:t>
      </w:r>
      <w:proofErr w:type="spellEnd"/>
      <w:r>
        <w:rPr>
          <w:rFonts w:ascii="Arial" w:eastAsia="Arial" w:hAnsi="Arial" w:cs="Arial"/>
          <w:sz w:val="20"/>
          <w:szCs w:val="20"/>
        </w:rPr>
        <w:t>, V. (2018). Customer Satis</w:t>
      </w:r>
      <w:r>
        <w:rPr>
          <w:rFonts w:ascii="Arial" w:eastAsia="Arial" w:hAnsi="Arial" w:cs="Arial"/>
          <w:sz w:val="20"/>
          <w:szCs w:val="20"/>
        </w:rPr>
        <w:t xml:space="preserve">faction, Service Quality, Consumer Demographics and Word of Mouth Communication Perspectives: Evidence from the Retail Banking in United Arab Emirates. </w:t>
      </w:r>
      <w:r>
        <w:rPr>
          <w:rFonts w:ascii="Arial" w:eastAsia="Arial" w:hAnsi="Arial" w:cs="Arial"/>
          <w:i/>
          <w:sz w:val="20"/>
          <w:szCs w:val="20"/>
        </w:rPr>
        <w:t>Academy of Marketing Studies Journal, 22</w:t>
      </w:r>
      <w:r>
        <w:rPr>
          <w:rFonts w:ascii="Arial" w:eastAsia="Arial" w:hAnsi="Arial" w:cs="Arial"/>
          <w:sz w:val="20"/>
          <w:szCs w:val="20"/>
        </w:rPr>
        <w:t>, 1.</w:t>
      </w:r>
    </w:p>
    <w:p w14:paraId="14182D60"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Kant, R., &amp; Jaiswal, D. (2017). The impact of perceived ser</w:t>
      </w:r>
      <w:r>
        <w:rPr>
          <w:rFonts w:ascii="Arial" w:eastAsia="Arial" w:hAnsi="Arial" w:cs="Arial"/>
          <w:sz w:val="20"/>
          <w:szCs w:val="20"/>
        </w:rPr>
        <w:t xml:space="preserve">vice quality dimensions on customer satisfaction. </w:t>
      </w:r>
      <w:r>
        <w:rPr>
          <w:rFonts w:ascii="Arial" w:eastAsia="Arial" w:hAnsi="Arial" w:cs="Arial"/>
          <w:i/>
          <w:sz w:val="20"/>
          <w:szCs w:val="20"/>
        </w:rPr>
        <w:t>International Journal of Bank Marketing, 35</w:t>
      </w:r>
      <w:r>
        <w:rPr>
          <w:rFonts w:ascii="Arial" w:eastAsia="Arial" w:hAnsi="Arial" w:cs="Arial"/>
          <w:sz w:val="20"/>
          <w:szCs w:val="20"/>
        </w:rPr>
        <w:t xml:space="preserve">, 411-430. </w:t>
      </w:r>
      <w:hyperlink r:id="rId17">
        <w:r>
          <w:rPr>
            <w:rFonts w:ascii="Arial" w:eastAsia="Arial" w:hAnsi="Arial" w:cs="Arial"/>
            <w:sz w:val="20"/>
            <w:szCs w:val="20"/>
          </w:rPr>
          <w:t>https://doi.org/10.1108/IJBM-04-2016-0051</w:t>
        </w:r>
      </w:hyperlink>
    </w:p>
    <w:p w14:paraId="7E916D40"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Karmacharya, B. (2022). Impact of Service Quality</w:t>
      </w:r>
      <w:r>
        <w:rPr>
          <w:rFonts w:ascii="Arial" w:eastAsia="Arial" w:hAnsi="Arial" w:cs="Arial"/>
          <w:sz w:val="20"/>
          <w:szCs w:val="20"/>
        </w:rPr>
        <w:t xml:space="preserve"> Dimensions on Customer Satisfaction in Nepalese Financial Institutions based on SERVPERF Model. </w:t>
      </w:r>
      <w:r>
        <w:rPr>
          <w:rFonts w:ascii="Arial" w:eastAsia="Arial" w:hAnsi="Arial" w:cs="Arial"/>
          <w:i/>
          <w:sz w:val="20"/>
          <w:szCs w:val="20"/>
        </w:rPr>
        <w:t>Journal of Nepalese Business Studies</w:t>
      </w:r>
      <w:r>
        <w:rPr>
          <w:rFonts w:ascii="Arial" w:eastAsia="Arial" w:hAnsi="Arial" w:cs="Arial"/>
          <w:sz w:val="20"/>
          <w:szCs w:val="20"/>
        </w:rPr>
        <w:t>.</w:t>
      </w:r>
    </w:p>
    <w:p w14:paraId="2C1924FD"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Khan, M.M., &amp; Fasih, M. (2014). Impact of Service Quality on Customer Satisfaction and Customer Loyalty: Evidence from Ba</w:t>
      </w:r>
      <w:r>
        <w:rPr>
          <w:rFonts w:ascii="Arial" w:eastAsia="Arial" w:hAnsi="Arial" w:cs="Arial"/>
          <w:sz w:val="20"/>
          <w:szCs w:val="20"/>
        </w:rPr>
        <w:t>nking Sector.</w:t>
      </w:r>
    </w:p>
    <w:p w14:paraId="5BACD7BF"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lastRenderedPageBreak/>
        <w:t xml:space="preserve">Kumar, M. (2019). Financial Literacy of Himachal Pradesh “A Case Study of District Kangra”. </w:t>
      </w:r>
      <w:r>
        <w:rPr>
          <w:rFonts w:ascii="Arial" w:eastAsia="Arial" w:hAnsi="Arial" w:cs="Arial"/>
          <w:i/>
          <w:sz w:val="20"/>
          <w:szCs w:val="20"/>
        </w:rPr>
        <w:t>International Journal of Research in Advent Technology</w:t>
      </w:r>
      <w:r>
        <w:rPr>
          <w:rFonts w:ascii="Arial" w:eastAsia="Arial" w:hAnsi="Arial" w:cs="Arial"/>
          <w:sz w:val="20"/>
          <w:szCs w:val="20"/>
        </w:rPr>
        <w:t>.</w:t>
      </w:r>
      <w:hyperlink r:id="rId18">
        <w:r>
          <w:rPr>
            <w:rFonts w:ascii="Arial" w:eastAsia="Arial" w:hAnsi="Arial" w:cs="Arial"/>
            <w:sz w:val="20"/>
            <w:szCs w:val="20"/>
          </w:rPr>
          <w:t xml:space="preserve"> </w:t>
        </w:r>
      </w:hyperlink>
      <w:hyperlink r:id="rId19">
        <w:r>
          <w:rPr>
            <w:rFonts w:ascii="Arial" w:eastAsia="Arial" w:hAnsi="Arial" w:cs="Arial"/>
            <w:sz w:val="20"/>
            <w:szCs w:val="20"/>
          </w:rPr>
          <w:t>https://doi.org/10.32622/ijrat.72201935</w:t>
        </w:r>
      </w:hyperlink>
    </w:p>
    <w:p w14:paraId="10DDB26D"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Llanto, G. M., &amp; </w:t>
      </w:r>
      <w:proofErr w:type="spellStart"/>
      <w:r>
        <w:rPr>
          <w:rFonts w:ascii="Arial" w:eastAsia="Arial" w:hAnsi="Arial" w:cs="Arial"/>
          <w:sz w:val="20"/>
          <w:szCs w:val="20"/>
        </w:rPr>
        <w:t>Rosellon</w:t>
      </w:r>
      <w:proofErr w:type="spellEnd"/>
      <w:r>
        <w:rPr>
          <w:rFonts w:ascii="Arial" w:eastAsia="Arial" w:hAnsi="Arial" w:cs="Arial"/>
          <w:sz w:val="20"/>
          <w:szCs w:val="20"/>
        </w:rPr>
        <w:t xml:space="preserve">, M. A. D. (2017). </w:t>
      </w:r>
      <w:r>
        <w:rPr>
          <w:rFonts w:ascii="Arial" w:eastAsia="Arial" w:hAnsi="Arial" w:cs="Arial"/>
          <w:i/>
          <w:sz w:val="20"/>
          <w:szCs w:val="20"/>
        </w:rPr>
        <w:t>What determines financial inclusion in the Philippines? Evidence from a national baseline survey</w:t>
      </w:r>
      <w:r>
        <w:rPr>
          <w:rFonts w:ascii="Arial" w:eastAsia="Arial" w:hAnsi="Arial" w:cs="Arial"/>
          <w:sz w:val="20"/>
          <w:szCs w:val="20"/>
        </w:rPr>
        <w:t xml:space="preserve"> (No. 2017-38). PIDS Discussion Paper Series. https://hdl.handle.net/10419/210998</w:t>
      </w:r>
    </w:p>
    <w:p w14:paraId="2412B2A0"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Lewis, B. R., Reid, I., &amp; Bamford, D. (2016). Managing service quality. </w:t>
      </w:r>
      <w:r>
        <w:rPr>
          <w:rFonts w:ascii="Arial" w:eastAsia="Arial" w:hAnsi="Arial" w:cs="Arial"/>
          <w:i/>
          <w:sz w:val="20"/>
          <w:szCs w:val="20"/>
        </w:rPr>
        <w:t>Managing Quality 6e: An Essential Guide and Resource Gateway</w:t>
      </w:r>
      <w:r>
        <w:rPr>
          <w:rFonts w:ascii="Arial" w:eastAsia="Arial" w:hAnsi="Arial" w:cs="Arial"/>
          <w:sz w:val="20"/>
          <w:szCs w:val="20"/>
        </w:rPr>
        <w:t>, 119-139.</w:t>
      </w:r>
      <w:hyperlink r:id="rId20">
        <w:r>
          <w:rPr>
            <w:rFonts w:ascii="Arial" w:eastAsia="Arial" w:hAnsi="Arial" w:cs="Arial"/>
            <w:sz w:val="20"/>
            <w:szCs w:val="20"/>
          </w:rPr>
          <w:t xml:space="preserve"> </w:t>
        </w:r>
      </w:hyperlink>
      <w:hyperlink r:id="rId21">
        <w:r>
          <w:rPr>
            <w:rFonts w:ascii="Arial" w:eastAsia="Arial" w:hAnsi="Arial" w:cs="Arial"/>
            <w:sz w:val="20"/>
            <w:szCs w:val="20"/>
          </w:rPr>
          <w:t>https://doi.org/10.1002/9781119302735.ch6</w:t>
        </w:r>
      </w:hyperlink>
    </w:p>
    <w:p w14:paraId="7C5B7259"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Mburu, P. N. (2014). Demographic statistics, customer satisfaction and retention: The Kenyan banking industry. </w:t>
      </w:r>
      <w:r>
        <w:rPr>
          <w:rFonts w:ascii="Arial" w:eastAsia="Arial" w:hAnsi="Arial" w:cs="Arial"/>
          <w:i/>
          <w:sz w:val="20"/>
          <w:szCs w:val="20"/>
        </w:rPr>
        <w:t>Journal of b</w:t>
      </w:r>
      <w:r>
        <w:rPr>
          <w:rFonts w:ascii="Arial" w:eastAsia="Arial" w:hAnsi="Arial" w:cs="Arial"/>
          <w:i/>
          <w:sz w:val="20"/>
          <w:szCs w:val="20"/>
        </w:rPr>
        <w:t>usiness and economics</w:t>
      </w:r>
      <w:r>
        <w:rPr>
          <w:rFonts w:ascii="Arial" w:eastAsia="Arial" w:hAnsi="Arial" w:cs="Arial"/>
          <w:sz w:val="20"/>
          <w:szCs w:val="20"/>
        </w:rPr>
        <w:t xml:space="preserve">, </w:t>
      </w:r>
      <w:r>
        <w:rPr>
          <w:rFonts w:ascii="Arial" w:eastAsia="Arial" w:hAnsi="Arial" w:cs="Arial"/>
          <w:i/>
          <w:sz w:val="20"/>
          <w:szCs w:val="20"/>
        </w:rPr>
        <w:t>5</w:t>
      </w:r>
      <w:r>
        <w:rPr>
          <w:rFonts w:ascii="Arial" w:eastAsia="Arial" w:hAnsi="Arial" w:cs="Arial"/>
          <w:sz w:val="20"/>
          <w:szCs w:val="20"/>
        </w:rPr>
        <w:t>(11), 2105-2118. https://doi.org/10.15341/jbe%282155-7950%29%2F11.05.2014%2F015</w:t>
      </w:r>
    </w:p>
    <w:p w14:paraId="5B3EB272"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Mahardika</w:t>
      </w:r>
      <w:proofErr w:type="spellEnd"/>
      <w:r>
        <w:rPr>
          <w:rFonts w:ascii="Arial" w:eastAsia="Arial" w:hAnsi="Arial" w:cs="Arial"/>
          <w:sz w:val="20"/>
          <w:szCs w:val="20"/>
        </w:rPr>
        <w:t xml:space="preserve">, N.O., </w:t>
      </w:r>
      <w:proofErr w:type="spellStart"/>
      <w:r>
        <w:rPr>
          <w:rFonts w:ascii="Arial" w:eastAsia="Arial" w:hAnsi="Arial" w:cs="Arial"/>
          <w:sz w:val="20"/>
          <w:szCs w:val="20"/>
        </w:rPr>
        <w:t>Suardhika</w:t>
      </w:r>
      <w:proofErr w:type="spellEnd"/>
      <w:r>
        <w:rPr>
          <w:rFonts w:ascii="Arial" w:eastAsia="Arial" w:hAnsi="Arial" w:cs="Arial"/>
          <w:sz w:val="20"/>
          <w:szCs w:val="20"/>
        </w:rPr>
        <w:t xml:space="preserve">, D.I., </w:t>
      </w:r>
      <w:proofErr w:type="spellStart"/>
      <w:r>
        <w:rPr>
          <w:rFonts w:ascii="Arial" w:eastAsia="Arial" w:hAnsi="Arial" w:cs="Arial"/>
          <w:sz w:val="20"/>
          <w:szCs w:val="20"/>
        </w:rPr>
        <w:t>Nengah</w:t>
      </w:r>
      <w:proofErr w:type="spellEnd"/>
      <w:r>
        <w:rPr>
          <w:rFonts w:ascii="Arial" w:eastAsia="Arial" w:hAnsi="Arial" w:cs="Arial"/>
          <w:sz w:val="20"/>
          <w:szCs w:val="20"/>
        </w:rPr>
        <w:t xml:space="preserve">, D.I., &amp; Landra (2018). Determination Loyalty Based on Service Quality, Customer Satisfaction and Trust at Pt. </w:t>
      </w:r>
      <w:proofErr w:type="spellStart"/>
      <w:r>
        <w:rPr>
          <w:rFonts w:ascii="Arial" w:eastAsia="Arial" w:hAnsi="Arial" w:cs="Arial"/>
          <w:sz w:val="20"/>
          <w:szCs w:val="20"/>
        </w:rPr>
        <w:t>Bpr</w:t>
      </w:r>
      <w:proofErr w:type="spellEnd"/>
      <w:r>
        <w:rPr>
          <w:rFonts w:ascii="Arial" w:eastAsia="Arial" w:hAnsi="Arial" w:cs="Arial"/>
          <w:sz w:val="20"/>
          <w:szCs w:val="20"/>
        </w:rPr>
        <w:t xml:space="preserve"> Bukit </w:t>
      </w:r>
      <w:proofErr w:type="spellStart"/>
      <w:r>
        <w:rPr>
          <w:rFonts w:ascii="Arial" w:eastAsia="Arial" w:hAnsi="Arial" w:cs="Arial"/>
          <w:sz w:val="20"/>
          <w:szCs w:val="20"/>
        </w:rPr>
        <w:t>Tanjung</w:t>
      </w:r>
      <w:proofErr w:type="spellEnd"/>
      <w:r>
        <w:rPr>
          <w:rFonts w:ascii="Arial" w:eastAsia="Arial" w:hAnsi="Arial" w:cs="Arial"/>
          <w:sz w:val="20"/>
          <w:szCs w:val="20"/>
        </w:rPr>
        <w:t xml:space="preserve"> </w:t>
      </w:r>
      <w:proofErr w:type="spellStart"/>
      <w:r>
        <w:rPr>
          <w:rFonts w:ascii="Arial" w:eastAsia="Arial" w:hAnsi="Arial" w:cs="Arial"/>
          <w:sz w:val="20"/>
          <w:szCs w:val="20"/>
        </w:rPr>
        <w:t>Badung</w:t>
      </w:r>
      <w:proofErr w:type="spellEnd"/>
      <w:r>
        <w:rPr>
          <w:rFonts w:ascii="Arial" w:eastAsia="Arial" w:hAnsi="Arial" w:cs="Arial"/>
          <w:sz w:val="20"/>
          <w:szCs w:val="20"/>
        </w:rPr>
        <w:t>.</w:t>
      </w:r>
    </w:p>
    <w:p w14:paraId="0F50B1D5"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Malabanan</w:t>
      </w:r>
      <w:proofErr w:type="spellEnd"/>
      <w:r>
        <w:rPr>
          <w:rFonts w:ascii="Arial" w:eastAsia="Arial" w:hAnsi="Arial" w:cs="Arial"/>
          <w:sz w:val="20"/>
          <w:szCs w:val="20"/>
        </w:rPr>
        <w:t xml:space="preserve">, L.M., &amp; </w:t>
      </w:r>
      <w:proofErr w:type="spellStart"/>
      <w:r>
        <w:rPr>
          <w:rFonts w:ascii="Arial" w:eastAsia="Arial" w:hAnsi="Arial" w:cs="Arial"/>
          <w:sz w:val="20"/>
          <w:szCs w:val="20"/>
        </w:rPr>
        <w:t>Dacara</w:t>
      </w:r>
      <w:proofErr w:type="spellEnd"/>
      <w:r>
        <w:rPr>
          <w:rFonts w:ascii="Arial" w:eastAsia="Arial" w:hAnsi="Arial" w:cs="Arial"/>
          <w:sz w:val="20"/>
          <w:szCs w:val="20"/>
        </w:rPr>
        <w:t xml:space="preserve">, J.M. (2024). The Impact Assessment of the Community Extension Services. </w:t>
      </w:r>
      <w:r>
        <w:rPr>
          <w:rFonts w:ascii="Arial" w:eastAsia="Arial" w:hAnsi="Arial" w:cs="Arial"/>
          <w:i/>
          <w:sz w:val="20"/>
          <w:szCs w:val="20"/>
        </w:rPr>
        <w:t>Journal of Public Health Sciences</w:t>
      </w:r>
      <w:r>
        <w:rPr>
          <w:rFonts w:ascii="Arial" w:eastAsia="Arial" w:hAnsi="Arial" w:cs="Arial"/>
          <w:sz w:val="20"/>
          <w:szCs w:val="20"/>
        </w:rPr>
        <w:t>. https://doi.org/10.56741/jphs.v3i03.641</w:t>
      </w:r>
    </w:p>
    <w:p w14:paraId="25C2F9DE"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Mian, T.S. (2014). The Role of Service Quality in Develo</w:t>
      </w:r>
      <w:r>
        <w:rPr>
          <w:rFonts w:ascii="Arial" w:eastAsia="Arial" w:hAnsi="Arial" w:cs="Arial"/>
          <w:sz w:val="20"/>
          <w:szCs w:val="20"/>
        </w:rPr>
        <w:t xml:space="preserve">ping Customer Loyalty in the Banking Sector: A Case study of the Kingdom of Saudi Arabia. </w:t>
      </w:r>
      <w:r>
        <w:rPr>
          <w:rFonts w:ascii="Arial" w:eastAsia="Arial" w:hAnsi="Arial" w:cs="Arial"/>
          <w:i/>
          <w:sz w:val="20"/>
          <w:szCs w:val="20"/>
        </w:rPr>
        <w:t>International Journal of Accounting and Financial Reporting, 4</w:t>
      </w:r>
      <w:r>
        <w:rPr>
          <w:rFonts w:ascii="Arial" w:eastAsia="Arial" w:hAnsi="Arial" w:cs="Arial"/>
          <w:sz w:val="20"/>
          <w:szCs w:val="20"/>
        </w:rPr>
        <w:t>, 339-360.</w:t>
      </w:r>
    </w:p>
    <w:p w14:paraId="43F88A0C" w14:textId="77777777" w:rsidR="00587694" w:rsidRDefault="00416116">
      <w:pPr>
        <w:spacing w:before="240" w:after="0" w:line="240" w:lineRule="auto"/>
        <w:ind w:right="100"/>
        <w:jc w:val="both"/>
        <w:rPr>
          <w:rFonts w:ascii="Arial" w:eastAsia="Arial" w:hAnsi="Arial" w:cs="Arial"/>
          <w:sz w:val="20"/>
          <w:szCs w:val="20"/>
        </w:rPr>
      </w:pPr>
      <w:proofErr w:type="spellStart"/>
      <w:r>
        <w:rPr>
          <w:rFonts w:ascii="Arial" w:eastAsia="Arial" w:hAnsi="Arial" w:cs="Arial"/>
          <w:sz w:val="20"/>
          <w:szCs w:val="20"/>
        </w:rPr>
        <w:t>Monferrer</w:t>
      </w:r>
      <w:proofErr w:type="spellEnd"/>
      <w:r>
        <w:rPr>
          <w:rFonts w:ascii="Arial" w:eastAsia="Arial" w:hAnsi="Arial" w:cs="Arial"/>
          <w:sz w:val="20"/>
          <w:szCs w:val="20"/>
        </w:rPr>
        <w:t>, D., Segarra, J.R., Estrada, M., &amp; Moliner, M.A. (2019). Service Quality and Custom</w:t>
      </w:r>
      <w:r>
        <w:rPr>
          <w:rFonts w:ascii="Arial" w:eastAsia="Arial" w:hAnsi="Arial" w:cs="Arial"/>
          <w:sz w:val="20"/>
          <w:szCs w:val="20"/>
        </w:rPr>
        <w:t xml:space="preserve">er Loyalty in a Post-Crisis Context. Prediction-Oriented </w:t>
      </w:r>
      <w:proofErr w:type="spellStart"/>
      <w:r>
        <w:rPr>
          <w:rFonts w:ascii="Arial" w:eastAsia="Arial" w:hAnsi="Arial" w:cs="Arial"/>
          <w:sz w:val="20"/>
          <w:szCs w:val="20"/>
        </w:rPr>
        <w:t>Modeling</w:t>
      </w:r>
      <w:proofErr w:type="spellEnd"/>
      <w:r>
        <w:rPr>
          <w:rFonts w:ascii="Arial" w:eastAsia="Arial" w:hAnsi="Arial" w:cs="Arial"/>
          <w:sz w:val="20"/>
          <w:szCs w:val="20"/>
        </w:rPr>
        <w:t xml:space="preserve"> to Enhance the Particular Importance of a Social and Sustainable Approach Sustainability.</w:t>
      </w:r>
    </w:p>
    <w:p w14:paraId="30D4C461" w14:textId="77777777" w:rsidR="00587694" w:rsidRDefault="00416116">
      <w:pPr>
        <w:spacing w:before="240" w:after="0" w:line="240" w:lineRule="auto"/>
        <w:ind w:right="100"/>
        <w:jc w:val="both"/>
        <w:rPr>
          <w:rFonts w:ascii="Arial" w:eastAsia="Arial" w:hAnsi="Arial" w:cs="Arial"/>
          <w:sz w:val="20"/>
          <w:szCs w:val="20"/>
        </w:rPr>
      </w:pPr>
      <w:proofErr w:type="spellStart"/>
      <w:r>
        <w:rPr>
          <w:rFonts w:ascii="Arial" w:eastAsia="Arial" w:hAnsi="Arial" w:cs="Arial"/>
          <w:sz w:val="20"/>
          <w:szCs w:val="20"/>
        </w:rPr>
        <w:t>Oyeleye</w:t>
      </w:r>
      <w:proofErr w:type="spellEnd"/>
      <w:r>
        <w:rPr>
          <w:rFonts w:ascii="Arial" w:eastAsia="Arial" w:hAnsi="Arial" w:cs="Arial"/>
          <w:sz w:val="20"/>
          <w:szCs w:val="20"/>
        </w:rPr>
        <w:t>, O., Sanni, M., &amp; Shittu, T. (2015). An investigation of the effects of customer's education</w:t>
      </w:r>
      <w:r>
        <w:rPr>
          <w:rFonts w:ascii="Arial" w:eastAsia="Arial" w:hAnsi="Arial" w:cs="Arial"/>
          <w:sz w:val="20"/>
          <w:szCs w:val="20"/>
        </w:rPr>
        <w:t xml:space="preserve">al attainment on their adoption of e-banking in Nigeria. </w:t>
      </w:r>
      <w:r>
        <w:rPr>
          <w:rFonts w:ascii="Arial" w:eastAsia="Arial" w:hAnsi="Arial" w:cs="Arial"/>
          <w:i/>
          <w:sz w:val="20"/>
          <w:szCs w:val="20"/>
        </w:rPr>
        <w:t>Journal of Internet Banking and Commerce</w:t>
      </w:r>
      <w:r>
        <w:rPr>
          <w:rFonts w:ascii="Arial" w:eastAsia="Arial" w:hAnsi="Arial" w:cs="Arial"/>
          <w:sz w:val="20"/>
          <w:szCs w:val="20"/>
        </w:rPr>
        <w:t xml:space="preserve">, </w:t>
      </w:r>
      <w:r>
        <w:rPr>
          <w:rFonts w:ascii="Arial" w:eastAsia="Arial" w:hAnsi="Arial" w:cs="Arial"/>
          <w:i/>
          <w:sz w:val="20"/>
          <w:szCs w:val="20"/>
        </w:rPr>
        <w:t>20</w:t>
      </w:r>
      <w:r>
        <w:rPr>
          <w:rFonts w:ascii="Arial" w:eastAsia="Arial" w:hAnsi="Arial" w:cs="Arial"/>
          <w:sz w:val="20"/>
          <w:szCs w:val="20"/>
        </w:rPr>
        <w:t>(3), 1. https://doi.org/10.4172/1204-5357.1000133</w:t>
      </w:r>
    </w:p>
    <w:p w14:paraId="6D7E84CB" w14:textId="77777777" w:rsidR="00587694" w:rsidRDefault="00416116">
      <w:pPr>
        <w:spacing w:before="240" w:after="0" w:line="240" w:lineRule="auto"/>
        <w:ind w:right="100"/>
        <w:jc w:val="both"/>
        <w:rPr>
          <w:rFonts w:ascii="Arial" w:eastAsia="Arial" w:hAnsi="Arial" w:cs="Arial"/>
          <w:sz w:val="20"/>
          <w:szCs w:val="20"/>
        </w:rPr>
      </w:pPr>
      <w:r>
        <w:rPr>
          <w:rFonts w:ascii="Arial" w:eastAsia="Arial" w:hAnsi="Arial" w:cs="Arial"/>
          <w:sz w:val="20"/>
          <w:szCs w:val="20"/>
        </w:rPr>
        <w:t xml:space="preserve"> Pakurár, M., Haddad, H., Nagy, J., Popp, J., &amp; Oláh, J. (2019). The Service Quality</w:t>
      </w:r>
    </w:p>
    <w:p w14:paraId="29B94B7F" w14:textId="77777777" w:rsidR="00587694" w:rsidRDefault="00416116">
      <w:pPr>
        <w:spacing w:before="240" w:after="240" w:line="240" w:lineRule="auto"/>
        <w:ind w:right="420"/>
        <w:jc w:val="both"/>
        <w:rPr>
          <w:rFonts w:ascii="Arial" w:eastAsia="Arial" w:hAnsi="Arial" w:cs="Arial"/>
          <w:sz w:val="20"/>
          <w:szCs w:val="20"/>
        </w:rPr>
      </w:pPr>
      <w:r>
        <w:rPr>
          <w:rFonts w:ascii="Arial" w:eastAsia="Arial" w:hAnsi="Arial" w:cs="Arial"/>
          <w:sz w:val="20"/>
          <w:szCs w:val="20"/>
        </w:rPr>
        <w:t xml:space="preserve">Dimensions that Affect Customer Satisfaction in the Jordanian Banking Sector. </w:t>
      </w:r>
      <w:r>
        <w:rPr>
          <w:rFonts w:ascii="Arial" w:eastAsia="Arial" w:hAnsi="Arial" w:cs="Arial"/>
          <w:i/>
          <w:sz w:val="20"/>
          <w:szCs w:val="20"/>
        </w:rPr>
        <w:t>Sustainability</w:t>
      </w:r>
      <w:r>
        <w:rPr>
          <w:rFonts w:ascii="Arial" w:eastAsia="Arial" w:hAnsi="Arial" w:cs="Arial"/>
          <w:sz w:val="20"/>
          <w:szCs w:val="20"/>
        </w:rPr>
        <w:t>.</w:t>
      </w:r>
    </w:p>
    <w:p w14:paraId="44920268"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Park, J.Y., &amp; Lee, C.W. (2023). A Study on the Analysis of the Impact of Service Quality of Financial Institutions on Customer Satisfaction and Loyalty. </w:t>
      </w:r>
      <w:r>
        <w:rPr>
          <w:rFonts w:ascii="Arial" w:eastAsia="Arial" w:hAnsi="Arial" w:cs="Arial"/>
          <w:i/>
          <w:sz w:val="20"/>
          <w:szCs w:val="20"/>
        </w:rPr>
        <w:t>Journal o</w:t>
      </w:r>
      <w:r>
        <w:rPr>
          <w:rFonts w:ascii="Arial" w:eastAsia="Arial" w:hAnsi="Arial" w:cs="Arial"/>
          <w:i/>
          <w:sz w:val="20"/>
          <w:szCs w:val="20"/>
        </w:rPr>
        <w:t>f the Korea Real Estate Management Review</w:t>
      </w:r>
      <w:r>
        <w:rPr>
          <w:rFonts w:ascii="Arial" w:eastAsia="Arial" w:hAnsi="Arial" w:cs="Arial"/>
          <w:sz w:val="20"/>
          <w:szCs w:val="20"/>
        </w:rPr>
        <w:t>. https://doi.org/10.37642/jkremr.2023.28.2</w:t>
      </w:r>
    </w:p>
    <w:p w14:paraId="30731D42"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Prasad J and Lakshmi V. (2020), “The Influence of customer education and their protection in Banking services”, International Journal of Social Sciences &amp; Economic Environ</w:t>
      </w:r>
      <w:r>
        <w:rPr>
          <w:rFonts w:ascii="Arial" w:eastAsia="Arial" w:hAnsi="Arial" w:cs="Arial"/>
          <w:sz w:val="20"/>
          <w:szCs w:val="20"/>
        </w:rPr>
        <w:t xml:space="preserve">ment, Vol. </w:t>
      </w:r>
      <w:proofErr w:type="gramStart"/>
      <w:r>
        <w:rPr>
          <w:rFonts w:ascii="Arial" w:eastAsia="Arial" w:hAnsi="Arial" w:cs="Arial"/>
          <w:sz w:val="20"/>
          <w:szCs w:val="20"/>
        </w:rPr>
        <w:t>5,Issue</w:t>
      </w:r>
      <w:proofErr w:type="gramEnd"/>
      <w:r>
        <w:rPr>
          <w:rFonts w:ascii="Arial" w:eastAsia="Arial" w:hAnsi="Arial" w:cs="Arial"/>
          <w:sz w:val="20"/>
          <w:szCs w:val="20"/>
        </w:rPr>
        <w:t xml:space="preserve"> 2, 2020, pp 01–11. DOI:</w:t>
      </w:r>
      <w:hyperlink r:id="rId22">
        <w:r>
          <w:rPr>
            <w:rFonts w:ascii="Arial" w:eastAsia="Arial" w:hAnsi="Arial" w:cs="Arial"/>
            <w:sz w:val="20"/>
            <w:szCs w:val="20"/>
          </w:rPr>
          <w:t xml:space="preserve"> </w:t>
        </w:r>
      </w:hyperlink>
      <w:hyperlink r:id="rId23">
        <w:r>
          <w:rPr>
            <w:rFonts w:ascii="Arial" w:eastAsia="Arial" w:hAnsi="Arial" w:cs="Arial"/>
            <w:sz w:val="20"/>
            <w:szCs w:val="20"/>
          </w:rPr>
          <w:t>https://doi.org/10.53882/IJSSEE.2020.0502001</w:t>
        </w:r>
      </w:hyperlink>
    </w:p>
    <w:p w14:paraId="4B363FC6"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Puspitasari</w:t>
      </w:r>
      <w:proofErr w:type="spellEnd"/>
      <w:r>
        <w:rPr>
          <w:rFonts w:ascii="Arial" w:eastAsia="Arial" w:hAnsi="Arial" w:cs="Arial"/>
          <w:sz w:val="20"/>
          <w:szCs w:val="20"/>
        </w:rPr>
        <w:t xml:space="preserve">, D. A., &amp; </w:t>
      </w:r>
      <w:proofErr w:type="spellStart"/>
      <w:r>
        <w:rPr>
          <w:rFonts w:ascii="Arial" w:eastAsia="Arial" w:hAnsi="Arial" w:cs="Arial"/>
          <w:sz w:val="20"/>
          <w:szCs w:val="20"/>
        </w:rPr>
        <w:t>Kustiawan</w:t>
      </w:r>
      <w:proofErr w:type="spellEnd"/>
      <w:r>
        <w:rPr>
          <w:rFonts w:ascii="Arial" w:eastAsia="Arial" w:hAnsi="Arial" w:cs="Arial"/>
          <w:sz w:val="20"/>
          <w:szCs w:val="20"/>
        </w:rPr>
        <w:t>, U. (202</w:t>
      </w:r>
      <w:r>
        <w:rPr>
          <w:rFonts w:ascii="Arial" w:eastAsia="Arial" w:hAnsi="Arial" w:cs="Arial"/>
          <w:sz w:val="20"/>
          <w:szCs w:val="20"/>
        </w:rPr>
        <w:t xml:space="preserve">3). </w:t>
      </w:r>
      <w:proofErr w:type="spellStart"/>
      <w:r>
        <w:rPr>
          <w:rFonts w:ascii="Arial" w:eastAsia="Arial" w:hAnsi="Arial" w:cs="Arial"/>
          <w:sz w:val="20"/>
          <w:szCs w:val="20"/>
        </w:rPr>
        <w:t>Peran</w:t>
      </w:r>
      <w:proofErr w:type="spellEnd"/>
      <w:r>
        <w:rPr>
          <w:rFonts w:ascii="Arial" w:eastAsia="Arial" w:hAnsi="Arial" w:cs="Arial"/>
          <w:sz w:val="20"/>
          <w:szCs w:val="20"/>
        </w:rPr>
        <w:t xml:space="preserve"> Customer Experience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Loyalty, Word </w:t>
      </w:r>
      <w:proofErr w:type="gramStart"/>
      <w:r>
        <w:rPr>
          <w:rFonts w:ascii="Arial" w:eastAsia="Arial" w:hAnsi="Arial" w:cs="Arial"/>
          <w:sz w:val="20"/>
          <w:szCs w:val="20"/>
        </w:rPr>
        <w:t>Of</w:t>
      </w:r>
      <w:proofErr w:type="gramEnd"/>
      <w:r>
        <w:rPr>
          <w:rFonts w:ascii="Arial" w:eastAsia="Arial" w:hAnsi="Arial" w:cs="Arial"/>
          <w:sz w:val="20"/>
          <w:szCs w:val="20"/>
        </w:rPr>
        <w:t xml:space="preserve"> Mouth Dan Retention </w:t>
      </w:r>
      <w:proofErr w:type="spellStart"/>
      <w:r>
        <w:rPr>
          <w:rFonts w:ascii="Arial" w:eastAsia="Arial" w:hAnsi="Arial" w:cs="Arial"/>
          <w:sz w:val="20"/>
          <w:szCs w:val="20"/>
        </w:rPr>
        <w:t>Melalui</w:t>
      </w:r>
      <w:proofErr w:type="spellEnd"/>
      <w:r>
        <w:rPr>
          <w:rFonts w:ascii="Arial" w:eastAsia="Arial" w:hAnsi="Arial" w:cs="Arial"/>
          <w:sz w:val="20"/>
          <w:szCs w:val="20"/>
        </w:rPr>
        <w:t xml:space="preserve"> Relationship Quality. </w:t>
      </w:r>
      <w:proofErr w:type="spellStart"/>
      <w:r>
        <w:rPr>
          <w:rFonts w:ascii="Arial" w:eastAsia="Arial" w:hAnsi="Arial" w:cs="Arial"/>
          <w:i/>
          <w:sz w:val="20"/>
          <w:szCs w:val="20"/>
        </w:rPr>
        <w:t>Manajemen</w:t>
      </w:r>
      <w:proofErr w:type="spellEnd"/>
      <w:r>
        <w:rPr>
          <w:rFonts w:ascii="Arial" w:eastAsia="Arial" w:hAnsi="Arial" w:cs="Arial"/>
          <w:i/>
          <w:sz w:val="20"/>
          <w:szCs w:val="20"/>
        </w:rPr>
        <w:t xml:space="preserve"> </w:t>
      </w:r>
      <w:proofErr w:type="spellStart"/>
      <w:r>
        <w:rPr>
          <w:rFonts w:ascii="Arial" w:eastAsia="Arial" w:hAnsi="Arial" w:cs="Arial"/>
          <w:i/>
          <w:sz w:val="20"/>
          <w:szCs w:val="20"/>
        </w:rPr>
        <w:t>Dewantara</w:t>
      </w:r>
      <w:proofErr w:type="spellEnd"/>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(3), 548-559. https://doi.org/10.30738/md.v7i3.16367</w:t>
      </w:r>
    </w:p>
    <w:p w14:paraId="7B395DC0"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lastRenderedPageBreak/>
        <w:t xml:space="preserve">R., &amp; George, M.R. (2022). Investors’ Perception and </w:t>
      </w:r>
      <w:proofErr w:type="spellStart"/>
      <w:r>
        <w:rPr>
          <w:rFonts w:ascii="Arial" w:eastAsia="Arial" w:hAnsi="Arial" w:cs="Arial"/>
          <w:sz w:val="20"/>
          <w:szCs w:val="20"/>
        </w:rPr>
        <w:t>Behavior</w:t>
      </w:r>
      <w:proofErr w:type="spellEnd"/>
      <w:r>
        <w:rPr>
          <w:rFonts w:ascii="Arial" w:eastAsia="Arial" w:hAnsi="Arial" w:cs="Arial"/>
          <w:sz w:val="20"/>
          <w:szCs w:val="20"/>
        </w:rPr>
        <w:t xml:space="preserve"> towards Inves</w:t>
      </w:r>
      <w:r>
        <w:rPr>
          <w:rFonts w:ascii="Arial" w:eastAsia="Arial" w:hAnsi="Arial" w:cs="Arial"/>
          <w:sz w:val="20"/>
          <w:szCs w:val="20"/>
        </w:rPr>
        <w:t xml:space="preserve">tment Schemes: An Empirical Study. </w:t>
      </w:r>
      <w:r>
        <w:rPr>
          <w:rFonts w:ascii="Arial" w:eastAsia="Arial" w:hAnsi="Arial" w:cs="Arial"/>
          <w:i/>
          <w:sz w:val="20"/>
          <w:szCs w:val="20"/>
        </w:rPr>
        <w:t>The Review of Contemporary Scientific and Academic Studies</w:t>
      </w:r>
      <w:r>
        <w:rPr>
          <w:rFonts w:ascii="Arial" w:eastAsia="Arial" w:hAnsi="Arial" w:cs="Arial"/>
          <w:sz w:val="20"/>
          <w:szCs w:val="20"/>
        </w:rPr>
        <w:t xml:space="preserve">.  </w:t>
      </w:r>
      <w:hyperlink r:id="rId24">
        <w:r>
          <w:rPr>
            <w:rFonts w:ascii="Arial" w:eastAsia="Arial" w:hAnsi="Arial" w:cs="Arial"/>
            <w:sz w:val="20"/>
            <w:szCs w:val="20"/>
          </w:rPr>
          <w:t>https://doi.org/10.55454/rcsas.2.11.2022.004</w:t>
        </w:r>
      </w:hyperlink>
    </w:p>
    <w:p w14:paraId="62CE923F"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Rosli, N.A., &amp; Nayan, S.M. (2020). Why Customer Fir</w:t>
      </w:r>
      <w:r>
        <w:rPr>
          <w:rFonts w:ascii="Arial" w:eastAsia="Arial" w:hAnsi="Arial" w:cs="Arial"/>
          <w:sz w:val="20"/>
          <w:szCs w:val="20"/>
        </w:rPr>
        <w:t>st.</w:t>
      </w:r>
    </w:p>
    <w:p w14:paraId="29CD72B3"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Rosima</w:t>
      </w:r>
      <w:proofErr w:type="spellEnd"/>
      <w:r>
        <w:rPr>
          <w:rFonts w:ascii="Arial" w:eastAsia="Arial" w:hAnsi="Arial" w:cs="Arial"/>
          <w:sz w:val="20"/>
          <w:szCs w:val="20"/>
        </w:rPr>
        <w:t xml:space="preserve">, N. (2022). Measuring Customer Experience in Select Rural Banks Through SERVQUAL. </w:t>
      </w:r>
      <w:r>
        <w:rPr>
          <w:rFonts w:ascii="Arial" w:eastAsia="Arial" w:hAnsi="Arial" w:cs="Arial"/>
          <w:i/>
          <w:sz w:val="20"/>
          <w:szCs w:val="20"/>
        </w:rPr>
        <w:t>International Journal of Academe and Industry Research</w:t>
      </w:r>
      <w:r>
        <w:rPr>
          <w:rFonts w:ascii="Arial" w:eastAsia="Arial" w:hAnsi="Arial" w:cs="Arial"/>
          <w:sz w:val="20"/>
          <w:szCs w:val="20"/>
        </w:rPr>
        <w:t xml:space="preserve">, </w:t>
      </w:r>
      <w:r>
        <w:rPr>
          <w:rFonts w:ascii="Arial" w:eastAsia="Arial" w:hAnsi="Arial" w:cs="Arial"/>
          <w:i/>
          <w:sz w:val="20"/>
          <w:szCs w:val="20"/>
        </w:rPr>
        <w:t>3</w:t>
      </w:r>
      <w:r>
        <w:rPr>
          <w:rFonts w:ascii="Arial" w:eastAsia="Arial" w:hAnsi="Arial" w:cs="Arial"/>
          <w:sz w:val="20"/>
          <w:szCs w:val="20"/>
        </w:rPr>
        <w:t>(4), 195-212. https://doi.org/10.53378/352955</w:t>
      </w:r>
    </w:p>
    <w:p w14:paraId="49B60183" w14:textId="77777777" w:rsidR="00587694" w:rsidRDefault="00416116">
      <w:pPr>
        <w:spacing w:before="240" w:after="500" w:line="240" w:lineRule="auto"/>
        <w:ind w:right="20"/>
        <w:jc w:val="both"/>
        <w:rPr>
          <w:rFonts w:ascii="Arial" w:eastAsia="Arial" w:hAnsi="Arial" w:cs="Arial"/>
          <w:sz w:val="20"/>
          <w:szCs w:val="20"/>
        </w:rPr>
      </w:pPr>
      <w:r>
        <w:rPr>
          <w:rFonts w:ascii="Arial" w:eastAsia="Arial" w:hAnsi="Arial" w:cs="Arial"/>
          <w:sz w:val="20"/>
          <w:szCs w:val="20"/>
        </w:rPr>
        <w:t xml:space="preserve">Sari, N. (2018). Service Quality, Company Image, Trust and Its Influence </w:t>
      </w:r>
      <w:proofErr w:type="gramStart"/>
      <w:r>
        <w:rPr>
          <w:rFonts w:ascii="Arial" w:eastAsia="Arial" w:hAnsi="Arial" w:cs="Arial"/>
          <w:sz w:val="20"/>
          <w:szCs w:val="20"/>
        </w:rPr>
        <w:t>On</w:t>
      </w:r>
      <w:proofErr w:type="gramEnd"/>
      <w:r>
        <w:rPr>
          <w:rFonts w:ascii="Arial" w:eastAsia="Arial" w:hAnsi="Arial" w:cs="Arial"/>
          <w:sz w:val="20"/>
          <w:szCs w:val="20"/>
        </w:rPr>
        <w:t xml:space="preserve"> Customers’ Satisfaction and Loyalty at Bank Shariah </w:t>
      </w:r>
      <w:proofErr w:type="spellStart"/>
      <w:r>
        <w:rPr>
          <w:rFonts w:ascii="Arial" w:eastAsia="Arial" w:hAnsi="Arial" w:cs="Arial"/>
          <w:sz w:val="20"/>
          <w:szCs w:val="20"/>
        </w:rPr>
        <w:t>Mandiri</w:t>
      </w:r>
      <w:proofErr w:type="spellEnd"/>
      <w:r>
        <w:rPr>
          <w:rFonts w:ascii="Arial" w:eastAsia="Arial" w:hAnsi="Arial" w:cs="Arial"/>
          <w:sz w:val="20"/>
          <w:szCs w:val="20"/>
        </w:rPr>
        <w:t xml:space="preserve"> (BSM) </w:t>
      </w:r>
      <w:proofErr w:type="spellStart"/>
      <w:r>
        <w:rPr>
          <w:rFonts w:ascii="Arial" w:eastAsia="Arial" w:hAnsi="Arial" w:cs="Arial"/>
          <w:sz w:val="20"/>
          <w:szCs w:val="20"/>
        </w:rPr>
        <w:t>Meulaboh</w:t>
      </w:r>
      <w:proofErr w:type="spellEnd"/>
      <w:r>
        <w:rPr>
          <w:rFonts w:ascii="Arial" w:eastAsia="Arial" w:hAnsi="Arial" w:cs="Arial"/>
          <w:sz w:val="20"/>
          <w:szCs w:val="20"/>
        </w:rPr>
        <w:t xml:space="preserve"> Branch Office. </w:t>
      </w:r>
      <w:proofErr w:type="spellStart"/>
      <w:r>
        <w:rPr>
          <w:rFonts w:ascii="Arial" w:eastAsia="Arial" w:hAnsi="Arial" w:cs="Arial"/>
          <w:i/>
          <w:sz w:val="20"/>
          <w:szCs w:val="20"/>
        </w:rPr>
        <w:t>Jurnal</w:t>
      </w:r>
      <w:proofErr w:type="spellEnd"/>
      <w:r>
        <w:rPr>
          <w:rFonts w:ascii="Arial" w:eastAsia="Arial" w:hAnsi="Arial" w:cs="Arial"/>
          <w:i/>
          <w:sz w:val="20"/>
          <w:szCs w:val="20"/>
        </w:rPr>
        <w:t xml:space="preserve"> </w:t>
      </w:r>
      <w:proofErr w:type="spellStart"/>
      <w:r>
        <w:rPr>
          <w:rFonts w:ascii="Arial" w:eastAsia="Arial" w:hAnsi="Arial" w:cs="Arial"/>
          <w:i/>
          <w:sz w:val="20"/>
          <w:szCs w:val="20"/>
        </w:rPr>
        <w:t>Ilmiah</w:t>
      </w:r>
      <w:proofErr w:type="spellEnd"/>
      <w:r>
        <w:rPr>
          <w:rFonts w:ascii="Arial" w:eastAsia="Arial" w:hAnsi="Arial" w:cs="Arial"/>
          <w:i/>
          <w:sz w:val="20"/>
          <w:szCs w:val="20"/>
        </w:rPr>
        <w:t xml:space="preserve"> </w:t>
      </w:r>
      <w:proofErr w:type="spellStart"/>
      <w:r>
        <w:rPr>
          <w:rFonts w:ascii="Arial" w:eastAsia="Arial" w:hAnsi="Arial" w:cs="Arial"/>
          <w:i/>
          <w:sz w:val="20"/>
          <w:szCs w:val="20"/>
        </w:rPr>
        <w:t>Peuradeun</w:t>
      </w:r>
      <w:proofErr w:type="spellEnd"/>
      <w:r>
        <w:rPr>
          <w:rFonts w:ascii="Arial" w:eastAsia="Arial" w:hAnsi="Arial" w:cs="Arial"/>
          <w:sz w:val="20"/>
          <w:szCs w:val="20"/>
        </w:rPr>
        <w:t>.</w:t>
      </w:r>
    </w:p>
    <w:p w14:paraId="6664D92D" w14:textId="77777777" w:rsidR="00587694" w:rsidRDefault="00416116">
      <w:pPr>
        <w:spacing w:before="240" w:after="500" w:line="240" w:lineRule="auto"/>
        <w:ind w:right="20"/>
        <w:jc w:val="both"/>
        <w:rPr>
          <w:rFonts w:ascii="Arial" w:eastAsia="Arial" w:hAnsi="Arial" w:cs="Arial"/>
          <w:sz w:val="20"/>
          <w:szCs w:val="20"/>
        </w:rPr>
      </w:pPr>
      <w:r>
        <w:rPr>
          <w:rFonts w:ascii="Arial" w:eastAsia="Arial" w:hAnsi="Arial" w:cs="Arial"/>
          <w:sz w:val="20"/>
          <w:szCs w:val="20"/>
        </w:rPr>
        <w:t>S, K. (2024). A Study on the Influence of Service Quality in Cust</w:t>
      </w:r>
      <w:r>
        <w:rPr>
          <w:rFonts w:ascii="Arial" w:eastAsia="Arial" w:hAnsi="Arial" w:cs="Arial"/>
          <w:sz w:val="20"/>
          <w:szCs w:val="20"/>
        </w:rPr>
        <w:t xml:space="preserve">omer Satisfaction; Application of </w:t>
      </w:r>
      <w:proofErr w:type="spellStart"/>
      <w:r>
        <w:rPr>
          <w:rFonts w:ascii="Arial" w:eastAsia="Arial" w:hAnsi="Arial" w:cs="Arial"/>
          <w:sz w:val="20"/>
          <w:szCs w:val="20"/>
        </w:rPr>
        <w:t>Servqual</w:t>
      </w:r>
      <w:proofErr w:type="spellEnd"/>
      <w:r>
        <w:rPr>
          <w:rFonts w:ascii="Arial" w:eastAsia="Arial" w:hAnsi="Arial" w:cs="Arial"/>
          <w:sz w:val="20"/>
          <w:szCs w:val="20"/>
        </w:rPr>
        <w:t xml:space="preserve"> Model with Special Reference to Home First Finance Company. </w:t>
      </w:r>
      <w:r>
        <w:rPr>
          <w:rFonts w:ascii="Arial" w:eastAsia="Arial" w:hAnsi="Arial" w:cs="Arial"/>
          <w:i/>
          <w:sz w:val="20"/>
          <w:szCs w:val="20"/>
        </w:rPr>
        <w:t>INTERANTIONAL JOURNAL OF SCIENTIFIC RESEARCH IN ENGINEERING AND MANAGEMENT</w:t>
      </w:r>
      <w:r>
        <w:rPr>
          <w:rFonts w:ascii="Arial" w:eastAsia="Arial" w:hAnsi="Arial" w:cs="Arial"/>
          <w:sz w:val="20"/>
          <w:szCs w:val="20"/>
        </w:rPr>
        <w:t>.</w:t>
      </w:r>
    </w:p>
    <w:p w14:paraId="45EC8457" w14:textId="77777777" w:rsidR="00587694" w:rsidRDefault="00416116">
      <w:pPr>
        <w:spacing w:before="240" w:after="500" w:line="240" w:lineRule="auto"/>
        <w:ind w:right="20"/>
        <w:jc w:val="both"/>
        <w:rPr>
          <w:rFonts w:ascii="Arial" w:eastAsia="Arial" w:hAnsi="Arial" w:cs="Arial"/>
          <w:sz w:val="20"/>
          <w:szCs w:val="20"/>
        </w:rPr>
      </w:pPr>
      <w:proofErr w:type="spellStart"/>
      <w:r>
        <w:rPr>
          <w:rFonts w:ascii="Arial" w:eastAsia="Arial" w:hAnsi="Arial" w:cs="Arial"/>
          <w:sz w:val="20"/>
          <w:szCs w:val="20"/>
        </w:rPr>
        <w:t>Sugiarto</w:t>
      </w:r>
      <w:proofErr w:type="spellEnd"/>
      <w:r>
        <w:rPr>
          <w:rFonts w:ascii="Arial" w:eastAsia="Arial" w:hAnsi="Arial" w:cs="Arial"/>
          <w:sz w:val="20"/>
          <w:szCs w:val="20"/>
        </w:rPr>
        <w:t>, S., &amp; Octaviana, V. (2021). Service Quality (SERVQUAL) Dimensions o</w:t>
      </w:r>
      <w:r>
        <w:rPr>
          <w:rFonts w:ascii="Arial" w:eastAsia="Arial" w:hAnsi="Arial" w:cs="Arial"/>
          <w:sz w:val="20"/>
          <w:szCs w:val="20"/>
        </w:rPr>
        <w:t xml:space="preserve">n Customer Satisfaction: Empirical Evidence from Bank Study. </w:t>
      </w:r>
      <w:r>
        <w:rPr>
          <w:rFonts w:ascii="Arial" w:eastAsia="Arial" w:hAnsi="Arial" w:cs="Arial"/>
          <w:i/>
          <w:sz w:val="20"/>
          <w:szCs w:val="20"/>
        </w:rPr>
        <w:t>Golden Ratio of Marketing and Applied Psychology of Business</w:t>
      </w:r>
      <w:r>
        <w:rPr>
          <w:rFonts w:ascii="Arial" w:eastAsia="Arial" w:hAnsi="Arial" w:cs="Arial"/>
          <w:sz w:val="20"/>
          <w:szCs w:val="20"/>
        </w:rPr>
        <w:t>. DOI:</w:t>
      </w:r>
      <w:hyperlink r:id="rId25">
        <w:r>
          <w:rPr>
            <w:rFonts w:ascii="Arial" w:eastAsia="Arial" w:hAnsi="Arial" w:cs="Arial"/>
            <w:sz w:val="20"/>
            <w:szCs w:val="20"/>
          </w:rPr>
          <w:t>10.52970/</w:t>
        </w:r>
        <w:proofErr w:type="gramStart"/>
        <w:r>
          <w:rPr>
            <w:rFonts w:ascii="Arial" w:eastAsia="Arial" w:hAnsi="Arial" w:cs="Arial"/>
            <w:sz w:val="20"/>
            <w:szCs w:val="20"/>
          </w:rPr>
          <w:t>grmapb.v</w:t>
        </w:r>
        <w:proofErr w:type="gramEnd"/>
        <w:r>
          <w:rPr>
            <w:rFonts w:ascii="Arial" w:eastAsia="Arial" w:hAnsi="Arial" w:cs="Arial"/>
            <w:sz w:val="20"/>
            <w:szCs w:val="20"/>
          </w:rPr>
          <w:t>1i2.103</w:t>
        </w:r>
      </w:hyperlink>
    </w:p>
    <w:p w14:paraId="1D9DD426" w14:textId="77777777" w:rsidR="00587694" w:rsidRDefault="00416116">
      <w:pPr>
        <w:spacing w:before="240" w:after="500" w:line="240" w:lineRule="auto"/>
        <w:ind w:right="20"/>
        <w:jc w:val="both"/>
        <w:rPr>
          <w:rFonts w:ascii="Arial" w:eastAsia="Arial" w:hAnsi="Arial" w:cs="Arial"/>
          <w:sz w:val="20"/>
          <w:szCs w:val="20"/>
        </w:rPr>
      </w:pPr>
      <w:proofErr w:type="spellStart"/>
      <w:r>
        <w:rPr>
          <w:rFonts w:ascii="Arial" w:eastAsia="Arial" w:hAnsi="Arial" w:cs="Arial"/>
          <w:sz w:val="20"/>
          <w:szCs w:val="20"/>
        </w:rPr>
        <w:t>Tenesaca-Machúcala</w:t>
      </w:r>
      <w:proofErr w:type="spellEnd"/>
      <w:r>
        <w:rPr>
          <w:rFonts w:ascii="Arial" w:eastAsia="Arial" w:hAnsi="Arial" w:cs="Arial"/>
          <w:sz w:val="20"/>
          <w:szCs w:val="20"/>
        </w:rPr>
        <w:t>, B.L., &amp; Rodríguez-</w:t>
      </w:r>
      <w:proofErr w:type="spellStart"/>
      <w:r>
        <w:rPr>
          <w:rFonts w:ascii="Arial" w:eastAsia="Arial" w:hAnsi="Arial" w:cs="Arial"/>
          <w:sz w:val="20"/>
          <w:szCs w:val="20"/>
        </w:rPr>
        <w:t>Pillag</w:t>
      </w:r>
      <w:r>
        <w:rPr>
          <w:rFonts w:ascii="Arial" w:eastAsia="Arial" w:hAnsi="Arial" w:cs="Arial"/>
          <w:sz w:val="20"/>
          <w:szCs w:val="20"/>
        </w:rPr>
        <w:t>a</w:t>
      </w:r>
      <w:proofErr w:type="spellEnd"/>
      <w:r>
        <w:rPr>
          <w:rFonts w:ascii="Arial" w:eastAsia="Arial" w:hAnsi="Arial" w:cs="Arial"/>
          <w:sz w:val="20"/>
          <w:szCs w:val="20"/>
        </w:rPr>
        <w:t xml:space="preserve">, R.T. (2022). Calidad de </w:t>
      </w:r>
      <w:proofErr w:type="spellStart"/>
      <w:r>
        <w:rPr>
          <w:rFonts w:ascii="Arial" w:eastAsia="Arial" w:hAnsi="Arial" w:cs="Arial"/>
          <w:sz w:val="20"/>
          <w:szCs w:val="20"/>
        </w:rPr>
        <w:t>servicio</w:t>
      </w:r>
      <w:proofErr w:type="spellEnd"/>
      <w:r>
        <w:rPr>
          <w:rFonts w:ascii="Arial" w:eastAsia="Arial" w:hAnsi="Arial" w:cs="Arial"/>
          <w:sz w:val="20"/>
          <w:szCs w:val="20"/>
        </w:rPr>
        <w:t xml:space="preserve"> y </w:t>
      </w:r>
      <w:proofErr w:type="spellStart"/>
      <w:r>
        <w:rPr>
          <w:rFonts w:ascii="Arial" w:eastAsia="Arial" w:hAnsi="Arial" w:cs="Arial"/>
          <w:sz w:val="20"/>
          <w:szCs w:val="20"/>
        </w:rPr>
        <w:t>satisfacción</w:t>
      </w:r>
      <w:proofErr w:type="spellEnd"/>
      <w:r>
        <w:rPr>
          <w:rFonts w:ascii="Arial" w:eastAsia="Arial" w:hAnsi="Arial" w:cs="Arial"/>
          <w:sz w:val="20"/>
          <w:szCs w:val="20"/>
        </w:rPr>
        <w:t xml:space="preserve"> del </w:t>
      </w:r>
      <w:proofErr w:type="spellStart"/>
      <w:r>
        <w:rPr>
          <w:rFonts w:ascii="Arial" w:eastAsia="Arial" w:hAnsi="Arial" w:cs="Arial"/>
          <w:sz w:val="20"/>
          <w:szCs w:val="20"/>
        </w:rPr>
        <w:t>usuario</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instituciones</w:t>
      </w:r>
      <w:proofErr w:type="spellEnd"/>
      <w:r>
        <w:rPr>
          <w:rFonts w:ascii="Arial" w:eastAsia="Arial" w:hAnsi="Arial" w:cs="Arial"/>
          <w:sz w:val="20"/>
          <w:szCs w:val="20"/>
        </w:rPr>
        <w:t xml:space="preserve"> </w:t>
      </w:r>
      <w:proofErr w:type="spellStart"/>
      <w:r>
        <w:rPr>
          <w:rFonts w:ascii="Arial" w:eastAsia="Arial" w:hAnsi="Arial" w:cs="Arial"/>
          <w:sz w:val="20"/>
          <w:szCs w:val="20"/>
        </w:rPr>
        <w:t>financieras</w:t>
      </w:r>
      <w:proofErr w:type="spellEnd"/>
      <w:r>
        <w:rPr>
          <w:rFonts w:ascii="Arial" w:eastAsia="Arial" w:hAnsi="Arial" w:cs="Arial"/>
          <w:sz w:val="20"/>
          <w:szCs w:val="20"/>
        </w:rPr>
        <w:t xml:space="preserve">. </w:t>
      </w:r>
      <w:r>
        <w:rPr>
          <w:rFonts w:ascii="Arial" w:eastAsia="Arial" w:hAnsi="Arial" w:cs="Arial"/>
          <w:i/>
          <w:sz w:val="20"/>
          <w:szCs w:val="20"/>
        </w:rPr>
        <w:t>CIENCIAMATRIA</w:t>
      </w:r>
      <w:r>
        <w:rPr>
          <w:rFonts w:ascii="Arial" w:eastAsia="Arial" w:hAnsi="Arial" w:cs="Arial"/>
          <w:sz w:val="20"/>
          <w:szCs w:val="20"/>
        </w:rPr>
        <w:t>.</w:t>
      </w:r>
    </w:p>
    <w:p w14:paraId="4AE087C7" w14:textId="77777777" w:rsidR="00587694" w:rsidRDefault="00416116">
      <w:pPr>
        <w:spacing w:before="240" w:after="500" w:line="240" w:lineRule="auto"/>
        <w:ind w:right="20"/>
        <w:jc w:val="both"/>
        <w:rPr>
          <w:rFonts w:ascii="Arial" w:eastAsia="Arial" w:hAnsi="Arial" w:cs="Arial"/>
          <w:sz w:val="20"/>
          <w:szCs w:val="20"/>
        </w:rPr>
      </w:pPr>
      <w:proofErr w:type="spellStart"/>
      <w:r>
        <w:rPr>
          <w:rFonts w:ascii="Arial" w:eastAsia="Arial" w:hAnsi="Arial" w:cs="Arial"/>
          <w:sz w:val="20"/>
          <w:szCs w:val="20"/>
        </w:rPr>
        <w:t>Thiel</w:t>
      </w:r>
      <w:proofErr w:type="spellEnd"/>
      <w:r>
        <w:rPr>
          <w:rFonts w:ascii="Arial" w:eastAsia="Arial" w:hAnsi="Arial" w:cs="Arial"/>
          <w:sz w:val="20"/>
          <w:szCs w:val="20"/>
        </w:rPr>
        <w:t xml:space="preserve">, D.V., &amp; </w:t>
      </w:r>
      <w:proofErr w:type="spellStart"/>
      <w:r>
        <w:rPr>
          <w:rFonts w:ascii="Arial" w:eastAsia="Arial" w:hAnsi="Arial" w:cs="Arial"/>
          <w:sz w:val="20"/>
          <w:szCs w:val="20"/>
        </w:rPr>
        <w:t>Raaij</w:t>
      </w:r>
      <w:proofErr w:type="spellEnd"/>
      <w:r>
        <w:rPr>
          <w:rFonts w:ascii="Arial" w:eastAsia="Arial" w:hAnsi="Arial" w:cs="Arial"/>
          <w:sz w:val="20"/>
          <w:szCs w:val="20"/>
        </w:rPr>
        <w:t>, F.V. (2017). Explaining customer experience of digital financial advice.</w:t>
      </w:r>
    </w:p>
    <w:p w14:paraId="22C5AC32"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Tus, J. H. O. S. E. L. L. E. (2020). The Demographic </w:t>
      </w:r>
      <w:r>
        <w:rPr>
          <w:rFonts w:ascii="Arial" w:eastAsia="Arial" w:hAnsi="Arial" w:cs="Arial"/>
          <w:sz w:val="20"/>
          <w:szCs w:val="20"/>
        </w:rPr>
        <w:t>Profile of the Residents of the Partner Community of St. Paul College of Bocaue: A Basis for Community Action Program. Asian Journal of Arts, Humanities and Social Studies, 35-44. https://doi.org/10.56557/ajahss/2020/v3i225</w:t>
      </w:r>
    </w:p>
    <w:p w14:paraId="146BB7E8"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Vidani, J. (2024). Service Quali</w:t>
      </w:r>
      <w:r>
        <w:rPr>
          <w:rFonts w:ascii="Arial" w:eastAsia="Arial" w:hAnsi="Arial" w:cs="Arial"/>
          <w:sz w:val="20"/>
          <w:szCs w:val="20"/>
        </w:rPr>
        <w:t xml:space="preserve">ty Dimensions in Banking: A Comprehensive Literature Review. </w:t>
      </w:r>
      <w:r>
        <w:rPr>
          <w:rFonts w:ascii="Arial" w:eastAsia="Arial" w:hAnsi="Arial" w:cs="Arial"/>
          <w:i/>
          <w:sz w:val="20"/>
          <w:szCs w:val="20"/>
        </w:rPr>
        <w:t>SSRN Electronic Journal</w:t>
      </w:r>
      <w:r>
        <w:rPr>
          <w:rFonts w:ascii="Arial" w:eastAsia="Arial" w:hAnsi="Arial" w:cs="Arial"/>
          <w:sz w:val="20"/>
          <w:szCs w:val="20"/>
        </w:rPr>
        <w:t>.</w:t>
      </w:r>
    </w:p>
    <w:p w14:paraId="037B0C89"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Vencataya</w:t>
      </w:r>
      <w:proofErr w:type="spellEnd"/>
      <w:r>
        <w:rPr>
          <w:rFonts w:ascii="Arial" w:eastAsia="Arial" w:hAnsi="Arial" w:cs="Arial"/>
          <w:sz w:val="20"/>
          <w:szCs w:val="20"/>
        </w:rPr>
        <w:t xml:space="preserve">, L., Pudaruth, S., </w:t>
      </w:r>
      <w:proofErr w:type="spellStart"/>
      <w:r>
        <w:rPr>
          <w:rFonts w:ascii="Arial" w:eastAsia="Arial" w:hAnsi="Arial" w:cs="Arial"/>
          <w:sz w:val="20"/>
          <w:szCs w:val="20"/>
        </w:rPr>
        <w:t>Juwaheer</w:t>
      </w:r>
      <w:proofErr w:type="spellEnd"/>
      <w:r>
        <w:rPr>
          <w:rFonts w:ascii="Arial" w:eastAsia="Arial" w:hAnsi="Arial" w:cs="Arial"/>
          <w:sz w:val="20"/>
          <w:szCs w:val="20"/>
        </w:rPr>
        <w:t xml:space="preserve">, R. T., </w:t>
      </w:r>
      <w:proofErr w:type="spellStart"/>
      <w:r>
        <w:rPr>
          <w:rFonts w:ascii="Arial" w:eastAsia="Arial" w:hAnsi="Arial" w:cs="Arial"/>
          <w:sz w:val="20"/>
          <w:szCs w:val="20"/>
        </w:rPr>
        <w:t>Dirpal</w:t>
      </w:r>
      <w:proofErr w:type="spellEnd"/>
      <w:r>
        <w:rPr>
          <w:rFonts w:ascii="Arial" w:eastAsia="Arial" w:hAnsi="Arial" w:cs="Arial"/>
          <w:sz w:val="20"/>
          <w:szCs w:val="20"/>
        </w:rPr>
        <w:t xml:space="preserve">, G., &amp; </w:t>
      </w:r>
      <w:proofErr w:type="spellStart"/>
      <w:r>
        <w:rPr>
          <w:rFonts w:ascii="Arial" w:eastAsia="Arial" w:hAnsi="Arial" w:cs="Arial"/>
          <w:sz w:val="20"/>
          <w:szCs w:val="20"/>
        </w:rPr>
        <w:t>Sumodhee</w:t>
      </w:r>
      <w:proofErr w:type="spellEnd"/>
      <w:r>
        <w:rPr>
          <w:rFonts w:ascii="Arial" w:eastAsia="Arial" w:hAnsi="Arial" w:cs="Arial"/>
          <w:sz w:val="20"/>
          <w:szCs w:val="20"/>
        </w:rPr>
        <w:t>, N. M. Z. (2019). Assessing the impact of service quality dimensions on customer satisfaction in comm</w:t>
      </w:r>
      <w:r>
        <w:rPr>
          <w:rFonts w:ascii="Arial" w:eastAsia="Arial" w:hAnsi="Arial" w:cs="Arial"/>
          <w:sz w:val="20"/>
          <w:szCs w:val="20"/>
        </w:rPr>
        <w:t xml:space="preserve">ercial banks of Mauritius. </w:t>
      </w:r>
      <w:r>
        <w:rPr>
          <w:rFonts w:ascii="Arial" w:eastAsia="Arial" w:hAnsi="Arial" w:cs="Arial"/>
          <w:i/>
          <w:sz w:val="20"/>
          <w:szCs w:val="20"/>
        </w:rPr>
        <w:t>Studies in Business and Economics</w:t>
      </w:r>
      <w:r>
        <w:rPr>
          <w:rFonts w:ascii="Arial" w:eastAsia="Arial" w:hAnsi="Arial" w:cs="Arial"/>
          <w:sz w:val="20"/>
          <w:szCs w:val="20"/>
        </w:rPr>
        <w:t xml:space="preserve">, </w:t>
      </w:r>
      <w:r>
        <w:rPr>
          <w:rFonts w:ascii="Arial" w:eastAsia="Arial" w:hAnsi="Arial" w:cs="Arial"/>
          <w:i/>
          <w:sz w:val="20"/>
          <w:szCs w:val="20"/>
        </w:rPr>
        <w:t>14</w:t>
      </w:r>
      <w:r>
        <w:rPr>
          <w:rFonts w:ascii="Arial" w:eastAsia="Arial" w:hAnsi="Arial" w:cs="Arial"/>
          <w:sz w:val="20"/>
          <w:szCs w:val="20"/>
        </w:rPr>
        <w:t>(1), 259270.</w:t>
      </w:r>
    </w:p>
    <w:p w14:paraId="229CA1AA" w14:textId="77777777" w:rsidR="00587694" w:rsidRDefault="00416116">
      <w:pPr>
        <w:spacing w:before="240" w:after="240" w:line="240" w:lineRule="auto"/>
        <w:ind w:right="100"/>
        <w:jc w:val="both"/>
        <w:rPr>
          <w:rFonts w:ascii="Arial" w:eastAsia="Arial" w:hAnsi="Arial" w:cs="Arial"/>
          <w:sz w:val="20"/>
          <w:szCs w:val="20"/>
        </w:rPr>
      </w:pPr>
      <w:r>
        <w:rPr>
          <w:rFonts w:ascii="Arial" w:eastAsia="Arial" w:hAnsi="Arial" w:cs="Arial"/>
          <w:sz w:val="20"/>
          <w:szCs w:val="20"/>
        </w:rPr>
        <w:t xml:space="preserve">Yadav, M.K., &amp; Rai, A.K. (2015). Exploring the Relational Impact of Service Quality on Customer </w:t>
      </w:r>
      <w:proofErr w:type="spellStart"/>
      <w:r>
        <w:rPr>
          <w:rFonts w:ascii="Arial" w:eastAsia="Arial" w:hAnsi="Arial" w:cs="Arial"/>
          <w:sz w:val="20"/>
          <w:szCs w:val="20"/>
        </w:rPr>
        <w:t>Satisfication</w:t>
      </w:r>
      <w:proofErr w:type="spellEnd"/>
      <w:r>
        <w:rPr>
          <w:rFonts w:ascii="Arial" w:eastAsia="Arial" w:hAnsi="Arial" w:cs="Arial"/>
          <w:sz w:val="20"/>
          <w:szCs w:val="20"/>
        </w:rPr>
        <w:t xml:space="preserve">. </w:t>
      </w:r>
      <w:r>
        <w:rPr>
          <w:rFonts w:ascii="Arial" w:eastAsia="Arial" w:hAnsi="Arial" w:cs="Arial"/>
          <w:i/>
          <w:sz w:val="20"/>
          <w:szCs w:val="20"/>
        </w:rPr>
        <w:t>Journal of business management, 14</w:t>
      </w:r>
      <w:r>
        <w:rPr>
          <w:rFonts w:ascii="Arial" w:eastAsia="Arial" w:hAnsi="Arial" w:cs="Arial"/>
          <w:sz w:val="20"/>
          <w:szCs w:val="20"/>
        </w:rPr>
        <w:t>, 17-31.</w:t>
      </w:r>
    </w:p>
    <w:p w14:paraId="6DF2AB94" w14:textId="77777777" w:rsidR="00587694" w:rsidRDefault="00416116">
      <w:pPr>
        <w:spacing w:before="240" w:after="240" w:line="240" w:lineRule="auto"/>
        <w:ind w:right="100"/>
        <w:jc w:val="both"/>
        <w:rPr>
          <w:rFonts w:ascii="Arial" w:eastAsia="Arial" w:hAnsi="Arial" w:cs="Arial"/>
          <w:sz w:val="20"/>
          <w:szCs w:val="20"/>
        </w:rPr>
      </w:pPr>
      <w:proofErr w:type="spellStart"/>
      <w:r>
        <w:rPr>
          <w:rFonts w:ascii="Arial" w:eastAsia="Arial" w:hAnsi="Arial" w:cs="Arial"/>
          <w:sz w:val="20"/>
          <w:szCs w:val="20"/>
        </w:rPr>
        <w:t>Yavas</w:t>
      </w:r>
      <w:proofErr w:type="spellEnd"/>
      <w:r>
        <w:rPr>
          <w:rFonts w:ascii="Arial" w:eastAsia="Arial" w:hAnsi="Arial" w:cs="Arial"/>
          <w:sz w:val="20"/>
          <w:szCs w:val="20"/>
        </w:rPr>
        <w:t xml:space="preserve">, U., </w:t>
      </w:r>
      <w:proofErr w:type="spellStart"/>
      <w:r>
        <w:rPr>
          <w:rFonts w:ascii="Arial" w:eastAsia="Arial" w:hAnsi="Arial" w:cs="Arial"/>
          <w:sz w:val="20"/>
          <w:szCs w:val="20"/>
        </w:rPr>
        <w:t>Babakus</w:t>
      </w:r>
      <w:proofErr w:type="spellEnd"/>
      <w:r>
        <w:rPr>
          <w:rFonts w:ascii="Arial" w:eastAsia="Arial" w:hAnsi="Arial" w:cs="Arial"/>
          <w:sz w:val="20"/>
          <w:szCs w:val="20"/>
        </w:rPr>
        <w:t>, E., D</w:t>
      </w:r>
      <w:r>
        <w:rPr>
          <w:rFonts w:ascii="Arial" w:eastAsia="Arial" w:hAnsi="Arial" w:cs="Arial"/>
          <w:sz w:val="20"/>
          <w:szCs w:val="20"/>
        </w:rPr>
        <w:t xml:space="preserve">eitz, G.D., &amp; Jha, S. (2014). Correlates of customer loyalty to financial institutions: a case study. </w:t>
      </w:r>
      <w:r>
        <w:rPr>
          <w:rFonts w:ascii="Arial" w:eastAsia="Arial" w:hAnsi="Arial" w:cs="Arial"/>
          <w:i/>
          <w:sz w:val="20"/>
          <w:szCs w:val="20"/>
        </w:rPr>
        <w:t>Journal of Consumer Marketing, 31</w:t>
      </w:r>
      <w:r>
        <w:rPr>
          <w:rFonts w:ascii="Arial" w:eastAsia="Arial" w:hAnsi="Arial" w:cs="Arial"/>
          <w:sz w:val="20"/>
          <w:szCs w:val="20"/>
        </w:rPr>
        <w:t>, 218-227.</w:t>
      </w:r>
    </w:p>
    <w:sectPr w:rsidR="00587694" w:rsidSect="00DB448B">
      <w:headerReference w:type="even" r:id="rId26"/>
      <w:headerReference w:type="default" r:id="rId27"/>
      <w:footerReference w:type="even" r:id="rId28"/>
      <w:footerReference w:type="default" r:id="rId29"/>
      <w:headerReference w:type="first" r:id="rId30"/>
      <w:footerReference w:type="first" r:id="rId31"/>
      <w:pgSz w:w="12240" w:h="15840"/>
      <w:pgMar w:top="1440" w:right="2016" w:bottom="2016" w:left="2016" w:header="706"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BD7CE" w14:textId="77777777" w:rsidR="00416116" w:rsidRDefault="00416116">
      <w:pPr>
        <w:spacing w:line="240" w:lineRule="auto"/>
      </w:pPr>
      <w:r>
        <w:separator/>
      </w:r>
    </w:p>
  </w:endnote>
  <w:endnote w:type="continuationSeparator" w:id="0">
    <w:p w14:paraId="0179D58B" w14:textId="77777777" w:rsidR="00416116" w:rsidRDefault="0041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8B3F" w14:textId="77777777" w:rsidR="00DB448B" w:rsidRDefault="00DB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B89D" w14:textId="77777777" w:rsidR="00587694" w:rsidRDefault="005876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0FD" w14:textId="77777777" w:rsidR="00DB448B" w:rsidRDefault="00DB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6356" w14:textId="77777777" w:rsidR="00416116" w:rsidRDefault="00416116">
      <w:pPr>
        <w:spacing w:after="0"/>
      </w:pPr>
      <w:r>
        <w:separator/>
      </w:r>
    </w:p>
  </w:footnote>
  <w:footnote w:type="continuationSeparator" w:id="0">
    <w:p w14:paraId="0ADE7B6F" w14:textId="77777777" w:rsidR="00416116" w:rsidRDefault="004161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708D" w14:textId="4B6F2A80" w:rsidR="00DB448B" w:rsidRDefault="00DB448B">
    <w:pPr>
      <w:pStyle w:val="Header"/>
    </w:pPr>
    <w:r>
      <w:rPr>
        <w:noProof/>
      </w:rPr>
      <w:pict w14:anchorId="53505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29235"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E956" w14:textId="2032F7AC" w:rsidR="00587694" w:rsidRDefault="00DB448B">
    <w:r>
      <w:rPr>
        <w:noProof/>
      </w:rPr>
      <w:pict w14:anchorId="2AA1E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29236"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4030" w14:textId="356D1055" w:rsidR="00DB448B" w:rsidRDefault="00DB448B">
    <w:pPr>
      <w:pStyle w:val="Header"/>
    </w:pPr>
    <w:r>
      <w:rPr>
        <w:noProof/>
      </w:rPr>
      <w:pict w14:anchorId="4DD9B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29234"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00002"/>
    <w:multiLevelType w:val="multilevel"/>
    <w:tmpl w:val="000000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0000003"/>
    <w:multiLevelType w:val="multilevel"/>
    <w:tmpl w:val="000000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4"/>
    <w:multiLevelType w:val="multilevel"/>
    <w:tmpl w:val="00000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0000005"/>
    <w:multiLevelType w:val="multilevel"/>
    <w:tmpl w:val="0000000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0000006"/>
    <w:multiLevelType w:val="multilevel"/>
    <w:tmpl w:val="0000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0000007"/>
    <w:multiLevelType w:val="multilevel"/>
    <w:tmpl w:val="0000000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C5A7906"/>
    <w:multiLevelType w:val="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94"/>
    <w:rsid w:val="00245BF2"/>
    <w:rsid w:val="00322021"/>
    <w:rsid w:val="00416116"/>
    <w:rsid w:val="00587694"/>
    <w:rsid w:val="007C645F"/>
    <w:rsid w:val="00DB448B"/>
    <w:rsid w:val="2A9C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22BAE4"/>
  <w15:docId w15:val="{6089BDDC-02B1-4B26-8F82-58C0F472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160" w:line="259" w:lineRule="auto"/>
    </w:pPr>
    <w:rPr>
      <w:sz w:val="22"/>
      <w:szCs w:val="22"/>
    </w:rPr>
  </w:style>
  <w:style w:type="paragraph" w:styleId="Heading1">
    <w:name w:val="heading 1"/>
    <w:basedOn w:val="Normal"/>
    <w:next w:val="Normal"/>
    <w:pPr>
      <w:keepNext/>
      <w:keepLines/>
      <w:spacing w:before="240" w:after="0" w:line="480" w:lineRule="auto"/>
      <w:jc w:val="both"/>
      <w:outlineLvl w:val="0"/>
    </w:pPr>
    <w:rPr>
      <w:color w:val="2E74B5"/>
      <w:sz w:val="32"/>
      <w:szCs w:val="32"/>
    </w:rPr>
  </w:style>
  <w:style w:type="paragraph" w:styleId="Heading2">
    <w:name w:val="heading 2"/>
    <w:basedOn w:val="Normal"/>
    <w:next w:val="Normal"/>
    <w:pPr>
      <w:keepNext/>
      <w:keepLines/>
      <w:spacing w:after="0" w:line="480" w:lineRule="auto"/>
      <w:jc w:val="both"/>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Style10">
    <w:name w:val="_Style 10"/>
    <w:basedOn w:val="TableNormal0"/>
    <w:qFormat/>
    <w:tblPr>
      <w:tblCellMar>
        <w:left w:w="108" w:type="dxa"/>
        <w:right w:w="108" w:type="dxa"/>
      </w:tblCellMar>
    </w:tblPr>
  </w:style>
  <w:style w:type="table" w:customStyle="1" w:styleId="Style11">
    <w:name w:val="_Style 11"/>
    <w:basedOn w:val="TableNormal0"/>
    <w:tblPr>
      <w:tblCellMar>
        <w:top w:w="100" w:type="dxa"/>
        <w:left w:w="100" w:type="dxa"/>
        <w:bottom w:w="100" w:type="dxa"/>
        <w:right w:w="100" w:type="dxa"/>
      </w:tblCellMar>
    </w:tblPr>
  </w:style>
  <w:style w:type="table" w:customStyle="1" w:styleId="Style12">
    <w:name w:val="_Style 12"/>
    <w:basedOn w:val="TableNormal0"/>
    <w:tblPr>
      <w:tblCellMar>
        <w:left w:w="108" w:type="dxa"/>
        <w:right w:w="108" w:type="dxa"/>
      </w:tblCellMar>
    </w:tblPr>
  </w:style>
  <w:style w:type="table" w:customStyle="1" w:styleId="Style13">
    <w:name w:val="_Style 13"/>
    <w:basedOn w:val="TableNormal0"/>
    <w:tblPr>
      <w:tblCellMar>
        <w:left w:w="108" w:type="dxa"/>
        <w:right w:w="108" w:type="dxa"/>
      </w:tblCellMar>
    </w:tblPr>
  </w:style>
  <w:style w:type="table" w:customStyle="1" w:styleId="Style14">
    <w:name w:val="_Style 14"/>
    <w:basedOn w:val="TableNormal0"/>
    <w:tblPr>
      <w:tblCellMar>
        <w:left w:w="108" w:type="dxa"/>
        <w:right w:w="108" w:type="dxa"/>
      </w:tblCellMar>
    </w:tblPr>
  </w:style>
  <w:style w:type="table" w:customStyle="1" w:styleId="Style15">
    <w:name w:val="_Style 15"/>
    <w:basedOn w:val="TableNormal0"/>
    <w:tblPr>
      <w:tblCellMar>
        <w:left w:w="108" w:type="dxa"/>
        <w:right w:w="108" w:type="dxa"/>
      </w:tblCellMar>
    </w:tblPr>
  </w:style>
  <w:style w:type="table" w:customStyle="1" w:styleId="Style16">
    <w:name w:val="_Style 16"/>
    <w:basedOn w:val="TableNormal0"/>
    <w:tblPr>
      <w:tblCellMar>
        <w:left w:w="108" w:type="dxa"/>
        <w:right w:w="108" w:type="dxa"/>
      </w:tblCellMar>
    </w:tblPr>
  </w:style>
  <w:style w:type="table" w:customStyle="1" w:styleId="Style17">
    <w:name w:val="_Style 17"/>
    <w:basedOn w:val="TableNormal0"/>
    <w:tblPr>
      <w:tblCellMar>
        <w:top w:w="100" w:type="dxa"/>
        <w:left w:w="100" w:type="dxa"/>
        <w:bottom w:w="100" w:type="dxa"/>
        <w:right w:w="100" w:type="dxa"/>
      </w:tblCellMar>
    </w:tblPr>
  </w:style>
  <w:style w:type="table" w:customStyle="1" w:styleId="Style18">
    <w:name w:val="_Style 18"/>
    <w:basedOn w:val="TableNormal0"/>
    <w:tblPr>
      <w:tblCellMar>
        <w:left w:w="108" w:type="dxa"/>
        <w:right w:w="108" w:type="dxa"/>
      </w:tblCellMar>
    </w:tblPr>
  </w:style>
  <w:style w:type="table" w:customStyle="1" w:styleId="Style19">
    <w:name w:val="_Style 19"/>
    <w:basedOn w:val="TableNormal0"/>
    <w:tblPr>
      <w:tblCellMar>
        <w:left w:w="108" w:type="dxa"/>
        <w:right w:w="108" w:type="dxa"/>
      </w:tblCellMar>
    </w:tblPr>
  </w:style>
  <w:style w:type="table" w:customStyle="1" w:styleId="Style20">
    <w:name w:val="_Style 20"/>
    <w:basedOn w:val="TableNormal0"/>
    <w:tblPr>
      <w:tblCellMar>
        <w:left w:w="108" w:type="dxa"/>
        <w:right w:w="108" w:type="dxa"/>
      </w:tblCellMar>
    </w:tblPr>
  </w:style>
  <w:style w:type="table" w:customStyle="1" w:styleId="Style21">
    <w:name w:val="_Style 21"/>
    <w:basedOn w:val="TableNormal0"/>
    <w:tblPr>
      <w:tblCellMar>
        <w:left w:w="108" w:type="dxa"/>
        <w:right w:w="108" w:type="dxa"/>
      </w:tblCellMar>
    </w:tblPr>
  </w:style>
  <w:style w:type="table" w:customStyle="1" w:styleId="Style22">
    <w:name w:val="_Style 22"/>
    <w:basedOn w:val="TableNormal0"/>
    <w:tblPr>
      <w:tblCellMar>
        <w:left w:w="108" w:type="dxa"/>
        <w:right w:w="108" w:type="dxa"/>
      </w:tblCellMar>
    </w:tblPr>
  </w:style>
  <w:style w:type="table" w:customStyle="1" w:styleId="Style23">
    <w:name w:val="_Style 23"/>
    <w:basedOn w:val="TableNormal0"/>
    <w:tblPr>
      <w:tblCellMar>
        <w:left w:w="108" w:type="dxa"/>
        <w:right w:w="108" w:type="dxa"/>
      </w:tblCellMar>
    </w:tblPr>
  </w:style>
  <w:style w:type="table" w:customStyle="1" w:styleId="Style24">
    <w:name w:val="_Style 24"/>
    <w:basedOn w:val="TableNormal0"/>
    <w:tblPr>
      <w:tblCellMar>
        <w:left w:w="108" w:type="dxa"/>
        <w:right w:w="108" w:type="dxa"/>
      </w:tblCellMar>
    </w:tblPr>
  </w:style>
  <w:style w:type="table" w:customStyle="1" w:styleId="Style25">
    <w:name w:val="_Style 25"/>
    <w:basedOn w:val="TableNormal0"/>
    <w:tblPr>
      <w:tblCellMar>
        <w:top w:w="100" w:type="dxa"/>
        <w:left w:w="100" w:type="dxa"/>
        <w:bottom w:w="100" w:type="dxa"/>
        <w:right w:w="100" w:type="dxa"/>
      </w:tblCellMar>
    </w:tblPr>
  </w:style>
  <w:style w:type="table" w:customStyle="1" w:styleId="Style26">
    <w:name w:val="_Style 26"/>
    <w:basedOn w:val="TableNormal0"/>
    <w:tblPr>
      <w:tblCellMar>
        <w:top w:w="100" w:type="dxa"/>
        <w:left w:w="100" w:type="dxa"/>
        <w:bottom w:w="100" w:type="dxa"/>
        <w:right w:w="100" w:type="dxa"/>
      </w:tblCellMar>
    </w:tblPr>
  </w:style>
  <w:style w:type="table" w:customStyle="1" w:styleId="Style27">
    <w:name w:val="_Style 27"/>
    <w:basedOn w:val="TableNormal0"/>
    <w:tblPr>
      <w:tblCellMar>
        <w:top w:w="100" w:type="dxa"/>
        <w:left w:w="100" w:type="dxa"/>
        <w:bottom w:w="100" w:type="dxa"/>
        <w:right w:w="100" w:type="dxa"/>
      </w:tblCellMar>
    </w:tblPr>
  </w:style>
  <w:style w:type="table" w:customStyle="1" w:styleId="Style28">
    <w:name w:val="_Style 28"/>
    <w:basedOn w:val="TableNormal0"/>
    <w:tblPr>
      <w:tblCellMar>
        <w:top w:w="100" w:type="dxa"/>
        <w:left w:w="100" w:type="dxa"/>
        <w:bottom w:w="100" w:type="dxa"/>
        <w:right w:w="100" w:type="dxa"/>
      </w:tblCellMar>
    </w:tblPr>
  </w:style>
  <w:style w:type="table" w:customStyle="1" w:styleId="Style29">
    <w:name w:val="_Style 29"/>
    <w:basedOn w:val="TableNormal0"/>
    <w:tblPr>
      <w:tblCellMar>
        <w:top w:w="100" w:type="dxa"/>
        <w:left w:w="100" w:type="dxa"/>
        <w:bottom w:w="100" w:type="dxa"/>
        <w:right w:w="100" w:type="dxa"/>
      </w:tblCellMar>
    </w:tblPr>
  </w:style>
  <w:style w:type="table" w:customStyle="1" w:styleId="Style30">
    <w:name w:val="_Style 30"/>
    <w:basedOn w:val="TableNormal0"/>
    <w:tblPr>
      <w:tblCellMar>
        <w:top w:w="100" w:type="dxa"/>
        <w:left w:w="100" w:type="dxa"/>
        <w:bottom w:w="100" w:type="dxa"/>
        <w:right w:w="100" w:type="dxa"/>
      </w:tblCellMar>
    </w:tblPr>
  </w:style>
  <w:style w:type="table" w:customStyle="1" w:styleId="Style31">
    <w:name w:val="_Style 31"/>
    <w:basedOn w:val="TableNormal0"/>
    <w:tblPr>
      <w:tblCellMar>
        <w:top w:w="100" w:type="dxa"/>
        <w:left w:w="100" w:type="dxa"/>
        <w:bottom w:w="100" w:type="dxa"/>
        <w:right w:w="100" w:type="dxa"/>
      </w:tblCellMar>
    </w:tblPr>
  </w:style>
  <w:style w:type="table" w:customStyle="1" w:styleId="Style32">
    <w:name w:val="_Style 32"/>
    <w:basedOn w:val="TableNormal0"/>
    <w:tblPr>
      <w:tblCellMar>
        <w:top w:w="100" w:type="dxa"/>
        <w:left w:w="100" w:type="dxa"/>
        <w:bottom w:w="100" w:type="dxa"/>
        <w:right w:w="100" w:type="dxa"/>
      </w:tblCellMar>
    </w:tblPr>
  </w:style>
  <w:style w:type="table" w:customStyle="1" w:styleId="Style33">
    <w:name w:val="_Style 33"/>
    <w:basedOn w:val="TableNormal0"/>
    <w:tblPr>
      <w:tblCellMar>
        <w:top w:w="100" w:type="dxa"/>
        <w:left w:w="100" w:type="dxa"/>
        <w:bottom w:w="100" w:type="dxa"/>
        <w:right w:w="100" w:type="dxa"/>
      </w:tblCellMar>
    </w:tblPr>
  </w:style>
  <w:style w:type="table" w:customStyle="1" w:styleId="Style34">
    <w:name w:val="_Style 34"/>
    <w:basedOn w:val="TableNormal0"/>
    <w:tblPr>
      <w:tblCellMar>
        <w:top w:w="100" w:type="dxa"/>
        <w:left w:w="100" w:type="dxa"/>
        <w:bottom w:w="100" w:type="dxa"/>
        <w:right w:w="100" w:type="dxa"/>
      </w:tblCellMar>
    </w:tblPr>
  </w:style>
  <w:style w:type="table" w:customStyle="1" w:styleId="Style35">
    <w:name w:val="_Style 35"/>
    <w:basedOn w:val="TableNormal0"/>
    <w:tblPr>
      <w:tblCellMar>
        <w:top w:w="100" w:type="dxa"/>
        <w:left w:w="100" w:type="dxa"/>
        <w:bottom w:w="100" w:type="dxa"/>
        <w:right w:w="100" w:type="dxa"/>
      </w:tblCellMar>
    </w:tblPr>
  </w:style>
  <w:style w:type="table" w:customStyle="1" w:styleId="Style36">
    <w:name w:val="_Style 36"/>
    <w:basedOn w:val="TableNormal0"/>
    <w:tblPr>
      <w:tblCellMar>
        <w:top w:w="100" w:type="dxa"/>
        <w:left w:w="100" w:type="dxa"/>
        <w:bottom w:w="100" w:type="dxa"/>
        <w:right w:w="100" w:type="dxa"/>
      </w:tblCellMar>
    </w:tblPr>
  </w:style>
  <w:style w:type="table" w:customStyle="1" w:styleId="Style37">
    <w:name w:val="_Style 37"/>
    <w:basedOn w:val="TableNormal0"/>
    <w:tblPr>
      <w:tblCellMar>
        <w:top w:w="100" w:type="dxa"/>
        <w:left w:w="100" w:type="dxa"/>
        <w:bottom w:w="100" w:type="dxa"/>
        <w:right w:w="100" w:type="dxa"/>
      </w:tblCellMar>
    </w:tblPr>
  </w:style>
  <w:style w:type="table" w:customStyle="1" w:styleId="Style38">
    <w:name w:val="_Style 38"/>
    <w:basedOn w:val="TableNormal0"/>
    <w:tblPr>
      <w:tblCellMar>
        <w:top w:w="100" w:type="dxa"/>
        <w:left w:w="100" w:type="dxa"/>
        <w:bottom w:w="100" w:type="dxa"/>
        <w:right w:w="100" w:type="dxa"/>
      </w:tblCellMar>
    </w:tblPr>
  </w:style>
  <w:style w:type="table" w:customStyle="1" w:styleId="Style39">
    <w:name w:val="_Style 39"/>
    <w:basedOn w:val="TableNormal0"/>
    <w:tblPr>
      <w:tblCellMar>
        <w:top w:w="100" w:type="dxa"/>
        <w:left w:w="100" w:type="dxa"/>
        <w:bottom w:w="100" w:type="dxa"/>
        <w:right w:w="100" w:type="dxa"/>
      </w:tblCellMar>
    </w:tblPr>
  </w:style>
  <w:style w:type="table" w:customStyle="1" w:styleId="TableGrid">
    <w:name w:val="TableGrid"/>
    <w:qFormat/>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ascii="Arial" w:eastAsia="SimSun" w:hAnsi="Arial" w:cs="Arial"/>
      <w:color w:val="000000"/>
      <w:sz w:val="24"/>
      <w:szCs w:val="24"/>
      <w:lang w:val="en-PH" w:eastAsia="en-US"/>
      <w14:ligatures w14:val="standardContextual"/>
    </w:rPr>
  </w:style>
  <w:style w:type="character" w:styleId="LineNumber">
    <w:name w:val="line number"/>
    <w:basedOn w:val="DefaultParagraphFont"/>
    <w:rsid w:val="007C645F"/>
  </w:style>
  <w:style w:type="character" w:styleId="Hyperlink">
    <w:name w:val="Hyperlink"/>
    <w:basedOn w:val="DefaultParagraphFont"/>
    <w:rsid w:val="007C645F"/>
    <w:rPr>
      <w:color w:val="0000FF" w:themeColor="hyperlink"/>
      <w:u w:val="single"/>
    </w:rPr>
  </w:style>
  <w:style w:type="character" w:styleId="UnresolvedMention">
    <w:name w:val="Unresolved Mention"/>
    <w:basedOn w:val="DefaultParagraphFont"/>
    <w:uiPriority w:val="99"/>
    <w:semiHidden/>
    <w:unhideWhenUsed/>
    <w:rsid w:val="007C645F"/>
    <w:rPr>
      <w:color w:val="605E5C"/>
      <w:shd w:val="clear" w:color="auto" w:fill="E1DFDD"/>
    </w:rPr>
  </w:style>
  <w:style w:type="paragraph" w:styleId="Header">
    <w:name w:val="header"/>
    <w:basedOn w:val="Normal"/>
    <w:link w:val="HeaderChar"/>
    <w:rsid w:val="00DB448B"/>
    <w:pPr>
      <w:tabs>
        <w:tab w:val="center" w:pos="4680"/>
        <w:tab w:val="right" w:pos="9360"/>
      </w:tabs>
      <w:spacing w:after="0" w:line="240" w:lineRule="auto"/>
    </w:pPr>
  </w:style>
  <w:style w:type="character" w:customStyle="1" w:styleId="HeaderChar">
    <w:name w:val="Header Char"/>
    <w:basedOn w:val="DefaultParagraphFont"/>
    <w:link w:val="Header"/>
    <w:rsid w:val="00DB448B"/>
    <w:rPr>
      <w:sz w:val="22"/>
      <w:szCs w:val="22"/>
    </w:rPr>
  </w:style>
  <w:style w:type="paragraph" w:styleId="Footer">
    <w:name w:val="footer"/>
    <w:basedOn w:val="Normal"/>
    <w:link w:val="FooterChar"/>
    <w:rsid w:val="00DB448B"/>
    <w:pPr>
      <w:tabs>
        <w:tab w:val="center" w:pos="4680"/>
        <w:tab w:val="right" w:pos="9360"/>
      </w:tabs>
      <w:spacing w:after="0" w:line="240" w:lineRule="auto"/>
    </w:pPr>
  </w:style>
  <w:style w:type="character" w:customStyle="1" w:styleId="FooterChar">
    <w:name w:val="Footer Char"/>
    <w:basedOn w:val="DefaultParagraphFont"/>
    <w:link w:val="Footer"/>
    <w:rsid w:val="00DB44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5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IJBM-04-2017-0070" TargetMode="External"/><Relationship Id="rId18" Type="http://schemas.openxmlformats.org/officeDocument/2006/relationships/hyperlink" Target="https://doi.org/10.32622/ijrat.7220193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2/9781119302735.ch6" TargetMode="External"/><Relationship Id="rId7" Type="http://schemas.openxmlformats.org/officeDocument/2006/relationships/endnotes" Target="endnotes.xml"/><Relationship Id="rId12" Type="http://schemas.openxmlformats.org/officeDocument/2006/relationships/hyperlink" Target="https://doi.org/10.55927/eajmr.v2i4.3822" TargetMode="External"/><Relationship Id="rId17" Type="http://schemas.openxmlformats.org/officeDocument/2006/relationships/hyperlink" Target="https://doi.org/10.1108/IJBM-04-2016-0051" TargetMode="External"/><Relationship Id="rId25" Type="http://schemas.openxmlformats.org/officeDocument/2006/relationships/hyperlink" Target="https://doi.org/10.52970/grmapb.v1i2.1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8124/ijisrt/IJISRT24AUG1071" TargetMode="External"/><Relationship Id="rId20" Type="http://schemas.openxmlformats.org/officeDocument/2006/relationships/hyperlink" Target="https://doi.org/10.1002/9781119302735.ch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927/eajmr.v2i4.3822" TargetMode="External"/><Relationship Id="rId24" Type="http://schemas.openxmlformats.org/officeDocument/2006/relationships/hyperlink" Target="https://doi.org/10.55454/rcsas.2.11.2022.0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8124/ijisrt/IJISRT24AUG1071" TargetMode="External"/><Relationship Id="rId23" Type="http://schemas.openxmlformats.org/officeDocument/2006/relationships/hyperlink" Target="https://doi.org/10.53882/IJSSEE.2020.0502001" TargetMode="External"/><Relationship Id="rId28" Type="http://schemas.openxmlformats.org/officeDocument/2006/relationships/footer" Target="footer1.xml"/><Relationship Id="rId10" Type="http://schemas.openxmlformats.org/officeDocument/2006/relationships/hyperlink" Target="https://doi.org/10.20469/ijhss.7.20004-1" TargetMode="External"/><Relationship Id="rId19" Type="http://schemas.openxmlformats.org/officeDocument/2006/relationships/hyperlink" Target="https://doi.org/10.32622/ijrat.7220193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0469/ijhss.7.20004-1" TargetMode="External"/><Relationship Id="rId14" Type="http://schemas.openxmlformats.org/officeDocument/2006/relationships/hyperlink" Target="https://doi.org/10.1108/IJBM-04-2017-0070" TargetMode="External"/><Relationship Id="rId22" Type="http://schemas.openxmlformats.org/officeDocument/2006/relationships/hyperlink" Target="https://doi.org/10.53882/IJSSEE.2020.050200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108/IJBM-06-2017-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8894</Words>
  <Characters>50697</Characters>
  <Application>Microsoft Office Word</Application>
  <DocSecurity>0</DocSecurity>
  <Lines>422</Lines>
  <Paragraphs>118</Paragraphs>
  <ScaleCrop>false</ScaleCrop>
  <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LIEZEL</dc:creator>
  <cp:lastModifiedBy>SDI 1084</cp:lastModifiedBy>
  <cp:revision>3</cp:revision>
  <dcterms:created xsi:type="dcterms:W3CDTF">2025-07-30T00:47:00Z</dcterms:created>
  <dcterms:modified xsi:type="dcterms:W3CDTF">2025-07-31T11:09:00Z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0983FD7A549F4C1CA2B091A9AE871E65_13</vt:lpwstr>
  </property>
</Properties>
</file>