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4C666" w14:textId="42E5CFD5" w:rsidR="0051554D" w:rsidRPr="00961F2C" w:rsidRDefault="00661B3A" w:rsidP="00CE0C1E">
      <w:pPr>
        <w:spacing w:line="240" w:lineRule="auto"/>
        <w:jc w:val="center"/>
        <w:rPr>
          <w:rFonts w:ascii="Times New Roman" w:hAnsi="Times New Roman" w:cs="Times New Roman"/>
          <w:b/>
          <w:bCs/>
          <w:sz w:val="24"/>
          <w:szCs w:val="24"/>
        </w:rPr>
      </w:pPr>
      <w:r w:rsidRPr="00961F2C">
        <w:rPr>
          <w:rFonts w:ascii="Times New Roman" w:hAnsi="Times New Roman" w:cs="Times New Roman"/>
          <w:b/>
          <w:bCs/>
          <w:sz w:val="24"/>
          <w:szCs w:val="24"/>
        </w:rPr>
        <w:t>THE IMPACT OF</w:t>
      </w:r>
      <w:r w:rsidR="00B804FE">
        <w:rPr>
          <w:rFonts w:ascii="Times New Roman" w:hAnsi="Times New Roman" w:cs="Times New Roman"/>
          <w:b/>
          <w:bCs/>
          <w:sz w:val="24"/>
          <w:szCs w:val="24"/>
        </w:rPr>
        <w:t xml:space="preserve"> PROJECT MATH</w:t>
      </w:r>
      <w:r w:rsidR="009A6135">
        <w:rPr>
          <w:rFonts w:ascii="Times New Roman" w:hAnsi="Times New Roman" w:cs="Times New Roman"/>
          <w:b/>
          <w:bCs/>
          <w:sz w:val="24"/>
          <w:szCs w:val="24"/>
        </w:rPr>
        <w:t xml:space="preserve"> </w:t>
      </w:r>
      <w:r w:rsidRPr="00961F2C">
        <w:rPr>
          <w:rFonts w:ascii="Times New Roman" w:hAnsi="Times New Roman" w:cs="Times New Roman"/>
          <w:b/>
          <w:bCs/>
          <w:sz w:val="24"/>
          <w:szCs w:val="24"/>
        </w:rPr>
        <w:t>ON THE PERFORMANCE OF BSED STUDENTS</w:t>
      </w:r>
    </w:p>
    <w:p w14:paraId="0BFDDB69" w14:textId="1B19C7BE" w:rsidR="00900001" w:rsidRPr="00023C82" w:rsidRDefault="003C4DD3" w:rsidP="008D2B9E">
      <w:pPr>
        <w:spacing w:line="240" w:lineRule="auto"/>
        <w:jc w:val="center"/>
        <w:rPr>
          <w:rFonts w:ascii="Times New Roman" w:hAnsi="Times New Roman" w:cs="Times New Roman"/>
          <w:b/>
          <w:bCs/>
          <w:sz w:val="24"/>
          <w:szCs w:val="24"/>
        </w:rPr>
      </w:pPr>
      <w:r w:rsidRPr="00023C82">
        <w:rPr>
          <w:rFonts w:ascii="Times New Roman" w:hAnsi="Times New Roman" w:cs="Times New Roman"/>
          <w:b/>
          <w:bCs/>
          <w:sz w:val="24"/>
          <w:szCs w:val="24"/>
        </w:rPr>
        <w:t>ABSTRACT</w:t>
      </w:r>
    </w:p>
    <w:p w14:paraId="1BFCDEE3" w14:textId="3BB96A94" w:rsidR="0098513E" w:rsidRDefault="0098513E" w:rsidP="0098513E">
      <w:pPr>
        <w:spacing w:line="240" w:lineRule="auto"/>
        <w:ind w:firstLine="720"/>
        <w:jc w:val="both"/>
        <w:rPr>
          <w:rFonts w:ascii="Times New Roman" w:hAnsi="Times New Roman" w:cs="Times New Roman"/>
          <w:sz w:val="24"/>
          <w:szCs w:val="24"/>
        </w:rPr>
      </w:pPr>
      <w:r w:rsidRPr="0098513E">
        <w:rPr>
          <w:rFonts w:ascii="Times New Roman" w:hAnsi="Times New Roman" w:cs="Times New Roman"/>
          <w:sz w:val="24"/>
          <w:szCs w:val="24"/>
        </w:rPr>
        <w:t xml:space="preserve">This study </w:t>
      </w:r>
      <w:r>
        <w:rPr>
          <w:rFonts w:ascii="Times New Roman" w:hAnsi="Times New Roman" w:cs="Times New Roman"/>
          <w:sz w:val="24"/>
          <w:szCs w:val="24"/>
        </w:rPr>
        <w:t>determines</w:t>
      </w:r>
      <w:r w:rsidRPr="0098513E">
        <w:rPr>
          <w:rFonts w:ascii="Times New Roman" w:hAnsi="Times New Roman" w:cs="Times New Roman"/>
          <w:sz w:val="24"/>
          <w:szCs w:val="24"/>
        </w:rPr>
        <w:t xml:space="preserve"> the impact of the Project MATH (Manipulatives, Active Participation, Targeted Instruction, and Hands-on Activities) on the performance and interest of Bachelor of Secondary Education (BSED) students at </w:t>
      </w:r>
      <w:proofErr w:type="spellStart"/>
      <w:r w:rsidRPr="0098513E">
        <w:rPr>
          <w:rFonts w:ascii="Times New Roman" w:hAnsi="Times New Roman" w:cs="Times New Roman"/>
          <w:sz w:val="24"/>
          <w:szCs w:val="24"/>
        </w:rPr>
        <w:t>Monkayo</w:t>
      </w:r>
      <w:proofErr w:type="spellEnd"/>
      <w:r w:rsidRPr="0098513E">
        <w:rPr>
          <w:rFonts w:ascii="Times New Roman" w:hAnsi="Times New Roman" w:cs="Times New Roman"/>
          <w:sz w:val="24"/>
          <w:szCs w:val="24"/>
        </w:rPr>
        <w:t xml:space="preserve"> College of Arts, Sciences, and Technology (</w:t>
      </w:r>
      <w:proofErr w:type="spellStart"/>
      <w:r w:rsidRPr="0098513E">
        <w:rPr>
          <w:rFonts w:ascii="Times New Roman" w:hAnsi="Times New Roman" w:cs="Times New Roman"/>
          <w:sz w:val="24"/>
          <w:szCs w:val="24"/>
        </w:rPr>
        <w:t>MonCAST</w:t>
      </w:r>
      <w:proofErr w:type="spellEnd"/>
      <w:r w:rsidRPr="0098513E">
        <w:rPr>
          <w:rFonts w:ascii="Times New Roman" w:hAnsi="Times New Roman" w:cs="Times New Roman"/>
          <w:sz w:val="24"/>
          <w:szCs w:val="24"/>
        </w:rPr>
        <w:t>) during the 2024–2025 academic year. Anchored in Vygotsky’s Sociocultural Theory and the Zone of Proximal Development (ZPD), the intervention aimed to enhance students’ proficiency in basic mathematical operations and boost their confidence in applying mathematical concepts. The participants, composed primarily of probationary BSED Mathematics students, engaged in structured remedial instruction. Assessment through pretest</w:t>
      </w:r>
      <w:r>
        <w:rPr>
          <w:rFonts w:ascii="Times New Roman" w:hAnsi="Times New Roman" w:cs="Times New Roman"/>
          <w:sz w:val="24"/>
          <w:szCs w:val="24"/>
        </w:rPr>
        <w:t xml:space="preserve"> </w:t>
      </w:r>
      <w:r w:rsidRPr="0098513E">
        <w:rPr>
          <w:rFonts w:ascii="Times New Roman" w:hAnsi="Times New Roman" w:cs="Times New Roman"/>
          <w:sz w:val="24"/>
          <w:szCs w:val="24"/>
        </w:rPr>
        <w:t>and posttest</w:t>
      </w:r>
      <w:r>
        <w:rPr>
          <w:rFonts w:ascii="Times New Roman" w:hAnsi="Times New Roman" w:cs="Times New Roman"/>
          <w:sz w:val="24"/>
          <w:szCs w:val="24"/>
        </w:rPr>
        <w:t xml:space="preserve"> </w:t>
      </w:r>
      <w:r w:rsidRPr="0098513E">
        <w:rPr>
          <w:rFonts w:ascii="Times New Roman" w:hAnsi="Times New Roman" w:cs="Times New Roman"/>
          <w:sz w:val="24"/>
          <w:szCs w:val="24"/>
        </w:rPr>
        <w:t>revealed a marked improvement in mathematical performance. In addition, students reported a moderately high level of enjoyment and perceived achievement, low negative emotions, and strong recognition of mathematics’ relevance in daily life. The results underscore the dual benefits of</w:t>
      </w:r>
      <w:r>
        <w:rPr>
          <w:rFonts w:ascii="Times New Roman" w:hAnsi="Times New Roman" w:cs="Times New Roman"/>
          <w:sz w:val="24"/>
          <w:szCs w:val="24"/>
        </w:rPr>
        <w:t xml:space="preserve"> project MATH </w:t>
      </w:r>
      <w:r w:rsidRPr="0098513E">
        <w:rPr>
          <w:rFonts w:ascii="Times New Roman" w:hAnsi="Times New Roman" w:cs="Times New Roman"/>
          <w:sz w:val="24"/>
          <w:szCs w:val="24"/>
        </w:rPr>
        <w:t>in strengthening academic competence and fostering positive attitudes toward mathematics. Continued use of targeted instructional strategies that address both cognitive and emotional dimensions is recommended to promote sustained student engagement and success in mathematics.</w:t>
      </w:r>
    </w:p>
    <w:p w14:paraId="36DD6B8D" w14:textId="77777777" w:rsidR="0098513E" w:rsidRDefault="0098513E" w:rsidP="00EA7338">
      <w:pPr>
        <w:spacing w:line="240" w:lineRule="auto"/>
        <w:ind w:firstLine="720"/>
        <w:jc w:val="both"/>
        <w:rPr>
          <w:rFonts w:ascii="Times New Roman" w:hAnsi="Times New Roman" w:cs="Times New Roman"/>
          <w:sz w:val="24"/>
          <w:szCs w:val="24"/>
        </w:rPr>
      </w:pPr>
    </w:p>
    <w:p w14:paraId="5F680D2D" w14:textId="77777777" w:rsidR="0098513E" w:rsidRDefault="0098513E" w:rsidP="00EA7338">
      <w:pPr>
        <w:spacing w:line="240" w:lineRule="auto"/>
        <w:ind w:firstLine="720"/>
        <w:jc w:val="both"/>
        <w:rPr>
          <w:rFonts w:ascii="Times New Roman" w:hAnsi="Times New Roman" w:cs="Times New Roman"/>
          <w:sz w:val="24"/>
          <w:szCs w:val="24"/>
        </w:rPr>
      </w:pPr>
    </w:p>
    <w:p w14:paraId="6AC5AA14" w14:textId="42A67A8B" w:rsidR="003C4DD3" w:rsidRPr="00961F2C" w:rsidRDefault="003C4DD3" w:rsidP="00E25ECA">
      <w:pPr>
        <w:spacing w:line="240" w:lineRule="auto"/>
        <w:rPr>
          <w:rFonts w:ascii="Times New Roman" w:hAnsi="Times New Roman" w:cs="Times New Roman"/>
          <w:i/>
          <w:iCs/>
          <w:sz w:val="24"/>
          <w:szCs w:val="24"/>
        </w:rPr>
      </w:pPr>
      <w:r w:rsidRPr="00961F2C">
        <w:rPr>
          <w:rFonts w:ascii="Times New Roman" w:hAnsi="Times New Roman" w:cs="Times New Roman"/>
          <w:b/>
          <w:bCs/>
          <w:sz w:val="24"/>
          <w:szCs w:val="24"/>
        </w:rPr>
        <w:t xml:space="preserve">Keywords, </w:t>
      </w:r>
      <w:r w:rsidR="00CE0C1E">
        <w:rPr>
          <w:rFonts w:ascii="Times New Roman" w:hAnsi="Times New Roman" w:cs="Times New Roman"/>
          <w:sz w:val="24"/>
          <w:szCs w:val="24"/>
        </w:rPr>
        <w:t xml:space="preserve"> </w:t>
      </w:r>
      <w:bookmarkStart w:id="0" w:name="_GoBack"/>
      <w:r w:rsidR="00CE0C1E">
        <w:rPr>
          <w:rFonts w:ascii="Times New Roman" w:hAnsi="Times New Roman" w:cs="Times New Roman"/>
          <w:sz w:val="24"/>
          <w:szCs w:val="24"/>
        </w:rPr>
        <w:t xml:space="preserve">project math, </w:t>
      </w:r>
      <w:r w:rsidRPr="00961F2C">
        <w:rPr>
          <w:rFonts w:ascii="Times New Roman" w:hAnsi="Times New Roman" w:cs="Times New Roman"/>
          <w:i/>
          <w:iCs/>
          <w:sz w:val="24"/>
          <w:szCs w:val="24"/>
        </w:rPr>
        <w:t>remedial class, performance, mathematics, probationary</w:t>
      </w:r>
      <w:bookmarkEnd w:id="0"/>
      <w:r w:rsidR="00CE0C1E">
        <w:rPr>
          <w:rFonts w:ascii="Times New Roman" w:hAnsi="Times New Roman" w:cs="Times New Roman"/>
          <w:i/>
          <w:iCs/>
          <w:sz w:val="24"/>
          <w:szCs w:val="24"/>
        </w:rPr>
        <w:t>,</w:t>
      </w:r>
    </w:p>
    <w:p w14:paraId="0D1D6E98" w14:textId="77777777" w:rsidR="007D0B9C" w:rsidRDefault="007D0B9C" w:rsidP="008D2B9E">
      <w:pPr>
        <w:spacing w:line="240" w:lineRule="auto"/>
        <w:jc w:val="center"/>
        <w:rPr>
          <w:rFonts w:ascii="Times New Roman" w:hAnsi="Times New Roman" w:cs="Times New Roman"/>
          <w:b/>
          <w:bCs/>
          <w:sz w:val="24"/>
          <w:szCs w:val="24"/>
        </w:rPr>
      </w:pPr>
    </w:p>
    <w:p w14:paraId="5269FA7E" w14:textId="77777777" w:rsidR="007D0B9C" w:rsidRDefault="007D0B9C" w:rsidP="008D2B9E">
      <w:pPr>
        <w:spacing w:line="240" w:lineRule="auto"/>
        <w:jc w:val="center"/>
        <w:rPr>
          <w:rFonts w:ascii="Times New Roman" w:hAnsi="Times New Roman" w:cs="Times New Roman"/>
          <w:b/>
          <w:bCs/>
          <w:sz w:val="24"/>
          <w:szCs w:val="24"/>
        </w:rPr>
      </w:pPr>
    </w:p>
    <w:p w14:paraId="24B30C05" w14:textId="77777777" w:rsidR="007D0B9C" w:rsidRDefault="007D0B9C" w:rsidP="008D2B9E">
      <w:pPr>
        <w:spacing w:line="240" w:lineRule="auto"/>
        <w:jc w:val="center"/>
        <w:rPr>
          <w:rFonts w:ascii="Times New Roman" w:hAnsi="Times New Roman" w:cs="Times New Roman"/>
          <w:b/>
          <w:bCs/>
          <w:sz w:val="24"/>
          <w:szCs w:val="24"/>
        </w:rPr>
      </w:pPr>
    </w:p>
    <w:p w14:paraId="63FE7096" w14:textId="77777777" w:rsidR="007D0B9C" w:rsidRDefault="007D0B9C" w:rsidP="008D2B9E">
      <w:pPr>
        <w:spacing w:line="240" w:lineRule="auto"/>
        <w:jc w:val="center"/>
        <w:rPr>
          <w:rFonts w:ascii="Times New Roman" w:hAnsi="Times New Roman" w:cs="Times New Roman"/>
          <w:b/>
          <w:bCs/>
          <w:sz w:val="24"/>
          <w:szCs w:val="24"/>
        </w:rPr>
      </w:pPr>
    </w:p>
    <w:p w14:paraId="2446DB3D" w14:textId="77777777" w:rsidR="007D0B9C" w:rsidRDefault="007D0B9C" w:rsidP="008D2B9E">
      <w:pPr>
        <w:spacing w:line="240" w:lineRule="auto"/>
        <w:jc w:val="center"/>
        <w:rPr>
          <w:rFonts w:ascii="Times New Roman" w:hAnsi="Times New Roman" w:cs="Times New Roman"/>
          <w:b/>
          <w:bCs/>
          <w:sz w:val="24"/>
          <w:szCs w:val="24"/>
        </w:rPr>
      </w:pPr>
    </w:p>
    <w:p w14:paraId="6237F6E6" w14:textId="77777777" w:rsidR="007D0B9C" w:rsidRDefault="007D0B9C" w:rsidP="008D2B9E">
      <w:pPr>
        <w:spacing w:line="240" w:lineRule="auto"/>
        <w:jc w:val="center"/>
        <w:rPr>
          <w:rFonts w:ascii="Times New Roman" w:hAnsi="Times New Roman" w:cs="Times New Roman"/>
          <w:b/>
          <w:bCs/>
          <w:sz w:val="24"/>
          <w:szCs w:val="24"/>
        </w:rPr>
      </w:pPr>
    </w:p>
    <w:p w14:paraId="7E0DD740" w14:textId="77777777" w:rsidR="007D0B9C" w:rsidRDefault="007D0B9C" w:rsidP="008D2B9E">
      <w:pPr>
        <w:spacing w:line="240" w:lineRule="auto"/>
        <w:jc w:val="center"/>
        <w:rPr>
          <w:rFonts w:ascii="Times New Roman" w:hAnsi="Times New Roman" w:cs="Times New Roman"/>
          <w:b/>
          <w:bCs/>
          <w:sz w:val="24"/>
          <w:szCs w:val="24"/>
        </w:rPr>
      </w:pPr>
    </w:p>
    <w:p w14:paraId="667E1C13" w14:textId="77777777" w:rsidR="007D0B9C" w:rsidRDefault="007D0B9C" w:rsidP="008D2B9E">
      <w:pPr>
        <w:spacing w:line="240" w:lineRule="auto"/>
        <w:jc w:val="center"/>
        <w:rPr>
          <w:rFonts w:ascii="Times New Roman" w:hAnsi="Times New Roman" w:cs="Times New Roman"/>
          <w:b/>
          <w:bCs/>
          <w:sz w:val="24"/>
          <w:szCs w:val="24"/>
        </w:rPr>
      </w:pPr>
    </w:p>
    <w:p w14:paraId="25F5F0D2" w14:textId="7407B380" w:rsidR="00900001" w:rsidRPr="00961F2C" w:rsidRDefault="008F6449" w:rsidP="008D2B9E">
      <w:pPr>
        <w:spacing w:line="240" w:lineRule="auto"/>
        <w:jc w:val="center"/>
        <w:rPr>
          <w:rFonts w:ascii="Times New Roman" w:hAnsi="Times New Roman" w:cs="Times New Roman"/>
          <w:b/>
          <w:bCs/>
          <w:sz w:val="24"/>
          <w:szCs w:val="24"/>
        </w:rPr>
      </w:pPr>
      <w:r w:rsidRPr="00961F2C">
        <w:rPr>
          <w:rFonts w:ascii="Times New Roman" w:hAnsi="Times New Roman" w:cs="Times New Roman"/>
          <w:b/>
          <w:bCs/>
          <w:sz w:val="24"/>
          <w:szCs w:val="24"/>
        </w:rPr>
        <w:t>INTRODUCTION</w:t>
      </w:r>
    </w:p>
    <w:p w14:paraId="76E9A8C4" w14:textId="1DBCC900" w:rsidR="005D1077" w:rsidRDefault="005D1077" w:rsidP="00E25ECA">
      <w:pPr>
        <w:spacing w:line="240" w:lineRule="auto"/>
        <w:ind w:firstLine="720"/>
        <w:jc w:val="both"/>
        <w:rPr>
          <w:rFonts w:ascii="Times New Roman" w:hAnsi="Times New Roman" w:cs="Times New Roman"/>
          <w:sz w:val="24"/>
          <w:szCs w:val="24"/>
        </w:rPr>
      </w:pPr>
      <w:r w:rsidRPr="005D1077">
        <w:rPr>
          <w:rFonts w:ascii="Times New Roman" w:hAnsi="Times New Roman" w:cs="Times New Roman"/>
          <w:sz w:val="24"/>
          <w:szCs w:val="24"/>
        </w:rPr>
        <w:t>Mathematics is an essential discipline for the advancement of scientific knowledge and the intellectual development of students. Students in higher education must possess a robust comprehension of mathematics, as it is vital for understanding mathematical concepts in contemporary society and across diverse academic disciplines (</w:t>
      </w:r>
      <w:proofErr w:type="spellStart"/>
      <w:r w:rsidRPr="005D1077">
        <w:rPr>
          <w:rFonts w:ascii="Times New Roman" w:hAnsi="Times New Roman" w:cs="Times New Roman"/>
          <w:sz w:val="24"/>
          <w:szCs w:val="24"/>
        </w:rPr>
        <w:t>Mandagda</w:t>
      </w:r>
      <w:proofErr w:type="spellEnd"/>
      <w:r w:rsidRPr="005D1077">
        <w:rPr>
          <w:rFonts w:ascii="Times New Roman" w:hAnsi="Times New Roman" w:cs="Times New Roman"/>
          <w:sz w:val="24"/>
          <w:szCs w:val="24"/>
        </w:rPr>
        <w:t xml:space="preserve">, </w:t>
      </w:r>
      <w:proofErr w:type="spellStart"/>
      <w:r w:rsidRPr="005D1077">
        <w:rPr>
          <w:rFonts w:ascii="Times New Roman" w:hAnsi="Times New Roman" w:cs="Times New Roman"/>
          <w:sz w:val="24"/>
          <w:szCs w:val="24"/>
        </w:rPr>
        <w:t>Golez</w:t>
      </w:r>
      <w:proofErr w:type="spellEnd"/>
      <w:r w:rsidRPr="005D1077">
        <w:rPr>
          <w:rFonts w:ascii="Times New Roman" w:hAnsi="Times New Roman" w:cs="Times New Roman"/>
          <w:sz w:val="24"/>
          <w:szCs w:val="24"/>
        </w:rPr>
        <w:t xml:space="preserve">, &amp; </w:t>
      </w:r>
      <w:proofErr w:type="spellStart"/>
      <w:r w:rsidRPr="005D1077">
        <w:rPr>
          <w:rFonts w:ascii="Times New Roman" w:hAnsi="Times New Roman" w:cs="Times New Roman"/>
          <w:sz w:val="24"/>
          <w:szCs w:val="24"/>
        </w:rPr>
        <w:t>Closa</w:t>
      </w:r>
      <w:proofErr w:type="spellEnd"/>
      <w:r w:rsidRPr="005D1077">
        <w:rPr>
          <w:rFonts w:ascii="Times New Roman" w:hAnsi="Times New Roman" w:cs="Times New Roman"/>
          <w:sz w:val="24"/>
          <w:szCs w:val="24"/>
        </w:rPr>
        <w:t xml:space="preserve">, 2024). Consequently, mathematics functions as a fundamental discipline that significantly contributes to the cultivation of critical thinking and problem-solving abilities in students. Thus, proficiency in mathematics closely aligns with future academic and professional prospects. According to Fitzmaurice, O’Meara, and Johnson (2021), slow performance in mathematics restricts students' access to further education and impedes their potential contributions to the workforce, </w:t>
      </w:r>
      <w:r w:rsidRPr="005D1077">
        <w:rPr>
          <w:rFonts w:ascii="Times New Roman" w:hAnsi="Times New Roman" w:cs="Times New Roman"/>
          <w:sz w:val="24"/>
          <w:szCs w:val="24"/>
        </w:rPr>
        <w:lastRenderedPageBreak/>
        <w:t>underscoring the necessity for Project Manipulatives, Active Participation, Targeted Instruction, and Hands-on Activities (MATH). Furthermore, mathematics serves as a powerful tool for global understanding and communication, facilitating organization and mitigating chaos in our lives. Mathematics enhances our comprehension of the universe and serves as an effective means of cultivating mental discipline. It cultivates logical reasoning, critical analysis, creative thought, and abstract or spatial reasoning.</w:t>
      </w:r>
    </w:p>
    <w:p w14:paraId="7D3EAD54" w14:textId="0E22BF49" w:rsidR="005D1077" w:rsidRDefault="005D1077" w:rsidP="005D1077">
      <w:pPr>
        <w:spacing w:line="240" w:lineRule="auto"/>
        <w:ind w:firstLine="720"/>
        <w:jc w:val="both"/>
        <w:rPr>
          <w:rFonts w:ascii="Times New Roman" w:hAnsi="Times New Roman" w:cs="Times New Roman"/>
          <w:sz w:val="24"/>
          <w:szCs w:val="24"/>
        </w:rPr>
      </w:pPr>
      <w:r w:rsidRPr="005D1077">
        <w:rPr>
          <w:rFonts w:ascii="Times New Roman" w:hAnsi="Times New Roman" w:cs="Times New Roman"/>
          <w:sz w:val="24"/>
          <w:szCs w:val="24"/>
        </w:rPr>
        <w:t>Project MATH caters to students who struggle in subjects such as mathematics (</w:t>
      </w:r>
      <w:proofErr w:type="spellStart"/>
      <w:r w:rsidRPr="005D1077">
        <w:rPr>
          <w:rFonts w:ascii="Times New Roman" w:hAnsi="Times New Roman" w:cs="Times New Roman"/>
          <w:sz w:val="24"/>
          <w:szCs w:val="24"/>
        </w:rPr>
        <w:t>Penjor</w:t>
      </w:r>
      <w:proofErr w:type="spellEnd"/>
      <w:r w:rsidRPr="005D1077">
        <w:rPr>
          <w:rFonts w:ascii="Times New Roman" w:hAnsi="Times New Roman" w:cs="Times New Roman"/>
          <w:sz w:val="24"/>
          <w:szCs w:val="24"/>
        </w:rPr>
        <w:t xml:space="preserve"> &amp; Rai, 2020). It provides students with desirable skills and assesses the outcomes of an educational system. The techniques, pedagogies, and activities related to remedial classes are uncomplicated and do not require substantial preparation; yet they remain significant and suitable for low-achieving students. According to </w:t>
      </w:r>
      <w:proofErr w:type="spellStart"/>
      <w:r w:rsidRPr="005D1077">
        <w:rPr>
          <w:rFonts w:ascii="Times New Roman" w:hAnsi="Times New Roman" w:cs="Times New Roman"/>
          <w:sz w:val="24"/>
          <w:szCs w:val="24"/>
        </w:rPr>
        <w:t>Masengesho</w:t>
      </w:r>
      <w:proofErr w:type="spellEnd"/>
      <w:r w:rsidRPr="005D1077">
        <w:rPr>
          <w:rFonts w:ascii="Times New Roman" w:hAnsi="Times New Roman" w:cs="Times New Roman"/>
          <w:sz w:val="24"/>
          <w:szCs w:val="24"/>
        </w:rPr>
        <w:t xml:space="preserve"> and </w:t>
      </w:r>
      <w:proofErr w:type="spellStart"/>
      <w:r w:rsidRPr="005D1077">
        <w:rPr>
          <w:rFonts w:ascii="Times New Roman" w:hAnsi="Times New Roman" w:cs="Times New Roman"/>
          <w:sz w:val="24"/>
          <w:szCs w:val="24"/>
        </w:rPr>
        <w:t>Hersbon</w:t>
      </w:r>
      <w:proofErr w:type="spellEnd"/>
      <w:r w:rsidRPr="005D1077">
        <w:rPr>
          <w:rFonts w:ascii="Times New Roman" w:hAnsi="Times New Roman" w:cs="Times New Roman"/>
          <w:sz w:val="24"/>
          <w:szCs w:val="24"/>
        </w:rPr>
        <w:t xml:space="preserve"> (2024), the Project MATH increases student involvement in the educational process. This project emphasizes student engagement and motivation rather than teacher-centric instruction, and they also state that there is an improvement in the motivation and performance of students with low basic numeracy skills (Apus &amp; </w:t>
      </w:r>
      <w:proofErr w:type="spellStart"/>
      <w:r w:rsidRPr="005D1077">
        <w:rPr>
          <w:rFonts w:ascii="Times New Roman" w:hAnsi="Times New Roman" w:cs="Times New Roman"/>
          <w:sz w:val="24"/>
          <w:szCs w:val="24"/>
        </w:rPr>
        <w:t>Quirap</w:t>
      </w:r>
      <w:proofErr w:type="spellEnd"/>
      <w:r w:rsidRPr="005D1077">
        <w:rPr>
          <w:rFonts w:ascii="Times New Roman" w:hAnsi="Times New Roman" w:cs="Times New Roman"/>
          <w:sz w:val="24"/>
          <w:szCs w:val="24"/>
        </w:rPr>
        <w:t>, 2024).</w:t>
      </w:r>
    </w:p>
    <w:p w14:paraId="17A73599" w14:textId="5E62C4BF" w:rsidR="005D1077" w:rsidRDefault="00960632" w:rsidP="005D1077">
      <w:p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tab/>
      </w:r>
      <w:r w:rsidR="005D1077" w:rsidRPr="005D1077">
        <w:rPr>
          <w:rFonts w:ascii="Times New Roman" w:hAnsi="Times New Roman" w:cs="Times New Roman"/>
          <w:sz w:val="24"/>
          <w:szCs w:val="24"/>
        </w:rPr>
        <w:t>Students who perform poorly in mathematics receive Project MATH to support their current and future academic performance (Herrera, 2019). Cachero (2020) finds that students receiving intervention strengthen their mathematics skills and show an increased interest in the subject. Several studies suggest that providing opportunities to learn plays a key role in promoting low-achieving students’ performance in mathematics. Therefore, every Friday, the team conducts Project MATH for probationary students. The population is selected according to the following criteria: those who receive grades between 80 and 84, based on the retention policy for probationary status with learning difficulties in numeracy skills. Thus, Project MATH becomes one of the initiatives implemented by the coordinators and deans to support students with learning problems or difficulties that hinder their mastery of basic numeracy skills (</w:t>
      </w:r>
      <w:proofErr w:type="spellStart"/>
      <w:r w:rsidR="005D1077" w:rsidRPr="005D1077">
        <w:rPr>
          <w:rFonts w:ascii="Times New Roman" w:hAnsi="Times New Roman" w:cs="Times New Roman"/>
          <w:sz w:val="24"/>
          <w:szCs w:val="24"/>
        </w:rPr>
        <w:t>Byiringiro</w:t>
      </w:r>
      <w:proofErr w:type="spellEnd"/>
      <w:r w:rsidR="005D1077" w:rsidRPr="005D1077">
        <w:rPr>
          <w:rFonts w:ascii="Times New Roman" w:hAnsi="Times New Roman" w:cs="Times New Roman"/>
          <w:sz w:val="24"/>
          <w:szCs w:val="24"/>
        </w:rPr>
        <w:t>, 2023). Moreover, we implement Project MATH to assist students in achieving the expected competencies in core academic skills, such as literacy and numeracy.</w:t>
      </w:r>
    </w:p>
    <w:p w14:paraId="78BBB5B1" w14:textId="77777777" w:rsidR="007D0B9C" w:rsidRDefault="007D0B9C" w:rsidP="005D1077">
      <w:pPr>
        <w:spacing w:line="240" w:lineRule="auto"/>
        <w:jc w:val="both"/>
        <w:rPr>
          <w:rFonts w:ascii="Times New Roman" w:hAnsi="Times New Roman" w:cs="Times New Roman"/>
          <w:b/>
          <w:bCs/>
          <w:sz w:val="24"/>
          <w:szCs w:val="24"/>
        </w:rPr>
      </w:pPr>
    </w:p>
    <w:p w14:paraId="41D20CA4" w14:textId="77777777" w:rsidR="007D0B9C" w:rsidRDefault="007D0B9C" w:rsidP="005D1077">
      <w:pPr>
        <w:spacing w:line="240" w:lineRule="auto"/>
        <w:jc w:val="both"/>
        <w:rPr>
          <w:rFonts w:ascii="Times New Roman" w:hAnsi="Times New Roman" w:cs="Times New Roman"/>
          <w:b/>
          <w:bCs/>
          <w:sz w:val="24"/>
          <w:szCs w:val="24"/>
        </w:rPr>
      </w:pPr>
    </w:p>
    <w:p w14:paraId="3B9974CF" w14:textId="77777777" w:rsidR="007D0B9C" w:rsidRDefault="007D0B9C" w:rsidP="005D1077">
      <w:pPr>
        <w:spacing w:line="240" w:lineRule="auto"/>
        <w:jc w:val="both"/>
        <w:rPr>
          <w:rFonts w:ascii="Times New Roman" w:hAnsi="Times New Roman" w:cs="Times New Roman"/>
          <w:b/>
          <w:bCs/>
          <w:sz w:val="24"/>
          <w:szCs w:val="24"/>
        </w:rPr>
      </w:pPr>
    </w:p>
    <w:p w14:paraId="1FA2C386" w14:textId="77777777" w:rsidR="007D0B9C" w:rsidRDefault="007D0B9C" w:rsidP="005D1077">
      <w:pPr>
        <w:spacing w:line="240" w:lineRule="auto"/>
        <w:jc w:val="both"/>
        <w:rPr>
          <w:rFonts w:ascii="Times New Roman" w:hAnsi="Times New Roman" w:cs="Times New Roman"/>
          <w:b/>
          <w:bCs/>
          <w:sz w:val="24"/>
          <w:szCs w:val="24"/>
        </w:rPr>
      </w:pPr>
    </w:p>
    <w:p w14:paraId="5181B24C" w14:textId="77777777" w:rsidR="007D0B9C" w:rsidRDefault="007D0B9C" w:rsidP="005D1077">
      <w:pPr>
        <w:spacing w:line="240" w:lineRule="auto"/>
        <w:jc w:val="both"/>
        <w:rPr>
          <w:rFonts w:ascii="Times New Roman" w:hAnsi="Times New Roman" w:cs="Times New Roman"/>
          <w:b/>
          <w:bCs/>
          <w:sz w:val="24"/>
          <w:szCs w:val="24"/>
        </w:rPr>
      </w:pPr>
    </w:p>
    <w:p w14:paraId="1BD905EE" w14:textId="42339FAE" w:rsidR="004D5FF5" w:rsidRPr="00961F2C" w:rsidRDefault="004D5FF5" w:rsidP="005D1077">
      <w:pPr>
        <w:spacing w:line="240" w:lineRule="auto"/>
        <w:jc w:val="both"/>
        <w:rPr>
          <w:rFonts w:ascii="Times New Roman" w:hAnsi="Times New Roman" w:cs="Times New Roman"/>
          <w:b/>
          <w:bCs/>
          <w:sz w:val="24"/>
          <w:szCs w:val="24"/>
        </w:rPr>
      </w:pPr>
      <w:r w:rsidRPr="00961F2C">
        <w:rPr>
          <w:rFonts w:ascii="Times New Roman" w:hAnsi="Times New Roman" w:cs="Times New Roman"/>
          <w:b/>
          <w:bCs/>
          <w:sz w:val="24"/>
          <w:szCs w:val="24"/>
        </w:rPr>
        <w:t>Action Research Questions</w:t>
      </w:r>
    </w:p>
    <w:p w14:paraId="5A4A41E1" w14:textId="61ED1AFA" w:rsidR="008F6449" w:rsidRDefault="008F6449" w:rsidP="00A937C0">
      <w:pPr>
        <w:pStyle w:val="NoSpacing"/>
        <w:ind w:firstLine="360"/>
        <w:rPr>
          <w:rFonts w:ascii="Times New Roman" w:hAnsi="Times New Roman" w:cs="Times New Roman"/>
          <w:sz w:val="24"/>
          <w:szCs w:val="24"/>
        </w:rPr>
      </w:pPr>
      <w:r w:rsidRPr="00961F2C">
        <w:rPr>
          <w:rFonts w:ascii="Times New Roman" w:hAnsi="Times New Roman" w:cs="Times New Roman"/>
          <w:sz w:val="24"/>
          <w:szCs w:val="24"/>
        </w:rPr>
        <w:t xml:space="preserve">The purpose of this research is </w:t>
      </w:r>
      <w:r w:rsidR="004231A1" w:rsidRPr="00961F2C">
        <w:rPr>
          <w:rFonts w:ascii="Times New Roman" w:hAnsi="Times New Roman" w:cs="Times New Roman"/>
          <w:sz w:val="24"/>
          <w:szCs w:val="24"/>
        </w:rPr>
        <w:t xml:space="preserve">to examine </w:t>
      </w:r>
      <w:r w:rsidRPr="00961F2C">
        <w:rPr>
          <w:rFonts w:ascii="Times New Roman" w:hAnsi="Times New Roman" w:cs="Times New Roman"/>
          <w:sz w:val="24"/>
          <w:szCs w:val="24"/>
        </w:rPr>
        <w:t xml:space="preserve">the impact of </w:t>
      </w:r>
      <w:r w:rsidR="009A6135">
        <w:rPr>
          <w:rFonts w:ascii="Times New Roman" w:hAnsi="Times New Roman" w:cs="Times New Roman"/>
          <w:sz w:val="24"/>
          <w:szCs w:val="24"/>
        </w:rPr>
        <w:t xml:space="preserve">Project MATH as </w:t>
      </w:r>
      <w:r w:rsidR="007D0B9C">
        <w:rPr>
          <w:rFonts w:ascii="Times New Roman" w:hAnsi="Times New Roman" w:cs="Times New Roman"/>
          <w:sz w:val="24"/>
          <w:szCs w:val="24"/>
        </w:rPr>
        <w:t xml:space="preserve">an </w:t>
      </w:r>
      <w:r w:rsidR="009A6135">
        <w:rPr>
          <w:rFonts w:ascii="Times New Roman" w:hAnsi="Times New Roman" w:cs="Times New Roman"/>
          <w:sz w:val="24"/>
          <w:szCs w:val="24"/>
        </w:rPr>
        <w:t xml:space="preserve">intervention </w:t>
      </w:r>
      <w:r w:rsidRPr="00961F2C">
        <w:rPr>
          <w:rFonts w:ascii="Times New Roman" w:hAnsi="Times New Roman" w:cs="Times New Roman"/>
          <w:sz w:val="24"/>
          <w:szCs w:val="24"/>
        </w:rPr>
        <w:t>on the performance of BSED students</w:t>
      </w:r>
      <w:r w:rsidR="009A6135">
        <w:rPr>
          <w:rFonts w:ascii="Times New Roman" w:hAnsi="Times New Roman" w:cs="Times New Roman"/>
          <w:sz w:val="24"/>
          <w:szCs w:val="24"/>
        </w:rPr>
        <w:t xml:space="preserve">. </w:t>
      </w:r>
      <w:r w:rsidRPr="00961F2C">
        <w:rPr>
          <w:rFonts w:ascii="Times New Roman" w:hAnsi="Times New Roman" w:cs="Times New Roman"/>
          <w:sz w:val="24"/>
          <w:szCs w:val="24"/>
        </w:rPr>
        <w:t>Specifically, the researchers seek to answer the following:</w:t>
      </w:r>
    </w:p>
    <w:p w14:paraId="1A94C8CE" w14:textId="77777777" w:rsidR="007D0B9C" w:rsidRPr="00961F2C" w:rsidRDefault="007D0B9C" w:rsidP="00A937C0">
      <w:pPr>
        <w:pStyle w:val="NoSpacing"/>
        <w:ind w:firstLine="360"/>
        <w:rPr>
          <w:rFonts w:ascii="Times New Roman" w:hAnsi="Times New Roman" w:cs="Times New Roman"/>
          <w:sz w:val="24"/>
          <w:szCs w:val="24"/>
        </w:rPr>
      </w:pPr>
    </w:p>
    <w:p w14:paraId="6DCE31CC" w14:textId="1BB0448A" w:rsidR="008F6449" w:rsidRPr="00961F2C" w:rsidRDefault="008F6449" w:rsidP="00E25ECA">
      <w:pPr>
        <w:pStyle w:val="ListParagraph"/>
        <w:numPr>
          <w:ilvl w:val="0"/>
          <w:numId w:val="1"/>
        </w:numPr>
        <w:spacing w:line="240" w:lineRule="auto"/>
        <w:jc w:val="both"/>
        <w:rPr>
          <w:rFonts w:ascii="Times New Roman" w:hAnsi="Times New Roman" w:cs="Times New Roman"/>
          <w:sz w:val="24"/>
          <w:szCs w:val="24"/>
        </w:rPr>
      </w:pPr>
      <w:bookmarkStart w:id="1" w:name="_Hlk202443616"/>
      <w:r w:rsidRPr="00961F2C">
        <w:rPr>
          <w:rFonts w:ascii="Times New Roman" w:hAnsi="Times New Roman" w:cs="Times New Roman"/>
          <w:sz w:val="24"/>
          <w:szCs w:val="24"/>
        </w:rPr>
        <w:t xml:space="preserve">What is </w:t>
      </w:r>
      <w:r w:rsidR="007D0B9C">
        <w:rPr>
          <w:rFonts w:ascii="Times New Roman" w:hAnsi="Times New Roman" w:cs="Times New Roman"/>
          <w:sz w:val="24"/>
          <w:szCs w:val="24"/>
        </w:rPr>
        <w:t xml:space="preserve">the </w:t>
      </w:r>
      <w:r w:rsidRPr="00961F2C">
        <w:rPr>
          <w:rFonts w:ascii="Times New Roman" w:hAnsi="Times New Roman" w:cs="Times New Roman"/>
          <w:sz w:val="24"/>
          <w:szCs w:val="24"/>
        </w:rPr>
        <w:t>demographic profile</w:t>
      </w:r>
      <w:r w:rsidR="007D0B9C">
        <w:rPr>
          <w:rFonts w:ascii="Times New Roman" w:hAnsi="Times New Roman" w:cs="Times New Roman"/>
          <w:sz w:val="24"/>
          <w:szCs w:val="24"/>
        </w:rPr>
        <w:t xml:space="preserve"> of the student</w:t>
      </w:r>
      <w:r w:rsidRPr="00961F2C">
        <w:rPr>
          <w:rFonts w:ascii="Times New Roman" w:hAnsi="Times New Roman" w:cs="Times New Roman"/>
          <w:sz w:val="24"/>
          <w:szCs w:val="24"/>
        </w:rPr>
        <w:t xml:space="preserve"> in terms of:</w:t>
      </w:r>
    </w:p>
    <w:p w14:paraId="1A594FE1" w14:textId="59D6F019" w:rsidR="008F6449" w:rsidRPr="00961F2C" w:rsidRDefault="004231A1" w:rsidP="00E25ECA">
      <w:pPr>
        <w:pStyle w:val="ListParagraph"/>
        <w:numPr>
          <w:ilvl w:val="1"/>
          <w:numId w:val="1"/>
        </w:num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t>course and</w:t>
      </w:r>
    </w:p>
    <w:p w14:paraId="6F5A2C73" w14:textId="4448D910" w:rsidR="008F6449" w:rsidRPr="00961F2C" w:rsidRDefault="004231A1" w:rsidP="00E25ECA">
      <w:pPr>
        <w:pStyle w:val="ListParagraph"/>
        <w:numPr>
          <w:ilvl w:val="1"/>
          <w:numId w:val="1"/>
        </w:num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t>sex</w:t>
      </w:r>
    </w:p>
    <w:p w14:paraId="15D17621" w14:textId="77777777" w:rsidR="004231A1" w:rsidRPr="00961F2C" w:rsidRDefault="004231A1" w:rsidP="00E25ECA">
      <w:pPr>
        <w:pStyle w:val="ListParagraph"/>
        <w:numPr>
          <w:ilvl w:val="0"/>
          <w:numId w:val="1"/>
        </w:num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t xml:space="preserve">What is the level of performance of the students by comparing their scores in: </w:t>
      </w:r>
    </w:p>
    <w:p w14:paraId="4D3CC7B5" w14:textId="5D427CD8" w:rsidR="004231A1" w:rsidRPr="00961F2C" w:rsidRDefault="004231A1" w:rsidP="00E25ECA">
      <w:pPr>
        <w:pStyle w:val="ListParagraph"/>
        <w:numPr>
          <w:ilvl w:val="1"/>
          <w:numId w:val="1"/>
        </w:num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t xml:space="preserve">pre-test  and </w:t>
      </w:r>
    </w:p>
    <w:p w14:paraId="7CC4FB1E" w14:textId="0EDB3FC1" w:rsidR="004231A1" w:rsidRPr="00961F2C" w:rsidRDefault="004231A1" w:rsidP="00E25ECA">
      <w:pPr>
        <w:pStyle w:val="ListParagraph"/>
        <w:numPr>
          <w:ilvl w:val="1"/>
          <w:numId w:val="1"/>
        </w:num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lastRenderedPageBreak/>
        <w:t>post-test</w:t>
      </w:r>
      <w:r w:rsidR="007D0B9C">
        <w:rPr>
          <w:rFonts w:ascii="Times New Roman" w:hAnsi="Times New Roman" w:cs="Times New Roman"/>
          <w:sz w:val="24"/>
          <w:szCs w:val="24"/>
        </w:rPr>
        <w:t>?</w:t>
      </w:r>
    </w:p>
    <w:p w14:paraId="23D72C4B" w14:textId="4441A8EC" w:rsidR="004231A1" w:rsidRPr="00961F2C" w:rsidRDefault="004231A1" w:rsidP="00E25ECA">
      <w:pPr>
        <w:pStyle w:val="ListParagraph"/>
        <w:numPr>
          <w:ilvl w:val="0"/>
          <w:numId w:val="1"/>
        </w:num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t>Is there is a significant difference in the students’ performance based on their pre-test and post-test scores</w:t>
      </w:r>
      <w:r w:rsidR="007D0B9C">
        <w:rPr>
          <w:rFonts w:ascii="Times New Roman" w:hAnsi="Times New Roman" w:cs="Times New Roman"/>
          <w:sz w:val="24"/>
          <w:szCs w:val="24"/>
        </w:rPr>
        <w:t>?</w:t>
      </w:r>
    </w:p>
    <w:p w14:paraId="1E720762" w14:textId="365C29D0" w:rsidR="00894ABB" w:rsidRPr="00961F2C" w:rsidRDefault="00FE4A58" w:rsidP="00E25ECA">
      <w:pPr>
        <w:pStyle w:val="ListParagraph"/>
        <w:numPr>
          <w:ilvl w:val="0"/>
          <w:numId w:val="1"/>
        </w:numPr>
        <w:spacing w:line="240" w:lineRule="auto"/>
        <w:jc w:val="both"/>
        <w:rPr>
          <w:rFonts w:ascii="Times New Roman" w:hAnsi="Times New Roman" w:cs="Times New Roman"/>
          <w:sz w:val="24"/>
          <w:szCs w:val="24"/>
        </w:rPr>
      </w:pPr>
      <w:r w:rsidRPr="00961F2C">
        <w:rPr>
          <w:rFonts w:ascii="Times New Roman" w:hAnsi="Times New Roman" w:cs="Times New Roman"/>
          <w:sz w:val="24"/>
          <w:szCs w:val="24"/>
        </w:rPr>
        <w:t>What is</w:t>
      </w:r>
      <w:r w:rsidR="007D0B9C">
        <w:rPr>
          <w:rFonts w:ascii="Times New Roman" w:hAnsi="Times New Roman" w:cs="Times New Roman"/>
          <w:sz w:val="24"/>
          <w:szCs w:val="24"/>
        </w:rPr>
        <w:t xml:space="preserve"> the</w:t>
      </w:r>
      <w:r w:rsidRPr="00961F2C">
        <w:rPr>
          <w:rFonts w:ascii="Times New Roman" w:hAnsi="Times New Roman" w:cs="Times New Roman"/>
          <w:sz w:val="24"/>
          <w:szCs w:val="24"/>
        </w:rPr>
        <w:t xml:space="preserve"> level </w:t>
      </w:r>
      <w:r w:rsidR="007D0B9C" w:rsidRPr="00961F2C">
        <w:rPr>
          <w:rFonts w:ascii="Times New Roman" w:hAnsi="Times New Roman" w:cs="Times New Roman"/>
          <w:sz w:val="24"/>
          <w:szCs w:val="24"/>
        </w:rPr>
        <w:t>of interest</w:t>
      </w:r>
      <w:r w:rsidRPr="00961F2C">
        <w:rPr>
          <w:rFonts w:ascii="Times New Roman" w:hAnsi="Times New Roman" w:cs="Times New Roman"/>
          <w:sz w:val="24"/>
          <w:szCs w:val="24"/>
        </w:rPr>
        <w:t xml:space="preserve"> among BSED Students </w:t>
      </w:r>
      <w:r w:rsidR="004231A1" w:rsidRPr="00961F2C">
        <w:rPr>
          <w:rFonts w:ascii="Times New Roman" w:hAnsi="Times New Roman" w:cs="Times New Roman"/>
          <w:sz w:val="24"/>
          <w:szCs w:val="24"/>
        </w:rPr>
        <w:t>toward learning mathematics during their remedial classes</w:t>
      </w:r>
      <w:r w:rsidR="007D0B9C">
        <w:rPr>
          <w:rFonts w:ascii="Times New Roman" w:hAnsi="Times New Roman" w:cs="Times New Roman"/>
          <w:sz w:val="24"/>
          <w:szCs w:val="24"/>
        </w:rPr>
        <w:t>?</w:t>
      </w:r>
    </w:p>
    <w:bookmarkEnd w:id="1"/>
    <w:p w14:paraId="393E82E9" w14:textId="77777777" w:rsidR="00CC71AC" w:rsidRDefault="00CC71AC" w:rsidP="00882C04">
      <w:pPr>
        <w:pStyle w:val="NoSpacing"/>
        <w:rPr>
          <w:rFonts w:ascii="Times New Roman" w:hAnsi="Times New Roman" w:cs="Times New Roman"/>
          <w:b/>
          <w:bCs/>
          <w:sz w:val="24"/>
          <w:szCs w:val="24"/>
        </w:rPr>
      </w:pPr>
    </w:p>
    <w:p w14:paraId="431E036F" w14:textId="6D5E4DF1" w:rsidR="00882C04" w:rsidRDefault="004D5FF5" w:rsidP="00882C04">
      <w:pPr>
        <w:pStyle w:val="NoSpacing"/>
        <w:rPr>
          <w:rFonts w:ascii="Times New Roman" w:hAnsi="Times New Roman" w:cs="Times New Roman"/>
          <w:b/>
          <w:bCs/>
          <w:sz w:val="24"/>
          <w:szCs w:val="24"/>
        </w:rPr>
      </w:pPr>
      <w:r w:rsidRPr="00961F2C">
        <w:rPr>
          <w:rFonts w:ascii="Times New Roman" w:hAnsi="Times New Roman" w:cs="Times New Roman"/>
          <w:b/>
          <w:bCs/>
          <w:sz w:val="24"/>
          <w:szCs w:val="24"/>
        </w:rPr>
        <w:t xml:space="preserve">Theoretical </w:t>
      </w:r>
      <w:r w:rsidR="00CC71AC">
        <w:rPr>
          <w:rFonts w:ascii="Times New Roman" w:hAnsi="Times New Roman" w:cs="Times New Roman"/>
          <w:b/>
          <w:bCs/>
          <w:sz w:val="24"/>
          <w:szCs w:val="24"/>
        </w:rPr>
        <w:t>Framework</w:t>
      </w:r>
    </w:p>
    <w:p w14:paraId="352D5324" w14:textId="77777777" w:rsidR="00CC71AC" w:rsidRPr="00882C04" w:rsidRDefault="00CC71AC" w:rsidP="00882C04">
      <w:pPr>
        <w:pStyle w:val="NoSpacing"/>
        <w:rPr>
          <w:rFonts w:ascii="Times New Roman" w:hAnsi="Times New Roman" w:cs="Times New Roman"/>
          <w:b/>
          <w:bCs/>
          <w:sz w:val="24"/>
          <w:szCs w:val="24"/>
        </w:rPr>
      </w:pPr>
    </w:p>
    <w:p w14:paraId="6B6560FA" w14:textId="77777777" w:rsidR="00882C04" w:rsidRDefault="00882C04" w:rsidP="00882C04">
      <w:pPr>
        <w:ind w:firstLine="720"/>
        <w:jc w:val="both"/>
        <w:rPr>
          <w:rFonts w:ascii="Times New Roman" w:hAnsi="Times New Roman" w:cs="Times New Roman"/>
          <w:sz w:val="24"/>
          <w:szCs w:val="24"/>
        </w:rPr>
      </w:pPr>
      <w:r w:rsidRPr="00882C04">
        <w:rPr>
          <w:rFonts w:ascii="Times New Roman" w:hAnsi="Times New Roman" w:cs="Times New Roman"/>
          <w:sz w:val="24"/>
          <w:szCs w:val="24"/>
        </w:rPr>
        <w:t>The study is anchored on Vygotsky's Sociocultural Theory, which emphasizes the importance of social interaction and scaffolding in student learning and growth. According to this theory, learners benefit considerably from guided teaching within their Zone of Proximal Development (ZPD), where they engage in tasks they cannot accomplish independently (Vygotsky, 1978, as cited in Delos Santos &amp; Mercado, 2023). Remedial classes serve as scaffolds, providing tailored support to close academic gaps and promote deeper understanding. In higher education, such support mechanisms are critical in enhancing the performance of at-risk students, particularly in teacher education programs like BSED. Garcia and Ramos (2023) assert that systematic remedial training tailored to individual learning needs improves student progress and engagement. So, looking at Project MATH using Vygotsky's theory helps teachers see how important personalized learning with social support is for helping students succeed.</w:t>
      </w:r>
    </w:p>
    <w:p w14:paraId="5779105D" w14:textId="53AB3D8E" w:rsidR="00883912" w:rsidRDefault="00882C04" w:rsidP="00882C04">
      <w:pPr>
        <w:ind w:firstLine="720"/>
        <w:jc w:val="both"/>
        <w:rPr>
          <w:rFonts w:ascii="Times New Roman" w:hAnsi="Times New Roman" w:cs="Times New Roman"/>
          <w:sz w:val="24"/>
          <w:szCs w:val="24"/>
        </w:rPr>
      </w:pPr>
      <w:r w:rsidRPr="00882C04">
        <w:rPr>
          <w:rFonts w:ascii="Times New Roman" w:hAnsi="Times New Roman" w:cs="Times New Roman"/>
          <w:sz w:val="24"/>
          <w:szCs w:val="24"/>
        </w:rPr>
        <w:t>The Zone of Proximal Development (ZPD) plays a key role in improving the effectiveness of remedial mathematics instruction by identifying the gap between what learners can do independently and what they can achieve with guided support. In the context of remedial education, centering instruction on a student's ZPD allows educators to design appropriately challenging learning experiences, thereby promoting cognitive growth and strengthening mathematical understanding. Reyes and Dizon (2022) highlight that applying the ZPD framework in mathematics remediation enables teachers to align instruction with students' current competency levels while gradually guiding them toward more advanced thinking skills. This approach not only boosts academic performance but also enhances students’ confidence and motivation to learn—both essential for learners struggling in mathematics.</w:t>
      </w:r>
      <w:r w:rsidR="00883912">
        <w:rPr>
          <w:rFonts w:ascii="Times New Roman" w:hAnsi="Times New Roman" w:cs="Times New Roman"/>
          <w:sz w:val="24"/>
          <w:szCs w:val="24"/>
        </w:rPr>
        <w:tab/>
      </w:r>
    </w:p>
    <w:p w14:paraId="2C7D601B" w14:textId="78BE28FB" w:rsidR="00882C04" w:rsidRDefault="00A864D2" w:rsidP="00882C04">
      <w:pPr>
        <w:ind w:firstLine="720"/>
        <w:jc w:val="both"/>
        <w:rPr>
          <w:rFonts w:ascii="Times New Roman" w:hAnsi="Times New Roman" w:cs="Times New Roman"/>
          <w:sz w:val="24"/>
          <w:szCs w:val="24"/>
        </w:rPr>
      </w:pPr>
      <w:r w:rsidRPr="00A864D2">
        <w:rPr>
          <w:rFonts w:ascii="Times New Roman" w:hAnsi="Times New Roman" w:cs="Times New Roman"/>
          <w:sz w:val="24"/>
          <w:szCs w:val="24"/>
        </w:rPr>
        <w:t xml:space="preserve">The quantitative research design using pre- and post-tests is a widely employed method to assess the effectiveness of an intervention or instructional strategy by measuring changes in participants' performance over time. This design involves administering a test before (pre-test) and after (post-test) the treatment or intervention to the same group, enabling researchers to analyze any differences in scores to determine the impact of the variable being </w:t>
      </w:r>
      <w:r w:rsidR="002E1523" w:rsidRPr="00A864D2">
        <w:rPr>
          <w:rFonts w:ascii="Times New Roman" w:hAnsi="Times New Roman" w:cs="Times New Roman"/>
          <w:sz w:val="24"/>
          <w:szCs w:val="24"/>
        </w:rPr>
        <w:t>studied.</w:t>
      </w:r>
      <w:r w:rsidR="002E1523">
        <w:rPr>
          <w:rFonts w:ascii="Times New Roman" w:hAnsi="Times New Roman" w:cs="Times New Roman"/>
          <w:sz w:val="24"/>
          <w:szCs w:val="24"/>
        </w:rPr>
        <w:t xml:space="preserve"> According</w:t>
      </w:r>
      <w:r w:rsidR="00883912">
        <w:rPr>
          <w:rFonts w:ascii="Times New Roman" w:hAnsi="Times New Roman" w:cs="Times New Roman"/>
          <w:sz w:val="24"/>
          <w:szCs w:val="24"/>
        </w:rPr>
        <w:t xml:space="preserve"> </w:t>
      </w:r>
      <w:r w:rsidR="00883912" w:rsidRPr="00883912">
        <w:rPr>
          <w:rFonts w:ascii="Times New Roman" w:hAnsi="Times New Roman" w:cs="Times New Roman"/>
          <w:sz w:val="24"/>
          <w:szCs w:val="24"/>
        </w:rPr>
        <w:t>Fraenkel, Wallen,</w:t>
      </w:r>
      <w:r w:rsidR="00883912">
        <w:rPr>
          <w:rFonts w:ascii="Times New Roman" w:hAnsi="Times New Roman" w:cs="Times New Roman"/>
          <w:sz w:val="24"/>
          <w:szCs w:val="24"/>
        </w:rPr>
        <w:t xml:space="preserve"> </w:t>
      </w:r>
      <w:r w:rsidR="00883912" w:rsidRPr="00883912">
        <w:rPr>
          <w:rFonts w:ascii="Times New Roman" w:hAnsi="Times New Roman" w:cs="Times New Roman"/>
          <w:sz w:val="24"/>
          <w:szCs w:val="24"/>
        </w:rPr>
        <w:t>&amp; Hyun (2020)</w:t>
      </w:r>
      <w:r w:rsidR="00883912">
        <w:rPr>
          <w:rFonts w:ascii="Times New Roman" w:hAnsi="Times New Roman" w:cs="Times New Roman"/>
          <w:sz w:val="24"/>
          <w:szCs w:val="24"/>
        </w:rPr>
        <w:t xml:space="preserve"> </w:t>
      </w:r>
      <w:r w:rsidR="00883912" w:rsidRPr="00883912">
        <w:rPr>
          <w:rFonts w:ascii="Times New Roman" w:hAnsi="Times New Roman" w:cs="Times New Roman"/>
          <w:sz w:val="24"/>
          <w:szCs w:val="24"/>
        </w:rPr>
        <w:t xml:space="preserve">The strength of the pre- and post-test design lies in its ability to provide empirical evidence of change within the same group of participants over time, thus controlling for individual differences. It is especially effective in educational research for evaluating student learning, behavioral changes, or skill development </w:t>
      </w:r>
      <w:r w:rsidR="00882C04" w:rsidRPr="00883912">
        <w:rPr>
          <w:rFonts w:ascii="Times New Roman" w:hAnsi="Times New Roman" w:cs="Times New Roman"/>
          <w:sz w:val="24"/>
          <w:szCs w:val="24"/>
        </w:rPr>
        <w:t>because of</w:t>
      </w:r>
      <w:r w:rsidR="00883912" w:rsidRPr="00883912">
        <w:rPr>
          <w:rFonts w:ascii="Times New Roman" w:hAnsi="Times New Roman" w:cs="Times New Roman"/>
          <w:sz w:val="24"/>
          <w:szCs w:val="24"/>
        </w:rPr>
        <w:t xml:space="preserve"> teaching strategies or training programs</w:t>
      </w:r>
    </w:p>
    <w:p w14:paraId="5FE0ED0C" w14:textId="2B464258" w:rsidR="00882C04" w:rsidRPr="00882C04" w:rsidRDefault="00882C04" w:rsidP="00882C04">
      <w:pPr>
        <w:spacing w:line="240" w:lineRule="auto"/>
        <w:jc w:val="center"/>
        <w:rPr>
          <w:rFonts w:ascii="Times New Roman" w:hAnsi="Times New Roman" w:cs="Times New Roman"/>
          <w:b/>
          <w:bCs/>
          <w:sz w:val="24"/>
          <w:szCs w:val="24"/>
        </w:rPr>
      </w:pPr>
      <w:r w:rsidRPr="00961F2C">
        <w:rPr>
          <w:rFonts w:ascii="Times New Roman" w:hAnsi="Times New Roman" w:cs="Times New Roman"/>
          <w:b/>
          <w:bCs/>
          <w:sz w:val="24"/>
          <w:szCs w:val="24"/>
        </w:rPr>
        <w:t>METHODOLOGY</w:t>
      </w:r>
    </w:p>
    <w:p w14:paraId="47403AE1" w14:textId="77777777" w:rsidR="00882C04" w:rsidRPr="00882C04" w:rsidRDefault="00882C04" w:rsidP="00882C04">
      <w:pPr>
        <w:jc w:val="both"/>
        <w:rPr>
          <w:rFonts w:ascii="Times New Roman" w:hAnsi="Times New Roman" w:cs="Times New Roman"/>
          <w:b/>
          <w:bCs/>
          <w:sz w:val="24"/>
          <w:szCs w:val="24"/>
        </w:rPr>
      </w:pPr>
      <w:r w:rsidRPr="00882C04">
        <w:rPr>
          <w:rFonts w:ascii="Times New Roman" w:hAnsi="Times New Roman" w:cs="Times New Roman"/>
          <w:b/>
          <w:bCs/>
          <w:sz w:val="24"/>
          <w:szCs w:val="24"/>
        </w:rPr>
        <w:t xml:space="preserve">Research Design </w:t>
      </w:r>
    </w:p>
    <w:p w14:paraId="6A472FF3" w14:textId="092C565A" w:rsidR="00882C04" w:rsidRPr="00883912" w:rsidRDefault="00882C04" w:rsidP="00882C04">
      <w:pPr>
        <w:ind w:firstLine="720"/>
        <w:jc w:val="both"/>
        <w:rPr>
          <w:rFonts w:ascii="Times New Roman" w:hAnsi="Times New Roman" w:cs="Times New Roman"/>
          <w:sz w:val="24"/>
          <w:szCs w:val="24"/>
        </w:rPr>
      </w:pPr>
      <w:r w:rsidRPr="00882C04">
        <w:rPr>
          <w:rFonts w:ascii="Times New Roman" w:hAnsi="Times New Roman" w:cs="Times New Roman"/>
          <w:sz w:val="24"/>
          <w:szCs w:val="24"/>
        </w:rPr>
        <w:lastRenderedPageBreak/>
        <w:t>A quantitative research design that utilized a pre-test and post-test approach was a powerful method for measuring the effect of an intervention or treatment on a specific group. Researchers collected data from participants before and after the implementation of the intervention, enabling them to assess their interest during the intervention. This design helped ensure the results were reliable by comparing scores before and after the intervention, giving clear and measurable proof of any changes (Creswell &amp; Creswell, 2024). Furthermore, the pre-test and post-test design enabled the evaluation of intervention effectiveness across different educational or behavioral settings.</w:t>
      </w:r>
    </w:p>
    <w:p w14:paraId="14042BE1" w14:textId="5716D6E3" w:rsidR="009A5D7E" w:rsidRDefault="004D5FF5" w:rsidP="00E25ECA">
      <w:pPr>
        <w:pStyle w:val="NoSpacing"/>
        <w:rPr>
          <w:rFonts w:ascii="Times New Roman" w:hAnsi="Times New Roman" w:cs="Times New Roman"/>
          <w:b/>
          <w:bCs/>
          <w:sz w:val="24"/>
          <w:szCs w:val="24"/>
        </w:rPr>
      </w:pPr>
      <w:r w:rsidRPr="00961F2C">
        <w:rPr>
          <w:rFonts w:ascii="Times New Roman" w:hAnsi="Times New Roman" w:cs="Times New Roman"/>
          <w:b/>
          <w:bCs/>
          <w:sz w:val="24"/>
          <w:szCs w:val="24"/>
        </w:rPr>
        <w:t>Research Respondents</w:t>
      </w:r>
    </w:p>
    <w:p w14:paraId="0574DCA9" w14:textId="77777777" w:rsidR="007D0B9C" w:rsidRPr="00961F2C" w:rsidRDefault="007D0B9C" w:rsidP="00E25ECA">
      <w:pPr>
        <w:pStyle w:val="NoSpacing"/>
        <w:rPr>
          <w:rFonts w:ascii="Times New Roman" w:hAnsi="Times New Roman" w:cs="Times New Roman"/>
          <w:b/>
          <w:bCs/>
          <w:sz w:val="24"/>
          <w:szCs w:val="24"/>
        </w:rPr>
      </w:pPr>
    </w:p>
    <w:p w14:paraId="647A70E8" w14:textId="3E1408EF" w:rsidR="00E14229" w:rsidRDefault="00882C04" w:rsidP="00882C04">
      <w:pPr>
        <w:pStyle w:val="NoSpacing"/>
        <w:ind w:firstLine="720"/>
        <w:jc w:val="both"/>
        <w:rPr>
          <w:rFonts w:ascii="Times New Roman" w:hAnsi="Times New Roman" w:cs="Times New Roman"/>
          <w:sz w:val="24"/>
          <w:szCs w:val="24"/>
        </w:rPr>
      </w:pPr>
      <w:r w:rsidRPr="00882C04">
        <w:rPr>
          <w:rFonts w:ascii="Times New Roman" w:hAnsi="Times New Roman" w:cs="Times New Roman"/>
          <w:sz w:val="24"/>
          <w:szCs w:val="24"/>
        </w:rPr>
        <w:t xml:space="preserve">The study had involved thirty students from the secondary education department who had undergone a probationary period for the school year 2024–2025 at </w:t>
      </w:r>
      <w:proofErr w:type="spellStart"/>
      <w:r w:rsidRPr="00882C04">
        <w:rPr>
          <w:rFonts w:ascii="Times New Roman" w:hAnsi="Times New Roman" w:cs="Times New Roman"/>
          <w:sz w:val="24"/>
          <w:szCs w:val="24"/>
        </w:rPr>
        <w:t>Monkayo</w:t>
      </w:r>
      <w:proofErr w:type="spellEnd"/>
      <w:r w:rsidRPr="00882C04">
        <w:rPr>
          <w:rFonts w:ascii="Times New Roman" w:hAnsi="Times New Roman" w:cs="Times New Roman"/>
          <w:sz w:val="24"/>
          <w:szCs w:val="24"/>
        </w:rPr>
        <w:t xml:space="preserve"> College of Arts, Sciences, and Technology (</w:t>
      </w:r>
      <w:proofErr w:type="spellStart"/>
      <w:r w:rsidRPr="00882C04">
        <w:rPr>
          <w:rFonts w:ascii="Times New Roman" w:hAnsi="Times New Roman" w:cs="Times New Roman"/>
          <w:sz w:val="24"/>
          <w:szCs w:val="24"/>
        </w:rPr>
        <w:t>MonCAST</w:t>
      </w:r>
      <w:proofErr w:type="spellEnd"/>
      <w:r w:rsidRPr="00882C04">
        <w:rPr>
          <w:rFonts w:ascii="Times New Roman" w:hAnsi="Times New Roman" w:cs="Times New Roman"/>
          <w:sz w:val="24"/>
          <w:szCs w:val="24"/>
        </w:rPr>
        <w:t>) and had required basic math remediation. The dean of the BSED program had placed these students on academic probation due to their grades falling below the program's sustaining grade of 85 in mathematics-related areas during their enrollment assessment.</w:t>
      </w:r>
    </w:p>
    <w:p w14:paraId="4E76F90C" w14:textId="77777777" w:rsidR="007D0B9C" w:rsidRPr="00961F2C" w:rsidRDefault="007D0B9C" w:rsidP="00882C04">
      <w:pPr>
        <w:pStyle w:val="NoSpacing"/>
        <w:ind w:firstLine="720"/>
        <w:jc w:val="both"/>
        <w:rPr>
          <w:rFonts w:ascii="Times New Roman" w:hAnsi="Times New Roman" w:cs="Times New Roman"/>
          <w:sz w:val="24"/>
          <w:szCs w:val="24"/>
        </w:rPr>
      </w:pPr>
    </w:p>
    <w:p w14:paraId="1C9D5630" w14:textId="77777777" w:rsidR="00265747" w:rsidRDefault="00750F82" w:rsidP="00E25ECA">
      <w:pPr>
        <w:pStyle w:val="NoSpacing"/>
        <w:jc w:val="both"/>
        <w:rPr>
          <w:rFonts w:ascii="Times New Roman" w:hAnsi="Times New Roman" w:cs="Times New Roman"/>
          <w:b/>
          <w:bCs/>
          <w:sz w:val="24"/>
          <w:szCs w:val="24"/>
        </w:rPr>
      </w:pPr>
      <w:r w:rsidRPr="00961F2C">
        <w:rPr>
          <w:rFonts w:ascii="Times New Roman" w:hAnsi="Times New Roman" w:cs="Times New Roman"/>
          <w:b/>
          <w:bCs/>
          <w:sz w:val="24"/>
          <w:szCs w:val="24"/>
        </w:rPr>
        <w:t>Research Instruments</w:t>
      </w:r>
    </w:p>
    <w:p w14:paraId="55ADB529" w14:textId="77777777" w:rsidR="007D0B9C" w:rsidRPr="00961F2C" w:rsidRDefault="007D0B9C" w:rsidP="00E25ECA">
      <w:pPr>
        <w:pStyle w:val="NoSpacing"/>
        <w:jc w:val="both"/>
        <w:rPr>
          <w:rFonts w:ascii="Times New Roman" w:hAnsi="Times New Roman" w:cs="Times New Roman"/>
          <w:b/>
          <w:bCs/>
          <w:sz w:val="24"/>
          <w:szCs w:val="24"/>
        </w:rPr>
      </w:pPr>
    </w:p>
    <w:p w14:paraId="56C2E6E0" w14:textId="0E9731F9" w:rsidR="000B72DA" w:rsidRPr="00961F2C" w:rsidRDefault="00882C04" w:rsidP="00882C04">
      <w:pPr>
        <w:pStyle w:val="NoSpacing"/>
        <w:ind w:firstLine="720"/>
        <w:jc w:val="both"/>
        <w:rPr>
          <w:rFonts w:ascii="Times New Roman" w:hAnsi="Times New Roman" w:cs="Times New Roman"/>
          <w:sz w:val="24"/>
          <w:szCs w:val="24"/>
        </w:rPr>
      </w:pPr>
      <w:r w:rsidRPr="00882C04">
        <w:rPr>
          <w:rFonts w:ascii="Times New Roman" w:hAnsi="Times New Roman" w:cs="Times New Roman"/>
          <w:sz w:val="24"/>
          <w:szCs w:val="24"/>
        </w:rPr>
        <w:t>The teacher had prepared an activity design that was well-structured, engaging, and tailored to students' actual learning needs to help build foundational skills, including week-long orientation activities, expected output, and actual results. The program had guided both teachers and students. Hence, the researchers administered a teacher-made pre-test and post-test consisting of 60 multiple-choice items aligned with the mathematics competencies covered in the remedial sessions. The tests had been validated by the dean of secondary education and the vice president for academic affairs to ensure content validity. The pretest assessed students' baseline understanding, while the posttest measured learning gains after the intervention. The students were given a survey questionnaire to gauge their interest in the remedial class.</w:t>
      </w:r>
    </w:p>
    <w:p w14:paraId="559E74BD" w14:textId="77777777" w:rsidR="007D0B9C" w:rsidRDefault="007D0B9C" w:rsidP="00E25ECA">
      <w:pPr>
        <w:pStyle w:val="NoSpacing"/>
        <w:jc w:val="both"/>
        <w:rPr>
          <w:rFonts w:ascii="Times New Roman" w:hAnsi="Times New Roman" w:cs="Times New Roman"/>
          <w:b/>
          <w:bCs/>
          <w:sz w:val="24"/>
          <w:szCs w:val="24"/>
        </w:rPr>
      </w:pPr>
    </w:p>
    <w:p w14:paraId="5190829C" w14:textId="040BD95D" w:rsidR="00750F82" w:rsidRDefault="00750F82" w:rsidP="00E25ECA">
      <w:pPr>
        <w:pStyle w:val="NoSpacing"/>
        <w:jc w:val="both"/>
        <w:rPr>
          <w:rFonts w:ascii="Times New Roman" w:hAnsi="Times New Roman" w:cs="Times New Roman"/>
          <w:b/>
          <w:bCs/>
          <w:sz w:val="24"/>
          <w:szCs w:val="24"/>
        </w:rPr>
      </w:pPr>
      <w:r w:rsidRPr="00961F2C">
        <w:rPr>
          <w:rFonts w:ascii="Times New Roman" w:hAnsi="Times New Roman" w:cs="Times New Roman"/>
          <w:b/>
          <w:bCs/>
          <w:sz w:val="24"/>
          <w:szCs w:val="24"/>
        </w:rPr>
        <w:t>Data Collection</w:t>
      </w:r>
    </w:p>
    <w:p w14:paraId="5819FF9E" w14:textId="77777777" w:rsidR="007D0B9C" w:rsidRDefault="007D0B9C" w:rsidP="00E25ECA">
      <w:pPr>
        <w:pStyle w:val="NoSpacing"/>
        <w:jc w:val="both"/>
        <w:rPr>
          <w:rFonts w:ascii="Times New Roman" w:hAnsi="Times New Roman" w:cs="Times New Roman"/>
          <w:b/>
          <w:bCs/>
          <w:sz w:val="24"/>
          <w:szCs w:val="24"/>
        </w:rPr>
      </w:pPr>
    </w:p>
    <w:p w14:paraId="493BC8DE" w14:textId="2FB3B037" w:rsidR="00882C04" w:rsidRDefault="00882C04" w:rsidP="00882C04">
      <w:pPr>
        <w:pStyle w:val="NoSpacing"/>
        <w:ind w:firstLine="720"/>
        <w:jc w:val="both"/>
        <w:rPr>
          <w:rFonts w:ascii="Times New Roman" w:hAnsi="Times New Roman" w:cs="Times New Roman"/>
          <w:sz w:val="24"/>
          <w:szCs w:val="24"/>
        </w:rPr>
      </w:pPr>
      <w:r w:rsidRPr="00882C04">
        <w:rPr>
          <w:rFonts w:ascii="Times New Roman" w:hAnsi="Times New Roman" w:cs="Times New Roman"/>
          <w:sz w:val="24"/>
          <w:szCs w:val="24"/>
        </w:rPr>
        <w:t>The research instrument had consisted of four parts. In Part I of the research instrument, the researchers had conducted an orientation for learners and parents about the remedial classes in the numeracy program. In Part II, the researchers had administered pre-tests and post-tests to gather the necessary data for the study. There had been sixty multiple-choice teacher-made questions specifically designed for students. They had subjected the pre-test and post-test to content validity. In Part III, the teacher had administered a questionnaire to gauge their interests during the remedial class. The researchers had implemented project manipulatives, active participation, targeted instruction, and hands-on activities (MATH) as a treatment to upskill the learning competency of the students in the BSED department. The posttest had been administered afterward. Part IV of the research instrument involved the teacher distributing an adapted questionnaire to determine the level of interest of the students toward the Project MATH. The researchers had monitored the participants' attendance and performance in each remedial class.</w:t>
      </w:r>
    </w:p>
    <w:p w14:paraId="036FE80F" w14:textId="77777777" w:rsidR="007D0B9C" w:rsidRDefault="007D0B9C" w:rsidP="00747E0A">
      <w:pPr>
        <w:pStyle w:val="NoSpacing"/>
        <w:jc w:val="both"/>
        <w:rPr>
          <w:rFonts w:ascii="Times New Roman" w:hAnsi="Times New Roman" w:cs="Times New Roman"/>
          <w:b/>
          <w:bCs/>
          <w:sz w:val="24"/>
          <w:szCs w:val="24"/>
        </w:rPr>
      </w:pPr>
    </w:p>
    <w:p w14:paraId="53BDE67B" w14:textId="78703360" w:rsidR="00747E0A" w:rsidRDefault="00747E0A" w:rsidP="00747E0A">
      <w:pPr>
        <w:pStyle w:val="NoSpacing"/>
        <w:jc w:val="both"/>
        <w:rPr>
          <w:rFonts w:ascii="Times New Roman" w:hAnsi="Times New Roman" w:cs="Times New Roman"/>
          <w:b/>
          <w:bCs/>
          <w:sz w:val="24"/>
          <w:szCs w:val="24"/>
        </w:rPr>
      </w:pPr>
      <w:r w:rsidRPr="00747E0A">
        <w:rPr>
          <w:rFonts w:ascii="Times New Roman" w:hAnsi="Times New Roman" w:cs="Times New Roman"/>
          <w:b/>
          <w:bCs/>
          <w:sz w:val="24"/>
          <w:szCs w:val="24"/>
        </w:rPr>
        <w:t>Data Analysis</w:t>
      </w:r>
    </w:p>
    <w:p w14:paraId="1002EF88" w14:textId="77777777" w:rsidR="007D0B9C" w:rsidRPr="00747E0A" w:rsidRDefault="007D0B9C" w:rsidP="00747E0A">
      <w:pPr>
        <w:pStyle w:val="NoSpacing"/>
        <w:jc w:val="both"/>
        <w:rPr>
          <w:rFonts w:ascii="Times New Roman" w:hAnsi="Times New Roman" w:cs="Times New Roman"/>
          <w:b/>
          <w:bCs/>
          <w:sz w:val="24"/>
          <w:szCs w:val="24"/>
        </w:rPr>
      </w:pPr>
    </w:p>
    <w:p w14:paraId="45DB88DD" w14:textId="60ECD578" w:rsidR="00747E0A" w:rsidRDefault="00747E0A" w:rsidP="00882C0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w:t>
      </w:r>
      <w:r w:rsidRPr="00747E0A">
        <w:rPr>
          <w:rFonts w:ascii="Times New Roman" w:hAnsi="Times New Roman" w:cs="Times New Roman"/>
          <w:sz w:val="24"/>
          <w:szCs w:val="24"/>
        </w:rPr>
        <w:t xml:space="preserve">he researchers identified the respondents' demographic profile based on their program enrollment. Hence, the researchers applied the weighted mean average (WMA) and standard deviation (SD) to determine the level of performance of the students based on their pretest and posttest scores. Additionally, the researchers administered a paired sample t-test to identify any significant differences in the learners' performance with respect to basic mathematical concepts. The gathered data were tallied and </w:t>
      </w:r>
      <w:proofErr w:type="spellStart"/>
      <w:proofErr w:type="gramStart"/>
      <w:r w:rsidRPr="00747E0A">
        <w:rPr>
          <w:rFonts w:ascii="Times New Roman" w:hAnsi="Times New Roman" w:cs="Times New Roman"/>
          <w:sz w:val="24"/>
          <w:szCs w:val="24"/>
        </w:rPr>
        <w:t>analyzed.</w:t>
      </w:r>
      <w:r w:rsidR="00B9255A">
        <w:rPr>
          <w:rFonts w:ascii="Times New Roman" w:hAnsi="Times New Roman" w:cs="Times New Roman"/>
          <w:sz w:val="24"/>
          <w:szCs w:val="24"/>
        </w:rPr>
        <w:t>concerning</w:t>
      </w:r>
      <w:proofErr w:type="spellEnd"/>
      <w:proofErr w:type="gramEnd"/>
    </w:p>
    <w:p w14:paraId="6F6F7DCD" w14:textId="77777777" w:rsidR="007D0B9C" w:rsidRPr="00882C04" w:rsidRDefault="007D0B9C" w:rsidP="00882C04">
      <w:pPr>
        <w:pStyle w:val="NoSpacing"/>
        <w:ind w:firstLine="720"/>
        <w:jc w:val="both"/>
        <w:rPr>
          <w:rFonts w:ascii="Times New Roman" w:hAnsi="Times New Roman" w:cs="Times New Roman"/>
          <w:sz w:val="24"/>
          <w:szCs w:val="24"/>
        </w:rPr>
      </w:pPr>
    </w:p>
    <w:p w14:paraId="11E2C01F" w14:textId="77777777" w:rsidR="007D0B9C" w:rsidRDefault="007D0B9C" w:rsidP="00882C04">
      <w:pPr>
        <w:pStyle w:val="NoSpacing"/>
        <w:jc w:val="both"/>
        <w:rPr>
          <w:rFonts w:ascii="Times New Roman" w:hAnsi="Times New Roman" w:cs="Times New Roman"/>
          <w:b/>
          <w:bCs/>
          <w:color w:val="000000" w:themeColor="text1"/>
          <w:sz w:val="24"/>
          <w:szCs w:val="24"/>
          <w:lang w:val="en-US"/>
        </w:rPr>
      </w:pPr>
    </w:p>
    <w:p w14:paraId="5685D4FA" w14:textId="3F288E2A" w:rsidR="00013E71" w:rsidRDefault="00013E71" w:rsidP="00882C04">
      <w:pPr>
        <w:pStyle w:val="NoSpacing"/>
        <w:jc w:val="both"/>
        <w:rPr>
          <w:rFonts w:ascii="Times New Roman" w:hAnsi="Times New Roman" w:cs="Times New Roman"/>
          <w:b/>
          <w:bCs/>
          <w:color w:val="000000" w:themeColor="text1"/>
          <w:sz w:val="24"/>
          <w:szCs w:val="24"/>
          <w:lang w:val="en-ID"/>
        </w:rPr>
      </w:pPr>
      <w:r w:rsidRPr="00961F2C">
        <w:rPr>
          <w:rFonts w:ascii="Times New Roman" w:hAnsi="Times New Roman" w:cs="Times New Roman"/>
          <w:b/>
          <w:bCs/>
          <w:color w:val="000000" w:themeColor="text1"/>
          <w:sz w:val="24"/>
          <w:szCs w:val="24"/>
          <w:lang w:val="en-US"/>
        </w:rPr>
        <w:t>RESULTS</w:t>
      </w:r>
      <w:r w:rsidRPr="00961F2C">
        <w:rPr>
          <w:rFonts w:ascii="Times New Roman" w:hAnsi="Times New Roman" w:cs="Times New Roman"/>
          <w:b/>
          <w:bCs/>
          <w:i/>
          <w:iCs/>
          <w:color w:val="000000" w:themeColor="text1"/>
          <w:sz w:val="24"/>
          <w:szCs w:val="24"/>
          <w:lang w:val="en-ID"/>
        </w:rPr>
        <w:t xml:space="preserve"> </w:t>
      </w:r>
      <w:r w:rsidRPr="00961F2C">
        <w:rPr>
          <w:rFonts w:ascii="Times New Roman" w:hAnsi="Times New Roman" w:cs="Times New Roman"/>
          <w:b/>
          <w:bCs/>
          <w:color w:val="000000" w:themeColor="text1"/>
          <w:sz w:val="24"/>
          <w:szCs w:val="24"/>
          <w:lang w:val="en-ID"/>
        </w:rPr>
        <w:t>AND DISCUSSION</w:t>
      </w:r>
    </w:p>
    <w:p w14:paraId="0BF7DEBC" w14:textId="77777777" w:rsidR="007D0B9C" w:rsidRPr="00961F2C" w:rsidRDefault="007D0B9C" w:rsidP="00882C04">
      <w:pPr>
        <w:pStyle w:val="NoSpacing"/>
        <w:jc w:val="both"/>
        <w:rPr>
          <w:rFonts w:ascii="Times New Roman" w:hAnsi="Times New Roman" w:cs="Times New Roman"/>
          <w:color w:val="000000" w:themeColor="text1"/>
          <w:sz w:val="24"/>
          <w:szCs w:val="24"/>
          <w:lang w:val="en-ID"/>
        </w:rPr>
      </w:pPr>
    </w:p>
    <w:p w14:paraId="60430244" w14:textId="52EC9501" w:rsidR="00013E71" w:rsidRPr="00961F2C" w:rsidRDefault="00013E71" w:rsidP="00E25ECA">
      <w:pPr>
        <w:spacing w:line="240" w:lineRule="auto"/>
        <w:ind w:firstLine="720"/>
        <w:jc w:val="both"/>
        <w:rPr>
          <w:rFonts w:ascii="Times New Roman" w:hAnsi="Times New Roman" w:cs="Times New Roman"/>
          <w:color w:val="000000" w:themeColor="text1"/>
          <w:sz w:val="24"/>
          <w:szCs w:val="24"/>
          <w:lang w:val="en-US"/>
        </w:rPr>
      </w:pPr>
      <w:r w:rsidRPr="00961F2C">
        <w:rPr>
          <w:rFonts w:ascii="Times New Roman" w:hAnsi="Times New Roman" w:cs="Times New Roman"/>
          <w:color w:val="000000" w:themeColor="text1"/>
          <w:sz w:val="24"/>
          <w:szCs w:val="24"/>
          <w:lang w:val="en-US"/>
        </w:rPr>
        <w:t>This section presented the findings and discussion of the study, focusing on the effectiveness of the Remedial Class among BSED students under probationary status.</w:t>
      </w:r>
    </w:p>
    <w:p w14:paraId="05BAE1C5" w14:textId="3439E4AF" w:rsidR="00013E71" w:rsidRPr="00961F2C" w:rsidRDefault="00013E71" w:rsidP="00E25ECA">
      <w:pPr>
        <w:spacing w:line="240" w:lineRule="auto"/>
        <w:jc w:val="both"/>
        <w:rPr>
          <w:rFonts w:ascii="Times New Roman" w:hAnsi="Times New Roman" w:cs="Times New Roman"/>
          <w:b/>
          <w:bCs/>
          <w:iCs/>
          <w:color w:val="000000" w:themeColor="text1"/>
          <w:sz w:val="24"/>
          <w:szCs w:val="24"/>
          <w:lang w:val="en-US"/>
        </w:rPr>
      </w:pPr>
      <w:r w:rsidRPr="00961F2C">
        <w:rPr>
          <w:rFonts w:ascii="Times New Roman" w:hAnsi="Times New Roman" w:cs="Times New Roman"/>
          <w:b/>
          <w:bCs/>
          <w:iCs/>
          <w:color w:val="000000" w:themeColor="text1"/>
          <w:sz w:val="24"/>
          <w:szCs w:val="24"/>
          <w:lang w:val="en-US"/>
        </w:rPr>
        <w:t xml:space="preserve">Demographic profile of the BSED students </w:t>
      </w:r>
    </w:p>
    <w:p w14:paraId="6D73E7BA" w14:textId="2D45B0D1" w:rsidR="00013E71" w:rsidRPr="00961F2C" w:rsidRDefault="007E65BD" w:rsidP="00E25ECA">
      <w:pPr>
        <w:pStyle w:val="NoSpacing"/>
        <w:rPr>
          <w:rFonts w:ascii="Times New Roman" w:hAnsi="Times New Roman" w:cs="Times New Roman"/>
          <w:b/>
          <w:bCs/>
          <w:sz w:val="24"/>
          <w:szCs w:val="24"/>
          <w:lang w:val="en-US"/>
        </w:rPr>
      </w:pPr>
      <w:r w:rsidRPr="00961F2C">
        <w:rPr>
          <w:rFonts w:ascii="Times New Roman" w:hAnsi="Times New Roman" w:cs="Times New Roman"/>
          <w:i/>
          <w:sz w:val="24"/>
          <w:szCs w:val="24"/>
          <w:lang w:val="en-US"/>
        </w:rPr>
        <w:tab/>
      </w:r>
      <w:r w:rsidRPr="00961F2C">
        <w:rPr>
          <w:rFonts w:ascii="Times New Roman" w:hAnsi="Times New Roman" w:cs="Times New Roman"/>
          <w:i/>
          <w:sz w:val="24"/>
          <w:szCs w:val="24"/>
          <w:lang w:val="en-US"/>
        </w:rPr>
        <w:tab/>
      </w:r>
      <w:r w:rsidRPr="00961F2C">
        <w:rPr>
          <w:rFonts w:ascii="Times New Roman" w:hAnsi="Times New Roman" w:cs="Times New Roman"/>
          <w:i/>
          <w:sz w:val="24"/>
          <w:szCs w:val="24"/>
          <w:lang w:val="en-US"/>
        </w:rPr>
        <w:tab/>
      </w:r>
      <w:r w:rsidRPr="00961F2C">
        <w:rPr>
          <w:rFonts w:ascii="Times New Roman" w:hAnsi="Times New Roman" w:cs="Times New Roman"/>
          <w:i/>
          <w:sz w:val="24"/>
          <w:szCs w:val="24"/>
          <w:lang w:val="en-US"/>
        </w:rPr>
        <w:tab/>
      </w:r>
      <w:r w:rsidRPr="00961F2C">
        <w:rPr>
          <w:rFonts w:ascii="Times New Roman" w:hAnsi="Times New Roman" w:cs="Times New Roman"/>
          <w:i/>
          <w:sz w:val="24"/>
          <w:szCs w:val="24"/>
          <w:lang w:val="en-US"/>
        </w:rPr>
        <w:tab/>
      </w:r>
      <w:r w:rsidRPr="00961F2C">
        <w:rPr>
          <w:rFonts w:ascii="Times New Roman" w:hAnsi="Times New Roman" w:cs="Times New Roman"/>
          <w:i/>
          <w:sz w:val="24"/>
          <w:szCs w:val="24"/>
          <w:lang w:val="en-US"/>
        </w:rPr>
        <w:tab/>
      </w:r>
      <w:r w:rsidRPr="00961F2C">
        <w:rPr>
          <w:rFonts w:ascii="Times New Roman" w:hAnsi="Times New Roman" w:cs="Times New Roman"/>
          <w:b/>
          <w:bCs/>
          <w:sz w:val="24"/>
          <w:szCs w:val="24"/>
          <w:lang w:val="en-US"/>
        </w:rPr>
        <w:t>Table 1</w:t>
      </w:r>
    </w:p>
    <w:p w14:paraId="5245992A" w14:textId="14F0586F" w:rsidR="007E65BD" w:rsidRPr="00961F2C" w:rsidRDefault="007E65BD" w:rsidP="00E25ECA">
      <w:pPr>
        <w:pStyle w:val="NoSpacing"/>
        <w:rPr>
          <w:rFonts w:ascii="Times New Roman" w:hAnsi="Times New Roman" w:cs="Times New Roman"/>
          <w:b/>
          <w:bCs/>
          <w:sz w:val="24"/>
          <w:szCs w:val="24"/>
          <w:lang w:val="en-US"/>
        </w:rPr>
      </w:pPr>
      <w:r w:rsidRPr="00961F2C">
        <w:rPr>
          <w:rFonts w:ascii="Times New Roman" w:hAnsi="Times New Roman" w:cs="Times New Roman"/>
          <w:b/>
          <w:bCs/>
          <w:sz w:val="24"/>
          <w:szCs w:val="24"/>
          <w:lang w:val="en-US"/>
        </w:rPr>
        <w:tab/>
      </w:r>
      <w:r w:rsidRPr="00961F2C">
        <w:rPr>
          <w:rFonts w:ascii="Times New Roman" w:hAnsi="Times New Roman" w:cs="Times New Roman"/>
          <w:b/>
          <w:bCs/>
          <w:sz w:val="24"/>
          <w:szCs w:val="24"/>
          <w:lang w:val="en-US"/>
        </w:rPr>
        <w:tab/>
      </w:r>
      <w:r w:rsidRPr="00961F2C">
        <w:rPr>
          <w:rFonts w:ascii="Times New Roman" w:hAnsi="Times New Roman" w:cs="Times New Roman"/>
          <w:b/>
          <w:bCs/>
          <w:sz w:val="24"/>
          <w:szCs w:val="24"/>
          <w:lang w:val="en-US"/>
        </w:rPr>
        <w:tab/>
      </w:r>
      <w:r w:rsidRPr="00961F2C">
        <w:rPr>
          <w:rFonts w:ascii="Times New Roman" w:hAnsi="Times New Roman" w:cs="Times New Roman"/>
          <w:b/>
          <w:bCs/>
          <w:sz w:val="24"/>
          <w:szCs w:val="24"/>
          <w:lang w:val="en-US"/>
        </w:rPr>
        <w:tab/>
      </w:r>
      <w:r w:rsidRPr="00961F2C">
        <w:rPr>
          <w:rFonts w:ascii="Times New Roman" w:hAnsi="Times New Roman" w:cs="Times New Roman"/>
          <w:b/>
          <w:bCs/>
          <w:sz w:val="24"/>
          <w:szCs w:val="24"/>
          <w:lang w:val="en-US"/>
        </w:rPr>
        <w:tab/>
      </w:r>
      <w:r w:rsidRPr="00961F2C">
        <w:rPr>
          <w:rFonts w:ascii="Times New Roman" w:hAnsi="Times New Roman" w:cs="Times New Roman"/>
          <w:b/>
          <w:bCs/>
          <w:sz w:val="24"/>
          <w:szCs w:val="24"/>
          <w:lang w:val="en-US"/>
        </w:rPr>
        <w:tab/>
        <w:t>Course</w:t>
      </w:r>
    </w:p>
    <w:tbl>
      <w:tblPr>
        <w:tblStyle w:val="TableGrid"/>
        <w:tblpPr w:leftFromText="180" w:rightFromText="180" w:vertAnchor="text" w:horzAnchor="margin" w:tblpXSpec="center" w:tblpY="339"/>
        <w:tblW w:w="0" w:type="auto"/>
        <w:tblLook w:val="04A0" w:firstRow="1" w:lastRow="0" w:firstColumn="1" w:lastColumn="0" w:noHBand="0" w:noVBand="1"/>
      </w:tblPr>
      <w:tblGrid>
        <w:gridCol w:w="2062"/>
        <w:gridCol w:w="2063"/>
        <w:gridCol w:w="2063"/>
      </w:tblGrid>
      <w:tr w:rsidR="00013E71" w:rsidRPr="00961F2C" w14:paraId="6F245517" w14:textId="77777777" w:rsidTr="004B0104">
        <w:trPr>
          <w:trHeight w:val="338"/>
        </w:trPr>
        <w:tc>
          <w:tcPr>
            <w:tcW w:w="2062" w:type="dxa"/>
          </w:tcPr>
          <w:p w14:paraId="128DCE5F" w14:textId="77777777" w:rsidR="00013E71" w:rsidRPr="00961F2C" w:rsidRDefault="00013E71" w:rsidP="00E25ECA">
            <w:pPr>
              <w:jc w:val="center"/>
              <w:rPr>
                <w:i/>
                <w:iCs/>
                <w:sz w:val="24"/>
                <w:szCs w:val="24"/>
              </w:rPr>
            </w:pPr>
            <w:r w:rsidRPr="00961F2C">
              <w:rPr>
                <w:i/>
                <w:iCs/>
                <w:color w:val="000000"/>
                <w:sz w:val="24"/>
                <w:szCs w:val="24"/>
              </w:rPr>
              <w:t>Course</w:t>
            </w:r>
          </w:p>
        </w:tc>
        <w:tc>
          <w:tcPr>
            <w:tcW w:w="2063" w:type="dxa"/>
          </w:tcPr>
          <w:p w14:paraId="6532D978" w14:textId="77777777" w:rsidR="00013E71" w:rsidRPr="00961F2C" w:rsidRDefault="00013E71" w:rsidP="00E25ECA">
            <w:pPr>
              <w:jc w:val="center"/>
              <w:rPr>
                <w:i/>
                <w:iCs/>
                <w:sz w:val="24"/>
                <w:szCs w:val="24"/>
              </w:rPr>
            </w:pPr>
            <w:r w:rsidRPr="00961F2C">
              <w:rPr>
                <w:i/>
                <w:iCs/>
                <w:color w:val="000000"/>
                <w:sz w:val="24"/>
                <w:szCs w:val="24"/>
              </w:rPr>
              <w:t>Frequency</w:t>
            </w:r>
          </w:p>
        </w:tc>
        <w:tc>
          <w:tcPr>
            <w:tcW w:w="2063" w:type="dxa"/>
          </w:tcPr>
          <w:p w14:paraId="6ACDAAF4" w14:textId="77777777" w:rsidR="00013E71" w:rsidRPr="00961F2C" w:rsidRDefault="00013E71" w:rsidP="00E25ECA">
            <w:pPr>
              <w:jc w:val="center"/>
              <w:rPr>
                <w:i/>
                <w:iCs/>
                <w:sz w:val="24"/>
                <w:szCs w:val="24"/>
              </w:rPr>
            </w:pPr>
            <w:r w:rsidRPr="00961F2C">
              <w:rPr>
                <w:i/>
                <w:iCs/>
                <w:color w:val="000000"/>
                <w:sz w:val="24"/>
                <w:szCs w:val="24"/>
              </w:rPr>
              <w:t>Percentage</w:t>
            </w:r>
          </w:p>
        </w:tc>
      </w:tr>
      <w:tr w:rsidR="00013E71" w:rsidRPr="00961F2C" w14:paraId="39BCD035" w14:textId="77777777" w:rsidTr="004B0104">
        <w:trPr>
          <w:trHeight w:val="338"/>
        </w:trPr>
        <w:tc>
          <w:tcPr>
            <w:tcW w:w="2062" w:type="dxa"/>
          </w:tcPr>
          <w:p w14:paraId="5FE13656" w14:textId="77777777" w:rsidR="00013E71" w:rsidRPr="00961F2C" w:rsidRDefault="00013E71" w:rsidP="00E25ECA">
            <w:pPr>
              <w:jc w:val="center"/>
              <w:rPr>
                <w:i/>
                <w:iCs/>
                <w:sz w:val="24"/>
                <w:szCs w:val="24"/>
              </w:rPr>
            </w:pPr>
            <w:r w:rsidRPr="00961F2C">
              <w:rPr>
                <w:i/>
                <w:iCs/>
                <w:color w:val="000000"/>
                <w:sz w:val="24"/>
                <w:szCs w:val="24"/>
              </w:rPr>
              <w:t>English</w:t>
            </w:r>
          </w:p>
        </w:tc>
        <w:tc>
          <w:tcPr>
            <w:tcW w:w="2063" w:type="dxa"/>
          </w:tcPr>
          <w:p w14:paraId="5DEE5922" w14:textId="77777777" w:rsidR="00013E71" w:rsidRPr="00961F2C" w:rsidRDefault="00013E71" w:rsidP="00E25ECA">
            <w:pPr>
              <w:jc w:val="center"/>
              <w:rPr>
                <w:i/>
                <w:iCs/>
                <w:sz w:val="24"/>
                <w:szCs w:val="24"/>
              </w:rPr>
            </w:pPr>
            <w:r w:rsidRPr="00961F2C">
              <w:rPr>
                <w:i/>
                <w:iCs/>
                <w:color w:val="000000"/>
                <w:sz w:val="24"/>
                <w:szCs w:val="24"/>
              </w:rPr>
              <w:t>8</w:t>
            </w:r>
          </w:p>
        </w:tc>
        <w:tc>
          <w:tcPr>
            <w:tcW w:w="2063" w:type="dxa"/>
          </w:tcPr>
          <w:p w14:paraId="1BDE49AA" w14:textId="77777777" w:rsidR="00013E71" w:rsidRPr="00961F2C" w:rsidRDefault="00013E71" w:rsidP="00E25ECA">
            <w:pPr>
              <w:jc w:val="center"/>
              <w:rPr>
                <w:i/>
                <w:iCs/>
                <w:sz w:val="24"/>
                <w:szCs w:val="24"/>
              </w:rPr>
            </w:pPr>
            <w:r w:rsidRPr="00961F2C">
              <w:rPr>
                <w:i/>
                <w:iCs/>
                <w:color w:val="000000"/>
                <w:sz w:val="24"/>
                <w:szCs w:val="24"/>
              </w:rPr>
              <w:t>26.7</w:t>
            </w:r>
          </w:p>
        </w:tc>
      </w:tr>
      <w:tr w:rsidR="00013E71" w:rsidRPr="00961F2C" w14:paraId="0FE87949" w14:textId="77777777" w:rsidTr="004B0104">
        <w:trPr>
          <w:trHeight w:val="338"/>
        </w:trPr>
        <w:tc>
          <w:tcPr>
            <w:tcW w:w="2062" w:type="dxa"/>
          </w:tcPr>
          <w:p w14:paraId="1B8C45BE" w14:textId="77777777" w:rsidR="00013E71" w:rsidRPr="00961F2C" w:rsidRDefault="00013E71" w:rsidP="00E25ECA">
            <w:pPr>
              <w:jc w:val="center"/>
              <w:rPr>
                <w:i/>
                <w:iCs/>
                <w:sz w:val="24"/>
                <w:szCs w:val="24"/>
              </w:rPr>
            </w:pPr>
            <w:r w:rsidRPr="00961F2C">
              <w:rPr>
                <w:i/>
                <w:iCs/>
                <w:color w:val="000000"/>
                <w:sz w:val="24"/>
                <w:szCs w:val="24"/>
              </w:rPr>
              <w:t>Mathematics</w:t>
            </w:r>
          </w:p>
        </w:tc>
        <w:tc>
          <w:tcPr>
            <w:tcW w:w="2063" w:type="dxa"/>
          </w:tcPr>
          <w:p w14:paraId="6F5C3E3F" w14:textId="77777777" w:rsidR="00013E71" w:rsidRPr="00961F2C" w:rsidRDefault="00013E71" w:rsidP="00E25ECA">
            <w:pPr>
              <w:jc w:val="center"/>
              <w:rPr>
                <w:i/>
                <w:iCs/>
                <w:sz w:val="24"/>
                <w:szCs w:val="24"/>
              </w:rPr>
            </w:pPr>
            <w:r w:rsidRPr="00961F2C">
              <w:rPr>
                <w:i/>
                <w:iCs/>
                <w:color w:val="000000"/>
                <w:sz w:val="24"/>
                <w:szCs w:val="24"/>
              </w:rPr>
              <w:t>22</w:t>
            </w:r>
          </w:p>
        </w:tc>
        <w:tc>
          <w:tcPr>
            <w:tcW w:w="2063" w:type="dxa"/>
          </w:tcPr>
          <w:p w14:paraId="40CCE7E1" w14:textId="77777777" w:rsidR="00013E71" w:rsidRPr="00961F2C" w:rsidRDefault="00013E71" w:rsidP="00E25ECA">
            <w:pPr>
              <w:jc w:val="center"/>
              <w:rPr>
                <w:i/>
                <w:iCs/>
                <w:sz w:val="24"/>
                <w:szCs w:val="24"/>
              </w:rPr>
            </w:pPr>
            <w:r w:rsidRPr="00961F2C">
              <w:rPr>
                <w:i/>
                <w:iCs/>
                <w:color w:val="000000"/>
                <w:sz w:val="24"/>
                <w:szCs w:val="24"/>
              </w:rPr>
              <w:t>73.3</w:t>
            </w:r>
          </w:p>
        </w:tc>
      </w:tr>
      <w:tr w:rsidR="00013E71" w:rsidRPr="00961F2C" w14:paraId="401C8B4A" w14:textId="77777777" w:rsidTr="004B0104">
        <w:trPr>
          <w:trHeight w:val="338"/>
        </w:trPr>
        <w:tc>
          <w:tcPr>
            <w:tcW w:w="2062" w:type="dxa"/>
          </w:tcPr>
          <w:p w14:paraId="64819120" w14:textId="77777777" w:rsidR="00013E71" w:rsidRPr="00961F2C" w:rsidRDefault="00013E71" w:rsidP="00E25ECA">
            <w:pPr>
              <w:jc w:val="center"/>
              <w:rPr>
                <w:i/>
                <w:iCs/>
                <w:sz w:val="24"/>
                <w:szCs w:val="24"/>
              </w:rPr>
            </w:pPr>
            <w:r w:rsidRPr="00961F2C">
              <w:rPr>
                <w:i/>
                <w:iCs/>
                <w:color w:val="000000"/>
                <w:sz w:val="24"/>
                <w:szCs w:val="24"/>
              </w:rPr>
              <w:t>Total</w:t>
            </w:r>
          </w:p>
        </w:tc>
        <w:tc>
          <w:tcPr>
            <w:tcW w:w="2063" w:type="dxa"/>
          </w:tcPr>
          <w:p w14:paraId="59A96DE3" w14:textId="77777777" w:rsidR="00013E71" w:rsidRPr="00961F2C" w:rsidRDefault="00013E71" w:rsidP="00E25ECA">
            <w:pPr>
              <w:jc w:val="center"/>
              <w:rPr>
                <w:i/>
                <w:iCs/>
                <w:sz w:val="24"/>
                <w:szCs w:val="24"/>
              </w:rPr>
            </w:pPr>
            <w:r w:rsidRPr="00961F2C">
              <w:rPr>
                <w:i/>
                <w:iCs/>
                <w:color w:val="000000"/>
                <w:sz w:val="24"/>
                <w:szCs w:val="24"/>
              </w:rPr>
              <w:t>30</w:t>
            </w:r>
          </w:p>
        </w:tc>
        <w:tc>
          <w:tcPr>
            <w:tcW w:w="2063" w:type="dxa"/>
          </w:tcPr>
          <w:p w14:paraId="53E98191" w14:textId="77777777" w:rsidR="00013E71" w:rsidRPr="00961F2C" w:rsidRDefault="00013E71" w:rsidP="00E25ECA">
            <w:pPr>
              <w:jc w:val="center"/>
              <w:rPr>
                <w:i/>
                <w:iCs/>
                <w:sz w:val="24"/>
                <w:szCs w:val="24"/>
              </w:rPr>
            </w:pPr>
            <w:r w:rsidRPr="00961F2C">
              <w:rPr>
                <w:i/>
                <w:iCs/>
                <w:color w:val="000000"/>
                <w:sz w:val="24"/>
                <w:szCs w:val="24"/>
              </w:rPr>
              <w:t>100</w:t>
            </w:r>
          </w:p>
        </w:tc>
      </w:tr>
    </w:tbl>
    <w:p w14:paraId="22187A24" w14:textId="34601F59" w:rsidR="00013E71" w:rsidRPr="00961F2C" w:rsidRDefault="00013E71" w:rsidP="00E25ECA">
      <w:pPr>
        <w:spacing w:line="240" w:lineRule="auto"/>
        <w:jc w:val="center"/>
        <w:rPr>
          <w:rFonts w:ascii="Times New Roman" w:hAnsi="Times New Roman" w:cs="Times New Roman"/>
          <w:b/>
          <w:bCs/>
          <w:i/>
          <w:color w:val="000000" w:themeColor="text1"/>
          <w:sz w:val="24"/>
          <w:szCs w:val="24"/>
          <w:lang w:val="en-ID"/>
        </w:rPr>
      </w:pPr>
    </w:p>
    <w:p w14:paraId="7EAD201E" w14:textId="77777777" w:rsidR="007E65BD" w:rsidRPr="00961F2C" w:rsidRDefault="007E65BD" w:rsidP="00E25ECA">
      <w:pPr>
        <w:spacing w:line="240" w:lineRule="auto"/>
        <w:jc w:val="center"/>
        <w:rPr>
          <w:rFonts w:ascii="Times New Roman" w:hAnsi="Times New Roman" w:cs="Times New Roman"/>
          <w:b/>
          <w:bCs/>
          <w:i/>
          <w:color w:val="000000" w:themeColor="text1"/>
          <w:sz w:val="24"/>
          <w:szCs w:val="24"/>
          <w:lang w:val="en-US"/>
        </w:rPr>
      </w:pPr>
    </w:p>
    <w:p w14:paraId="20126BE8" w14:textId="77777777" w:rsidR="00013E71" w:rsidRPr="00961F2C" w:rsidRDefault="00013E71" w:rsidP="00E25ECA">
      <w:pPr>
        <w:spacing w:line="240" w:lineRule="auto"/>
        <w:jc w:val="both"/>
        <w:rPr>
          <w:rFonts w:ascii="Times New Roman" w:hAnsi="Times New Roman" w:cs="Times New Roman"/>
          <w:i/>
          <w:color w:val="000000" w:themeColor="text1"/>
          <w:sz w:val="24"/>
          <w:szCs w:val="24"/>
          <w:lang w:val="en-US"/>
        </w:rPr>
      </w:pPr>
    </w:p>
    <w:p w14:paraId="7DC258ED" w14:textId="77777777" w:rsidR="00013E71" w:rsidRPr="00961F2C" w:rsidRDefault="00013E71" w:rsidP="00E25ECA">
      <w:pPr>
        <w:spacing w:line="240" w:lineRule="auto"/>
        <w:jc w:val="both"/>
        <w:rPr>
          <w:rFonts w:ascii="Times New Roman" w:hAnsi="Times New Roman" w:cs="Times New Roman"/>
          <w:i/>
          <w:color w:val="000000" w:themeColor="text1"/>
          <w:sz w:val="24"/>
          <w:szCs w:val="24"/>
          <w:lang w:val="en-US"/>
        </w:rPr>
      </w:pPr>
    </w:p>
    <w:p w14:paraId="23DA7E66" w14:textId="77777777" w:rsidR="00013E71" w:rsidRPr="00961F2C" w:rsidRDefault="00013E71" w:rsidP="00E25ECA">
      <w:pPr>
        <w:spacing w:line="240" w:lineRule="auto"/>
        <w:jc w:val="both"/>
        <w:rPr>
          <w:rFonts w:ascii="Times New Roman" w:hAnsi="Times New Roman" w:cs="Times New Roman"/>
          <w:b/>
          <w:bCs/>
          <w:i/>
          <w:color w:val="000000" w:themeColor="text1"/>
          <w:sz w:val="24"/>
          <w:szCs w:val="24"/>
          <w:lang w:val="en-US"/>
        </w:rPr>
      </w:pPr>
    </w:p>
    <w:p w14:paraId="184E7325" w14:textId="5B1A9F99" w:rsidR="00013E71" w:rsidRPr="00961F2C" w:rsidRDefault="007E65BD" w:rsidP="00E25ECA">
      <w:pPr>
        <w:spacing w:after="0" w:line="240" w:lineRule="auto"/>
        <w:ind w:firstLine="720"/>
        <w:jc w:val="both"/>
        <w:rPr>
          <w:rFonts w:ascii="Times New Roman" w:hAnsi="Times New Roman" w:cs="Times New Roman"/>
          <w:bCs/>
          <w:sz w:val="24"/>
          <w:szCs w:val="24"/>
        </w:rPr>
      </w:pPr>
      <w:bookmarkStart w:id="2" w:name="_Hlk202433806"/>
      <w:r w:rsidRPr="00961F2C">
        <w:rPr>
          <w:rFonts w:ascii="Times New Roman" w:hAnsi="Times New Roman" w:cs="Times New Roman"/>
          <w:bCs/>
          <w:sz w:val="24"/>
          <w:szCs w:val="24"/>
        </w:rPr>
        <w:t xml:space="preserve">The table </w:t>
      </w:r>
      <w:r w:rsidR="00013E71" w:rsidRPr="00961F2C">
        <w:rPr>
          <w:rFonts w:ascii="Times New Roman" w:hAnsi="Times New Roman" w:cs="Times New Roman"/>
          <w:bCs/>
          <w:sz w:val="24"/>
          <w:szCs w:val="24"/>
        </w:rPr>
        <w:t xml:space="preserve">shows the course of the respondents of which 26.7% are from BSED English and 73.3% are from BSED Mathematics. This indicates that majority of the respondents are from BSED mathematics. </w:t>
      </w:r>
    </w:p>
    <w:bookmarkEnd w:id="2"/>
    <w:p w14:paraId="0EA66947" w14:textId="77777777" w:rsidR="007E65BD" w:rsidRPr="00961F2C" w:rsidRDefault="007E65BD" w:rsidP="00E25ECA">
      <w:pPr>
        <w:spacing w:after="0" w:line="240" w:lineRule="auto"/>
        <w:ind w:firstLine="720"/>
        <w:jc w:val="both"/>
        <w:rPr>
          <w:rFonts w:ascii="Times New Roman" w:hAnsi="Times New Roman" w:cs="Times New Roman"/>
          <w:bCs/>
          <w:sz w:val="24"/>
          <w:szCs w:val="24"/>
        </w:rPr>
      </w:pPr>
    </w:p>
    <w:p w14:paraId="1C055C1D" w14:textId="1DDDF0CA" w:rsidR="007E65BD" w:rsidRPr="00961F2C" w:rsidRDefault="007E65BD" w:rsidP="00E25ECA">
      <w:pPr>
        <w:spacing w:after="0" w:line="240" w:lineRule="auto"/>
        <w:ind w:firstLine="720"/>
        <w:jc w:val="center"/>
        <w:rPr>
          <w:rFonts w:ascii="Times New Roman" w:hAnsi="Times New Roman" w:cs="Times New Roman"/>
          <w:b/>
          <w:sz w:val="24"/>
          <w:szCs w:val="24"/>
        </w:rPr>
      </w:pPr>
      <w:r w:rsidRPr="00961F2C">
        <w:rPr>
          <w:rFonts w:ascii="Times New Roman" w:hAnsi="Times New Roman" w:cs="Times New Roman"/>
          <w:b/>
          <w:sz w:val="24"/>
          <w:szCs w:val="24"/>
        </w:rPr>
        <w:t>Table 2</w:t>
      </w:r>
    </w:p>
    <w:p w14:paraId="72BAA318" w14:textId="4987C183" w:rsidR="00013E71" w:rsidRPr="00961F2C" w:rsidRDefault="007E65BD" w:rsidP="00E25ECA">
      <w:pPr>
        <w:spacing w:after="0" w:line="240" w:lineRule="auto"/>
        <w:ind w:firstLine="720"/>
        <w:jc w:val="center"/>
        <w:rPr>
          <w:rFonts w:ascii="Times New Roman" w:hAnsi="Times New Roman" w:cs="Times New Roman"/>
          <w:b/>
          <w:sz w:val="24"/>
          <w:szCs w:val="24"/>
        </w:rPr>
      </w:pPr>
      <w:r w:rsidRPr="00961F2C">
        <w:rPr>
          <w:rFonts w:ascii="Times New Roman" w:hAnsi="Times New Roman" w:cs="Times New Roman"/>
          <w:b/>
          <w:sz w:val="24"/>
          <w:szCs w:val="24"/>
        </w:rPr>
        <w:t>Sex</w:t>
      </w:r>
    </w:p>
    <w:p w14:paraId="3A25FDD1" w14:textId="77777777" w:rsidR="007E65BD" w:rsidRPr="00961F2C" w:rsidRDefault="007E65BD" w:rsidP="00E25ECA">
      <w:pPr>
        <w:spacing w:after="0" w:line="240" w:lineRule="auto"/>
        <w:ind w:firstLine="720"/>
        <w:jc w:val="center"/>
        <w:rPr>
          <w:rFonts w:ascii="Times New Roman" w:hAnsi="Times New Roman" w:cs="Times New Roman"/>
          <w:bCs/>
          <w:sz w:val="24"/>
          <w:szCs w:val="24"/>
        </w:rPr>
      </w:pPr>
    </w:p>
    <w:tbl>
      <w:tblPr>
        <w:tblStyle w:val="TableGrid"/>
        <w:tblW w:w="6218" w:type="dxa"/>
        <w:jc w:val="center"/>
        <w:tblLook w:val="04A0" w:firstRow="1" w:lastRow="0" w:firstColumn="1" w:lastColumn="0" w:noHBand="0" w:noVBand="1"/>
      </w:tblPr>
      <w:tblGrid>
        <w:gridCol w:w="2072"/>
        <w:gridCol w:w="2073"/>
        <w:gridCol w:w="2073"/>
      </w:tblGrid>
      <w:tr w:rsidR="00013E71" w:rsidRPr="00961F2C" w14:paraId="409B01E0" w14:textId="77777777" w:rsidTr="004B0104">
        <w:trPr>
          <w:jc w:val="center"/>
        </w:trPr>
        <w:tc>
          <w:tcPr>
            <w:tcW w:w="2072" w:type="dxa"/>
          </w:tcPr>
          <w:p w14:paraId="7D0FBD09" w14:textId="77777777" w:rsidR="00013E71" w:rsidRPr="00961F2C" w:rsidRDefault="00013E71" w:rsidP="00E25ECA">
            <w:pPr>
              <w:jc w:val="center"/>
              <w:rPr>
                <w:i/>
                <w:iCs/>
                <w:sz w:val="24"/>
                <w:szCs w:val="24"/>
              </w:rPr>
            </w:pPr>
            <w:r w:rsidRPr="00961F2C">
              <w:rPr>
                <w:i/>
                <w:iCs/>
                <w:color w:val="000000" w:themeColor="text1"/>
                <w:sz w:val="24"/>
                <w:szCs w:val="24"/>
              </w:rPr>
              <w:t>Sex</w:t>
            </w:r>
          </w:p>
        </w:tc>
        <w:tc>
          <w:tcPr>
            <w:tcW w:w="2073" w:type="dxa"/>
          </w:tcPr>
          <w:p w14:paraId="5FD40312" w14:textId="77777777" w:rsidR="00013E71" w:rsidRPr="00961F2C" w:rsidRDefault="00013E71" w:rsidP="00E25ECA">
            <w:pPr>
              <w:jc w:val="center"/>
              <w:rPr>
                <w:i/>
                <w:iCs/>
                <w:sz w:val="24"/>
                <w:szCs w:val="24"/>
              </w:rPr>
            </w:pPr>
            <w:r w:rsidRPr="00961F2C">
              <w:rPr>
                <w:i/>
                <w:iCs/>
                <w:color w:val="000000" w:themeColor="text1"/>
                <w:sz w:val="24"/>
                <w:szCs w:val="24"/>
              </w:rPr>
              <w:t>Frequency</w:t>
            </w:r>
          </w:p>
        </w:tc>
        <w:tc>
          <w:tcPr>
            <w:tcW w:w="2073" w:type="dxa"/>
          </w:tcPr>
          <w:p w14:paraId="6386ACAB" w14:textId="77777777" w:rsidR="00013E71" w:rsidRPr="00961F2C" w:rsidRDefault="00013E71" w:rsidP="00E25ECA">
            <w:pPr>
              <w:jc w:val="center"/>
              <w:rPr>
                <w:i/>
                <w:iCs/>
                <w:sz w:val="24"/>
                <w:szCs w:val="24"/>
              </w:rPr>
            </w:pPr>
            <w:r w:rsidRPr="00961F2C">
              <w:rPr>
                <w:i/>
                <w:iCs/>
                <w:color w:val="000000" w:themeColor="text1"/>
                <w:sz w:val="24"/>
                <w:szCs w:val="24"/>
              </w:rPr>
              <w:t>Percentage</w:t>
            </w:r>
          </w:p>
        </w:tc>
      </w:tr>
      <w:tr w:rsidR="00013E71" w:rsidRPr="00961F2C" w14:paraId="1F72DA35" w14:textId="77777777" w:rsidTr="004B0104">
        <w:trPr>
          <w:jc w:val="center"/>
        </w:trPr>
        <w:tc>
          <w:tcPr>
            <w:tcW w:w="2072" w:type="dxa"/>
          </w:tcPr>
          <w:p w14:paraId="15A3BB7B" w14:textId="77777777" w:rsidR="00013E71" w:rsidRPr="00961F2C" w:rsidRDefault="00013E71" w:rsidP="00E25ECA">
            <w:pPr>
              <w:jc w:val="center"/>
              <w:rPr>
                <w:i/>
                <w:iCs/>
                <w:sz w:val="24"/>
                <w:szCs w:val="24"/>
              </w:rPr>
            </w:pPr>
            <w:r w:rsidRPr="00961F2C">
              <w:rPr>
                <w:i/>
                <w:iCs/>
                <w:color w:val="000000" w:themeColor="text1"/>
                <w:sz w:val="24"/>
                <w:szCs w:val="24"/>
              </w:rPr>
              <w:t>Male</w:t>
            </w:r>
          </w:p>
        </w:tc>
        <w:tc>
          <w:tcPr>
            <w:tcW w:w="2073" w:type="dxa"/>
          </w:tcPr>
          <w:p w14:paraId="455C0DA3" w14:textId="77777777" w:rsidR="00013E71" w:rsidRPr="00961F2C" w:rsidRDefault="00013E71" w:rsidP="00E25ECA">
            <w:pPr>
              <w:jc w:val="center"/>
              <w:rPr>
                <w:i/>
                <w:iCs/>
                <w:sz w:val="24"/>
                <w:szCs w:val="24"/>
              </w:rPr>
            </w:pPr>
            <w:r w:rsidRPr="00961F2C">
              <w:rPr>
                <w:i/>
                <w:iCs/>
                <w:color w:val="000000" w:themeColor="text1"/>
                <w:sz w:val="24"/>
                <w:szCs w:val="24"/>
              </w:rPr>
              <w:t>13</w:t>
            </w:r>
          </w:p>
        </w:tc>
        <w:tc>
          <w:tcPr>
            <w:tcW w:w="2073" w:type="dxa"/>
          </w:tcPr>
          <w:p w14:paraId="778409A4" w14:textId="77777777" w:rsidR="00013E71" w:rsidRPr="00961F2C" w:rsidRDefault="00013E71" w:rsidP="00E25ECA">
            <w:pPr>
              <w:jc w:val="center"/>
              <w:rPr>
                <w:i/>
                <w:iCs/>
                <w:sz w:val="24"/>
                <w:szCs w:val="24"/>
              </w:rPr>
            </w:pPr>
            <w:r w:rsidRPr="00961F2C">
              <w:rPr>
                <w:i/>
                <w:iCs/>
                <w:color w:val="000000" w:themeColor="text1"/>
                <w:sz w:val="24"/>
                <w:szCs w:val="24"/>
              </w:rPr>
              <w:t>43.3</w:t>
            </w:r>
          </w:p>
        </w:tc>
      </w:tr>
      <w:tr w:rsidR="00013E71" w:rsidRPr="00961F2C" w14:paraId="43D85E65" w14:textId="77777777" w:rsidTr="004B0104">
        <w:trPr>
          <w:jc w:val="center"/>
        </w:trPr>
        <w:tc>
          <w:tcPr>
            <w:tcW w:w="2072" w:type="dxa"/>
          </w:tcPr>
          <w:p w14:paraId="1429E006" w14:textId="77777777" w:rsidR="00013E71" w:rsidRPr="00961F2C" w:rsidRDefault="00013E71" w:rsidP="00E25ECA">
            <w:pPr>
              <w:jc w:val="center"/>
              <w:rPr>
                <w:i/>
                <w:iCs/>
                <w:sz w:val="24"/>
                <w:szCs w:val="24"/>
              </w:rPr>
            </w:pPr>
            <w:r w:rsidRPr="00961F2C">
              <w:rPr>
                <w:i/>
                <w:iCs/>
                <w:color w:val="000000" w:themeColor="text1"/>
                <w:sz w:val="24"/>
                <w:szCs w:val="24"/>
              </w:rPr>
              <w:t>Female</w:t>
            </w:r>
          </w:p>
        </w:tc>
        <w:tc>
          <w:tcPr>
            <w:tcW w:w="2073" w:type="dxa"/>
          </w:tcPr>
          <w:p w14:paraId="25840592" w14:textId="77777777" w:rsidR="00013E71" w:rsidRPr="00961F2C" w:rsidRDefault="00013E71" w:rsidP="00E25ECA">
            <w:pPr>
              <w:jc w:val="center"/>
              <w:rPr>
                <w:i/>
                <w:iCs/>
                <w:sz w:val="24"/>
                <w:szCs w:val="24"/>
              </w:rPr>
            </w:pPr>
            <w:r w:rsidRPr="00961F2C">
              <w:rPr>
                <w:i/>
                <w:iCs/>
                <w:color w:val="000000" w:themeColor="text1"/>
                <w:sz w:val="24"/>
                <w:szCs w:val="24"/>
              </w:rPr>
              <w:t>17</w:t>
            </w:r>
          </w:p>
        </w:tc>
        <w:tc>
          <w:tcPr>
            <w:tcW w:w="2073" w:type="dxa"/>
          </w:tcPr>
          <w:p w14:paraId="54D67F24" w14:textId="77777777" w:rsidR="00013E71" w:rsidRPr="00961F2C" w:rsidRDefault="00013E71" w:rsidP="00E25ECA">
            <w:pPr>
              <w:jc w:val="center"/>
              <w:rPr>
                <w:i/>
                <w:iCs/>
                <w:sz w:val="24"/>
                <w:szCs w:val="24"/>
              </w:rPr>
            </w:pPr>
            <w:r w:rsidRPr="00961F2C">
              <w:rPr>
                <w:i/>
                <w:iCs/>
                <w:color w:val="000000" w:themeColor="text1"/>
                <w:sz w:val="24"/>
                <w:szCs w:val="24"/>
              </w:rPr>
              <w:t>56.7</w:t>
            </w:r>
          </w:p>
        </w:tc>
      </w:tr>
      <w:tr w:rsidR="00013E71" w:rsidRPr="00961F2C" w14:paraId="16BA4237" w14:textId="77777777" w:rsidTr="004B0104">
        <w:trPr>
          <w:jc w:val="center"/>
        </w:trPr>
        <w:tc>
          <w:tcPr>
            <w:tcW w:w="2072" w:type="dxa"/>
          </w:tcPr>
          <w:p w14:paraId="5EAA2C1F" w14:textId="77777777" w:rsidR="00013E71" w:rsidRPr="00961F2C" w:rsidRDefault="00013E71" w:rsidP="00E25ECA">
            <w:pPr>
              <w:jc w:val="center"/>
              <w:rPr>
                <w:i/>
                <w:iCs/>
                <w:sz w:val="24"/>
                <w:szCs w:val="24"/>
              </w:rPr>
            </w:pPr>
            <w:r w:rsidRPr="00961F2C">
              <w:rPr>
                <w:i/>
                <w:iCs/>
                <w:color w:val="000000" w:themeColor="text1"/>
                <w:sz w:val="24"/>
                <w:szCs w:val="24"/>
              </w:rPr>
              <w:t>Total</w:t>
            </w:r>
          </w:p>
        </w:tc>
        <w:tc>
          <w:tcPr>
            <w:tcW w:w="2073" w:type="dxa"/>
          </w:tcPr>
          <w:p w14:paraId="416B7C86" w14:textId="77777777" w:rsidR="00013E71" w:rsidRPr="00961F2C" w:rsidRDefault="00013E71" w:rsidP="00E25ECA">
            <w:pPr>
              <w:jc w:val="center"/>
              <w:rPr>
                <w:i/>
                <w:iCs/>
                <w:sz w:val="24"/>
                <w:szCs w:val="24"/>
              </w:rPr>
            </w:pPr>
            <w:r w:rsidRPr="00961F2C">
              <w:rPr>
                <w:i/>
                <w:iCs/>
                <w:color w:val="000000" w:themeColor="text1"/>
                <w:sz w:val="24"/>
                <w:szCs w:val="24"/>
              </w:rPr>
              <w:t>30</w:t>
            </w:r>
          </w:p>
        </w:tc>
        <w:tc>
          <w:tcPr>
            <w:tcW w:w="2073" w:type="dxa"/>
          </w:tcPr>
          <w:p w14:paraId="539503A9" w14:textId="77777777" w:rsidR="00013E71" w:rsidRPr="00961F2C" w:rsidRDefault="00013E71" w:rsidP="00E25ECA">
            <w:pPr>
              <w:jc w:val="center"/>
              <w:rPr>
                <w:i/>
                <w:iCs/>
                <w:sz w:val="24"/>
                <w:szCs w:val="24"/>
              </w:rPr>
            </w:pPr>
            <w:r w:rsidRPr="00961F2C">
              <w:rPr>
                <w:i/>
                <w:iCs/>
                <w:color w:val="000000" w:themeColor="text1"/>
                <w:sz w:val="24"/>
                <w:szCs w:val="24"/>
              </w:rPr>
              <w:t>100</w:t>
            </w:r>
          </w:p>
        </w:tc>
      </w:tr>
    </w:tbl>
    <w:p w14:paraId="028AE6F7" w14:textId="77777777" w:rsidR="00013E71" w:rsidRPr="00961F2C" w:rsidRDefault="00013E71" w:rsidP="00E25ECA">
      <w:pPr>
        <w:spacing w:after="0" w:line="240" w:lineRule="auto"/>
        <w:jc w:val="both"/>
        <w:rPr>
          <w:rFonts w:ascii="Times New Roman" w:hAnsi="Times New Roman" w:cs="Times New Roman"/>
          <w:b/>
          <w:i/>
          <w:iCs/>
          <w:sz w:val="24"/>
          <w:szCs w:val="24"/>
        </w:rPr>
      </w:pPr>
    </w:p>
    <w:p w14:paraId="25CB40F0" w14:textId="4D7389C6" w:rsidR="00013E71" w:rsidRPr="00961F2C" w:rsidRDefault="007E65BD" w:rsidP="00E25ECA">
      <w:pPr>
        <w:spacing w:after="0" w:line="240" w:lineRule="auto"/>
        <w:ind w:firstLine="720"/>
        <w:jc w:val="both"/>
        <w:rPr>
          <w:rFonts w:ascii="Times New Roman" w:hAnsi="Times New Roman" w:cs="Times New Roman"/>
          <w:bCs/>
          <w:sz w:val="24"/>
          <w:szCs w:val="24"/>
        </w:rPr>
      </w:pPr>
      <w:bookmarkStart w:id="3" w:name="_Hlk202433823"/>
      <w:bookmarkStart w:id="4" w:name="_Hlk202444007"/>
      <w:r w:rsidRPr="00961F2C">
        <w:rPr>
          <w:rFonts w:ascii="Times New Roman" w:hAnsi="Times New Roman" w:cs="Times New Roman"/>
          <w:bCs/>
          <w:sz w:val="24"/>
          <w:szCs w:val="24"/>
        </w:rPr>
        <w:t>The t</w:t>
      </w:r>
      <w:r w:rsidR="00013E71" w:rsidRPr="00961F2C">
        <w:rPr>
          <w:rFonts w:ascii="Times New Roman" w:hAnsi="Times New Roman" w:cs="Times New Roman"/>
          <w:bCs/>
          <w:sz w:val="24"/>
          <w:szCs w:val="24"/>
        </w:rPr>
        <w:t>able</w:t>
      </w:r>
      <w:r w:rsidRPr="00961F2C">
        <w:rPr>
          <w:rFonts w:ascii="Times New Roman" w:hAnsi="Times New Roman" w:cs="Times New Roman"/>
          <w:bCs/>
          <w:sz w:val="24"/>
          <w:szCs w:val="24"/>
        </w:rPr>
        <w:t xml:space="preserve"> </w:t>
      </w:r>
      <w:r w:rsidR="00013E71" w:rsidRPr="00961F2C">
        <w:rPr>
          <w:rFonts w:ascii="Times New Roman" w:hAnsi="Times New Roman" w:cs="Times New Roman"/>
          <w:bCs/>
          <w:sz w:val="24"/>
          <w:szCs w:val="24"/>
        </w:rPr>
        <w:t xml:space="preserve">shows the sex of the respondents of which 56.7% are females and 43.3% are males. This indicates that majority of the respondents are females. </w:t>
      </w:r>
    </w:p>
    <w:bookmarkEnd w:id="3"/>
    <w:p w14:paraId="0186FB4E" w14:textId="77777777" w:rsidR="00013E71" w:rsidRPr="00961F2C" w:rsidRDefault="00013E71" w:rsidP="00E25ECA">
      <w:pPr>
        <w:spacing w:line="240" w:lineRule="auto"/>
        <w:jc w:val="both"/>
        <w:rPr>
          <w:rFonts w:ascii="Times New Roman" w:hAnsi="Times New Roman" w:cs="Times New Roman"/>
          <w:b/>
          <w:bCs/>
          <w:i/>
          <w:color w:val="000000" w:themeColor="text1"/>
          <w:sz w:val="24"/>
          <w:szCs w:val="24"/>
          <w:lang w:val="en-US"/>
        </w:rPr>
      </w:pPr>
    </w:p>
    <w:bookmarkEnd w:id="4"/>
    <w:p w14:paraId="326387B9" w14:textId="77777777" w:rsidR="00013E71" w:rsidRPr="00961F2C" w:rsidRDefault="00013E71" w:rsidP="00E25ECA">
      <w:pPr>
        <w:spacing w:line="240" w:lineRule="auto"/>
        <w:jc w:val="both"/>
        <w:rPr>
          <w:rFonts w:ascii="Times New Roman" w:hAnsi="Times New Roman" w:cs="Times New Roman"/>
          <w:b/>
          <w:bCs/>
          <w:i/>
          <w:color w:val="000000" w:themeColor="text1"/>
          <w:sz w:val="24"/>
          <w:szCs w:val="24"/>
          <w:lang w:val="en-US"/>
        </w:rPr>
      </w:pPr>
    </w:p>
    <w:p w14:paraId="5ACF2246" w14:textId="77777777" w:rsidR="007E65BD" w:rsidRPr="00961F2C" w:rsidRDefault="007E65BD" w:rsidP="00E25ECA">
      <w:pPr>
        <w:spacing w:line="240" w:lineRule="auto"/>
        <w:ind w:firstLine="720"/>
        <w:jc w:val="both"/>
        <w:rPr>
          <w:rFonts w:ascii="Times New Roman" w:hAnsi="Times New Roman" w:cs="Times New Roman"/>
          <w:b/>
          <w:bCs/>
          <w:iCs/>
          <w:color w:val="000000" w:themeColor="text1"/>
          <w:sz w:val="24"/>
          <w:szCs w:val="24"/>
          <w:lang w:val="en-US"/>
        </w:rPr>
      </w:pPr>
      <w:bookmarkStart w:id="5" w:name="_Hlk202249687"/>
      <w:r w:rsidRPr="00961F2C">
        <w:rPr>
          <w:rFonts w:ascii="Times New Roman" w:hAnsi="Times New Roman" w:cs="Times New Roman"/>
          <w:b/>
          <w:bCs/>
          <w:iCs/>
          <w:color w:val="000000" w:themeColor="text1"/>
          <w:sz w:val="24"/>
          <w:szCs w:val="24"/>
          <w:lang w:val="en-US"/>
        </w:rPr>
        <w:t>L</w:t>
      </w:r>
      <w:r w:rsidR="00013E71" w:rsidRPr="00961F2C">
        <w:rPr>
          <w:rFonts w:ascii="Times New Roman" w:hAnsi="Times New Roman" w:cs="Times New Roman"/>
          <w:b/>
          <w:bCs/>
          <w:iCs/>
          <w:color w:val="000000" w:themeColor="text1"/>
          <w:sz w:val="24"/>
          <w:szCs w:val="24"/>
          <w:lang w:val="en-US"/>
        </w:rPr>
        <w:t xml:space="preserve">evel of performance of the students by comparing their scores </w:t>
      </w:r>
    </w:p>
    <w:p w14:paraId="7728C01F" w14:textId="00298779" w:rsidR="007E65BD" w:rsidRPr="00961F2C" w:rsidRDefault="007E65BD" w:rsidP="00E25ECA">
      <w:pPr>
        <w:pStyle w:val="NoSpacing"/>
        <w:jc w:val="center"/>
        <w:rPr>
          <w:rFonts w:ascii="Times New Roman" w:hAnsi="Times New Roman" w:cs="Times New Roman"/>
          <w:b/>
          <w:bCs/>
          <w:sz w:val="24"/>
          <w:szCs w:val="24"/>
          <w:lang w:val="en-US"/>
        </w:rPr>
      </w:pPr>
      <w:r w:rsidRPr="00961F2C">
        <w:rPr>
          <w:rFonts w:ascii="Times New Roman" w:hAnsi="Times New Roman" w:cs="Times New Roman"/>
          <w:b/>
          <w:bCs/>
          <w:sz w:val="24"/>
          <w:szCs w:val="24"/>
          <w:lang w:val="en-US"/>
        </w:rPr>
        <w:t>Table 3</w:t>
      </w:r>
    </w:p>
    <w:p w14:paraId="41E135DF" w14:textId="4BAFDC65" w:rsidR="00013E71" w:rsidRPr="00961F2C" w:rsidRDefault="007E65BD" w:rsidP="00E25ECA">
      <w:pPr>
        <w:pStyle w:val="NoSpacing"/>
        <w:jc w:val="center"/>
        <w:rPr>
          <w:rFonts w:ascii="Times New Roman" w:hAnsi="Times New Roman" w:cs="Times New Roman"/>
          <w:b/>
          <w:bCs/>
          <w:sz w:val="24"/>
          <w:szCs w:val="24"/>
          <w:lang w:val="en-US"/>
        </w:rPr>
      </w:pPr>
      <w:r w:rsidRPr="00961F2C">
        <w:rPr>
          <w:rFonts w:ascii="Times New Roman" w:hAnsi="Times New Roman" w:cs="Times New Roman"/>
          <w:b/>
          <w:bCs/>
          <w:sz w:val="24"/>
          <w:szCs w:val="24"/>
          <w:lang w:val="en-US"/>
        </w:rPr>
        <w:t>Pre-test and Post-test</w:t>
      </w:r>
      <w:bookmarkEnd w:id="5"/>
    </w:p>
    <w:p w14:paraId="1BB6331F" w14:textId="77777777" w:rsidR="007E65BD" w:rsidRPr="00961F2C" w:rsidRDefault="007E65BD" w:rsidP="00E25ECA">
      <w:pPr>
        <w:pStyle w:val="NoSpacing"/>
        <w:jc w:val="center"/>
        <w:rPr>
          <w:rFonts w:ascii="Times New Roman" w:hAnsi="Times New Roman" w:cs="Times New Roman"/>
          <w:b/>
          <w:bCs/>
          <w:sz w:val="24"/>
          <w:szCs w:val="24"/>
          <w:lang w:val="en-US"/>
        </w:rPr>
      </w:pPr>
    </w:p>
    <w:tbl>
      <w:tblPr>
        <w:tblW w:w="0" w:type="auto"/>
        <w:tblInd w:w="1086" w:type="dxa"/>
        <w:tblCellMar>
          <w:top w:w="15" w:type="dxa"/>
          <w:left w:w="15" w:type="dxa"/>
          <w:bottom w:w="15" w:type="dxa"/>
          <w:right w:w="15" w:type="dxa"/>
        </w:tblCellMar>
        <w:tblLook w:val="04A0" w:firstRow="1" w:lastRow="0" w:firstColumn="1" w:lastColumn="0" w:noHBand="0" w:noVBand="1"/>
      </w:tblPr>
      <w:tblGrid>
        <w:gridCol w:w="1191"/>
        <w:gridCol w:w="36"/>
        <w:gridCol w:w="630"/>
        <w:gridCol w:w="36"/>
        <w:gridCol w:w="1144"/>
        <w:gridCol w:w="73"/>
        <w:gridCol w:w="1470"/>
        <w:gridCol w:w="36"/>
        <w:gridCol w:w="1410"/>
        <w:gridCol w:w="36"/>
      </w:tblGrid>
      <w:tr w:rsidR="00013E71" w:rsidRPr="00961F2C" w14:paraId="5FECD614" w14:textId="77777777" w:rsidTr="004B0104">
        <w:trPr>
          <w:tblHeader/>
        </w:trPr>
        <w:tc>
          <w:tcPr>
            <w:tcW w:w="0" w:type="auto"/>
            <w:gridSpan w:val="10"/>
            <w:tcBorders>
              <w:top w:val="nil"/>
              <w:left w:val="nil"/>
              <w:bottom w:val="single" w:sz="6" w:space="0" w:color="000000"/>
              <w:right w:val="nil"/>
            </w:tcBorders>
            <w:vAlign w:val="center"/>
            <w:hideMark/>
          </w:tcPr>
          <w:p w14:paraId="77DC77CC" w14:textId="77777777" w:rsidR="00013E71" w:rsidRPr="00961F2C" w:rsidRDefault="00013E71" w:rsidP="00E25ECA">
            <w:pPr>
              <w:spacing w:after="0" w:line="240" w:lineRule="auto"/>
              <w:rPr>
                <w:rFonts w:ascii="Times New Roman" w:eastAsia="Times New Roman" w:hAnsi="Times New Roman" w:cs="Times New Roman"/>
                <w:b/>
                <w:bCs/>
                <w:sz w:val="24"/>
                <w:szCs w:val="24"/>
              </w:rPr>
            </w:pPr>
            <w:r w:rsidRPr="00961F2C">
              <w:rPr>
                <w:rFonts w:ascii="Times New Roman" w:hAnsi="Times New Roman" w:cs="Times New Roman"/>
                <w:b/>
                <w:bCs/>
                <w:sz w:val="24"/>
                <w:szCs w:val="24"/>
              </w:rPr>
              <w:t>Students Performance</w:t>
            </w:r>
            <w:r w:rsidRPr="00961F2C">
              <w:rPr>
                <w:rFonts w:ascii="Times New Roman" w:eastAsia="Times New Roman" w:hAnsi="Times New Roman" w:cs="Times New Roman"/>
                <w:b/>
                <w:bCs/>
                <w:sz w:val="24"/>
                <w:szCs w:val="24"/>
              </w:rPr>
              <w:t xml:space="preserve"> </w:t>
            </w:r>
          </w:p>
        </w:tc>
      </w:tr>
      <w:tr w:rsidR="00013E71" w:rsidRPr="00961F2C" w14:paraId="1BCFE722" w14:textId="77777777" w:rsidTr="004B0104">
        <w:trPr>
          <w:trHeight w:val="480"/>
          <w:tblHeader/>
        </w:trPr>
        <w:tc>
          <w:tcPr>
            <w:tcW w:w="0" w:type="auto"/>
            <w:gridSpan w:val="2"/>
            <w:tcBorders>
              <w:top w:val="nil"/>
              <w:left w:val="nil"/>
              <w:bottom w:val="single" w:sz="6" w:space="0" w:color="000000"/>
              <w:right w:val="nil"/>
            </w:tcBorders>
            <w:vAlign w:val="center"/>
            <w:hideMark/>
          </w:tcPr>
          <w:p w14:paraId="1BDD989B"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w:t>
            </w:r>
          </w:p>
        </w:tc>
        <w:tc>
          <w:tcPr>
            <w:tcW w:w="0" w:type="auto"/>
            <w:gridSpan w:val="2"/>
            <w:tcBorders>
              <w:top w:val="nil"/>
              <w:left w:val="nil"/>
              <w:bottom w:val="single" w:sz="6" w:space="0" w:color="000000"/>
              <w:right w:val="nil"/>
            </w:tcBorders>
            <w:vAlign w:val="center"/>
            <w:hideMark/>
          </w:tcPr>
          <w:p w14:paraId="1F3435E5"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N </w:t>
            </w:r>
          </w:p>
        </w:tc>
        <w:tc>
          <w:tcPr>
            <w:tcW w:w="0" w:type="auto"/>
            <w:gridSpan w:val="2"/>
            <w:tcBorders>
              <w:top w:val="nil"/>
              <w:left w:val="nil"/>
              <w:bottom w:val="single" w:sz="6" w:space="0" w:color="000000"/>
              <w:right w:val="nil"/>
            </w:tcBorders>
            <w:vAlign w:val="center"/>
            <w:hideMark/>
          </w:tcPr>
          <w:p w14:paraId="310465E3"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Mean </w:t>
            </w:r>
          </w:p>
        </w:tc>
        <w:tc>
          <w:tcPr>
            <w:tcW w:w="0" w:type="auto"/>
            <w:gridSpan w:val="2"/>
            <w:tcBorders>
              <w:top w:val="nil"/>
              <w:left w:val="nil"/>
              <w:bottom w:val="single" w:sz="6" w:space="0" w:color="000000"/>
              <w:right w:val="nil"/>
            </w:tcBorders>
            <w:vAlign w:val="center"/>
            <w:hideMark/>
          </w:tcPr>
          <w:p w14:paraId="10C58B30"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SD </w:t>
            </w:r>
          </w:p>
        </w:tc>
        <w:tc>
          <w:tcPr>
            <w:tcW w:w="0" w:type="auto"/>
            <w:gridSpan w:val="2"/>
            <w:tcBorders>
              <w:top w:val="nil"/>
              <w:left w:val="nil"/>
              <w:bottom w:val="single" w:sz="6" w:space="0" w:color="000000"/>
              <w:right w:val="nil"/>
            </w:tcBorders>
            <w:vAlign w:val="center"/>
            <w:hideMark/>
          </w:tcPr>
          <w:p w14:paraId="05795C20"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SE </w:t>
            </w:r>
          </w:p>
        </w:tc>
      </w:tr>
      <w:tr w:rsidR="00013E71" w:rsidRPr="00961F2C" w14:paraId="452AB317" w14:textId="77777777" w:rsidTr="004B0104">
        <w:tc>
          <w:tcPr>
            <w:tcW w:w="0" w:type="auto"/>
            <w:tcBorders>
              <w:top w:val="nil"/>
              <w:left w:val="nil"/>
              <w:bottom w:val="nil"/>
              <w:right w:val="nil"/>
            </w:tcBorders>
            <w:vAlign w:val="center"/>
            <w:hideMark/>
          </w:tcPr>
          <w:p w14:paraId="11E2BCF9" w14:textId="77777777" w:rsidR="00013E71" w:rsidRPr="00961F2C" w:rsidRDefault="00013E71" w:rsidP="00E25ECA">
            <w:pPr>
              <w:spacing w:after="0" w:line="240" w:lineRule="auto"/>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POSTTEST </w:t>
            </w:r>
          </w:p>
        </w:tc>
        <w:tc>
          <w:tcPr>
            <w:tcW w:w="0" w:type="auto"/>
            <w:tcBorders>
              <w:top w:val="nil"/>
              <w:left w:val="nil"/>
              <w:bottom w:val="nil"/>
              <w:right w:val="nil"/>
            </w:tcBorders>
            <w:vAlign w:val="center"/>
            <w:hideMark/>
          </w:tcPr>
          <w:p w14:paraId="42786A15" w14:textId="77777777" w:rsidR="00013E71" w:rsidRPr="00961F2C" w:rsidRDefault="00013E71" w:rsidP="00E25ECA">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08A885D"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30 </w:t>
            </w:r>
          </w:p>
        </w:tc>
        <w:tc>
          <w:tcPr>
            <w:tcW w:w="0" w:type="auto"/>
            <w:tcBorders>
              <w:top w:val="nil"/>
              <w:left w:val="nil"/>
              <w:bottom w:val="nil"/>
              <w:right w:val="nil"/>
            </w:tcBorders>
            <w:vAlign w:val="center"/>
            <w:hideMark/>
          </w:tcPr>
          <w:p w14:paraId="7D9E1E5D"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35FFDA09"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40.90 </w:t>
            </w:r>
          </w:p>
        </w:tc>
        <w:tc>
          <w:tcPr>
            <w:tcW w:w="0" w:type="auto"/>
            <w:tcBorders>
              <w:top w:val="nil"/>
              <w:left w:val="nil"/>
              <w:bottom w:val="nil"/>
              <w:right w:val="nil"/>
            </w:tcBorders>
            <w:vAlign w:val="center"/>
            <w:hideMark/>
          </w:tcPr>
          <w:p w14:paraId="335C55AD"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84F8F7B"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5.86 </w:t>
            </w:r>
          </w:p>
        </w:tc>
        <w:tc>
          <w:tcPr>
            <w:tcW w:w="0" w:type="auto"/>
            <w:tcBorders>
              <w:top w:val="nil"/>
              <w:left w:val="nil"/>
              <w:bottom w:val="nil"/>
              <w:right w:val="nil"/>
            </w:tcBorders>
            <w:vAlign w:val="center"/>
            <w:hideMark/>
          </w:tcPr>
          <w:p w14:paraId="1F406662"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4A48B75"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1.070 </w:t>
            </w:r>
          </w:p>
        </w:tc>
        <w:tc>
          <w:tcPr>
            <w:tcW w:w="0" w:type="auto"/>
            <w:tcBorders>
              <w:top w:val="nil"/>
              <w:left w:val="nil"/>
              <w:bottom w:val="nil"/>
              <w:right w:val="nil"/>
            </w:tcBorders>
            <w:vAlign w:val="center"/>
            <w:hideMark/>
          </w:tcPr>
          <w:p w14:paraId="3786B06A"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r>
      <w:tr w:rsidR="00013E71" w:rsidRPr="00961F2C" w14:paraId="7A852D6E" w14:textId="77777777" w:rsidTr="004B0104">
        <w:trPr>
          <w:trHeight w:val="462"/>
        </w:trPr>
        <w:tc>
          <w:tcPr>
            <w:tcW w:w="0" w:type="auto"/>
            <w:tcBorders>
              <w:top w:val="nil"/>
              <w:left w:val="nil"/>
              <w:bottom w:val="nil"/>
              <w:right w:val="nil"/>
            </w:tcBorders>
            <w:vAlign w:val="center"/>
            <w:hideMark/>
          </w:tcPr>
          <w:p w14:paraId="1225585E" w14:textId="77777777" w:rsidR="00013E71" w:rsidRPr="00961F2C" w:rsidRDefault="00013E71" w:rsidP="00E25ECA">
            <w:pPr>
              <w:spacing w:after="0" w:line="240" w:lineRule="auto"/>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PRETEST </w:t>
            </w:r>
          </w:p>
        </w:tc>
        <w:tc>
          <w:tcPr>
            <w:tcW w:w="0" w:type="auto"/>
            <w:tcBorders>
              <w:top w:val="nil"/>
              <w:left w:val="nil"/>
              <w:bottom w:val="nil"/>
              <w:right w:val="nil"/>
            </w:tcBorders>
            <w:vAlign w:val="center"/>
            <w:hideMark/>
          </w:tcPr>
          <w:p w14:paraId="3DBBCDEA" w14:textId="77777777" w:rsidR="00013E71" w:rsidRPr="00961F2C" w:rsidRDefault="00013E71" w:rsidP="00E25ECA">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8D75396"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30</w:t>
            </w:r>
          </w:p>
        </w:tc>
        <w:tc>
          <w:tcPr>
            <w:tcW w:w="0" w:type="auto"/>
            <w:tcBorders>
              <w:top w:val="nil"/>
              <w:left w:val="nil"/>
              <w:bottom w:val="nil"/>
              <w:right w:val="nil"/>
            </w:tcBorders>
            <w:vAlign w:val="center"/>
            <w:hideMark/>
          </w:tcPr>
          <w:p w14:paraId="27AE8992"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DE064FA"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32.63</w:t>
            </w:r>
          </w:p>
        </w:tc>
        <w:tc>
          <w:tcPr>
            <w:tcW w:w="0" w:type="auto"/>
            <w:tcBorders>
              <w:top w:val="nil"/>
              <w:left w:val="nil"/>
              <w:bottom w:val="nil"/>
              <w:right w:val="nil"/>
            </w:tcBorders>
            <w:vAlign w:val="center"/>
            <w:hideMark/>
          </w:tcPr>
          <w:p w14:paraId="548EBAD6"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02A292DD"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6.68 </w:t>
            </w:r>
          </w:p>
        </w:tc>
        <w:tc>
          <w:tcPr>
            <w:tcW w:w="0" w:type="auto"/>
            <w:tcBorders>
              <w:top w:val="nil"/>
              <w:left w:val="nil"/>
              <w:bottom w:val="nil"/>
              <w:right w:val="nil"/>
            </w:tcBorders>
            <w:vAlign w:val="center"/>
            <w:hideMark/>
          </w:tcPr>
          <w:p w14:paraId="31E8EA13"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F68A0D0"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1.220 </w:t>
            </w:r>
          </w:p>
        </w:tc>
        <w:tc>
          <w:tcPr>
            <w:tcW w:w="0" w:type="auto"/>
            <w:tcBorders>
              <w:top w:val="nil"/>
              <w:left w:val="nil"/>
              <w:bottom w:val="nil"/>
              <w:right w:val="nil"/>
            </w:tcBorders>
            <w:vAlign w:val="center"/>
            <w:hideMark/>
          </w:tcPr>
          <w:p w14:paraId="7BEE2818"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r>
    </w:tbl>
    <w:p w14:paraId="622CD9F5" w14:textId="77777777" w:rsidR="00013E71" w:rsidRPr="00961F2C" w:rsidRDefault="00013E71" w:rsidP="00E25ECA">
      <w:pPr>
        <w:spacing w:line="240" w:lineRule="auto"/>
        <w:jc w:val="both"/>
        <w:rPr>
          <w:rFonts w:ascii="Times New Roman" w:hAnsi="Times New Roman" w:cs="Times New Roman"/>
          <w:sz w:val="24"/>
          <w:szCs w:val="24"/>
        </w:rPr>
      </w:pPr>
      <w:bookmarkStart w:id="6" w:name="_Hlk202433839"/>
    </w:p>
    <w:p w14:paraId="725B45B9" w14:textId="582BF806" w:rsidR="00013E71" w:rsidRPr="00961F2C" w:rsidRDefault="007E65BD" w:rsidP="00E25ECA">
      <w:pPr>
        <w:spacing w:line="240" w:lineRule="auto"/>
        <w:ind w:firstLine="720"/>
        <w:jc w:val="both"/>
        <w:rPr>
          <w:rFonts w:ascii="Times New Roman" w:hAnsi="Times New Roman" w:cs="Times New Roman"/>
          <w:sz w:val="24"/>
          <w:szCs w:val="24"/>
        </w:rPr>
      </w:pPr>
      <w:bookmarkStart w:id="7" w:name="_Hlk202444033"/>
      <w:r w:rsidRPr="00961F2C">
        <w:rPr>
          <w:rFonts w:ascii="Times New Roman" w:hAnsi="Times New Roman" w:cs="Times New Roman"/>
          <w:sz w:val="24"/>
          <w:szCs w:val="24"/>
        </w:rPr>
        <w:t>The table summarizes the performance of students in both tests. The mean score on the pre-test was 32.63 with a standard deviation of 6.68, indicating a lower baseline level of student performance. In contrast, the mean score on the post-test was notably higher at 40.90, with a standard deviation of 5.86. This result indicates a significant improvement in student performance after the intervention or instruction.</w:t>
      </w:r>
    </w:p>
    <w:bookmarkEnd w:id="7"/>
    <w:p w14:paraId="328EAC70" w14:textId="77777777" w:rsidR="00013E71" w:rsidRDefault="00013E71" w:rsidP="00E25ECA">
      <w:pPr>
        <w:spacing w:line="240" w:lineRule="auto"/>
        <w:rPr>
          <w:rFonts w:ascii="Times New Roman" w:hAnsi="Times New Roman" w:cs="Times New Roman"/>
          <w:sz w:val="24"/>
          <w:szCs w:val="24"/>
        </w:rPr>
      </w:pPr>
    </w:p>
    <w:p w14:paraId="39D7A2C0" w14:textId="77777777" w:rsidR="00882C04" w:rsidRPr="00961F2C" w:rsidRDefault="00882C04" w:rsidP="00E25ECA">
      <w:pPr>
        <w:spacing w:line="240" w:lineRule="auto"/>
        <w:rPr>
          <w:rFonts w:ascii="Times New Roman" w:hAnsi="Times New Roman" w:cs="Times New Roman"/>
          <w:sz w:val="24"/>
          <w:szCs w:val="24"/>
        </w:rPr>
      </w:pPr>
    </w:p>
    <w:p w14:paraId="68AD506F" w14:textId="4E0328DC" w:rsidR="00013E71" w:rsidRPr="00961F2C" w:rsidRDefault="007E65BD" w:rsidP="00E25ECA">
      <w:pPr>
        <w:spacing w:line="240" w:lineRule="auto"/>
        <w:jc w:val="both"/>
        <w:rPr>
          <w:rFonts w:ascii="Times New Roman" w:hAnsi="Times New Roman" w:cs="Times New Roman"/>
          <w:b/>
          <w:bCs/>
          <w:i/>
          <w:color w:val="000000" w:themeColor="text1"/>
          <w:sz w:val="24"/>
          <w:szCs w:val="24"/>
          <w:lang w:val="en-US"/>
        </w:rPr>
      </w:pPr>
      <w:bookmarkStart w:id="8" w:name="_Hlk202249756"/>
      <w:bookmarkEnd w:id="6"/>
      <w:r w:rsidRPr="00961F2C">
        <w:rPr>
          <w:rFonts w:ascii="Times New Roman" w:hAnsi="Times New Roman" w:cs="Times New Roman"/>
          <w:b/>
          <w:bCs/>
          <w:sz w:val="24"/>
          <w:szCs w:val="24"/>
        </w:rPr>
        <w:t>S</w:t>
      </w:r>
      <w:r w:rsidR="00013E71" w:rsidRPr="00961F2C">
        <w:rPr>
          <w:rFonts w:ascii="Times New Roman" w:hAnsi="Times New Roman" w:cs="Times New Roman"/>
          <w:b/>
          <w:bCs/>
          <w:i/>
          <w:color w:val="000000" w:themeColor="text1"/>
          <w:sz w:val="24"/>
          <w:szCs w:val="24"/>
          <w:lang w:val="en-US"/>
        </w:rPr>
        <w:t xml:space="preserve">ignificant difference in the students’ performance </w:t>
      </w:r>
      <w:bookmarkEnd w:id="8"/>
    </w:p>
    <w:p w14:paraId="4FAEFA14" w14:textId="77777777" w:rsidR="007E65BD" w:rsidRPr="00961F2C" w:rsidRDefault="007E65BD" w:rsidP="00E25ECA">
      <w:pPr>
        <w:pStyle w:val="NoSpacing"/>
        <w:jc w:val="center"/>
        <w:rPr>
          <w:rFonts w:ascii="Times New Roman" w:hAnsi="Times New Roman" w:cs="Times New Roman"/>
          <w:b/>
          <w:bCs/>
          <w:sz w:val="24"/>
          <w:szCs w:val="24"/>
          <w:lang w:val="en-ID"/>
        </w:rPr>
      </w:pPr>
      <w:r w:rsidRPr="00961F2C">
        <w:rPr>
          <w:rFonts w:ascii="Times New Roman" w:hAnsi="Times New Roman" w:cs="Times New Roman"/>
          <w:b/>
          <w:bCs/>
          <w:sz w:val="24"/>
          <w:szCs w:val="24"/>
          <w:lang w:val="en-ID"/>
        </w:rPr>
        <w:t>Table 4</w:t>
      </w:r>
    </w:p>
    <w:p w14:paraId="5BF39A06" w14:textId="281BDB0B" w:rsidR="00013E71" w:rsidRPr="00961F2C" w:rsidRDefault="00013E71" w:rsidP="00E25ECA">
      <w:pPr>
        <w:pStyle w:val="NoSpacing"/>
        <w:jc w:val="center"/>
        <w:rPr>
          <w:rFonts w:ascii="Times New Roman" w:hAnsi="Times New Roman" w:cs="Times New Roman"/>
          <w:b/>
          <w:bCs/>
          <w:sz w:val="24"/>
          <w:szCs w:val="24"/>
          <w:lang w:val="en-ID"/>
        </w:rPr>
      </w:pPr>
      <w:r w:rsidRPr="00961F2C">
        <w:rPr>
          <w:rFonts w:ascii="Times New Roman" w:hAnsi="Times New Roman" w:cs="Times New Roman"/>
          <w:b/>
          <w:bCs/>
          <w:sz w:val="24"/>
          <w:szCs w:val="24"/>
        </w:rPr>
        <w:t>Students Performance on pretest and posttest</w:t>
      </w:r>
    </w:p>
    <w:tbl>
      <w:tblPr>
        <w:tblW w:w="0" w:type="auto"/>
        <w:tblCellMar>
          <w:top w:w="15" w:type="dxa"/>
          <w:left w:w="15" w:type="dxa"/>
          <w:bottom w:w="15" w:type="dxa"/>
          <w:right w:w="15" w:type="dxa"/>
        </w:tblCellMar>
        <w:tblLook w:val="04A0" w:firstRow="1" w:lastRow="0" w:firstColumn="1" w:lastColumn="0" w:noHBand="0" w:noVBand="1"/>
      </w:tblPr>
      <w:tblGrid>
        <w:gridCol w:w="1191"/>
        <w:gridCol w:w="36"/>
        <w:gridCol w:w="110"/>
        <w:gridCol w:w="36"/>
        <w:gridCol w:w="1044"/>
        <w:gridCol w:w="36"/>
        <w:gridCol w:w="848"/>
        <w:gridCol w:w="36"/>
        <w:gridCol w:w="1298"/>
        <w:gridCol w:w="121"/>
        <w:gridCol w:w="1093"/>
        <w:gridCol w:w="56"/>
        <w:gridCol w:w="1777"/>
        <w:gridCol w:w="142"/>
        <w:gridCol w:w="1445"/>
        <w:gridCol w:w="91"/>
      </w:tblGrid>
      <w:tr w:rsidR="00013E71" w:rsidRPr="00961F2C" w14:paraId="6CC1219F" w14:textId="77777777" w:rsidTr="004B0104">
        <w:trPr>
          <w:tblHeader/>
        </w:trPr>
        <w:tc>
          <w:tcPr>
            <w:tcW w:w="0" w:type="auto"/>
            <w:gridSpan w:val="16"/>
            <w:tcBorders>
              <w:top w:val="nil"/>
              <w:left w:val="nil"/>
              <w:bottom w:val="single" w:sz="6" w:space="0" w:color="000000"/>
              <w:right w:val="nil"/>
            </w:tcBorders>
            <w:vAlign w:val="center"/>
            <w:hideMark/>
          </w:tcPr>
          <w:p w14:paraId="2B68C102" w14:textId="77777777" w:rsidR="00013E71" w:rsidRPr="00961F2C" w:rsidRDefault="00013E71" w:rsidP="00E25ECA">
            <w:pPr>
              <w:spacing w:after="0" w:line="240" w:lineRule="auto"/>
              <w:rPr>
                <w:rFonts w:ascii="Times New Roman" w:eastAsia="Times New Roman" w:hAnsi="Times New Roman" w:cs="Times New Roman"/>
                <w:b/>
                <w:bCs/>
                <w:sz w:val="24"/>
                <w:szCs w:val="24"/>
              </w:rPr>
            </w:pPr>
          </w:p>
        </w:tc>
      </w:tr>
      <w:tr w:rsidR="00013E71" w:rsidRPr="00961F2C" w14:paraId="3CB4440A" w14:textId="77777777" w:rsidTr="004B0104">
        <w:trPr>
          <w:trHeight w:val="768"/>
          <w:tblHeader/>
        </w:trPr>
        <w:tc>
          <w:tcPr>
            <w:tcW w:w="0" w:type="auto"/>
            <w:gridSpan w:val="2"/>
            <w:tcBorders>
              <w:top w:val="nil"/>
              <w:left w:val="nil"/>
              <w:bottom w:val="single" w:sz="6" w:space="0" w:color="000000"/>
              <w:right w:val="nil"/>
            </w:tcBorders>
            <w:vAlign w:val="center"/>
            <w:hideMark/>
          </w:tcPr>
          <w:p w14:paraId="4833BDEF"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w:t>
            </w:r>
          </w:p>
        </w:tc>
        <w:tc>
          <w:tcPr>
            <w:tcW w:w="0" w:type="auto"/>
            <w:gridSpan w:val="2"/>
            <w:tcBorders>
              <w:top w:val="nil"/>
              <w:left w:val="nil"/>
              <w:bottom w:val="single" w:sz="6" w:space="0" w:color="000000"/>
              <w:right w:val="nil"/>
            </w:tcBorders>
            <w:vAlign w:val="center"/>
            <w:hideMark/>
          </w:tcPr>
          <w:p w14:paraId="040A4654"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w:t>
            </w:r>
          </w:p>
        </w:tc>
        <w:tc>
          <w:tcPr>
            <w:tcW w:w="0" w:type="auto"/>
            <w:gridSpan w:val="2"/>
            <w:tcBorders>
              <w:top w:val="nil"/>
              <w:left w:val="nil"/>
              <w:bottom w:val="single" w:sz="6" w:space="0" w:color="000000"/>
              <w:right w:val="nil"/>
            </w:tcBorders>
            <w:vAlign w:val="center"/>
            <w:hideMark/>
          </w:tcPr>
          <w:p w14:paraId="1938C974"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w:t>
            </w:r>
          </w:p>
        </w:tc>
        <w:tc>
          <w:tcPr>
            <w:tcW w:w="0" w:type="auto"/>
            <w:gridSpan w:val="2"/>
            <w:tcBorders>
              <w:top w:val="nil"/>
              <w:left w:val="nil"/>
              <w:bottom w:val="single" w:sz="6" w:space="0" w:color="000000"/>
              <w:right w:val="nil"/>
            </w:tcBorders>
            <w:vAlign w:val="center"/>
            <w:hideMark/>
          </w:tcPr>
          <w:p w14:paraId="32951ED0"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t </w:t>
            </w:r>
          </w:p>
        </w:tc>
        <w:tc>
          <w:tcPr>
            <w:tcW w:w="0" w:type="auto"/>
            <w:gridSpan w:val="2"/>
            <w:tcBorders>
              <w:top w:val="nil"/>
              <w:left w:val="nil"/>
              <w:bottom w:val="single" w:sz="6" w:space="0" w:color="000000"/>
              <w:right w:val="nil"/>
            </w:tcBorders>
            <w:vAlign w:val="center"/>
            <w:hideMark/>
          </w:tcPr>
          <w:p w14:paraId="1DCBE9D5"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df </w:t>
            </w:r>
          </w:p>
        </w:tc>
        <w:tc>
          <w:tcPr>
            <w:tcW w:w="0" w:type="auto"/>
            <w:gridSpan w:val="2"/>
            <w:tcBorders>
              <w:top w:val="nil"/>
              <w:left w:val="nil"/>
              <w:bottom w:val="single" w:sz="6" w:space="0" w:color="000000"/>
              <w:right w:val="nil"/>
            </w:tcBorders>
            <w:vAlign w:val="center"/>
            <w:hideMark/>
          </w:tcPr>
          <w:p w14:paraId="32D642CF"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p </w:t>
            </w:r>
          </w:p>
        </w:tc>
        <w:tc>
          <w:tcPr>
            <w:tcW w:w="0" w:type="auto"/>
            <w:gridSpan w:val="2"/>
            <w:tcBorders>
              <w:top w:val="nil"/>
              <w:left w:val="nil"/>
              <w:bottom w:val="single" w:sz="6" w:space="0" w:color="000000"/>
              <w:right w:val="nil"/>
            </w:tcBorders>
            <w:vAlign w:val="center"/>
            <w:hideMark/>
          </w:tcPr>
          <w:p w14:paraId="60CDBC0A"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Mean Difference </w:t>
            </w:r>
          </w:p>
        </w:tc>
        <w:tc>
          <w:tcPr>
            <w:tcW w:w="0" w:type="auto"/>
            <w:gridSpan w:val="2"/>
            <w:tcBorders>
              <w:top w:val="nil"/>
              <w:left w:val="nil"/>
              <w:bottom w:val="single" w:sz="6" w:space="0" w:color="000000"/>
              <w:right w:val="nil"/>
            </w:tcBorders>
            <w:vAlign w:val="center"/>
            <w:hideMark/>
          </w:tcPr>
          <w:p w14:paraId="4FB3B85A" w14:textId="77777777" w:rsidR="00013E71" w:rsidRPr="00961F2C" w:rsidRDefault="00013E71" w:rsidP="00E25ECA">
            <w:pPr>
              <w:spacing w:after="0" w:line="240" w:lineRule="auto"/>
              <w:jc w:val="center"/>
              <w:rPr>
                <w:rFonts w:ascii="Times New Roman" w:eastAsia="Times New Roman" w:hAnsi="Times New Roman" w:cs="Times New Roman"/>
                <w:b/>
                <w:bCs/>
                <w:sz w:val="24"/>
                <w:szCs w:val="24"/>
              </w:rPr>
            </w:pPr>
            <w:r w:rsidRPr="00961F2C">
              <w:rPr>
                <w:rFonts w:ascii="Times New Roman" w:eastAsia="Times New Roman" w:hAnsi="Times New Roman" w:cs="Times New Roman"/>
                <w:b/>
                <w:bCs/>
                <w:sz w:val="24"/>
                <w:szCs w:val="24"/>
              </w:rPr>
              <w:t xml:space="preserve">  SE Difference </w:t>
            </w:r>
          </w:p>
        </w:tc>
      </w:tr>
      <w:tr w:rsidR="00013E71" w:rsidRPr="00961F2C" w14:paraId="359A5650" w14:textId="77777777" w:rsidTr="004B0104">
        <w:trPr>
          <w:trHeight w:val="453"/>
        </w:trPr>
        <w:tc>
          <w:tcPr>
            <w:tcW w:w="0" w:type="auto"/>
            <w:tcBorders>
              <w:top w:val="nil"/>
              <w:left w:val="nil"/>
              <w:bottom w:val="nil"/>
              <w:right w:val="nil"/>
            </w:tcBorders>
            <w:vAlign w:val="center"/>
            <w:hideMark/>
          </w:tcPr>
          <w:p w14:paraId="6AA30A53" w14:textId="77777777" w:rsidR="00013E71" w:rsidRPr="00961F2C" w:rsidRDefault="00013E71" w:rsidP="00E25ECA">
            <w:pPr>
              <w:spacing w:after="0" w:line="240" w:lineRule="auto"/>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POSTTEST </w:t>
            </w:r>
          </w:p>
        </w:tc>
        <w:tc>
          <w:tcPr>
            <w:tcW w:w="0" w:type="auto"/>
            <w:tcBorders>
              <w:top w:val="nil"/>
              <w:left w:val="nil"/>
              <w:bottom w:val="nil"/>
              <w:right w:val="nil"/>
            </w:tcBorders>
            <w:vAlign w:val="center"/>
            <w:hideMark/>
          </w:tcPr>
          <w:p w14:paraId="0BCFF210" w14:textId="77777777" w:rsidR="00013E71" w:rsidRPr="00961F2C" w:rsidRDefault="00013E71" w:rsidP="00E25ECA">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3861678"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hideMark/>
          </w:tcPr>
          <w:p w14:paraId="0A18DE73"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771AA7FB" w14:textId="77777777" w:rsidR="00013E71" w:rsidRPr="00961F2C" w:rsidRDefault="00013E71" w:rsidP="00E25ECA">
            <w:pPr>
              <w:spacing w:after="0" w:line="240" w:lineRule="auto"/>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PRETEST </w:t>
            </w:r>
          </w:p>
        </w:tc>
        <w:tc>
          <w:tcPr>
            <w:tcW w:w="0" w:type="auto"/>
            <w:tcBorders>
              <w:top w:val="nil"/>
              <w:left w:val="nil"/>
              <w:bottom w:val="nil"/>
              <w:right w:val="nil"/>
            </w:tcBorders>
            <w:vAlign w:val="center"/>
            <w:hideMark/>
          </w:tcPr>
          <w:p w14:paraId="54AB4FF4" w14:textId="77777777" w:rsidR="00013E71" w:rsidRPr="00961F2C" w:rsidRDefault="00013E71" w:rsidP="00E25ECA">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4B272293" w14:textId="77777777" w:rsidR="00013E71" w:rsidRPr="00961F2C" w:rsidRDefault="00013E71" w:rsidP="00E25ECA">
            <w:pPr>
              <w:spacing w:after="0" w:line="240" w:lineRule="auto"/>
              <w:ind w:right="-255"/>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6.055 </w:t>
            </w:r>
          </w:p>
        </w:tc>
        <w:tc>
          <w:tcPr>
            <w:tcW w:w="0" w:type="auto"/>
            <w:tcBorders>
              <w:top w:val="nil"/>
              <w:left w:val="nil"/>
              <w:bottom w:val="nil"/>
              <w:right w:val="nil"/>
            </w:tcBorders>
            <w:vAlign w:val="center"/>
            <w:hideMark/>
          </w:tcPr>
          <w:p w14:paraId="37664090"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8C7A203" w14:textId="77777777" w:rsidR="00013E71" w:rsidRPr="00961F2C" w:rsidRDefault="00013E71" w:rsidP="00E25ECA">
            <w:pPr>
              <w:spacing w:after="0" w:line="240" w:lineRule="auto"/>
              <w:jc w:val="center"/>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29 </w:t>
            </w:r>
          </w:p>
        </w:tc>
        <w:tc>
          <w:tcPr>
            <w:tcW w:w="0" w:type="auto"/>
            <w:tcBorders>
              <w:top w:val="nil"/>
              <w:left w:val="nil"/>
              <w:bottom w:val="nil"/>
              <w:right w:val="nil"/>
            </w:tcBorders>
            <w:vAlign w:val="center"/>
            <w:hideMark/>
          </w:tcPr>
          <w:p w14:paraId="4D9F34CA"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6FB91234" w14:textId="77777777" w:rsidR="00013E71" w:rsidRPr="00961F2C" w:rsidRDefault="00013E71" w:rsidP="00E25ECA">
            <w:pPr>
              <w:spacing w:after="0" w:line="240" w:lineRule="auto"/>
              <w:jc w:val="center"/>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&lt; .001 </w:t>
            </w:r>
          </w:p>
        </w:tc>
        <w:tc>
          <w:tcPr>
            <w:tcW w:w="0" w:type="auto"/>
            <w:tcBorders>
              <w:top w:val="nil"/>
              <w:left w:val="nil"/>
              <w:bottom w:val="nil"/>
              <w:right w:val="nil"/>
            </w:tcBorders>
            <w:vAlign w:val="center"/>
            <w:hideMark/>
          </w:tcPr>
          <w:p w14:paraId="29FC5984"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5102E3E9" w14:textId="77777777" w:rsidR="00013E71" w:rsidRPr="00961F2C" w:rsidRDefault="00013E71" w:rsidP="00E25ECA">
            <w:pPr>
              <w:spacing w:after="0" w:line="240" w:lineRule="auto"/>
              <w:jc w:val="center"/>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8.27 </w:t>
            </w:r>
          </w:p>
        </w:tc>
        <w:tc>
          <w:tcPr>
            <w:tcW w:w="0" w:type="auto"/>
            <w:tcBorders>
              <w:top w:val="nil"/>
              <w:left w:val="nil"/>
              <w:bottom w:val="nil"/>
              <w:right w:val="nil"/>
            </w:tcBorders>
            <w:vAlign w:val="center"/>
            <w:hideMark/>
          </w:tcPr>
          <w:p w14:paraId="76EE3C01"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vAlign w:val="center"/>
            <w:hideMark/>
          </w:tcPr>
          <w:p w14:paraId="2C80F4D1" w14:textId="77777777" w:rsidR="00013E71" w:rsidRPr="00961F2C" w:rsidRDefault="00013E71" w:rsidP="00E25ECA">
            <w:pPr>
              <w:spacing w:after="0" w:line="240" w:lineRule="auto"/>
              <w:jc w:val="center"/>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1.365</w:t>
            </w:r>
          </w:p>
        </w:tc>
        <w:tc>
          <w:tcPr>
            <w:tcW w:w="0" w:type="auto"/>
            <w:tcBorders>
              <w:top w:val="nil"/>
              <w:left w:val="nil"/>
              <w:bottom w:val="nil"/>
              <w:right w:val="nil"/>
            </w:tcBorders>
            <w:vAlign w:val="center"/>
            <w:hideMark/>
          </w:tcPr>
          <w:p w14:paraId="6A3CB28A" w14:textId="77777777" w:rsidR="00013E71" w:rsidRPr="00961F2C" w:rsidRDefault="00013E71" w:rsidP="00E25ECA">
            <w:pPr>
              <w:spacing w:after="0" w:line="240" w:lineRule="auto"/>
              <w:jc w:val="right"/>
              <w:rPr>
                <w:rFonts w:ascii="Times New Roman" w:eastAsia="Times New Roman" w:hAnsi="Times New Roman" w:cs="Times New Roman"/>
                <w:sz w:val="24"/>
                <w:szCs w:val="24"/>
              </w:rPr>
            </w:pPr>
          </w:p>
        </w:tc>
      </w:tr>
      <w:tr w:rsidR="00013E71" w:rsidRPr="00961F2C" w14:paraId="53F83B59" w14:textId="77777777" w:rsidTr="004B0104">
        <w:tc>
          <w:tcPr>
            <w:tcW w:w="0" w:type="auto"/>
            <w:gridSpan w:val="16"/>
            <w:tcBorders>
              <w:top w:val="nil"/>
              <w:left w:val="nil"/>
              <w:bottom w:val="single" w:sz="12" w:space="0" w:color="000000"/>
              <w:right w:val="nil"/>
            </w:tcBorders>
            <w:vAlign w:val="center"/>
            <w:hideMark/>
          </w:tcPr>
          <w:p w14:paraId="7CEE1067" w14:textId="77777777" w:rsidR="00013E71" w:rsidRPr="00961F2C" w:rsidRDefault="00013E71" w:rsidP="00E25ECA">
            <w:pPr>
              <w:spacing w:after="0" w:line="240" w:lineRule="auto"/>
              <w:rPr>
                <w:rFonts w:ascii="Times New Roman" w:eastAsia="Times New Roman" w:hAnsi="Times New Roman" w:cs="Times New Roman"/>
                <w:sz w:val="24"/>
                <w:szCs w:val="24"/>
              </w:rPr>
            </w:pPr>
          </w:p>
        </w:tc>
      </w:tr>
      <w:tr w:rsidR="00013E71" w:rsidRPr="00961F2C" w14:paraId="0FB00FB1" w14:textId="77777777" w:rsidTr="004B0104">
        <w:tc>
          <w:tcPr>
            <w:tcW w:w="0" w:type="auto"/>
            <w:gridSpan w:val="16"/>
            <w:tcBorders>
              <w:top w:val="nil"/>
              <w:left w:val="nil"/>
              <w:bottom w:val="nil"/>
              <w:right w:val="nil"/>
            </w:tcBorders>
            <w:vAlign w:val="center"/>
            <w:hideMark/>
          </w:tcPr>
          <w:p w14:paraId="7509AFF4" w14:textId="77777777" w:rsidR="00013E71" w:rsidRPr="00961F2C" w:rsidRDefault="00013E71" w:rsidP="00E25ECA">
            <w:pPr>
              <w:spacing w:after="0" w:line="240" w:lineRule="auto"/>
              <w:rPr>
                <w:rFonts w:ascii="Times New Roman" w:eastAsia="Times New Roman" w:hAnsi="Times New Roman" w:cs="Times New Roman"/>
                <w:sz w:val="24"/>
                <w:szCs w:val="24"/>
              </w:rPr>
            </w:pPr>
            <w:r w:rsidRPr="00961F2C">
              <w:rPr>
                <w:rFonts w:ascii="Times New Roman" w:eastAsia="Times New Roman" w:hAnsi="Times New Roman" w:cs="Times New Roman"/>
                <w:sz w:val="24"/>
                <w:szCs w:val="24"/>
              </w:rPr>
              <w:t xml:space="preserve"> </w:t>
            </w:r>
          </w:p>
        </w:tc>
      </w:tr>
      <w:tr w:rsidR="009802DC" w:rsidRPr="00961F2C" w14:paraId="1E06E78A" w14:textId="77777777" w:rsidTr="004B0104">
        <w:tc>
          <w:tcPr>
            <w:tcW w:w="0" w:type="auto"/>
            <w:gridSpan w:val="16"/>
            <w:tcBorders>
              <w:top w:val="nil"/>
              <w:left w:val="nil"/>
              <w:bottom w:val="nil"/>
              <w:right w:val="nil"/>
            </w:tcBorders>
            <w:vAlign w:val="center"/>
          </w:tcPr>
          <w:p w14:paraId="779158C1" w14:textId="77777777" w:rsidR="009802DC" w:rsidRPr="00961F2C" w:rsidRDefault="009802DC" w:rsidP="00E25ECA">
            <w:pPr>
              <w:spacing w:after="0" w:line="240" w:lineRule="auto"/>
              <w:rPr>
                <w:rFonts w:ascii="Times New Roman" w:eastAsia="Times New Roman" w:hAnsi="Times New Roman" w:cs="Times New Roman"/>
                <w:sz w:val="24"/>
                <w:szCs w:val="24"/>
              </w:rPr>
            </w:pPr>
          </w:p>
        </w:tc>
      </w:tr>
      <w:tr w:rsidR="009802DC" w:rsidRPr="00961F2C" w14:paraId="77D03D66" w14:textId="77777777" w:rsidTr="004B0104">
        <w:tc>
          <w:tcPr>
            <w:tcW w:w="0" w:type="auto"/>
            <w:gridSpan w:val="16"/>
            <w:tcBorders>
              <w:top w:val="nil"/>
              <w:left w:val="nil"/>
              <w:bottom w:val="nil"/>
              <w:right w:val="nil"/>
            </w:tcBorders>
            <w:vAlign w:val="center"/>
          </w:tcPr>
          <w:p w14:paraId="1BBE8A66" w14:textId="77777777" w:rsidR="009802DC" w:rsidRPr="00961F2C" w:rsidRDefault="009802DC" w:rsidP="00E25ECA">
            <w:pPr>
              <w:spacing w:after="0" w:line="240" w:lineRule="auto"/>
              <w:rPr>
                <w:rFonts w:ascii="Times New Roman" w:eastAsia="Times New Roman" w:hAnsi="Times New Roman" w:cs="Times New Roman"/>
                <w:sz w:val="24"/>
                <w:szCs w:val="24"/>
              </w:rPr>
            </w:pPr>
          </w:p>
        </w:tc>
      </w:tr>
    </w:tbl>
    <w:p w14:paraId="7056AA14" w14:textId="04887DE4" w:rsidR="00013E71" w:rsidRPr="00961F2C" w:rsidRDefault="009802DC" w:rsidP="00882C04">
      <w:pPr>
        <w:spacing w:line="240" w:lineRule="auto"/>
        <w:ind w:firstLine="720"/>
        <w:jc w:val="both"/>
        <w:rPr>
          <w:rFonts w:ascii="Times New Roman" w:hAnsi="Times New Roman" w:cs="Times New Roman"/>
          <w:sz w:val="24"/>
          <w:szCs w:val="24"/>
          <w:lang w:val="en-US"/>
        </w:rPr>
      </w:pPr>
      <w:bookmarkStart w:id="9" w:name="_Hlk202433855"/>
      <w:r w:rsidRPr="00961F2C">
        <w:rPr>
          <w:rFonts w:ascii="Times New Roman" w:hAnsi="Times New Roman" w:cs="Times New Roman"/>
          <w:sz w:val="24"/>
          <w:szCs w:val="24"/>
          <w:lang w:val="en-US"/>
        </w:rPr>
        <w:t>The t</w:t>
      </w:r>
      <w:r w:rsidR="00013E71" w:rsidRPr="00961F2C">
        <w:rPr>
          <w:rFonts w:ascii="Times New Roman" w:hAnsi="Times New Roman" w:cs="Times New Roman"/>
          <w:sz w:val="24"/>
          <w:szCs w:val="24"/>
          <w:lang w:val="en-US"/>
        </w:rPr>
        <w:t>able presents the results of the paired samples t-test conducted to determine if there was a statistically significant difference in students' problem-solving skills between the pre-test and post-test phases. The t-test yielded a t-value of 6.055 with 29 degrees of freedom and a p-value of less than .001. This indicates a highly significant difference in scores between the two tests, surpassing the conventional threshold of significance (p &lt; .05). The mean difference between the pre-test and post-test scores was 8.27, with a standard error of 1.365, further highlighting the effectiveness of the implemented intervention or teaching methodology.</w:t>
      </w:r>
    </w:p>
    <w:bookmarkEnd w:id="9"/>
    <w:p w14:paraId="51033C35" w14:textId="77777777" w:rsidR="00013E71" w:rsidRPr="00961F2C" w:rsidRDefault="00013E71" w:rsidP="00E25ECA">
      <w:pPr>
        <w:spacing w:after="0" w:line="240" w:lineRule="auto"/>
        <w:rPr>
          <w:rFonts w:ascii="Times New Roman" w:hAnsi="Times New Roman" w:cs="Times New Roman"/>
          <w:bCs/>
          <w:sz w:val="24"/>
          <w:szCs w:val="24"/>
        </w:rPr>
      </w:pPr>
    </w:p>
    <w:p w14:paraId="04298BEF" w14:textId="773B642F" w:rsidR="00013E71" w:rsidRPr="00961F2C" w:rsidRDefault="00013E71" w:rsidP="00E25ECA">
      <w:pPr>
        <w:spacing w:after="0" w:line="240" w:lineRule="auto"/>
        <w:rPr>
          <w:rFonts w:ascii="Times New Roman" w:hAnsi="Times New Roman" w:cs="Times New Roman"/>
          <w:b/>
          <w:sz w:val="24"/>
          <w:szCs w:val="24"/>
        </w:rPr>
      </w:pPr>
      <w:r w:rsidRPr="00961F2C">
        <w:rPr>
          <w:rFonts w:ascii="Times New Roman" w:hAnsi="Times New Roman" w:cs="Times New Roman"/>
          <w:b/>
          <w:sz w:val="24"/>
          <w:szCs w:val="24"/>
        </w:rPr>
        <w:t>Level of  interest among BSED Students</w:t>
      </w:r>
    </w:p>
    <w:p w14:paraId="7D7138CC" w14:textId="28BC248E" w:rsidR="009802DC" w:rsidRPr="00961F2C" w:rsidRDefault="009802DC" w:rsidP="00E25ECA">
      <w:pPr>
        <w:spacing w:after="0" w:line="240" w:lineRule="auto"/>
        <w:jc w:val="center"/>
        <w:rPr>
          <w:rFonts w:ascii="Times New Roman" w:hAnsi="Times New Roman" w:cs="Times New Roman"/>
          <w:b/>
          <w:sz w:val="24"/>
          <w:szCs w:val="24"/>
        </w:rPr>
      </w:pPr>
      <w:r w:rsidRPr="00961F2C">
        <w:rPr>
          <w:rFonts w:ascii="Times New Roman" w:hAnsi="Times New Roman" w:cs="Times New Roman"/>
          <w:b/>
          <w:sz w:val="24"/>
          <w:szCs w:val="24"/>
        </w:rPr>
        <w:t>Table 5</w:t>
      </w:r>
    </w:p>
    <w:p w14:paraId="45454D50" w14:textId="4613ADEB" w:rsidR="009802DC" w:rsidRPr="00961F2C" w:rsidRDefault="009802DC" w:rsidP="00E25ECA">
      <w:pPr>
        <w:spacing w:after="0" w:line="240" w:lineRule="auto"/>
        <w:jc w:val="center"/>
        <w:rPr>
          <w:rFonts w:ascii="Times New Roman" w:hAnsi="Times New Roman" w:cs="Times New Roman"/>
          <w:b/>
          <w:sz w:val="24"/>
          <w:szCs w:val="24"/>
        </w:rPr>
      </w:pPr>
      <w:r w:rsidRPr="00961F2C">
        <w:rPr>
          <w:rFonts w:ascii="Times New Roman" w:hAnsi="Times New Roman" w:cs="Times New Roman"/>
          <w:b/>
          <w:sz w:val="24"/>
          <w:szCs w:val="24"/>
        </w:rPr>
        <w:t xml:space="preserve">Interest </w:t>
      </w:r>
    </w:p>
    <w:p w14:paraId="48E9F8A9" w14:textId="77777777" w:rsidR="00013E71" w:rsidRPr="00961F2C" w:rsidRDefault="00013E71" w:rsidP="00E25ECA">
      <w:pPr>
        <w:spacing w:after="0" w:line="240" w:lineRule="auto"/>
        <w:rPr>
          <w:rFonts w:ascii="Times New Roman" w:hAnsi="Times New Roman" w:cs="Times New Roman"/>
          <w:b/>
          <w:sz w:val="24"/>
          <w:szCs w:val="24"/>
        </w:rPr>
      </w:pPr>
    </w:p>
    <w:p w14:paraId="52F54502" w14:textId="77777777" w:rsidR="00013E71" w:rsidRPr="00961F2C" w:rsidRDefault="00013E71" w:rsidP="00E25ECA">
      <w:pPr>
        <w:spacing w:after="0" w:line="240" w:lineRule="auto"/>
        <w:rPr>
          <w:rFonts w:ascii="Times New Roman" w:hAnsi="Times New Roman" w:cs="Times New Roman"/>
          <w:b/>
          <w:sz w:val="24"/>
          <w:szCs w:val="24"/>
        </w:rPr>
      </w:pPr>
    </w:p>
    <w:tbl>
      <w:tblPr>
        <w:tblStyle w:val="TableGrid"/>
        <w:tblW w:w="9360" w:type="dxa"/>
        <w:tblInd w:w="-5" w:type="dxa"/>
        <w:tblLayout w:type="fixed"/>
        <w:tblLook w:val="04A0" w:firstRow="1" w:lastRow="0" w:firstColumn="1" w:lastColumn="0" w:noHBand="0" w:noVBand="1"/>
      </w:tblPr>
      <w:tblGrid>
        <w:gridCol w:w="1800"/>
        <w:gridCol w:w="1260"/>
        <w:gridCol w:w="1080"/>
        <w:gridCol w:w="1980"/>
        <w:gridCol w:w="3240"/>
      </w:tblGrid>
      <w:tr w:rsidR="00013E71" w:rsidRPr="00961F2C" w14:paraId="64F54AA4" w14:textId="77777777" w:rsidTr="004B0104">
        <w:tc>
          <w:tcPr>
            <w:tcW w:w="1800" w:type="dxa"/>
          </w:tcPr>
          <w:p w14:paraId="266540DC" w14:textId="77777777" w:rsidR="00013E71" w:rsidRPr="00961F2C" w:rsidRDefault="00013E71" w:rsidP="00E25ECA">
            <w:pPr>
              <w:rPr>
                <w:bCs/>
                <w:i/>
                <w:iCs/>
                <w:sz w:val="24"/>
                <w:szCs w:val="24"/>
              </w:rPr>
            </w:pPr>
            <w:r w:rsidRPr="00961F2C">
              <w:rPr>
                <w:bCs/>
                <w:i/>
                <w:iCs/>
                <w:sz w:val="24"/>
                <w:szCs w:val="24"/>
              </w:rPr>
              <w:t>Variables</w:t>
            </w:r>
          </w:p>
        </w:tc>
        <w:tc>
          <w:tcPr>
            <w:tcW w:w="1260" w:type="dxa"/>
          </w:tcPr>
          <w:p w14:paraId="1575F750" w14:textId="77777777" w:rsidR="00013E71" w:rsidRPr="00961F2C" w:rsidRDefault="00013E71" w:rsidP="00E25ECA">
            <w:pPr>
              <w:jc w:val="both"/>
              <w:rPr>
                <w:bCs/>
                <w:i/>
                <w:iCs/>
                <w:sz w:val="24"/>
                <w:szCs w:val="24"/>
              </w:rPr>
            </w:pPr>
            <w:r w:rsidRPr="00961F2C">
              <w:rPr>
                <w:bCs/>
                <w:i/>
                <w:iCs/>
                <w:sz w:val="24"/>
                <w:szCs w:val="24"/>
              </w:rPr>
              <w:t>Over-all Mean</w:t>
            </w:r>
          </w:p>
        </w:tc>
        <w:tc>
          <w:tcPr>
            <w:tcW w:w="1080" w:type="dxa"/>
          </w:tcPr>
          <w:p w14:paraId="699D8529" w14:textId="77777777" w:rsidR="00013E71" w:rsidRPr="00961F2C" w:rsidRDefault="00013E71" w:rsidP="00E25ECA">
            <w:pPr>
              <w:jc w:val="both"/>
              <w:rPr>
                <w:bCs/>
                <w:i/>
                <w:iCs/>
                <w:sz w:val="24"/>
                <w:szCs w:val="24"/>
              </w:rPr>
            </w:pPr>
            <w:r w:rsidRPr="00961F2C">
              <w:rPr>
                <w:bCs/>
                <w:i/>
                <w:iCs/>
                <w:sz w:val="24"/>
                <w:szCs w:val="24"/>
              </w:rPr>
              <w:t>Std. Dev.</w:t>
            </w:r>
          </w:p>
        </w:tc>
        <w:tc>
          <w:tcPr>
            <w:tcW w:w="1980" w:type="dxa"/>
          </w:tcPr>
          <w:p w14:paraId="5B0A7293" w14:textId="77777777" w:rsidR="00013E71" w:rsidRPr="00961F2C" w:rsidRDefault="00013E71" w:rsidP="00E25ECA">
            <w:pPr>
              <w:jc w:val="both"/>
              <w:rPr>
                <w:bCs/>
                <w:i/>
                <w:iCs/>
                <w:sz w:val="24"/>
                <w:szCs w:val="24"/>
              </w:rPr>
            </w:pPr>
            <w:r w:rsidRPr="00961F2C">
              <w:rPr>
                <w:bCs/>
                <w:i/>
                <w:iCs/>
                <w:sz w:val="24"/>
                <w:szCs w:val="24"/>
              </w:rPr>
              <w:t>Descriptive Equivalent</w:t>
            </w:r>
          </w:p>
        </w:tc>
        <w:tc>
          <w:tcPr>
            <w:tcW w:w="3240" w:type="dxa"/>
          </w:tcPr>
          <w:p w14:paraId="3ADA54D5" w14:textId="77777777" w:rsidR="00013E71" w:rsidRPr="00961F2C" w:rsidRDefault="00013E71" w:rsidP="00E25ECA">
            <w:pPr>
              <w:jc w:val="both"/>
              <w:rPr>
                <w:bCs/>
                <w:i/>
                <w:iCs/>
                <w:sz w:val="24"/>
                <w:szCs w:val="24"/>
              </w:rPr>
            </w:pPr>
            <w:r w:rsidRPr="00961F2C">
              <w:rPr>
                <w:bCs/>
                <w:i/>
                <w:iCs/>
                <w:sz w:val="24"/>
                <w:szCs w:val="24"/>
              </w:rPr>
              <w:t>Interpretation</w:t>
            </w:r>
          </w:p>
        </w:tc>
      </w:tr>
      <w:tr w:rsidR="00013E71" w:rsidRPr="00961F2C" w14:paraId="1FE6F1A7" w14:textId="77777777" w:rsidTr="004B0104">
        <w:trPr>
          <w:trHeight w:val="575"/>
        </w:trPr>
        <w:tc>
          <w:tcPr>
            <w:tcW w:w="1800" w:type="dxa"/>
          </w:tcPr>
          <w:p w14:paraId="313D588F" w14:textId="77777777" w:rsidR="00013E71" w:rsidRPr="00961F2C" w:rsidRDefault="00013E71" w:rsidP="00E25ECA">
            <w:pPr>
              <w:rPr>
                <w:bCs/>
                <w:sz w:val="24"/>
                <w:szCs w:val="24"/>
              </w:rPr>
            </w:pPr>
            <w:r w:rsidRPr="00961F2C">
              <w:rPr>
                <w:bCs/>
                <w:sz w:val="24"/>
                <w:szCs w:val="24"/>
              </w:rPr>
              <w:t>Enjoyment</w:t>
            </w:r>
          </w:p>
        </w:tc>
        <w:tc>
          <w:tcPr>
            <w:tcW w:w="1260" w:type="dxa"/>
          </w:tcPr>
          <w:p w14:paraId="197B3DC5" w14:textId="77777777" w:rsidR="00013E71" w:rsidRPr="00961F2C" w:rsidRDefault="00013E71" w:rsidP="00E25ECA">
            <w:pPr>
              <w:jc w:val="center"/>
              <w:rPr>
                <w:bCs/>
                <w:sz w:val="24"/>
                <w:szCs w:val="24"/>
              </w:rPr>
            </w:pPr>
            <w:r w:rsidRPr="00961F2C">
              <w:rPr>
                <w:bCs/>
                <w:sz w:val="24"/>
                <w:szCs w:val="24"/>
              </w:rPr>
              <w:t>3.234</w:t>
            </w:r>
          </w:p>
        </w:tc>
        <w:tc>
          <w:tcPr>
            <w:tcW w:w="1080" w:type="dxa"/>
          </w:tcPr>
          <w:p w14:paraId="27FD5D8C" w14:textId="77777777" w:rsidR="00013E71" w:rsidRPr="00961F2C" w:rsidRDefault="00013E71" w:rsidP="00E25ECA">
            <w:pPr>
              <w:jc w:val="center"/>
              <w:rPr>
                <w:bCs/>
                <w:sz w:val="24"/>
                <w:szCs w:val="24"/>
              </w:rPr>
            </w:pPr>
            <w:r w:rsidRPr="00961F2C">
              <w:rPr>
                <w:bCs/>
                <w:sz w:val="24"/>
                <w:szCs w:val="24"/>
              </w:rPr>
              <w:t>.699</w:t>
            </w:r>
          </w:p>
        </w:tc>
        <w:tc>
          <w:tcPr>
            <w:tcW w:w="1980" w:type="dxa"/>
          </w:tcPr>
          <w:p w14:paraId="3DFA996E" w14:textId="77777777" w:rsidR="00013E71" w:rsidRPr="00961F2C" w:rsidRDefault="00013E71" w:rsidP="00E25ECA">
            <w:pPr>
              <w:jc w:val="center"/>
              <w:rPr>
                <w:bCs/>
                <w:sz w:val="24"/>
                <w:szCs w:val="24"/>
              </w:rPr>
            </w:pPr>
            <w:r w:rsidRPr="00961F2C">
              <w:rPr>
                <w:bCs/>
                <w:sz w:val="24"/>
                <w:szCs w:val="24"/>
              </w:rPr>
              <w:t>Moderate High</w:t>
            </w:r>
          </w:p>
        </w:tc>
        <w:tc>
          <w:tcPr>
            <w:tcW w:w="3240" w:type="dxa"/>
          </w:tcPr>
          <w:p w14:paraId="51DCD512" w14:textId="77777777" w:rsidR="00013E71" w:rsidRPr="00961F2C" w:rsidRDefault="00013E71" w:rsidP="00E25ECA">
            <w:pPr>
              <w:rPr>
                <w:bCs/>
                <w:sz w:val="24"/>
                <w:szCs w:val="24"/>
              </w:rPr>
            </w:pPr>
            <w:r w:rsidRPr="00961F2C">
              <w:rPr>
                <w:bCs/>
                <w:sz w:val="24"/>
                <w:szCs w:val="24"/>
              </w:rPr>
              <w:t xml:space="preserve">Moderate high level of enjoyment towards </w:t>
            </w:r>
            <w:r w:rsidRPr="00961F2C">
              <w:rPr>
                <w:bCs/>
                <w:sz w:val="24"/>
                <w:szCs w:val="24"/>
              </w:rPr>
              <w:lastRenderedPageBreak/>
              <w:t>mathematics among the students.</w:t>
            </w:r>
          </w:p>
        </w:tc>
      </w:tr>
      <w:tr w:rsidR="00013E71" w:rsidRPr="00961F2C" w14:paraId="6621D9D1" w14:textId="77777777" w:rsidTr="004B0104">
        <w:trPr>
          <w:trHeight w:val="710"/>
        </w:trPr>
        <w:tc>
          <w:tcPr>
            <w:tcW w:w="1800" w:type="dxa"/>
          </w:tcPr>
          <w:p w14:paraId="79D14C89" w14:textId="77777777" w:rsidR="00013E71" w:rsidRPr="00961F2C" w:rsidRDefault="00013E71" w:rsidP="00E25ECA">
            <w:pPr>
              <w:rPr>
                <w:bCs/>
                <w:sz w:val="24"/>
                <w:szCs w:val="24"/>
              </w:rPr>
            </w:pPr>
            <w:r w:rsidRPr="00961F2C">
              <w:rPr>
                <w:bCs/>
                <w:sz w:val="24"/>
                <w:szCs w:val="24"/>
              </w:rPr>
              <w:lastRenderedPageBreak/>
              <w:t>Negative Emotions (Fear, Anxiety and Distress)</w:t>
            </w:r>
          </w:p>
        </w:tc>
        <w:tc>
          <w:tcPr>
            <w:tcW w:w="1260" w:type="dxa"/>
          </w:tcPr>
          <w:p w14:paraId="6D721ECD" w14:textId="77777777" w:rsidR="00013E71" w:rsidRPr="00961F2C" w:rsidRDefault="00013E71" w:rsidP="00E25ECA">
            <w:pPr>
              <w:jc w:val="center"/>
              <w:rPr>
                <w:bCs/>
                <w:sz w:val="24"/>
                <w:szCs w:val="24"/>
              </w:rPr>
            </w:pPr>
            <w:r w:rsidRPr="00961F2C">
              <w:rPr>
                <w:bCs/>
                <w:sz w:val="24"/>
                <w:szCs w:val="24"/>
              </w:rPr>
              <w:t>2.061</w:t>
            </w:r>
          </w:p>
        </w:tc>
        <w:tc>
          <w:tcPr>
            <w:tcW w:w="1080" w:type="dxa"/>
          </w:tcPr>
          <w:p w14:paraId="4E148234" w14:textId="77777777" w:rsidR="00013E71" w:rsidRPr="00961F2C" w:rsidRDefault="00013E71" w:rsidP="00E25ECA">
            <w:pPr>
              <w:jc w:val="center"/>
              <w:rPr>
                <w:bCs/>
                <w:sz w:val="24"/>
                <w:szCs w:val="24"/>
              </w:rPr>
            </w:pPr>
            <w:r w:rsidRPr="00961F2C">
              <w:rPr>
                <w:bCs/>
                <w:sz w:val="24"/>
                <w:szCs w:val="24"/>
              </w:rPr>
              <w:t>.718</w:t>
            </w:r>
          </w:p>
        </w:tc>
        <w:tc>
          <w:tcPr>
            <w:tcW w:w="1980" w:type="dxa"/>
          </w:tcPr>
          <w:p w14:paraId="03D3D5BE" w14:textId="77777777" w:rsidR="00013E71" w:rsidRPr="00961F2C" w:rsidRDefault="00013E71" w:rsidP="00E25ECA">
            <w:pPr>
              <w:jc w:val="center"/>
              <w:rPr>
                <w:bCs/>
                <w:sz w:val="24"/>
                <w:szCs w:val="24"/>
              </w:rPr>
            </w:pPr>
            <w:r w:rsidRPr="00961F2C">
              <w:rPr>
                <w:bCs/>
                <w:sz w:val="24"/>
                <w:szCs w:val="24"/>
              </w:rPr>
              <w:t>Moderate Low</w:t>
            </w:r>
          </w:p>
        </w:tc>
        <w:tc>
          <w:tcPr>
            <w:tcW w:w="3240" w:type="dxa"/>
          </w:tcPr>
          <w:p w14:paraId="70BB8D1F" w14:textId="77777777" w:rsidR="00013E71" w:rsidRPr="00961F2C" w:rsidRDefault="00013E71" w:rsidP="00E25ECA">
            <w:pPr>
              <w:rPr>
                <w:bCs/>
                <w:sz w:val="24"/>
                <w:szCs w:val="24"/>
              </w:rPr>
            </w:pPr>
            <w:r w:rsidRPr="00961F2C">
              <w:rPr>
                <w:bCs/>
                <w:sz w:val="24"/>
                <w:szCs w:val="24"/>
              </w:rPr>
              <w:t>Moderate-low level of negative emotions associated with mathematics.</w:t>
            </w:r>
          </w:p>
        </w:tc>
      </w:tr>
      <w:tr w:rsidR="00013E71" w:rsidRPr="00961F2C" w14:paraId="0B152B33" w14:textId="77777777" w:rsidTr="004B0104">
        <w:tc>
          <w:tcPr>
            <w:tcW w:w="1800" w:type="dxa"/>
          </w:tcPr>
          <w:p w14:paraId="3BAE14FF" w14:textId="77777777" w:rsidR="00013E71" w:rsidRPr="00961F2C" w:rsidRDefault="00013E71" w:rsidP="00E25ECA">
            <w:pPr>
              <w:rPr>
                <w:bCs/>
                <w:sz w:val="24"/>
                <w:szCs w:val="24"/>
              </w:rPr>
            </w:pPr>
            <w:r w:rsidRPr="00961F2C">
              <w:rPr>
                <w:bCs/>
                <w:sz w:val="24"/>
                <w:szCs w:val="24"/>
              </w:rPr>
              <w:t>Usefulness of Mathematics in Daily Lives</w:t>
            </w:r>
          </w:p>
        </w:tc>
        <w:tc>
          <w:tcPr>
            <w:tcW w:w="1260" w:type="dxa"/>
          </w:tcPr>
          <w:p w14:paraId="20684DF6" w14:textId="77777777" w:rsidR="00013E71" w:rsidRPr="00961F2C" w:rsidRDefault="00013E71" w:rsidP="00E25ECA">
            <w:pPr>
              <w:jc w:val="center"/>
              <w:rPr>
                <w:bCs/>
                <w:sz w:val="24"/>
                <w:szCs w:val="24"/>
              </w:rPr>
            </w:pPr>
            <w:r w:rsidRPr="00961F2C">
              <w:rPr>
                <w:bCs/>
                <w:sz w:val="24"/>
                <w:szCs w:val="24"/>
              </w:rPr>
              <w:t>3.642</w:t>
            </w:r>
          </w:p>
        </w:tc>
        <w:tc>
          <w:tcPr>
            <w:tcW w:w="1080" w:type="dxa"/>
          </w:tcPr>
          <w:p w14:paraId="5C83893E" w14:textId="77777777" w:rsidR="00013E71" w:rsidRPr="00961F2C" w:rsidRDefault="00013E71" w:rsidP="00E25ECA">
            <w:pPr>
              <w:jc w:val="center"/>
              <w:rPr>
                <w:bCs/>
                <w:sz w:val="24"/>
                <w:szCs w:val="24"/>
              </w:rPr>
            </w:pPr>
            <w:r w:rsidRPr="00961F2C">
              <w:rPr>
                <w:bCs/>
                <w:sz w:val="24"/>
                <w:szCs w:val="24"/>
              </w:rPr>
              <w:t>.494</w:t>
            </w:r>
          </w:p>
        </w:tc>
        <w:tc>
          <w:tcPr>
            <w:tcW w:w="1980" w:type="dxa"/>
          </w:tcPr>
          <w:p w14:paraId="3D34F62D" w14:textId="77777777" w:rsidR="00013E71" w:rsidRPr="00961F2C" w:rsidRDefault="00013E71" w:rsidP="00E25ECA">
            <w:pPr>
              <w:jc w:val="center"/>
              <w:rPr>
                <w:bCs/>
                <w:sz w:val="24"/>
                <w:szCs w:val="24"/>
              </w:rPr>
            </w:pPr>
            <w:r w:rsidRPr="00961F2C">
              <w:rPr>
                <w:bCs/>
                <w:sz w:val="24"/>
                <w:szCs w:val="24"/>
              </w:rPr>
              <w:t>High</w:t>
            </w:r>
          </w:p>
        </w:tc>
        <w:tc>
          <w:tcPr>
            <w:tcW w:w="3240" w:type="dxa"/>
          </w:tcPr>
          <w:p w14:paraId="33D4F058" w14:textId="77777777" w:rsidR="00013E71" w:rsidRPr="00961F2C" w:rsidRDefault="00013E71" w:rsidP="00E25ECA">
            <w:pPr>
              <w:rPr>
                <w:bCs/>
                <w:sz w:val="24"/>
                <w:szCs w:val="24"/>
              </w:rPr>
            </w:pPr>
            <w:r w:rsidRPr="00961F2C">
              <w:rPr>
                <w:bCs/>
                <w:sz w:val="24"/>
                <w:szCs w:val="24"/>
              </w:rPr>
              <w:t>High perceived usefulness of mathematics in everyday situations.</w:t>
            </w:r>
          </w:p>
        </w:tc>
      </w:tr>
      <w:tr w:rsidR="00013E71" w:rsidRPr="00961F2C" w14:paraId="3B9A7F58" w14:textId="77777777" w:rsidTr="004B0104">
        <w:tc>
          <w:tcPr>
            <w:tcW w:w="1800" w:type="dxa"/>
          </w:tcPr>
          <w:p w14:paraId="46270517" w14:textId="77777777" w:rsidR="00013E71" w:rsidRPr="00961F2C" w:rsidRDefault="00013E71" w:rsidP="00E25ECA">
            <w:pPr>
              <w:rPr>
                <w:bCs/>
                <w:sz w:val="24"/>
                <w:szCs w:val="24"/>
              </w:rPr>
            </w:pPr>
            <w:r w:rsidRPr="00961F2C">
              <w:rPr>
                <w:bCs/>
                <w:sz w:val="24"/>
                <w:szCs w:val="24"/>
              </w:rPr>
              <w:t>Perceived Mathematics Achievement</w:t>
            </w:r>
          </w:p>
        </w:tc>
        <w:tc>
          <w:tcPr>
            <w:tcW w:w="1260" w:type="dxa"/>
          </w:tcPr>
          <w:p w14:paraId="61FB1AB8" w14:textId="77777777" w:rsidR="00013E71" w:rsidRPr="00961F2C" w:rsidRDefault="00013E71" w:rsidP="00E25ECA">
            <w:pPr>
              <w:jc w:val="center"/>
              <w:rPr>
                <w:bCs/>
                <w:sz w:val="24"/>
                <w:szCs w:val="24"/>
              </w:rPr>
            </w:pPr>
            <w:r w:rsidRPr="00961F2C">
              <w:rPr>
                <w:bCs/>
                <w:sz w:val="24"/>
                <w:szCs w:val="24"/>
              </w:rPr>
              <w:t>2.758</w:t>
            </w:r>
          </w:p>
        </w:tc>
        <w:tc>
          <w:tcPr>
            <w:tcW w:w="1080" w:type="dxa"/>
          </w:tcPr>
          <w:p w14:paraId="793CFD1A" w14:textId="77777777" w:rsidR="00013E71" w:rsidRPr="00961F2C" w:rsidRDefault="00013E71" w:rsidP="00E25ECA">
            <w:pPr>
              <w:jc w:val="center"/>
              <w:rPr>
                <w:bCs/>
                <w:sz w:val="24"/>
                <w:szCs w:val="24"/>
              </w:rPr>
            </w:pPr>
            <w:r w:rsidRPr="00961F2C">
              <w:rPr>
                <w:bCs/>
                <w:sz w:val="24"/>
                <w:szCs w:val="24"/>
              </w:rPr>
              <w:t>.547</w:t>
            </w:r>
          </w:p>
        </w:tc>
        <w:tc>
          <w:tcPr>
            <w:tcW w:w="1980" w:type="dxa"/>
          </w:tcPr>
          <w:p w14:paraId="33C6BCBE" w14:textId="77777777" w:rsidR="00013E71" w:rsidRPr="00961F2C" w:rsidRDefault="00013E71" w:rsidP="00E25ECA">
            <w:pPr>
              <w:jc w:val="center"/>
              <w:rPr>
                <w:bCs/>
                <w:sz w:val="24"/>
                <w:szCs w:val="24"/>
              </w:rPr>
            </w:pPr>
            <w:r w:rsidRPr="00961F2C">
              <w:rPr>
                <w:bCs/>
                <w:sz w:val="24"/>
                <w:szCs w:val="24"/>
              </w:rPr>
              <w:t>Moderate High</w:t>
            </w:r>
          </w:p>
        </w:tc>
        <w:tc>
          <w:tcPr>
            <w:tcW w:w="3240" w:type="dxa"/>
          </w:tcPr>
          <w:p w14:paraId="6A4386E2" w14:textId="77777777" w:rsidR="00013E71" w:rsidRPr="00961F2C" w:rsidRDefault="00013E71" w:rsidP="00E25ECA">
            <w:pPr>
              <w:rPr>
                <w:bCs/>
                <w:sz w:val="24"/>
                <w:szCs w:val="24"/>
              </w:rPr>
            </w:pPr>
            <w:r w:rsidRPr="00961F2C">
              <w:rPr>
                <w:bCs/>
                <w:sz w:val="24"/>
                <w:szCs w:val="24"/>
              </w:rPr>
              <w:t>Moderate high level of perceived competence in mathematics.</w:t>
            </w:r>
          </w:p>
        </w:tc>
      </w:tr>
    </w:tbl>
    <w:p w14:paraId="6A5EBD07" w14:textId="77777777" w:rsidR="00013E71" w:rsidRPr="00961F2C" w:rsidRDefault="00013E71" w:rsidP="00E25ECA">
      <w:pPr>
        <w:spacing w:after="0" w:line="240" w:lineRule="auto"/>
        <w:jc w:val="both"/>
        <w:rPr>
          <w:rFonts w:ascii="Times New Roman" w:hAnsi="Times New Roman" w:cs="Times New Roman"/>
          <w:sz w:val="24"/>
          <w:szCs w:val="24"/>
        </w:rPr>
      </w:pPr>
    </w:p>
    <w:p w14:paraId="488BDF77" w14:textId="77777777" w:rsidR="007F7BD4" w:rsidRPr="00961F2C" w:rsidRDefault="007F7BD4" w:rsidP="00E25ECA">
      <w:pPr>
        <w:pStyle w:val="NoSpacing"/>
        <w:ind w:firstLine="720"/>
        <w:jc w:val="both"/>
        <w:rPr>
          <w:rFonts w:ascii="Times New Roman" w:hAnsi="Times New Roman" w:cs="Times New Roman"/>
          <w:sz w:val="24"/>
          <w:szCs w:val="24"/>
        </w:rPr>
      </w:pPr>
      <w:bookmarkStart w:id="10" w:name="_Hlk202433874"/>
      <w:bookmarkStart w:id="11" w:name="_Hlk202444060"/>
      <w:r w:rsidRPr="00961F2C">
        <w:rPr>
          <w:rFonts w:ascii="Times New Roman" w:hAnsi="Times New Roman" w:cs="Times New Roman"/>
          <w:sz w:val="24"/>
          <w:szCs w:val="24"/>
        </w:rPr>
        <w:t>The table shows the level of performance among BSED students in terms of their enjoyment of mathematics, with an overall mean of 3.234 and a descriptive equivalent of moderately high. This indicates that the students have a positive feeling towards the subject of mathematics. Hence, the level of negative emotions that the overall mean is 2.061, with a descriptive equivalent of moderately low. This means that the students experienced minimal negative feelings related to mathematics.</w:t>
      </w:r>
    </w:p>
    <w:p w14:paraId="51F0F955" w14:textId="547F1575" w:rsidR="00013E71" w:rsidRPr="00961F2C" w:rsidRDefault="007F7BD4" w:rsidP="00E25ECA">
      <w:pPr>
        <w:pStyle w:val="NoSpacing"/>
        <w:ind w:firstLine="720"/>
        <w:jc w:val="both"/>
        <w:rPr>
          <w:rFonts w:ascii="Times New Roman" w:hAnsi="Times New Roman" w:cs="Times New Roman"/>
          <w:sz w:val="24"/>
          <w:szCs w:val="24"/>
        </w:rPr>
      </w:pPr>
      <w:r w:rsidRPr="00961F2C">
        <w:rPr>
          <w:rFonts w:ascii="Times New Roman" w:hAnsi="Times New Roman" w:cs="Times New Roman"/>
          <w:sz w:val="24"/>
          <w:szCs w:val="24"/>
        </w:rPr>
        <w:t>The level of usefulness of mathematics in daily lives is such that the overall mean is 3.642, with a descriptive equivalent of high. This means that the students largely believe that math is relevant and practical. Moreover, the level of perceived mathematics achievement that the overall mean is 2.758, with a descriptive equivalent of moderately high. This means that the students generally feel confident in their mathematical abilities.</w:t>
      </w:r>
      <w:bookmarkEnd w:id="10"/>
    </w:p>
    <w:bookmarkEnd w:id="11"/>
    <w:p w14:paraId="0ED97237" w14:textId="77777777" w:rsidR="0079454D" w:rsidRPr="00961F2C" w:rsidRDefault="0079454D" w:rsidP="00E25ECA">
      <w:pPr>
        <w:pStyle w:val="NoSpacing"/>
        <w:ind w:firstLine="720"/>
        <w:jc w:val="both"/>
        <w:rPr>
          <w:rFonts w:ascii="Times New Roman" w:hAnsi="Times New Roman" w:cs="Times New Roman"/>
          <w:sz w:val="24"/>
          <w:szCs w:val="24"/>
        </w:rPr>
      </w:pPr>
    </w:p>
    <w:p w14:paraId="0E295562" w14:textId="77777777" w:rsidR="00870C87" w:rsidRDefault="00750F82" w:rsidP="00E25ECA">
      <w:pPr>
        <w:pStyle w:val="NoSpacing"/>
        <w:jc w:val="both"/>
        <w:rPr>
          <w:rFonts w:ascii="Times New Roman" w:hAnsi="Times New Roman" w:cs="Times New Roman"/>
          <w:b/>
          <w:bCs/>
          <w:sz w:val="24"/>
          <w:szCs w:val="24"/>
        </w:rPr>
      </w:pPr>
      <w:r w:rsidRPr="00961F2C">
        <w:rPr>
          <w:rFonts w:ascii="Times New Roman" w:hAnsi="Times New Roman" w:cs="Times New Roman"/>
          <w:b/>
          <w:bCs/>
          <w:sz w:val="24"/>
          <w:szCs w:val="24"/>
        </w:rPr>
        <w:t>Conclusion</w:t>
      </w:r>
    </w:p>
    <w:p w14:paraId="3F7BC0F4" w14:textId="77777777" w:rsidR="00B9255A" w:rsidRPr="00961F2C" w:rsidRDefault="00B9255A" w:rsidP="00E25ECA">
      <w:pPr>
        <w:pStyle w:val="NoSpacing"/>
        <w:jc w:val="both"/>
        <w:rPr>
          <w:rFonts w:ascii="Times New Roman" w:hAnsi="Times New Roman" w:cs="Times New Roman"/>
          <w:b/>
          <w:bCs/>
          <w:sz w:val="24"/>
          <w:szCs w:val="24"/>
        </w:rPr>
      </w:pPr>
    </w:p>
    <w:p w14:paraId="06BE7E8B" w14:textId="0E8521E5" w:rsidR="004B36BF" w:rsidRPr="00961F2C" w:rsidRDefault="00870C87" w:rsidP="00E25ECA">
      <w:pPr>
        <w:pStyle w:val="NoSpacing"/>
        <w:ind w:firstLine="720"/>
        <w:jc w:val="both"/>
        <w:rPr>
          <w:rFonts w:ascii="Times New Roman" w:hAnsi="Times New Roman" w:cs="Times New Roman"/>
          <w:sz w:val="24"/>
          <w:szCs w:val="24"/>
        </w:rPr>
      </w:pPr>
      <w:bookmarkStart w:id="12" w:name="_Hlk202434302"/>
      <w:r w:rsidRPr="00961F2C">
        <w:rPr>
          <w:rFonts w:ascii="Times New Roman" w:hAnsi="Times New Roman" w:cs="Times New Roman"/>
          <w:sz w:val="24"/>
          <w:szCs w:val="24"/>
        </w:rPr>
        <w:t>The study's intervention significantly enhanced the performance of BSED students, especially in their mathematical problem-solving abilities, according to the findings. Statistical analysis substantiates the significant improvement in scores from pre</w:t>
      </w:r>
      <w:r w:rsidR="00B66345">
        <w:rPr>
          <w:rFonts w:ascii="Times New Roman" w:hAnsi="Times New Roman" w:cs="Times New Roman"/>
          <w:sz w:val="24"/>
          <w:szCs w:val="24"/>
        </w:rPr>
        <w:t>t</w:t>
      </w:r>
      <w:r w:rsidRPr="00961F2C">
        <w:rPr>
          <w:rFonts w:ascii="Times New Roman" w:hAnsi="Times New Roman" w:cs="Times New Roman"/>
          <w:sz w:val="24"/>
          <w:szCs w:val="24"/>
        </w:rPr>
        <w:t xml:space="preserve">est to posttest, demonstrating the efficacy of the teaching style or remedial education used. This improvement demonstrates that </w:t>
      </w:r>
      <w:r w:rsidR="00B66345">
        <w:rPr>
          <w:rFonts w:ascii="Times New Roman" w:hAnsi="Times New Roman" w:cs="Times New Roman"/>
          <w:sz w:val="24"/>
          <w:szCs w:val="24"/>
        </w:rPr>
        <w:t xml:space="preserve">Project MATH as </w:t>
      </w:r>
      <w:r w:rsidRPr="00961F2C">
        <w:rPr>
          <w:rFonts w:ascii="Times New Roman" w:hAnsi="Times New Roman" w:cs="Times New Roman"/>
          <w:sz w:val="24"/>
          <w:szCs w:val="24"/>
        </w:rPr>
        <w:t>intervention</w:t>
      </w:r>
      <w:r w:rsidR="00B9255A">
        <w:rPr>
          <w:rFonts w:ascii="Times New Roman" w:hAnsi="Times New Roman" w:cs="Times New Roman"/>
          <w:sz w:val="24"/>
          <w:szCs w:val="24"/>
        </w:rPr>
        <w:t>s</w:t>
      </w:r>
      <w:r w:rsidRPr="00961F2C">
        <w:rPr>
          <w:rFonts w:ascii="Times New Roman" w:hAnsi="Times New Roman" w:cs="Times New Roman"/>
          <w:sz w:val="24"/>
          <w:szCs w:val="24"/>
        </w:rPr>
        <w:t xml:space="preserve"> improve</w:t>
      </w:r>
      <w:r w:rsidR="00B66345">
        <w:rPr>
          <w:rFonts w:ascii="Times New Roman" w:hAnsi="Times New Roman" w:cs="Times New Roman"/>
          <w:sz w:val="24"/>
          <w:szCs w:val="24"/>
        </w:rPr>
        <w:t>d the</w:t>
      </w:r>
      <w:r w:rsidRPr="00961F2C">
        <w:rPr>
          <w:rFonts w:ascii="Times New Roman" w:hAnsi="Times New Roman" w:cs="Times New Roman"/>
          <w:sz w:val="24"/>
          <w:szCs w:val="24"/>
        </w:rPr>
        <w:t xml:space="preserve"> students' academic performance, particularly when addressing core learning gaps. Furthermore, the improvement in posttest performance demonstrates the students' capacity to better understand mathematical ideas following the intervention. In addition, the study provides valuable insights into students' attitudes about mathematics. Most responses came from the BSED </w:t>
      </w:r>
      <w:r w:rsidR="00B66345">
        <w:rPr>
          <w:rFonts w:ascii="Times New Roman" w:hAnsi="Times New Roman" w:cs="Times New Roman"/>
          <w:sz w:val="24"/>
          <w:szCs w:val="24"/>
        </w:rPr>
        <w:t xml:space="preserve">department </w:t>
      </w:r>
      <w:r w:rsidRPr="00961F2C">
        <w:rPr>
          <w:rFonts w:ascii="Times New Roman" w:hAnsi="Times New Roman" w:cs="Times New Roman"/>
          <w:sz w:val="24"/>
          <w:szCs w:val="24"/>
        </w:rPr>
        <w:t>and were largely female, which may have influenced the results. Overall, students indicated moderately high interest in learning mathematics and saw the subject as extremely beneficial in their daily lives. Their somewhat strong trust in mathematical ability, along with low levels of negative emotions, points to a generally favorable learning environment. These findings suggest that promoting both cognitive and emotive components of learning can help kids achieve academic success in mathematics.</w:t>
      </w:r>
    </w:p>
    <w:bookmarkEnd w:id="12"/>
    <w:p w14:paraId="7AEF66E0" w14:textId="77777777" w:rsidR="00870C87" w:rsidRPr="00961F2C" w:rsidRDefault="00870C87" w:rsidP="00E25ECA">
      <w:pPr>
        <w:pStyle w:val="NoSpacing"/>
        <w:ind w:firstLine="720"/>
        <w:jc w:val="both"/>
        <w:rPr>
          <w:rFonts w:ascii="Times New Roman" w:hAnsi="Times New Roman" w:cs="Times New Roman"/>
          <w:sz w:val="24"/>
          <w:szCs w:val="24"/>
        </w:rPr>
      </w:pPr>
    </w:p>
    <w:p w14:paraId="6147AF52" w14:textId="2485A788" w:rsidR="00750F82" w:rsidRDefault="00750F82" w:rsidP="00E25ECA">
      <w:pPr>
        <w:pStyle w:val="NoSpacing"/>
        <w:jc w:val="both"/>
        <w:rPr>
          <w:rFonts w:ascii="Times New Roman" w:hAnsi="Times New Roman" w:cs="Times New Roman"/>
          <w:b/>
          <w:bCs/>
          <w:sz w:val="24"/>
          <w:szCs w:val="24"/>
        </w:rPr>
      </w:pPr>
      <w:r w:rsidRPr="00961F2C">
        <w:rPr>
          <w:rFonts w:ascii="Times New Roman" w:hAnsi="Times New Roman" w:cs="Times New Roman"/>
          <w:b/>
          <w:bCs/>
          <w:sz w:val="24"/>
          <w:szCs w:val="24"/>
        </w:rPr>
        <w:t>Recommendation</w:t>
      </w:r>
    </w:p>
    <w:p w14:paraId="62890F5A" w14:textId="77777777" w:rsidR="00B9255A" w:rsidRPr="00961F2C" w:rsidRDefault="00B9255A" w:rsidP="00E25ECA">
      <w:pPr>
        <w:pStyle w:val="NoSpacing"/>
        <w:jc w:val="both"/>
        <w:rPr>
          <w:rFonts w:ascii="Times New Roman" w:hAnsi="Times New Roman" w:cs="Times New Roman"/>
          <w:b/>
          <w:bCs/>
          <w:sz w:val="24"/>
          <w:szCs w:val="24"/>
        </w:rPr>
      </w:pPr>
    </w:p>
    <w:p w14:paraId="361DE58C" w14:textId="50A935CF" w:rsidR="00B3548B" w:rsidRDefault="00870C87" w:rsidP="00E25ECA">
      <w:pPr>
        <w:pStyle w:val="NoSpacing"/>
        <w:ind w:firstLine="720"/>
        <w:jc w:val="both"/>
        <w:rPr>
          <w:rFonts w:ascii="Times New Roman" w:hAnsi="Times New Roman" w:cs="Times New Roman"/>
          <w:sz w:val="24"/>
          <w:szCs w:val="24"/>
        </w:rPr>
      </w:pPr>
      <w:bookmarkStart w:id="13" w:name="_Hlk202444111"/>
      <w:r w:rsidRPr="00961F2C">
        <w:rPr>
          <w:rFonts w:ascii="Times New Roman" w:hAnsi="Times New Roman" w:cs="Times New Roman"/>
          <w:sz w:val="24"/>
          <w:szCs w:val="24"/>
        </w:rPr>
        <w:t xml:space="preserve">Based on the study's findings, </w:t>
      </w:r>
      <w:r w:rsidR="00B3548B">
        <w:rPr>
          <w:rFonts w:ascii="Times New Roman" w:hAnsi="Times New Roman" w:cs="Times New Roman"/>
          <w:sz w:val="24"/>
          <w:szCs w:val="24"/>
        </w:rPr>
        <w:t xml:space="preserve">Project MATH was advised to be implemented in the school. </w:t>
      </w:r>
    </w:p>
    <w:p w14:paraId="55D85F8F" w14:textId="324D0AEF" w:rsidR="00750F82" w:rsidRDefault="00B3548B" w:rsidP="00B3548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E</w:t>
      </w:r>
      <w:r w:rsidR="00870C87" w:rsidRPr="00961F2C">
        <w:rPr>
          <w:rFonts w:ascii="Times New Roman" w:hAnsi="Times New Roman" w:cs="Times New Roman"/>
          <w:sz w:val="24"/>
          <w:szCs w:val="24"/>
        </w:rPr>
        <w:t xml:space="preserve">ducational institutions </w:t>
      </w:r>
      <w:r>
        <w:rPr>
          <w:rFonts w:ascii="Times New Roman" w:hAnsi="Times New Roman" w:cs="Times New Roman"/>
          <w:sz w:val="24"/>
          <w:szCs w:val="24"/>
        </w:rPr>
        <w:t>were encouraged to</w:t>
      </w:r>
      <w:r w:rsidR="00870C87" w:rsidRPr="00961F2C">
        <w:rPr>
          <w:rFonts w:ascii="Times New Roman" w:hAnsi="Times New Roman" w:cs="Times New Roman"/>
          <w:sz w:val="24"/>
          <w:szCs w:val="24"/>
        </w:rPr>
        <w:t xml:space="preserve"> continue to conduct remedial sessions tailored expressly to address students' key learning deficits in mathematics. The statistically substantial improvement in students' post-test scores demonstrates the efficacy of tailored programs for improving problem-solving abilities. Teachers and administrators should think about including comparable structured remedial programs into the regular curriculum, particularly for pupils who show early indicators of difficulties with mathematics. The emphasis on core topics, tailored training, and frequent progress monitoring can all lead to long-term academic growth. Furthermore, the study emphasizes the necessity of addressing not only cognitive development but also students emotional and attitudinal inclinations toward mathematics. Given the moderate level of interest and confidence demonstrated by participants, future interventions should incorporate measures to promote positive attitudes and minimize math-related anxiety. Encouraging a supportive classroom climate, including real-life applications of mathematical concepts, and giving chances for collaborative learning can all help students become more motivated and engaged. Educators should be prepared to understand emotional barriers to learning and use instructional methods that foster both competence and confidence in mathematics.</w:t>
      </w:r>
    </w:p>
    <w:p w14:paraId="07AF1DD4" w14:textId="77777777" w:rsidR="00961F2C" w:rsidRDefault="00961F2C" w:rsidP="00961F2C">
      <w:pPr>
        <w:pStyle w:val="NoSpacing"/>
        <w:jc w:val="both"/>
        <w:rPr>
          <w:rFonts w:ascii="Times New Roman" w:hAnsi="Times New Roman" w:cs="Times New Roman"/>
          <w:sz w:val="24"/>
          <w:szCs w:val="24"/>
        </w:rPr>
      </w:pPr>
    </w:p>
    <w:bookmarkEnd w:id="13"/>
    <w:p w14:paraId="7D6E67FF" w14:textId="77777777" w:rsidR="00B9255A" w:rsidRDefault="00B9255A" w:rsidP="00E25ECA">
      <w:pPr>
        <w:spacing w:line="240" w:lineRule="auto"/>
        <w:rPr>
          <w:rFonts w:ascii="Times New Roman" w:hAnsi="Times New Roman" w:cs="Times New Roman"/>
          <w:b/>
          <w:bCs/>
          <w:sz w:val="24"/>
          <w:szCs w:val="24"/>
        </w:rPr>
      </w:pPr>
    </w:p>
    <w:p w14:paraId="15C39B50" w14:textId="6E2F7337" w:rsidR="00750F82" w:rsidRPr="00961F2C" w:rsidRDefault="00750F82" w:rsidP="00E25ECA">
      <w:pPr>
        <w:spacing w:line="240" w:lineRule="auto"/>
        <w:rPr>
          <w:rFonts w:ascii="Times New Roman" w:hAnsi="Times New Roman" w:cs="Times New Roman"/>
          <w:b/>
          <w:bCs/>
          <w:sz w:val="24"/>
          <w:szCs w:val="24"/>
        </w:rPr>
      </w:pPr>
      <w:r w:rsidRPr="00961F2C">
        <w:rPr>
          <w:rFonts w:ascii="Times New Roman" w:hAnsi="Times New Roman" w:cs="Times New Roman"/>
          <w:b/>
          <w:bCs/>
          <w:sz w:val="24"/>
          <w:szCs w:val="24"/>
        </w:rPr>
        <w:t>Reference</w:t>
      </w:r>
      <w:r w:rsidR="008977B3" w:rsidRPr="00961F2C">
        <w:rPr>
          <w:rFonts w:ascii="Times New Roman" w:hAnsi="Times New Roman" w:cs="Times New Roman"/>
          <w:b/>
          <w:bCs/>
          <w:sz w:val="24"/>
          <w:szCs w:val="24"/>
        </w:rPr>
        <w:t>s</w:t>
      </w:r>
    </w:p>
    <w:p w14:paraId="367AD001" w14:textId="7916450C" w:rsidR="008977B3" w:rsidRPr="00B9255A" w:rsidRDefault="008977B3" w:rsidP="008977B3">
      <w:pPr>
        <w:ind w:left="810" w:hanging="810"/>
        <w:jc w:val="both"/>
        <w:rPr>
          <w:color w:val="000000" w:themeColor="text1"/>
        </w:rPr>
      </w:pPr>
      <w:r w:rsidRPr="00961F2C">
        <w:rPr>
          <w:rFonts w:ascii="Times New Roman" w:hAnsi="Times New Roman" w:cs="Times New Roman"/>
          <w:sz w:val="24"/>
          <w:szCs w:val="24"/>
        </w:rPr>
        <w:t xml:space="preserve">Apus, </w:t>
      </w:r>
      <w:r w:rsidR="00922556">
        <w:rPr>
          <w:rFonts w:ascii="Times New Roman" w:hAnsi="Times New Roman" w:cs="Times New Roman"/>
          <w:sz w:val="24"/>
          <w:szCs w:val="24"/>
        </w:rPr>
        <w:t>J.</w:t>
      </w:r>
      <w:r w:rsidRPr="00961F2C">
        <w:rPr>
          <w:rFonts w:ascii="Times New Roman" w:hAnsi="Times New Roman" w:cs="Times New Roman"/>
          <w:sz w:val="24"/>
          <w:szCs w:val="24"/>
        </w:rPr>
        <w:t xml:space="preserve"> &amp; </w:t>
      </w:r>
      <w:proofErr w:type="spellStart"/>
      <w:r w:rsidRPr="00961F2C">
        <w:rPr>
          <w:rFonts w:ascii="Times New Roman" w:hAnsi="Times New Roman" w:cs="Times New Roman"/>
          <w:sz w:val="24"/>
          <w:szCs w:val="24"/>
        </w:rPr>
        <w:t>Quirap</w:t>
      </w:r>
      <w:proofErr w:type="spellEnd"/>
      <w:r w:rsidRPr="00961F2C">
        <w:rPr>
          <w:rFonts w:ascii="Times New Roman" w:hAnsi="Times New Roman" w:cs="Times New Roman"/>
          <w:sz w:val="24"/>
          <w:szCs w:val="24"/>
        </w:rPr>
        <w:t xml:space="preserve">, </w:t>
      </w:r>
      <w:r w:rsidR="00922556">
        <w:rPr>
          <w:rFonts w:ascii="Times New Roman" w:hAnsi="Times New Roman" w:cs="Times New Roman"/>
          <w:sz w:val="24"/>
          <w:szCs w:val="24"/>
        </w:rPr>
        <w:t>E.</w:t>
      </w:r>
      <w:r w:rsidRPr="00961F2C">
        <w:rPr>
          <w:rFonts w:ascii="Times New Roman" w:hAnsi="Times New Roman" w:cs="Times New Roman"/>
          <w:sz w:val="24"/>
          <w:szCs w:val="24"/>
        </w:rPr>
        <w:t xml:space="preserve"> (2024). Factors Affecting Mathematics Performance: Basis for an Intervention Plan. International journal of Multidisciplinary Research and Analysis. </w:t>
      </w:r>
      <w:hyperlink r:id="rId7" w:history="1">
        <w:r w:rsidRPr="00B9255A">
          <w:rPr>
            <w:rStyle w:val="Hyperlink"/>
            <w:rFonts w:ascii="Times New Roman" w:hAnsi="Times New Roman" w:cs="Times New Roman"/>
            <w:color w:val="000000" w:themeColor="text1"/>
            <w:sz w:val="24"/>
            <w:szCs w:val="24"/>
            <w:u w:val="none"/>
          </w:rPr>
          <w:t>http://dx.doi.org/10.47191/ijmra/v7-i04-11</w:t>
        </w:r>
      </w:hyperlink>
    </w:p>
    <w:p w14:paraId="30A6C515" w14:textId="3B5C6184" w:rsidR="00BC5F47" w:rsidRPr="00961F2C" w:rsidRDefault="00BC5F47" w:rsidP="008977B3">
      <w:pPr>
        <w:ind w:left="810" w:hanging="810"/>
        <w:jc w:val="both"/>
        <w:rPr>
          <w:rFonts w:ascii="Times New Roman" w:hAnsi="Times New Roman" w:cs="Times New Roman"/>
          <w:sz w:val="24"/>
          <w:szCs w:val="24"/>
        </w:rPr>
      </w:pPr>
      <w:r w:rsidRPr="00BC5F47">
        <w:rPr>
          <w:rFonts w:ascii="Times New Roman" w:hAnsi="Times New Roman" w:cs="Times New Roman"/>
          <w:sz w:val="24"/>
          <w:szCs w:val="24"/>
        </w:rPr>
        <w:t>Ary, D., Jacobs, L. C., Irvine, C. K. S., &amp; Walker, D. (2021). Introduction to research in education (10th ed.). Cengage Learning.</w:t>
      </w:r>
    </w:p>
    <w:p w14:paraId="50518489" w14:textId="2006DEF9" w:rsidR="008977B3" w:rsidRPr="00961F2C" w:rsidRDefault="006400DB" w:rsidP="008977B3">
      <w:pPr>
        <w:ind w:left="810" w:hanging="810"/>
        <w:jc w:val="both"/>
        <w:rPr>
          <w:rFonts w:ascii="Times New Roman" w:hAnsi="Times New Roman" w:cs="Times New Roman"/>
          <w:sz w:val="24"/>
          <w:szCs w:val="24"/>
        </w:rPr>
      </w:pPr>
      <w:proofErr w:type="spellStart"/>
      <w:r w:rsidRPr="00961F2C">
        <w:rPr>
          <w:rFonts w:ascii="Times New Roman" w:hAnsi="Times New Roman" w:cs="Times New Roman"/>
          <w:sz w:val="24"/>
          <w:szCs w:val="24"/>
        </w:rPr>
        <w:t>Byiringiro</w:t>
      </w:r>
      <w:proofErr w:type="spellEnd"/>
      <w:r w:rsidRPr="00961F2C">
        <w:rPr>
          <w:rFonts w:ascii="Times New Roman" w:hAnsi="Times New Roman" w:cs="Times New Roman"/>
          <w:sz w:val="24"/>
          <w:szCs w:val="24"/>
        </w:rPr>
        <w:t>, E</w:t>
      </w:r>
      <w:r w:rsidR="00922556">
        <w:rPr>
          <w:rFonts w:ascii="Times New Roman" w:hAnsi="Times New Roman" w:cs="Times New Roman"/>
          <w:sz w:val="24"/>
          <w:szCs w:val="24"/>
        </w:rPr>
        <w:t>.</w:t>
      </w:r>
      <w:r w:rsidRPr="00961F2C">
        <w:rPr>
          <w:rFonts w:ascii="Times New Roman" w:hAnsi="Times New Roman" w:cs="Times New Roman"/>
          <w:sz w:val="24"/>
          <w:szCs w:val="24"/>
        </w:rPr>
        <w:t xml:space="preserve"> (2023). Effect of Remedial Teaching on Mathematics Achievement among Secondary School Students in Sweden: Evidence from High Secondary School</w:t>
      </w:r>
    </w:p>
    <w:p w14:paraId="24825B6C" w14:textId="4373D7D9" w:rsidR="008977B3" w:rsidRDefault="006400DB" w:rsidP="008977B3">
      <w:pPr>
        <w:ind w:left="810" w:hanging="810"/>
        <w:jc w:val="both"/>
        <w:rPr>
          <w:rFonts w:ascii="Times New Roman" w:hAnsi="Times New Roman" w:cs="Times New Roman"/>
          <w:sz w:val="24"/>
          <w:szCs w:val="24"/>
        </w:rPr>
      </w:pPr>
      <w:r w:rsidRPr="00961F2C">
        <w:rPr>
          <w:rFonts w:ascii="Times New Roman" w:hAnsi="Times New Roman" w:cs="Times New Roman"/>
          <w:sz w:val="24"/>
          <w:szCs w:val="24"/>
        </w:rPr>
        <w:t xml:space="preserve">Cachero  R.  </w:t>
      </w:r>
      <w:r w:rsidR="00922556">
        <w:rPr>
          <w:rFonts w:ascii="Times New Roman" w:hAnsi="Times New Roman" w:cs="Times New Roman"/>
          <w:sz w:val="24"/>
          <w:szCs w:val="24"/>
        </w:rPr>
        <w:t>(</w:t>
      </w:r>
      <w:r w:rsidRPr="00961F2C">
        <w:rPr>
          <w:rFonts w:ascii="Times New Roman" w:hAnsi="Times New Roman" w:cs="Times New Roman"/>
          <w:sz w:val="24"/>
          <w:szCs w:val="24"/>
        </w:rPr>
        <w:t>2020</w:t>
      </w:r>
      <w:r w:rsidR="00922556">
        <w:rPr>
          <w:rFonts w:ascii="Times New Roman" w:hAnsi="Times New Roman" w:cs="Times New Roman"/>
          <w:sz w:val="24"/>
          <w:szCs w:val="24"/>
        </w:rPr>
        <w:t>)</w:t>
      </w:r>
      <w:r w:rsidRPr="00961F2C">
        <w:rPr>
          <w:rFonts w:ascii="Times New Roman" w:hAnsi="Times New Roman" w:cs="Times New Roman"/>
          <w:sz w:val="24"/>
          <w:szCs w:val="24"/>
        </w:rPr>
        <w:t>. Factors affecting the performance of students in College Algebra. Unpublished master’s Thesis. Cagayan State University, Sanchez Mira, Cagayan.</w:t>
      </w:r>
    </w:p>
    <w:p w14:paraId="0073080E" w14:textId="740A60CE" w:rsidR="0098513E" w:rsidRDefault="0098513E" w:rsidP="0098513E">
      <w:pPr>
        <w:ind w:left="810" w:hanging="810"/>
        <w:jc w:val="both"/>
        <w:rPr>
          <w:rFonts w:ascii="Times New Roman" w:hAnsi="Times New Roman" w:cs="Times New Roman"/>
          <w:sz w:val="24"/>
          <w:szCs w:val="24"/>
        </w:rPr>
      </w:pPr>
      <w:r w:rsidRPr="005339EA">
        <w:rPr>
          <w:rFonts w:ascii="Times New Roman" w:hAnsi="Times New Roman" w:cs="Times New Roman"/>
          <w:sz w:val="24"/>
          <w:szCs w:val="24"/>
        </w:rPr>
        <w:t>Chen, Y., &amp; Zhang, L. (2022). Student engagement and interest development in mathematics: A longitudinal perspective. Journal of Educational Psychology, 114(2), 225–238. https://doi.org/10.1037/edu0000609</w:t>
      </w:r>
    </w:p>
    <w:p w14:paraId="68B3FDE5" w14:textId="1DA1BC7D" w:rsidR="00197AD3" w:rsidRDefault="00197AD3" w:rsidP="008977B3">
      <w:pPr>
        <w:ind w:left="810" w:hanging="810"/>
        <w:jc w:val="both"/>
        <w:rPr>
          <w:rFonts w:ascii="Times New Roman" w:hAnsi="Times New Roman" w:cs="Times New Roman"/>
          <w:sz w:val="24"/>
          <w:szCs w:val="24"/>
        </w:rPr>
      </w:pPr>
      <w:r w:rsidRPr="00197AD3">
        <w:rPr>
          <w:rFonts w:ascii="Times New Roman" w:hAnsi="Times New Roman" w:cs="Times New Roman"/>
          <w:sz w:val="24"/>
          <w:szCs w:val="24"/>
        </w:rPr>
        <w:t xml:space="preserve">Creswell, J. W., &amp; Creswell, J. D. (2024). Research design: Qualitative, quantitative, and mixed methods </w:t>
      </w:r>
      <w:r w:rsidR="006535E0" w:rsidRPr="00197AD3">
        <w:rPr>
          <w:rFonts w:ascii="Times New Roman" w:hAnsi="Times New Roman" w:cs="Times New Roman"/>
          <w:sz w:val="24"/>
          <w:szCs w:val="24"/>
        </w:rPr>
        <w:t>approach</w:t>
      </w:r>
      <w:r w:rsidRPr="00197AD3">
        <w:rPr>
          <w:rFonts w:ascii="Times New Roman" w:hAnsi="Times New Roman" w:cs="Times New Roman"/>
          <w:sz w:val="24"/>
          <w:szCs w:val="24"/>
        </w:rPr>
        <w:t xml:space="preserve"> (6th ed.). SAGE Publications.</w:t>
      </w:r>
    </w:p>
    <w:p w14:paraId="04BD81B6" w14:textId="77777777" w:rsidR="00B9255A" w:rsidRDefault="00B9255A" w:rsidP="00B9255A">
      <w:pPr>
        <w:ind w:left="810" w:hanging="810"/>
        <w:jc w:val="both"/>
        <w:rPr>
          <w:rFonts w:ascii="Times New Roman" w:hAnsi="Times New Roman" w:cs="Times New Roman"/>
          <w:sz w:val="24"/>
          <w:szCs w:val="24"/>
        </w:rPr>
      </w:pPr>
      <w:bookmarkStart w:id="14" w:name="_Hlk202600283"/>
      <w:r w:rsidRPr="00BF772C">
        <w:rPr>
          <w:rFonts w:ascii="Times New Roman" w:hAnsi="Times New Roman" w:cs="Times New Roman"/>
          <w:sz w:val="24"/>
          <w:szCs w:val="24"/>
        </w:rPr>
        <w:t>Dela Cruz, M. T., &amp; Ramos, J. B. (2022). Enhancing student interest and achievement in mathematics through learner-centered strategies. Philippine Journal of Educational Research, 18(2), 55–66.</w:t>
      </w:r>
      <w:bookmarkEnd w:id="14"/>
    </w:p>
    <w:p w14:paraId="2F00750C" w14:textId="537FD630" w:rsidR="008977B3" w:rsidRDefault="006400DB" w:rsidP="008977B3">
      <w:pPr>
        <w:ind w:left="810" w:hanging="810"/>
        <w:jc w:val="both"/>
        <w:rPr>
          <w:rFonts w:ascii="Times New Roman" w:hAnsi="Times New Roman" w:cs="Times New Roman"/>
          <w:sz w:val="24"/>
          <w:szCs w:val="24"/>
        </w:rPr>
      </w:pPr>
      <w:r w:rsidRPr="00961F2C">
        <w:rPr>
          <w:rFonts w:ascii="Times New Roman" w:hAnsi="Times New Roman" w:cs="Times New Roman"/>
          <w:sz w:val="24"/>
          <w:szCs w:val="24"/>
        </w:rPr>
        <w:t>Delos Santos, M. P., &amp; Mercado, J. L. (2023). Effectiveness of remedial instruction in improving academic performance of pre-service teachers. Philippine Journal of Educational Studies, 15(2), 45–60.</w:t>
      </w:r>
    </w:p>
    <w:p w14:paraId="1BA51932" w14:textId="0A36CD17" w:rsidR="008977B3" w:rsidRPr="00B9255A" w:rsidRDefault="006400DB" w:rsidP="008977B3">
      <w:pPr>
        <w:ind w:left="810" w:hanging="810"/>
        <w:jc w:val="both"/>
        <w:rPr>
          <w:rFonts w:ascii="Times New Roman" w:hAnsi="Times New Roman" w:cs="Times New Roman"/>
          <w:color w:val="000000" w:themeColor="text1"/>
          <w:sz w:val="24"/>
          <w:szCs w:val="24"/>
        </w:rPr>
      </w:pPr>
      <w:r w:rsidRPr="00961F2C">
        <w:rPr>
          <w:rFonts w:ascii="Times New Roman" w:hAnsi="Times New Roman" w:cs="Times New Roman"/>
          <w:sz w:val="24"/>
          <w:szCs w:val="24"/>
        </w:rPr>
        <w:lastRenderedPageBreak/>
        <w:t>Fitzmaurice, Olivia, O’Meara, Niamh &amp; Johnson, Patrick (2021). Highlighting the Relevance of Mathematics to Secondary School Students – Why and How. European Journal of STEM Education,  2021, 6(1</w:t>
      </w:r>
      <w:r w:rsidRPr="00B9255A">
        <w:rPr>
          <w:rFonts w:ascii="Times New Roman" w:hAnsi="Times New Roman" w:cs="Times New Roman"/>
          <w:color w:val="000000" w:themeColor="text1"/>
          <w:sz w:val="24"/>
          <w:szCs w:val="24"/>
        </w:rPr>
        <w:t>), 07. ttps://doi.org/10.20897/ejsteme/10895</w:t>
      </w:r>
    </w:p>
    <w:p w14:paraId="4F4F96DF" w14:textId="0BD59C69" w:rsidR="002E1523" w:rsidRPr="00961F2C" w:rsidRDefault="002E1523" w:rsidP="008977B3">
      <w:pPr>
        <w:ind w:left="810" w:hanging="810"/>
        <w:jc w:val="both"/>
        <w:rPr>
          <w:rFonts w:ascii="Times New Roman" w:hAnsi="Times New Roman" w:cs="Times New Roman"/>
          <w:sz w:val="24"/>
          <w:szCs w:val="24"/>
        </w:rPr>
      </w:pPr>
      <w:r w:rsidRPr="002E1523">
        <w:rPr>
          <w:rFonts w:ascii="Times New Roman" w:hAnsi="Times New Roman" w:cs="Times New Roman"/>
          <w:sz w:val="24"/>
          <w:szCs w:val="24"/>
        </w:rPr>
        <w:t>Fraenkel, J. R., Wallen, N. E., &amp; Hyun, H. H. (2020). How to design and evaluate research in education (10th ed.). McGraw-Hill Education.</w:t>
      </w:r>
    </w:p>
    <w:p w14:paraId="50CC1281" w14:textId="77777777" w:rsidR="008977B3" w:rsidRPr="00961F2C" w:rsidRDefault="008977B3" w:rsidP="008977B3">
      <w:pPr>
        <w:ind w:left="810" w:hanging="810"/>
        <w:jc w:val="both"/>
        <w:rPr>
          <w:rFonts w:ascii="Times New Roman" w:hAnsi="Times New Roman" w:cs="Times New Roman"/>
          <w:sz w:val="24"/>
          <w:szCs w:val="24"/>
        </w:rPr>
      </w:pPr>
      <w:r w:rsidRPr="00961F2C">
        <w:rPr>
          <w:rFonts w:ascii="Times New Roman" w:hAnsi="Times New Roman" w:cs="Times New Roman"/>
          <w:sz w:val="24"/>
          <w:szCs w:val="24"/>
        </w:rPr>
        <w:t>Garcia, R. L., &amp; Ramos, T. D. (2023). Applying Vygotsky’s sociocultural theory in remedial teaching: A case study in teacher education. International Journal of Pedagogical Research, 6(1), 22–30.</w:t>
      </w:r>
    </w:p>
    <w:p w14:paraId="380BD08A" w14:textId="1B362DCE" w:rsidR="00B9255A" w:rsidRPr="00961F2C" w:rsidRDefault="00B9255A" w:rsidP="00B9255A">
      <w:pPr>
        <w:ind w:left="810" w:hanging="810"/>
        <w:jc w:val="both"/>
        <w:rPr>
          <w:rFonts w:ascii="Times New Roman" w:hAnsi="Times New Roman" w:cs="Times New Roman"/>
          <w:sz w:val="24"/>
          <w:szCs w:val="24"/>
        </w:rPr>
      </w:pPr>
      <w:r w:rsidRPr="00961F2C">
        <w:rPr>
          <w:rFonts w:ascii="Times New Roman" w:hAnsi="Times New Roman" w:cs="Times New Roman"/>
          <w:sz w:val="24"/>
          <w:szCs w:val="24"/>
        </w:rPr>
        <w:t>Herrera, M</w:t>
      </w:r>
      <w:r w:rsidR="00922556">
        <w:rPr>
          <w:rFonts w:ascii="Times New Roman" w:hAnsi="Times New Roman" w:cs="Times New Roman"/>
          <w:sz w:val="24"/>
          <w:szCs w:val="24"/>
        </w:rPr>
        <w:t>.</w:t>
      </w:r>
      <w:r w:rsidRPr="00961F2C">
        <w:rPr>
          <w:rFonts w:ascii="Times New Roman" w:hAnsi="Times New Roman" w:cs="Times New Roman"/>
          <w:sz w:val="24"/>
          <w:szCs w:val="24"/>
        </w:rPr>
        <w:t xml:space="preserve"> (2019). Factors Affecting the Academic Performance of Grade 11 Students in General Mathematics. DOI:10.13140/RG.2.2.16645.68325</w:t>
      </w:r>
    </w:p>
    <w:p w14:paraId="3485D7F4" w14:textId="127EB95B" w:rsidR="008977B3" w:rsidRPr="00B9255A" w:rsidRDefault="006400DB" w:rsidP="008977B3">
      <w:pPr>
        <w:ind w:left="810" w:hanging="810"/>
        <w:jc w:val="both"/>
        <w:rPr>
          <w:rFonts w:ascii="Times New Roman" w:hAnsi="Times New Roman" w:cs="Times New Roman"/>
          <w:color w:val="000000" w:themeColor="text1"/>
          <w:sz w:val="24"/>
          <w:szCs w:val="24"/>
        </w:rPr>
      </w:pPr>
      <w:proofErr w:type="spellStart"/>
      <w:r w:rsidRPr="00961F2C">
        <w:rPr>
          <w:rFonts w:ascii="Times New Roman" w:hAnsi="Times New Roman" w:cs="Times New Roman"/>
          <w:sz w:val="24"/>
          <w:szCs w:val="24"/>
        </w:rPr>
        <w:t>Mandagdag</w:t>
      </w:r>
      <w:proofErr w:type="spellEnd"/>
      <w:r w:rsidRPr="00961F2C">
        <w:rPr>
          <w:rFonts w:ascii="Times New Roman" w:hAnsi="Times New Roman" w:cs="Times New Roman"/>
          <w:sz w:val="24"/>
          <w:szCs w:val="24"/>
        </w:rPr>
        <w:t>, J</w:t>
      </w:r>
      <w:r w:rsidR="00922556">
        <w:rPr>
          <w:rFonts w:ascii="Times New Roman" w:hAnsi="Times New Roman" w:cs="Times New Roman"/>
          <w:sz w:val="24"/>
          <w:szCs w:val="24"/>
        </w:rPr>
        <w:t>.</w:t>
      </w:r>
      <w:r w:rsidRPr="00961F2C">
        <w:rPr>
          <w:rFonts w:ascii="Times New Roman" w:hAnsi="Times New Roman" w:cs="Times New Roman"/>
          <w:sz w:val="24"/>
          <w:szCs w:val="24"/>
        </w:rPr>
        <w:t>, Golez, R</w:t>
      </w:r>
      <w:r w:rsidR="00922556">
        <w:rPr>
          <w:rFonts w:ascii="Times New Roman" w:hAnsi="Times New Roman" w:cs="Times New Roman"/>
          <w:sz w:val="24"/>
          <w:szCs w:val="24"/>
        </w:rPr>
        <w:t>.</w:t>
      </w:r>
      <w:r w:rsidRPr="00961F2C">
        <w:rPr>
          <w:rFonts w:ascii="Times New Roman" w:hAnsi="Times New Roman" w:cs="Times New Roman"/>
          <w:sz w:val="24"/>
          <w:szCs w:val="24"/>
        </w:rPr>
        <w:t xml:space="preserve"> &amp; Closa, </w:t>
      </w:r>
      <w:r w:rsidR="00922556">
        <w:rPr>
          <w:rFonts w:ascii="Times New Roman" w:hAnsi="Times New Roman" w:cs="Times New Roman"/>
          <w:sz w:val="24"/>
          <w:szCs w:val="24"/>
        </w:rPr>
        <w:t>B.</w:t>
      </w:r>
      <w:r w:rsidRPr="00961F2C">
        <w:rPr>
          <w:rFonts w:ascii="Times New Roman" w:hAnsi="Times New Roman" w:cs="Times New Roman"/>
          <w:sz w:val="24"/>
          <w:szCs w:val="24"/>
        </w:rPr>
        <w:t xml:space="preserve"> (2024). The Impact of Remedial</w:t>
      </w:r>
      <w:r w:rsidR="00B9255A">
        <w:rPr>
          <w:rFonts w:ascii="Times New Roman" w:hAnsi="Times New Roman" w:cs="Times New Roman"/>
          <w:sz w:val="24"/>
          <w:szCs w:val="24"/>
        </w:rPr>
        <w:t xml:space="preserve"> C</w:t>
      </w:r>
      <w:r w:rsidRPr="00961F2C">
        <w:rPr>
          <w:rFonts w:ascii="Times New Roman" w:hAnsi="Times New Roman" w:cs="Times New Roman"/>
          <w:sz w:val="24"/>
          <w:szCs w:val="24"/>
        </w:rPr>
        <w:t xml:space="preserve">lasses on the Performance of Grade 7 Learners in Mathematics   Using the Project TAPPPIK. </w:t>
      </w:r>
      <w:hyperlink r:id="rId8" w:history="1">
        <w:r w:rsidR="008977B3" w:rsidRPr="00B9255A">
          <w:rPr>
            <w:rStyle w:val="Hyperlink"/>
            <w:rFonts w:ascii="Times New Roman" w:hAnsi="Times New Roman" w:cs="Times New Roman"/>
            <w:color w:val="000000" w:themeColor="text1"/>
            <w:sz w:val="24"/>
            <w:szCs w:val="24"/>
            <w:u w:val="none"/>
          </w:rPr>
          <w:t>https://doi.org/10.34142/2709-7986.2024.29.1.07</w:t>
        </w:r>
      </w:hyperlink>
    </w:p>
    <w:p w14:paraId="53CA6430" w14:textId="77777777" w:rsidR="00B9255A" w:rsidRDefault="00B9255A" w:rsidP="008977B3">
      <w:pPr>
        <w:ind w:left="810" w:hanging="810"/>
        <w:jc w:val="both"/>
        <w:rPr>
          <w:rFonts w:ascii="Times New Roman" w:hAnsi="Times New Roman" w:cs="Times New Roman"/>
          <w:sz w:val="24"/>
          <w:szCs w:val="24"/>
        </w:rPr>
      </w:pPr>
    </w:p>
    <w:p w14:paraId="14F4F525" w14:textId="200CFFC7" w:rsidR="008977B3" w:rsidRPr="00961F2C" w:rsidRDefault="008977B3" w:rsidP="008977B3">
      <w:pPr>
        <w:ind w:left="810" w:hanging="810"/>
        <w:jc w:val="both"/>
        <w:rPr>
          <w:rFonts w:ascii="Times New Roman" w:hAnsi="Times New Roman" w:cs="Times New Roman"/>
          <w:sz w:val="24"/>
          <w:szCs w:val="24"/>
        </w:rPr>
      </w:pPr>
      <w:proofErr w:type="spellStart"/>
      <w:r w:rsidRPr="00961F2C">
        <w:rPr>
          <w:rFonts w:ascii="Times New Roman" w:hAnsi="Times New Roman" w:cs="Times New Roman"/>
          <w:sz w:val="24"/>
          <w:szCs w:val="24"/>
        </w:rPr>
        <w:t>Masengesho</w:t>
      </w:r>
      <w:proofErr w:type="spellEnd"/>
      <w:r w:rsidR="00922556">
        <w:rPr>
          <w:rFonts w:ascii="Times New Roman" w:hAnsi="Times New Roman" w:cs="Times New Roman"/>
          <w:sz w:val="24"/>
          <w:szCs w:val="24"/>
        </w:rPr>
        <w:t>,</w:t>
      </w:r>
      <w:r w:rsidRPr="00961F2C">
        <w:rPr>
          <w:rFonts w:ascii="Times New Roman" w:hAnsi="Times New Roman" w:cs="Times New Roman"/>
          <w:sz w:val="24"/>
          <w:szCs w:val="24"/>
        </w:rPr>
        <w:t xml:space="preserve"> D</w:t>
      </w:r>
      <w:r w:rsidR="00922556">
        <w:rPr>
          <w:rFonts w:ascii="Times New Roman" w:hAnsi="Times New Roman" w:cs="Times New Roman"/>
          <w:sz w:val="24"/>
          <w:szCs w:val="24"/>
        </w:rPr>
        <w:t>.</w:t>
      </w:r>
      <w:r w:rsidRPr="00961F2C">
        <w:rPr>
          <w:rFonts w:ascii="Times New Roman" w:hAnsi="Times New Roman" w:cs="Times New Roman"/>
          <w:sz w:val="24"/>
          <w:szCs w:val="24"/>
        </w:rPr>
        <w:t xml:space="preserve"> &amp; </w:t>
      </w:r>
      <w:proofErr w:type="spellStart"/>
      <w:r w:rsidRPr="00961F2C">
        <w:rPr>
          <w:rFonts w:ascii="Times New Roman" w:hAnsi="Times New Roman" w:cs="Times New Roman"/>
          <w:sz w:val="24"/>
          <w:szCs w:val="24"/>
        </w:rPr>
        <w:t>Hersbon</w:t>
      </w:r>
      <w:proofErr w:type="spellEnd"/>
      <w:r w:rsidRPr="00961F2C">
        <w:rPr>
          <w:rFonts w:ascii="Times New Roman" w:hAnsi="Times New Roman" w:cs="Times New Roman"/>
          <w:sz w:val="24"/>
          <w:szCs w:val="24"/>
        </w:rPr>
        <w:t>, A</w:t>
      </w:r>
      <w:r w:rsidR="00922556">
        <w:rPr>
          <w:rFonts w:ascii="Times New Roman" w:hAnsi="Times New Roman" w:cs="Times New Roman"/>
          <w:sz w:val="24"/>
          <w:szCs w:val="24"/>
        </w:rPr>
        <w:t xml:space="preserve">. </w:t>
      </w:r>
      <w:r w:rsidRPr="00961F2C">
        <w:rPr>
          <w:rFonts w:ascii="Times New Roman" w:hAnsi="Times New Roman" w:cs="Times New Roman"/>
          <w:sz w:val="24"/>
          <w:szCs w:val="24"/>
        </w:rPr>
        <w:t xml:space="preserve">(2024). The Effect of Remedial Program Practices on the Academic Performance of Slow Learners in Mathematics Subject in Public Lower-Day Secondary School in Rwanda: A Case of </w:t>
      </w:r>
      <w:proofErr w:type="spellStart"/>
      <w:r w:rsidRPr="00961F2C">
        <w:rPr>
          <w:rFonts w:ascii="Times New Roman" w:hAnsi="Times New Roman" w:cs="Times New Roman"/>
          <w:sz w:val="24"/>
          <w:szCs w:val="24"/>
        </w:rPr>
        <w:t>Kirehe</w:t>
      </w:r>
      <w:proofErr w:type="spellEnd"/>
      <w:r w:rsidRPr="00961F2C">
        <w:rPr>
          <w:rFonts w:ascii="Times New Roman" w:hAnsi="Times New Roman" w:cs="Times New Roman"/>
          <w:sz w:val="24"/>
          <w:szCs w:val="24"/>
        </w:rPr>
        <w:t xml:space="preserve"> District: Remedial program. African Journal of Empirical Research. Vol. 5 (</w:t>
      </w:r>
      <w:proofErr w:type="spellStart"/>
      <w:r w:rsidRPr="00961F2C">
        <w:rPr>
          <w:rFonts w:ascii="Times New Roman" w:hAnsi="Times New Roman" w:cs="Times New Roman"/>
          <w:sz w:val="24"/>
          <w:szCs w:val="24"/>
        </w:rPr>
        <w:t>Iss</w:t>
      </w:r>
      <w:proofErr w:type="spellEnd"/>
      <w:r w:rsidRPr="00961F2C">
        <w:rPr>
          <w:rFonts w:ascii="Times New Roman" w:hAnsi="Times New Roman" w:cs="Times New Roman"/>
          <w:sz w:val="24"/>
          <w:szCs w:val="24"/>
        </w:rPr>
        <w:t>. 4) 2024, pp. 945-956. DOI:10.51867/ajernet.5.4.77</w:t>
      </w:r>
    </w:p>
    <w:p w14:paraId="3548356F" w14:textId="77777777" w:rsidR="00B9255A" w:rsidRDefault="00B9255A" w:rsidP="00B9255A">
      <w:pPr>
        <w:ind w:left="810" w:hanging="810"/>
        <w:jc w:val="both"/>
        <w:rPr>
          <w:rFonts w:ascii="Times New Roman" w:hAnsi="Times New Roman" w:cs="Times New Roman"/>
          <w:sz w:val="24"/>
          <w:szCs w:val="24"/>
        </w:rPr>
      </w:pPr>
      <w:r w:rsidRPr="00413E37">
        <w:rPr>
          <w:rFonts w:ascii="Times New Roman" w:hAnsi="Times New Roman" w:cs="Times New Roman"/>
          <w:sz w:val="24"/>
          <w:szCs w:val="24"/>
        </w:rPr>
        <w:t>McMillan, J. H., &amp; Schumacher, S. (2023). Research in education: Evidence-based inquiry (8th ed.). Pearson.</w:t>
      </w:r>
    </w:p>
    <w:p w14:paraId="0BCA70DE" w14:textId="36133A92" w:rsidR="008977B3" w:rsidRPr="00B9255A" w:rsidRDefault="008977B3" w:rsidP="008977B3">
      <w:pPr>
        <w:ind w:left="810" w:hanging="810"/>
        <w:jc w:val="both"/>
        <w:rPr>
          <w:rFonts w:ascii="Times New Roman" w:hAnsi="Times New Roman" w:cs="Times New Roman"/>
          <w:color w:val="000000" w:themeColor="text1"/>
          <w:sz w:val="24"/>
          <w:szCs w:val="24"/>
        </w:rPr>
      </w:pPr>
      <w:proofErr w:type="spellStart"/>
      <w:r w:rsidRPr="00961F2C">
        <w:rPr>
          <w:rFonts w:ascii="Times New Roman" w:hAnsi="Times New Roman" w:cs="Times New Roman"/>
          <w:sz w:val="24"/>
          <w:szCs w:val="24"/>
        </w:rPr>
        <w:t>Penjor</w:t>
      </w:r>
      <w:proofErr w:type="spellEnd"/>
      <w:r w:rsidRPr="00961F2C">
        <w:rPr>
          <w:rFonts w:ascii="Times New Roman" w:hAnsi="Times New Roman" w:cs="Times New Roman"/>
          <w:sz w:val="24"/>
          <w:szCs w:val="24"/>
        </w:rPr>
        <w:t>, S</w:t>
      </w:r>
      <w:r w:rsidR="00922556">
        <w:rPr>
          <w:rFonts w:ascii="Times New Roman" w:hAnsi="Times New Roman" w:cs="Times New Roman"/>
          <w:sz w:val="24"/>
          <w:szCs w:val="24"/>
        </w:rPr>
        <w:t>.</w:t>
      </w:r>
      <w:r w:rsidRPr="00961F2C">
        <w:rPr>
          <w:rFonts w:ascii="Times New Roman" w:hAnsi="Times New Roman" w:cs="Times New Roman"/>
          <w:sz w:val="24"/>
          <w:szCs w:val="24"/>
        </w:rPr>
        <w:t xml:space="preserve"> &amp; Rai, H</w:t>
      </w:r>
      <w:r w:rsidR="00922556">
        <w:rPr>
          <w:rFonts w:ascii="Times New Roman" w:hAnsi="Times New Roman" w:cs="Times New Roman"/>
          <w:sz w:val="24"/>
          <w:szCs w:val="24"/>
        </w:rPr>
        <w:t>.</w:t>
      </w:r>
      <w:r w:rsidRPr="00961F2C">
        <w:rPr>
          <w:rFonts w:ascii="Times New Roman" w:hAnsi="Times New Roman" w:cs="Times New Roman"/>
          <w:sz w:val="24"/>
          <w:szCs w:val="24"/>
        </w:rPr>
        <w:t xml:space="preserve"> (2020). The Impact of Remedial Class on Students’ Learning Achievement. Contemporary Education and Teaching Research Volume</w:t>
      </w:r>
      <w:r w:rsidRPr="00961F2C">
        <w:rPr>
          <w:rFonts w:ascii="Times New Roman" w:eastAsia="MS Gothic" w:hAnsi="Times New Roman" w:cs="Times New Roman"/>
          <w:sz w:val="24"/>
          <w:szCs w:val="24"/>
        </w:rPr>
        <w:t>：</w:t>
      </w:r>
      <w:r w:rsidRPr="00961F2C">
        <w:rPr>
          <w:rFonts w:ascii="Times New Roman" w:hAnsi="Times New Roman" w:cs="Times New Roman"/>
          <w:sz w:val="24"/>
          <w:szCs w:val="24"/>
        </w:rPr>
        <w:t>1 Issue</w:t>
      </w:r>
      <w:r w:rsidRPr="00961F2C">
        <w:rPr>
          <w:rFonts w:ascii="Times New Roman" w:eastAsia="MS Gothic" w:hAnsi="Times New Roman" w:cs="Times New Roman"/>
          <w:sz w:val="24"/>
          <w:szCs w:val="24"/>
        </w:rPr>
        <w:t>：</w:t>
      </w:r>
      <w:r w:rsidRPr="00961F2C">
        <w:rPr>
          <w:rFonts w:ascii="Times New Roman" w:hAnsi="Times New Roman" w:cs="Times New Roman"/>
          <w:sz w:val="24"/>
          <w:szCs w:val="24"/>
        </w:rPr>
        <w:t xml:space="preserve">2 2020. </w:t>
      </w:r>
      <w:hyperlink r:id="rId9" w:history="1">
        <w:r w:rsidRPr="00B9255A">
          <w:rPr>
            <w:rStyle w:val="Hyperlink"/>
            <w:rFonts w:ascii="Times New Roman" w:hAnsi="Times New Roman" w:cs="Times New Roman"/>
            <w:color w:val="000000" w:themeColor="text1"/>
            <w:sz w:val="24"/>
            <w:szCs w:val="24"/>
            <w:u w:val="none"/>
          </w:rPr>
          <w:t>https://doi.org/10.47852/bonviewCETR2020010203</w:t>
        </w:r>
      </w:hyperlink>
    </w:p>
    <w:p w14:paraId="60748C5D" w14:textId="77777777" w:rsidR="008977B3" w:rsidRPr="00961F2C" w:rsidRDefault="008977B3" w:rsidP="008977B3">
      <w:pPr>
        <w:ind w:left="810" w:hanging="810"/>
        <w:jc w:val="both"/>
        <w:rPr>
          <w:rFonts w:ascii="Times New Roman" w:hAnsi="Times New Roman" w:cs="Times New Roman"/>
          <w:sz w:val="24"/>
          <w:szCs w:val="24"/>
        </w:rPr>
      </w:pPr>
      <w:r w:rsidRPr="00961F2C">
        <w:rPr>
          <w:rFonts w:ascii="Times New Roman" w:hAnsi="Times New Roman" w:cs="Times New Roman"/>
          <w:sz w:val="24"/>
          <w:szCs w:val="24"/>
        </w:rPr>
        <w:t>Reyes, M. E., &amp; Dizon, R. D. (2022). Scaffolding learning through the Zone of Proximal Development in mathematics remediation. Philippine Journal of Education and Development, 47(2), 115–130.</w:t>
      </w:r>
    </w:p>
    <w:p w14:paraId="503B18BC" w14:textId="0630B24D" w:rsidR="00B9255A" w:rsidRDefault="00B9255A" w:rsidP="00413E37">
      <w:pPr>
        <w:ind w:left="810" w:hanging="810"/>
        <w:jc w:val="both"/>
        <w:rPr>
          <w:rFonts w:ascii="Times New Roman" w:hAnsi="Times New Roman" w:cs="Times New Roman"/>
          <w:sz w:val="24"/>
          <w:szCs w:val="24"/>
        </w:rPr>
      </w:pPr>
      <w:r w:rsidRPr="006747A5">
        <w:rPr>
          <w:rFonts w:ascii="Times New Roman" w:hAnsi="Times New Roman" w:cs="Times New Roman"/>
          <w:sz w:val="24"/>
          <w:szCs w:val="24"/>
        </w:rPr>
        <w:t>Salazar, J. M., &amp; Reyes, C. L. (2023). Enhancing academic performance through remedial instruction: A focused intervention approach. Philippine Journal of Educational Development, 38(2), 45–60.</w:t>
      </w:r>
    </w:p>
    <w:p w14:paraId="05421CFC" w14:textId="4AFECA28" w:rsidR="00413E37" w:rsidRDefault="001726C2" w:rsidP="00413E37">
      <w:pPr>
        <w:ind w:left="810" w:hanging="810"/>
        <w:jc w:val="both"/>
        <w:rPr>
          <w:rFonts w:ascii="Times New Roman" w:hAnsi="Times New Roman" w:cs="Times New Roman"/>
          <w:sz w:val="24"/>
          <w:szCs w:val="24"/>
        </w:rPr>
      </w:pPr>
      <w:r w:rsidRPr="00961F2C">
        <w:rPr>
          <w:rFonts w:ascii="Times New Roman" w:hAnsi="Times New Roman" w:cs="Times New Roman"/>
          <w:sz w:val="24"/>
          <w:szCs w:val="24"/>
        </w:rPr>
        <w:t>Sharma, P</w:t>
      </w:r>
      <w:r w:rsidR="00922556">
        <w:rPr>
          <w:rFonts w:ascii="Times New Roman" w:hAnsi="Times New Roman" w:cs="Times New Roman"/>
          <w:sz w:val="24"/>
          <w:szCs w:val="24"/>
        </w:rPr>
        <w:t>.</w:t>
      </w:r>
      <w:r w:rsidRPr="00961F2C">
        <w:rPr>
          <w:rFonts w:ascii="Times New Roman" w:hAnsi="Times New Roman" w:cs="Times New Roman"/>
          <w:sz w:val="24"/>
          <w:szCs w:val="24"/>
        </w:rPr>
        <w:t xml:space="preserve"> (2021). Importance and Application of Mathematics in Everyday Life. International Journal for Research in Applied Science &amp; Engineering Technology (IJRASET). Volume 9 Issue XI Nov 2021.</w:t>
      </w:r>
    </w:p>
    <w:p w14:paraId="3AFBA547" w14:textId="59D3725F" w:rsidR="006747A5" w:rsidRDefault="006747A5" w:rsidP="006747A5">
      <w:pPr>
        <w:ind w:left="810" w:hanging="810"/>
        <w:jc w:val="both"/>
        <w:rPr>
          <w:rFonts w:ascii="Times New Roman" w:hAnsi="Times New Roman" w:cs="Times New Roman"/>
          <w:sz w:val="24"/>
          <w:szCs w:val="24"/>
        </w:rPr>
      </w:pPr>
      <w:bookmarkStart w:id="15" w:name="_Hlk202600394"/>
      <w:r w:rsidRPr="006747A5">
        <w:rPr>
          <w:rFonts w:ascii="Times New Roman" w:hAnsi="Times New Roman" w:cs="Times New Roman"/>
          <w:sz w:val="24"/>
          <w:szCs w:val="24"/>
        </w:rPr>
        <w:t>Villanueva, E. T. (2023). The influence of remedial instruction on the academic motivation of future educators. Journal of Research in Education and Psychology, 18(4), 77–89.</w:t>
      </w:r>
    </w:p>
    <w:p w14:paraId="21F56BB4" w14:textId="438B1FB4" w:rsidR="00D23812" w:rsidRPr="00961F2C" w:rsidRDefault="005339EA" w:rsidP="00CC71AC">
      <w:pPr>
        <w:ind w:left="810" w:hanging="810"/>
        <w:jc w:val="both"/>
        <w:rPr>
          <w:rFonts w:ascii="Times New Roman" w:hAnsi="Times New Roman" w:cs="Times New Roman"/>
          <w:color w:val="156082" w:themeColor="accent1"/>
          <w:sz w:val="24"/>
          <w:szCs w:val="24"/>
          <w:u w:val="single"/>
        </w:rPr>
      </w:pPr>
      <w:bookmarkStart w:id="16" w:name="_Hlk202600476"/>
      <w:bookmarkEnd w:id="15"/>
      <w:r w:rsidRPr="005339EA">
        <w:rPr>
          <w:rFonts w:ascii="Times New Roman" w:hAnsi="Times New Roman" w:cs="Times New Roman"/>
          <w:sz w:val="24"/>
          <w:szCs w:val="24"/>
        </w:rPr>
        <w:lastRenderedPageBreak/>
        <w:t>Wang, J., &amp; Liu, X. (2022). Understanding the role of interest in mathematics learning: Implications for teaching practices. Educational Studies in Mathematics, 109(1), 45–62. https://doi.org/10.1007/s10649-021-10138-2</w:t>
      </w:r>
      <w:bookmarkEnd w:id="16"/>
    </w:p>
    <w:p w14:paraId="0D75F6CE"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21BE56CB"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0E1B32F4"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41D610B0"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7375A379"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3230AAEC"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4C60A96B"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297FE6EE"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p w14:paraId="483CCBAB" w14:textId="77777777" w:rsidR="00D23812" w:rsidRPr="00961F2C" w:rsidRDefault="00D23812" w:rsidP="00E25ECA">
      <w:pPr>
        <w:spacing w:line="240" w:lineRule="auto"/>
        <w:jc w:val="both"/>
        <w:rPr>
          <w:rFonts w:ascii="Times New Roman" w:hAnsi="Times New Roman" w:cs="Times New Roman"/>
          <w:color w:val="156082" w:themeColor="accent1"/>
          <w:sz w:val="24"/>
          <w:szCs w:val="24"/>
          <w:u w:val="single"/>
        </w:rPr>
      </w:pPr>
    </w:p>
    <w:sectPr w:rsidR="00D23812" w:rsidRPr="00961F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E00C8" w14:textId="77777777" w:rsidR="00623EE4" w:rsidRDefault="00623EE4" w:rsidP="004A5B2D">
      <w:pPr>
        <w:spacing w:after="0" w:line="240" w:lineRule="auto"/>
      </w:pPr>
      <w:r>
        <w:separator/>
      </w:r>
    </w:p>
  </w:endnote>
  <w:endnote w:type="continuationSeparator" w:id="0">
    <w:p w14:paraId="13D65BFB" w14:textId="77777777" w:rsidR="00623EE4" w:rsidRDefault="00623EE4" w:rsidP="004A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8956" w14:textId="77777777" w:rsidR="004A5B2D" w:rsidRDefault="004A5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3571" w14:textId="77777777" w:rsidR="004A5B2D" w:rsidRDefault="004A5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11D9" w14:textId="77777777" w:rsidR="004A5B2D" w:rsidRDefault="004A5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D4498" w14:textId="77777777" w:rsidR="00623EE4" w:rsidRDefault="00623EE4" w:rsidP="004A5B2D">
      <w:pPr>
        <w:spacing w:after="0" w:line="240" w:lineRule="auto"/>
      </w:pPr>
      <w:r>
        <w:separator/>
      </w:r>
    </w:p>
  </w:footnote>
  <w:footnote w:type="continuationSeparator" w:id="0">
    <w:p w14:paraId="73181CB5" w14:textId="77777777" w:rsidR="00623EE4" w:rsidRDefault="00623EE4" w:rsidP="004A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49F5" w14:textId="34248232" w:rsidR="004A5B2D" w:rsidRDefault="00623EE4">
    <w:pPr>
      <w:pStyle w:val="Header"/>
    </w:pPr>
    <w:r>
      <w:rPr>
        <w:noProof/>
      </w:rPr>
      <w:pict w14:anchorId="5586E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701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1395" w14:textId="7EC60900" w:rsidR="004A5B2D" w:rsidRDefault="00623EE4">
    <w:pPr>
      <w:pStyle w:val="Header"/>
    </w:pPr>
    <w:r>
      <w:rPr>
        <w:noProof/>
      </w:rPr>
      <w:pict w14:anchorId="63EC6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701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E744" w14:textId="285E89D8" w:rsidR="004A5B2D" w:rsidRDefault="00623EE4">
    <w:pPr>
      <w:pStyle w:val="Header"/>
    </w:pPr>
    <w:r>
      <w:rPr>
        <w:noProof/>
      </w:rPr>
      <w:pict w14:anchorId="6C843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701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233D1"/>
    <w:multiLevelType w:val="hybridMultilevel"/>
    <w:tmpl w:val="0A9C584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429370F"/>
    <w:multiLevelType w:val="hybridMultilevel"/>
    <w:tmpl w:val="D88AA2A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E976A8B"/>
    <w:multiLevelType w:val="hybridMultilevel"/>
    <w:tmpl w:val="65C0D4B0"/>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55A849AB"/>
    <w:multiLevelType w:val="hybridMultilevel"/>
    <w:tmpl w:val="CA2813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B0A50B1"/>
    <w:multiLevelType w:val="hybridMultilevel"/>
    <w:tmpl w:val="D21297C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64B65D24"/>
    <w:multiLevelType w:val="hybridMultilevel"/>
    <w:tmpl w:val="2482D37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ECA4CB4"/>
    <w:multiLevelType w:val="multilevel"/>
    <w:tmpl w:val="C3A41F4E"/>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3A"/>
    <w:rsid w:val="000040E8"/>
    <w:rsid w:val="00013E71"/>
    <w:rsid w:val="0002245C"/>
    <w:rsid w:val="00023C82"/>
    <w:rsid w:val="00045962"/>
    <w:rsid w:val="000B72DA"/>
    <w:rsid w:val="0012584D"/>
    <w:rsid w:val="001726C2"/>
    <w:rsid w:val="00197AD3"/>
    <w:rsid w:val="001A0DD1"/>
    <w:rsid w:val="001B56E0"/>
    <w:rsid w:val="001D7D62"/>
    <w:rsid w:val="00216D58"/>
    <w:rsid w:val="0022161C"/>
    <w:rsid w:val="0024194F"/>
    <w:rsid w:val="002627D7"/>
    <w:rsid w:val="00265747"/>
    <w:rsid w:val="00276D89"/>
    <w:rsid w:val="002B4627"/>
    <w:rsid w:val="002C1636"/>
    <w:rsid w:val="002E1523"/>
    <w:rsid w:val="00344B29"/>
    <w:rsid w:val="00382E52"/>
    <w:rsid w:val="003C4DD3"/>
    <w:rsid w:val="003F0E88"/>
    <w:rsid w:val="00413E37"/>
    <w:rsid w:val="004231A1"/>
    <w:rsid w:val="00463F37"/>
    <w:rsid w:val="00491B33"/>
    <w:rsid w:val="00497D45"/>
    <w:rsid w:val="004A5B2D"/>
    <w:rsid w:val="004B36BF"/>
    <w:rsid w:val="004C5C7E"/>
    <w:rsid w:val="004D5FF5"/>
    <w:rsid w:val="0051069C"/>
    <w:rsid w:val="00513577"/>
    <w:rsid w:val="0051554D"/>
    <w:rsid w:val="005339EA"/>
    <w:rsid w:val="00572B2E"/>
    <w:rsid w:val="005811E7"/>
    <w:rsid w:val="005953B6"/>
    <w:rsid w:val="005D1077"/>
    <w:rsid w:val="005E64B1"/>
    <w:rsid w:val="005F5AE4"/>
    <w:rsid w:val="005F7D6A"/>
    <w:rsid w:val="006008FD"/>
    <w:rsid w:val="00622BF7"/>
    <w:rsid w:val="00623EE4"/>
    <w:rsid w:val="006400DB"/>
    <w:rsid w:val="006535E0"/>
    <w:rsid w:val="00653D83"/>
    <w:rsid w:val="00661B3A"/>
    <w:rsid w:val="006747A5"/>
    <w:rsid w:val="00685A74"/>
    <w:rsid w:val="006A39BE"/>
    <w:rsid w:val="00740928"/>
    <w:rsid w:val="00747E0A"/>
    <w:rsid w:val="00750F82"/>
    <w:rsid w:val="00756801"/>
    <w:rsid w:val="0079454D"/>
    <w:rsid w:val="007D0B9C"/>
    <w:rsid w:val="007D2EC2"/>
    <w:rsid w:val="007E65BD"/>
    <w:rsid w:val="007F3407"/>
    <w:rsid w:val="007F6996"/>
    <w:rsid w:val="007F7BD4"/>
    <w:rsid w:val="00804264"/>
    <w:rsid w:val="00804A1F"/>
    <w:rsid w:val="00844D7A"/>
    <w:rsid w:val="00870C87"/>
    <w:rsid w:val="00882C04"/>
    <w:rsid w:val="00883912"/>
    <w:rsid w:val="00894ABB"/>
    <w:rsid w:val="008977B3"/>
    <w:rsid w:val="008B6579"/>
    <w:rsid w:val="008D2B9E"/>
    <w:rsid w:val="008F124E"/>
    <w:rsid w:val="008F6449"/>
    <w:rsid w:val="00900001"/>
    <w:rsid w:val="00916123"/>
    <w:rsid w:val="00922556"/>
    <w:rsid w:val="00960632"/>
    <w:rsid w:val="00961F2C"/>
    <w:rsid w:val="00963703"/>
    <w:rsid w:val="00973988"/>
    <w:rsid w:val="009802DC"/>
    <w:rsid w:val="0098513E"/>
    <w:rsid w:val="009A5D7E"/>
    <w:rsid w:val="009A6135"/>
    <w:rsid w:val="009D4C6D"/>
    <w:rsid w:val="00A0016D"/>
    <w:rsid w:val="00A022EE"/>
    <w:rsid w:val="00A06702"/>
    <w:rsid w:val="00A17423"/>
    <w:rsid w:val="00A403A0"/>
    <w:rsid w:val="00A41979"/>
    <w:rsid w:val="00A864D2"/>
    <w:rsid w:val="00A937C0"/>
    <w:rsid w:val="00AA6E8F"/>
    <w:rsid w:val="00AB73FB"/>
    <w:rsid w:val="00AF0791"/>
    <w:rsid w:val="00B07EA3"/>
    <w:rsid w:val="00B3548B"/>
    <w:rsid w:val="00B509B5"/>
    <w:rsid w:val="00B66345"/>
    <w:rsid w:val="00B804FE"/>
    <w:rsid w:val="00B9255A"/>
    <w:rsid w:val="00BB41A9"/>
    <w:rsid w:val="00BC5F47"/>
    <w:rsid w:val="00BF772C"/>
    <w:rsid w:val="00C05CC5"/>
    <w:rsid w:val="00C364B3"/>
    <w:rsid w:val="00CC71AC"/>
    <w:rsid w:val="00CE0C1E"/>
    <w:rsid w:val="00CF4B5A"/>
    <w:rsid w:val="00D23812"/>
    <w:rsid w:val="00D45947"/>
    <w:rsid w:val="00D5478A"/>
    <w:rsid w:val="00DD41ED"/>
    <w:rsid w:val="00DD6A90"/>
    <w:rsid w:val="00E04654"/>
    <w:rsid w:val="00E14229"/>
    <w:rsid w:val="00E25ECA"/>
    <w:rsid w:val="00E578D9"/>
    <w:rsid w:val="00E664A8"/>
    <w:rsid w:val="00E74C0A"/>
    <w:rsid w:val="00EA7338"/>
    <w:rsid w:val="00EB2948"/>
    <w:rsid w:val="00EB4612"/>
    <w:rsid w:val="00EB572B"/>
    <w:rsid w:val="00F20092"/>
    <w:rsid w:val="00F35383"/>
    <w:rsid w:val="00F46A88"/>
    <w:rsid w:val="00F621A3"/>
    <w:rsid w:val="00FC76F2"/>
    <w:rsid w:val="00FE4A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D69D7"/>
  <w15:chartTrackingRefBased/>
  <w15:docId w15:val="{A4653B32-0CAB-4245-A46A-13929223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B3A"/>
    <w:rPr>
      <w:rFonts w:eastAsiaTheme="majorEastAsia" w:cstheme="majorBidi"/>
      <w:color w:val="272727" w:themeColor="text1" w:themeTint="D8"/>
    </w:rPr>
  </w:style>
  <w:style w:type="paragraph" w:styleId="Title">
    <w:name w:val="Title"/>
    <w:basedOn w:val="Normal"/>
    <w:next w:val="Normal"/>
    <w:link w:val="TitleChar"/>
    <w:uiPriority w:val="10"/>
    <w:qFormat/>
    <w:rsid w:val="00661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B3A"/>
    <w:pPr>
      <w:spacing w:before="160"/>
      <w:jc w:val="center"/>
    </w:pPr>
    <w:rPr>
      <w:i/>
      <w:iCs/>
      <w:color w:val="404040" w:themeColor="text1" w:themeTint="BF"/>
    </w:rPr>
  </w:style>
  <w:style w:type="character" w:customStyle="1" w:styleId="QuoteChar">
    <w:name w:val="Quote Char"/>
    <w:basedOn w:val="DefaultParagraphFont"/>
    <w:link w:val="Quote"/>
    <w:uiPriority w:val="29"/>
    <w:rsid w:val="00661B3A"/>
    <w:rPr>
      <w:i/>
      <w:iCs/>
      <w:color w:val="404040" w:themeColor="text1" w:themeTint="BF"/>
    </w:rPr>
  </w:style>
  <w:style w:type="paragraph" w:styleId="ListParagraph">
    <w:name w:val="List Paragraph"/>
    <w:basedOn w:val="Normal"/>
    <w:uiPriority w:val="34"/>
    <w:qFormat/>
    <w:rsid w:val="00661B3A"/>
    <w:pPr>
      <w:ind w:left="720"/>
      <w:contextualSpacing/>
    </w:pPr>
  </w:style>
  <w:style w:type="character" w:styleId="IntenseEmphasis">
    <w:name w:val="Intense Emphasis"/>
    <w:basedOn w:val="DefaultParagraphFont"/>
    <w:uiPriority w:val="21"/>
    <w:qFormat/>
    <w:rsid w:val="00661B3A"/>
    <w:rPr>
      <w:i/>
      <w:iCs/>
      <w:color w:val="0F4761" w:themeColor="accent1" w:themeShade="BF"/>
    </w:rPr>
  </w:style>
  <w:style w:type="paragraph" w:styleId="IntenseQuote">
    <w:name w:val="Intense Quote"/>
    <w:basedOn w:val="Normal"/>
    <w:next w:val="Normal"/>
    <w:link w:val="IntenseQuoteChar"/>
    <w:uiPriority w:val="30"/>
    <w:qFormat/>
    <w:rsid w:val="00661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3A"/>
    <w:rPr>
      <w:i/>
      <w:iCs/>
      <w:color w:val="0F4761" w:themeColor="accent1" w:themeShade="BF"/>
    </w:rPr>
  </w:style>
  <w:style w:type="character" w:styleId="IntenseReference">
    <w:name w:val="Intense Reference"/>
    <w:basedOn w:val="DefaultParagraphFont"/>
    <w:uiPriority w:val="32"/>
    <w:qFormat/>
    <w:rsid w:val="00661B3A"/>
    <w:rPr>
      <w:b/>
      <w:bCs/>
      <w:smallCaps/>
      <w:color w:val="0F4761" w:themeColor="accent1" w:themeShade="BF"/>
      <w:spacing w:val="5"/>
    </w:rPr>
  </w:style>
  <w:style w:type="character" w:styleId="Hyperlink">
    <w:name w:val="Hyperlink"/>
    <w:basedOn w:val="DefaultParagraphFont"/>
    <w:uiPriority w:val="99"/>
    <w:unhideWhenUsed/>
    <w:rsid w:val="00AA6E8F"/>
    <w:rPr>
      <w:color w:val="467886" w:themeColor="hyperlink"/>
      <w:u w:val="single"/>
    </w:rPr>
  </w:style>
  <w:style w:type="character" w:styleId="UnresolvedMention">
    <w:name w:val="Unresolved Mention"/>
    <w:basedOn w:val="DefaultParagraphFont"/>
    <w:uiPriority w:val="99"/>
    <w:semiHidden/>
    <w:unhideWhenUsed/>
    <w:rsid w:val="00AA6E8F"/>
    <w:rPr>
      <w:color w:val="605E5C"/>
      <w:shd w:val="clear" w:color="auto" w:fill="E1DFDD"/>
    </w:rPr>
  </w:style>
  <w:style w:type="paragraph" w:styleId="NoSpacing">
    <w:name w:val="No Spacing"/>
    <w:uiPriority w:val="1"/>
    <w:qFormat/>
    <w:rsid w:val="00497D45"/>
    <w:pPr>
      <w:spacing w:after="0" w:line="240" w:lineRule="auto"/>
    </w:pPr>
  </w:style>
  <w:style w:type="table" w:styleId="TableGrid">
    <w:name w:val="Table Grid"/>
    <w:basedOn w:val="TableNormal"/>
    <w:uiPriority w:val="39"/>
    <w:rsid w:val="00013E71"/>
    <w:pPr>
      <w:spacing w:after="0" w:line="240" w:lineRule="auto"/>
    </w:pPr>
    <w:rPr>
      <w:rFonts w:ascii="Times New Roman" w:eastAsia="MS Mincho"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2D"/>
  </w:style>
  <w:style w:type="paragraph" w:styleId="Footer">
    <w:name w:val="footer"/>
    <w:basedOn w:val="Normal"/>
    <w:link w:val="FooterChar"/>
    <w:uiPriority w:val="99"/>
    <w:unhideWhenUsed/>
    <w:rsid w:val="004A5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42/2709-7986.2024.29.1.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47191/ijmra/v7-i04-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7852/bonviewCETR20200102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taripe</dc:creator>
  <cp:keywords/>
  <dc:description/>
  <cp:lastModifiedBy>SDI 1185</cp:lastModifiedBy>
  <cp:revision>10</cp:revision>
  <cp:lastPrinted>2025-07-03T06:18:00Z</cp:lastPrinted>
  <dcterms:created xsi:type="dcterms:W3CDTF">2025-07-11T01:00:00Z</dcterms:created>
  <dcterms:modified xsi:type="dcterms:W3CDTF">2025-07-28T04:19:00Z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f415e688-178e-4fcb-bd09-58901af078df</vt:lpwstr>
  </property>
</Properties>
</file>