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298F" w14:textId="1B8A45DF" w:rsidR="008348A7" w:rsidRPr="008348A7" w:rsidRDefault="008348A7" w:rsidP="00FA0BAC">
      <w:pPr>
        <w:pStyle w:val="Author"/>
        <w:spacing w:line="240" w:lineRule="auto"/>
        <w:rPr>
          <w:rFonts w:ascii="Arial" w:hAnsi="Arial" w:cs="Arial"/>
          <w:sz w:val="36"/>
          <w:szCs w:val="36"/>
          <w:u w:val="single"/>
        </w:rPr>
      </w:pPr>
      <w:r w:rsidRPr="008348A7">
        <w:rPr>
          <w:rFonts w:ascii="Arial" w:hAnsi="Arial" w:cs="Arial"/>
          <w:sz w:val="36"/>
          <w:szCs w:val="36"/>
          <w:u w:val="single"/>
        </w:rPr>
        <w:t>Short Research Article</w:t>
      </w:r>
    </w:p>
    <w:p w14:paraId="764DE08D" w14:textId="1DF9F6F0" w:rsidR="00A258C3" w:rsidRPr="00790ADA" w:rsidRDefault="00FA0BAC" w:rsidP="00FA0BAC">
      <w:pPr>
        <w:pStyle w:val="Author"/>
        <w:spacing w:line="240" w:lineRule="auto"/>
        <w:rPr>
          <w:rFonts w:ascii="Arial" w:hAnsi="Arial" w:cs="Arial"/>
          <w:sz w:val="36"/>
        </w:rPr>
      </w:pPr>
      <w:r w:rsidRPr="00FA0BAC">
        <w:rPr>
          <w:rFonts w:ascii="Arial" w:hAnsi="Arial" w:cs="Arial"/>
          <w:sz w:val="36"/>
          <w:szCs w:val="36"/>
        </w:rPr>
        <w:t>RE</w:t>
      </w:r>
      <w:r>
        <w:rPr>
          <w:rFonts w:ascii="Arial" w:hAnsi="Arial" w:cs="Arial"/>
          <w:sz w:val="36"/>
          <w:szCs w:val="36"/>
        </w:rPr>
        <w:t>COVERY</w:t>
      </w:r>
      <w:r w:rsidRPr="00FA0BAC">
        <w:rPr>
          <w:rFonts w:ascii="Arial" w:hAnsi="Arial" w:cs="Arial"/>
          <w:sz w:val="36"/>
          <w:szCs w:val="36"/>
        </w:rPr>
        <w:t xml:space="preserve"> OF BIOLOGICAL ACTIVITY OF DEGRADED SOILS</w:t>
      </w:r>
    </w:p>
    <w:p w14:paraId="153BD8A8" w14:textId="77777777" w:rsidR="008348A7" w:rsidRDefault="008348A7" w:rsidP="00441B6F">
      <w:pPr>
        <w:pStyle w:val="Author"/>
        <w:spacing w:line="240" w:lineRule="auto"/>
        <w:rPr>
          <w:rFonts w:ascii="Arial" w:hAnsi="Arial" w:cs="Arial"/>
        </w:rPr>
      </w:pPr>
    </w:p>
    <w:p w14:paraId="31854FB8" w14:textId="77777777" w:rsidR="00790ADA" w:rsidRDefault="00790ADA" w:rsidP="00441B6F">
      <w:pPr>
        <w:pStyle w:val="Affiliation"/>
        <w:spacing w:after="0" w:line="240" w:lineRule="auto"/>
        <w:jc w:val="both"/>
        <w:rPr>
          <w:rFonts w:ascii="Arial" w:hAnsi="Arial" w:cs="Arial"/>
        </w:rPr>
      </w:pPr>
    </w:p>
    <w:p w14:paraId="625006BB" w14:textId="77777777" w:rsidR="002C57D2" w:rsidRPr="00FB3A86" w:rsidRDefault="002C57D2" w:rsidP="00441B6F">
      <w:pPr>
        <w:pStyle w:val="Affiliation"/>
        <w:spacing w:after="0" w:line="240" w:lineRule="auto"/>
        <w:jc w:val="both"/>
        <w:rPr>
          <w:rFonts w:ascii="Arial" w:hAnsi="Arial" w:cs="Arial"/>
        </w:rPr>
      </w:pPr>
    </w:p>
    <w:p w14:paraId="331F1950" w14:textId="77777777" w:rsidR="00B01FCD" w:rsidRPr="00FB3A86" w:rsidRDefault="009C68DF" w:rsidP="00441B6F">
      <w:pPr>
        <w:pStyle w:val="Copyright"/>
        <w:spacing w:after="0" w:line="240" w:lineRule="auto"/>
        <w:jc w:val="both"/>
        <w:rPr>
          <w:rFonts w:ascii="Arial" w:hAnsi="Arial" w:cs="Arial"/>
        </w:rPr>
        <w:sectPr w:rsidR="00B01FCD" w:rsidRPr="00FB3A86" w:rsidSect="0009025F">
          <w:headerReference w:type="even" r:id="rId8"/>
          <w:headerReference w:type="default" r:id="rId9"/>
          <w:footerReference w:type="even" r:id="rId10"/>
          <w:footerReference w:type="default" r:id="rId11"/>
          <w:headerReference w:type="first" r:id="rId12"/>
          <w:footerReference w:type="first" r:id="rId13"/>
          <w:pgSz w:w="12240" w:h="15840" w:code="1"/>
          <w:pgMar w:top="1440" w:right="2034" w:bottom="2016" w:left="1985" w:header="720" w:footer="1296" w:gutter="0"/>
          <w:cols w:space="720"/>
          <w:docGrid w:linePitch="272"/>
        </w:sectPr>
      </w:pPr>
      <w:r>
        <w:rPr>
          <w:rFonts w:ascii="Arial" w:hAnsi="Arial" w:cs="Arial"/>
          <w:noProof/>
          <w:lang w:val="ru-RU" w:eastAsia="ru-RU"/>
        </w:rPr>
        <mc:AlternateContent>
          <mc:Choice Requires="wps">
            <w:drawing>
              <wp:inline distT="0" distB="0" distL="0" distR="0" wp14:anchorId="700A9F0B" wp14:editId="6284681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D57EE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B1AE2AF" w14:textId="77777777" w:rsidR="00B01FCD" w:rsidRDefault="00B01FCD" w:rsidP="0086354D">
      <w:pPr>
        <w:pStyle w:val="AbstHead"/>
        <w:spacing w:after="0"/>
        <w:rPr>
          <w:rFonts w:ascii="Arial" w:hAnsi="Arial" w:cs="Arial"/>
        </w:rPr>
      </w:pPr>
      <w:r w:rsidRPr="00FB3A86">
        <w:rPr>
          <w:rFonts w:ascii="Arial" w:hAnsi="Arial" w:cs="Arial"/>
        </w:rPr>
        <w:t>ABSTRACT</w:t>
      </w:r>
    </w:p>
    <w:p w14:paraId="61773E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1"/>
      </w:tblGrid>
      <w:tr w:rsidR="00296529" w:rsidRPr="001E44FE" w14:paraId="2F515CE7" w14:textId="77777777" w:rsidTr="001E44FE">
        <w:tc>
          <w:tcPr>
            <w:tcW w:w="9576" w:type="dxa"/>
            <w:shd w:val="clear" w:color="auto" w:fill="F2F2F2"/>
          </w:tcPr>
          <w:p w14:paraId="03BAC62D" w14:textId="21328948" w:rsidR="00505F06" w:rsidRPr="00BA1B01" w:rsidRDefault="00300AC3" w:rsidP="009331BD">
            <w:pPr>
              <w:pStyle w:val="Body"/>
              <w:spacing w:after="0"/>
              <w:rPr>
                <w:rFonts w:ascii="Arial" w:eastAsia="Calibri" w:hAnsi="Arial" w:cs="Arial"/>
                <w:szCs w:val="22"/>
              </w:rPr>
            </w:pPr>
            <w:r w:rsidRPr="00300AC3">
              <w:rPr>
                <w:rFonts w:ascii="Arial" w:eastAsia="Calibri" w:hAnsi="Arial" w:cs="Arial"/>
                <w:szCs w:val="22"/>
              </w:rPr>
              <w:t xml:space="preserve">Microbiological and chemical analysis of degraded soil samples (Republic of </w:t>
            </w:r>
            <w:proofErr w:type="spellStart"/>
            <w:r w:rsidRPr="00300AC3">
              <w:rPr>
                <w:rFonts w:ascii="Arial" w:eastAsia="Calibri" w:hAnsi="Arial" w:cs="Arial"/>
                <w:szCs w:val="22"/>
              </w:rPr>
              <w:t>Karakalpakistan</w:t>
            </w:r>
            <w:proofErr w:type="spellEnd"/>
            <w:r w:rsidRPr="00300AC3">
              <w:rPr>
                <w:rFonts w:ascii="Arial" w:eastAsia="Calibri" w:hAnsi="Arial" w:cs="Arial"/>
                <w:szCs w:val="22"/>
              </w:rPr>
              <w:t xml:space="preserve">) was conducted. The research showed that growing plants on degraded soils had a positive effect on soil quality. Thus, an improvement in microbiological indicators was revealed, an increase in the content of </w:t>
            </w:r>
            <w:proofErr w:type="spellStart"/>
            <w:r w:rsidRPr="00300AC3">
              <w:rPr>
                <w:rFonts w:ascii="Arial" w:eastAsia="Calibri" w:hAnsi="Arial" w:cs="Arial"/>
                <w:szCs w:val="22"/>
              </w:rPr>
              <w:t>denitrifiers</w:t>
            </w:r>
            <w:proofErr w:type="spellEnd"/>
            <w:r w:rsidRPr="00300AC3">
              <w:rPr>
                <w:rFonts w:ascii="Arial" w:eastAsia="Calibri" w:hAnsi="Arial" w:cs="Arial"/>
                <w:szCs w:val="22"/>
              </w:rPr>
              <w:t xml:space="preserve"> and ammonifiers was noted (up to 2.5x102 CFU/g, whereas these groups were not detected in the control sample). An increase in the content of microscopic fungi (up to 1.8x104 CFU/g of soil) with cellulolytic activity was also noted, while the sum of salts in soil samples after growing plants decreased from 3.411% to 1.32%. All this can serve as evidence of the intensification of soil-forming processes, a decrease in total salinity and an increase in soil fertility.</w:t>
            </w:r>
          </w:p>
        </w:tc>
      </w:tr>
    </w:tbl>
    <w:p w14:paraId="5F65D85E" w14:textId="77777777" w:rsidR="00636EB2" w:rsidRDefault="00636EB2" w:rsidP="00441B6F">
      <w:pPr>
        <w:pStyle w:val="Body"/>
        <w:spacing w:after="0"/>
        <w:rPr>
          <w:rFonts w:ascii="Arial" w:hAnsi="Arial" w:cs="Arial"/>
          <w:i/>
        </w:rPr>
      </w:pPr>
    </w:p>
    <w:p w14:paraId="28B09F92" w14:textId="224C2B53" w:rsidR="00505F06" w:rsidRDefault="00216F89" w:rsidP="00441B6F">
      <w:pPr>
        <w:pStyle w:val="Body"/>
        <w:spacing w:after="0"/>
        <w:rPr>
          <w:rFonts w:ascii="Arial" w:hAnsi="Arial" w:cs="Arial"/>
          <w:i/>
        </w:rPr>
      </w:pPr>
      <w:r w:rsidRPr="00216F89">
        <w:rPr>
          <w:rFonts w:ascii="Arial" w:hAnsi="Arial" w:cs="Arial"/>
          <w:i/>
        </w:rPr>
        <w:t xml:space="preserve">Keywords: microorganisms, biodiversity, </w:t>
      </w:r>
      <w:r w:rsidR="00300AC3" w:rsidRPr="00300AC3">
        <w:rPr>
          <w:rFonts w:ascii="Arial" w:hAnsi="Arial" w:cs="Arial"/>
          <w:i/>
        </w:rPr>
        <w:t>degraded soils, agroforestry, soil biological activity</w:t>
      </w:r>
    </w:p>
    <w:p w14:paraId="1DFA0DA0" w14:textId="2AF61DB3" w:rsidR="00300AC3" w:rsidRDefault="00300AC3" w:rsidP="00441B6F">
      <w:pPr>
        <w:pStyle w:val="Body"/>
        <w:spacing w:after="0"/>
        <w:rPr>
          <w:rFonts w:ascii="Arial" w:hAnsi="Arial" w:cs="Arial"/>
          <w:i/>
        </w:rPr>
      </w:pPr>
    </w:p>
    <w:p w14:paraId="1AE66DFF" w14:textId="77777777" w:rsidR="007F7B32" w:rsidRDefault="00902823" w:rsidP="00216F8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168DD5" w14:textId="77777777" w:rsidR="00790ADA" w:rsidRPr="00FB3A86" w:rsidRDefault="00790ADA" w:rsidP="00441B6F">
      <w:pPr>
        <w:pStyle w:val="AbstHead"/>
        <w:spacing w:after="0"/>
        <w:jc w:val="both"/>
        <w:rPr>
          <w:rFonts w:ascii="Arial" w:hAnsi="Arial" w:cs="Arial"/>
        </w:rPr>
      </w:pPr>
    </w:p>
    <w:p w14:paraId="7AFD4A6D" w14:textId="7031A0F9" w:rsidR="00A1638F" w:rsidRPr="00A1638F" w:rsidRDefault="00A1638F" w:rsidP="00A1638F">
      <w:pPr>
        <w:pStyle w:val="Body"/>
        <w:rPr>
          <w:rFonts w:ascii="Arial" w:hAnsi="Arial" w:cs="Arial"/>
        </w:rPr>
      </w:pPr>
      <w:r w:rsidRPr="00A1638F">
        <w:rPr>
          <w:rFonts w:ascii="Arial" w:hAnsi="Arial" w:cs="Arial"/>
        </w:rPr>
        <w:t xml:space="preserve">In recent years, the condition of soils in Uzbekistan has been deteriorating due to both climate change and </w:t>
      </w:r>
      <w:r w:rsidR="00B14CEA">
        <w:rPr>
          <w:rFonts w:ascii="Arial" w:hAnsi="Arial" w:cs="Arial"/>
        </w:rPr>
        <w:t>intense anthropogenic pressure (Rakhimov, 2025)</w:t>
      </w:r>
      <w:r w:rsidRPr="00A1638F">
        <w:rPr>
          <w:rFonts w:ascii="Arial" w:hAnsi="Arial" w:cs="Arial"/>
        </w:rPr>
        <w:t xml:space="preserve">. For example, within </w:t>
      </w:r>
      <w:proofErr w:type="spellStart"/>
      <w:r w:rsidRPr="00A1638F">
        <w:rPr>
          <w:rFonts w:ascii="Arial" w:hAnsi="Arial" w:cs="Arial"/>
        </w:rPr>
        <w:t>Karakalpakstan</w:t>
      </w:r>
      <w:proofErr w:type="spellEnd"/>
      <w:r w:rsidRPr="00A1638F">
        <w:rPr>
          <w:rFonts w:ascii="Arial" w:hAnsi="Arial" w:cs="Arial"/>
        </w:rPr>
        <w:t>, located in the northern part of the desert zone, the drying up of the Aral Sea has increased the formation of salt marshes and sands on the dried-up seabed. The area of salt marshes in this republic has</w:t>
      </w:r>
      <w:r w:rsidR="00902AA4">
        <w:rPr>
          <w:rFonts w:ascii="Arial" w:hAnsi="Arial" w:cs="Arial"/>
        </w:rPr>
        <w:t xml:space="preserve"> increased more than threefold (</w:t>
      </w:r>
      <w:proofErr w:type="spellStart"/>
      <w:r w:rsidRPr="00A1638F">
        <w:rPr>
          <w:rFonts w:ascii="Arial" w:hAnsi="Arial" w:cs="Arial"/>
        </w:rPr>
        <w:t>Matzhanova</w:t>
      </w:r>
      <w:proofErr w:type="spellEnd"/>
      <w:r w:rsidRPr="00A1638F">
        <w:rPr>
          <w:rFonts w:ascii="Arial" w:hAnsi="Arial" w:cs="Arial"/>
        </w:rPr>
        <w:t xml:space="preserve"> </w:t>
      </w:r>
      <w:r w:rsidR="00902AA4">
        <w:rPr>
          <w:rFonts w:ascii="Arial" w:hAnsi="Arial" w:cs="Arial"/>
        </w:rPr>
        <w:t>&amp;</w:t>
      </w:r>
      <w:r w:rsidRPr="00A1638F">
        <w:rPr>
          <w:rFonts w:ascii="Arial" w:hAnsi="Arial" w:cs="Arial"/>
        </w:rPr>
        <w:t xml:space="preserve"> Orel, 2025</w:t>
      </w:r>
      <w:r w:rsidR="00902AA4">
        <w:rPr>
          <w:rFonts w:ascii="Arial" w:hAnsi="Arial" w:cs="Arial"/>
        </w:rPr>
        <w:t>)</w:t>
      </w:r>
      <w:r w:rsidRPr="00A1638F">
        <w:rPr>
          <w:rFonts w:ascii="Arial" w:hAnsi="Arial" w:cs="Arial"/>
        </w:rPr>
        <w:t>. The drying out and desertification of the lower part of the Amu Darya delta also played a significant role in this. Here, marsh, meadow-marsh and meadow floodplain-alluvial soils were transformed into the corresponding transitional or automorphic soils of the desert zone and salt marshes. Intensive irrigation and drainage reclamation have a certain impact on the transformation of soils.</w:t>
      </w:r>
    </w:p>
    <w:p w14:paraId="621D4044" w14:textId="3960C620" w:rsidR="00A1638F" w:rsidRPr="00A1638F" w:rsidRDefault="00A1638F" w:rsidP="00A1638F">
      <w:pPr>
        <w:pStyle w:val="Body"/>
        <w:rPr>
          <w:rFonts w:ascii="Arial" w:hAnsi="Arial" w:cs="Arial"/>
        </w:rPr>
      </w:pPr>
      <w:r w:rsidRPr="00A1638F">
        <w:rPr>
          <w:rFonts w:ascii="Arial" w:hAnsi="Arial" w:cs="Arial"/>
        </w:rPr>
        <w:t>In the current situation, most of the soil</w:t>
      </w:r>
      <w:r w:rsidR="00907956">
        <w:rPr>
          <w:rFonts w:ascii="Arial" w:hAnsi="Arial" w:cs="Arial"/>
        </w:rPr>
        <w:t xml:space="preserve">s of the Republic of </w:t>
      </w:r>
      <w:proofErr w:type="spellStart"/>
      <w:r w:rsidR="00907956">
        <w:rPr>
          <w:rFonts w:ascii="Arial" w:hAnsi="Arial" w:cs="Arial"/>
        </w:rPr>
        <w:t>Karakalpak</w:t>
      </w:r>
      <w:r w:rsidRPr="00A1638F">
        <w:rPr>
          <w:rFonts w:ascii="Arial" w:hAnsi="Arial" w:cs="Arial"/>
        </w:rPr>
        <w:t>stan</w:t>
      </w:r>
      <w:proofErr w:type="spellEnd"/>
      <w:r w:rsidRPr="00A1638F">
        <w:rPr>
          <w:rFonts w:ascii="Arial" w:hAnsi="Arial" w:cs="Arial"/>
        </w:rPr>
        <w:t xml:space="preserve"> are represented by slightly, moderately and highly saline soils. One of the effective methods of restoring </w:t>
      </w:r>
      <w:r w:rsidR="00902AA4">
        <w:rPr>
          <w:rFonts w:ascii="Arial" w:hAnsi="Arial" w:cs="Arial"/>
        </w:rPr>
        <w:t>degraded soils is agroforestry (</w:t>
      </w:r>
      <w:proofErr w:type="spellStart"/>
      <w:r w:rsidRPr="00A1638F">
        <w:rPr>
          <w:rFonts w:ascii="Arial" w:hAnsi="Arial" w:cs="Arial"/>
        </w:rPr>
        <w:t>Sadanov</w:t>
      </w:r>
      <w:proofErr w:type="spellEnd"/>
      <w:r w:rsidRPr="00A1638F">
        <w:rPr>
          <w:rFonts w:ascii="Arial" w:hAnsi="Arial" w:cs="Arial"/>
        </w:rPr>
        <w:t xml:space="preserve"> A.K. et al., 2019</w:t>
      </w:r>
      <w:r w:rsidR="00902AA4">
        <w:rPr>
          <w:rFonts w:ascii="Arial" w:hAnsi="Arial" w:cs="Arial"/>
        </w:rPr>
        <w:t>)</w:t>
      </w:r>
      <w:r w:rsidRPr="00A1638F">
        <w:rPr>
          <w:rFonts w:ascii="Arial" w:hAnsi="Arial" w:cs="Arial"/>
        </w:rPr>
        <w:t>. Agroforestry is an integrated technology that combines elements of agriculture and forestry to improve environmental conditions and increase the sustainability of agricultural landscapes. Agroforestry helps to increase biological diversity, improve soil structure, increase its water-holding capacity and reduce the negative effects of salinization. Through the use of trees and shrubs in combination with agricultural crops, sustainable ecosystems are created that can regenerate the natural balance</w:t>
      </w:r>
      <w:r w:rsidR="00B14CEA">
        <w:rPr>
          <w:rFonts w:ascii="Arial" w:hAnsi="Arial" w:cs="Arial"/>
        </w:rPr>
        <w:t xml:space="preserve"> even under extreme conditions (</w:t>
      </w:r>
      <w:r w:rsidRPr="00A1638F">
        <w:rPr>
          <w:rFonts w:ascii="Arial" w:hAnsi="Arial" w:cs="Arial"/>
        </w:rPr>
        <w:t xml:space="preserve">Limans in the Negev, 2022; </w:t>
      </w:r>
      <w:r w:rsidR="00C53BFB">
        <w:rPr>
          <w:rFonts w:ascii="Arial" w:hAnsi="Arial" w:cs="Arial"/>
        </w:rPr>
        <w:t xml:space="preserve">Dagar J. C., et al, 2020; </w:t>
      </w:r>
      <w:proofErr w:type="spellStart"/>
      <w:r w:rsidR="00C53BFB">
        <w:rPr>
          <w:rFonts w:ascii="Arial" w:hAnsi="Arial" w:cs="Arial"/>
        </w:rPr>
        <w:t>Leonti</w:t>
      </w:r>
      <w:r w:rsidRPr="00A1638F">
        <w:rPr>
          <w:rFonts w:ascii="Arial" w:hAnsi="Arial" w:cs="Arial"/>
        </w:rPr>
        <w:t>ev</w:t>
      </w:r>
      <w:proofErr w:type="spellEnd"/>
      <w:r w:rsidRPr="00A1638F">
        <w:rPr>
          <w:rFonts w:ascii="Arial" w:hAnsi="Arial" w:cs="Arial"/>
        </w:rPr>
        <w:t xml:space="preserve"> A.A., 2024</w:t>
      </w:r>
      <w:r w:rsidR="00B14CEA">
        <w:rPr>
          <w:rFonts w:ascii="Arial" w:hAnsi="Arial" w:cs="Arial"/>
        </w:rPr>
        <w:t>)</w:t>
      </w:r>
      <w:r w:rsidRPr="00A1638F">
        <w:rPr>
          <w:rFonts w:ascii="Arial" w:hAnsi="Arial" w:cs="Arial"/>
        </w:rPr>
        <w:t>.</w:t>
      </w:r>
    </w:p>
    <w:p w14:paraId="17375689" w14:textId="271FCB7C" w:rsidR="00A1638F" w:rsidRPr="00A1638F" w:rsidRDefault="00A1638F" w:rsidP="00A1638F">
      <w:pPr>
        <w:pStyle w:val="Body"/>
        <w:rPr>
          <w:rFonts w:ascii="Arial" w:hAnsi="Arial" w:cs="Arial"/>
        </w:rPr>
      </w:pPr>
      <w:r w:rsidRPr="00A1638F">
        <w:rPr>
          <w:rFonts w:ascii="Arial" w:hAnsi="Arial" w:cs="Arial"/>
        </w:rPr>
        <w:t xml:space="preserve">Species such as </w:t>
      </w:r>
      <w:r w:rsidRPr="006C69FA">
        <w:rPr>
          <w:rFonts w:ascii="Arial" w:hAnsi="Arial" w:cs="Arial"/>
          <w:i/>
          <w:iCs/>
        </w:rPr>
        <w:t xml:space="preserve">Medicago sativa, Sorghum </w:t>
      </w:r>
      <w:proofErr w:type="spellStart"/>
      <w:r w:rsidRPr="006C69FA">
        <w:rPr>
          <w:rFonts w:ascii="Arial" w:hAnsi="Arial" w:cs="Arial"/>
          <w:i/>
          <w:iCs/>
        </w:rPr>
        <w:t>sudanense</w:t>
      </w:r>
      <w:proofErr w:type="spellEnd"/>
      <w:r w:rsidRPr="006C69FA">
        <w:rPr>
          <w:rFonts w:ascii="Arial" w:hAnsi="Arial" w:cs="Arial"/>
          <w:i/>
          <w:iCs/>
        </w:rPr>
        <w:t xml:space="preserve">, Cynara </w:t>
      </w:r>
      <w:proofErr w:type="spellStart"/>
      <w:r w:rsidRPr="006C69FA">
        <w:rPr>
          <w:rFonts w:ascii="Arial" w:hAnsi="Arial" w:cs="Arial"/>
          <w:i/>
          <w:iCs/>
        </w:rPr>
        <w:t>scolymus</w:t>
      </w:r>
      <w:proofErr w:type="spellEnd"/>
      <w:r w:rsidRPr="006C69FA">
        <w:rPr>
          <w:rFonts w:ascii="Arial" w:hAnsi="Arial" w:cs="Arial"/>
          <w:i/>
          <w:iCs/>
        </w:rPr>
        <w:t xml:space="preserve">, Helianthus tuberosus, Beta vulgaris, Cucumis </w:t>
      </w:r>
      <w:proofErr w:type="spellStart"/>
      <w:r w:rsidRPr="006C69FA">
        <w:rPr>
          <w:rFonts w:ascii="Arial" w:hAnsi="Arial" w:cs="Arial"/>
          <w:i/>
          <w:iCs/>
        </w:rPr>
        <w:t>melo</w:t>
      </w:r>
      <w:proofErr w:type="spellEnd"/>
      <w:r w:rsidRPr="006C69FA">
        <w:rPr>
          <w:rFonts w:ascii="Arial" w:hAnsi="Arial" w:cs="Arial"/>
          <w:i/>
          <w:iCs/>
        </w:rPr>
        <w:t xml:space="preserve">, Abutilon </w:t>
      </w:r>
      <w:proofErr w:type="spellStart"/>
      <w:r w:rsidRPr="006C69FA">
        <w:rPr>
          <w:rFonts w:ascii="Arial" w:hAnsi="Arial" w:cs="Arial"/>
          <w:i/>
          <w:iCs/>
        </w:rPr>
        <w:t>theophrasti</w:t>
      </w:r>
      <w:proofErr w:type="spellEnd"/>
      <w:r w:rsidRPr="006C69FA">
        <w:rPr>
          <w:rFonts w:ascii="Arial" w:hAnsi="Arial" w:cs="Arial"/>
          <w:i/>
          <w:iCs/>
        </w:rPr>
        <w:t xml:space="preserve">, Silphium </w:t>
      </w:r>
      <w:proofErr w:type="spellStart"/>
      <w:r w:rsidRPr="006C69FA">
        <w:rPr>
          <w:rFonts w:ascii="Arial" w:hAnsi="Arial" w:cs="Arial"/>
          <w:i/>
          <w:iCs/>
        </w:rPr>
        <w:t>perfoliatum</w:t>
      </w:r>
      <w:proofErr w:type="spellEnd"/>
      <w:r w:rsidRPr="00A1638F">
        <w:rPr>
          <w:rFonts w:ascii="Arial" w:hAnsi="Arial" w:cs="Arial"/>
        </w:rPr>
        <w:t xml:space="preserve">, and various halophytes were evaluated in the experimental plots as promising candidates for fodder, medical, and technical purposes under moderate to high salinity conditions. In addition, fast-growing trees and shrubs (e.g., </w:t>
      </w:r>
      <w:r w:rsidRPr="00C061A7">
        <w:rPr>
          <w:rFonts w:ascii="Arial" w:hAnsi="Arial" w:cs="Arial"/>
          <w:i/>
        </w:rPr>
        <w:t>Sambucus nigra</w:t>
      </w:r>
      <w:r w:rsidRPr="00A1638F">
        <w:rPr>
          <w:rFonts w:ascii="Arial" w:hAnsi="Arial" w:cs="Arial"/>
        </w:rPr>
        <w:t xml:space="preserve">, </w:t>
      </w:r>
      <w:proofErr w:type="spellStart"/>
      <w:r w:rsidRPr="00C061A7">
        <w:rPr>
          <w:rFonts w:ascii="Arial" w:hAnsi="Arial" w:cs="Arial"/>
          <w:i/>
        </w:rPr>
        <w:t>Rhus</w:t>
      </w:r>
      <w:proofErr w:type="spellEnd"/>
      <w:r w:rsidRPr="00C061A7">
        <w:rPr>
          <w:rFonts w:ascii="Arial" w:hAnsi="Arial" w:cs="Arial"/>
          <w:i/>
        </w:rPr>
        <w:t xml:space="preserve"> glabra</w:t>
      </w:r>
      <w:r w:rsidRPr="00A1638F">
        <w:rPr>
          <w:rFonts w:ascii="Arial" w:hAnsi="Arial" w:cs="Arial"/>
        </w:rPr>
        <w:t xml:space="preserve">, </w:t>
      </w:r>
      <w:r w:rsidRPr="00C061A7">
        <w:rPr>
          <w:rFonts w:ascii="Arial" w:hAnsi="Arial" w:cs="Arial"/>
          <w:i/>
        </w:rPr>
        <w:t xml:space="preserve">Catalpa </w:t>
      </w:r>
      <w:proofErr w:type="spellStart"/>
      <w:r w:rsidRPr="00C061A7">
        <w:rPr>
          <w:rFonts w:ascii="Arial" w:hAnsi="Arial" w:cs="Arial"/>
          <w:i/>
        </w:rPr>
        <w:t>bignoniodes</w:t>
      </w:r>
      <w:proofErr w:type="spellEnd"/>
      <w:r w:rsidRPr="00A1638F">
        <w:rPr>
          <w:rFonts w:ascii="Arial" w:hAnsi="Arial" w:cs="Arial"/>
        </w:rPr>
        <w:t xml:space="preserve">, and </w:t>
      </w:r>
      <w:r w:rsidRPr="00C061A7">
        <w:rPr>
          <w:rFonts w:ascii="Arial" w:hAnsi="Arial" w:cs="Arial"/>
          <w:i/>
        </w:rPr>
        <w:lastRenderedPageBreak/>
        <w:t>Elaeagnus angustifolia</w:t>
      </w:r>
      <w:r w:rsidRPr="00A1638F">
        <w:rPr>
          <w:rFonts w:ascii="Arial" w:hAnsi="Arial" w:cs="Arial"/>
        </w:rPr>
        <w:t>) were selected as early colonizers to improve the vegetation cover. Growing plants on degraded soils can improve soil fertility by increasing the organic matter of the soil, increasing humidity, and, as a consequence, increasing microbial biodiversity, while the activity of microorganisms has a great restorative potential and contributes to furth</w:t>
      </w:r>
      <w:r w:rsidR="00B14CEA">
        <w:rPr>
          <w:rFonts w:ascii="Arial" w:hAnsi="Arial" w:cs="Arial"/>
        </w:rPr>
        <w:t>er improvement of soil quality (</w:t>
      </w:r>
      <w:r w:rsidRPr="00A1638F">
        <w:rPr>
          <w:rFonts w:ascii="Arial" w:hAnsi="Arial" w:cs="Arial"/>
        </w:rPr>
        <w:t xml:space="preserve">Smirnova </w:t>
      </w:r>
      <w:r w:rsidR="00B14CEA">
        <w:rPr>
          <w:rFonts w:ascii="Arial" w:hAnsi="Arial" w:cs="Arial"/>
        </w:rPr>
        <w:t>et al.</w:t>
      </w:r>
      <w:r w:rsidRPr="00A1638F">
        <w:rPr>
          <w:rFonts w:ascii="Arial" w:hAnsi="Arial" w:cs="Arial"/>
        </w:rPr>
        <w:t>, 2016</w:t>
      </w:r>
      <w:r w:rsidR="00C66630">
        <w:rPr>
          <w:rFonts w:ascii="Arial" w:hAnsi="Arial" w:cs="Arial"/>
        </w:rPr>
        <w:t>)</w:t>
      </w:r>
      <w:r w:rsidRPr="00A1638F">
        <w:rPr>
          <w:rFonts w:ascii="Arial" w:hAnsi="Arial" w:cs="Arial"/>
        </w:rPr>
        <w:t xml:space="preserve">. Stable associations should include nitrogen-fixing, phosphate-mobilizing, cellulolytic, silicate and other microorganisms. The composition of such associations should correspond to the normal </w:t>
      </w:r>
      <w:proofErr w:type="spellStart"/>
      <w:r w:rsidRPr="00A1638F">
        <w:rPr>
          <w:rFonts w:ascii="Arial" w:hAnsi="Arial" w:cs="Arial"/>
        </w:rPr>
        <w:t>microbiocenosis</w:t>
      </w:r>
      <w:proofErr w:type="spellEnd"/>
      <w:r w:rsidRPr="00A1638F">
        <w:rPr>
          <w:rFonts w:ascii="Arial" w:hAnsi="Arial" w:cs="Arial"/>
        </w:rPr>
        <w:t xml:space="preserve"> of healthy fertile soil. The presence of all these groups contributes to the enrichment of the soil with readily available nutrients due to the increased activity of soil processes, the soil becomes </w:t>
      </w:r>
      <w:r w:rsidR="00B14CEA">
        <w:rPr>
          <w:rFonts w:ascii="Arial" w:hAnsi="Arial" w:cs="Arial"/>
        </w:rPr>
        <w:t>more fertile (</w:t>
      </w:r>
      <w:r w:rsidRPr="00A1638F">
        <w:rPr>
          <w:rFonts w:ascii="Arial" w:hAnsi="Arial" w:cs="Arial"/>
        </w:rPr>
        <w:t>Mayer</w:t>
      </w:r>
      <w:r w:rsidR="00B14CEA">
        <w:rPr>
          <w:rFonts w:ascii="Arial" w:hAnsi="Arial" w:cs="Arial"/>
        </w:rPr>
        <w:t xml:space="preserve"> et al., 2010)</w:t>
      </w:r>
      <w:r w:rsidRPr="00A1638F">
        <w:rPr>
          <w:rFonts w:ascii="Arial" w:hAnsi="Arial" w:cs="Arial"/>
        </w:rPr>
        <w:t>. In this case, mineral fertilizers, pesticides and other chemical plant protection products are not used, and the products become environmentally friendly, completely sa</w:t>
      </w:r>
      <w:r w:rsidR="00B14CEA">
        <w:rPr>
          <w:rFonts w:ascii="Arial" w:hAnsi="Arial" w:cs="Arial"/>
        </w:rPr>
        <w:t>fe for humans and farm animals (</w:t>
      </w:r>
      <w:r w:rsidRPr="00A1638F">
        <w:rPr>
          <w:rFonts w:ascii="Arial" w:hAnsi="Arial" w:cs="Arial"/>
        </w:rPr>
        <w:t xml:space="preserve">Gorski </w:t>
      </w:r>
      <w:r w:rsidR="00B14CEA">
        <w:rPr>
          <w:rFonts w:ascii="Arial" w:hAnsi="Arial" w:cs="Arial"/>
        </w:rPr>
        <w:t>&amp;</w:t>
      </w:r>
      <w:r w:rsidRPr="00A1638F">
        <w:rPr>
          <w:rFonts w:ascii="Arial" w:hAnsi="Arial" w:cs="Arial"/>
        </w:rPr>
        <w:t xml:space="preserve"> Kleiber, 2010</w:t>
      </w:r>
      <w:r w:rsidR="00B14CEA">
        <w:rPr>
          <w:rFonts w:ascii="Arial" w:hAnsi="Arial" w:cs="Arial"/>
        </w:rPr>
        <w:t>)</w:t>
      </w:r>
      <w:r w:rsidRPr="00A1638F">
        <w:rPr>
          <w:rFonts w:ascii="Arial" w:hAnsi="Arial" w:cs="Arial"/>
        </w:rPr>
        <w:t>.</w:t>
      </w:r>
    </w:p>
    <w:p w14:paraId="48976B29" w14:textId="20017437" w:rsidR="00790ADA" w:rsidRDefault="00A1638F" w:rsidP="00A1638F">
      <w:pPr>
        <w:pStyle w:val="Body"/>
        <w:spacing w:after="0"/>
        <w:rPr>
          <w:rFonts w:ascii="Arial" w:hAnsi="Arial" w:cs="Arial"/>
        </w:rPr>
      </w:pPr>
      <w:r w:rsidRPr="00A1638F">
        <w:rPr>
          <w:rFonts w:ascii="Arial" w:hAnsi="Arial" w:cs="Arial"/>
        </w:rPr>
        <w:t>The soil itself, being a unique niche for the development and coexistence of aerobic and anaerobic microorganisms, is the largest “storage bank” of microbiol</w:t>
      </w:r>
      <w:r w:rsidR="00B14CEA">
        <w:rPr>
          <w:rFonts w:ascii="Arial" w:hAnsi="Arial" w:cs="Arial"/>
        </w:rPr>
        <w:t>ogical diversity on the planet (</w:t>
      </w:r>
      <w:r w:rsidRPr="00A1638F">
        <w:rPr>
          <w:rFonts w:ascii="Arial" w:hAnsi="Arial" w:cs="Arial"/>
        </w:rPr>
        <w:t>Gans</w:t>
      </w:r>
      <w:r w:rsidR="00B14CEA">
        <w:rPr>
          <w:rFonts w:ascii="Arial" w:hAnsi="Arial" w:cs="Arial"/>
        </w:rPr>
        <w:t xml:space="preserve"> </w:t>
      </w:r>
      <w:r w:rsidRPr="00A1638F">
        <w:rPr>
          <w:rFonts w:ascii="Arial" w:hAnsi="Arial" w:cs="Arial"/>
        </w:rPr>
        <w:t>et al</w:t>
      </w:r>
      <w:r w:rsidR="00B14CEA">
        <w:rPr>
          <w:rFonts w:ascii="Arial" w:hAnsi="Arial" w:cs="Arial"/>
        </w:rPr>
        <w:t>.</w:t>
      </w:r>
      <w:r w:rsidRPr="00A1638F">
        <w:rPr>
          <w:rFonts w:ascii="Arial" w:hAnsi="Arial" w:cs="Arial"/>
        </w:rPr>
        <w:t>, 2005; Liu et al</w:t>
      </w:r>
      <w:r w:rsidR="00B14CEA">
        <w:rPr>
          <w:rFonts w:ascii="Arial" w:hAnsi="Arial" w:cs="Arial"/>
        </w:rPr>
        <w:t>.</w:t>
      </w:r>
      <w:r w:rsidRPr="00A1638F">
        <w:rPr>
          <w:rFonts w:ascii="Arial" w:hAnsi="Arial" w:cs="Arial"/>
        </w:rPr>
        <w:t>, 2017</w:t>
      </w:r>
      <w:r w:rsidR="00B14CEA">
        <w:rPr>
          <w:rFonts w:ascii="Arial" w:hAnsi="Arial" w:cs="Arial"/>
        </w:rPr>
        <w:t>)</w:t>
      </w:r>
      <w:r w:rsidRPr="00A1638F">
        <w:rPr>
          <w:rFonts w:ascii="Arial" w:hAnsi="Arial" w:cs="Arial"/>
        </w:rPr>
        <w:t>. Thus, the multitude of rhizosphere microorganisms is a subset of the soil microorganisms in which the plant grows. Microorganisms and plants interact due to a complex set of ch</w:t>
      </w:r>
      <w:r w:rsidR="00B14CEA">
        <w:rPr>
          <w:rFonts w:ascii="Arial" w:hAnsi="Arial" w:cs="Arial"/>
        </w:rPr>
        <w:t>emical compounds they secrete (</w:t>
      </w:r>
      <w:proofErr w:type="spellStart"/>
      <w:r w:rsidRPr="00A1638F">
        <w:rPr>
          <w:rFonts w:ascii="Arial" w:hAnsi="Arial" w:cs="Arial"/>
        </w:rPr>
        <w:t>Rozpądek</w:t>
      </w:r>
      <w:proofErr w:type="spellEnd"/>
      <w:r w:rsidRPr="00A1638F">
        <w:rPr>
          <w:rFonts w:ascii="Arial" w:hAnsi="Arial" w:cs="Arial"/>
        </w:rPr>
        <w:t xml:space="preserve"> et al</w:t>
      </w:r>
      <w:r w:rsidR="00B14CEA">
        <w:rPr>
          <w:rFonts w:ascii="Arial" w:hAnsi="Arial" w:cs="Arial"/>
        </w:rPr>
        <w:t>.</w:t>
      </w:r>
      <w:r w:rsidRPr="00A1638F">
        <w:rPr>
          <w:rFonts w:ascii="Arial" w:hAnsi="Arial" w:cs="Arial"/>
        </w:rPr>
        <w:t>, 2018</w:t>
      </w:r>
      <w:r w:rsidR="00B14CEA">
        <w:rPr>
          <w:rFonts w:ascii="Arial" w:hAnsi="Arial" w:cs="Arial"/>
        </w:rPr>
        <w:t>).</w:t>
      </w:r>
      <w:r w:rsidRPr="00A1638F">
        <w:rPr>
          <w:rFonts w:ascii="Arial" w:hAnsi="Arial" w:cs="Arial"/>
        </w:rPr>
        <w:t xml:space="preserve"> To increase the efficiency of root colonization, bacteria (rhizobia, pseudomonads, etc.) are able to produce exopolysaccharides and oligosaccharides that promote the formation of nodule</w:t>
      </w:r>
      <w:r w:rsidR="00B14CEA">
        <w:rPr>
          <w:rFonts w:ascii="Arial" w:hAnsi="Arial" w:cs="Arial"/>
        </w:rPr>
        <w:t>s and the creation of biofilms (</w:t>
      </w:r>
      <w:r w:rsidRPr="00A1638F">
        <w:rPr>
          <w:rFonts w:ascii="Arial" w:hAnsi="Arial" w:cs="Arial"/>
        </w:rPr>
        <w:t xml:space="preserve">Oldroyd, 2013; Arora </w:t>
      </w:r>
      <w:r w:rsidR="00B14CEA">
        <w:rPr>
          <w:rFonts w:ascii="Arial" w:hAnsi="Arial" w:cs="Arial"/>
        </w:rPr>
        <w:t>&amp;</w:t>
      </w:r>
      <w:r w:rsidRPr="00A1638F">
        <w:rPr>
          <w:rFonts w:ascii="Arial" w:hAnsi="Arial" w:cs="Arial"/>
        </w:rPr>
        <w:t xml:space="preserve"> Mishra, 2016</w:t>
      </w:r>
      <w:r w:rsidR="00B14CEA">
        <w:rPr>
          <w:rFonts w:ascii="Arial" w:hAnsi="Arial" w:cs="Arial"/>
        </w:rPr>
        <w:t>)</w:t>
      </w:r>
      <w:r w:rsidRPr="00A1638F">
        <w:rPr>
          <w:rFonts w:ascii="Arial" w:hAnsi="Arial" w:cs="Arial"/>
        </w:rPr>
        <w:t>. In other words, plants help improve the condition of the soil and promote the development of microorganisms, which in turn improve soil fertility and promote better plant growth.</w:t>
      </w:r>
    </w:p>
    <w:p w14:paraId="7C3C3B7F" w14:textId="77777777" w:rsidR="00A1638F" w:rsidRPr="00FB3A86" w:rsidRDefault="00A1638F" w:rsidP="00A1638F">
      <w:pPr>
        <w:pStyle w:val="Body"/>
        <w:spacing w:after="0"/>
        <w:rPr>
          <w:rFonts w:ascii="Arial" w:hAnsi="Arial" w:cs="Arial"/>
        </w:rPr>
      </w:pPr>
    </w:p>
    <w:p w14:paraId="73F6DB55" w14:textId="77777777" w:rsidR="007F7B32" w:rsidRDefault="00902823" w:rsidP="00A679B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60494B1B" w14:textId="77777777" w:rsidR="00790ADA" w:rsidRPr="00FB3A86" w:rsidRDefault="00790ADA" w:rsidP="00441B6F">
      <w:pPr>
        <w:pStyle w:val="AbstHead"/>
        <w:spacing w:after="0"/>
        <w:jc w:val="both"/>
        <w:rPr>
          <w:rFonts w:ascii="Arial" w:hAnsi="Arial" w:cs="Arial"/>
        </w:rPr>
      </w:pPr>
    </w:p>
    <w:p w14:paraId="44FD976A" w14:textId="1941EC65" w:rsidR="006C69FA" w:rsidRPr="006C69FA" w:rsidRDefault="006C69FA" w:rsidP="006C69FA">
      <w:pPr>
        <w:pStyle w:val="Body"/>
        <w:rPr>
          <w:rFonts w:ascii="Arial" w:hAnsi="Arial" w:cs="Arial"/>
        </w:rPr>
      </w:pPr>
      <w:r w:rsidRPr="006C69FA">
        <w:rPr>
          <w:rFonts w:ascii="Arial" w:hAnsi="Arial" w:cs="Arial"/>
        </w:rPr>
        <w:t xml:space="preserve">The studies were conducted in </w:t>
      </w:r>
      <w:proofErr w:type="spellStart"/>
      <w:r w:rsidRPr="006C69FA">
        <w:rPr>
          <w:rFonts w:ascii="Arial" w:hAnsi="Arial" w:cs="Arial"/>
        </w:rPr>
        <w:t>agrocenoses</w:t>
      </w:r>
      <w:proofErr w:type="spellEnd"/>
      <w:r w:rsidRPr="006C69FA">
        <w:rPr>
          <w:rFonts w:ascii="Arial" w:hAnsi="Arial" w:cs="Arial"/>
        </w:rPr>
        <w:t xml:space="preserve"> on an experimental plot planted with different plant species in comparison with the undisturbed ecosystem of a control plot of degraded soils (Republic of </w:t>
      </w:r>
      <w:proofErr w:type="spellStart"/>
      <w:r w:rsidRPr="006C69FA">
        <w:rPr>
          <w:rFonts w:ascii="Arial" w:hAnsi="Arial" w:cs="Arial"/>
        </w:rPr>
        <w:t>Karakalpakistan</w:t>
      </w:r>
      <w:proofErr w:type="spellEnd"/>
      <w:r w:rsidRPr="006C69FA">
        <w:rPr>
          <w:rFonts w:ascii="Arial" w:hAnsi="Arial" w:cs="Arial"/>
        </w:rPr>
        <w:t>). Sampling was carried out one year after growing plants (beet, alfalfa, artichoke, kochia, amaranth) on the experimental plot using the "envelope" method, i</w:t>
      </w:r>
      <w:r w:rsidR="006B4784">
        <w:rPr>
          <w:rFonts w:ascii="Arial" w:hAnsi="Arial" w:cs="Arial"/>
        </w:rPr>
        <w:t>n accordance with the standard (</w:t>
      </w:r>
      <w:proofErr w:type="spellStart"/>
      <w:r w:rsidRPr="006C69FA">
        <w:rPr>
          <w:rFonts w:ascii="Arial" w:hAnsi="Arial" w:cs="Arial"/>
        </w:rPr>
        <w:t>Netrusov</w:t>
      </w:r>
      <w:proofErr w:type="spellEnd"/>
      <w:r w:rsidRPr="006C69FA">
        <w:rPr>
          <w:rFonts w:ascii="Arial" w:hAnsi="Arial" w:cs="Arial"/>
        </w:rPr>
        <w:t xml:space="preserve"> et al., 2005</w:t>
      </w:r>
      <w:r w:rsidR="006B4784">
        <w:rPr>
          <w:rFonts w:ascii="Arial" w:hAnsi="Arial" w:cs="Arial"/>
        </w:rPr>
        <w:t>)</w:t>
      </w:r>
      <w:r w:rsidRPr="006C69FA">
        <w:rPr>
          <w:rFonts w:ascii="Arial" w:hAnsi="Arial" w:cs="Arial"/>
        </w:rPr>
        <w:t xml:space="preserve">. The structure of the microbial </w:t>
      </w:r>
      <w:proofErr w:type="spellStart"/>
      <w:r w:rsidRPr="006C69FA">
        <w:rPr>
          <w:rFonts w:ascii="Arial" w:hAnsi="Arial" w:cs="Arial"/>
        </w:rPr>
        <w:t>cenosis</w:t>
      </w:r>
      <w:proofErr w:type="spellEnd"/>
      <w:r w:rsidRPr="006C69FA">
        <w:rPr>
          <w:rFonts w:ascii="Arial" w:hAnsi="Arial" w:cs="Arial"/>
        </w:rPr>
        <w:t xml:space="preserve"> was studied in the 0-20 cm layer. The number of </w:t>
      </w:r>
      <w:proofErr w:type="spellStart"/>
      <w:r w:rsidRPr="006C69FA">
        <w:rPr>
          <w:rFonts w:ascii="Arial" w:hAnsi="Arial" w:cs="Arial"/>
        </w:rPr>
        <w:t>ecotrophic</w:t>
      </w:r>
      <w:proofErr w:type="spellEnd"/>
      <w:r w:rsidRPr="006C69FA">
        <w:rPr>
          <w:rFonts w:ascii="Arial" w:hAnsi="Arial" w:cs="Arial"/>
        </w:rPr>
        <w:t xml:space="preserve"> groups of microorganisms was determined by inoculation on solid nutrient media. Accounting of organisms assimilating organic forms of nitrogen - inoculation on meat-peptone agar (MPA); account of organisms assimilating mineral forms of nitrogen - inoculation on starch-ammonium medium (SAM); account of fungi - </w:t>
      </w:r>
      <w:proofErr w:type="spellStart"/>
      <w:r w:rsidRPr="006C69FA">
        <w:rPr>
          <w:rFonts w:ascii="Arial" w:hAnsi="Arial" w:cs="Arial"/>
        </w:rPr>
        <w:t>Czapek</w:t>
      </w:r>
      <w:proofErr w:type="spellEnd"/>
      <w:r w:rsidRPr="006C69FA">
        <w:rPr>
          <w:rFonts w:ascii="Arial" w:hAnsi="Arial" w:cs="Arial"/>
        </w:rPr>
        <w:t xml:space="preserve"> medium; account of nitrifiers - on starvation agar; accounting for organisms that decompose fiber – Winogradsky’s </w:t>
      </w:r>
      <w:r w:rsidR="00E455E5">
        <w:rPr>
          <w:rFonts w:ascii="Arial" w:hAnsi="Arial" w:cs="Arial"/>
        </w:rPr>
        <w:t>medium</w:t>
      </w:r>
      <w:r w:rsidRPr="006C69FA">
        <w:rPr>
          <w:rFonts w:ascii="Arial" w:hAnsi="Arial" w:cs="Arial"/>
        </w:rPr>
        <w:t>.</w:t>
      </w:r>
    </w:p>
    <w:p w14:paraId="4FA68776" w14:textId="2F139A46" w:rsidR="006C69FA" w:rsidRPr="006C69FA" w:rsidRDefault="006C69FA" w:rsidP="006C69FA">
      <w:pPr>
        <w:pStyle w:val="Body"/>
        <w:rPr>
          <w:rFonts w:ascii="Arial" w:hAnsi="Arial" w:cs="Arial"/>
        </w:rPr>
      </w:pPr>
      <w:r w:rsidRPr="006C69FA">
        <w:rPr>
          <w:rFonts w:ascii="Arial" w:hAnsi="Arial" w:cs="Arial"/>
        </w:rPr>
        <w:t>All sowings were carried out from two parallel flasks in two replicates. The number of microorganisms in 1 g (1 ml) of the initial substrate was determined by serial dilutions with see</w:t>
      </w:r>
      <w:r w:rsidR="006B4784">
        <w:rPr>
          <w:rFonts w:ascii="Arial" w:hAnsi="Arial" w:cs="Arial"/>
        </w:rPr>
        <w:t>ding on solid and liquid media (</w:t>
      </w:r>
      <w:proofErr w:type="spellStart"/>
      <w:r w:rsidRPr="006C69FA">
        <w:rPr>
          <w:rFonts w:ascii="Arial" w:hAnsi="Arial" w:cs="Arial"/>
        </w:rPr>
        <w:t>Netrusov</w:t>
      </w:r>
      <w:proofErr w:type="spellEnd"/>
      <w:r w:rsidRPr="006C69FA">
        <w:rPr>
          <w:rFonts w:ascii="Arial" w:hAnsi="Arial" w:cs="Arial"/>
        </w:rPr>
        <w:t xml:space="preserve"> et al., 2005</w:t>
      </w:r>
      <w:r w:rsidR="006B4784">
        <w:rPr>
          <w:rFonts w:ascii="Arial" w:hAnsi="Arial" w:cs="Arial"/>
        </w:rPr>
        <w:t>)</w:t>
      </w:r>
      <w:r w:rsidRPr="006C69FA">
        <w:rPr>
          <w:rFonts w:ascii="Arial" w:hAnsi="Arial" w:cs="Arial"/>
        </w:rPr>
        <w:t>. The number of microorganisms in liquid media was determined using the McCready table.</w:t>
      </w:r>
    </w:p>
    <w:p w14:paraId="42A79E6C" w14:textId="77777777" w:rsidR="006C69FA" w:rsidRPr="006C69FA" w:rsidRDefault="006C69FA" w:rsidP="006C69FA">
      <w:pPr>
        <w:pStyle w:val="Body"/>
        <w:rPr>
          <w:rFonts w:ascii="Arial" w:hAnsi="Arial" w:cs="Arial"/>
        </w:rPr>
      </w:pPr>
      <w:r w:rsidRPr="006C69FA">
        <w:rPr>
          <w:rFonts w:ascii="Arial" w:hAnsi="Arial" w:cs="Arial"/>
        </w:rPr>
        <w:t>After determining the moisture content of each soil sample at 105 0C, the number of microorganisms was recalculated per 1 g of absolutely dry soil and expressed in colony-forming units (CFU g-1).</w:t>
      </w:r>
    </w:p>
    <w:p w14:paraId="4561B582" w14:textId="4AC2343F" w:rsidR="006C69FA" w:rsidRDefault="006C69FA" w:rsidP="006C69FA">
      <w:pPr>
        <w:pStyle w:val="Body"/>
        <w:spacing w:after="0"/>
        <w:rPr>
          <w:rFonts w:ascii="Arial" w:hAnsi="Arial" w:cs="Arial"/>
        </w:rPr>
      </w:pPr>
      <w:r w:rsidRPr="006C69FA">
        <w:rPr>
          <w:rFonts w:ascii="Arial" w:hAnsi="Arial" w:cs="Arial"/>
        </w:rPr>
        <w:t>Soil samples for chemical analysis were collected periodically during the growing season. The soil was air-dried for 24 hours, cleaned of plant residues, crushed in a porcelain mortar and sifted</w:t>
      </w:r>
      <w:r w:rsidR="006B4784">
        <w:rPr>
          <w:rFonts w:ascii="Arial" w:hAnsi="Arial" w:cs="Arial"/>
        </w:rPr>
        <w:t xml:space="preserve"> through a fine sieve (1-2 mm) (</w:t>
      </w:r>
      <w:proofErr w:type="spellStart"/>
      <w:r w:rsidRPr="006C69FA">
        <w:rPr>
          <w:rFonts w:ascii="Arial" w:hAnsi="Arial" w:cs="Arial"/>
        </w:rPr>
        <w:t>Vorobyeva</w:t>
      </w:r>
      <w:proofErr w:type="spellEnd"/>
      <w:r w:rsidRPr="006C69FA">
        <w:rPr>
          <w:rFonts w:ascii="Arial" w:hAnsi="Arial" w:cs="Arial"/>
        </w:rPr>
        <w:t>, 2006</w:t>
      </w:r>
      <w:r w:rsidR="006B4784">
        <w:rPr>
          <w:rFonts w:ascii="Arial" w:hAnsi="Arial" w:cs="Arial"/>
        </w:rPr>
        <w:t>)</w:t>
      </w:r>
      <w:r w:rsidRPr="006C69FA">
        <w:rPr>
          <w:rFonts w:ascii="Arial" w:hAnsi="Arial" w:cs="Arial"/>
        </w:rPr>
        <w:t>. Before chemical analysis, the samples were additionally dried for 24 hours in a drying cabinet at 105°C to an absolutely dry weight. Chemical analysis of the samples was carried out according to</w:t>
      </w:r>
      <w:r w:rsidR="006B4784">
        <w:rPr>
          <w:rFonts w:ascii="Arial" w:hAnsi="Arial" w:cs="Arial"/>
        </w:rPr>
        <w:t xml:space="preserve"> the generally accepted method (</w:t>
      </w:r>
      <w:proofErr w:type="spellStart"/>
      <w:r w:rsidRPr="006C69FA">
        <w:rPr>
          <w:rFonts w:ascii="Arial" w:hAnsi="Arial" w:cs="Arial"/>
        </w:rPr>
        <w:t>Vorobyeva</w:t>
      </w:r>
      <w:proofErr w:type="spellEnd"/>
      <w:r w:rsidRPr="006C69FA">
        <w:rPr>
          <w:rFonts w:ascii="Arial" w:hAnsi="Arial" w:cs="Arial"/>
        </w:rPr>
        <w:t>, 1998</w:t>
      </w:r>
      <w:r w:rsidR="006B4784">
        <w:rPr>
          <w:rFonts w:ascii="Arial" w:hAnsi="Arial" w:cs="Arial"/>
        </w:rPr>
        <w:t>)</w:t>
      </w:r>
      <w:r w:rsidRPr="006C69FA">
        <w:rPr>
          <w:rFonts w:ascii="Arial" w:hAnsi="Arial" w:cs="Arial"/>
        </w:rPr>
        <w:t xml:space="preserve">. </w:t>
      </w:r>
    </w:p>
    <w:p w14:paraId="2EF02707" w14:textId="1A1F7F42" w:rsidR="00790ADA" w:rsidRDefault="006C69FA" w:rsidP="006C69FA">
      <w:pPr>
        <w:pStyle w:val="Body"/>
        <w:spacing w:after="0"/>
        <w:rPr>
          <w:rFonts w:ascii="Arial" w:hAnsi="Arial" w:cs="Arial"/>
        </w:rPr>
      </w:pPr>
      <w:r w:rsidRPr="006C69FA">
        <w:rPr>
          <w:rFonts w:ascii="Arial" w:hAnsi="Arial" w:cs="Arial"/>
        </w:rPr>
        <w:t xml:space="preserve">The objectives of the research included studying the effect of plant cultivation on the </w:t>
      </w:r>
      <w:proofErr w:type="spellStart"/>
      <w:r w:rsidRPr="006C69FA">
        <w:rPr>
          <w:rFonts w:ascii="Arial" w:hAnsi="Arial" w:cs="Arial"/>
        </w:rPr>
        <w:t>microbiocenosis</w:t>
      </w:r>
      <w:proofErr w:type="spellEnd"/>
      <w:r w:rsidRPr="006C69FA">
        <w:rPr>
          <w:rFonts w:ascii="Arial" w:hAnsi="Arial" w:cs="Arial"/>
        </w:rPr>
        <w:t xml:space="preserve"> of degraded soils.</w:t>
      </w:r>
    </w:p>
    <w:p w14:paraId="4EBE68D7" w14:textId="77777777" w:rsidR="006C69FA" w:rsidRPr="00FB3A86" w:rsidRDefault="006C69FA" w:rsidP="006C69FA">
      <w:pPr>
        <w:pStyle w:val="Body"/>
        <w:spacing w:after="0"/>
        <w:rPr>
          <w:rFonts w:ascii="Arial" w:hAnsi="Arial" w:cs="Arial"/>
        </w:rPr>
      </w:pPr>
    </w:p>
    <w:p w14:paraId="4E15F283" w14:textId="77777777" w:rsidR="00902823" w:rsidRDefault="00000F8F" w:rsidP="00A96891">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05638E" w14:textId="77777777" w:rsidR="00790ADA" w:rsidRPr="00FB3A86" w:rsidRDefault="00790ADA" w:rsidP="00441B6F">
      <w:pPr>
        <w:pStyle w:val="Head1"/>
        <w:spacing w:after="0"/>
        <w:jc w:val="both"/>
        <w:rPr>
          <w:rFonts w:ascii="Arial" w:hAnsi="Arial" w:cs="Arial"/>
        </w:rPr>
      </w:pPr>
    </w:p>
    <w:p w14:paraId="23BC51AE" w14:textId="4F9D22C4" w:rsidR="00A96891" w:rsidRDefault="00F3066F" w:rsidP="00A96891">
      <w:pPr>
        <w:pStyle w:val="Body"/>
        <w:spacing w:after="0"/>
        <w:rPr>
          <w:rFonts w:ascii="Arial" w:hAnsi="Arial" w:cs="Arial"/>
        </w:rPr>
      </w:pPr>
      <w:r w:rsidRPr="00F3066F">
        <w:rPr>
          <w:rFonts w:ascii="Arial" w:hAnsi="Arial" w:cs="Arial"/>
        </w:rPr>
        <w:t xml:space="preserve">At the stage one year after growing the plants, their potential for restoring degraded soils was assessed. An important component of soil fertility is the composition of soil microflora. The </w:t>
      </w:r>
      <w:r w:rsidRPr="00F3066F">
        <w:rPr>
          <w:rFonts w:ascii="Arial" w:hAnsi="Arial" w:cs="Arial"/>
        </w:rPr>
        <w:lastRenderedPageBreak/>
        <w:t xml:space="preserve">quantitative composition and ratio of individual representatives in the microbial </w:t>
      </w:r>
      <w:proofErr w:type="spellStart"/>
      <w:r w:rsidRPr="00F3066F">
        <w:rPr>
          <w:rFonts w:ascii="Arial" w:hAnsi="Arial" w:cs="Arial"/>
        </w:rPr>
        <w:t>cenosis</w:t>
      </w:r>
      <w:proofErr w:type="spellEnd"/>
      <w:r w:rsidRPr="00F3066F">
        <w:rPr>
          <w:rFonts w:ascii="Arial" w:hAnsi="Arial" w:cs="Arial"/>
        </w:rPr>
        <w:t xml:space="preserve"> of the soil significantly depends on both the method of soil cultivation and the entry of plant residues into the soil, which are primarily transformed under the influence of non-spore bacteria and microscopic fungi, and at the later stages of this process - bacilli and actinomycetes. The study of soil biodynamics, which reflects the state of the soil-microorganisms-plants system, is becoming increasingly important. Therefore, data obtained in the conditions of </w:t>
      </w:r>
      <w:proofErr w:type="spellStart"/>
      <w:r w:rsidRPr="00F3066F">
        <w:rPr>
          <w:rFonts w:ascii="Arial" w:hAnsi="Arial" w:cs="Arial"/>
        </w:rPr>
        <w:t>agrocenoses</w:t>
      </w:r>
      <w:proofErr w:type="spellEnd"/>
      <w:r w:rsidRPr="00F3066F">
        <w:rPr>
          <w:rFonts w:ascii="Arial" w:hAnsi="Arial" w:cs="Arial"/>
        </w:rPr>
        <w:t xml:space="preserve"> and undisturbed ecosystems seem important. Microbiological analysis of soils revealed an increase in the total microbial number as a result of plant growth (Fig. 1). The increase in numbers occurs mainly due to microorganisms involved in the transformation of nitrogen compounds - </w:t>
      </w:r>
      <w:proofErr w:type="spellStart"/>
      <w:r w:rsidRPr="00F3066F">
        <w:rPr>
          <w:rFonts w:ascii="Arial" w:hAnsi="Arial" w:cs="Arial"/>
        </w:rPr>
        <w:t>nitrifiers</w:t>
      </w:r>
      <w:proofErr w:type="spellEnd"/>
      <w:r w:rsidRPr="00F3066F">
        <w:rPr>
          <w:rFonts w:ascii="Arial" w:hAnsi="Arial" w:cs="Arial"/>
        </w:rPr>
        <w:t xml:space="preserve">, </w:t>
      </w:r>
      <w:proofErr w:type="spellStart"/>
      <w:r w:rsidRPr="00F3066F">
        <w:rPr>
          <w:rFonts w:ascii="Arial" w:hAnsi="Arial" w:cs="Arial"/>
        </w:rPr>
        <w:t>denitrifiers</w:t>
      </w:r>
      <w:proofErr w:type="spellEnd"/>
      <w:r w:rsidRPr="00F3066F">
        <w:rPr>
          <w:rFonts w:ascii="Arial" w:hAnsi="Arial" w:cs="Arial"/>
        </w:rPr>
        <w:t xml:space="preserve"> and nitrogen fixers.</w:t>
      </w:r>
    </w:p>
    <w:p w14:paraId="6F151420" w14:textId="77777777" w:rsidR="009464C9" w:rsidRDefault="009464C9" w:rsidP="00A96891">
      <w:pPr>
        <w:pStyle w:val="Body"/>
        <w:spacing w:after="0"/>
        <w:rPr>
          <w:rFonts w:ascii="Arial" w:hAnsi="Arial" w:cs="Arial"/>
        </w:rPr>
      </w:pPr>
    </w:p>
    <w:p w14:paraId="0A965748" w14:textId="66D0A9BB" w:rsidR="00A96891" w:rsidRPr="009701ED" w:rsidRDefault="009701ED" w:rsidP="00A96891">
      <w:pPr>
        <w:pStyle w:val="Body"/>
        <w:spacing w:after="0"/>
        <w:rPr>
          <w:rFonts w:ascii="Arial" w:hAnsi="Arial" w:cs="Arial"/>
        </w:rPr>
      </w:pPr>
      <w:r>
        <w:rPr>
          <w:noProof/>
        </w:rPr>
        <w:drawing>
          <wp:inline distT="0" distB="0" distL="0" distR="0" wp14:anchorId="6E0C5927" wp14:editId="1E639516">
            <wp:extent cx="5222631" cy="3103684"/>
            <wp:effectExtent l="0" t="0" r="16510" b="1905"/>
            <wp:docPr id="5" name="Диаграмма 5">
              <a:extLst xmlns:a="http://schemas.openxmlformats.org/drawingml/2006/main">
                <a:ext uri="{FF2B5EF4-FFF2-40B4-BE49-F238E27FC236}">
                  <a16:creationId xmlns:a16="http://schemas.microsoft.com/office/drawing/2014/main" id="{D4AD9D64-EFE7-41EB-9977-937C8BC0F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9F1B2E" w14:textId="77777777" w:rsidR="009A161C" w:rsidRDefault="009A161C" w:rsidP="00A96891">
      <w:pPr>
        <w:pStyle w:val="Body"/>
        <w:spacing w:after="0"/>
        <w:rPr>
          <w:rFonts w:ascii="Arial" w:hAnsi="Arial" w:cs="Arial"/>
          <w:b/>
        </w:rPr>
      </w:pPr>
    </w:p>
    <w:p w14:paraId="26E28C21" w14:textId="1FBB2041" w:rsidR="00A96891" w:rsidRDefault="00A96891" w:rsidP="00A96891">
      <w:pPr>
        <w:pStyle w:val="Body"/>
        <w:spacing w:after="0"/>
        <w:rPr>
          <w:rFonts w:ascii="Arial" w:hAnsi="Arial" w:cs="Arial"/>
          <w:b/>
        </w:rPr>
      </w:pPr>
      <w:r w:rsidRPr="00A96891">
        <w:rPr>
          <w:rFonts w:ascii="Arial" w:hAnsi="Arial" w:cs="Arial"/>
          <w:b/>
        </w:rPr>
        <w:t>Fig. 1. Quantitative and qualitative indicators of soils.</w:t>
      </w:r>
    </w:p>
    <w:p w14:paraId="5C268E5A" w14:textId="77777777" w:rsidR="00A96891" w:rsidRDefault="00A96891" w:rsidP="00A96891">
      <w:pPr>
        <w:pStyle w:val="Body"/>
        <w:spacing w:after="0"/>
        <w:rPr>
          <w:rFonts w:ascii="Arial" w:hAnsi="Arial" w:cs="Arial"/>
          <w:b/>
        </w:rPr>
      </w:pPr>
    </w:p>
    <w:p w14:paraId="33E57E60" w14:textId="4E881DEC" w:rsidR="009464C9" w:rsidRDefault="00FA7C6F" w:rsidP="00A96891">
      <w:pPr>
        <w:pStyle w:val="Body"/>
        <w:spacing w:after="0"/>
        <w:rPr>
          <w:rFonts w:ascii="Arial" w:hAnsi="Arial" w:cs="Arial"/>
        </w:rPr>
      </w:pPr>
      <w:r w:rsidRPr="00FA7C6F">
        <w:rPr>
          <w:rFonts w:ascii="Arial" w:hAnsi="Arial" w:cs="Arial"/>
        </w:rPr>
        <w:t xml:space="preserve">A particularly favorable factor is the high content of the </w:t>
      </w:r>
      <w:proofErr w:type="spellStart"/>
      <w:r w:rsidRPr="00FA7C6F">
        <w:rPr>
          <w:rFonts w:ascii="Arial" w:hAnsi="Arial" w:cs="Arial"/>
        </w:rPr>
        <w:t>oligonitrophilic</w:t>
      </w:r>
      <w:proofErr w:type="spellEnd"/>
      <w:r w:rsidRPr="00FA7C6F">
        <w:rPr>
          <w:rFonts w:ascii="Arial" w:hAnsi="Arial" w:cs="Arial"/>
        </w:rPr>
        <w:t xml:space="preserve"> microorganism group (5.6 x 10</w:t>
      </w:r>
      <w:r w:rsidRPr="009464C9">
        <w:rPr>
          <w:rFonts w:ascii="Arial" w:hAnsi="Arial" w:cs="Arial"/>
          <w:vertAlign w:val="superscript"/>
        </w:rPr>
        <w:t>5</w:t>
      </w:r>
      <w:r w:rsidRPr="00FA7C6F">
        <w:rPr>
          <w:rFonts w:ascii="Arial" w:hAnsi="Arial" w:cs="Arial"/>
        </w:rPr>
        <w:t xml:space="preserve"> CFU/ml). It is known that </w:t>
      </w:r>
      <w:proofErr w:type="spellStart"/>
      <w:r w:rsidRPr="00FA7C6F">
        <w:rPr>
          <w:rFonts w:ascii="Arial" w:hAnsi="Arial" w:cs="Arial"/>
        </w:rPr>
        <w:t>oligonitrophils</w:t>
      </w:r>
      <w:proofErr w:type="spellEnd"/>
      <w:r w:rsidRPr="00FA7C6F">
        <w:rPr>
          <w:rFonts w:ascii="Arial" w:hAnsi="Arial" w:cs="Arial"/>
        </w:rPr>
        <w:t xml:space="preserve"> play an important role in the formation of soil fertility. Low, but generally sufficient content of bound nitrogen in soil samples supports a high number of </w:t>
      </w:r>
      <w:proofErr w:type="spellStart"/>
      <w:r w:rsidRPr="00FA7C6F">
        <w:rPr>
          <w:rFonts w:ascii="Arial" w:hAnsi="Arial" w:cs="Arial"/>
        </w:rPr>
        <w:t>oligonitrophils</w:t>
      </w:r>
      <w:proofErr w:type="spellEnd"/>
      <w:r w:rsidRPr="00FA7C6F">
        <w:rPr>
          <w:rFonts w:ascii="Arial" w:hAnsi="Arial" w:cs="Arial"/>
        </w:rPr>
        <w:t xml:space="preserve">. This group of microorganisms is able to be satisfied with substrates that are poor in nutrients and, for the most part, has the ability to cover the lack of nitrogen by fixing it from the atmosphere and immobilizing it in the soil. They also participate in the deep mineralization of organic matter. Representatives of the genus </w:t>
      </w:r>
      <w:r w:rsidRPr="00E455E5">
        <w:rPr>
          <w:rFonts w:ascii="Arial" w:hAnsi="Arial" w:cs="Arial"/>
          <w:i/>
        </w:rPr>
        <w:t>Pseudomonas</w:t>
      </w:r>
      <w:r w:rsidRPr="00FA7C6F">
        <w:rPr>
          <w:rFonts w:ascii="Arial" w:hAnsi="Arial" w:cs="Arial"/>
        </w:rPr>
        <w:t xml:space="preserve"> and some representatives of the genus </w:t>
      </w:r>
      <w:r w:rsidRPr="00E455E5">
        <w:rPr>
          <w:rFonts w:ascii="Arial" w:hAnsi="Arial" w:cs="Arial"/>
          <w:i/>
        </w:rPr>
        <w:t>Bacillus</w:t>
      </w:r>
      <w:r w:rsidRPr="00FA7C6F">
        <w:rPr>
          <w:rFonts w:ascii="Arial" w:hAnsi="Arial" w:cs="Arial"/>
        </w:rPr>
        <w:t xml:space="preserve"> belong to the specific microflora capable of decomposing humic substances. Representatives of actinomycetes are also capable of active growth on humate media and decomposition of </w:t>
      </w:r>
      <w:proofErr w:type="spellStart"/>
      <w:r w:rsidRPr="00FA7C6F">
        <w:rPr>
          <w:rFonts w:ascii="Arial" w:hAnsi="Arial" w:cs="Arial"/>
        </w:rPr>
        <w:t>humic</w:t>
      </w:r>
      <w:proofErr w:type="spellEnd"/>
      <w:r w:rsidRPr="00FA7C6F">
        <w:rPr>
          <w:rFonts w:ascii="Arial" w:hAnsi="Arial" w:cs="Arial"/>
        </w:rPr>
        <w:t xml:space="preserve"> substances (</w:t>
      </w:r>
      <w:proofErr w:type="spellStart"/>
      <w:r w:rsidRPr="00E455E5">
        <w:rPr>
          <w:rFonts w:ascii="Arial" w:hAnsi="Arial" w:cs="Arial"/>
          <w:i/>
        </w:rPr>
        <w:t>Artrhobacter</w:t>
      </w:r>
      <w:proofErr w:type="spellEnd"/>
      <w:r w:rsidRPr="00FA7C6F">
        <w:rPr>
          <w:rFonts w:ascii="Arial" w:hAnsi="Arial" w:cs="Arial"/>
        </w:rPr>
        <w:t xml:space="preserve">, </w:t>
      </w:r>
      <w:r w:rsidRPr="00E455E5">
        <w:rPr>
          <w:rFonts w:ascii="Arial" w:hAnsi="Arial" w:cs="Arial"/>
          <w:i/>
        </w:rPr>
        <w:t>Mycobacterium</w:t>
      </w:r>
      <w:r w:rsidRPr="00FA7C6F">
        <w:rPr>
          <w:rFonts w:ascii="Arial" w:hAnsi="Arial" w:cs="Arial"/>
        </w:rPr>
        <w:t xml:space="preserve"> and </w:t>
      </w:r>
      <w:r w:rsidRPr="00E455E5">
        <w:rPr>
          <w:rFonts w:ascii="Arial" w:hAnsi="Arial" w:cs="Arial"/>
          <w:i/>
        </w:rPr>
        <w:t>Streptomyces</w:t>
      </w:r>
      <w:r w:rsidRPr="00FA7C6F">
        <w:rPr>
          <w:rFonts w:ascii="Arial" w:hAnsi="Arial" w:cs="Arial"/>
        </w:rPr>
        <w:t xml:space="preserve">), etc. </w:t>
      </w:r>
      <w:r w:rsidR="00E52050" w:rsidRPr="00E52050">
        <w:rPr>
          <w:rFonts w:ascii="Arial" w:hAnsi="Arial" w:cs="Arial"/>
        </w:rPr>
        <w:t>Figure 2 shows the microbial landscapes identified on various nutrient media.</w:t>
      </w:r>
    </w:p>
    <w:p w14:paraId="06E7675E" w14:textId="77777777" w:rsidR="00E52050" w:rsidRDefault="00E52050" w:rsidP="00A96891">
      <w:pPr>
        <w:pStyle w:val="Body"/>
        <w:spacing w:after="0"/>
        <w:rPr>
          <w:rFonts w:ascii="Arial" w:hAnsi="Arial" w:cs="Arial"/>
        </w:rPr>
      </w:pPr>
    </w:p>
    <w:p w14:paraId="3BFEEC62" w14:textId="2A1DA0AC" w:rsidR="00E52050" w:rsidRPr="0054131F" w:rsidRDefault="007349E2" w:rsidP="00A96891">
      <w:pPr>
        <w:pStyle w:val="Body"/>
        <w:spacing w:after="0"/>
        <w:rPr>
          <w:rFonts w:ascii="Arial" w:hAnsi="Arial" w:cs="Arial"/>
        </w:rPr>
      </w:pPr>
      <w:r w:rsidRPr="007349E2">
        <w:rPr>
          <w:rFonts w:ascii="Arial" w:hAnsi="Arial" w:cs="Arial"/>
          <w:noProof/>
          <w:lang w:val="ru-RU" w:eastAsia="ru-RU"/>
        </w:rPr>
        <w:drawing>
          <wp:inline distT="0" distB="0" distL="0" distR="0" wp14:anchorId="1DFCA30F" wp14:editId="1F0710F6">
            <wp:extent cx="1628775" cy="1679261"/>
            <wp:effectExtent l="0" t="0" r="0" b="0"/>
            <wp:docPr id="2" name="Рисунок 2" descr="D:\Desktop\для статьи\20250414_142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для статьи\20250414_14222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9622" cy="1690444"/>
                    </a:xfrm>
                    <a:prstGeom prst="rect">
                      <a:avLst/>
                    </a:prstGeom>
                    <a:noFill/>
                    <a:ln>
                      <a:noFill/>
                    </a:ln>
                  </pic:spPr>
                </pic:pic>
              </a:graphicData>
            </a:graphic>
          </wp:inline>
        </w:drawing>
      </w:r>
      <w:r w:rsidRPr="0054131F">
        <w:rPr>
          <w:rFonts w:ascii="Arial" w:hAnsi="Arial" w:cs="Arial"/>
        </w:rPr>
        <w:t xml:space="preserve"> </w:t>
      </w:r>
      <w:r w:rsidRPr="007349E2">
        <w:rPr>
          <w:rFonts w:ascii="Arial" w:hAnsi="Arial" w:cs="Arial"/>
          <w:noProof/>
          <w:lang w:val="ru-RU" w:eastAsia="ru-RU"/>
        </w:rPr>
        <w:drawing>
          <wp:inline distT="0" distB="0" distL="0" distR="0" wp14:anchorId="5B6B705B" wp14:editId="5AA768DA">
            <wp:extent cx="1628775" cy="1667071"/>
            <wp:effectExtent l="0" t="0" r="0" b="9525"/>
            <wp:docPr id="3" name="Рисунок 3" descr="D:\Desktop\для статьи\20250414_142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для статьи\20250414_1422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157" cy="1682815"/>
                    </a:xfrm>
                    <a:prstGeom prst="rect">
                      <a:avLst/>
                    </a:prstGeom>
                    <a:noFill/>
                    <a:ln>
                      <a:noFill/>
                    </a:ln>
                  </pic:spPr>
                </pic:pic>
              </a:graphicData>
            </a:graphic>
          </wp:inline>
        </w:drawing>
      </w:r>
      <w:r w:rsidRPr="0054131F">
        <w:rPr>
          <w:rFonts w:ascii="Arial" w:hAnsi="Arial" w:cs="Arial"/>
        </w:rPr>
        <w:t xml:space="preserve"> </w:t>
      </w:r>
      <w:r w:rsidRPr="007349E2">
        <w:rPr>
          <w:rFonts w:ascii="Arial" w:hAnsi="Arial" w:cs="Arial"/>
          <w:noProof/>
          <w:lang w:val="ru-RU" w:eastAsia="ru-RU"/>
        </w:rPr>
        <w:drawing>
          <wp:inline distT="0" distB="0" distL="0" distR="0" wp14:anchorId="75A02C2E" wp14:editId="25B72C04">
            <wp:extent cx="1638300" cy="1676541"/>
            <wp:effectExtent l="0" t="0" r="0" b="0"/>
            <wp:docPr id="4" name="Рисунок 4" descr="D:\Desktop\для статьи\20250414_14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для статьи\20250414_1428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1658651" cy="1697367"/>
                    </a:xfrm>
                    <a:prstGeom prst="rect">
                      <a:avLst/>
                    </a:prstGeom>
                    <a:noFill/>
                    <a:ln>
                      <a:noFill/>
                    </a:ln>
                  </pic:spPr>
                </pic:pic>
              </a:graphicData>
            </a:graphic>
          </wp:inline>
        </w:drawing>
      </w:r>
    </w:p>
    <w:p w14:paraId="2E04D645" w14:textId="77777777" w:rsidR="007349E2" w:rsidRPr="0054131F" w:rsidRDefault="007349E2" w:rsidP="00A96891">
      <w:pPr>
        <w:pStyle w:val="Body"/>
        <w:spacing w:after="0"/>
        <w:rPr>
          <w:rFonts w:ascii="Arial" w:hAnsi="Arial" w:cs="Arial"/>
        </w:rPr>
      </w:pPr>
    </w:p>
    <w:p w14:paraId="0BC8ED20" w14:textId="6921A396" w:rsidR="007349E2" w:rsidRPr="007349E2" w:rsidRDefault="007349E2" w:rsidP="00A96891">
      <w:pPr>
        <w:pStyle w:val="Body"/>
        <w:spacing w:after="0"/>
        <w:rPr>
          <w:rFonts w:ascii="Arial" w:hAnsi="Arial" w:cs="Arial"/>
          <w:b/>
        </w:rPr>
      </w:pPr>
      <w:r w:rsidRPr="007349E2">
        <w:rPr>
          <w:rFonts w:ascii="Arial" w:hAnsi="Arial" w:cs="Arial"/>
          <w:b/>
        </w:rPr>
        <w:t>Fig. 2.</w:t>
      </w:r>
      <w:r>
        <w:rPr>
          <w:rFonts w:ascii="Arial" w:hAnsi="Arial" w:cs="Arial"/>
          <w:b/>
        </w:rPr>
        <w:t xml:space="preserve"> M</w:t>
      </w:r>
      <w:r w:rsidRPr="007349E2">
        <w:rPr>
          <w:rFonts w:ascii="Arial" w:hAnsi="Arial" w:cs="Arial"/>
          <w:b/>
        </w:rPr>
        <w:t>icrobial landscape of soil samples</w:t>
      </w:r>
    </w:p>
    <w:p w14:paraId="13873325" w14:textId="77777777" w:rsidR="00E52050" w:rsidRDefault="00E52050" w:rsidP="00A96891">
      <w:pPr>
        <w:pStyle w:val="Body"/>
        <w:spacing w:after="0"/>
        <w:rPr>
          <w:rFonts w:ascii="Arial" w:hAnsi="Arial" w:cs="Arial"/>
        </w:rPr>
      </w:pPr>
    </w:p>
    <w:p w14:paraId="1FBD3381" w14:textId="062DEF9C" w:rsidR="00A96891" w:rsidRDefault="00FA7C6F" w:rsidP="00A96891">
      <w:pPr>
        <w:pStyle w:val="Body"/>
        <w:spacing w:after="0"/>
        <w:rPr>
          <w:rFonts w:ascii="Arial" w:hAnsi="Arial" w:cs="Arial"/>
        </w:rPr>
      </w:pPr>
      <w:r w:rsidRPr="00FA7C6F">
        <w:rPr>
          <w:rFonts w:ascii="Arial" w:hAnsi="Arial" w:cs="Arial"/>
        </w:rPr>
        <w:t>Chemical analysis of samples (control and experimental plots), presented in Table 1, show that growing plants has a positive effect on soil quality. Thus, the amount of salts decreased by 3 times - from 3.411% to 1.32%.</w:t>
      </w:r>
    </w:p>
    <w:p w14:paraId="6A3BABA7" w14:textId="77777777" w:rsidR="002D4FF1" w:rsidRDefault="002D4FF1" w:rsidP="00A96891">
      <w:pPr>
        <w:pStyle w:val="Body"/>
        <w:spacing w:after="0"/>
        <w:rPr>
          <w:rFonts w:ascii="Arial" w:hAnsi="Arial" w:cs="Arial"/>
        </w:rPr>
      </w:pPr>
    </w:p>
    <w:p w14:paraId="77FA080E" w14:textId="00B63C80" w:rsidR="00FA7C6F" w:rsidRDefault="00FA7C6F" w:rsidP="002D4FF1">
      <w:pPr>
        <w:pStyle w:val="Body"/>
        <w:spacing w:after="0"/>
        <w:rPr>
          <w:rStyle w:val="rynqvb"/>
          <w:b/>
          <w:bCs/>
          <w:lang w:val="en"/>
        </w:rPr>
      </w:pPr>
      <w:r w:rsidRPr="002D4FF1">
        <w:rPr>
          <w:rFonts w:ascii="Arial" w:hAnsi="Arial" w:cs="Arial"/>
          <w:b/>
        </w:rPr>
        <w:t>Table 1</w:t>
      </w:r>
      <w:r w:rsidR="002D4FF1">
        <w:rPr>
          <w:rFonts w:ascii="Arial" w:hAnsi="Arial" w:cs="Arial"/>
          <w:b/>
        </w:rPr>
        <w:t xml:space="preserve">. </w:t>
      </w:r>
      <w:r w:rsidRPr="00FA7C6F">
        <w:rPr>
          <w:rStyle w:val="rynqvb"/>
          <w:b/>
          <w:bCs/>
          <w:lang w:val="en"/>
        </w:rPr>
        <w:t>Chemical analysis of soil samples</w:t>
      </w:r>
    </w:p>
    <w:p w14:paraId="61A338E2" w14:textId="77777777" w:rsidR="00F35C97" w:rsidRDefault="00F35C97" w:rsidP="002D4FF1">
      <w:pPr>
        <w:pStyle w:val="Body"/>
        <w:spacing w:after="0"/>
        <w:rPr>
          <w:rStyle w:val="rynqvb"/>
          <w:b/>
          <w:bCs/>
          <w:lang w:val="en"/>
        </w:rPr>
      </w:pPr>
    </w:p>
    <w:tbl>
      <w:tblPr>
        <w:tblW w:w="8364" w:type="dxa"/>
        <w:jc w:val="center"/>
        <w:tblBorders>
          <w:top w:val="single" w:sz="4" w:space="0" w:color="auto"/>
          <w:bottom w:val="single" w:sz="4" w:space="0" w:color="auto"/>
        </w:tblBorders>
        <w:tblLayout w:type="fixed"/>
        <w:tblLook w:val="0000" w:firstRow="0" w:lastRow="0" w:firstColumn="0" w:lastColumn="0" w:noHBand="0" w:noVBand="0"/>
      </w:tblPr>
      <w:tblGrid>
        <w:gridCol w:w="2694"/>
        <w:gridCol w:w="2830"/>
        <w:gridCol w:w="2840"/>
      </w:tblGrid>
      <w:tr w:rsidR="00FA7C6F" w:rsidRPr="008A1183" w14:paraId="32381288" w14:textId="77777777" w:rsidTr="002D4FF1">
        <w:trPr>
          <w:cantSplit/>
          <w:trHeight w:val="107"/>
          <w:jc w:val="center"/>
        </w:trPr>
        <w:tc>
          <w:tcPr>
            <w:tcW w:w="2694" w:type="dxa"/>
            <w:vMerge w:val="restart"/>
            <w:tcBorders>
              <w:top w:val="single" w:sz="4" w:space="0" w:color="auto"/>
              <w:bottom w:val="single" w:sz="4" w:space="0" w:color="auto"/>
            </w:tcBorders>
            <w:vAlign w:val="center"/>
          </w:tcPr>
          <w:p w14:paraId="0AB40352" w14:textId="644F4487" w:rsidR="00FA7C6F" w:rsidRPr="00C81A5B" w:rsidRDefault="00B85243" w:rsidP="00183391">
            <w:pPr>
              <w:spacing w:line="276" w:lineRule="auto"/>
              <w:rPr>
                <w:rFonts w:ascii="Times New Roman" w:hAnsi="Times New Roman"/>
                <w:b/>
                <w:sz w:val="24"/>
                <w:szCs w:val="24"/>
              </w:rPr>
            </w:pPr>
            <w:r w:rsidRPr="00C81A5B">
              <w:rPr>
                <w:rFonts w:ascii="Times New Roman" w:hAnsi="Times New Roman"/>
                <w:b/>
                <w:sz w:val="24"/>
                <w:szCs w:val="24"/>
              </w:rPr>
              <w:t>Salt</w:t>
            </w:r>
          </w:p>
        </w:tc>
        <w:tc>
          <w:tcPr>
            <w:tcW w:w="5670" w:type="dxa"/>
            <w:gridSpan w:val="2"/>
            <w:tcBorders>
              <w:top w:val="single" w:sz="4" w:space="0" w:color="auto"/>
              <w:bottom w:val="single" w:sz="4" w:space="0" w:color="auto"/>
            </w:tcBorders>
            <w:vAlign w:val="center"/>
          </w:tcPr>
          <w:p w14:paraId="36F00D39" w14:textId="1287E7D9"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Salt composition</w:t>
            </w:r>
            <w:r w:rsidR="00FA7C6F" w:rsidRPr="00C81A5B">
              <w:rPr>
                <w:rFonts w:ascii="Times New Roman" w:hAnsi="Times New Roman"/>
                <w:b/>
                <w:sz w:val="24"/>
                <w:szCs w:val="24"/>
              </w:rPr>
              <w:t>, %</w:t>
            </w:r>
          </w:p>
        </w:tc>
      </w:tr>
      <w:tr w:rsidR="00FA7C6F" w:rsidRPr="008A1183" w14:paraId="7D2C16C0" w14:textId="77777777" w:rsidTr="002D4FF1">
        <w:trPr>
          <w:cantSplit/>
          <w:trHeight w:val="107"/>
          <w:jc w:val="center"/>
        </w:trPr>
        <w:tc>
          <w:tcPr>
            <w:tcW w:w="2694" w:type="dxa"/>
            <w:vMerge/>
            <w:tcBorders>
              <w:top w:val="single" w:sz="4" w:space="0" w:color="auto"/>
              <w:bottom w:val="single" w:sz="4" w:space="0" w:color="auto"/>
            </w:tcBorders>
            <w:vAlign w:val="center"/>
          </w:tcPr>
          <w:p w14:paraId="2C2BC88B" w14:textId="77777777" w:rsidR="00FA7C6F" w:rsidRPr="00C81A5B" w:rsidRDefault="00FA7C6F" w:rsidP="00183391">
            <w:pPr>
              <w:spacing w:line="276" w:lineRule="auto"/>
              <w:rPr>
                <w:rFonts w:ascii="Times New Roman" w:hAnsi="Times New Roman"/>
                <w:b/>
                <w:sz w:val="24"/>
                <w:szCs w:val="24"/>
              </w:rPr>
            </w:pPr>
          </w:p>
        </w:tc>
        <w:tc>
          <w:tcPr>
            <w:tcW w:w="2830" w:type="dxa"/>
            <w:tcBorders>
              <w:top w:val="single" w:sz="4" w:space="0" w:color="auto"/>
              <w:bottom w:val="single" w:sz="4" w:space="0" w:color="auto"/>
            </w:tcBorders>
            <w:vAlign w:val="center"/>
          </w:tcPr>
          <w:p w14:paraId="26B94DDF" w14:textId="3FA50F58"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Control area</w:t>
            </w:r>
          </w:p>
        </w:tc>
        <w:tc>
          <w:tcPr>
            <w:tcW w:w="2840" w:type="dxa"/>
            <w:tcBorders>
              <w:top w:val="single" w:sz="4" w:space="0" w:color="auto"/>
              <w:bottom w:val="single" w:sz="4" w:space="0" w:color="auto"/>
            </w:tcBorders>
            <w:vAlign w:val="center"/>
          </w:tcPr>
          <w:p w14:paraId="2DED2187" w14:textId="63F924D0"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Experimental plot</w:t>
            </w:r>
          </w:p>
        </w:tc>
      </w:tr>
      <w:tr w:rsidR="00FA7C6F" w:rsidRPr="008A1183" w14:paraId="06DDEF16" w14:textId="77777777" w:rsidTr="002D4FF1">
        <w:trPr>
          <w:cantSplit/>
          <w:trHeight w:val="107"/>
          <w:jc w:val="center"/>
        </w:trPr>
        <w:tc>
          <w:tcPr>
            <w:tcW w:w="2694" w:type="dxa"/>
            <w:tcBorders>
              <w:top w:val="single" w:sz="4" w:space="0" w:color="auto"/>
            </w:tcBorders>
            <w:vAlign w:val="center"/>
          </w:tcPr>
          <w:p w14:paraId="1F71B45F"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Ca (HCO</w:t>
            </w:r>
            <w:r w:rsidRPr="008A1183">
              <w:rPr>
                <w:rFonts w:ascii="Times New Roman" w:hAnsi="Times New Roman"/>
                <w:sz w:val="24"/>
                <w:szCs w:val="24"/>
                <w:vertAlign w:val="subscript"/>
              </w:rPr>
              <w:t>3</w:t>
            </w:r>
            <w:r w:rsidRPr="008A1183">
              <w:rPr>
                <w:rFonts w:ascii="Times New Roman" w:hAnsi="Times New Roman"/>
                <w:sz w:val="24"/>
                <w:szCs w:val="24"/>
              </w:rPr>
              <w:t>)</w:t>
            </w:r>
          </w:p>
        </w:tc>
        <w:tc>
          <w:tcPr>
            <w:tcW w:w="2830" w:type="dxa"/>
            <w:tcBorders>
              <w:top w:val="single" w:sz="4" w:space="0" w:color="auto"/>
            </w:tcBorders>
            <w:vAlign w:val="center"/>
          </w:tcPr>
          <w:p w14:paraId="6821544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0,031</w:t>
            </w:r>
          </w:p>
        </w:tc>
        <w:tc>
          <w:tcPr>
            <w:tcW w:w="2840" w:type="dxa"/>
            <w:tcBorders>
              <w:top w:val="single" w:sz="4" w:space="0" w:color="auto"/>
            </w:tcBorders>
            <w:vAlign w:val="center"/>
          </w:tcPr>
          <w:p w14:paraId="61AB6210"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0,049</w:t>
            </w:r>
          </w:p>
        </w:tc>
      </w:tr>
      <w:tr w:rsidR="00FA7C6F" w:rsidRPr="008A1183" w14:paraId="1615CC93" w14:textId="77777777" w:rsidTr="002D4FF1">
        <w:trPr>
          <w:cantSplit/>
          <w:trHeight w:val="107"/>
          <w:jc w:val="center"/>
        </w:trPr>
        <w:tc>
          <w:tcPr>
            <w:tcW w:w="2694" w:type="dxa"/>
            <w:vAlign w:val="center"/>
          </w:tcPr>
          <w:p w14:paraId="0B29C85B"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CaSO</w:t>
            </w:r>
            <w:r w:rsidRPr="008A1183">
              <w:rPr>
                <w:rFonts w:ascii="Times New Roman" w:hAnsi="Times New Roman"/>
                <w:sz w:val="24"/>
                <w:szCs w:val="24"/>
                <w:vertAlign w:val="subscript"/>
              </w:rPr>
              <w:t>4</w:t>
            </w:r>
          </w:p>
        </w:tc>
        <w:tc>
          <w:tcPr>
            <w:tcW w:w="2830" w:type="dxa"/>
            <w:vAlign w:val="center"/>
          </w:tcPr>
          <w:p w14:paraId="5CF808B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0,961</w:t>
            </w:r>
          </w:p>
        </w:tc>
        <w:tc>
          <w:tcPr>
            <w:tcW w:w="2840" w:type="dxa"/>
            <w:vAlign w:val="center"/>
          </w:tcPr>
          <w:p w14:paraId="32738DD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0,468</w:t>
            </w:r>
          </w:p>
        </w:tc>
      </w:tr>
      <w:tr w:rsidR="00FA7C6F" w:rsidRPr="008A1183" w14:paraId="0B0D48A2" w14:textId="77777777" w:rsidTr="002D4FF1">
        <w:trPr>
          <w:cantSplit/>
          <w:trHeight w:val="107"/>
          <w:jc w:val="center"/>
        </w:trPr>
        <w:tc>
          <w:tcPr>
            <w:tcW w:w="2694" w:type="dxa"/>
            <w:vAlign w:val="center"/>
          </w:tcPr>
          <w:p w14:paraId="5D55D7DA"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MgSO</w:t>
            </w:r>
            <w:r w:rsidRPr="008A1183">
              <w:rPr>
                <w:rFonts w:ascii="Times New Roman" w:hAnsi="Times New Roman"/>
                <w:sz w:val="24"/>
                <w:szCs w:val="24"/>
                <w:vertAlign w:val="subscript"/>
              </w:rPr>
              <w:t>4</w:t>
            </w:r>
          </w:p>
        </w:tc>
        <w:tc>
          <w:tcPr>
            <w:tcW w:w="2830" w:type="dxa"/>
            <w:vAlign w:val="center"/>
          </w:tcPr>
          <w:p w14:paraId="4146A5B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0,217</w:t>
            </w:r>
          </w:p>
        </w:tc>
        <w:tc>
          <w:tcPr>
            <w:tcW w:w="2840" w:type="dxa"/>
            <w:vAlign w:val="center"/>
          </w:tcPr>
          <w:p w14:paraId="4E50C11D"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0,084</w:t>
            </w:r>
          </w:p>
        </w:tc>
      </w:tr>
      <w:tr w:rsidR="00FA7C6F" w:rsidRPr="008A1183" w14:paraId="489604DD" w14:textId="77777777" w:rsidTr="002D4FF1">
        <w:trPr>
          <w:cantSplit/>
          <w:trHeight w:val="107"/>
          <w:jc w:val="center"/>
        </w:trPr>
        <w:tc>
          <w:tcPr>
            <w:tcW w:w="2694" w:type="dxa"/>
            <w:vAlign w:val="center"/>
          </w:tcPr>
          <w:p w14:paraId="17A83330"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w:t>
            </w:r>
            <w:r w:rsidRPr="008A1183">
              <w:rPr>
                <w:rFonts w:ascii="Times New Roman" w:hAnsi="Times New Roman"/>
                <w:sz w:val="24"/>
                <w:szCs w:val="24"/>
                <w:vertAlign w:val="subscript"/>
              </w:rPr>
              <w:t>2</w:t>
            </w:r>
            <w:r w:rsidRPr="008A1183">
              <w:rPr>
                <w:rFonts w:ascii="Times New Roman" w:hAnsi="Times New Roman"/>
                <w:sz w:val="24"/>
                <w:szCs w:val="24"/>
              </w:rPr>
              <w:t>SO</w:t>
            </w:r>
            <w:r w:rsidRPr="008A1183">
              <w:rPr>
                <w:rFonts w:ascii="Times New Roman" w:hAnsi="Times New Roman"/>
                <w:sz w:val="24"/>
                <w:szCs w:val="24"/>
                <w:vertAlign w:val="subscript"/>
              </w:rPr>
              <w:t>4</w:t>
            </w:r>
          </w:p>
        </w:tc>
        <w:tc>
          <w:tcPr>
            <w:tcW w:w="2830" w:type="dxa"/>
            <w:vAlign w:val="center"/>
          </w:tcPr>
          <w:p w14:paraId="2AC08517"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1,052</w:t>
            </w:r>
          </w:p>
        </w:tc>
        <w:tc>
          <w:tcPr>
            <w:tcW w:w="2840" w:type="dxa"/>
            <w:vAlign w:val="center"/>
          </w:tcPr>
          <w:p w14:paraId="36BE963A"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0,274</w:t>
            </w:r>
          </w:p>
        </w:tc>
      </w:tr>
      <w:tr w:rsidR="00FA7C6F" w:rsidRPr="008A1183" w14:paraId="4419E5FF" w14:textId="77777777" w:rsidTr="002D4FF1">
        <w:trPr>
          <w:cantSplit/>
          <w:trHeight w:val="107"/>
          <w:jc w:val="center"/>
        </w:trPr>
        <w:tc>
          <w:tcPr>
            <w:tcW w:w="2694" w:type="dxa"/>
            <w:vAlign w:val="center"/>
          </w:tcPr>
          <w:p w14:paraId="3E456B4D"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КNO</w:t>
            </w:r>
            <w:r w:rsidRPr="008A1183">
              <w:rPr>
                <w:rFonts w:ascii="Times New Roman" w:hAnsi="Times New Roman"/>
                <w:sz w:val="24"/>
                <w:szCs w:val="24"/>
                <w:vertAlign w:val="subscript"/>
              </w:rPr>
              <w:t>3</w:t>
            </w:r>
          </w:p>
        </w:tc>
        <w:tc>
          <w:tcPr>
            <w:tcW w:w="2830" w:type="dxa"/>
            <w:vAlign w:val="center"/>
          </w:tcPr>
          <w:p w14:paraId="08323AB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0,10</w:t>
            </w:r>
          </w:p>
        </w:tc>
        <w:tc>
          <w:tcPr>
            <w:tcW w:w="2840" w:type="dxa"/>
            <w:vAlign w:val="center"/>
          </w:tcPr>
          <w:p w14:paraId="0A038535"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0,038</w:t>
            </w:r>
          </w:p>
        </w:tc>
      </w:tr>
      <w:tr w:rsidR="00FA7C6F" w:rsidRPr="008A1183" w14:paraId="58537DE1" w14:textId="77777777" w:rsidTr="002D4FF1">
        <w:trPr>
          <w:cantSplit/>
          <w:trHeight w:val="107"/>
          <w:jc w:val="center"/>
        </w:trPr>
        <w:tc>
          <w:tcPr>
            <w:tcW w:w="2694" w:type="dxa"/>
            <w:vAlign w:val="center"/>
          </w:tcPr>
          <w:p w14:paraId="309933C4"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NaNO</w:t>
            </w:r>
            <w:r w:rsidRPr="008A1183">
              <w:rPr>
                <w:rFonts w:ascii="Times New Roman" w:hAnsi="Times New Roman"/>
                <w:sz w:val="24"/>
                <w:szCs w:val="24"/>
                <w:vertAlign w:val="subscript"/>
              </w:rPr>
              <w:t>3</w:t>
            </w:r>
          </w:p>
        </w:tc>
        <w:tc>
          <w:tcPr>
            <w:tcW w:w="2830" w:type="dxa"/>
            <w:vAlign w:val="center"/>
          </w:tcPr>
          <w:p w14:paraId="0063AEAA"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0.027</w:t>
            </w:r>
          </w:p>
        </w:tc>
        <w:tc>
          <w:tcPr>
            <w:tcW w:w="2840" w:type="dxa"/>
            <w:vAlign w:val="center"/>
          </w:tcPr>
          <w:p w14:paraId="0B3055AD"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0,028</w:t>
            </w:r>
          </w:p>
        </w:tc>
      </w:tr>
      <w:tr w:rsidR="00FA7C6F" w:rsidRPr="008A1183" w14:paraId="3FFACAAF" w14:textId="77777777" w:rsidTr="002D4FF1">
        <w:trPr>
          <w:cantSplit/>
          <w:trHeight w:val="107"/>
          <w:jc w:val="center"/>
        </w:trPr>
        <w:tc>
          <w:tcPr>
            <w:tcW w:w="2694" w:type="dxa"/>
            <w:vAlign w:val="center"/>
          </w:tcPr>
          <w:p w14:paraId="1610F327"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NaCl</w:t>
            </w:r>
          </w:p>
        </w:tc>
        <w:tc>
          <w:tcPr>
            <w:tcW w:w="2830" w:type="dxa"/>
            <w:vAlign w:val="center"/>
          </w:tcPr>
          <w:p w14:paraId="234CE23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1.022</w:t>
            </w:r>
          </w:p>
        </w:tc>
        <w:tc>
          <w:tcPr>
            <w:tcW w:w="2840" w:type="dxa"/>
            <w:vAlign w:val="center"/>
          </w:tcPr>
          <w:p w14:paraId="578FBAB6"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0,379</w:t>
            </w:r>
          </w:p>
        </w:tc>
      </w:tr>
      <w:tr w:rsidR="00FA7C6F" w:rsidRPr="008A1183" w14:paraId="760ECA7C" w14:textId="77777777" w:rsidTr="002D4FF1">
        <w:trPr>
          <w:cantSplit/>
          <w:trHeight w:val="279"/>
          <w:jc w:val="center"/>
        </w:trPr>
        <w:tc>
          <w:tcPr>
            <w:tcW w:w="2694" w:type="dxa"/>
            <w:vAlign w:val="center"/>
          </w:tcPr>
          <w:p w14:paraId="133E6B00" w14:textId="0CEAE1E3" w:rsidR="00FA7C6F" w:rsidRPr="008A1183" w:rsidRDefault="009B2F05" w:rsidP="00183391">
            <w:pPr>
              <w:spacing w:line="276" w:lineRule="auto"/>
              <w:rPr>
                <w:rFonts w:ascii="Times New Roman" w:hAnsi="Times New Roman"/>
                <w:sz w:val="24"/>
                <w:szCs w:val="24"/>
              </w:rPr>
            </w:pPr>
            <w:r w:rsidRPr="009B2F05">
              <w:rPr>
                <w:rFonts w:ascii="Times New Roman" w:hAnsi="Times New Roman"/>
                <w:sz w:val="24"/>
                <w:szCs w:val="24"/>
              </w:rPr>
              <w:t>residual</w:t>
            </w:r>
            <w:r w:rsidR="00FA7C6F" w:rsidRPr="008A1183">
              <w:rPr>
                <w:rFonts w:ascii="Times New Roman" w:hAnsi="Times New Roman"/>
                <w:sz w:val="24"/>
                <w:szCs w:val="24"/>
              </w:rPr>
              <w:t xml:space="preserve"> Na</w:t>
            </w:r>
          </w:p>
        </w:tc>
        <w:tc>
          <w:tcPr>
            <w:tcW w:w="2830" w:type="dxa"/>
            <w:vAlign w:val="center"/>
          </w:tcPr>
          <w:p w14:paraId="5C9BA728"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0,001</w:t>
            </w:r>
          </w:p>
        </w:tc>
        <w:tc>
          <w:tcPr>
            <w:tcW w:w="2840" w:type="dxa"/>
            <w:vAlign w:val="center"/>
          </w:tcPr>
          <w:p w14:paraId="5A68804C"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w:t>
            </w:r>
          </w:p>
        </w:tc>
      </w:tr>
      <w:tr w:rsidR="00FA7C6F" w:rsidRPr="008A1183" w14:paraId="21C8A0F1" w14:textId="77777777" w:rsidTr="002D4FF1">
        <w:trPr>
          <w:cantSplit/>
          <w:trHeight w:val="107"/>
          <w:jc w:val="center"/>
        </w:trPr>
        <w:tc>
          <w:tcPr>
            <w:tcW w:w="2694" w:type="dxa"/>
            <w:vAlign w:val="center"/>
          </w:tcPr>
          <w:p w14:paraId="307ADFF3" w14:textId="68369C23" w:rsidR="00FA7C6F" w:rsidRPr="00DE7845" w:rsidRDefault="00B85243" w:rsidP="00183391">
            <w:pPr>
              <w:pStyle w:val="Heading2"/>
              <w:spacing w:line="276" w:lineRule="auto"/>
              <w:rPr>
                <w:color w:val="auto"/>
                <w:sz w:val="24"/>
                <w:szCs w:val="24"/>
              </w:rPr>
            </w:pPr>
            <w:r w:rsidRPr="00DE7845">
              <w:rPr>
                <w:color w:val="auto"/>
                <w:sz w:val="24"/>
                <w:szCs w:val="24"/>
              </w:rPr>
              <w:t>Sum of salts</w:t>
            </w:r>
          </w:p>
        </w:tc>
        <w:tc>
          <w:tcPr>
            <w:tcW w:w="2830" w:type="dxa"/>
            <w:vAlign w:val="center"/>
          </w:tcPr>
          <w:p w14:paraId="74EE2C24"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3,411</w:t>
            </w:r>
          </w:p>
        </w:tc>
        <w:tc>
          <w:tcPr>
            <w:tcW w:w="2840" w:type="dxa"/>
            <w:vAlign w:val="center"/>
          </w:tcPr>
          <w:p w14:paraId="70204A20"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1,32</w:t>
            </w:r>
          </w:p>
        </w:tc>
      </w:tr>
      <w:tr w:rsidR="00FA7C6F" w:rsidRPr="008A1183" w14:paraId="06D62184" w14:textId="77777777" w:rsidTr="002D4FF1">
        <w:trPr>
          <w:cantSplit/>
          <w:trHeight w:val="107"/>
          <w:jc w:val="center"/>
        </w:trPr>
        <w:tc>
          <w:tcPr>
            <w:tcW w:w="2694" w:type="dxa"/>
            <w:vAlign w:val="center"/>
          </w:tcPr>
          <w:p w14:paraId="28D30602" w14:textId="77777777" w:rsidR="00FA7C6F" w:rsidRPr="00DE7845" w:rsidRDefault="00FA7C6F" w:rsidP="00183391">
            <w:pPr>
              <w:pStyle w:val="Heading2"/>
              <w:spacing w:line="276" w:lineRule="auto"/>
              <w:rPr>
                <w:color w:val="auto"/>
                <w:sz w:val="24"/>
                <w:szCs w:val="24"/>
              </w:rPr>
            </w:pPr>
            <w:proofErr w:type="spellStart"/>
            <w:r w:rsidRPr="00DE7845">
              <w:rPr>
                <w:color w:val="auto"/>
                <w:sz w:val="24"/>
                <w:szCs w:val="24"/>
              </w:rPr>
              <w:t>рН</w:t>
            </w:r>
            <w:proofErr w:type="spellEnd"/>
          </w:p>
        </w:tc>
        <w:tc>
          <w:tcPr>
            <w:tcW w:w="2830" w:type="dxa"/>
            <w:vAlign w:val="center"/>
          </w:tcPr>
          <w:p w14:paraId="429A4701"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8,01</w:t>
            </w:r>
          </w:p>
        </w:tc>
        <w:tc>
          <w:tcPr>
            <w:tcW w:w="2840" w:type="dxa"/>
            <w:vAlign w:val="center"/>
          </w:tcPr>
          <w:p w14:paraId="33A2C7C2"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7,0</w:t>
            </w:r>
          </w:p>
        </w:tc>
      </w:tr>
    </w:tbl>
    <w:p w14:paraId="386D9DCD" w14:textId="4151C666" w:rsidR="00A96891" w:rsidRDefault="00A96891" w:rsidP="00A96891">
      <w:pPr>
        <w:pStyle w:val="Body"/>
        <w:spacing w:after="0"/>
        <w:rPr>
          <w:rFonts w:ascii="Arial" w:hAnsi="Arial" w:cs="Arial"/>
        </w:rPr>
      </w:pPr>
    </w:p>
    <w:p w14:paraId="604B9551" w14:textId="77777777" w:rsidR="00A96891" w:rsidRDefault="00A96891" w:rsidP="00A96891">
      <w:pPr>
        <w:pStyle w:val="Body"/>
        <w:spacing w:after="0"/>
        <w:rPr>
          <w:rFonts w:ascii="Arial" w:hAnsi="Arial" w:cs="Arial"/>
        </w:rPr>
      </w:pPr>
    </w:p>
    <w:p w14:paraId="3F19FACB" w14:textId="3C04854D" w:rsidR="00FA7C6F" w:rsidRDefault="00FA7C6F" w:rsidP="00441B6F">
      <w:pPr>
        <w:pStyle w:val="Body"/>
        <w:spacing w:after="0"/>
        <w:rPr>
          <w:rFonts w:ascii="Arial" w:hAnsi="Arial" w:cs="Arial"/>
        </w:rPr>
      </w:pPr>
      <w:r w:rsidRPr="00FA7C6F">
        <w:rPr>
          <w:rFonts w:ascii="Arial" w:hAnsi="Arial" w:cs="Arial"/>
        </w:rPr>
        <w:t>Moreover, the content of anions, as well as sulfates and chlorides, has noticeably decreased. At the same time, the pH has dropped to a neutral value.</w:t>
      </w:r>
    </w:p>
    <w:p w14:paraId="600AE727" w14:textId="77777777" w:rsidR="00FA7C6F" w:rsidRPr="00836DB1" w:rsidRDefault="00FA7C6F" w:rsidP="00FA7C6F">
      <w:pPr>
        <w:pStyle w:val="Body"/>
        <w:spacing w:after="0"/>
        <w:jc w:val="center"/>
        <w:rPr>
          <w:rFonts w:ascii="Arial" w:hAnsi="Arial" w:cs="Arial"/>
          <w:b/>
          <w:bCs/>
        </w:rPr>
      </w:pPr>
    </w:p>
    <w:p w14:paraId="49D4958D" w14:textId="77777777" w:rsidR="00B01FCD" w:rsidRDefault="00000F8F" w:rsidP="005D71F0">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7B7A26B3" w14:textId="77777777" w:rsidR="00790ADA" w:rsidRPr="00FB3A86" w:rsidRDefault="00790ADA" w:rsidP="00441B6F">
      <w:pPr>
        <w:pStyle w:val="ConcHead"/>
        <w:spacing w:after="0"/>
        <w:jc w:val="both"/>
        <w:rPr>
          <w:rFonts w:ascii="Arial" w:hAnsi="Arial" w:cs="Arial"/>
        </w:rPr>
      </w:pPr>
    </w:p>
    <w:p w14:paraId="5A6B21E9" w14:textId="24ECA244" w:rsidR="00790ADA" w:rsidRDefault="00FA7C6F" w:rsidP="00441B6F">
      <w:pPr>
        <w:pStyle w:val="Body"/>
        <w:spacing w:after="0"/>
        <w:rPr>
          <w:rFonts w:ascii="Arial" w:hAnsi="Arial" w:cs="Arial"/>
        </w:rPr>
      </w:pPr>
      <w:r w:rsidRPr="00FA7C6F">
        <w:rPr>
          <w:rFonts w:ascii="Arial" w:hAnsi="Arial" w:cs="Arial"/>
        </w:rPr>
        <w:t xml:space="preserve">The conducted microbiological and chemical analysis of degraded soil samples (Republic of </w:t>
      </w:r>
      <w:proofErr w:type="spellStart"/>
      <w:r w:rsidRPr="00FA7C6F">
        <w:rPr>
          <w:rFonts w:ascii="Arial" w:hAnsi="Arial" w:cs="Arial"/>
        </w:rPr>
        <w:t>Karakalpakistan</w:t>
      </w:r>
      <w:proofErr w:type="spellEnd"/>
      <w:r w:rsidRPr="00FA7C6F">
        <w:rPr>
          <w:rFonts w:ascii="Arial" w:hAnsi="Arial" w:cs="Arial"/>
        </w:rPr>
        <w:t xml:space="preserve">) revealed an improvement in microbiological indicators in the experimental variant, such as an increase in the content of </w:t>
      </w:r>
      <w:proofErr w:type="spellStart"/>
      <w:r w:rsidRPr="00FA7C6F">
        <w:rPr>
          <w:rFonts w:ascii="Arial" w:hAnsi="Arial" w:cs="Arial"/>
        </w:rPr>
        <w:t>denitrifiers</w:t>
      </w:r>
      <w:proofErr w:type="spellEnd"/>
      <w:r w:rsidRPr="00FA7C6F">
        <w:rPr>
          <w:rFonts w:ascii="Arial" w:hAnsi="Arial" w:cs="Arial"/>
        </w:rPr>
        <w:t xml:space="preserve"> and ammonifiers by 1-2 orders of magnitude (up to 2.5x102 CFU/g, whereas these groups were not detected in the control sample). An increase in the content of microscopic fungi (up to 1.8x104 CFU/g of soil) with cellulolytic activity and a decrease in the amount of salts from 3.411% to 1.32% were also noted. All this can serve as indirect evidence of the intensification of soil-forming processes, a decrease in total salinity and an increase in soil fertility.</w:t>
      </w:r>
    </w:p>
    <w:p w14:paraId="2519D21D" w14:textId="77777777" w:rsidR="00FA7C6F" w:rsidRPr="00FB3A86" w:rsidRDefault="00FA7C6F" w:rsidP="00441B6F">
      <w:pPr>
        <w:pStyle w:val="Body"/>
        <w:spacing w:after="0"/>
        <w:rPr>
          <w:rFonts w:ascii="Arial" w:hAnsi="Arial" w:cs="Arial"/>
        </w:rPr>
      </w:pPr>
    </w:p>
    <w:p w14:paraId="2548C3F3" w14:textId="77777777" w:rsidR="004D3787" w:rsidRDefault="004D3787" w:rsidP="00441B6F">
      <w:pPr>
        <w:pStyle w:val="ReferHead"/>
        <w:spacing w:after="0"/>
        <w:jc w:val="both"/>
        <w:rPr>
          <w:rFonts w:ascii="Arial" w:hAnsi="Arial" w:cs="Arial"/>
          <w:b w:val="0"/>
          <w:caps w:val="0"/>
          <w:sz w:val="20"/>
        </w:rPr>
      </w:pPr>
    </w:p>
    <w:p w14:paraId="2313C48C" w14:textId="77777777" w:rsidR="003A7B86" w:rsidRPr="003A7B86" w:rsidRDefault="003A7B86" w:rsidP="003A7B86">
      <w:pPr>
        <w:pStyle w:val="ReferHead"/>
        <w:jc w:val="both"/>
        <w:rPr>
          <w:rFonts w:ascii="Arial" w:hAnsi="Arial" w:cs="Arial"/>
          <w:b w:val="0"/>
          <w:caps w:val="0"/>
          <w:sz w:val="20"/>
        </w:rPr>
      </w:pPr>
      <w:r w:rsidRPr="003A7B86">
        <w:rPr>
          <w:rFonts w:ascii="Arial" w:hAnsi="Arial" w:cs="Arial"/>
          <w:b w:val="0"/>
          <w:caps w:val="0"/>
          <w:sz w:val="20"/>
        </w:rPr>
        <w:t>COMPETING INTERESTS DISCLAIMER:</w:t>
      </w:r>
    </w:p>
    <w:p w14:paraId="10B49C8D" w14:textId="4868010E" w:rsidR="003A7B86" w:rsidRDefault="003A7B86" w:rsidP="003A7B86">
      <w:pPr>
        <w:pStyle w:val="ReferHead"/>
        <w:spacing w:after="0"/>
        <w:jc w:val="both"/>
        <w:rPr>
          <w:rFonts w:ascii="Arial" w:hAnsi="Arial" w:cs="Arial"/>
          <w:b w:val="0"/>
          <w:caps w:val="0"/>
          <w:sz w:val="20"/>
        </w:rPr>
      </w:pPr>
      <w:r w:rsidRPr="003A7B8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7E613D4" w14:textId="77777777" w:rsidR="004D3787" w:rsidRDefault="004D3787" w:rsidP="00441B6F">
      <w:pPr>
        <w:pStyle w:val="ReferHead"/>
        <w:spacing w:after="0"/>
        <w:jc w:val="both"/>
        <w:rPr>
          <w:rFonts w:ascii="Arial" w:hAnsi="Arial" w:cs="Arial"/>
          <w:b w:val="0"/>
          <w:caps w:val="0"/>
          <w:sz w:val="20"/>
        </w:rPr>
      </w:pPr>
    </w:p>
    <w:p w14:paraId="04E3F711" w14:textId="77777777" w:rsidR="00713B14" w:rsidRDefault="00713B14" w:rsidP="00441B6F">
      <w:pPr>
        <w:pStyle w:val="ReferHead"/>
        <w:spacing w:after="0"/>
        <w:jc w:val="both"/>
        <w:rPr>
          <w:rFonts w:ascii="Arial" w:hAnsi="Arial" w:cs="Arial"/>
          <w:b w:val="0"/>
          <w:caps w:val="0"/>
          <w:sz w:val="20"/>
        </w:rPr>
      </w:pPr>
    </w:p>
    <w:p w14:paraId="0CFFD40D" w14:textId="77777777" w:rsidR="005D71F0" w:rsidRDefault="005D71F0" w:rsidP="005D71F0">
      <w:pPr>
        <w:rPr>
          <w:rFonts w:ascii="Arial" w:hAnsi="Arial" w:cs="Arial"/>
          <w:b/>
          <w:sz w:val="22"/>
          <w:szCs w:val="22"/>
        </w:rPr>
      </w:pPr>
      <w:r w:rsidRPr="005D71F0">
        <w:rPr>
          <w:rFonts w:ascii="Arial" w:hAnsi="Arial" w:cs="Arial"/>
          <w:b/>
          <w:sz w:val="22"/>
          <w:szCs w:val="22"/>
        </w:rPr>
        <w:t>References</w:t>
      </w:r>
    </w:p>
    <w:p w14:paraId="74571FB6" w14:textId="77777777" w:rsidR="004D3787" w:rsidRDefault="004D3787" w:rsidP="005D71F0">
      <w:pPr>
        <w:rPr>
          <w:rFonts w:ascii="Arial" w:hAnsi="Arial" w:cs="Arial"/>
          <w:b/>
          <w:sz w:val="22"/>
          <w:szCs w:val="22"/>
        </w:rPr>
      </w:pPr>
    </w:p>
    <w:p w14:paraId="08A12E5F" w14:textId="77777777" w:rsidR="004D3787" w:rsidRDefault="004D3787" w:rsidP="005D71F0">
      <w:pPr>
        <w:rPr>
          <w:rFonts w:ascii="Arial" w:hAnsi="Arial" w:cs="Arial"/>
          <w:b/>
          <w:sz w:val="22"/>
          <w:szCs w:val="22"/>
        </w:rPr>
      </w:pPr>
    </w:p>
    <w:p w14:paraId="512AFEC0" w14:textId="77777777" w:rsidR="0054131F" w:rsidRDefault="00481D50" w:rsidP="00481D50">
      <w:pPr>
        <w:pStyle w:val="Appendix"/>
        <w:spacing w:after="0"/>
        <w:jc w:val="both"/>
        <w:rPr>
          <w:rFonts w:ascii="Arial" w:hAnsi="Arial" w:cs="Arial"/>
          <w:b w:val="0"/>
          <w:caps w:val="0"/>
          <w:sz w:val="20"/>
        </w:rPr>
      </w:pPr>
      <w:r>
        <w:rPr>
          <w:rFonts w:ascii="Arial" w:hAnsi="Arial" w:cs="Arial"/>
          <w:b w:val="0"/>
          <w:caps w:val="0"/>
          <w:sz w:val="20"/>
        </w:rPr>
        <w:lastRenderedPageBreak/>
        <w:t>Rakhimov</w:t>
      </w:r>
      <w:r w:rsidRPr="0016052A">
        <w:rPr>
          <w:rFonts w:ascii="Arial" w:hAnsi="Arial" w:cs="Arial"/>
          <w:b w:val="0"/>
          <w:caps w:val="0"/>
          <w:sz w:val="20"/>
        </w:rPr>
        <w:t xml:space="preserve"> </w:t>
      </w:r>
      <w:r>
        <w:rPr>
          <w:rFonts w:ascii="Arial" w:hAnsi="Arial" w:cs="Arial"/>
          <w:b w:val="0"/>
          <w:caps w:val="0"/>
          <w:sz w:val="20"/>
        </w:rPr>
        <w:t>S</w:t>
      </w:r>
      <w:r w:rsidRPr="0016052A">
        <w:rPr>
          <w:rFonts w:ascii="Arial" w:hAnsi="Arial" w:cs="Arial"/>
          <w:b w:val="0"/>
          <w:caps w:val="0"/>
          <w:sz w:val="20"/>
        </w:rPr>
        <w:t xml:space="preserve">. (2025) Combating Land Degradation in Central Asia: Problems and Solutions. </w:t>
      </w:r>
      <w:r w:rsidRPr="000E10F6">
        <w:rPr>
          <w:rFonts w:ascii="Arial" w:hAnsi="Arial" w:cs="Arial"/>
          <w:b w:val="0"/>
          <w:caps w:val="0"/>
          <w:sz w:val="20"/>
        </w:rPr>
        <w:t>[Electronic resource]</w:t>
      </w:r>
      <w:r>
        <w:rPr>
          <w:rFonts w:ascii="Arial" w:hAnsi="Arial" w:cs="Arial"/>
          <w:b w:val="0"/>
          <w:caps w:val="0"/>
          <w:sz w:val="20"/>
        </w:rPr>
        <w:t xml:space="preserve"> </w:t>
      </w:r>
      <w:hyperlink r:id="rId18" w:history="1">
        <w:r w:rsidRPr="00A42100">
          <w:rPr>
            <w:rStyle w:val="Hyperlink"/>
            <w:rFonts w:ascii="Arial" w:hAnsi="Arial" w:cs="Arial"/>
            <w:b w:val="0"/>
            <w:caps w:val="0"/>
            <w:color w:val="0070C0"/>
            <w:sz w:val="20"/>
          </w:rPr>
          <w:t>https://uza.uz/posts/477076</w:t>
        </w:r>
      </w:hyperlink>
      <w:r>
        <w:rPr>
          <w:rFonts w:ascii="Arial" w:hAnsi="Arial" w:cs="Arial"/>
          <w:b w:val="0"/>
          <w:caps w:val="0"/>
          <w:sz w:val="20"/>
        </w:rPr>
        <w:t xml:space="preserve"> Russian.</w:t>
      </w:r>
      <w:r w:rsidR="0054131F">
        <w:rPr>
          <w:rFonts w:ascii="Arial" w:hAnsi="Arial" w:cs="Arial"/>
          <w:b w:val="0"/>
          <w:caps w:val="0"/>
          <w:sz w:val="20"/>
        </w:rPr>
        <w:t xml:space="preserve"> </w:t>
      </w:r>
    </w:p>
    <w:p w14:paraId="510C8277" w14:textId="77777777" w:rsidR="00481D50" w:rsidRDefault="00481D50" w:rsidP="00481D50">
      <w:pPr>
        <w:pStyle w:val="Appendix"/>
        <w:spacing w:after="0"/>
        <w:jc w:val="both"/>
        <w:rPr>
          <w:rFonts w:ascii="Arial" w:hAnsi="Arial" w:cs="Arial"/>
          <w:b w:val="0"/>
          <w:caps w:val="0"/>
          <w:sz w:val="20"/>
        </w:rPr>
      </w:pPr>
      <w:proofErr w:type="spellStart"/>
      <w:r w:rsidRPr="00C66630">
        <w:rPr>
          <w:rFonts w:ascii="Arial" w:hAnsi="Arial" w:cs="Arial"/>
          <w:b w:val="0"/>
          <w:caps w:val="0"/>
          <w:sz w:val="20"/>
        </w:rPr>
        <w:t>Matzhanova</w:t>
      </w:r>
      <w:proofErr w:type="spellEnd"/>
      <w:r w:rsidRPr="00C66630">
        <w:rPr>
          <w:rFonts w:ascii="Arial" w:hAnsi="Arial" w:cs="Arial"/>
          <w:b w:val="0"/>
          <w:caps w:val="0"/>
          <w:sz w:val="20"/>
        </w:rPr>
        <w:t xml:space="preserve"> H.K., Orel M.M. (2025). Halophyte plants growing on soils of different types of salinity in </w:t>
      </w:r>
      <w:proofErr w:type="spellStart"/>
      <w:r w:rsidRPr="00C66630">
        <w:rPr>
          <w:rFonts w:ascii="Arial" w:hAnsi="Arial" w:cs="Arial"/>
          <w:b w:val="0"/>
          <w:caps w:val="0"/>
          <w:sz w:val="20"/>
        </w:rPr>
        <w:t>Karakalpakstan</w:t>
      </w:r>
      <w:proofErr w:type="spellEnd"/>
      <w:r w:rsidRPr="00C66630">
        <w:rPr>
          <w:rFonts w:ascii="Arial" w:hAnsi="Arial" w:cs="Arial"/>
          <w:b w:val="0"/>
          <w:caps w:val="0"/>
          <w:sz w:val="20"/>
        </w:rPr>
        <w:t xml:space="preserve">. </w:t>
      </w:r>
      <w:proofErr w:type="spellStart"/>
      <w:r w:rsidRPr="00E40454">
        <w:rPr>
          <w:rFonts w:ascii="Arial" w:hAnsi="Arial" w:cs="Arial"/>
          <w:b w:val="0"/>
          <w:i/>
          <w:caps w:val="0"/>
          <w:sz w:val="20"/>
        </w:rPr>
        <w:t>Universum</w:t>
      </w:r>
      <w:proofErr w:type="spellEnd"/>
      <w:r w:rsidRPr="00E40454">
        <w:rPr>
          <w:rFonts w:ascii="Arial" w:hAnsi="Arial" w:cs="Arial"/>
          <w:b w:val="0"/>
          <w:i/>
          <w:caps w:val="0"/>
          <w:sz w:val="20"/>
        </w:rPr>
        <w:t>: chemistry and biology: electronic scientific journal</w:t>
      </w:r>
      <w:r w:rsidRPr="00C66630">
        <w:rPr>
          <w:rFonts w:ascii="Arial" w:hAnsi="Arial" w:cs="Arial"/>
          <w:b w:val="0"/>
          <w:caps w:val="0"/>
          <w:sz w:val="20"/>
        </w:rPr>
        <w:t>.</w:t>
      </w:r>
      <w:r>
        <w:rPr>
          <w:rFonts w:ascii="Arial" w:hAnsi="Arial" w:cs="Arial"/>
          <w:b w:val="0"/>
          <w:caps w:val="0"/>
          <w:sz w:val="20"/>
        </w:rPr>
        <w:t xml:space="preserve"> </w:t>
      </w:r>
      <w:r w:rsidRPr="00C66630">
        <w:rPr>
          <w:rFonts w:ascii="Arial" w:hAnsi="Arial" w:cs="Arial"/>
          <w:b w:val="0"/>
          <w:caps w:val="0"/>
          <w:sz w:val="20"/>
        </w:rPr>
        <w:t>6(132).</w:t>
      </w:r>
      <w:r>
        <w:rPr>
          <w:rFonts w:ascii="Arial" w:hAnsi="Arial" w:cs="Arial"/>
          <w:b w:val="0"/>
          <w:caps w:val="0"/>
          <w:sz w:val="20"/>
        </w:rPr>
        <w:t xml:space="preserve"> </w:t>
      </w:r>
      <w:hyperlink r:id="rId19" w:history="1">
        <w:r w:rsidRPr="00A42100">
          <w:rPr>
            <w:rStyle w:val="Hyperlink"/>
            <w:rFonts w:ascii="Arial" w:hAnsi="Arial" w:cs="Arial"/>
            <w:b w:val="0"/>
            <w:caps w:val="0"/>
            <w:color w:val="0070C0"/>
            <w:sz w:val="20"/>
          </w:rPr>
          <w:t>https://doi.org/10.32743/UniChem.2025.132.6.20194</w:t>
        </w:r>
      </w:hyperlink>
      <w:r w:rsidRPr="00361A3A">
        <w:rPr>
          <w:rFonts w:ascii="Arial" w:hAnsi="Arial" w:cs="Arial"/>
          <w:b w:val="0"/>
          <w:caps w:val="0"/>
          <w:sz w:val="20"/>
        </w:rPr>
        <w:t xml:space="preserve"> </w:t>
      </w:r>
      <w:r>
        <w:rPr>
          <w:rFonts w:ascii="Arial" w:hAnsi="Arial" w:cs="Arial"/>
          <w:b w:val="0"/>
          <w:caps w:val="0"/>
          <w:sz w:val="20"/>
        </w:rPr>
        <w:t>Russian</w:t>
      </w:r>
      <w:r w:rsidRPr="00361A3A">
        <w:rPr>
          <w:rFonts w:ascii="Arial" w:hAnsi="Arial" w:cs="Arial"/>
          <w:b w:val="0"/>
          <w:caps w:val="0"/>
          <w:sz w:val="20"/>
        </w:rPr>
        <w:t>.</w:t>
      </w:r>
    </w:p>
    <w:p w14:paraId="67F5EF96" w14:textId="77777777" w:rsidR="00481D50" w:rsidRPr="00C66630" w:rsidRDefault="00481D50" w:rsidP="00481D50">
      <w:pPr>
        <w:pStyle w:val="Appendix"/>
        <w:spacing w:after="0"/>
        <w:jc w:val="both"/>
        <w:rPr>
          <w:rFonts w:ascii="Arial" w:hAnsi="Arial" w:cs="Arial"/>
          <w:b w:val="0"/>
          <w:caps w:val="0"/>
          <w:sz w:val="20"/>
        </w:rPr>
      </w:pPr>
      <w:proofErr w:type="spellStart"/>
      <w:r w:rsidRPr="00C66630">
        <w:rPr>
          <w:rFonts w:ascii="Arial" w:hAnsi="Arial" w:cs="Arial"/>
          <w:b w:val="0"/>
          <w:caps w:val="0"/>
          <w:sz w:val="20"/>
        </w:rPr>
        <w:t>Sadanov</w:t>
      </w:r>
      <w:proofErr w:type="spellEnd"/>
      <w:r w:rsidRPr="00C66630">
        <w:rPr>
          <w:rFonts w:ascii="Arial" w:hAnsi="Arial" w:cs="Arial"/>
          <w:b w:val="0"/>
          <w:caps w:val="0"/>
          <w:sz w:val="20"/>
        </w:rPr>
        <w:t xml:space="preserve"> A.K., Smirnova I.E., </w:t>
      </w:r>
      <w:proofErr w:type="spellStart"/>
      <w:r w:rsidRPr="00C66630">
        <w:rPr>
          <w:rFonts w:ascii="Arial" w:hAnsi="Arial" w:cs="Arial"/>
          <w:b w:val="0"/>
          <w:caps w:val="0"/>
          <w:sz w:val="20"/>
        </w:rPr>
        <w:t>Fayzulina</w:t>
      </w:r>
      <w:proofErr w:type="spellEnd"/>
      <w:r w:rsidRPr="00C66630">
        <w:rPr>
          <w:rFonts w:ascii="Arial" w:hAnsi="Arial" w:cs="Arial"/>
          <w:b w:val="0"/>
          <w:caps w:val="0"/>
          <w:sz w:val="20"/>
        </w:rPr>
        <w:t xml:space="preserve"> E.R., </w:t>
      </w:r>
      <w:proofErr w:type="spellStart"/>
      <w:r w:rsidRPr="00C66630">
        <w:rPr>
          <w:rFonts w:ascii="Arial" w:hAnsi="Arial" w:cs="Arial"/>
          <w:b w:val="0"/>
          <w:caps w:val="0"/>
          <w:sz w:val="20"/>
        </w:rPr>
        <w:t>Tatarkina</w:t>
      </w:r>
      <w:proofErr w:type="spellEnd"/>
      <w:r w:rsidRPr="00C66630">
        <w:rPr>
          <w:rFonts w:ascii="Arial" w:hAnsi="Arial" w:cs="Arial"/>
          <w:b w:val="0"/>
          <w:caps w:val="0"/>
          <w:sz w:val="20"/>
        </w:rPr>
        <w:t xml:space="preserve"> L.G. (2019). Biological method for restoring the fertility of degraded soils. </w:t>
      </w:r>
      <w:r w:rsidRPr="00E40454">
        <w:rPr>
          <w:rFonts w:ascii="Arial" w:hAnsi="Arial" w:cs="Arial"/>
          <w:b w:val="0"/>
          <w:i/>
          <w:caps w:val="0"/>
          <w:sz w:val="20"/>
        </w:rPr>
        <w:t>Actual biotechnology</w:t>
      </w:r>
      <w:r w:rsidRPr="00C66630">
        <w:rPr>
          <w:rFonts w:ascii="Arial" w:hAnsi="Arial" w:cs="Arial"/>
          <w:b w:val="0"/>
          <w:caps w:val="0"/>
          <w:sz w:val="20"/>
        </w:rPr>
        <w:t>,</w:t>
      </w:r>
      <w:r>
        <w:rPr>
          <w:rFonts w:ascii="Arial" w:hAnsi="Arial" w:cs="Arial"/>
          <w:b w:val="0"/>
          <w:caps w:val="0"/>
          <w:sz w:val="20"/>
        </w:rPr>
        <w:t xml:space="preserve"> </w:t>
      </w:r>
      <w:r w:rsidRPr="00C66630">
        <w:rPr>
          <w:rFonts w:ascii="Arial" w:hAnsi="Arial" w:cs="Arial"/>
          <w:b w:val="0"/>
          <w:caps w:val="0"/>
          <w:sz w:val="20"/>
        </w:rPr>
        <w:t>3,</w:t>
      </w:r>
      <w:r>
        <w:rPr>
          <w:rFonts w:ascii="Arial" w:hAnsi="Arial" w:cs="Arial"/>
          <w:b w:val="0"/>
          <w:caps w:val="0"/>
          <w:sz w:val="20"/>
        </w:rPr>
        <w:t xml:space="preserve"> </w:t>
      </w:r>
      <w:r w:rsidRPr="00C66630">
        <w:rPr>
          <w:rFonts w:ascii="Arial" w:hAnsi="Arial" w:cs="Arial"/>
          <w:b w:val="0"/>
          <w:caps w:val="0"/>
          <w:sz w:val="20"/>
        </w:rPr>
        <w:t xml:space="preserve">517-520. </w:t>
      </w:r>
      <w:hyperlink r:id="rId20" w:history="1">
        <w:r w:rsidRPr="00A42100">
          <w:rPr>
            <w:rStyle w:val="Hyperlink"/>
            <w:rFonts w:ascii="Arial" w:hAnsi="Arial" w:cs="Arial"/>
            <w:b w:val="0"/>
            <w:caps w:val="0"/>
            <w:color w:val="0070C0"/>
            <w:sz w:val="20"/>
          </w:rPr>
          <w:t>https://doi.org/10.20914/2304-4691-2019-3-517-520</w:t>
        </w:r>
      </w:hyperlink>
      <w:r w:rsidRPr="00C66630">
        <w:rPr>
          <w:rFonts w:ascii="Arial" w:hAnsi="Arial" w:cs="Arial"/>
          <w:b w:val="0"/>
          <w:caps w:val="0"/>
          <w:sz w:val="20"/>
        </w:rPr>
        <w:t xml:space="preserve"> </w:t>
      </w:r>
      <w:r>
        <w:rPr>
          <w:rFonts w:ascii="Arial" w:hAnsi="Arial" w:cs="Arial"/>
          <w:b w:val="0"/>
          <w:caps w:val="0"/>
          <w:sz w:val="20"/>
        </w:rPr>
        <w:t>Russian.</w:t>
      </w:r>
    </w:p>
    <w:p w14:paraId="60F53DF5" w14:textId="77777777" w:rsidR="00481D50"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Limans</w:t>
      </w:r>
      <w:r w:rsidRPr="0016052A">
        <w:rPr>
          <w:rFonts w:ascii="Arial" w:hAnsi="Arial" w:cs="Arial"/>
          <w:b w:val="0"/>
          <w:caps w:val="0"/>
          <w:sz w:val="20"/>
        </w:rPr>
        <w:t xml:space="preserve"> </w:t>
      </w:r>
      <w:r w:rsidRPr="000E10F6">
        <w:rPr>
          <w:rFonts w:ascii="Arial" w:hAnsi="Arial" w:cs="Arial"/>
          <w:b w:val="0"/>
          <w:caps w:val="0"/>
          <w:sz w:val="20"/>
        </w:rPr>
        <w:t xml:space="preserve">in the Negev. </w:t>
      </w:r>
      <w:r>
        <w:rPr>
          <w:rFonts w:ascii="Arial" w:hAnsi="Arial" w:cs="Arial"/>
          <w:b w:val="0"/>
          <w:caps w:val="0"/>
          <w:sz w:val="20"/>
        </w:rPr>
        <w:t>(</w:t>
      </w:r>
      <w:r w:rsidRPr="000E10F6">
        <w:rPr>
          <w:rFonts w:ascii="Arial" w:hAnsi="Arial" w:cs="Arial"/>
          <w:b w:val="0"/>
          <w:caps w:val="0"/>
          <w:sz w:val="20"/>
        </w:rPr>
        <w:t>2017</w:t>
      </w:r>
      <w:r>
        <w:rPr>
          <w:rFonts w:ascii="Arial" w:hAnsi="Arial" w:cs="Arial"/>
          <w:b w:val="0"/>
          <w:caps w:val="0"/>
          <w:sz w:val="20"/>
        </w:rPr>
        <w:t>).</w:t>
      </w:r>
      <w:r w:rsidRPr="000E10F6">
        <w:rPr>
          <w:rFonts w:ascii="Arial" w:hAnsi="Arial" w:cs="Arial"/>
          <w:b w:val="0"/>
          <w:caps w:val="0"/>
          <w:sz w:val="20"/>
        </w:rPr>
        <w:t xml:space="preserve"> [Electronic resource] </w:t>
      </w:r>
      <w:hyperlink r:id="rId21" w:history="1">
        <w:r w:rsidRPr="00A42100">
          <w:rPr>
            <w:rStyle w:val="Hyperlink"/>
            <w:rFonts w:ascii="Arial" w:hAnsi="Arial" w:cs="Arial"/>
            <w:b w:val="0"/>
            <w:caps w:val="0"/>
            <w:color w:val="0070C0"/>
            <w:sz w:val="20"/>
          </w:rPr>
          <w:t>https://www.ea.kkl-jnf.org/afforestation_and_environment/</w:t>
        </w:r>
      </w:hyperlink>
      <w:r w:rsidRPr="000E10F6">
        <w:rPr>
          <w:rFonts w:ascii="Arial" w:hAnsi="Arial" w:cs="Arial"/>
          <w:b w:val="0"/>
          <w:caps w:val="0"/>
          <w:sz w:val="20"/>
        </w:rPr>
        <w:t xml:space="preserve"> </w:t>
      </w:r>
      <w:r>
        <w:rPr>
          <w:rFonts w:ascii="Arial" w:hAnsi="Arial" w:cs="Arial"/>
          <w:b w:val="0"/>
          <w:caps w:val="0"/>
          <w:sz w:val="20"/>
        </w:rPr>
        <w:t>Russian.</w:t>
      </w:r>
    </w:p>
    <w:p w14:paraId="3B56D27F" w14:textId="77777777" w:rsidR="00481D50"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Dagar</w:t>
      </w:r>
      <w:r>
        <w:rPr>
          <w:rFonts w:ascii="Arial" w:hAnsi="Arial" w:cs="Arial"/>
          <w:b w:val="0"/>
          <w:caps w:val="0"/>
          <w:sz w:val="20"/>
        </w:rPr>
        <w:t>,</w:t>
      </w:r>
      <w:r w:rsidRPr="000E10F6">
        <w:rPr>
          <w:rFonts w:ascii="Arial" w:hAnsi="Arial" w:cs="Arial"/>
          <w:b w:val="0"/>
          <w:caps w:val="0"/>
          <w:sz w:val="20"/>
        </w:rPr>
        <w:t xml:space="preserve"> J.C., Gupta</w:t>
      </w:r>
      <w:r>
        <w:rPr>
          <w:rFonts w:ascii="Arial" w:hAnsi="Arial" w:cs="Arial"/>
          <w:b w:val="0"/>
          <w:caps w:val="0"/>
          <w:sz w:val="20"/>
        </w:rPr>
        <w:t>,</w:t>
      </w:r>
      <w:r w:rsidRPr="000E10F6">
        <w:rPr>
          <w:rFonts w:ascii="Arial" w:hAnsi="Arial" w:cs="Arial"/>
          <w:b w:val="0"/>
          <w:caps w:val="0"/>
          <w:sz w:val="20"/>
        </w:rPr>
        <w:t xml:space="preserve"> S.R. &amp; </w:t>
      </w:r>
      <w:proofErr w:type="spellStart"/>
      <w:r w:rsidRPr="000E10F6">
        <w:rPr>
          <w:rFonts w:ascii="Arial" w:hAnsi="Arial" w:cs="Arial"/>
          <w:b w:val="0"/>
          <w:caps w:val="0"/>
          <w:sz w:val="20"/>
        </w:rPr>
        <w:t>Teketay</w:t>
      </w:r>
      <w:proofErr w:type="spellEnd"/>
      <w:r>
        <w:rPr>
          <w:rFonts w:ascii="Arial" w:hAnsi="Arial" w:cs="Arial"/>
          <w:b w:val="0"/>
          <w:caps w:val="0"/>
          <w:sz w:val="20"/>
        </w:rPr>
        <w:t>,</w:t>
      </w:r>
      <w:r w:rsidRPr="000E10F6">
        <w:rPr>
          <w:rFonts w:ascii="Arial" w:hAnsi="Arial" w:cs="Arial"/>
          <w:b w:val="0"/>
          <w:caps w:val="0"/>
          <w:sz w:val="20"/>
        </w:rPr>
        <w:t xml:space="preserve"> D. (Eds.).</w:t>
      </w:r>
      <w:r>
        <w:rPr>
          <w:rFonts w:ascii="Arial" w:hAnsi="Arial" w:cs="Arial"/>
          <w:b w:val="0"/>
          <w:caps w:val="0"/>
          <w:sz w:val="20"/>
        </w:rPr>
        <w:t xml:space="preserve"> (2020).</w:t>
      </w:r>
      <w:r w:rsidRPr="000E10F6">
        <w:rPr>
          <w:rFonts w:ascii="Arial" w:hAnsi="Arial" w:cs="Arial"/>
          <w:b w:val="0"/>
          <w:caps w:val="0"/>
          <w:sz w:val="20"/>
        </w:rPr>
        <w:t xml:space="preserve"> </w:t>
      </w:r>
      <w:r w:rsidRPr="00E40454">
        <w:rPr>
          <w:rFonts w:ascii="Arial" w:hAnsi="Arial" w:cs="Arial"/>
          <w:b w:val="0"/>
          <w:i/>
          <w:caps w:val="0"/>
          <w:sz w:val="20"/>
        </w:rPr>
        <w:t>Agroforestry for Degraded Landscapes</w:t>
      </w:r>
      <w:r w:rsidRPr="000E10F6">
        <w:rPr>
          <w:rFonts w:ascii="Arial" w:hAnsi="Arial" w:cs="Arial"/>
          <w:b w:val="0"/>
          <w:caps w:val="0"/>
          <w:sz w:val="20"/>
        </w:rPr>
        <w:t>.  Springer Nature Singapore</w:t>
      </w:r>
      <w:r>
        <w:rPr>
          <w:rFonts w:ascii="Arial" w:hAnsi="Arial" w:cs="Arial"/>
          <w:b w:val="0"/>
          <w:caps w:val="0"/>
          <w:sz w:val="20"/>
        </w:rPr>
        <w:t xml:space="preserve"> Pte Ltd. 474 p. </w:t>
      </w:r>
      <w:hyperlink r:id="rId22" w:history="1">
        <w:r w:rsidRPr="00A42100">
          <w:rPr>
            <w:rStyle w:val="Hyperlink"/>
            <w:rFonts w:ascii="Arial" w:hAnsi="Arial" w:cs="Arial"/>
            <w:b w:val="0"/>
            <w:caps w:val="0"/>
            <w:color w:val="0070C0"/>
            <w:sz w:val="20"/>
          </w:rPr>
          <w:t>https://doi.org/10.1007/978-981-15-6807-7</w:t>
        </w:r>
      </w:hyperlink>
      <w:r>
        <w:rPr>
          <w:rFonts w:ascii="Arial" w:hAnsi="Arial" w:cs="Arial"/>
          <w:b w:val="0"/>
          <w:caps w:val="0"/>
          <w:sz w:val="20"/>
        </w:rPr>
        <w:t xml:space="preserve"> </w:t>
      </w:r>
      <w:r w:rsidRPr="000E10F6">
        <w:rPr>
          <w:rFonts w:ascii="Arial" w:hAnsi="Arial" w:cs="Arial"/>
          <w:b w:val="0"/>
          <w:caps w:val="0"/>
          <w:sz w:val="20"/>
        </w:rPr>
        <w:t xml:space="preserve"> </w:t>
      </w:r>
    </w:p>
    <w:p w14:paraId="0CD61A99" w14:textId="77777777" w:rsidR="00481D50" w:rsidRPr="00E7174A" w:rsidRDefault="00481D50" w:rsidP="00481D50">
      <w:pPr>
        <w:pStyle w:val="Appendix"/>
        <w:spacing w:after="0"/>
        <w:jc w:val="both"/>
        <w:rPr>
          <w:rFonts w:ascii="Arial" w:hAnsi="Arial" w:cs="Arial"/>
          <w:b w:val="0"/>
          <w:caps w:val="0"/>
          <w:sz w:val="20"/>
        </w:rPr>
      </w:pPr>
      <w:proofErr w:type="spellStart"/>
      <w:r w:rsidRPr="004845A4">
        <w:rPr>
          <w:rFonts w:ascii="Arial" w:hAnsi="Arial" w:cs="Arial"/>
          <w:b w:val="0"/>
          <w:caps w:val="0"/>
          <w:sz w:val="20"/>
        </w:rPr>
        <w:t>Leontiev</w:t>
      </w:r>
      <w:proofErr w:type="spellEnd"/>
      <w:r w:rsidRPr="004845A4">
        <w:rPr>
          <w:rFonts w:ascii="Arial" w:hAnsi="Arial" w:cs="Arial"/>
          <w:b w:val="0"/>
          <w:caps w:val="0"/>
          <w:sz w:val="20"/>
        </w:rPr>
        <w:t xml:space="preserve"> A.A. (2024). Methods of fixing and afforestation of sands in Central Asia</w:t>
      </w:r>
      <w:r>
        <w:rPr>
          <w:rFonts w:ascii="Arial" w:hAnsi="Arial" w:cs="Arial"/>
          <w:b w:val="0"/>
          <w:caps w:val="0"/>
          <w:sz w:val="20"/>
        </w:rPr>
        <w:t>.</w:t>
      </w:r>
      <w:r w:rsidRPr="004845A4">
        <w:rPr>
          <w:rFonts w:ascii="Arial" w:hAnsi="Arial" w:cs="Arial"/>
          <w:b w:val="0"/>
          <w:caps w:val="0"/>
          <w:sz w:val="20"/>
        </w:rPr>
        <w:t xml:space="preserve"> [Electronic resource]. </w:t>
      </w:r>
      <w:hyperlink r:id="rId23" w:history="1">
        <w:r w:rsidRPr="00A42100">
          <w:rPr>
            <w:rStyle w:val="Hyperlink"/>
            <w:rFonts w:ascii="Arial" w:hAnsi="Arial" w:cs="Arial"/>
            <w:b w:val="0"/>
            <w:caps w:val="0"/>
            <w:color w:val="0070C0"/>
            <w:sz w:val="20"/>
          </w:rPr>
          <w:t>https://www.activestudy.info/metody-zakrepleniya-i-obleseniya-peskov-v-srednej-azii/</w:t>
        </w:r>
      </w:hyperlink>
      <w:r>
        <w:rPr>
          <w:rFonts w:ascii="Arial" w:hAnsi="Arial" w:cs="Arial"/>
          <w:b w:val="0"/>
          <w:caps w:val="0"/>
          <w:sz w:val="20"/>
        </w:rPr>
        <w:t xml:space="preserve"> </w:t>
      </w:r>
      <w:r w:rsidRPr="00E7174A">
        <w:rPr>
          <w:rFonts w:ascii="Arial" w:hAnsi="Arial" w:cs="Arial"/>
          <w:b w:val="0"/>
          <w:caps w:val="0"/>
          <w:sz w:val="20"/>
        </w:rPr>
        <w:t xml:space="preserve"> </w:t>
      </w:r>
      <w:r>
        <w:rPr>
          <w:rFonts w:ascii="Arial" w:hAnsi="Arial" w:cs="Arial"/>
          <w:b w:val="0"/>
          <w:caps w:val="0"/>
          <w:sz w:val="20"/>
        </w:rPr>
        <w:t>Russian.</w:t>
      </w:r>
    </w:p>
    <w:p w14:paraId="0CC70580" w14:textId="77777777" w:rsidR="00481D50" w:rsidRDefault="00481D50" w:rsidP="00481D50">
      <w:pPr>
        <w:pStyle w:val="Appendix"/>
        <w:spacing w:after="0"/>
        <w:jc w:val="both"/>
        <w:rPr>
          <w:rFonts w:ascii="Arial" w:hAnsi="Arial" w:cs="Arial"/>
          <w:b w:val="0"/>
          <w:caps w:val="0"/>
          <w:sz w:val="20"/>
        </w:rPr>
      </w:pPr>
      <w:r w:rsidRPr="00C66630">
        <w:rPr>
          <w:rFonts w:ascii="Arial" w:hAnsi="Arial" w:cs="Arial"/>
          <w:b w:val="0"/>
          <w:caps w:val="0"/>
          <w:sz w:val="20"/>
        </w:rPr>
        <w:t xml:space="preserve">Smirnova I.E., </w:t>
      </w:r>
      <w:proofErr w:type="spellStart"/>
      <w:r w:rsidRPr="00C66630">
        <w:rPr>
          <w:rFonts w:ascii="Arial" w:hAnsi="Arial" w:cs="Arial"/>
          <w:b w:val="0"/>
          <w:caps w:val="0"/>
          <w:sz w:val="20"/>
        </w:rPr>
        <w:t>Nurmukhanbetova</w:t>
      </w:r>
      <w:proofErr w:type="spellEnd"/>
      <w:r w:rsidRPr="00C66630">
        <w:rPr>
          <w:rFonts w:ascii="Arial" w:hAnsi="Arial" w:cs="Arial"/>
          <w:b w:val="0"/>
          <w:caps w:val="0"/>
          <w:sz w:val="20"/>
        </w:rPr>
        <w:t xml:space="preserve"> A., Sultanova A. (2016). EM associations promising for soil restoration of degraded pastures. </w:t>
      </w:r>
      <w:r w:rsidRPr="00E40454">
        <w:rPr>
          <w:rFonts w:ascii="Arial" w:hAnsi="Arial" w:cs="Arial"/>
          <w:b w:val="0"/>
          <w:i/>
          <w:caps w:val="0"/>
          <w:sz w:val="20"/>
        </w:rPr>
        <w:t>Eurasian Union of Scientists (EUS) Biological sciences</w:t>
      </w:r>
      <w:r>
        <w:rPr>
          <w:rFonts w:ascii="Arial" w:hAnsi="Arial" w:cs="Arial"/>
          <w:b w:val="0"/>
          <w:caps w:val="0"/>
          <w:sz w:val="20"/>
        </w:rPr>
        <w:t>,</w:t>
      </w:r>
      <w:r w:rsidRPr="0054131F">
        <w:rPr>
          <w:rFonts w:ascii="Arial" w:hAnsi="Arial" w:cs="Arial"/>
          <w:b w:val="0"/>
          <w:caps w:val="0"/>
          <w:sz w:val="20"/>
        </w:rPr>
        <w:t xml:space="preserve"> 30,</w:t>
      </w:r>
      <w:r>
        <w:rPr>
          <w:rFonts w:ascii="Arial" w:hAnsi="Arial" w:cs="Arial"/>
          <w:b w:val="0"/>
          <w:caps w:val="0"/>
          <w:sz w:val="20"/>
        </w:rPr>
        <w:t xml:space="preserve"> 14-17</w:t>
      </w:r>
      <w:r w:rsidRPr="0054131F">
        <w:rPr>
          <w:rFonts w:ascii="Arial" w:hAnsi="Arial" w:cs="Arial"/>
          <w:b w:val="0"/>
          <w:caps w:val="0"/>
          <w:sz w:val="20"/>
        </w:rPr>
        <w:t>.</w:t>
      </w:r>
      <w:r>
        <w:rPr>
          <w:rFonts w:ascii="Arial" w:hAnsi="Arial" w:cs="Arial"/>
          <w:b w:val="0"/>
          <w:caps w:val="0"/>
          <w:sz w:val="20"/>
        </w:rPr>
        <w:t xml:space="preserve"> Russian.</w:t>
      </w:r>
    </w:p>
    <w:p w14:paraId="4A2AAF87" w14:textId="77777777" w:rsidR="00481D50" w:rsidRPr="000E10F6"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Mayer</w:t>
      </w:r>
      <w:r>
        <w:rPr>
          <w:rFonts w:ascii="Arial" w:hAnsi="Arial" w:cs="Arial"/>
          <w:b w:val="0"/>
          <w:caps w:val="0"/>
          <w:sz w:val="20"/>
        </w:rPr>
        <w:t>,</w:t>
      </w:r>
      <w:r w:rsidRPr="000E10F6">
        <w:rPr>
          <w:rFonts w:ascii="Arial" w:hAnsi="Arial" w:cs="Arial"/>
          <w:b w:val="0"/>
          <w:caps w:val="0"/>
          <w:sz w:val="20"/>
        </w:rPr>
        <w:t xml:space="preserve"> J., Scheid</w:t>
      </w:r>
      <w:r>
        <w:rPr>
          <w:rFonts w:ascii="Arial" w:hAnsi="Arial" w:cs="Arial"/>
          <w:b w:val="0"/>
          <w:caps w:val="0"/>
          <w:sz w:val="20"/>
        </w:rPr>
        <w:t>,</w:t>
      </w:r>
      <w:r w:rsidRPr="000E10F6">
        <w:rPr>
          <w:rFonts w:ascii="Arial" w:hAnsi="Arial" w:cs="Arial"/>
          <w:b w:val="0"/>
          <w:caps w:val="0"/>
          <w:sz w:val="20"/>
        </w:rPr>
        <w:t xml:space="preserve"> S., Widmer F., Fließbach</w:t>
      </w:r>
      <w:r>
        <w:rPr>
          <w:rFonts w:ascii="Arial" w:hAnsi="Arial" w:cs="Arial"/>
          <w:b w:val="0"/>
          <w:caps w:val="0"/>
          <w:sz w:val="20"/>
        </w:rPr>
        <w:t>, A. &amp;</w:t>
      </w:r>
      <w:r w:rsidRPr="000E10F6">
        <w:rPr>
          <w:rFonts w:ascii="Arial" w:hAnsi="Arial" w:cs="Arial"/>
          <w:b w:val="0"/>
          <w:caps w:val="0"/>
          <w:sz w:val="20"/>
        </w:rPr>
        <w:t xml:space="preserve"> Oberholzer</w:t>
      </w:r>
      <w:r>
        <w:rPr>
          <w:rFonts w:ascii="Arial" w:hAnsi="Arial" w:cs="Arial"/>
          <w:b w:val="0"/>
          <w:caps w:val="0"/>
          <w:sz w:val="20"/>
        </w:rPr>
        <w:t>,</w:t>
      </w:r>
      <w:r w:rsidRPr="000E10F6">
        <w:rPr>
          <w:rFonts w:ascii="Arial" w:hAnsi="Arial" w:cs="Arial"/>
          <w:b w:val="0"/>
          <w:caps w:val="0"/>
          <w:sz w:val="20"/>
        </w:rPr>
        <w:t xml:space="preserve"> H.R. </w:t>
      </w:r>
      <w:r>
        <w:rPr>
          <w:rFonts w:ascii="Arial" w:hAnsi="Arial" w:cs="Arial"/>
          <w:b w:val="0"/>
          <w:caps w:val="0"/>
          <w:sz w:val="20"/>
        </w:rPr>
        <w:t xml:space="preserve"> (2010). </w:t>
      </w:r>
      <w:r w:rsidRPr="000E10F6">
        <w:rPr>
          <w:rFonts w:ascii="Arial" w:hAnsi="Arial" w:cs="Arial"/>
          <w:b w:val="0"/>
          <w:caps w:val="0"/>
          <w:sz w:val="20"/>
        </w:rPr>
        <w:t>How effective are “Effective microorganisms (EM)” Results from a field study in temperate climate</w:t>
      </w:r>
      <w:r>
        <w:rPr>
          <w:rFonts w:ascii="Arial" w:hAnsi="Arial" w:cs="Arial"/>
          <w:b w:val="0"/>
          <w:caps w:val="0"/>
          <w:sz w:val="20"/>
        </w:rPr>
        <w:t>.</w:t>
      </w:r>
      <w:r w:rsidRPr="000E10F6">
        <w:rPr>
          <w:rFonts w:ascii="Arial" w:hAnsi="Arial" w:cs="Arial"/>
          <w:b w:val="0"/>
          <w:caps w:val="0"/>
          <w:sz w:val="20"/>
        </w:rPr>
        <w:t xml:space="preserve"> </w:t>
      </w:r>
      <w:r w:rsidRPr="00FB2A25">
        <w:rPr>
          <w:rFonts w:ascii="Arial" w:hAnsi="Arial" w:cs="Arial"/>
          <w:b w:val="0"/>
          <w:i/>
          <w:caps w:val="0"/>
          <w:sz w:val="20"/>
        </w:rPr>
        <w:t>Applied Soil Ecology</w:t>
      </w:r>
      <w:r>
        <w:rPr>
          <w:rFonts w:ascii="Arial" w:hAnsi="Arial" w:cs="Arial"/>
          <w:b w:val="0"/>
          <w:caps w:val="0"/>
          <w:sz w:val="20"/>
        </w:rPr>
        <w:t>,</w:t>
      </w:r>
      <w:r w:rsidRPr="000E10F6">
        <w:rPr>
          <w:rFonts w:ascii="Arial" w:hAnsi="Arial" w:cs="Arial"/>
          <w:b w:val="0"/>
          <w:caps w:val="0"/>
          <w:sz w:val="20"/>
        </w:rPr>
        <w:t xml:space="preserve"> 46(2)</w:t>
      </w:r>
      <w:r>
        <w:rPr>
          <w:rFonts w:ascii="Arial" w:hAnsi="Arial" w:cs="Arial"/>
          <w:b w:val="0"/>
          <w:caps w:val="0"/>
          <w:sz w:val="20"/>
        </w:rPr>
        <w:t>,</w:t>
      </w:r>
      <w:r w:rsidRPr="000E10F6">
        <w:rPr>
          <w:rFonts w:ascii="Arial" w:hAnsi="Arial" w:cs="Arial"/>
          <w:b w:val="0"/>
          <w:caps w:val="0"/>
          <w:sz w:val="20"/>
        </w:rPr>
        <w:t xml:space="preserve"> 230-239.</w:t>
      </w:r>
      <w:r>
        <w:rPr>
          <w:rFonts w:ascii="Arial" w:hAnsi="Arial" w:cs="Arial"/>
          <w:b w:val="0"/>
          <w:caps w:val="0"/>
          <w:sz w:val="20"/>
        </w:rPr>
        <w:t xml:space="preserve"> </w:t>
      </w:r>
      <w:hyperlink r:id="rId24" w:history="1">
        <w:r w:rsidRPr="00A42100">
          <w:rPr>
            <w:rStyle w:val="Hyperlink"/>
            <w:rFonts w:ascii="Arial" w:hAnsi="Arial" w:cs="Arial"/>
            <w:b w:val="0"/>
            <w:caps w:val="0"/>
            <w:color w:val="0070C0"/>
            <w:sz w:val="20"/>
          </w:rPr>
          <w:t>https://doi.org/10.1016/j.apsoil.2010.08.007</w:t>
        </w:r>
      </w:hyperlink>
      <w:r>
        <w:rPr>
          <w:rFonts w:ascii="Arial" w:hAnsi="Arial" w:cs="Arial"/>
          <w:b w:val="0"/>
          <w:caps w:val="0"/>
          <w:sz w:val="20"/>
        </w:rPr>
        <w:t xml:space="preserve"> </w:t>
      </w:r>
    </w:p>
    <w:p w14:paraId="629CB870" w14:textId="77777777" w:rsidR="00481D50" w:rsidRPr="0016052A"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Gorski</w:t>
      </w:r>
      <w:r>
        <w:rPr>
          <w:rFonts w:ascii="Arial" w:hAnsi="Arial" w:cs="Arial"/>
          <w:b w:val="0"/>
          <w:caps w:val="0"/>
          <w:sz w:val="20"/>
        </w:rPr>
        <w:t>,</w:t>
      </w:r>
      <w:r w:rsidRPr="000E10F6">
        <w:rPr>
          <w:rFonts w:ascii="Arial" w:hAnsi="Arial" w:cs="Arial"/>
          <w:b w:val="0"/>
          <w:caps w:val="0"/>
          <w:sz w:val="20"/>
        </w:rPr>
        <w:t xml:space="preserve"> R</w:t>
      </w:r>
      <w:r>
        <w:rPr>
          <w:rFonts w:ascii="Arial" w:hAnsi="Arial" w:cs="Arial"/>
          <w:b w:val="0"/>
          <w:caps w:val="0"/>
          <w:sz w:val="20"/>
        </w:rPr>
        <w:t>. &amp;</w:t>
      </w:r>
      <w:r w:rsidRPr="000E10F6">
        <w:rPr>
          <w:rFonts w:ascii="Arial" w:hAnsi="Arial" w:cs="Arial"/>
          <w:b w:val="0"/>
          <w:caps w:val="0"/>
          <w:sz w:val="20"/>
        </w:rPr>
        <w:t xml:space="preserve"> Kleiber</w:t>
      </w:r>
      <w:r>
        <w:rPr>
          <w:rFonts w:ascii="Arial" w:hAnsi="Arial" w:cs="Arial"/>
          <w:b w:val="0"/>
          <w:caps w:val="0"/>
          <w:sz w:val="20"/>
        </w:rPr>
        <w:t>,</w:t>
      </w:r>
      <w:r w:rsidRPr="000E10F6">
        <w:rPr>
          <w:rFonts w:ascii="Arial" w:hAnsi="Arial" w:cs="Arial"/>
          <w:b w:val="0"/>
          <w:caps w:val="0"/>
          <w:sz w:val="20"/>
        </w:rPr>
        <w:t xml:space="preserve"> T.</w:t>
      </w:r>
      <w:r>
        <w:rPr>
          <w:rFonts w:ascii="Arial" w:hAnsi="Arial" w:cs="Arial"/>
          <w:b w:val="0"/>
          <w:caps w:val="0"/>
          <w:sz w:val="20"/>
        </w:rPr>
        <w:t xml:space="preserve"> (2010).</w:t>
      </w:r>
      <w:r w:rsidRPr="000E10F6">
        <w:rPr>
          <w:rFonts w:ascii="Arial" w:hAnsi="Arial" w:cs="Arial"/>
          <w:b w:val="0"/>
          <w:caps w:val="0"/>
          <w:sz w:val="20"/>
        </w:rPr>
        <w:t xml:space="preserve"> Effect of effective microorganisms (EM) on nutrient content</w:t>
      </w:r>
      <w:r>
        <w:rPr>
          <w:rFonts w:ascii="Arial" w:hAnsi="Arial" w:cs="Arial"/>
          <w:b w:val="0"/>
          <w:caps w:val="0"/>
          <w:sz w:val="20"/>
        </w:rPr>
        <w:t>s</w:t>
      </w:r>
      <w:r w:rsidRPr="000E10F6">
        <w:rPr>
          <w:rFonts w:ascii="Arial" w:hAnsi="Arial" w:cs="Arial"/>
          <w:b w:val="0"/>
          <w:caps w:val="0"/>
          <w:sz w:val="20"/>
        </w:rPr>
        <w:t xml:space="preserve"> in substrate and development and yielding of rose (</w:t>
      </w:r>
      <w:r w:rsidRPr="00B13E69">
        <w:rPr>
          <w:rFonts w:ascii="Arial" w:hAnsi="Arial" w:cs="Arial"/>
          <w:b w:val="0"/>
          <w:i/>
          <w:caps w:val="0"/>
          <w:sz w:val="20"/>
        </w:rPr>
        <w:t>Rosa hybrida</w:t>
      </w:r>
      <w:r w:rsidRPr="000E10F6">
        <w:rPr>
          <w:rFonts w:ascii="Arial" w:hAnsi="Arial" w:cs="Arial"/>
          <w:b w:val="0"/>
          <w:caps w:val="0"/>
          <w:sz w:val="20"/>
        </w:rPr>
        <w:t>) and gerbera (</w:t>
      </w:r>
      <w:r w:rsidRPr="00B13E69">
        <w:rPr>
          <w:rFonts w:ascii="Arial" w:hAnsi="Arial" w:cs="Arial"/>
          <w:b w:val="0"/>
          <w:i/>
          <w:caps w:val="0"/>
          <w:sz w:val="20"/>
        </w:rPr>
        <w:t xml:space="preserve">Gerbera </w:t>
      </w:r>
      <w:proofErr w:type="spellStart"/>
      <w:r w:rsidRPr="00B13E69">
        <w:rPr>
          <w:rFonts w:ascii="Arial" w:hAnsi="Arial" w:cs="Arial"/>
          <w:b w:val="0"/>
          <w:i/>
          <w:caps w:val="0"/>
          <w:sz w:val="20"/>
        </w:rPr>
        <w:t>jamesonii</w:t>
      </w:r>
      <w:proofErr w:type="spellEnd"/>
      <w:r w:rsidRPr="000E10F6">
        <w:rPr>
          <w:rFonts w:ascii="Arial" w:hAnsi="Arial" w:cs="Arial"/>
          <w:b w:val="0"/>
          <w:caps w:val="0"/>
          <w:sz w:val="20"/>
        </w:rPr>
        <w:t>)</w:t>
      </w:r>
      <w:r>
        <w:rPr>
          <w:rFonts w:ascii="Arial" w:hAnsi="Arial" w:cs="Arial"/>
          <w:b w:val="0"/>
          <w:caps w:val="0"/>
          <w:sz w:val="20"/>
        </w:rPr>
        <w:t>.</w:t>
      </w:r>
      <w:r w:rsidRPr="000E10F6">
        <w:rPr>
          <w:rFonts w:ascii="Arial" w:hAnsi="Arial" w:cs="Arial"/>
          <w:b w:val="0"/>
          <w:caps w:val="0"/>
          <w:sz w:val="20"/>
        </w:rPr>
        <w:t xml:space="preserve"> </w:t>
      </w:r>
      <w:r w:rsidRPr="00E32162">
        <w:rPr>
          <w:rFonts w:ascii="Arial" w:hAnsi="Arial" w:cs="Arial"/>
          <w:b w:val="0"/>
          <w:i/>
          <w:caps w:val="0"/>
          <w:sz w:val="20"/>
        </w:rPr>
        <w:t>Ecological</w:t>
      </w:r>
      <w:r w:rsidRPr="0016052A">
        <w:rPr>
          <w:rFonts w:ascii="Arial" w:hAnsi="Arial" w:cs="Arial"/>
          <w:b w:val="0"/>
          <w:i/>
          <w:caps w:val="0"/>
          <w:sz w:val="20"/>
        </w:rPr>
        <w:t xml:space="preserve"> </w:t>
      </w:r>
      <w:r w:rsidRPr="00E32162">
        <w:rPr>
          <w:rFonts w:ascii="Arial" w:hAnsi="Arial" w:cs="Arial"/>
          <w:b w:val="0"/>
          <w:i/>
          <w:caps w:val="0"/>
          <w:sz w:val="20"/>
        </w:rPr>
        <w:t>Chemistry</w:t>
      </w:r>
      <w:r w:rsidRPr="0016052A">
        <w:rPr>
          <w:rFonts w:ascii="Arial" w:hAnsi="Arial" w:cs="Arial"/>
          <w:b w:val="0"/>
          <w:i/>
          <w:caps w:val="0"/>
          <w:sz w:val="20"/>
        </w:rPr>
        <w:t xml:space="preserve"> </w:t>
      </w:r>
      <w:r w:rsidRPr="00E32162">
        <w:rPr>
          <w:rFonts w:ascii="Arial" w:hAnsi="Arial" w:cs="Arial"/>
          <w:b w:val="0"/>
          <w:i/>
          <w:caps w:val="0"/>
          <w:sz w:val="20"/>
        </w:rPr>
        <w:t>and</w:t>
      </w:r>
      <w:r w:rsidRPr="0016052A">
        <w:rPr>
          <w:rFonts w:ascii="Arial" w:hAnsi="Arial" w:cs="Arial"/>
          <w:b w:val="0"/>
          <w:i/>
          <w:caps w:val="0"/>
          <w:sz w:val="20"/>
        </w:rPr>
        <w:t xml:space="preserve"> </w:t>
      </w:r>
      <w:r w:rsidRPr="00E32162">
        <w:rPr>
          <w:rFonts w:ascii="Arial" w:hAnsi="Arial" w:cs="Arial"/>
          <w:b w:val="0"/>
          <w:i/>
          <w:caps w:val="0"/>
          <w:sz w:val="20"/>
        </w:rPr>
        <w:t>Engineering</w:t>
      </w:r>
      <w:r>
        <w:rPr>
          <w:rFonts w:ascii="Arial" w:hAnsi="Arial" w:cs="Arial"/>
          <w:b w:val="0"/>
          <w:i/>
          <w:caps w:val="0"/>
          <w:sz w:val="20"/>
        </w:rPr>
        <w:t xml:space="preserve"> S</w:t>
      </w:r>
      <w:r w:rsidRPr="0016052A">
        <w:rPr>
          <w:rFonts w:ascii="Arial" w:hAnsi="Arial" w:cs="Arial"/>
          <w:b w:val="0"/>
          <w:caps w:val="0"/>
          <w:sz w:val="20"/>
        </w:rPr>
        <w:t>, 17</w:t>
      </w:r>
      <w:r>
        <w:rPr>
          <w:rFonts w:ascii="Arial" w:hAnsi="Arial" w:cs="Arial"/>
          <w:b w:val="0"/>
          <w:caps w:val="0"/>
          <w:sz w:val="20"/>
        </w:rPr>
        <w:t>(4)</w:t>
      </w:r>
      <w:r w:rsidRPr="0016052A">
        <w:rPr>
          <w:rFonts w:ascii="Arial" w:hAnsi="Arial" w:cs="Arial"/>
          <w:b w:val="0"/>
          <w:caps w:val="0"/>
          <w:sz w:val="20"/>
        </w:rPr>
        <w:t>, 50</w:t>
      </w:r>
      <w:r>
        <w:rPr>
          <w:rFonts w:ascii="Arial" w:hAnsi="Arial" w:cs="Arial"/>
          <w:b w:val="0"/>
          <w:caps w:val="0"/>
          <w:sz w:val="20"/>
        </w:rPr>
        <w:t>5</w:t>
      </w:r>
      <w:r w:rsidRPr="0016052A">
        <w:rPr>
          <w:rFonts w:ascii="Arial" w:hAnsi="Arial" w:cs="Arial"/>
          <w:b w:val="0"/>
          <w:caps w:val="0"/>
          <w:sz w:val="20"/>
        </w:rPr>
        <w:t>-51</w:t>
      </w:r>
      <w:r>
        <w:rPr>
          <w:rFonts w:ascii="Arial" w:hAnsi="Arial" w:cs="Arial"/>
          <w:b w:val="0"/>
          <w:caps w:val="0"/>
          <w:sz w:val="20"/>
        </w:rPr>
        <w:t>3</w:t>
      </w:r>
      <w:r w:rsidRPr="0016052A">
        <w:rPr>
          <w:rFonts w:ascii="Arial" w:hAnsi="Arial" w:cs="Arial"/>
          <w:b w:val="0"/>
          <w:caps w:val="0"/>
          <w:sz w:val="20"/>
        </w:rPr>
        <w:t>.</w:t>
      </w:r>
    </w:p>
    <w:p w14:paraId="315C9E32" w14:textId="77777777" w:rsidR="00481D50" w:rsidRPr="000E10F6"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Gans</w:t>
      </w:r>
      <w:r>
        <w:rPr>
          <w:rFonts w:ascii="Arial" w:hAnsi="Arial" w:cs="Arial"/>
          <w:b w:val="0"/>
          <w:caps w:val="0"/>
          <w:sz w:val="20"/>
        </w:rPr>
        <w:t>,</w:t>
      </w:r>
      <w:r w:rsidRPr="000E10F6">
        <w:rPr>
          <w:rFonts w:ascii="Arial" w:hAnsi="Arial" w:cs="Arial"/>
          <w:b w:val="0"/>
          <w:caps w:val="0"/>
          <w:sz w:val="20"/>
        </w:rPr>
        <w:t xml:space="preserve"> J., Wolinsky</w:t>
      </w:r>
      <w:r>
        <w:rPr>
          <w:rFonts w:ascii="Arial" w:hAnsi="Arial" w:cs="Arial"/>
          <w:b w:val="0"/>
          <w:caps w:val="0"/>
          <w:sz w:val="20"/>
        </w:rPr>
        <w:t>,</w:t>
      </w:r>
      <w:r w:rsidRPr="000E10F6">
        <w:rPr>
          <w:rFonts w:ascii="Arial" w:hAnsi="Arial" w:cs="Arial"/>
          <w:b w:val="0"/>
          <w:caps w:val="0"/>
          <w:sz w:val="20"/>
        </w:rPr>
        <w:t xml:space="preserve"> M.</w:t>
      </w:r>
      <w:r>
        <w:rPr>
          <w:rFonts w:ascii="Arial" w:hAnsi="Arial" w:cs="Arial"/>
          <w:b w:val="0"/>
          <w:caps w:val="0"/>
          <w:sz w:val="20"/>
        </w:rPr>
        <w:t xml:space="preserve"> &amp;</w:t>
      </w:r>
      <w:r w:rsidRPr="000E10F6">
        <w:rPr>
          <w:rFonts w:ascii="Arial" w:hAnsi="Arial" w:cs="Arial"/>
          <w:b w:val="0"/>
          <w:caps w:val="0"/>
          <w:sz w:val="20"/>
        </w:rPr>
        <w:t xml:space="preserve"> Dunbar</w:t>
      </w:r>
      <w:r>
        <w:rPr>
          <w:rFonts w:ascii="Arial" w:hAnsi="Arial" w:cs="Arial"/>
          <w:b w:val="0"/>
          <w:caps w:val="0"/>
          <w:sz w:val="20"/>
        </w:rPr>
        <w:t>,</w:t>
      </w:r>
      <w:r w:rsidRPr="000E10F6">
        <w:rPr>
          <w:rFonts w:ascii="Arial" w:hAnsi="Arial" w:cs="Arial"/>
          <w:b w:val="0"/>
          <w:caps w:val="0"/>
          <w:sz w:val="20"/>
        </w:rPr>
        <w:t xml:space="preserve"> J. </w:t>
      </w:r>
      <w:r>
        <w:rPr>
          <w:rFonts w:ascii="Arial" w:hAnsi="Arial" w:cs="Arial"/>
          <w:b w:val="0"/>
          <w:caps w:val="0"/>
          <w:sz w:val="20"/>
        </w:rPr>
        <w:t xml:space="preserve">(2005). </w:t>
      </w:r>
      <w:r w:rsidRPr="000E10F6">
        <w:rPr>
          <w:rFonts w:ascii="Arial" w:hAnsi="Arial" w:cs="Arial"/>
          <w:b w:val="0"/>
          <w:caps w:val="0"/>
          <w:sz w:val="20"/>
        </w:rPr>
        <w:t>Computational improvements reveal great bacterial diversity and high metal toxicity in soil</w:t>
      </w:r>
      <w:r>
        <w:rPr>
          <w:rFonts w:ascii="Arial" w:hAnsi="Arial" w:cs="Arial"/>
          <w:b w:val="0"/>
          <w:caps w:val="0"/>
          <w:sz w:val="20"/>
        </w:rPr>
        <w:t>.</w:t>
      </w:r>
      <w:r w:rsidRPr="000E10F6">
        <w:rPr>
          <w:rFonts w:ascii="Arial" w:hAnsi="Arial" w:cs="Arial"/>
          <w:b w:val="0"/>
          <w:caps w:val="0"/>
          <w:sz w:val="20"/>
        </w:rPr>
        <w:t xml:space="preserve"> </w:t>
      </w:r>
      <w:r w:rsidRPr="00B13E69">
        <w:rPr>
          <w:rFonts w:ascii="Arial" w:hAnsi="Arial" w:cs="Arial"/>
          <w:b w:val="0"/>
          <w:i/>
          <w:caps w:val="0"/>
          <w:sz w:val="20"/>
        </w:rPr>
        <w:t>Science</w:t>
      </w:r>
      <w:r>
        <w:rPr>
          <w:rFonts w:ascii="Arial" w:hAnsi="Arial" w:cs="Arial"/>
          <w:b w:val="0"/>
          <w:caps w:val="0"/>
          <w:sz w:val="20"/>
        </w:rPr>
        <w:t>,</w:t>
      </w:r>
      <w:r w:rsidRPr="000E10F6">
        <w:rPr>
          <w:rFonts w:ascii="Arial" w:hAnsi="Arial" w:cs="Arial"/>
          <w:b w:val="0"/>
          <w:caps w:val="0"/>
          <w:sz w:val="20"/>
        </w:rPr>
        <w:t xml:space="preserve"> 309</w:t>
      </w:r>
      <w:r>
        <w:rPr>
          <w:rFonts w:ascii="Arial" w:hAnsi="Arial" w:cs="Arial"/>
          <w:b w:val="0"/>
          <w:caps w:val="0"/>
          <w:sz w:val="20"/>
        </w:rPr>
        <w:t>(</w:t>
      </w:r>
      <w:r w:rsidRPr="000E10F6">
        <w:rPr>
          <w:rFonts w:ascii="Arial" w:hAnsi="Arial" w:cs="Arial"/>
          <w:b w:val="0"/>
          <w:caps w:val="0"/>
          <w:sz w:val="20"/>
        </w:rPr>
        <w:t>5739</w:t>
      </w:r>
      <w:r>
        <w:rPr>
          <w:rFonts w:ascii="Arial" w:hAnsi="Arial" w:cs="Arial"/>
          <w:b w:val="0"/>
          <w:caps w:val="0"/>
          <w:sz w:val="20"/>
        </w:rPr>
        <w:t>),</w:t>
      </w:r>
      <w:r w:rsidRPr="000E10F6">
        <w:rPr>
          <w:rFonts w:ascii="Arial" w:hAnsi="Arial" w:cs="Arial"/>
          <w:b w:val="0"/>
          <w:caps w:val="0"/>
          <w:sz w:val="20"/>
        </w:rPr>
        <w:t xml:space="preserve"> 1387–1390. </w:t>
      </w:r>
      <w:hyperlink r:id="rId25" w:history="1">
        <w:r w:rsidRPr="00A42100">
          <w:rPr>
            <w:rStyle w:val="Hyperlink"/>
            <w:rFonts w:ascii="Arial" w:hAnsi="Arial" w:cs="Arial"/>
            <w:b w:val="0"/>
            <w:caps w:val="0"/>
            <w:color w:val="0070C0"/>
            <w:sz w:val="20"/>
          </w:rPr>
          <w:t>https://doi.org/10.1126/science.1112665</w:t>
        </w:r>
      </w:hyperlink>
      <w:r>
        <w:rPr>
          <w:rFonts w:ascii="Arial" w:hAnsi="Arial" w:cs="Arial"/>
          <w:b w:val="0"/>
          <w:caps w:val="0"/>
          <w:sz w:val="20"/>
        </w:rPr>
        <w:t xml:space="preserve"> </w:t>
      </w:r>
      <w:r w:rsidRPr="000E10F6">
        <w:rPr>
          <w:rFonts w:ascii="Arial" w:hAnsi="Arial" w:cs="Arial"/>
          <w:b w:val="0"/>
          <w:caps w:val="0"/>
          <w:sz w:val="20"/>
        </w:rPr>
        <w:t xml:space="preserve"> </w:t>
      </w:r>
    </w:p>
    <w:p w14:paraId="492DA128" w14:textId="55CFC1E4" w:rsidR="00481D50" w:rsidRPr="000E10F6"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Liu</w:t>
      </w:r>
      <w:r>
        <w:rPr>
          <w:rFonts w:ascii="Arial" w:hAnsi="Arial" w:cs="Arial"/>
          <w:b w:val="0"/>
          <w:caps w:val="0"/>
          <w:sz w:val="20"/>
        </w:rPr>
        <w:t>,</w:t>
      </w:r>
      <w:r w:rsidRPr="000E10F6">
        <w:rPr>
          <w:rFonts w:ascii="Arial" w:hAnsi="Arial" w:cs="Arial"/>
          <w:b w:val="0"/>
          <w:caps w:val="0"/>
          <w:sz w:val="20"/>
        </w:rPr>
        <w:t xml:space="preserve"> H., Carvalhais</w:t>
      </w:r>
      <w:r>
        <w:rPr>
          <w:rFonts w:ascii="Arial" w:hAnsi="Arial" w:cs="Arial"/>
          <w:b w:val="0"/>
          <w:caps w:val="0"/>
          <w:sz w:val="20"/>
        </w:rPr>
        <w:t>,</w:t>
      </w:r>
      <w:r w:rsidRPr="000E10F6">
        <w:rPr>
          <w:rFonts w:ascii="Arial" w:hAnsi="Arial" w:cs="Arial"/>
          <w:b w:val="0"/>
          <w:caps w:val="0"/>
          <w:sz w:val="20"/>
        </w:rPr>
        <w:t xml:space="preserve"> L.C., Crawford</w:t>
      </w:r>
      <w:r>
        <w:rPr>
          <w:rFonts w:ascii="Arial" w:hAnsi="Arial" w:cs="Arial"/>
          <w:b w:val="0"/>
          <w:caps w:val="0"/>
          <w:sz w:val="20"/>
        </w:rPr>
        <w:t>,</w:t>
      </w:r>
      <w:r w:rsidRPr="000E10F6">
        <w:rPr>
          <w:rFonts w:ascii="Arial" w:hAnsi="Arial" w:cs="Arial"/>
          <w:b w:val="0"/>
          <w:caps w:val="0"/>
          <w:sz w:val="20"/>
        </w:rPr>
        <w:t xml:space="preserve"> M., Singh</w:t>
      </w:r>
      <w:r>
        <w:rPr>
          <w:rFonts w:ascii="Arial" w:hAnsi="Arial" w:cs="Arial"/>
          <w:b w:val="0"/>
          <w:caps w:val="0"/>
          <w:sz w:val="20"/>
        </w:rPr>
        <w:t>,</w:t>
      </w:r>
      <w:r w:rsidRPr="000E10F6">
        <w:rPr>
          <w:rFonts w:ascii="Arial" w:hAnsi="Arial" w:cs="Arial"/>
          <w:b w:val="0"/>
          <w:caps w:val="0"/>
          <w:sz w:val="20"/>
        </w:rPr>
        <w:t xml:space="preserve"> E., Dennis</w:t>
      </w:r>
      <w:r>
        <w:rPr>
          <w:rFonts w:ascii="Arial" w:hAnsi="Arial" w:cs="Arial"/>
          <w:b w:val="0"/>
          <w:caps w:val="0"/>
          <w:sz w:val="20"/>
        </w:rPr>
        <w:t>,</w:t>
      </w:r>
      <w:r w:rsidRPr="000E10F6">
        <w:rPr>
          <w:rFonts w:ascii="Arial" w:hAnsi="Arial" w:cs="Arial"/>
          <w:b w:val="0"/>
          <w:caps w:val="0"/>
          <w:sz w:val="20"/>
        </w:rPr>
        <w:t xml:space="preserve"> P.G., Pieterse</w:t>
      </w:r>
      <w:r>
        <w:rPr>
          <w:rFonts w:ascii="Arial" w:hAnsi="Arial" w:cs="Arial"/>
          <w:b w:val="0"/>
          <w:caps w:val="0"/>
          <w:sz w:val="20"/>
        </w:rPr>
        <w:t>,</w:t>
      </w:r>
      <w:r w:rsidRPr="000E10F6">
        <w:rPr>
          <w:rFonts w:ascii="Arial" w:hAnsi="Arial" w:cs="Arial"/>
          <w:b w:val="0"/>
          <w:caps w:val="0"/>
          <w:sz w:val="20"/>
        </w:rPr>
        <w:t xml:space="preserve"> C.M.J.</w:t>
      </w:r>
      <w:r>
        <w:rPr>
          <w:rFonts w:ascii="Arial" w:hAnsi="Arial" w:cs="Arial"/>
          <w:b w:val="0"/>
          <w:caps w:val="0"/>
          <w:sz w:val="20"/>
        </w:rPr>
        <w:t xml:space="preserve"> et al. (2017)</w:t>
      </w:r>
      <w:r w:rsidRPr="000E10F6">
        <w:rPr>
          <w:rFonts w:ascii="Arial" w:hAnsi="Arial" w:cs="Arial"/>
          <w:b w:val="0"/>
          <w:caps w:val="0"/>
          <w:sz w:val="20"/>
        </w:rPr>
        <w:t xml:space="preserve"> Inner plant values: Diversity, colonization and benefits from endophytic bacteria</w:t>
      </w:r>
      <w:r>
        <w:rPr>
          <w:rFonts w:ascii="Arial" w:hAnsi="Arial" w:cs="Arial"/>
          <w:b w:val="0"/>
          <w:caps w:val="0"/>
          <w:sz w:val="20"/>
        </w:rPr>
        <w:t>.</w:t>
      </w:r>
      <w:r w:rsidRPr="000E10F6">
        <w:rPr>
          <w:rFonts w:ascii="Arial" w:hAnsi="Arial" w:cs="Arial"/>
          <w:b w:val="0"/>
          <w:caps w:val="0"/>
          <w:sz w:val="20"/>
        </w:rPr>
        <w:t xml:space="preserve"> </w:t>
      </w:r>
      <w:r w:rsidRPr="00775CB2">
        <w:rPr>
          <w:rFonts w:ascii="Arial" w:hAnsi="Arial" w:cs="Arial"/>
          <w:b w:val="0"/>
          <w:i/>
          <w:caps w:val="0"/>
          <w:sz w:val="20"/>
        </w:rPr>
        <w:t>Front</w:t>
      </w:r>
      <w:r w:rsidR="00E40454" w:rsidRPr="00775CB2">
        <w:rPr>
          <w:rFonts w:ascii="Arial" w:hAnsi="Arial" w:cs="Arial"/>
          <w:b w:val="0"/>
          <w:i/>
          <w:caps w:val="0"/>
          <w:sz w:val="20"/>
        </w:rPr>
        <w:t>ier</w:t>
      </w:r>
      <w:r w:rsidR="00775CB2" w:rsidRPr="00775CB2">
        <w:rPr>
          <w:rFonts w:ascii="Arial" w:hAnsi="Arial" w:cs="Arial"/>
          <w:b w:val="0"/>
          <w:i/>
          <w:caps w:val="0"/>
          <w:sz w:val="20"/>
        </w:rPr>
        <w:t xml:space="preserve">s in </w:t>
      </w:r>
      <w:proofErr w:type="gramStart"/>
      <w:r w:rsidRPr="00775CB2">
        <w:rPr>
          <w:rFonts w:ascii="Arial" w:hAnsi="Arial" w:cs="Arial"/>
          <w:b w:val="0"/>
          <w:i/>
          <w:caps w:val="0"/>
          <w:sz w:val="20"/>
        </w:rPr>
        <w:t>Microbiol</w:t>
      </w:r>
      <w:r w:rsidR="00775CB2" w:rsidRPr="00775CB2">
        <w:rPr>
          <w:rFonts w:ascii="Arial" w:hAnsi="Arial" w:cs="Arial"/>
          <w:b w:val="0"/>
          <w:i/>
          <w:caps w:val="0"/>
          <w:sz w:val="20"/>
        </w:rPr>
        <w:t>ogy</w:t>
      </w:r>
      <w:r w:rsidR="00775CB2">
        <w:rPr>
          <w:rFonts w:ascii="Arial" w:hAnsi="Arial" w:cs="Arial"/>
          <w:b w:val="0"/>
          <w:caps w:val="0"/>
          <w:sz w:val="20"/>
        </w:rPr>
        <w:t>,</w:t>
      </w:r>
      <w:r w:rsidRPr="000E10F6">
        <w:rPr>
          <w:rFonts w:ascii="Arial" w:hAnsi="Arial" w:cs="Arial"/>
          <w:b w:val="0"/>
          <w:caps w:val="0"/>
          <w:sz w:val="20"/>
        </w:rPr>
        <w:t xml:space="preserve">  8</w:t>
      </w:r>
      <w:proofErr w:type="gramEnd"/>
      <w:r>
        <w:rPr>
          <w:rFonts w:ascii="Arial" w:hAnsi="Arial" w:cs="Arial"/>
          <w:b w:val="0"/>
          <w:caps w:val="0"/>
          <w:sz w:val="20"/>
        </w:rPr>
        <w:t>,</w:t>
      </w:r>
      <w:r w:rsidRPr="000E10F6">
        <w:rPr>
          <w:rFonts w:ascii="Arial" w:hAnsi="Arial" w:cs="Arial"/>
          <w:b w:val="0"/>
          <w:caps w:val="0"/>
          <w:sz w:val="20"/>
        </w:rPr>
        <w:t xml:space="preserve"> 2552. </w:t>
      </w:r>
      <w:hyperlink r:id="rId26" w:history="1">
        <w:r w:rsidRPr="00A42100">
          <w:rPr>
            <w:rStyle w:val="Hyperlink"/>
            <w:rFonts w:ascii="Arial" w:hAnsi="Arial" w:cs="Arial"/>
            <w:b w:val="0"/>
            <w:caps w:val="0"/>
            <w:color w:val="0070C0"/>
            <w:sz w:val="20"/>
          </w:rPr>
          <w:t>https://doi.org/10.3389/fmicb.2017.02552</w:t>
        </w:r>
      </w:hyperlink>
      <w:r>
        <w:rPr>
          <w:rFonts w:ascii="Arial" w:hAnsi="Arial" w:cs="Arial"/>
          <w:b w:val="0"/>
          <w:caps w:val="0"/>
          <w:sz w:val="20"/>
        </w:rPr>
        <w:t xml:space="preserve"> </w:t>
      </w:r>
      <w:r w:rsidRPr="000E10F6">
        <w:rPr>
          <w:rFonts w:ascii="Arial" w:hAnsi="Arial" w:cs="Arial"/>
          <w:b w:val="0"/>
          <w:caps w:val="0"/>
          <w:sz w:val="20"/>
        </w:rPr>
        <w:t xml:space="preserve"> </w:t>
      </w:r>
    </w:p>
    <w:p w14:paraId="768C4FD3" w14:textId="444426CC" w:rsidR="00481D50" w:rsidRDefault="00481D50" w:rsidP="00481D50">
      <w:pPr>
        <w:pStyle w:val="Appendix"/>
        <w:spacing w:after="0"/>
        <w:jc w:val="both"/>
        <w:rPr>
          <w:rFonts w:ascii="Arial" w:hAnsi="Arial" w:cs="Arial"/>
          <w:b w:val="0"/>
          <w:caps w:val="0"/>
          <w:sz w:val="20"/>
        </w:rPr>
      </w:pPr>
      <w:proofErr w:type="spellStart"/>
      <w:r w:rsidRPr="000E10F6">
        <w:rPr>
          <w:rFonts w:ascii="Arial" w:hAnsi="Arial" w:cs="Arial"/>
          <w:b w:val="0"/>
          <w:caps w:val="0"/>
          <w:sz w:val="20"/>
        </w:rPr>
        <w:t>Rozpądek</w:t>
      </w:r>
      <w:proofErr w:type="spellEnd"/>
      <w:r w:rsidRPr="000E10F6">
        <w:rPr>
          <w:rFonts w:ascii="Arial" w:hAnsi="Arial" w:cs="Arial"/>
          <w:b w:val="0"/>
          <w:caps w:val="0"/>
          <w:sz w:val="20"/>
        </w:rPr>
        <w:t xml:space="preserve"> P., Domka A.M., Nosek M., </w:t>
      </w:r>
      <w:proofErr w:type="spellStart"/>
      <w:r w:rsidRPr="000E10F6">
        <w:rPr>
          <w:rFonts w:ascii="Arial" w:hAnsi="Arial" w:cs="Arial"/>
          <w:b w:val="0"/>
          <w:caps w:val="0"/>
          <w:sz w:val="20"/>
        </w:rPr>
        <w:t>Ważny</w:t>
      </w:r>
      <w:proofErr w:type="spellEnd"/>
      <w:r w:rsidRPr="000E10F6">
        <w:rPr>
          <w:rFonts w:ascii="Arial" w:hAnsi="Arial" w:cs="Arial"/>
          <w:b w:val="0"/>
          <w:caps w:val="0"/>
          <w:sz w:val="20"/>
        </w:rPr>
        <w:t xml:space="preserve"> R., </w:t>
      </w:r>
      <w:proofErr w:type="spellStart"/>
      <w:r w:rsidRPr="000E10F6">
        <w:rPr>
          <w:rFonts w:ascii="Arial" w:hAnsi="Arial" w:cs="Arial"/>
          <w:b w:val="0"/>
          <w:caps w:val="0"/>
          <w:sz w:val="20"/>
        </w:rPr>
        <w:t>Jędrzejczyk</w:t>
      </w:r>
      <w:proofErr w:type="spellEnd"/>
      <w:r w:rsidRPr="000E10F6">
        <w:rPr>
          <w:rFonts w:ascii="Arial" w:hAnsi="Arial" w:cs="Arial"/>
          <w:b w:val="0"/>
          <w:caps w:val="0"/>
          <w:sz w:val="20"/>
        </w:rPr>
        <w:t xml:space="preserve"> R.J., </w:t>
      </w:r>
      <w:proofErr w:type="spellStart"/>
      <w:r w:rsidRPr="000E10F6">
        <w:rPr>
          <w:rFonts w:ascii="Arial" w:hAnsi="Arial" w:cs="Arial"/>
          <w:b w:val="0"/>
          <w:caps w:val="0"/>
          <w:sz w:val="20"/>
        </w:rPr>
        <w:t>Wiciarz</w:t>
      </w:r>
      <w:proofErr w:type="spellEnd"/>
      <w:r w:rsidRPr="000E10F6">
        <w:rPr>
          <w:rFonts w:ascii="Arial" w:hAnsi="Arial" w:cs="Arial"/>
          <w:b w:val="0"/>
          <w:caps w:val="0"/>
          <w:sz w:val="20"/>
        </w:rPr>
        <w:t xml:space="preserve"> M., </w:t>
      </w:r>
      <w:proofErr w:type="spellStart"/>
      <w:r w:rsidRPr="000E10F6">
        <w:rPr>
          <w:rFonts w:ascii="Arial" w:hAnsi="Arial" w:cs="Arial"/>
          <w:b w:val="0"/>
          <w:caps w:val="0"/>
          <w:sz w:val="20"/>
        </w:rPr>
        <w:t>Turnau</w:t>
      </w:r>
      <w:proofErr w:type="spellEnd"/>
      <w:r w:rsidRPr="000E10F6">
        <w:rPr>
          <w:rFonts w:ascii="Arial" w:hAnsi="Arial" w:cs="Arial"/>
          <w:b w:val="0"/>
          <w:caps w:val="0"/>
          <w:sz w:val="20"/>
        </w:rPr>
        <w:t xml:space="preserve"> K. </w:t>
      </w:r>
      <w:r>
        <w:rPr>
          <w:rFonts w:ascii="Arial" w:hAnsi="Arial" w:cs="Arial"/>
          <w:b w:val="0"/>
          <w:caps w:val="0"/>
          <w:sz w:val="20"/>
        </w:rPr>
        <w:t xml:space="preserve">(2018). </w:t>
      </w:r>
      <w:r w:rsidRPr="000E10F6">
        <w:rPr>
          <w:rFonts w:ascii="Arial" w:hAnsi="Arial" w:cs="Arial"/>
          <w:b w:val="0"/>
          <w:caps w:val="0"/>
          <w:sz w:val="20"/>
        </w:rPr>
        <w:t xml:space="preserve">The role of </w:t>
      </w:r>
      <w:proofErr w:type="spellStart"/>
      <w:r w:rsidRPr="000E10F6">
        <w:rPr>
          <w:rFonts w:ascii="Arial" w:hAnsi="Arial" w:cs="Arial"/>
          <w:b w:val="0"/>
          <w:caps w:val="0"/>
          <w:sz w:val="20"/>
        </w:rPr>
        <w:t>strigolactone</w:t>
      </w:r>
      <w:proofErr w:type="spellEnd"/>
      <w:r w:rsidRPr="000E10F6">
        <w:rPr>
          <w:rFonts w:ascii="Arial" w:hAnsi="Arial" w:cs="Arial"/>
          <w:b w:val="0"/>
          <w:caps w:val="0"/>
          <w:sz w:val="20"/>
        </w:rPr>
        <w:t xml:space="preserve"> in the cross-talk between </w:t>
      </w:r>
      <w:r w:rsidRPr="0016052A">
        <w:rPr>
          <w:rFonts w:ascii="Arial" w:hAnsi="Arial" w:cs="Arial"/>
          <w:b w:val="0"/>
          <w:i/>
          <w:caps w:val="0"/>
          <w:sz w:val="20"/>
        </w:rPr>
        <w:t>Arabidopsis thaliana</w:t>
      </w:r>
      <w:r w:rsidRPr="000E10F6">
        <w:rPr>
          <w:rFonts w:ascii="Arial" w:hAnsi="Arial" w:cs="Arial"/>
          <w:b w:val="0"/>
          <w:caps w:val="0"/>
          <w:sz w:val="20"/>
        </w:rPr>
        <w:t xml:space="preserve"> and the endophytic fungus </w:t>
      </w:r>
      <w:r w:rsidRPr="0016052A">
        <w:rPr>
          <w:rFonts w:ascii="Arial" w:hAnsi="Arial" w:cs="Arial"/>
          <w:b w:val="0"/>
          <w:i/>
          <w:caps w:val="0"/>
          <w:sz w:val="20"/>
        </w:rPr>
        <w:t>Mucor sp</w:t>
      </w:r>
      <w:r w:rsidRPr="000E10F6">
        <w:rPr>
          <w:rFonts w:ascii="Arial" w:hAnsi="Arial" w:cs="Arial"/>
          <w:b w:val="0"/>
          <w:caps w:val="0"/>
          <w:sz w:val="20"/>
        </w:rPr>
        <w:t xml:space="preserve">. </w:t>
      </w:r>
      <w:r w:rsidR="00775CB2" w:rsidRPr="00775CB2">
        <w:rPr>
          <w:rFonts w:ascii="Arial" w:hAnsi="Arial" w:cs="Arial"/>
          <w:b w:val="0"/>
          <w:i/>
          <w:caps w:val="0"/>
          <w:sz w:val="20"/>
        </w:rPr>
        <w:t>Frontiers in Microbiology</w:t>
      </w:r>
      <w:r>
        <w:rPr>
          <w:rFonts w:ascii="Arial" w:hAnsi="Arial" w:cs="Arial"/>
          <w:b w:val="0"/>
          <w:caps w:val="0"/>
          <w:sz w:val="20"/>
        </w:rPr>
        <w:t>,</w:t>
      </w:r>
      <w:r w:rsidRPr="000E10F6">
        <w:rPr>
          <w:rFonts w:ascii="Arial" w:hAnsi="Arial" w:cs="Arial"/>
          <w:b w:val="0"/>
          <w:caps w:val="0"/>
          <w:sz w:val="20"/>
        </w:rPr>
        <w:t xml:space="preserve"> 9</w:t>
      </w:r>
      <w:r>
        <w:rPr>
          <w:rFonts w:ascii="Arial" w:hAnsi="Arial" w:cs="Arial"/>
          <w:b w:val="0"/>
          <w:caps w:val="0"/>
          <w:sz w:val="20"/>
        </w:rPr>
        <w:t xml:space="preserve">, </w:t>
      </w:r>
      <w:r w:rsidRPr="000E10F6">
        <w:rPr>
          <w:rFonts w:ascii="Arial" w:hAnsi="Arial" w:cs="Arial"/>
          <w:b w:val="0"/>
          <w:caps w:val="0"/>
          <w:sz w:val="20"/>
        </w:rPr>
        <w:t xml:space="preserve">441. </w:t>
      </w:r>
      <w:hyperlink r:id="rId27" w:history="1">
        <w:r w:rsidRPr="00A42100">
          <w:rPr>
            <w:rStyle w:val="Hyperlink"/>
            <w:rFonts w:ascii="Arial" w:hAnsi="Arial" w:cs="Arial"/>
            <w:b w:val="0"/>
            <w:caps w:val="0"/>
            <w:color w:val="0070C0"/>
            <w:sz w:val="20"/>
          </w:rPr>
          <w:t>https://doi.org/10.3389/fmicb.2018.00441</w:t>
        </w:r>
      </w:hyperlink>
      <w:r w:rsidRPr="00361A3A">
        <w:rPr>
          <w:rFonts w:ascii="Arial" w:hAnsi="Arial" w:cs="Arial"/>
          <w:b w:val="0"/>
          <w:caps w:val="0"/>
          <w:sz w:val="20"/>
        </w:rPr>
        <w:t xml:space="preserve"> </w:t>
      </w:r>
    </w:p>
    <w:p w14:paraId="7FDF38C0" w14:textId="16FBDEA3" w:rsidR="00481D50"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Oldroyd</w:t>
      </w:r>
      <w:r>
        <w:rPr>
          <w:rFonts w:ascii="Arial" w:hAnsi="Arial" w:cs="Arial"/>
          <w:b w:val="0"/>
          <w:caps w:val="0"/>
          <w:sz w:val="20"/>
        </w:rPr>
        <w:t>,</w:t>
      </w:r>
      <w:r w:rsidRPr="000E10F6">
        <w:rPr>
          <w:rFonts w:ascii="Arial" w:hAnsi="Arial" w:cs="Arial"/>
          <w:b w:val="0"/>
          <w:caps w:val="0"/>
          <w:sz w:val="20"/>
        </w:rPr>
        <w:t xml:space="preserve"> G.E.D.</w:t>
      </w:r>
      <w:r>
        <w:rPr>
          <w:rFonts w:ascii="Arial" w:hAnsi="Arial" w:cs="Arial"/>
          <w:b w:val="0"/>
          <w:caps w:val="0"/>
          <w:sz w:val="20"/>
        </w:rPr>
        <w:t xml:space="preserve"> (2013).</w:t>
      </w:r>
      <w:r w:rsidRPr="000E10F6">
        <w:rPr>
          <w:rFonts w:ascii="Arial" w:hAnsi="Arial" w:cs="Arial"/>
          <w:b w:val="0"/>
          <w:caps w:val="0"/>
          <w:sz w:val="20"/>
        </w:rPr>
        <w:t xml:space="preserve"> Speak, friend, and enter: </w:t>
      </w:r>
      <w:proofErr w:type="spellStart"/>
      <w:r w:rsidRPr="000E10F6">
        <w:rPr>
          <w:rFonts w:ascii="Arial" w:hAnsi="Arial" w:cs="Arial"/>
          <w:b w:val="0"/>
          <w:caps w:val="0"/>
          <w:sz w:val="20"/>
        </w:rPr>
        <w:t>Signalling</w:t>
      </w:r>
      <w:proofErr w:type="spellEnd"/>
      <w:r w:rsidRPr="000E10F6">
        <w:rPr>
          <w:rFonts w:ascii="Arial" w:hAnsi="Arial" w:cs="Arial"/>
          <w:b w:val="0"/>
          <w:caps w:val="0"/>
          <w:sz w:val="20"/>
        </w:rPr>
        <w:t xml:space="preserve"> systems that promote beneficial symbiotic associations in plants</w:t>
      </w:r>
      <w:r>
        <w:rPr>
          <w:rFonts w:ascii="Arial" w:hAnsi="Arial" w:cs="Arial"/>
          <w:b w:val="0"/>
          <w:caps w:val="0"/>
          <w:sz w:val="20"/>
        </w:rPr>
        <w:t>.</w:t>
      </w:r>
      <w:r w:rsidRPr="000E10F6">
        <w:rPr>
          <w:rFonts w:ascii="Arial" w:hAnsi="Arial" w:cs="Arial"/>
          <w:b w:val="0"/>
          <w:caps w:val="0"/>
          <w:sz w:val="20"/>
        </w:rPr>
        <w:t xml:space="preserve"> </w:t>
      </w:r>
      <w:r w:rsidRPr="00D10AE2">
        <w:rPr>
          <w:rFonts w:ascii="Arial" w:hAnsi="Arial" w:cs="Arial"/>
          <w:b w:val="0"/>
          <w:i/>
          <w:caps w:val="0"/>
          <w:sz w:val="20"/>
        </w:rPr>
        <w:t>Nat</w:t>
      </w:r>
      <w:r w:rsidR="00D10AE2" w:rsidRPr="00D10AE2">
        <w:rPr>
          <w:rFonts w:ascii="Arial" w:hAnsi="Arial" w:cs="Arial"/>
          <w:b w:val="0"/>
          <w:i/>
          <w:caps w:val="0"/>
          <w:sz w:val="20"/>
        </w:rPr>
        <w:t>ure</w:t>
      </w:r>
      <w:r w:rsidRPr="00D10AE2">
        <w:rPr>
          <w:rFonts w:ascii="Arial" w:hAnsi="Arial" w:cs="Arial"/>
          <w:b w:val="0"/>
          <w:i/>
          <w:caps w:val="0"/>
          <w:sz w:val="20"/>
        </w:rPr>
        <w:t xml:space="preserve"> Rev</w:t>
      </w:r>
      <w:r w:rsidR="00D10AE2" w:rsidRPr="00D10AE2">
        <w:rPr>
          <w:rFonts w:ascii="Arial" w:hAnsi="Arial" w:cs="Arial"/>
          <w:b w:val="0"/>
          <w:i/>
          <w:caps w:val="0"/>
          <w:sz w:val="20"/>
        </w:rPr>
        <w:t>iews</w:t>
      </w:r>
      <w:r w:rsidRPr="00D10AE2">
        <w:rPr>
          <w:rFonts w:ascii="Arial" w:hAnsi="Arial" w:cs="Arial"/>
          <w:b w:val="0"/>
          <w:i/>
          <w:caps w:val="0"/>
          <w:sz w:val="20"/>
        </w:rPr>
        <w:t xml:space="preserve"> Microbiol</w:t>
      </w:r>
      <w:r w:rsidR="00D10AE2" w:rsidRPr="00D10AE2">
        <w:rPr>
          <w:rFonts w:ascii="Arial" w:hAnsi="Arial" w:cs="Arial"/>
          <w:b w:val="0"/>
          <w:i/>
          <w:caps w:val="0"/>
          <w:sz w:val="20"/>
        </w:rPr>
        <w:t>ogy</w:t>
      </w:r>
      <w:r>
        <w:rPr>
          <w:rFonts w:ascii="Arial" w:hAnsi="Arial" w:cs="Arial"/>
          <w:b w:val="0"/>
          <w:caps w:val="0"/>
          <w:sz w:val="20"/>
        </w:rPr>
        <w:t>,</w:t>
      </w:r>
      <w:r w:rsidRPr="000E10F6">
        <w:rPr>
          <w:rFonts w:ascii="Arial" w:hAnsi="Arial" w:cs="Arial"/>
          <w:b w:val="0"/>
          <w:caps w:val="0"/>
          <w:sz w:val="20"/>
        </w:rPr>
        <w:t xml:space="preserve"> 11</w:t>
      </w:r>
      <w:r>
        <w:rPr>
          <w:rFonts w:ascii="Arial" w:hAnsi="Arial" w:cs="Arial"/>
          <w:b w:val="0"/>
          <w:caps w:val="0"/>
          <w:sz w:val="20"/>
        </w:rPr>
        <w:t>(</w:t>
      </w:r>
      <w:r w:rsidRPr="000E10F6">
        <w:rPr>
          <w:rFonts w:ascii="Arial" w:hAnsi="Arial" w:cs="Arial"/>
          <w:b w:val="0"/>
          <w:caps w:val="0"/>
          <w:sz w:val="20"/>
        </w:rPr>
        <w:t>4</w:t>
      </w:r>
      <w:r>
        <w:rPr>
          <w:rFonts w:ascii="Arial" w:hAnsi="Arial" w:cs="Arial"/>
          <w:b w:val="0"/>
          <w:caps w:val="0"/>
          <w:sz w:val="20"/>
        </w:rPr>
        <w:t>),</w:t>
      </w:r>
      <w:r w:rsidRPr="000E10F6">
        <w:rPr>
          <w:rFonts w:ascii="Arial" w:hAnsi="Arial" w:cs="Arial"/>
          <w:b w:val="0"/>
          <w:caps w:val="0"/>
          <w:sz w:val="20"/>
        </w:rPr>
        <w:t xml:space="preserve"> 252–263. </w:t>
      </w:r>
      <w:hyperlink r:id="rId28" w:history="1">
        <w:r w:rsidRPr="00A42100">
          <w:rPr>
            <w:rStyle w:val="Hyperlink"/>
            <w:rFonts w:ascii="Arial" w:hAnsi="Arial" w:cs="Arial"/>
            <w:b w:val="0"/>
            <w:caps w:val="0"/>
            <w:color w:val="0070C0"/>
            <w:sz w:val="20"/>
          </w:rPr>
          <w:t>https://doi.org/10.1038/nrmicro2990</w:t>
        </w:r>
      </w:hyperlink>
      <w:r>
        <w:rPr>
          <w:rFonts w:ascii="Arial" w:hAnsi="Arial" w:cs="Arial"/>
          <w:b w:val="0"/>
          <w:caps w:val="0"/>
          <w:sz w:val="20"/>
        </w:rPr>
        <w:t xml:space="preserve"> </w:t>
      </w:r>
      <w:r w:rsidRPr="000E10F6">
        <w:rPr>
          <w:rFonts w:ascii="Arial" w:hAnsi="Arial" w:cs="Arial"/>
          <w:b w:val="0"/>
          <w:caps w:val="0"/>
          <w:sz w:val="20"/>
        </w:rPr>
        <w:t xml:space="preserve"> </w:t>
      </w:r>
    </w:p>
    <w:p w14:paraId="31911B8E" w14:textId="429985CB" w:rsidR="00481D50" w:rsidRDefault="00481D50" w:rsidP="00481D50">
      <w:pPr>
        <w:pStyle w:val="Appendix"/>
        <w:spacing w:after="0"/>
        <w:jc w:val="both"/>
        <w:rPr>
          <w:rFonts w:ascii="Arial" w:hAnsi="Arial" w:cs="Arial"/>
          <w:b w:val="0"/>
          <w:caps w:val="0"/>
          <w:sz w:val="20"/>
        </w:rPr>
      </w:pPr>
      <w:r w:rsidRPr="000E10F6">
        <w:rPr>
          <w:rFonts w:ascii="Arial" w:hAnsi="Arial" w:cs="Arial"/>
          <w:b w:val="0"/>
          <w:caps w:val="0"/>
          <w:sz w:val="20"/>
        </w:rPr>
        <w:t>Arora</w:t>
      </w:r>
      <w:r>
        <w:rPr>
          <w:rFonts w:ascii="Arial" w:hAnsi="Arial" w:cs="Arial"/>
          <w:b w:val="0"/>
          <w:caps w:val="0"/>
          <w:sz w:val="20"/>
        </w:rPr>
        <w:t>,</w:t>
      </w:r>
      <w:r w:rsidRPr="000E10F6">
        <w:rPr>
          <w:rFonts w:ascii="Arial" w:hAnsi="Arial" w:cs="Arial"/>
          <w:b w:val="0"/>
          <w:caps w:val="0"/>
          <w:sz w:val="20"/>
        </w:rPr>
        <w:t xml:space="preserve"> N.K., Mishra</w:t>
      </w:r>
      <w:r>
        <w:rPr>
          <w:rFonts w:ascii="Arial" w:hAnsi="Arial" w:cs="Arial"/>
          <w:b w:val="0"/>
          <w:caps w:val="0"/>
          <w:sz w:val="20"/>
        </w:rPr>
        <w:t>,</w:t>
      </w:r>
      <w:r w:rsidRPr="000E10F6">
        <w:rPr>
          <w:rFonts w:ascii="Arial" w:hAnsi="Arial" w:cs="Arial"/>
          <w:b w:val="0"/>
          <w:caps w:val="0"/>
          <w:sz w:val="20"/>
        </w:rPr>
        <w:t xml:space="preserve"> J. </w:t>
      </w:r>
      <w:r>
        <w:rPr>
          <w:rFonts w:ascii="Arial" w:hAnsi="Arial" w:cs="Arial"/>
          <w:b w:val="0"/>
          <w:caps w:val="0"/>
          <w:sz w:val="20"/>
        </w:rPr>
        <w:t xml:space="preserve">(2016). </w:t>
      </w:r>
      <w:r w:rsidRPr="000E10F6">
        <w:rPr>
          <w:rFonts w:ascii="Arial" w:hAnsi="Arial" w:cs="Arial"/>
          <w:b w:val="0"/>
          <w:caps w:val="0"/>
          <w:sz w:val="20"/>
        </w:rPr>
        <w:t>Prospecting the roles of metabolites and additives in future bioformulations for sustainable agriculture</w:t>
      </w:r>
      <w:r>
        <w:rPr>
          <w:rFonts w:ascii="Arial" w:hAnsi="Arial" w:cs="Arial"/>
          <w:b w:val="0"/>
          <w:caps w:val="0"/>
          <w:sz w:val="20"/>
        </w:rPr>
        <w:t>.</w:t>
      </w:r>
      <w:r w:rsidRPr="000E10F6">
        <w:rPr>
          <w:rFonts w:ascii="Arial" w:hAnsi="Arial" w:cs="Arial"/>
          <w:b w:val="0"/>
          <w:caps w:val="0"/>
          <w:sz w:val="20"/>
        </w:rPr>
        <w:t xml:space="preserve"> </w:t>
      </w:r>
      <w:r w:rsidR="00A73236" w:rsidRPr="00FB2A25">
        <w:rPr>
          <w:rFonts w:ascii="Arial" w:hAnsi="Arial" w:cs="Arial"/>
          <w:b w:val="0"/>
          <w:i/>
          <w:caps w:val="0"/>
          <w:sz w:val="20"/>
        </w:rPr>
        <w:t>Applied Soil Ecology</w:t>
      </w:r>
      <w:r>
        <w:rPr>
          <w:rFonts w:ascii="Arial" w:hAnsi="Arial" w:cs="Arial"/>
          <w:b w:val="0"/>
          <w:caps w:val="0"/>
          <w:sz w:val="20"/>
        </w:rPr>
        <w:t xml:space="preserve">, </w:t>
      </w:r>
      <w:r w:rsidRPr="000E10F6">
        <w:rPr>
          <w:rFonts w:ascii="Arial" w:hAnsi="Arial" w:cs="Arial"/>
          <w:b w:val="0"/>
          <w:caps w:val="0"/>
          <w:sz w:val="20"/>
        </w:rPr>
        <w:t>107</w:t>
      </w:r>
      <w:r>
        <w:rPr>
          <w:rFonts w:ascii="Arial" w:hAnsi="Arial" w:cs="Arial"/>
          <w:b w:val="0"/>
          <w:caps w:val="0"/>
          <w:sz w:val="20"/>
        </w:rPr>
        <w:t xml:space="preserve">, 405–407. </w:t>
      </w:r>
      <w:hyperlink r:id="rId29" w:history="1">
        <w:r w:rsidRPr="00A42100">
          <w:rPr>
            <w:rStyle w:val="Hyperlink"/>
            <w:rFonts w:ascii="Arial" w:hAnsi="Arial" w:cs="Arial"/>
            <w:b w:val="0"/>
            <w:caps w:val="0"/>
            <w:color w:val="0070C0"/>
            <w:sz w:val="20"/>
          </w:rPr>
          <w:t>https://doi.org/10.1016/j.apsoil.2016.05.020</w:t>
        </w:r>
      </w:hyperlink>
    </w:p>
    <w:p w14:paraId="26DAEF87" w14:textId="77777777" w:rsidR="00481D50" w:rsidRPr="000E10F6" w:rsidRDefault="00481D50" w:rsidP="00481D50">
      <w:pPr>
        <w:pStyle w:val="Appendix"/>
        <w:spacing w:after="0"/>
        <w:jc w:val="both"/>
        <w:rPr>
          <w:rFonts w:ascii="Arial" w:hAnsi="Arial" w:cs="Arial"/>
          <w:b w:val="0"/>
          <w:caps w:val="0"/>
          <w:sz w:val="20"/>
        </w:rPr>
      </w:pPr>
      <w:proofErr w:type="spellStart"/>
      <w:r w:rsidRPr="000E10F6">
        <w:rPr>
          <w:rFonts w:ascii="Arial" w:hAnsi="Arial" w:cs="Arial"/>
          <w:b w:val="0"/>
          <w:caps w:val="0"/>
          <w:sz w:val="20"/>
        </w:rPr>
        <w:t>Netrusov</w:t>
      </w:r>
      <w:proofErr w:type="spellEnd"/>
      <w:r w:rsidRPr="000E10F6">
        <w:rPr>
          <w:rFonts w:ascii="Arial" w:hAnsi="Arial" w:cs="Arial"/>
          <w:b w:val="0"/>
          <w:caps w:val="0"/>
          <w:sz w:val="20"/>
        </w:rPr>
        <w:t xml:space="preserve">, A.I., </w:t>
      </w:r>
      <w:proofErr w:type="spellStart"/>
      <w:r w:rsidRPr="000E10F6">
        <w:rPr>
          <w:rFonts w:ascii="Arial" w:hAnsi="Arial" w:cs="Arial"/>
          <w:b w:val="0"/>
          <w:caps w:val="0"/>
          <w:sz w:val="20"/>
        </w:rPr>
        <w:t>Egorova</w:t>
      </w:r>
      <w:proofErr w:type="spellEnd"/>
      <w:r w:rsidRPr="000E10F6">
        <w:rPr>
          <w:rFonts w:ascii="Arial" w:hAnsi="Arial" w:cs="Arial"/>
          <w:b w:val="0"/>
          <w:caps w:val="0"/>
          <w:sz w:val="20"/>
        </w:rPr>
        <w:t xml:space="preserve">, M.A., Zakharchuk, L.M. &amp; </w:t>
      </w:r>
      <w:proofErr w:type="spellStart"/>
      <w:r w:rsidRPr="000E10F6">
        <w:rPr>
          <w:rFonts w:ascii="Arial" w:hAnsi="Arial" w:cs="Arial"/>
          <w:b w:val="0"/>
          <w:caps w:val="0"/>
          <w:sz w:val="20"/>
        </w:rPr>
        <w:t>Kolotilova</w:t>
      </w:r>
      <w:proofErr w:type="spellEnd"/>
      <w:r w:rsidRPr="000E10F6">
        <w:rPr>
          <w:rFonts w:ascii="Arial" w:hAnsi="Arial" w:cs="Arial"/>
          <w:b w:val="0"/>
          <w:caps w:val="0"/>
          <w:sz w:val="20"/>
        </w:rPr>
        <w:t xml:space="preserve">, N.N. (2005). </w:t>
      </w:r>
      <w:r w:rsidRPr="00A73236">
        <w:rPr>
          <w:rFonts w:ascii="Arial" w:hAnsi="Arial" w:cs="Arial"/>
          <w:b w:val="0"/>
          <w:i/>
          <w:caps w:val="0"/>
          <w:sz w:val="20"/>
        </w:rPr>
        <w:t>Microbiology workshop. Textbook for students of higher educational institutions</w:t>
      </w:r>
      <w:r w:rsidRPr="000E10F6">
        <w:rPr>
          <w:rFonts w:ascii="Arial" w:hAnsi="Arial" w:cs="Arial"/>
          <w:b w:val="0"/>
          <w:caps w:val="0"/>
          <w:sz w:val="20"/>
        </w:rPr>
        <w:t xml:space="preserve">. Academy, Moscow. </w:t>
      </w:r>
      <w:r>
        <w:rPr>
          <w:rFonts w:ascii="Arial" w:hAnsi="Arial" w:cs="Arial"/>
          <w:b w:val="0"/>
          <w:caps w:val="0"/>
          <w:sz w:val="20"/>
        </w:rPr>
        <w:t>Russian.</w:t>
      </w:r>
    </w:p>
    <w:p w14:paraId="3823D8D2" w14:textId="77777777" w:rsidR="00481D50" w:rsidRPr="004845A4" w:rsidRDefault="00481D50" w:rsidP="00481D50">
      <w:pPr>
        <w:pStyle w:val="Appendix"/>
        <w:spacing w:after="0"/>
        <w:jc w:val="both"/>
        <w:rPr>
          <w:rFonts w:ascii="Arial" w:hAnsi="Arial" w:cs="Arial"/>
          <w:b w:val="0"/>
          <w:caps w:val="0"/>
          <w:sz w:val="20"/>
        </w:rPr>
      </w:pPr>
      <w:r w:rsidRPr="004845A4">
        <w:rPr>
          <w:rFonts w:ascii="Arial" w:hAnsi="Arial" w:cs="Arial"/>
          <w:b w:val="0"/>
          <w:caps w:val="0"/>
          <w:sz w:val="20"/>
        </w:rPr>
        <w:t xml:space="preserve">Vorobyova L.A. (2006). </w:t>
      </w:r>
      <w:r w:rsidRPr="00A73236">
        <w:rPr>
          <w:rFonts w:ascii="Arial" w:hAnsi="Arial" w:cs="Arial"/>
          <w:b w:val="0"/>
          <w:i/>
          <w:caps w:val="0"/>
          <w:sz w:val="20"/>
        </w:rPr>
        <w:t>Theory and practice of chemical analysis of soils</w:t>
      </w:r>
      <w:r w:rsidRPr="004845A4">
        <w:rPr>
          <w:rFonts w:ascii="Arial" w:hAnsi="Arial" w:cs="Arial"/>
          <w:b w:val="0"/>
          <w:caps w:val="0"/>
          <w:sz w:val="20"/>
        </w:rPr>
        <w:t>. GEOS</w:t>
      </w:r>
      <w:r>
        <w:rPr>
          <w:rFonts w:ascii="Arial" w:hAnsi="Arial" w:cs="Arial"/>
          <w:b w:val="0"/>
          <w:caps w:val="0"/>
          <w:sz w:val="20"/>
        </w:rPr>
        <w:t>, Moscow</w:t>
      </w:r>
      <w:r w:rsidRPr="004845A4">
        <w:rPr>
          <w:rFonts w:ascii="Arial" w:hAnsi="Arial" w:cs="Arial"/>
          <w:b w:val="0"/>
          <w:caps w:val="0"/>
          <w:sz w:val="20"/>
        </w:rPr>
        <w:t xml:space="preserve">, 400 p. </w:t>
      </w:r>
      <w:r w:rsidRPr="000E10F6">
        <w:rPr>
          <w:rFonts w:ascii="Arial" w:hAnsi="Arial" w:cs="Arial"/>
          <w:b w:val="0"/>
          <w:caps w:val="0"/>
          <w:sz w:val="20"/>
        </w:rPr>
        <w:t>ISBN</w:t>
      </w:r>
      <w:r w:rsidRPr="004845A4">
        <w:rPr>
          <w:rFonts w:ascii="Arial" w:hAnsi="Arial" w:cs="Arial"/>
          <w:b w:val="0"/>
          <w:caps w:val="0"/>
          <w:sz w:val="20"/>
        </w:rPr>
        <w:t xml:space="preserve"> 5-89118-344-7</w:t>
      </w:r>
      <w:r>
        <w:rPr>
          <w:rFonts w:ascii="Arial" w:hAnsi="Arial" w:cs="Arial"/>
          <w:b w:val="0"/>
          <w:caps w:val="0"/>
          <w:sz w:val="20"/>
        </w:rPr>
        <w:t>. Russian.</w:t>
      </w:r>
    </w:p>
    <w:p w14:paraId="5241D4C4" w14:textId="77777777" w:rsidR="00481D50" w:rsidRPr="004845A4" w:rsidRDefault="00481D50" w:rsidP="00481D50">
      <w:pPr>
        <w:pStyle w:val="Appendix"/>
        <w:spacing w:after="0"/>
        <w:jc w:val="both"/>
        <w:rPr>
          <w:rFonts w:ascii="Arial" w:hAnsi="Arial" w:cs="Arial"/>
          <w:b w:val="0"/>
          <w:caps w:val="0"/>
          <w:sz w:val="20"/>
        </w:rPr>
      </w:pPr>
      <w:proofErr w:type="spellStart"/>
      <w:r w:rsidRPr="004845A4">
        <w:rPr>
          <w:rFonts w:ascii="Arial" w:hAnsi="Arial" w:cs="Arial"/>
          <w:b w:val="0"/>
          <w:caps w:val="0"/>
          <w:sz w:val="20"/>
        </w:rPr>
        <w:t>Vorobyeva</w:t>
      </w:r>
      <w:proofErr w:type="spellEnd"/>
      <w:r w:rsidRPr="004845A4">
        <w:rPr>
          <w:rFonts w:ascii="Arial" w:hAnsi="Arial" w:cs="Arial"/>
          <w:b w:val="0"/>
          <w:caps w:val="0"/>
          <w:sz w:val="20"/>
        </w:rPr>
        <w:t xml:space="preserve"> L.A. (1998). </w:t>
      </w:r>
      <w:r w:rsidRPr="00A73236">
        <w:rPr>
          <w:rFonts w:ascii="Arial" w:hAnsi="Arial" w:cs="Arial"/>
          <w:b w:val="0"/>
          <w:i/>
          <w:caps w:val="0"/>
          <w:sz w:val="20"/>
        </w:rPr>
        <w:t>Chemical analysis of soils: Textbook</w:t>
      </w:r>
      <w:r>
        <w:rPr>
          <w:rFonts w:ascii="Arial" w:hAnsi="Arial" w:cs="Arial"/>
          <w:b w:val="0"/>
          <w:caps w:val="0"/>
          <w:sz w:val="20"/>
        </w:rPr>
        <w:t xml:space="preserve">. </w:t>
      </w:r>
      <w:r w:rsidRPr="004845A4">
        <w:rPr>
          <w:rFonts w:ascii="Arial" w:hAnsi="Arial" w:cs="Arial"/>
          <w:b w:val="0"/>
          <w:caps w:val="0"/>
          <w:sz w:val="20"/>
        </w:rPr>
        <w:t xml:space="preserve">Moscow State University Publishing House, </w:t>
      </w:r>
      <w:r>
        <w:rPr>
          <w:rFonts w:ascii="Arial" w:hAnsi="Arial" w:cs="Arial"/>
          <w:b w:val="0"/>
          <w:caps w:val="0"/>
          <w:sz w:val="20"/>
        </w:rPr>
        <w:t xml:space="preserve">Moscow, </w:t>
      </w:r>
      <w:r w:rsidRPr="004845A4">
        <w:rPr>
          <w:rFonts w:ascii="Arial" w:hAnsi="Arial" w:cs="Arial"/>
          <w:b w:val="0"/>
          <w:caps w:val="0"/>
          <w:sz w:val="20"/>
        </w:rPr>
        <w:t xml:space="preserve">272 p. </w:t>
      </w:r>
      <w:r w:rsidRPr="000E10F6">
        <w:rPr>
          <w:rFonts w:ascii="Arial" w:hAnsi="Arial" w:cs="Arial"/>
          <w:b w:val="0"/>
          <w:caps w:val="0"/>
          <w:sz w:val="20"/>
        </w:rPr>
        <w:t>ISBN</w:t>
      </w:r>
      <w:r w:rsidRPr="004845A4">
        <w:rPr>
          <w:rFonts w:ascii="Arial" w:hAnsi="Arial" w:cs="Arial"/>
          <w:b w:val="0"/>
          <w:caps w:val="0"/>
          <w:sz w:val="20"/>
        </w:rPr>
        <w:t xml:space="preserve"> 5-211-03973-4</w:t>
      </w:r>
      <w:r>
        <w:rPr>
          <w:rFonts w:ascii="Arial" w:hAnsi="Arial" w:cs="Arial"/>
          <w:b w:val="0"/>
          <w:caps w:val="0"/>
          <w:sz w:val="20"/>
        </w:rPr>
        <w:t>. Russian.</w:t>
      </w:r>
    </w:p>
    <w:p w14:paraId="5617F479" w14:textId="77777777" w:rsidR="00B01FCD" w:rsidRPr="000E10F6" w:rsidRDefault="00B01FCD" w:rsidP="00441B6F">
      <w:pPr>
        <w:pStyle w:val="Appendix"/>
        <w:spacing w:after="0"/>
        <w:jc w:val="both"/>
        <w:rPr>
          <w:rFonts w:ascii="Arial" w:hAnsi="Arial" w:cs="Arial"/>
          <w:b w:val="0"/>
          <w:lang w:val="ru-RU"/>
        </w:rPr>
      </w:pPr>
    </w:p>
    <w:sectPr w:rsidR="00B01FCD" w:rsidRPr="000E10F6" w:rsidSect="0009025F">
      <w:headerReference w:type="even" r:id="rId30"/>
      <w:headerReference w:type="default" r:id="rId31"/>
      <w:footerReference w:type="default" r:id="rId32"/>
      <w:headerReference w:type="first" r:id="rId33"/>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270A" w14:textId="77777777" w:rsidR="00E0146B" w:rsidRDefault="00E0146B" w:rsidP="00C37E61">
      <w:r>
        <w:separator/>
      </w:r>
    </w:p>
  </w:endnote>
  <w:endnote w:type="continuationSeparator" w:id="0">
    <w:p w14:paraId="79A9F937" w14:textId="77777777" w:rsidR="00E0146B" w:rsidRDefault="00E014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699" w14:textId="77777777" w:rsidR="0009025F" w:rsidRDefault="0009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5A50" w14:textId="77777777" w:rsidR="0009025F" w:rsidRDefault="00090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902C" w14:textId="5CBF28A9" w:rsidR="00754C9A" w:rsidRPr="0009025F" w:rsidRDefault="00754C9A" w:rsidP="0009025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DA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0516C" w14:textId="77777777" w:rsidR="00E0146B" w:rsidRDefault="00E0146B" w:rsidP="00C37E61">
      <w:r>
        <w:separator/>
      </w:r>
    </w:p>
  </w:footnote>
  <w:footnote w:type="continuationSeparator" w:id="0">
    <w:p w14:paraId="2712270A" w14:textId="77777777" w:rsidR="00E0146B" w:rsidRDefault="00E014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700E" w14:textId="16F07F00" w:rsidR="0009025F" w:rsidRDefault="0009025F">
    <w:pPr>
      <w:pStyle w:val="Header"/>
    </w:pPr>
    <w:r>
      <w:rPr>
        <w:noProof/>
      </w:rPr>
      <w:pict w14:anchorId="405BA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7" o:spid="_x0000_s2050" type="#_x0000_t136" style="position:absolute;margin-left:0;margin-top:0;width:521.5pt;height:57.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0003" w14:textId="60D3224C" w:rsidR="0009025F" w:rsidRDefault="0009025F">
    <w:pPr>
      <w:pStyle w:val="Header"/>
    </w:pPr>
    <w:r>
      <w:rPr>
        <w:noProof/>
      </w:rPr>
      <w:pict w14:anchorId="1A73A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8" o:spid="_x0000_s2051" type="#_x0000_t136" style="position:absolute;margin-left:0;margin-top:0;width:521.5pt;height:57.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B50" w14:textId="11EB9DE1" w:rsidR="00296529" w:rsidRPr="00296529" w:rsidRDefault="0009025F" w:rsidP="00296529">
    <w:pPr>
      <w:ind w:left="2160"/>
      <w:jc w:val="center"/>
      <w:rPr>
        <w:rFonts w:ascii="Times New Roman" w:eastAsia="Calibri" w:hAnsi="Times New Roman"/>
        <w:i/>
        <w:sz w:val="18"/>
        <w:szCs w:val="22"/>
      </w:rPr>
    </w:pPr>
    <w:r>
      <w:rPr>
        <w:noProof/>
      </w:rPr>
      <w:pict w14:anchorId="54B3D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6" o:spid="_x0000_s2049" type="#_x0000_t136" style="position:absolute;left:0;text-align:left;margin-left:0;margin-top:0;width:521.5pt;height:57.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89E0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509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C0E3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E733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93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19ED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FDC5" w14:textId="38626D46" w:rsidR="0009025F" w:rsidRDefault="0009025F">
    <w:pPr>
      <w:pStyle w:val="Header"/>
    </w:pPr>
    <w:r>
      <w:rPr>
        <w:noProof/>
      </w:rPr>
      <w:pict w14:anchorId="724AB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10" o:spid="_x0000_s2053" type="#_x0000_t136" style="position:absolute;margin-left:0;margin-top:0;width:521.5pt;height:57.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5288" w14:textId="5AB095AB" w:rsidR="0009025F" w:rsidRDefault="0009025F">
    <w:pPr>
      <w:pStyle w:val="Header"/>
    </w:pPr>
    <w:r>
      <w:rPr>
        <w:noProof/>
      </w:rPr>
      <w:pict w14:anchorId="31170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11" o:spid="_x0000_s2054" type="#_x0000_t136" style="position:absolute;margin-left:0;margin-top:0;width:521.5pt;height:57.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F0D7" w14:textId="1BF86E26" w:rsidR="0009025F" w:rsidRDefault="0009025F">
    <w:pPr>
      <w:pStyle w:val="Header"/>
    </w:pPr>
    <w:r>
      <w:rPr>
        <w:noProof/>
      </w:rPr>
      <w:pict w14:anchorId="3B71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9" o:spid="_x0000_s2052" type="#_x0000_t136" style="position:absolute;margin-left:0;margin-top:0;width:521.5pt;height:57.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198"/>
    <w:rsid w:val="00030174"/>
    <w:rsid w:val="0004579C"/>
    <w:rsid w:val="0009025F"/>
    <w:rsid w:val="000A47FA"/>
    <w:rsid w:val="000A65D3"/>
    <w:rsid w:val="000B1E33"/>
    <w:rsid w:val="000B7EDD"/>
    <w:rsid w:val="000D689F"/>
    <w:rsid w:val="000E10F6"/>
    <w:rsid w:val="000E7B7B"/>
    <w:rsid w:val="000E7D62"/>
    <w:rsid w:val="00103357"/>
    <w:rsid w:val="00123C9F"/>
    <w:rsid w:val="00126190"/>
    <w:rsid w:val="00130F17"/>
    <w:rsid w:val="001320BF"/>
    <w:rsid w:val="00132405"/>
    <w:rsid w:val="0016052A"/>
    <w:rsid w:val="00163BC4"/>
    <w:rsid w:val="00191062"/>
    <w:rsid w:val="00192B72"/>
    <w:rsid w:val="001A29D8"/>
    <w:rsid w:val="001A5CAA"/>
    <w:rsid w:val="001A7234"/>
    <w:rsid w:val="001B0427"/>
    <w:rsid w:val="001D3A51"/>
    <w:rsid w:val="001E10D2"/>
    <w:rsid w:val="001E25B4"/>
    <w:rsid w:val="001E44FE"/>
    <w:rsid w:val="00200595"/>
    <w:rsid w:val="00204835"/>
    <w:rsid w:val="00216F89"/>
    <w:rsid w:val="00231920"/>
    <w:rsid w:val="0023195C"/>
    <w:rsid w:val="00234B86"/>
    <w:rsid w:val="0024282C"/>
    <w:rsid w:val="002460DC"/>
    <w:rsid w:val="00250985"/>
    <w:rsid w:val="002556F6"/>
    <w:rsid w:val="00283105"/>
    <w:rsid w:val="00284C4C"/>
    <w:rsid w:val="00287E68"/>
    <w:rsid w:val="00296529"/>
    <w:rsid w:val="002B27FB"/>
    <w:rsid w:val="002B685A"/>
    <w:rsid w:val="002C57D2"/>
    <w:rsid w:val="002D4FF1"/>
    <w:rsid w:val="002E0D56"/>
    <w:rsid w:val="003008E4"/>
    <w:rsid w:val="00300AC3"/>
    <w:rsid w:val="00315186"/>
    <w:rsid w:val="0033343E"/>
    <w:rsid w:val="003512C2"/>
    <w:rsid w:val="00365189"/>
    <w:rsid w:val="00371FB6"/>
    <w:rsid w:val="003763C1"/>
    <w:rsid w:val="00376BBE"/>
    <w:rsid w:val="0039224F"/>
    <w:rsid w:val="003A43A4"/>
    <w:rsid w:val="003A7B86"/>
    <w:rsid w:val="003A7E18"/>
    <w:rsid w:val="003C4C86"/>
    <w:rsid w:val="003C6258"/>
    <w:rsid w:val="003E2904"/>
    <w:rsid w:val="00401927"/>
    <w:rsid w:val="0041027F"/>
    <w:rsid w:val="00412475"/>
    <w:rsid w:val="00423789"/>
    <w:rsid w:val="00440F43"/>
    <w:rsid w:val="00441B6F"/>
    <w:rsid w:val="00446221"/>
    <w:rsid w:val="00450E62"/>
    <w:rsid w:val="004539DB"/>
    <w:rsid w:val="004715A4"/>
    <w:rsid w:val="00471A80"/>
    <w:rsid w:val="00481D50"/>
    <w:rsid w:val="004845A4"/>
    <w:rsid w:val="0049737C"/>
    <w:rsid w:val="004D305E"/>
    <w:rsid w:val="004D3787"/>
    <w:rsid w:val="004D4277"/>
    <w:rsid w:val="00502516"/>
    <w:rsid w:val="00505F06"/>
    <w:rsid w:val="00506828"/>
    <w:rsid w:val="0053056E"/>
    <w:rsid w:val="0054131F"/>
    <w:rsid w:val="00554FDA"/>
    <w:rsid w:val="005A550A"/>
    <w:rsid w:val="005C784C"/>
    <w:rsid w:val="005D17F6"/>
    <w:rsid w:val="005D71F0"/>
    <w:rsid w:val="005E5539"/>
    <w:rsid w:val="00602BF5"/>
    <w:rsid w:val="00617FDD"/>
    <w:rsid w:val="00633614"/>
    <w:rsid w:val="00633F68"/>
    <w:rsid w:val="00636EB2"/>
    <w:rsid w:val="006375B8"/>
    <w:rsid w:val="0065309F"/>
    <w:rsid w:val="0066510A"/>
    <w:rsid w:val="00673F9F"/>
    <w:rsid w:val="00686953"/>
    <w:rsid w:val="00687DEA"/>
    <w:rsid w:val="00687E67"/>
    <w:rsid w:val="006967F7"/>
    <w:rsid w:val="006A250C"/>
    <w:rsid w:val="006A7602"/>
    <w:rsid w:val="006B21D3"/>
    <w:rsid w:val="006B4784"/>
    <w:rsid w:val="006B57D0"/>
    <w:rsid w:val="006C69FA"/>
    <w:rsid w:val="006D30FF"/>
    <w:rsid w:val="006D6940"/>
    <w:rsid w:val="006E61F6"/>
    <w:rsid w:val="006F11EC"/>
    <w:rsid w:val="0070082C"/>
    <w:rsid w:val="00713B14"/>
    <w:rsid w:val="007349E2"/>
    <w:rsid w:val="00736986"/>
    <w:rsid w:val="007369E6"/>
    <w:rsid w:val="00746E59"/>
    <w:rsid w:val="00754C9A"/>
    <w:rsid w:val="0075599A"/>
    <w:rsid w:val="00761D52"/>
    <w:rsid w:val="00775CB2"/>
    <w:rsid w:val="0077749E"/>
    <w:rsid w:val="00790ADA"/>
    <w:rsid w:val="007D2288"/>
    <w:rsid w:val="007E088F"/>
    <w:rsid w:val="007F7B32"/>
    <w:rsid w:val="00804BC2"/>
    <w:rsid w:val="0081431A"/>
    <w:rsid w:val="0083216F"/>
    <w:rsid w:val="008348A7"/>
    <w:rsid w:val="00836DB1"/>
    <w:rsid w:val="00860000"/>
    <w:rsid w:val="008628DD"/>
    <w:rsid w:val="0086354D"/>
    <w:rsid w:val="00863BD3"/>
    <w:rsid w:val="008641ED"/>
    <w:rsid w:val="00866D66"/>
    <w:rsid w:val="008671C6"/>
    <w:rsid w:val="00875803"/>
    <w:rsid w:val="00895357"/>
    <w:rsid w:val="008B459E"/>
    <w:rsid w:val="008E13AE"/>
    <w:rsid w:val="008E1506"/>
    <w:rsid w:val="008E710C"/>
    <w:rsid w:val="008F69D6"/>
    <w:rsid w:val="00902823"/>
    <w:rsid w:val="00902AA4"/>
    <w:rsid w:val="00907956"/>
    <w:rsid w:val="00915CA6"/>
    <w:rsid w:val="00927834"/>
    <w:rsid w:val="009331BD"/>
    <w:rsid w:val="009464C9"/>
    <w:rsid w:val="009500A6"/>
    <w:rsid w:val="00957C18"/>
    <w:rsid w:val="00960859"/>
    <w:rsid w:val="009659BA"/>
    <w:rsid w:val="009701ED"/>
    <w:rsid w:val="00983040"/>
    <w:rsid w:val="009A161C"/>
    <w:rsid w:val="009B2F05"/>
    <w:rsid w:val="009B3FB9"/>
    <w:rsid w:val="009C2465"/>
    <w:rsid w:val="009C68DF"/>
    <w:rsid w:val="009D35A0"/>
    <w:rsid w:val="009D7EB7"/>
    <w:rsid w:val="009E048A"/>
    <w:rsid w:val="009E08E9"/>
    <w:rsid w:val="009E3DB9"/>
    <w:rsid w:val="009E6E35"/>
    <w:rsid w:val="009F0EDA"/>
    <w:rsid w:val="00A03B96"/>
    <w:rsid w:val="00A05B19"/>
    <w:rsid w:val="00A1134E"/>
    <w:rsid w:val="00A1638F"/>
    <w:rsid w:val="00A24E7E"/>
    <w:rsid w:val="00A258C3"/>
    <w:rsid w:val="00A347C0"/>
    <w:rsid w:val="00A35DAB"/>
    <w:rsid w:val="00A42100"/>
    <w:rsid w:val="00A51431"/>
    <w:rsid w:val="00A539AD"/>
    <w:rsid w:val="00A679BD"/>
    <w:rsid w:val="00A73236"/>
    <w:rsid w:val="00A85276"/>
    <w:rsid w:val="00A94063"/>
    <w:rsid w:val="00A96891"/>
    <w:rsid w:val="00AA6219"/>
    <w:rsid w:val="00AA74E0"/>
    <w:rsid w:val="00AB703F"/>
    <w:rsid w:val="00AC1BC8"/>
    <w:rsid w:val="00AC2830"/>
    <w:rsid w:val="00AC500C"/>
    <w:rsid w:val="00AC6BB8"/>
    <w:rsid w:val="00AE008F"/>
    <w:rsid w:val="00B01FCD"/>
    <w:rsid w:val="00B13E69"/>
    <w:rsid w:val="00B14CEA"/>
    <w:rsid w:val="00B15172"/>
    <w:rsid w:val="00B1776C"/>
    <w:rsid w:val="00B52583"/>
    <w:rsid w:val="00B52896"/>
    <w:rsid w:val="00B81009"/>
    <w:rsid w:val="00B85243"/>
    <w:rsid w:val="00B95236"/>
    <w:rsid w:val="00B96BD9"/>
    <w:rsid w:val="00BA1B01"/>
    <w:rsid w:val="00BA2641"/>
    <w:rsid w:val="00BB37AA"/>
    <w:rsid w:val="00BC53A0"/>
    <w:rsid w:val="00BE62AD"/>
    <w:rsid w:val="00BF121F"/>
    <w:rsid w:val="00BF1F80"/>
    <w:rsid w:val="00C061A7"/>
    <w:rsid w:val="00C166EF"/>
    <w:rsid w:val="00C167F9"/>
    <w:rsid w:val="00C17EB0"/>
    <w:rsid w:val="00C27F5F"/>
    <w:rsid w:val="00C30A0F"/>
    <w:rsid w:val="00C37E61"/>
    <w:rsid w:val="00C52790"/>
    <w:rsid w:val="00C53BFB"/>
    <w:rsid w:val="00C55FE4"/>
    <w:rsid w:val="00C66630"/>
    <w:rsid w:val="00C70F1B"/>
    <w:rsid w:val="00C71A47"/>
    <w:rsid w:val="00C7464C"/>
    <w:rsid w:val="00C81A5B"/>
    <w:rsid w:val="00C85588"/>
    <w:rsid w:val="00CB6953"/>
    <w:rsid w:val="00CD6755"/>
    <w:rsid w:val="00CD6856"/>
    <w:rsid w:val="00CE0089"/>
    <w:rsid w:val="00CE793C"/>
    <w:rsid w:val="00CF193C"/>
    <w:rsid w:val="00D10AE2"/>
    <w:rsid w:val="00D173F1"/>
    <w:rsid w:val="00D54417"/>
    <w:rsid w:val="00D74CB0"/>
    <w:rsid w:val="00D8295D"/>
    <w:rsid w:val="00DC2A65"/>
    <w:rsid w:val="00DE15F0"/>
    <w:rsid w:val="00DE2E97"/>
    <w:rsid w:val="00DE550D"/>
    <w:rsid w:val="00DE5663"/>
    <w:rsid w:val="00DE7845"/>
    <w:rsid w:val="00DE78AA"/>
    <w:rsid w:val="00DF0FAC"/>
    <w:rsid w:val="00DF7AB5"/>
    <w:rsid w:val="00E0146B"/>
    <w:rsid w:val="00E053D0"/>
    <w:rsid w:val="00E15994"/>
    <w:rsid w:val="00E3114E"/>
    <w:rsid w:val="00E31A70"/>
    <w:rsid w:val="00E32162"/>
    <w:rsid w:val="00E35B02"/>
    <w:rsid w:val="00E40454"/>
    <w:rsid w:val="00E455E5"/>
    <w:rsid w:val="00E52050"/>
    <w:rsid w:val="00E66496"/>
    <w:rsid w:val="00E66B35"/>
    <w:rsid w:val="00E66E10"/>
    <w:rsid w:val="00E7174A"/>
    <w:rsid w:val="00E769F6"/>
    <w:rsid w:val="00E8407C"/>
    <w:rsid w:val="00E84F3C"/>
    <w:rsid w:val="00EA012C"/>
    <w:rsid w:val="00EC6A55"/>
    <w:rsid w:val="00ED0288"/>
    <w:rsid w:val="00EE52CB"/>
    <w:rsid w:val="00EF581D"/>
    <w:rsid w:val="00EF6BEC"/>
    <w:rsid w:val="00EF7FD8"/>
    <w:rsid w:val="00F021B7"/>
    <w:rsid w:val="00F06F59"/>
    <w:rsid w:val="00F17988"/>
    <w:rsid w:val="00F3066F"/>
    <w:rsid w:val="00F35C97"/>
    <w:rsid w:val="00F469F0"/>
    <w:rsid w:val="00F53273"/>
    <w:rsid w:val="00F755E4"/>
    <w:rsid w:val="00F77D02"/>
    <w:rsid w:val="00FA0BAC"/>
    <w:rsid w:val="00FA45DA"/>
    <w:rsid w:val="00FA7C6F"/>
    <w:rsid w:val="00FB2A2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65E0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A7C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Неразрешенное упоминание1"/>
    <w:basedOn w:val="DefaultParagraphFont"/>
    <w:uiPriority w:val="99"/>
    <w:semiHidden/>
    <w:unhideWhenUsed/>
    <w:rsid w:val="00287E68"/>
    <w:rPr>
      <w:color w:val="605E5C"/>
      <w:shd w:val="clear" w:color="auto" w:fill="E1DFDD"/>
    </w:rPr>
  </w:style>
  <w:style w:type="character" w:customStyle="1" w:styleId="rynqvb">
    <w:name w:val="rynqvb"/>
    <w:basedOn w:val="DefaultParagraphFont"/>
    <w:rsid w:val="00FA7C6F"/>
  </w:style>
  <w:style w:type="character" w:customStyle="1" w:styleId="Heading2Char">
    <w:name w:val="Heading 2 Char"/>
    <w:basedOn w:val="DefaultParagraphFont"/>
    <w:link w:val="Heading2"/>
    <w:semiHidden/>
    <w:rsid w:val="00FA7C6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3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za.uz/posts/477076" TargetMode="External"/><Relationship Id="rId26" Type="http://schemas.openxmlformats.org/officeDocument/2006/relationships/hyperlink" Target="https://doi.org/10.3389/fmicb.2017.02552" TargetMode="External"/><Relationship Id="rId3" Type="http://schemas.openxmlformats.org/officeDocument/2006/relationships/styles" Target="styles.xml"/><Relationship Id="rId21" Type="http://schemas.openxmlformats.org/officeDocument/2006/relationships/hyperlink" Target="https://www.ea.kkl-jnf.org/afforestation_and_environ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doi.org/10.1126/science.1112665"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oi.org/10.20914/2304-4691-2019-3-517-520" TargetMode="External"/><Relationship Id="rId29" Type="http://schemas.openxmlformats.org/officeDocument/2006/relationships/hyperlink" Target="https://doi.org/10.1016/j.apsoil.2016.05.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psoil.2010.08.007"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activestudy.info/metody-zakrepleniya-i-obleseniya-peskov-v-srednej-azii/" TargetMode="External"/><Relationship Id="rId28" Type="http://schemas.openxmlformats.org/officeDocument/2006/relationships/hyperlink" Target="https://doi.org/10.1038/nrmicro2990" TargetMode="External"/><Relationship Id="rId10" Type="http://schemas.openxmlformats.org/officeDocument/2006/relationships/footer" Target="footer1.xml"/><Relationship Id="rId19" Type="http://schemas.openxmlformats.org/officeDocument/2006/relationships/hyperlink" Target="https://doi.org/10.32743/UniChem.2025.132.6.20194"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978-981-15-6807-7" TargetMode="External"/><Relationship Id="rId27" Type="http://schemas.openxmlformats.org/officeDocument/2006/relationships/hyperlink" Target="https://doi.org/10.3389/fmicb.2018.0044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Karakalpakstan</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'ноябрь 2024'!$B$1</c:f>
              <c:strCache>
                <c:ptCount val="1"/>
                <c:pt idx="0">
                  <c:v>control</c:v>
                </c:pt>
              </c:strCache>
            </c:strRef>
          </c:tx>
          <c:spPr>
            <a:solidFill>
              <a:schemeClr val="accent5">
                <a:lumMod val="60000"/>
                <a:lumOff val="40000"/>
              </a:schemeClr>
            </a:solidFill>
            <a:ln>
              <a:noFill/>
            </a:ln>
            <a:effectLst/>
          </c:spPr>
          <c:invertIfNegative val="0"/>
          <c:cat>
            <c:strRef>
              <c:f>'ноябрь 2024'!$A$2:$A$9</c:f>
              <c:strCache>
                <c:ptCount val="8"/>
                <c:pt idx="0">
                  <c:v>NA</c:v>
                </c:pt>
                <c:pt idx="1">
                  <c:v>Czapek</c:v>
                </c:pt>
                <c:pt idx="2">
                  <c:v>Ashby</c:v>
                </c:pt>
                <c:pt idx="3">
                  <c:v>Giltay</c:v>
                </c:pt>
                <c:pt idx="4">
                  <c:v>SAA</c:v>
                </c:pt>
                <c:pt idx="5">
                  <c:v>Endo</c:v>
                </c:pt>
                <c:pt idx="6">
                  <c:v>NB</c:v>
                </c:pt>
                <c:pt idx="7">
                  <c:v>Saboroud </c:v>
                </c:pt>
              </c:strCache>
            </c:strRef>
          </c:cat>
          <c:val>
            <c:numRef>
              <c:f>'ноябрь 2024'!$B$2:$B$9</c:f>
              <c:numCache>
                <c:formatCode>General</c:formatCode>
                <c:ptCount val="8"/>
                <c:pt idx="0">
                  <c:v>4.58</c:v>
                </c:pt>
                <c:pt idx="1">
                  <c:v>2.1</c:v>
                </c:pt>
                <c:pt idx="2">
                  <c:v>4.4050000000000002</c:v>
                </c:pt>
                <c:pt idx="3">
                  <c:v>1.6</c:v>
                </c:pt>
                <c:pt idx="4">
                  <c:v>4.6749999999999998</c:v>
                </c:pt>
                <c:pt idx="5">
                  <c:v>1.1000000000000001</c:v>
                </c:pt>
                <c:pt idx="6">
                  <c:v>3.6</c:v>
                </c:pt>
                <c:pt idx="7">
                  <c:v>2.2000000000000002</c:v>
                </c:pt>
              </c:numCache>
            </c:numRef>
          </c:val>
          <c:extLst>
            <c:ext xmlns:c16="http://schemas.microsoft.com/office/drawing/2014/chart" uri="{C3380CC4-5D6E-409C-BE32-E72D297353CC}">
              <c16:uniqueId val="{00000000-5B1B-426C-9D22-A95EF8229BCC}"/>
            </c:ext>
          </c:extLst>
        </c:ser>
        <c:ser>
          <c:idx val="1"/>
          <c:order val="1"/>
          <c:tx>
            <c:strRef>
              <c:f>'ноябрь 2024'!$C$1</c:f>
              <c:strCache>
                <c:ptCount val="1"/>
                <c:pt idx="0">
                  <c:v>test</c:v>
                </c:pt>
              </c:strCache>
            </c:strRef>
          </c:tx>
          <c:spPr>
            <a:solidFill>
              <a:schemeClr val="accent6">
                <a:lumMod val="75000"/>
              </a:schemeClr>
            </a:solidFill>
            <a:ln>
              <a:noFill/>
            </a:ln>
            <a:effectLst/>
          </c:spPr>
          <c:invertIfNegative val="0"/>
          <c:cat>
            <c:strRef>
              <c:f>'ноябрь 2024'!$A$2:$A$9</c:f>
              <c:strCache>
                <c:ptCount val="8"/>
                <c:pt idx="0">
                  <c:v>NA</c:v>
                </c:pt>
                <c:pt idx="1">
                  <c:v>Czapek</c:v>
                </c:pt>
                <c:pt idx="2">
                  <c:v>Ashby</c:v>
                </c:pt>
                <c:pt idx="3">
                  <c:v>Giltay</c:v>
                </c:pt>
                <c:pt idx="4">
                  <c:v>SAA</c:v>
                </c:pt>
                <c:pt idx="5">
                  <c:v>Endo</c:v>
                </c:pt>
                <c:pt idx="6">
                  <c:v>NB</c:v>
                </c:pt>
                <c:pt idx="7">
                  <c:v>Saboroud </c:v>
                </c:pt>
              </c:strCache>
            </c:strRef>
          </c:cat>
          <c:val>
            <c:numRef>
              <c:f>'ноябрь 2024'!$C$2:$C$9</c:f>
              <c:numCache>
                <c:formatCode>General</c:formatCode>
                <c:ptCount val="8"/>
                <c:pt idx="0">
                  <c:v>6.2619999999999996</c:v>
                </c:pt>
                <c:pt idx="1">
                  <c:v>3.55</c:v>
                </c:pt>
                <c:pt idx="2">
                  <c:v>5.56</c:v>
                </c:pt>
                <c:pt idx="3">
                  <c:v>3.25</c:v>
                </c:pt>
                <c:pt idx="4">
                  <c:v>5.3739999999999997</c:v>
                </c:pt>
                <c:pt idx="5">
                  <c:v>4.875</c:v>
                </c:pt>
                <c:pt idx="6">
                  <c:v>2.25</c:v>
                </c:pt>
                <c:pt idx="7">
                  <c:v>3.2</c:v>
                </c:pt>
              </c:numCache>
            </c:numRef>
          </c:val>
          <c:extLst>
            <c:ext xmlns:c16="http://schemas.microsoft.com/office/drawing/2014/chart" uri="{C3380CC4-5D6E-409C-BE32-E72D297353CC}">
              <c16:uniqueId val="{00000001-5B1B-426C-9D22-A95EF8229BCC}"/>
            </c:ext>
          </c:extLst>
        </c:ser>
        <c:dLbls>
          <c:showLegendKey val="0"/>
          <c:showVal val="0"/>
          <c:showCatName val="0"/>
          <c:showSerName val="0"/>
          <c:showPercent val="0"/>
          <c:showBubbleSize val="0"/>
        </c:dLbls>
        <c:gapWidth val="150"/>
        <c:axId val="564625232"/>
        <c:axId val="564626872"/>
      </c:barChart>
      <c:catAx>
        <c:axId val="56462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26872"/>
        <c:crosses val="autoZero"/>
        <c:auto val="1"/>
        <c:lblAlgn val="ctr"/>
        <c:lblOffset val="100"/>
        <c:noMultiLvlLbl val="0"/>
      </c:catAx>
      <c:valAx>
        <c:axId val="564626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lg cell quantity</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25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C466-758D-4109-8730-4B6E40DF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5</Pages>
  <Words>2292</Words>
  <Characters>13070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2025-08-18T06:48:00Z</dcterms:created>
  <dcterms:modified xsi:type="dcterms:W3CDTF">2025-08-19T11:09:00Z</dcterms:modified>
</cp:coreProperties>
</file>