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0D5D0" w14:textId="77777777" w:rsidR="00762D61" w:rsidRPr="00762D61" w:rsidRDefault="00762D61" w:rsidP="00762D61">
      <w:pPr>
        <w:jc w:val="right"/>
        <w:rPr>
          <w:rFonts w:ascii="Times New Roman" w:hAnsi="Times New Roman" w:cs="Times New Roman"/>
          <w:b/>
          <w:bCs/>
          <w:i/>
          <w:sz w:val="32"/>
          <w:szCs w:val="24"/>
          <w:u w:val="single"/>
        </w:rPr>
      </w:pPr>
      <w:bookmarkStart w:id="0" w:name="_Hlk138094074"/>
      <w:r w:rsidRPr="00762D61">
        <w:rPr>
          <w:rFonts w:ascii="Times New Roman" w:hAnsi="Times New Roman" w:cs="Times New Roman"/>
          <w:b/>
          <w:bCs/>
          <w:i/>
          <w:sz w:val="32"/>
          <w:szCs w:val="24"/>
          <w:u w:val="single"/>
        </w:rPr>
        <w:t>Original Research Article</w:t>
      </w:r>
    </w:p>
    <w:p w14:paraId="0ED07491" w14:textId="2C5A4975" w:rsidR="00D369DA" w:rsidRPr="00573211" w:rsidRDefault="00D369DA" w:rsidP="00DB4824">
      <w:pPr>
        <w:jc w:val="center"/>
        <w:rPr>
          <w:rFonts w:ascii="Times New Roman" w:hAnsi="Times New Roman" w:cs="Times New Roman"/>
          <w:b/>
          <w:bCs/>
          <w:sz w:val="24"/>
          <w:szCs w:val="24"/>
        </w:rPr>
      </w:pPr>
      <w:r w:rsidRPr="00573211">
        <w:rPr>
          <w:rFonts w:ascii="Times New Roman" w:hAnsi="Times New Roman" w:cs="Times New Roman"/>
          <w:b/>
          <w:bCs/>
          <w:sz w:val="24"/>
          <w:szCs w:val="24"/>
        </w:rPr>
        <w:t>Financial Market Evolution: Taking the 2008 Financial Crisis as Exigence Point</w:t>
      </w:r>
    </w:p>
    <w:p w14:paraId="491B210A" w14:textId="207263CE" w:rsidR="00D369DA" w:rsidRDefault="00D369DA" w:rsidP="00DB4824">
      <w:pPr>
        <w:jc w:val="center"/>
        <w:rPr>
          <w:rFonts w:ascii="Times New Roman" w:hAnsi="Times New Roman" w:cs="Times New Roman"/>
          <w:b/>
          <w:bCs/>
          <w:sz w:val="24"/>
          <w:szCs w:val="24"/>
        </w:rPr>
      </w:pPr>
    </w:p>
    <w:p w14:paraId="5F6B92FA" w14:textId="77777777" w:rsidR="005B64F9" w:rsidRDefault="005B64F9" w:rsidP="00DB4824">
      <w:pPr>
        <w:jc w:val="center"/>
        <w:rPr>
          <w:rFonts w:ascii="Times New Roman" w:hAnsi="Times New Roman" w:cs="Times New Roman"/>
          <w:b/>
          <w:bCs/>
          <w:sz w:val="24"/>
          <w:szCs w:val="24"/>
        </w:rPr>
      </w:pPr>
    </w:p>
    <w:p w14:paraId="2D2E572E" w14:textId="5E217892" w:rsidR="00DB4824" w:rsidRDefault="00DB4824" w:rsidP="00573211">
      <w:pPr>
        <w:rPr>
          <w:rFonts w:ascii="Times New Roman" w:hAnsi="Times New Roman" w:cs="Times New Roman"/>
          <w:b/>
          <w:bCs/>
          <w:sz w:val="24"/>
          <w:szCs w:val="24"/>
        </w:rPr>
      </w:pPr>
      <w:r>
        <w:rPr>
          <w:rFonts w:ascii="Times New Roman" w:hAnsi="Times New Roman" w:cs="Times New Roman"/>
          <w:b/>
          <w:bCs/>
          <w:sz w:val="24"/>
          <w:szCs w:val="24"/>
        </w:rPr>
        <w:t>Abstract</w:t>
      </w:r>
    </w:p>
    <w:p w14:paraId="7844A636" w14:textId="4E39658C" w:rsidR="00DB4824" w:rsidRPr="00AC3A77" w:rsidRDefault="00AC3A77" w:rsidP="00AC3A77">
      <w:pPr>
        <w:spacing w:line="276" w:lineRule="auto"/>
        <w:jc w:val="both"/>
        <w:rPr>
          <w:rFonts w:ascii="Times New Roman" w:hAnsi="Times New Roman" w:cs="Times New Roman"/>
          <w:sz w:val="24"/>
          <w:szCs w:val="24"/>
        </w:rPr>
      </w:pPr>
      <w:r w:rsidRPr="00AC3A77">
        <w:rPr>
          <w:rFonts w:ascii="Times New Roman" w:hAnsi="Times New Roman" w:cs="Times New Roman"/>
          <w:sz w:val="24"/>
          <w:szCs w:val="24"/>
        </w:rPr>
        <w:t>This article provides an in-depth analysis of the key trends in global financial markets since the 2008 financial crisis. Through examining market capitalization changes, regulatory developments, the expansion of international financial markets, and the adoption of FinTech, this study aims to shed light on the implications and significance of these trends. The analysis reveals the resilience of financial markets as they rebounded from the crisis, the importance of robust regulations in ensuring stability, the growing role of emerging markets in globalization, and the transformative impact of FinTech on payment methods, lending practices, investing strategies, and customer experiences. The findings underscore the relevance of trend analysis in understanding the dynamics of financial markets and their recovery from crises. Regulatory measures implemented post-crisis have aimed to strengthen the financial system's transparency and stability. Looking ahead, the globalization of financial markets is expected to continue, with emerging markets assuming a more central role. This presents both opportunities and risks, necessitating ongoing regulatory cooperation and risk management practices. The insights derived from this trend analysis have practical implications for current strategies and decision-making. Recognizing the lessons learned from the 2008 financial crisis, stakeholders can make informed decisions to prevent and mitigate future financial disruptions. Additionally, understanding market capitalization trends and the growing influence of emerging markets can guide investment strategies and portfolio diversification. Embracing FinTech innovations can enhance customer experiences and operational efficiency within financial institutions.</w:t>
      </w:r>
    </w:p>
    <w:p w14:paraId="075B3625" w14:textId="77777777" w:rsidR="00DB4824" w:rsidRDefault="00DB4824">
      <w:pPr>
        <w:rPr>
          <w:rFonts w:ascii="Times New Roman" w:hAnsi="Times New Roman" w:cs="Times New Roman"/>
          <w:b/>
          <w:bCs/>
          <w:sz w:val="24"/>
          <w:szCs w:val="24"/>
        </w:rPr>
      </w:pPr>
    </w:p>
    <w:p w14:paraId="4870D1F0" w14:textId="77777777" w:rsidR="00573211" w:rsidRDefault="00573211">
      <w:pPr>
        <w:rPr>
          <w:rFonts w:ascii="Times New Roman" w:hAnsi="Times New Roman" w:cs="Times New Roman"/>
          <w:b/>
          <w:bCs/>
          <w:sz w:val="24"/>
          <w:szCs w:val="24"/>
        </w:rPr>
      </w:pPr>
    </w:p>
    <w:p w14:paraId="54E1C204" w14:textId="77777777" w:rsidR="00573211" w:rsidRDefault="00573211">
      <w:pPr>
        <w:rPr>
          <w:rFonts w:ascii="Times New Roman" w:hAnsi="Times New Roman" w:cs="Times New Roman"/>
          <w:b/>
          <w:bCs/>
          <w:sz w:val="24"/>
          <w:szCs w:val="24"/>
        </w:rPr>
      </w:pPr>
    </w:p>
    <w:p w14:paraId="7E76BD2E" w14:textId="77777777" w:rsidR="00573211" w:rsidRDefault="00573211">
      <w:pPr>
        <w:rPr>
          <w:rFonts w:ascii="Times New Roman" w:hAnsi="Times New Roman" w:cs="Times New Roman"/>
          <w:b/>
          <w:bCs/>
          <w:sz w:val="24"/>
          <w:szCs w:val="24"/>
        </w:rPr>
      </w:pPr>
    </w:p>
    <w:p w14:paraId="5D7256D7" w14:textId="3CF2630D" w:rsidR="00573211" w:rsidRDefault="00573211">
      <w:pPr>
        <w:rPr>
          <w:rFonts w:ascii="Times New Roman" w:hAnsi="Times New Roman" w:cs="Times New Roman"/>
          <w:b/>
          <w:bCs/>
          <w:sz w:val="24"/>
          <w:szCs w:val="24"/>
        </w:rPr>
      </w:pPr>
    </w:p>
    <w:p w14:paraId="39CEC895" w14:textId="4CF1D452" w:rsidR="005B64F9" w:rsidRDefault="005B64F9">
      <w:pPr>
        <w:rPr>
          <w:rFonts w:ascii="Times New Roman" w:hAnsi="Times New Roman" w:cs="Times New Roman"/>
          <w:b/>
          <w:bCs/>
          <w:sz w:val="24"/>
          <w:szCs w:val="24"/>
        </w:rPr>
      </w:pPr>
    </w:p>
    <w:p w14:paraId="746B1F9C" w14:textId="4CA88AFF" w:rsidR="005B64F9" w:rsidRDefault="005B64F9">
      <w:pPr>
        <w:rPr>
          <w:rFonts w:ascii="Times New Roman" w:hAnsi="Times New Roman" w:cs="Times New Roman"/>
          <w:b/>
          <w:bCs/>
          <w:sz w:val="24"/>
          <w:szCs w:val="24"/>
        </w:rPr>
      </w:pPr>
    </w:p>
    <w:p w14:paraId="78E9450E" w14:textId="280B23EC" w:rsidR="005B64F9" w:rsidRDefault="005B64F9">
      <w:pPr>
        <w:rPr>
          <w:rFonts w:ascii="Times New Roman" w:hAnsi="Times New Roman" w:cs="Times New Roman"/>
          <w:b/>
          <w:bCs/>
          <w:sz w:val="24"/>
          <w:szCs w:val="24"/>
        </w:rPr>
      </w:pPr>
    </w:p>
    <w:p w14:paraId="4E6DD5B2" w14:textId="77777777" w:rsidR="005B64F9" w:rsidRDefault="005B64F9">
      <w:pPr>
        <w:rPr>
          <w:rFonts w:ascii="Times New Roman" w:hAnsi="Times New Roman" w:cs="Times New Roman"/>
          <w:b/>
          <w:bCs/>
          <w:sz w:val="24"/>
          <w:szCs w:val="24"/>
        </w:rPr>
      </w:pPr>
      <w:bookmarkStart w:id="1" w:name="_GoBack"/>
      <w:bookmarkEnd w:id="1"/>
    </w:p>
    <w:p w14:paraId="55E5F473" w14:textId="77777777" w:rsidR="00573211" w:rsidRDefault="00573211">
      <w:pPr>
        <w:rPr>
          <w:rFonts w:ascii="Times New Roman" w:hAnsi="Times New Roman" w:cs="Times New Roman"/>
          <w:b/>
          <w:bCs/>
          <w:sz w:val="24"/>
          <w:szCs w:val="24"/>
        </w:rPr>
      </w:pPr>
    </w:p>
    <w:p w14:paraId="205FA7B9" w14:textId="77777777" w:rsidR="00573211" w:rsidRDefault="00D82785">
      <w:pPr>
        <w:rPr>
          <w:rFonts w:ascii="Times New Roman" w:hAnsi="Times New Roman" w:cs="Times New Roman"/>
          <w:sz w:val="24"/>
          <w:szCs w:val="24"/>
        </w:rPr>
      </w:pPr>
      <w:r w:rsidRPr="00D82785">
        <w:rPr>
          <w:rFonts w:ascii="Times New Roman" w:hAnsi="Times New Roman" w:cs="Times New Roman"/>
          <w:sz w:val="24"/>
          <w:szCs w:val="24"/>
        </w:rPr>
        <w:t>Keywords</w:t>
      </w:r>
      <w:r>
        <w:rPr>
          <w:rFonts w:ascii="Times New Roman" w:hAnsi="Times New Roman" w:cs="Times New Roman"/>
          <w:sz w:val="24"/>
          <w:szCs w:val="24"/>
        </w:rPr>
        <w:t>: Financial Market, Trend Analysis, Time Trend Analysis</w:t>
      </w:r>
    </w:p>
    <w:p w14:paraId="2CDF23FD" w14:textId="31C652B5" w:rsidR="00007390" w:rsidRPr="00573211" w:rsidRDefault="006B6F65">
      <w:pPr>
        <w:rPr>
          <w:rFonts w:ascii="Times New Roman" w:hAnsi="Times New Roman" w:cs="Times New Roman"/>
          <w:sz w:val="24"/>
          <w:szCs w:val="24"/>
        </w:rPr>
      </w:pPr>
      <w:r w:rsidRPr="007B194F">
        <w:rPr>
          <w:rFonts w:ascii="Times New Roman" w:hAnsi="Times New Roman" w:cs="Times New Roman"/>
          <w:b/>
          <w:bCs/>
          <w:sz w:val="24"/>
          <w:szCs w:val="24"/>
        </w:rPr>
        <w:t xml:space="preserve">1.  </w:t>
      </w:r>
      <w:r w:rsidR="00843A57" w:rsidRPr="007B194F">
        <w:rPr>
          <w:rFonts w:ascii="Times New Roman" w:hAnsi="Times New Roman" w:cs="Times New Roman"/>
          <w:b/>
          <w:bCs/>
          <w:sz w:val="24"/>
          <w:szCs w:val="24"/>
        </w:rPr>
        <w:t>Introduction</w:t>
      </w:r>
    </w:p>
    <w:p w14:paraId="25078E21" w14:textId="1DB5198B"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Shockwaves from the 2008 financial crisis reverberated over the world, revealing significant weaknesses in the banking system, and setting off a worldwide recession</w:t>
      </w:r>
      <w:r>
        <w:rPr>
          <w:rFonts w:ascii="Times New Roman" w:hAnsi="Times New Roman" w:cs="Times New Roman"/>
          <w:color w:val="343541"/>
          <w:sz w:val="24"/>
          <w:szCs w:val="24"/>
        </w:rPr>
        <w:t xml:space="preserve"> (</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7B194F">
        <w:rPr>
          <w:rFonts w:ascii="Times New Roman" w:hAnsi="Times New Roman" w:cs="Times New Roman"/>
          <w:color w:val="343541"/>
          <w:sz w:val="24"/>
          <w:szCs w:val="24"/>
        </w:rPr>
        <w:t xml:space="preserve">. </w:t>
      </w:r>
      <w:r w:rsidR="00CA601A" w:rsidRPr="007B194F">
        <w:rPr>
          <w:rFonts w:ascii="Times New Roman" w:hAnsi="Times New Roman" w:cs="Times New Roman"/>
          <w:color w:val="343541"/>
          <w:sz w:val="24"/>
          <w:szCs w:val="24"/>
        </w:rPr>
        <w:t>People</w:t>
      </w:r>
      <w:r w:rsidRPr="007B194F">
        <w:rPr>
          <w:rFonts w:ascii="Times New Roman" w:hAnsi="Times New Roman" w:cs="Times New Roman"/>
          <w:color w:val="343541"/>
          <w:sz w:val="24"/>
          <w:szCs w:val="24"/>
        </w:rPr>
        <w:t xml:space="preserve"> consider this crisis to be the worst since the Great Depression because of its widespread effects on economies, financial systems, and social structures around the world. The financial markets have undergone significant changes since the 2008 crisis, and an examination of these shifts can provide light on the long-term patterns and events that have defined the industry. The implosion of the U.S. housing bubble, complicated financial products, excessive risk-taking, and lax regulatory monitoring all contributed to the financial crisis of 2008. The culmination of these circumstances was a worldwide drop in stock markets and the failure of key financial institutions. Economic activity shrank, millions of jobs were lost, and confidence in the banking system plummeted as a result of the fallout</w:t>
      </w:r>
      <w:r w:rsidR="00D3630B">
        <w:rPr>
          <w:rFonts w:ascii="Times New Roman" w:hAnsi="Times New Roman" w:cs="Times New Roman"/>
          <w:color w:val="343541"/>
          <w:sz w:val="24"/>
          <w:szCs w:val="24"/>
        </w:rPr>
        <w:t xml:space="preserve"> </w:t>
      </w:r>
      <w:r w:rsidR="00D3630B" w:rsidRPr="007B194F">
        <w:rPr>
          <w:rFonts w:ascii="Times New Roman" w:hAnsi="Times New Roman" w:cs="Times New Roman"/>
          <w:color w:val="343541"/>
          <w:sz w:val="24"/>
          <w:szCs w:val="24"/>
        </w:rPr>
        <w:t>(</w:t>
      </w:r>
      <w:r w:rsidR="00D3630B"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1</w:t>
      </w:r>
      <w:r w:rsidR="00D3630B"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color w:val="343541"/>
          <w:sz w:val="24"/>
          <w:szCs w:val="24"/>
        </w:rPr>
        <w:t>.</w:t>
      </w:r>
    </w:p>
    <w:p w14:paraId="2DE43CD0" w14:textId="7C4D7FD3"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Governments and regulatory agencies began a process of self-examination and reform in the wake of the crisis. Understanding how the financial markets have evolved since the crisis is crucial because of the priceless insights gained from looking back on that time. The crisis exposed the vulnerabilities, resilience, and flexibility of financial markets, which can be better understood by looking at the patterns and changes that followed it</w:t>
      </w:r>
      <w:r>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w:t>
      </w:r>
      <w:r w:rsidRPr="007B194F">
        <w:rPr>
          <w:rFonts w:ascii="Times New Roman" w:hAnsi="Times New Roman" w:cs="Times New Roman"/>
          <w:color w:val="222222"/>
          <w:sz w:val="24"/>
          <w:szCs w:val="24"/>
          <w:shd w:val="clear" w:color="auto" w:fill="FFFFFF"/>
        </w:rPr>
        <w:t>Claessens and Van Horen, 2015)</w:t>
      </w:r>
      <w:r w:rsidRPr="007B194F">
        <w:rPr>
          <w:rFonts w:ascii="Times New Roman" w:hAnsi="Times New Roman" w:cs="Times New Roman"/>
          <w:color w:val="343541"/>
          <w:sz w:val="24"/>
          <w:szCs w:val="24"/>
        </w:rPr>
        <w:t>.</w:t>
      </w:r>
    </w:p>
    <w:p w14:paraId="27FDD394" w14:textId="77777777" w:rsid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The 2008 financial crisis will serve as a focal point for this investigation into the historical trends and events that have </w:t>
      </w:r>
      <w:proofErr w:type="spellStart"/>
      <w:r w:rsidRPr="007B194F">
        <w:rPr>
          <w:rFonts w:ascii="Times New Roman" w:hAnsi="Times New Roman" w:cs="Times New Roman"/>
          <w:color w:val="343541"/>
          <w:sz w:val="24"/>
          <w:szCs w:val="24"/>
        </w:rPr>
        <w:t>moulded</w:t>
      </w:r>
      <w:proofErr w:type="spellEnd"/>
      <w:r w:rsidRPr="007B194F">
        <w:rPr>
          <w:rFonts w:ascii="Times New Roman" w:hAnsi="Times New Roman" w:cs="Times New Roman"/>
          <w:color w:val="343541"/>
          <w:sz w:val="24"/>
          <w:szCs w:val="24"/>
        </w:rPr>
        <w:t xml:space="preserve"> financial markets. By taking a close look at these patterns, we can gauge the rate of change in the financial markets, pinpoint the causes of that shift, and evaluate the efficacy of regulatory efforts to restore stability. The analysis will look back at the trajectory and patterns that have developed since the crisis via the perspective of trend analysis. </w:t>
      </w:r>
      <w:proofErr w:type="spellStart"/>
      <w:r w:rsidRPr="007B194F">
        <w:rPr>
          <w:rFonts w:ascii="Times New Roman" w:hAnsi="Times New Roman" w:cs="Times New Roman"/>
          <w:color w:val="343541"/>
          <w:sz w:val="24"/>
          <w:szCs w:val="24"/>
        </w:rPr>
        <w:t>Recognising</w:t>
      </w:r>
      <w:proofErr w:type="spellEnd"/>
      <w:r w:rsidRPr="007B194F">
        <w:rPr>
          <w:rFonts w:ascii="Times New Roman" w:hAnsi="Times New Roman" w:cs="Times New Roman"/>
          <w:color w:val="343541"/>
          <w:sz w:val="24"/>
          <w:szCs w:val="24"/>
        </w:rPr>
        <w:t xml:space="preserve"> these tendencies allows us to deduce the driving forces behind market valuations, regulatory structures,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and the widespread use of financial technology (FinTech).</w:t>
      </w:r>
    </w:p>
    <w:p w14:paraId="381C2D5C" w14:textId="2A78A589" w:rsidR="00811684" w:rsidRPr="00811684" w:rsidRDefault="00811684" w:rsidP="00DB4824">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 xml:space="preserve">It is essential to highlight the importance of studying the changes in financial markets since the 2008 crisis. The crisis served as a wake-up call, revealing critical vulnerabilities and shortcomings in the financial system. By understanding the implications and lessons learned from this tumultuous period, we can gain valuable insights into the strengths and weaknesses of financial </w:t>
      </w:r>
      <w:r w:rsidRPr="00811684">
        <w:rPr>
          <w:rFonts w:ascii="Times New Roman" w:hAnsi="Times New Roman" w:cs="Times New Roman"/>
          <w:sz w:val="24"/>
          <w:szCs w:val="24"/>
        </w:rPr>
        <w:lastRenderedPageBreak/>
        <w:t>markets, as well as the measures taken to address those weaknesses. This knowledge enables us to anticipate future challenges, strengthen regulatory frameworks, and foster a more resilient and adaptive financial ecosystem</w:t>
      </w:r>
      <w:r>
        <w:rPr>
          <w:rFonts w:ascii="Times New Roman" w:hAnsi="Times New Roman" w:cs="Times New Roman"/>
          <w:sz w:val="24"/>
          <w:szCs w:val="24"/>
        </w:rPr>
        <w:t xml:space="preserve"> </w:t>
      </w:r>
      <w:r>
        <w:rPr>
          <w:rFonts w:ascii="Times New Roman" w:hAnsi="Times New Roman" w:cs="Times New Roman"/>
          <w:color w:val="343541"/>
          <w:sz w:val="24"/>
          <w:szCs w:val="24"/>
        </w:rPr>
        <w:t>(</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811684">
        <w:rPr>
          <w:rFonts w:ascii="Times New Roman" w:hAnsi="Times New Roman" w:cs="Times New Roman"/>
          <w:sz w:val="24"/>
          <w:szCs w:val="24"/>
        </w:rPr>
        <w:t>.</w:t>
      </w:r>
    </w:p>
    <w:p w14:paraId="03ACD2E8" w14:textId="1C8277E5" w:rsidR="00B32B77" w:rsidRPr="00573211" w:rsidRDefault="00811684" w:rsidP="00573211">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Therefore, this analysis aims to provide a comprehensive understanding of the post-crisis financial landscape, examining the long-term effects and transformative trends that have emerged. By doing so, we not only shed light on the trajectory of financial markets but also highlight the importance of ongoing vigilance, adaptation, and regulatory oversight. Through this analysis, we can uncover the intricate web of changes that have shaped financial markets over time, ultimately contributing to a more robust and stable global financial system.</w:t>
      </w:r>
      <w:r w:rsidRPr="00811684">
        <w:rPr>
          <w:rFonts w:ascii="Arial" w:eastAsia="Times New Roman" w:hAnsi="Arial" w:cs="Arial"/>
          <w:vanish/>
          <w:kern w:val="0"/>
          <w:sz w:val="16"/>
          <w:szCs w:val="16"/>
          <w14:ligatures w14:val="none"/>
        </w:rPr>
        <w:t>Top of Form</w:t>
      </w:r>
    </w:p>
    <w:p w14:paraId="73AA6A67" w14:textId="7139F4B4" w:rsidR="00733CE5" w:rsidRPr="007B194F" w:rsidRDefault="006B6F65" w:rsidP="00843A57">
      <w:pPr>
        <w:spacing w:line="360" w:lineRule="auto"/>
        <w:jc w:val="both"/>
        <w:rPr>
          <w:rFonts w:ascii="Times New Roman" w:hAnsi="Times New Roman" w:cs="Times New Roman"/>
          <w:b/>
          <w:bCs/>
          <w:sz w:val="24"/>
          <w:szCs w:val="24"/>
        </w:rPr>
      </w:pPr>
      <w:r w:rsidRPr="007B194F">
        <w:rPr>
          <w:rFonts w:ascii="Times New Roman" w:hAnsi="Times New Roman" w:cs="Times New Roman"/>
          <w:b/>
          <w:bCs/>
          <w:color w:val="343541"/>
          <w:sz w:val="24"/>
          <w:szCs w:val="24"/>
        </w:rPr>
        <w:t xml:space="preserve">2. </w:t>
      </w:r>
      <w:r w:rsidR="00733CE5" w:rsidRPr="007B194F">
        <w:rPr>
          <w:rFonts w:ascii="Times New Roman" w:hAnsi="Times New Roman" w:cs="Times New Roman"/>
          <w:b/>
          <w:bCs/>
          <w:color w:val="343541"/>
          <w:sz w:val="24"/>
          <w:szCs w:val="24"/>
        </w:rPr>
        <w:t>Changes in Market Capitalization of Listed Firms Over time</w:t>
      </w:r>
    </w:p>
    <w:p w14:paraId="5E99A829" w14:textId="7E4C9A07"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The global financial crisis had a significant impact on the market capitalization of listed firms. As the crisis unfolded, stock prices plummeted, and investor confidence eroded. This resulted in a sharp decline in market capitalization, reflecting the severity of the crisis. According to a report by </w:t>
      </w:r>
      <w:r w:rsidR="00F27A39">
        <w:rPr>
          <w:rFonts w:ascii="Times New Roman" w:hAnsi="Times New Roman" w:cs="Times New Roman"/>
          <w:color w:val="343541"/>
          <w:sz w:val="24"/>
          <w:szCs w:val="24"/>
        </w:rPr>
        <w:t>Claessens and Van Horen, (201</w:t>
      </w:r>
      <w:r w:rsidR="006C35D1">
        <w:rPr>
          <w:rFonts w:ascii="Times New Roman" w:hAnsi="Times New Roman" w:cs="Times New Roman"/>
          <w:color w:val="343541"/>
          <w:sz w:val="24"/>
          <w:szCs w:val="24"/>
        </w:rPr>
        <w:t>1</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the crisis, investors experienced substantial losses as stock prices tumbled and the value of their investments eroded" (</w:t>
      </w:r>
      <w:r w:rsidRPr="007B194F">
        <w:rPr>
          <w:rFonts w:ascii="Times New Roman" w:hAnsi="Times New Roman" w:cs="Times New Roman"/>
          <w:color w:val="222222"/>
          <w:sz w:val="24"/>
          <w:szCs w:val="24"/>
          <w:shd w:val="clear" w:color="auto" w:fill="FFFFFF"/>
        </w:rPr>
        <w:t>Claessens and Van Horen, 201</w:t>
      </w:r>
      <w:r w:rsidR="006C35D1">
        <w:rPr>
          <w:rFonts w:ascii="Times New Roman" w:hAnsi="Times New Roman" w:cs="Times New Roman"/>
          <w:color w:val="222222"/>
          <w:sz w:val="24"/>
          <w:szCs w:val="24"/>
          <w:shd w:val="clear" w:color="auto" w:fill="FFFFFF"/>
        </w:rPr>
        <w:t>1</w:t>
      </w:r>
      <w:r w:rsidR="00B702EE">
        <w:rPr>
          <w:rFonts w:ascii="Times New Roman" w:hAnsi="Times New Roman" w:cs="Times New Roman"/>
          <w:color w:val="222222"/>
          <w:sz w:val="24"/>
          <w:szCs w:val="24"/>
          <w:shd w:val="clear" w:color="auto" w:fill="FFFFFF"/>
        </w:rPr>
        <w:t>, p.11</w:t>
      </w:r>
      <w:r w:rsidRPr="00476AF2">
        <w:rPr>
          <w:rFonts w:ascii="Times New Roman" w:hAnsi="Times New Roman" w:cs="Times New Roman"/>
          <w:color w:val="343541"/>
          <w:sz w:val="24"/>
          <w:szCs w:val="24"/>
        </w:rPr>
        <w:t>). The decline in stock prices was a result of multiple factors, including the bursting of the U.S. housing bubble, excessive risk-taking by financial institutions, and the subsequent collapse of major financial institutions. This led to a loss of confidence in the financial system, causing investors to sell their holdings and further exacerbating the decline in stock prices.</w:t>
      </w:r>
    </w:p>
    <w:p w14:paraId="47D505E9" w14:textId="48CBEDDB"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However, subsequent to the crisis, the market gradually recovered, and market capitalization experienced growth. Central banks implemented monetary stimulus measures, such as lowering interest rates and implementing quantitative easing, to support economic recovery. According to a study conducted by </w:t>
      </w:r>
      <w:r w:rsidR="00F27A39" w:rsidRPr="007B194F">
        <w:rPr>
          <w:rFonts w:ascii="Times New Roman" w:hAnsi="Times New Roman" w:cs="Times New Roman"/>
          <w:color w:val="343541"/>
          <w:sz w:val="24"/>
          <w:szCs w:val="24"/>
        </w:rPr>
        <w:t xml:space="preserve">Durran and Griffins, </w:t>
      </w:r>
      <w:r w:rsidR="00F27A39">
        <w:rPr>
          <w:rFonts w:ascii="Times New Roman" w:hAnsi="Times New Roman" w:cs="Times New Roman"/>
          <w:color w:val="343541"/>
          <w:sz w:val="24"/>
          <w:szCs w:val="24"/>
        </w:rPr>
        <w:t>(</w:t>
      </w:r>
      <w:r w:rsidR="00F27A39"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13</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"Monetary stimulus measures played a crucial role in stabilizing financial markets and restoring investor confidence" (</w:t>
      </w:r>
      <w:r w:rsidR="00F27A39">
        <w:rPr>
          <w:rFonts w:ascii="Times New Roman" w:hAnsi="Times New Roman" w:cs="Times New Roman"/>
          <w:color w:val="343541"/>
          <w:sz w:val="24"/>
          <w:szCs w:val="24"/>
        </w:rPr>
        <w:t>p.8</w:t>
      </w:r>
      <w:r w:rsidRPr="00476AF2">
        <w:rPr>
          <w:rFonts w:ascii="Times New Roman" w:hAnsi="Times New Roman" w:cs="Times New Roman"/>
          <w:color w:val="343541"/>
          <w:sz w:val="24"/>
          <w:szCs w:val="24"/>
        </w:rPr>
        <w:t>). Governments took steps to stabilize the financial system through bank bailouts and regulatory reforms. These measures aimed to restore trust and improve transparency in the financial sector. As economic conditions improved, investor confidence returned, leading to a sustained upward trend in market valuations.</w:t>
      </w:r>
    </w:p>
    <w:p w14:paraId="52508D64" w14:textId="77777777" w:rsidR="00476AF2" w:rsidRPr="00476AF2" w:rsidRDefault="00476AF2" w:rsidP="00476AF2">
      <w:pPr>
        <w:spacing w:line="360" w:lineRule="auto"/>
        <w:jc w:val="both"/>
        <w:rPr>
          <w:rFonts w:ascii="Times New Roman" w:hAnsi="Times New Roman" w:cs="Times New Roman"/>
          <w:color w:val="343541"/>
          <w:sz w:val="24"/>
          <w:szCs w:val="24"/>
        </w:rPr>
      </w:pPr>
    </w:p>
    <w:p w14:paraId="078B3134" w14:textId="60C99AA3"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lastRenderedPageBreak/>
        <w:t>The recovery in market capitalization can be attributed to various factors, including economic conditions and investor sentiment</w:t>
      </w:r>
      <w:r w:rsidR="008E36B8">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Economic conditions, such as GDP growth and unemployment rates, influenced investor sentiment, which in turn affected market valuations. According to a report published by </w:t>
      </w:r>
      <w:r w:rsidR="006C35D1">
        <w:rPr>
          <w:rFonts w:ascii="Times New Roman" w:hAnsi="Times New Roman" w:cs="Times New Roman"/>
          <w:color w:val="343541"/>
          <w:sz w:val="24"/>
          <w:szCs w:val="24"/>
        </w:rPr>
        <w:t>Abiodun</w:t>
      </w:r>
      <w:r w:rsidR="008E36B8" w:rsidRPr="007B194F">
        <w:rPr>
          <w:rFonts w:ascii="Times New Roman" w:hAnsi="Times New Roman" w:cs="Times New Roman"/>
          <w:color w:val="343541"/>
          <w:sz w:val="24"/>
          <w:szCs w:val="24"/>
        </w:rPr>
        <w:t xml:space="preserve">, </w:t>
      </w:r>
      <w:r w:rsidR="008E36B8">
        <w:rPr>
          <w:rFonts w:ascii="Times New Roman" w:hAnsi="Times New Roman" w:cs="Times New Roman"/>
          <w:color w:val="343541"/>
          <w:sz w:val="24"/>
          <w:szCs w:val="24"/>
        </w:rPr>
        <w:t>(</w:t>
      </w:r>
      <w:r w:rsidR="008E36B8"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17</w:t>
      </w:r>
      <w:r w:rsidR="008E36B8">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periods of economic expansion, investors generally display greater optimism, leading to increased stock prices and market capitalization" (</w:t>
      </w:r>
      <w:r w:rsidR="008E36B8">
        <w:rPr>
          <w:rFonts w:ascii="Times New Roman" w:hAnsi="Times New Roman" w:cs="Times New Roman"/>
          <w:color w:val="343541"/>
          <w:sz w:val="24"/>
          <w:szCs w:val="24"/>
        </w:rPr>
        <w:t>p.10</w:t>
      </w:r>
      <w:r w:rsidRPr="00476AF2">
        <w:rPr>
          <w:rFonts w:ascii="Times New Roman" w:hAnsi="Times New Roman" w:cs="Times New Roman"/>
          <w:color w:val="343541"/>
          <w:sz w:val="24"/>
          <w:szCs w:val="24"/>
        </w:rPr>
        <w:t>). Positive economic indicators, such as rising GDP figures and declining unemployment rates, instill confidence in investors and drive stock prices higher.</w:t>
      </w:r>
    </w:p>
    <w:p w14:paraId="319D3073" w14:textId="33E7DAE4"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However, investor sentiment can quickly shift during economic downturns or recessions.</w:t>
      </w:r>
      <w:r w:rsidR="00013E24">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Conversely, during economic downturns or recessions, investor sentiment turns pessimistic, resulting in lower stock prices and reduced market capitalization. Negative economic data and uncertainty about future economic prospects can erode investor confidence. As stated in an article, "Weak economic data, such as a decline in manufacturing output and rising unemployment rates, can trigger a sell-off in the stock market, leading to decreased market capitalization" </w:t>
      </w:r>
      <w:r w:rsidR="00013E24" w:rsidRPr="00476AF2">
        <w:rPr>
          <w:rFonts w:ascii="Times New Roman" w:hAnsi="Times New Roman" w:cs="Times New Roman"/>
          <w:color w:val="343541"/>
          <w:sz w:val="24"/>
          <w:szCs w:val="24"/>
        </w:rPr>
        <w:t>(</w:t>
      </w:r>
      <w:r w:rsidR="00013E24" w:rsidRPr="007B194F">
        <w:rPr>
          <w:rFonts w:ascii="Times New Roman" w:hAnsi="Times New Roman" w:cs="Times New Roman"/>
          <w:color w:val="222222"/>
          <w:sz w:val="24"/>
          <w:szCs w:val="24"/>
          <w:shd w:val="clear" w:color="auto" w:fill="FFFFFF"/>
        </w:rPr>
        <w:t>Claessens and Van Horen, 201</w:t>
      </w:r>
      <w:r w:rsidR="006271C7">
        <w:rPr>
          <w:rFonts w:ascii="Times New Roman" w:hAnsi="Times New Roman" w:cs="Times New Roman"/>
          <w:color w:val="222222"/>
          <w:sz w:val="24"/>
          <w:szCs w:val="24"/>
          <w:shd w:val="clear" w:color="auto" w:fill="FFFFFF"/>
        </w:rPr>
        <w:t>9</w:t>
      </w:r>
      <w:r w:rsidR="00013E24">
        <w:rPr>
          <w:rFonts w:ascii="Times New Roman" w:hAnsi="Times New Roman" w:cs="Times New Roman"/>
          <w:color w:val="222222"/>
          <w:sz w:val="24"/>
          <w:szCs w:val="24"/>
          <w:shd w:val="clear" w:color="auto" w:fill="FFFFFF"/>
        </w:rPr>
        <w:t>, p.11</w:t>
      </w:r>
      <w:r w:rsidR="00013E24"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Additionally, geopolitical events can also have a significant impact on market capitalization. Political instability, trade tensions, or geopolitical conflicts can create uncertainty, causing investors to adopt a cautious approach and resulting in reduced market valuations.</w:t>
      </w:r>
    </w:p>
    <w:p w14:paraId="5BCE00DD" w14:textId="44E71F77"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Apart from economic conditions and investor sentiment, corporate earnings and geopolitical events also play significant roles in shaping market capitalization trends.</w:t>
      </w:r>
      <w:r w:rsidR="0027383C">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Positive corporate earnings reports, robust economic indicators, and geopolitical stability tend to bolster investor confidence, leading to higher stock prices and increased market capitalization. As highlighted in a research paper by </w:t>
      </w:r>
      <w:r w:rsidR="0027383C" w:rsidRPr="007B194F">
        <w:rPr>
          <w:rFonts w:ascii="Times New Roman" w:hAnsi="Times New Roman" w:cs="Times New Roman"/>
          <w:color w:val="222222"/>
          <w:sz w:val="24"/>
          <w:szCs w:val="24"/>
          <w:shd w:val="clear" w:color="auto" w:fill="FFFFFF"/>
        </w:rPr>
        <w:t xml:space="preserve">Claessens and Van </w:t>
      </w:r>
      <w:r w:rsidR="00CD7C30" w:rsidRPr="007B194F">
        <w:rPr>
          <w:rFonts w:ascii="Times New Roman" w:hAnsi="Times New Roman" w:cs="Times New Roman"/>
          <w:color w:val="222222"/>
          <w:sz w:val="24"/>
          <w:szCs w:val="24"/>
          <w:shd w:val="clear" w:color="auto" w:fill="FFFFFF"/>
        </w:rPr>
        <w:t>Horen (</w:t>
      </w:r>
      <w:r w:rsidR="0027383C" w:rsidRPr="007B194F">
        <w:rPr>
          <w:rFonts w:ascii="Times New Roman" w:hAnsi="Times New Roman" w:cs="Times New Roman"/>
          <w:color w:val="222222"/>
          <w:sz w:val="24"/>
          <w:szCs w:val="24"/>
          <w:shd w:val="clear" w:color="auto" w:fill="FFFFFF"/>
        </w:rPr>
        <w:t>201</w:t>
      </w:r>
      <w:r w:rsidR="000A3CA6">
        <w:rPr>
          <w:rFonts w:ascii="Times New Roman" w:hAnsi="Times New Roman" w:cs="Times New Roman"/>
          <w:color w:val="222222"/>
          <w:sz w:val="24"/>
          <w:szCs w:val="24"/>
          <w:shd w:val="clear" w:color="auto" w:fill="FFFFFF"/>
        </w:rPr>
        <w:t>9</w:t>
      </w:r>
      <w:r w:rsidR="0027383C"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"Strong corporate earnings, coupled with a positive economic outlook and geopolitical stability, have a positive impact on market sentiment, driving stock prices higher" (</w:t>
      </w:r>
      <w:r w:rsidR="0027383C">
        <w:rPr>
          <w:rFonts w:ascii="Times New Roman" w:hAnsi="Times New Roman" w:cs="Times New Roman"/>
          <w:color w:val="343541"/>
          <w:sz w:val="24"/>
          <w:szCs w:val="24"/>
        </w:rPr>
        <w:t>p.16</w:t>
      </w:r>
      <w:r w:rsidRPr="00476AF2">
        <w:rPr>
          <w:rFonts w:ascii="Times New Roman" w:hAnsi="Times New Roman" w:cs="Times New Roman"/>
          <w:color w:val="343541"/>
          <w:sz w:val="24"/>
          <w:szCs w:val="24"/>
        </w:rPr>
        <w:t>). Conversely, negative earnings surprises, weak economic data, and geopolitical tensions can erode investor confidence, causing stock prices to decline and market capitalization to decrease.</w:t>
      </w:r>
    </w:p>
    <w:p w14:paraId="79F8C335" w14:textId="10B22001" w:rsidR="00814AFE" w:rsidRPr="007B194F" w:rsidRDefault="00476AF2" w:rsidP="00573211">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In conclusion, the market capitalization of listed firms has undergone significant changes since the 2008 financial crisis. The crisis initially led to a sharp decline in market valuations as investor confidence waned. However, with the implementation of monetary stimulus measures, regulatory reforms, and improving economic conditions, market capitalization gradually </w:t>
      </w:r>
      <w:r w:rsidRPr="00476AF2">
        <w:rPr>
          <w:rFonts w:ascii="Times New Roman" w:hAnsi="Times New Roman" w:cs="Times New Roman"/>
          <w:color w:val="343541"/>
          <w:sz w:val="24"/>
          <w:szCs w:val="24"/>
        </w:rPr>
        <w:lastRenderedPageBreak/>
        <w:t xml:space="preserve">recovered. Economic conditions, investor sentiment, corporate earnings, and geopolitical events continue to influence market capitalization </w:t>
      </w:r>
      <w:r w:rsidR="0063086B" w:rsidRPr="00476AF2">
        <w:rPr>
          <w:rFonts w:ascii="Times New Roman" w:hAnsi="Times New Roman" w:cs="Times New Roman"/>
          <w:color w:val="343541"/>
          <w:sz w:val="24"/>
          <w:szCs w:val="24"/>
        </w:rPr>
        <w:t>trends.</w:t>
      </w:r>
    </w:p>
    <w:p w14:paraId="46950125" w14:textId="249F8289" w:rsidR="0063086B" w:rsidRPr="0076123B" w:rsidRDefault="00814AFE" w:rsidP="0063086B">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3.</w:t>
      </w:r>
      <w:r w:rsidR="006B6F65" w:rsidRPr="007B194F">
        <w:rPr>
          <w:rFonts w:ascii="Times New Roman" w:hAnsi="Times New Roman" w:cs="Times New Roman"/>
          <w:b/>
          <w:bCs/>
          <w:sz w:val="24"/>
          <w:szCs w:val="24"/>
        </w:rPr>
        <w:t xml:space="preserve"> Evolution of Financial Market Regulatory Framework and Policie</w:t>
      </w:r>
      <w:r w:rsidR="0076123B">
        <w:rPr>
          <w:rFonts w:ascii="Times New Roman" w:hAnsi="Times New Roman" w:cs="Times New Roman"/>
          <w:b/>
          <w:bCs/>
          <w:sz w:val="24"/>
          <w:szCs w:val="24"/>
        </w:rPr>
        <w:t>s</w:t>
      </w:r>
    </w:p>
    <w:p w14:paraId="5D59C02E" w14:textId="77777777"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Significant regulatory vulnerabilities were revealed by the 2008 global financial crisis, which exacerbated the severity and pervasive effects of the crisis. As a result, governments and regulatory agencies implemented a number of changes to the financial system to strengthen its robustness, transparency, and stability (</w:t>
      </w:r>
      <w:proofErr w:type="spellStart"/>
      <w:r w:rsidRPr="0063086B">
        <w:rPr>
          <w:rFonts w:ascii="Times New Roman" w:hAnsi="Times New Roman" w:cs="Times New Roman"/>
          <w:color w:val="374151"/>
          <w:sz w:val="24"/>
          <w:szCs w:val="24"/>
        </w:rPr>
        <w:t>Moshirian</w:t>
      </w:r>
      <w:proofErr w:type="spellEnd"/>
      <w:r w:rsidRPr="0063086B">
        <w:rPr>
          <w:rFonts w:ascii="Times New Roman" w:hAnsi="Times New Roman" w:cs="Times New Roman"/>
          <w:color w:val="374151"/>
          <w:sz w:val="24"/>
          <w:szCs w:val="24"/>
        </w:rPr>
        <w:t>, 2011). This section delves into the most salient changes in the regulatory architecture and policies governing the financial system since the crisis.</w:t>
      </w:r>
    </w:p>
    <w:p w14:paraId="672F5525" w14:textId="45867042"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One important development has been the increased regulations on the capital and liquidity of financial institutions.</w:t>
      </w:r>
      <w:r w:rsidR="00D15B31">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These standards have been heavily influenced by the Basel III framework created by the Basel Committee on Banking Supervision. According to </w:t>
      </w:r>
      <w:r w:rsidR="00D15B31">
        <w:rPr>
          <w:rFonts w:ascii="Times New Roman" w:hAnsi="Times New Roman" w:cs="Times New Roman"/>
          <w:color w:val="374151"/>
          <w:sz w:val="24"/>
          <w:szCs w:val="24"/>
        </w:rPr>
        <w:t>Young, (2013)</w:t>
      </w:r>
      <w:r w:rsidRPr="0063086B">
        <w:rPr>
          <w:rFonts w:ascii="Times New Roman" w:hAnsi="Times New Roman" w:cs="Times New Roman"/>
          <w:color w:val="374151"/>
          <w:sz w:val="24"/>
          <w:szCs w:val="24"/>
        </w:rPr>
        <w:t>, "To make sure banks have enough money on hand to weather financial storms and cover any losses, it raised capital adequacy ratios and liquidity regulations" (</w:t>
      </w:r>
      <w:r w:rsidR="00D15B31">
        <w:rPr>
          <w:rFonts w:ascii="Times New Roman" w:hAnsi="Times New Roman" w:cs="Times New Roman"/>
          <w:color w:val="374151"/>
          <w:sz w:val="24"/>
          <w:szCs w:val="24"/>
        </w:rPr>
        <w:t>Young 2013, p.9</w:t>
      </w:r>
      <w:r w:rsidRPr="0063086B">
        <w:rPr>
          <w:rFonts w:ascii="Times New Roman" w:hAnsi="Times New Roman" w:cs="Times New Roman"/>
          <w:color w:val="374151"/>
          <w:sz w:val="24"/>
          <w:szCs w:val="24"/>
        </w:rPr>
        <w:t>). Regulators' goal is to lessen the likelihood of bank failures and financial contagion by strengthening financial institutions' capital buffers during times of financial stress.</w:t>
      </w:r>
    </w:p>
    <w:p w14:paraId="3FFB6BE4" w14:textId="0747069F"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In addition to capital and liquidity requirements, there have been notable advancements in risk management </w:t>
      </w:r>
      <w:r w:rsidR="00407310" w:rsidRPr="0063086B">
        <w:rPr>
          <w:rFonts w:ascii="Times New Roman" w:hAnsi="Times New Roman" w:cs="Times New Roman"/>
          <w:color w:val="374151"/>
          <w:sz w:val="24"/>
          <w:szCs w:val="24"/>
        </w:rPr>
        <w:t>regulations. Financial</w:t>
      </w:r>
      <w:r w:rsidRPr="0063086B">
        <w:rPr>
          <w:rFonts w:ascii="Times New Roman" w:hAnsi="Times New Roman" w:cs="Times New Roman"/>
          <w:color w:val="374151"/>
          <w:sz w:val="24"/>
          <w:szCs w:val="24"/>
        </w:rPr>
        <w:t xml:space="preserve"> institutions are now subject to stronger risk management regulations, including better risk measuring and monitoring systems, tighter internal controls, and the formation of risk committees. As stated in an article </w:t>
      </w:r>
      <w:proofErr w:type="spellStart"/>
      <w:r w:rsidR="009C69E8">
        <w:rPr>
          <w:rFonts w:ascii="Times New Roman" w:hAnsi="Times New Roman" w:cs="Times New Roman"/>
          <w:color w:val="374151"/>
          <w:sz w:val="24"/>
          <w:szCs w:val="24"/>
        </w:rPr>
        <w:t>elsevier</w:t>
      </w:r>
      <w:proofErr w:type="spellEnd"/>
      <w:r w:rsidRPr="0063086B">
        <w:rPr>
          <w:rFonts w:ascii="Times New Roman" w:hAnsi="Times New Roman" w:cs="Times New Roman"/>
          <w:color w:val="374151"/>
          <w:sz w:val="24"/>
          <w:szCs w:val="24"/>
        </w:rPr>
        <w:t xml:space="preserve"> Economics Journal, "Regulators aim to lessen the likelihood of a systemic collapse and encourage financial institutions to develop a risk-aware and risk-managing culture" (</w:t>
      </w:r>
      <w:r w:rsidR="009C69E8">
        <w:rPr>
          <w:rFonts w:ascii="Times New Roman" w:hAnsi="Times New Roman" w:cs="Times New Roman"/>
          <w:color w:val="374151"/>
          <w:sz w:val="24"/>
          <w:szCs w:val="24"/>
        </w:rPr>
        <w:t>Huang, 2019, p.13</w:t>
      </w:r>
      <w:r w:rsidRPr="0063086B">
        <w:rPr>
          <w:rFonts w:ascii="Times New Roman" w:hAnsi="Times New Roman" w:cs="Times New Roman"/>
          <w:color w:val="374151"/>
          <w:sz w:val="24"/>
          <w:szCs w:val="24"/>
        </w:rPr>
        <w:t>). These mandated procedures enhance the resilience of financial institutions and reduce the potential for systemic risks.</w:t>
      </w:r>
    </w:p>
    <w:p w14:paraId="6D42698D" w14:textId="1D240777"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Subsequently, </w:t>
      </w:r>
      <w:r w:rsidR="00407310" w:rsidRPr="0063086B">
        <w:rPr>
          <w:rFonts w:ascii="Times New Roman" w:hAnsi="Times New Roman" w:cs="Times New Roman"/>
          <w:color w:val="374151"/>
          <w:sz w:val="24"/>
          <w:szCs w:val="24"/>
        </w:rPr>
        <w:t>the</w:t>
      </w:r>
      <w:r w:rsidRPr="0063086B">
        <w:rPr>
          <w:rFonts w:ascii="Times New Roman" w:hAnsi="Times New Roman" w:cs="Times New Roman"/>
          <w:color w:val="374151"/>
          <w:sz w:val="24"/>
          <w:szCs w:val="24"/>
        </w:rPr>
        <w:t xml:space="preserve"> pursuit of openness and transparency has become a central focus in regulatory </w:t>
      </w:r>
      <w:r w:rsidR="00407310" w:rsidRPr="0063086B">
        <w:rPr>
          <w:rFonts w:ascii="Times New Roman" w:hAnsi="Times New Roman" w:cs="Times New Roman"/>
          <w:color w:val="374151"/>
          <w:sz w:val="24"/>
          <w:szCs w:val="24"/>
        </w:rPr>
        <w:t>frameworks. The</w:t>
      </w:r>
      <w:r w:rsidRPr="0063086B">
        <w:rPr>
          <w:rFonts w:ascii="Times New Roman" w:hAnsi="Times New Roman" w:cs="Times New Roman"/>
          <w:color w:val="374151"/>
          <w:sz w:val="24"/>
          <w:szCs w:val="24"/>
        </w:rPr>
        <w:t xml:space="preserve"> crisis exposed the widespread use of obscure and difficult-to-understand financial products, which contributed to systemic dangers. Legislation such as the Dodd-Frank Act in the United States and the European Market Infrastructure Regulation (EMIR) in the European Union has brought about changes in derivatives markets, making them more open and subject to regulation. According to </w:t>
      </w:r>
      <w:r w:rsidR="00407310">
        <w:rPr>
          <w:rFonts w:ascii="Times New Roman" w:hAnsi="Times New Roman" w:cs="Times New Roman"/>
          <w:color w:val="374151"/>
          <w:sz w:val="24"/>
          <w:szCs w:val="24"/>
        </w:rPr>
        <w:t>(Huang, 2021</w:t>
      </w:r>
      <w:r w:rsidR="000079FA">
        <w:rPr>
          <w:rFonts w:ascii="Times New Roman" w:hAnsi="Times New Roman" w:cs="Times New Roman"/>
          <w:color w:val="374151"/>
          <w:sz w:val="24"/>
          <w:szCs w:val="24"/>
        </w:rPr>
        <w:t>, p.17)</w:t>
      </w:r>
      <w:r w:rsidRPr="0063086B">
        <w:rPr>
          <w:rFonts w:ascii="Times New Roman" w:hAnsi="Times New Roman" w:cs="Times New Roman"/>
          <w:color w:val="374151"/>
          <w:sz w:val="24"/>
          <w:szCs w:val="24"/>
        </w:rPr>
        <w:t>, "Clearinghouses, mandated under these rules, help make derivatives markets more transparent and subject to regulation" (</w:t>
      </w:r>
      <w:r w:rsidR="000079FA">
        <w:rPr>
          <w:rFonts w:ascii="Times New Roman" w:hAnsi="Times New Roman" w:cs="Times New Roman"/>
          <w:color w:val="374151"/>
          <w:sz w:val="24"/>
          <w:szCs w:val="24"/>
        </w:rPr>
        <w:t>p.17</w:t>
      </w:r>
      <w:r w:rsidRPr="0063086B">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lastRenderedPageBreak/>
        <w:t>Additionally, there has been a drive for stricter disclosure rules to ensure accurate and timely data is provided by banks to investors and government watchdogs, promoting informed decision-making and market fairness.</w:t>
      </w:r>
    </w:p>
    <w:p w14:paraId="43D67817" w14:textId="3FDAD095"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Notably, </w:t>
      </w:r>
      <w:r w:rsidRPr="0063086B">
        <w:rPr>
          <w:rFonts w:ascii="Times New Roman" w:hAnsi="Times New Roman" w:cs="Times New Roman"/>
          <w:color w:val="374151"/>
          <w:sz w:val="24"/>
          <w:szCs w:val="24"/>
        </w:rPr>
        <w:t>Monitoring and mitigating systemic risk has gained greater emphasis in regulatory frameworks.</w:t>
      </w:r>
      <w:r>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Regulators recognize the highly interconnected nature of financial institutions and the potential for rapid spread of systemic hazards throughout the system. As a result, macroprudential policies aimed at identifying and reducing systemic risks have been implemented.  </w:t>
      </w:r>
      <w:r w:rsidR="00CD7C30">
        <w:rPr>
          <w:rFonts w:ascii="Times New Roman" w:hAnsi="Times New Roman" w:cs="Times New Roman"/>
          <w:color w:val="374151"/>
          <w:sz w:val="24"/>
          <w:szCs w:val="24"/>
        </w:rPr>
        <w:t xml:space="preserve">The </w:t>
      </w:r>
      <w:r w:rsidRPr="0063086B">
        <w:rPr>
          <w:rFonts w:ascii="Times New Roman" w:hAnsi="Times New Roman" w:cs="Times New Roman"/>
          <w:color w:val="374151"/>
          <w:sz w:val="24"/>
          <w:szCs w:val="24"/>
        </w:rPr>
        <w:t xml:space="preserve">Policy Review highlights that "Macroprudential regulations shift the focus from individual institutions to the entire financial sector, prioritizing financial system </w:t>
      </w:r>
      <w:r w:rsidR="00CD7C30" w:rsidRPr="0063086B">
        <w:rPr>
          <w:rFonts w:ascii="Times New Roman" w:hAnsi="Times New Roman" w:cs="Times New Roman"/>
          <w:color w:val="374151"/>
          <w:sz w:val="24"/>
          <w:szCs w:val="24"/>
        </w:rPr>
        <w:t xml:space="preserve">stability”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9, p.17</w:t>
      </w:r>
      <w:r w:rsidRPr="0063086B">
        <w:rPr>
          <w:rFonts w:ascii="Times New Roman" w:hAnsi="Times New Roman" w:cs="Times New Roman"/>
          <w:color w:val="374151"/>
          <w:sz w:val="24"/>
          <w:szCs w:val="24"/>
        </w:rPr>
        <w:t>). This comprehensive approach helps prevent the accumulation of systemic vulnerabilities and promotes the resilience of the financial system as a whole.</w:t>
      </w:r>
    </w:p>
    <w:p w14:paraId="1AD403F4" w14:textId="0181D0F4"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Furthermore, international cooperation among regulatory agencies has become increasingly </w:t>
      </w:r>
      <w:proofErr w:type="spellStart"/>
      <w:proofErr w:type="gramStart"/>
      <w:r w:rsidRPr="0063086B">
        <w:rPr>
          <w:rFonts w:ascii="Times New Roman" w:hAnsi="Times New Roman" w:cs="Times New Roman"/>
          <w:color w:val="374151"/>
          <w:sz w:val="24"/>
          <w:szCs w:val="24"/>
        </w:rPr>
        <w:t>important.Given</w:t>
      </w:r>
      <w:proofErr w:type="spellEnd"/>
      <w:proofErr w:type="gramEnd"/>
      <w:r w:rsidRPr="0063086B">
        <w:rPr>
          <w:rFonts w:ascii="Times New Roman" w:hAnsi="Times New Roman" w:cs="Times New Roman"/>
          <w:color w:val="374151"/>
          <w:sz w:val="24"/>
          <w:szCs w:val="24"/>
        </w:rPr>
        <w:t xml:space="preserve"> the international scope of financial markets, coordinated responses to global hazards and harmonization of regulatory frameworks are essential. The International Organization of Securities Commissions (IOSCO) and the Financial Stability Board (FSB) facilitate cooperation and uniformity in regulatory approaches across </w:t>
      </w:r>
      <w:r w:rsidR="00CD7C30" w:rsidRPr="0063086B">
        <w:rPr>
          <w:rFonts w:ascii="Times New Roman" w:hAnsi="Times New Roman" w:cs="Times New Roman"/>
          <w:color w:val="374151"/>
          <w:sz w:val="24"/>
          <w:szCs w:val="24"/>
        </w:rPr>
        <w:t>regions. Global</w:t>
      </w:r>
      <w:r w:rsidRPr="0063086B">
        <w:rPr>
          <w:rFonts w:ascii="Times New Roman" w:hAnsi="Times New Roman" w:cs="Times New Roman"/>
          <w:color w:val="374151"/>
          <w:sz w:val="24"/>
          <w:szCs w:val="24"/>
        </w:rPr>
        <w:t xml:space="preserve"> Governance Study notes their significant role in facilitating communication, establishing industry-wide norms and best practices, and ensuring consistency in regulatory approaches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9, p.16</w:t>
      </w:r>
      <w:r w:rsidRPr="0063086B">
        <w:rPr>
          <w:rFonts w:ascii="Times New Roman" w:hAnsi="Times New Roman" w:cs="Times New Roman"/>
          <w:color w:val="374151"/>
          <w:sz w:val="24"/>
          <w:szCs w:val="24"/>
        </w:rPr>
        <w:t>).</w:t>
      </w:r>
    </w:p>
    <w:p w14:paraId="3A32B39C" w14:textId="4E2E5B53" w:rsidR="00252C5B" w:rsidRPr="007B194F"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To sum up, a series of reforms aiming at boosting stability, resilience, and transparency have characterized the development of the financial market regulatory structure and policies since the 2008 financial crisis. Key developments include stricter capital and liquidity requirements, improved supervision and risk management practices, greater transparency, and oversight of systemic risk. These changes reflect the lessons learned from the crisis and contribute to building a more resilient and well-regulated financial system.</w:t>
      </w:r>
    </w:p>
    <w:p w14:paraId="243E98D2" w14:textId="1EADE92E" w:rsidR="00252C5B" w:rsidRPr="007B194F" w:rsidRDefault="00252C5B"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4. Key Trends in the Globalization of Financial Markets</w:t>
      </w:r>
    </w:p>
    <w:p w14:paraId="38D155DA" w14:textId="28C7BEA4" w:rsidR="006A7073" w:rsidRPr="007B194F" w:rsidRDefault="006A7073"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Since the economic crisis of 2008,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has been an important and revolutionary development. Progress in technology, freer movement of</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 xml:space="preserve">capital, and the increasing weight of emerging markets are all factors that have contributed to this trend. </w:t>
      </w:r>
      <w:proofErr w:type="gramStart"/>
      <w:r w:rsidRPr="007B194F">
        <w:rPr>
          <w:rFonts w:ascii="Times New Roman" w:hAnsi="Times New Roman" w:cs="Times New Roman"/>
          <w:color w:val="343541"/>
          <w:sz w:val="24"/>
          <w:szCs w:val="24"/>
        </w:rPr>
        <w:t xml:space="preserve">All </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lastRenderedPageBreak/>
        <w:t>throughout</w:t>
      </w:r>
      <w:proofErr w:type="gramEnd"/>
      <w:r w:rsidRPr="007B194F">
        <w:rPr>
          <w:rFonts w:ascii="Times New Roman" w:hAnsi="Times New Roman" w:cs="Times New Roman"/>
          <w:color w:val="343541"/>
          <w:sz w:val="24"/>
          <w:szCs w:val="24"/>
        </w:rPr>
        <w:t xml:space="preserve"> the world, investors and traders now face novel circumstances as a result of these shifts in the financial landscape.</w:t>
      </w:r>
    </w:p>
    <w:p w14:paraId="4CC8F797" w14:textId="11E95AC5" w:rsidR="006A7073" w:rsidRPr="007B194F" w:rsidRDefault="006E4D2B"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First, </w:t>
      </w:r>
      <w:r w:rsidR="00A95B13" w:rsidRPr="007B194F">
        <w:rPr>
          <w:rFonts w:ascii="Times New Roman" w:hAnsi="Times New Roman" w:cs="Times New Roman"/>
          <w:color w:val="343541"/>
          <w:sz w:val="24"/>
          <w:szCs w:val="24"/>
        </w:rPr>
        <w:t>the</w:t>
      </w:r>
      <w:r w:rsidR="006A7073" w:rsidRPr="007B194F">
        <w:rPr>
          <w:rFonts w:ascii="Times New Roman" w:hAnsi="Times New Roman" w:cs="Times New Roman"/>
          <w:color w:val="343541"/>
          <w:sz w:val="24"/>
          <w:szCs w:val="24"/>
        </w:rPr>
        <w:t xml:space="preserve"> astonishing increase in cross-border capital flows is a trend that is contributing to the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markets. Investors may now access and trade financial assets from multiple nations with relative ease because of developments in information technology and communication. Because of this, investors can better spread their money over the globe and benefit from increased portfolio diversification. The ability to invest internationally has improved portfolio performance and risk management by giving investors access to a wider variety of asset classes and markets.</w:t>
      </w:r>
      <w:r w:rsidR="001303A2">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There has been a growing tendency towards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in the financial markets, and emerging markets have emerged as key players in this shift. International investors have poured money into these areas because of their rapid economic growth, growing consumer markets, and </w:t>
      </w:r>
      <w:proofErr w:type="spellStart"/>
      <w:r w:rsidR="006A7073" w:rsidRPr="007B194F">
        <w:rPr>
          <w:rFonts w:ascii="Times New Roman" w:hAnsi="Times New Roman" w:cs="Times New Roman"/>
          <w:color w:val="343541"/>
          <w:sz w:val="24"/>
          <w:szCs w:val="24"/>
        </w:rPr>
        <w:t>favourable</w:t>
      </w:r>
      <w:proofErr w:type="spellEnd"/>
      <w:r w:rsidR="006A7073" w:rsidRPr="007B194F">
        <w:rPr>
          <w:rFonts w:ascii="Times New Roman" w:hAnsi="Times New Roman" w:cs="Times New Roman"/>
          <w:color w:val="343541"/>
          <w:sz w:val="24"/>
          <w:szCs w:val="24"/>
        </w:rPr>
        <w:t xml:space="preserve"> investment opportunities. Higher returns and diversification benefits can be found in emerging markets, and their growing participation in the international financial system has helped shift the global economic balance of power</w:t>
      </w:r>
      <w:r w:rsidR="006E0F1B" w:rsidRPr="007B194F">
        <w:rPr>
          <w:rFonts w:ascii="Times New Roman" w:hAnsi="Times New Roman" w:cs="Times New Roman"/>
          <w:color w:val="343541"/>
          <w:sz w:val="24"/>
          <w:szCs w:val="24"/>
        </w:rPr>
        <w:t xml:space="preserve"> (</w:t>
      </w:r>
      <w:r w:rsidR="006E0F1B" w:rsidRPr="007B194F">
        <w:rPr>
          <w:rFonts w:ascii="Times New Roman" w:hAnsi="Times New Roman" w:cs="Times New Roman"/>
          <w:color w:val="222222"/>
          <w:sz w:val="24"/>
          <w:szCs w:val="24"/>
          <w:shd w:val="clear" w:color="auto" w:fill="FFFFFF"/>
        </w:rPr>
        <w:t>Claessens and Van Horen, 201</w:t>
      </w:r>
      <w:r w:rsidR="00A95B13">
        <w:rPr>
          <w:rFonts w:ascii="Times New Roman" w:hAnsi="Times New Roman" w:cs="Times New Roman"/>
          <w:color w:val="222222"/>
          <w:sz w:val="24"/>
          <w:szCs w:val="24"/>
          <w:shd w:val="clear" w:color="auto" w:fill="FFFFFF"/>
        </w:rPr>
        <w:t>1,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EDE01B9" w14:textId="769C83E3" w:rsidR="006A7073" w:rsidRPr="007B194F" w:rsidRDefault="00A95B13"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However, apart from the </w:t>
      </w:r>
      <w:r w:rsidRPr="007B194F">
        <w:rPr>
          <w:rFonts w:ascii="Times New Roman" w:hAnsi="Times New Roman" w:cs="Times New Roman"/>
          <w:color w:val="343541"/>
          <w:sz w:val="24"/>
          <w:szCs w:val="24"/>
        </w:rPr>
        <w:t>increas</w:t>
      </w:r>
      <w:r>
        <w:rPr>
          <w:rFonts w:ascii="Times New Roman" w:hAnsi="Times New Roman" w:cs="Times New Roman"/>
          <w:color w:val="343541"/>
          <w:sz w:val="24"/>
          <w:szCs w:val="24"/>
        </w:rPr>
        <w:t>ing</w:t>
      </w:r>
      <w:r w:rsidRPr="007B194F">
        <w:rPr>
          <w:rFonts w:ascii="Times New Roman" w:hAnsi="Times New Roman" w:cs="Times New Roman"/>
          <w:color w:val="343541"/>
          <w:sz w:val="24"/>
          <w:szCs w:val="24"/>
        </w:rPr>
        <w:t xml:space="preserve"> cross-border capital flows</w:t>
      </w:r>
      <w:r>
        <w:rPr>
          <w:rFonts w:ascii="Times New Roman" w:hAnsi="Times New Roman" w:cs="Times New Roman"/>
          <w:color w:val="343541"/>
          <w:sz w:val="24"/>
          <w:szCs w:val="24"/>
        </w:rPr>
        <w:t>,</w:t>
      </w:r>
      <w:r w:rsidRPr="007B194F">
        <w:rPr>
          <w:rFonts w:ascii="Times New Roman" w:hAnsi="Times New Roman" w:cs="Times New Roman"/>
          <w:color w:val="343541"/>
          <w:sz w:val="24"/>
          <w:szCs w:val="24"/>
        </w:rPr>
        <w:t xml:space="preserve"> </w:t>
      </w:r>
      <w:r>
        <w:rPr>
          <w:rFonts w:ascii="Times New Roman" w:hAnsi="Times New Roman" w:cs="Times New Roman"/>
          <w:color w:val="343541"/>
          <w:sz w:val="24"/>
          <w:szCs w:val="24"/>
        </w:rPr>
        <w:t>t</w:t>
      </w:r>
      <w:r w:rsidR="006A7073" w:rsidRPr="007B194F">
        <w:rPr>
          <w:rFonts w:ascii="Times New Roman" w:hAnsi="Times New Roman" w:cs="Times New Roman"/>
          <w:color w:val="343541"/>
          <w:sz w:val="24"/>
          <w:szCs w:val="24"/>
        </w:rPr>
        <w:t xml:space="preserve">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services is another important </w:t>
      </w:r>
      <w:r w:rsidR="006E0F1B" w:rsidRPr="007B194F">
        <w:rPr>
          <w:rFonts w:ascii="Times New Roman" w:hAnsi="Times New Roman" w:cs="Times New Roman"/>
          <w:color w:val="343541"/>
          <w:sz w:val="24"/>
          <w:szCs w:val="24"/>
        </w:rPr>
        <w:t>change</w:t>
      </w:r>
      <w:r w:rsidR="006A7073" w:rsidRPr="007B194F">
        <w:rPr>
          <w:rFonts w:ascii="Times New Roman" w:hAnsi="Times New Roman" w:cs="Times New Roman"/>
          <w:color w:val="343541"/>
          <w:sz w:val="24"/>
          <w:szCs w:val="24"/>
        </w:rPr>
        <w:t>. In order to meet the growing demand for their services on a global scale, financial institutions have been expanding their global presence through the creation of local branches, subsidiaries, and strategic partnerships. Because of this growth, more people have access to banking services, and more markets have been interconnected. Financial institutions may now reach customers in more places, increase their revenue streams, and take advantage of synergies in different parts of the world because of their worldwide reach</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Abiodun,</w:t>
      </w:r>
      <w:r w:rsidR="00293B40">
        <w:rPr>
          <w:rFonts w:ascii="Times New Roman" w:hAnsi="Times New Roman" w:cs="Times New Roman"/>
          <w:color w:val="222222"/>
          <w:sz w:val="24"/>
          <w:szCs w:val="24"/>
          <w:shd w:val="clear" w:color="auto" w:fill="FFFFFF"/>
        </w:rPr>
        <w:t xml:space="preserve"> </w:t>
      </w:r>
      <w:r w:rsidR="00976A2F">
        <w:rPr>
          <w:rFonts w:ascii="Times New Roman" w:hAnsi="Times New Roman" w:cs="Times New Roman"/>
          <w:color w:val="222222"/>
          <w:sz w:val="24"/>
          <w:szCs w:val="24"/>
          <w:shd w:val="clear" w:color="auto" w:fill="FFFFFF"/>
        </w:rPr>
        <w:t>2017, p.</w:t>
      </w:r>
      <w:r>
        <w:rPr>
          <w:rFonts w:ascii="Times New Roman" w:hAnsi="Times New Roman" w:cs="Times New Roman"/>
          <w:color w:val="222222"/>
          <w:sz w:val="24"/>
          <w:szCs w:val="24"/>
          <w:shd w:val="clear" w:color="auto" w:fill="FFFFFF"/>
        </w:rPr>
        <w:t>10</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r w:rsidR="006E0F1B" w:rsidRPr="007B194F">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markets has been greatly aided by regulatory cooperation and </w:t>
      </w:r>
      <w:proofErr w:type="spellStart"/>
      <w:r w:rsidR="006A7073" w:rsidRPr="007B194F">
        <w:rPr>
          <w:rFonts w:ascii="Times New Roman" w:hAnsi="Times New Roman" w:cs="Times New Roman"/>
          <w:color w:val="343541"/>
          <w:sz w:val="24"/>
          <w:szCs w:val="24"/>
        </w:rPr>
        <w:t>harmonisation</w:t>
      </w:r>
      <w:proofErr w:type="spellEnd"/>
      <w:r w:rsidR="006A7073" w:rsidRPr="007B194F">
        <w:rPr>
          <w:rFonts w:ascii="Times New Roman" w:hAnsi="Times New Roman" w:cs="Times New Roman"/>
          <w:color w:val="343541"/>
          <w:sz w:val="24"/>
          <w:szCs w:val="24"/>
        </w:rPr>
        <w:t xml:space="preserve">. Financial stability and the avoidance of regulatory arbitrage are two areas where international cooperation among regulators is essential. The International </w:t>
      </w:r>
      <w:proofErr w:type="spellStart"/>
      <w:r w:rsidR="006A7073" w:rsidRPr="007B194F">
        <w:rPr>
          <w:rFonts w:ascii="Times New Roman" w:hAnsi="Times New Roman" w:cs="Times New Roman"/>
          <w:color w:val="343541"/>
          <w:sz w:val="24"/>
          <w:szCs w:val="24"/>
        </w:rPr>
        <w:t>Organisation</w:t>
      </w:r>
      <w:proofErr w:type="spellEnd"/>
      <w:r w:rsidR="006A7073" w:rsidRPr="007B194F">
        <w:rPr>
          <w:rFonts w:ascii="Times New Roman" w:hAnsi="Times New Roman" w:cs="Times New Roman"/>
          <w:color w:val="343541"/>
          <w:sz w:val="24"/>
          <w:szCs w:val="24"/>
        </w:rPr>
        <w:t xml:space="preserve"> of Securities Commissions (IOSCO) and the Financial Stability Board (FSB) have led efforts to </w:t>
      </w:r>
      <w:proofErr w:type="spellStart"/>
      <w:r w:rsidR="006A7073" w:rsidRPr="007B194F">
        <w:rPr>
          <w:rFonts w:ascii="Times New Roman" w:hAnsi="Times New Roman" w:cs="Times New Roman"/>
          <w:color w:val="343541"/>
          <w:sz w:val="24"/>
          <w:szCs w:val="24"/>
        </w:rPr>
        <w:t>harmonise</w:t>
      </w:r>
      <w:proofErr w:type="spellEnd"/>
      <w:r w:rsidR="006A7073" w:rsidRPr="007B194F">
        <w:rPr>
          <w:rFonts w:ascii="Times New Roman" w:hAnsi="Times New Roman" w:cs="Times New Roman"/>
          <w:color w:val="343541"/>
          <w:sz w:val="24"/>
          <w:szCs w:val="24"/>
        </w:rPr>
        <w:t xml:space="preserve"> regulatory standards and encourage collaboration across regulatory bodies worldwide. The goals of these initiatives have been to level the playing field, strengthen markets, and reduce global systemic risks.</w:t>
      </w:r>
    </w:p>
    <w:p w14:paraId="15F4D899" w14:textId="0736DFCB" w:rsidR="006A7073" w:rsidRPr="007B194F" w:rsidRDefault="00976A2F"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Notably, </w:t>
      </w:r>
      <w:r w:rsidR="004A447A" w:rsidRPr="007B194F">
        <w:rPr>
          <w:rFonts w:ascii="Times New Roman" w:hAnsi="Times New Roman" w:cs="Times New Roman"/>
          <w:color w:val="343541"/>
          <w:sz w:val="24"/>
          <w:szCs w:val="24"/>
        </w:rPr>
        <w:t>the</w:t>
      </w:r>
      <w:r w:rsidR="006A7073" w:rsidRPr="007B194F">
        <w:rPr>
          <w:rFonts w:ascii="Times New Roman" w:hAnsi="Times New Roman" w:cs="Times New Roman"/>
          <w:color w:val="343541"/>
          <w:sz w:val="24"/>
          <w:szCs w:val="24"/>
        </w:rPr>
        <w:t xml:space="preserve"> development of new technologies has also played a crucial role in the expansion of international financial markets. Investors can now more easily access global markets </w:t>
      </w:r>
      <w:r w:rsidR="006A7073" w:rsidRPr="007B194F">
        <w:rPr>
          <w:rFonts w:ascii="Times New Roman" w:hAnsi="Times New Roman" w:cs="Times New Roman"/>
          <w:color w:val="343541"/>
          <w:sz w:val="24"/>
          <w:szCs w:val="24"/>
        </w:rPr>
        <w:lastRenderedPageBreak/>
        <w:t xml:space="preserve">thanks to digital platforms, sophisticated trading algorithms, and real-time data transmission. Acceleration in this direction can also be attributed to the rise of FinTech solutions, which make things like international money transfers, problem-free investment deals, and cutting-edge banking products and services possible. The advent of cryptocurrencies, blockchain, and </w:t>
      </w:r>
      <w:proofErr w:type="spellStart"/>
      <w:r w:rsidR="006A7073" w:rsidRPr="007B194F">
        <w:rPr>
          <w:rFonts w:ascii="Times New Roman" w:hAnsi="Times New Roman" w:cs="Times New Roman"/>
          <w:color w:val="343541"/>
          <w:sz w:val="24"/>
          <w:szCs w:val="24"/>
        </w:rPr>
        <w:t>decentralised</w:t>
      </w:r>
      <w:proofErr w:type="spellEnd"/>
      <w:r w:rsidR="006A7073" w:rsidRPr="007B194F">
        <w:rPr>
          <w:rFonts w:ascii="Times New Roman" w:hAnsi="Times New Roman" w:cs="Times New Roman"/>
          <w:color w:val="343541"/>
          <w:sz w:val="24"/>
          <w:szCs w:val="24"/>
        </w:rPr>
        <w:t xml:space="preserve"> finance (</w:t>
      </w:r>
      <w:proofErr w:type="spellStart"/>
      <w:r w:rsidR="006A7073" w:rsidRPr="007B194F">
        <w:rPr>
          <w:rFonts w:ascii="Times New Roman" w:hAnsi="Times New Roman" w:cs="Times New Roman"/>
          <w:color w:val="343541"/>
          <w:sz w:val="24"/>
          <w:szCs w:val="24"/>
        </w:rPr>
        <w:t>DeFi</w:t>
      </w:r>
      <w:proofErr w:type="spellEnd"/>
      <w:r w:rsidR="006A7073" w:rsidRPr="007B194F">
        <w:rPr>
          <w:rFonts w:ascii="Times New Roman" w:hAnsi="Times New Roman" w:cs="Times New Roman"/>
          <w:color w:val="343541"/>
          <w:sz w:val="24"/>
          <w:szCs w:val="24"/>
        </w:rPr>
        <w:t>) has opened up fresh avenues for disintermediation and cooperation in international monetary systems</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Huang, 2019,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6B9CA00" w14:textId="543E4224" w:rsidR="006A7073" w:rsidRPr="007B194F" w:rsidRDefault="006A7073" w:rsidP="00573211">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Overall, developments in technology, the increasing weight of emerging markets, the proliferation of financial services across borders, and cooperative regulation have all contributed to the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since the 2008 financial crisis. Access to finance, diverse portfolios, and new market opportunities have all improved as a result of these shifts in the financial landscape, which in turn has benefited investors, businesses, and economies. However, they have also posed problems, such as the requirement for more stringent regulatory frameworks, improved risk management </w:t>
      </w:r>
      <w:proofErr w:type="spellStart"/>
      <w:r w:rsidRPr="007B194F">
        <w:rPr>
          <w:rFonts w:ascii="Times New Roman" w:hAnsi="Times New Roman" w:cs="Times New Roman"/>
          <w:color w:val="343541"/>
          <w:sz w:val="24"/>
          <w:szCs w:val="24"/>
        </w:rPr>
        <w:t>practises</w:t>
      </w:r>
      <w:proofErr w:type="spellEnd"/>
      <w:r w:rsidRPr="007B194F">
        <w:rPr>
          <w:rFonts w:ascii="Times New Roman" w:hAnsi="Times New Roman" w:cs="Times New Roman"/>
          <w:color w:val="343541"/>
          <w:sz w:val="24"/>
          <w:szCs w:val="24"/>
        </w:rPr>
        <w:t xml:space="preserve">, and the guaranteeing of more equal access to the global financial system. In order to reap the benefits of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while mitigating its risks, those with a stake in the financial markets must be flexible and open to new ideas.</w:t>
      </w:r>
    </w:p>
    <w:p w14:paraId="15B6C49C" w14:textId="5B6F20BE" w:rsidR="00EB109D" w:rsidRPr="007B194F" w:rsidRDefault="00EB109D" w:rsidP="00EB109D">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5. Notable Trends in the Adoption of Financial Technology (FinTech)</w:t>
      </w:r>
    </w:p>
    <w:p w14:paraId="430BB39A" w14:textId="16150AE7"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Since the economic downturn of 2008, the adoption of financial technology, or FinTech, has dramatically altered the sector. FinTech is the term for the application of technology to the provision of financial services in a way that is both novel and highly effective. This </w:t>
      </w:r>
      <w:r w:rsidR="006A7073" w:rsidRPr="007B194F">
        <w:rPr>
          <w:rFonts w:ascii="Times New Roman" w:hAnsi="Times New Roman" w:cs="Times New Roman"/>
          <w:sz w:val="24"/>
          <w:szCs w:val="24"/>
        </w:rPr>
        <w:t>section delves</w:t>
      </w:r>
      <w:r w:rsidRPr="007B194F">
        <w:rPr>
          <w:rFonts w:ascii="Times New Roman" w:hAnsi="Times New Roman" w:cs="Times New Roman"/>
          <w:sz w:val="24"/>
          <w:szCs w:val="24"/>
        </w:rPr>
        <w:t xml:space="preserve"> into the ways in which the widespread use of FinTech has altered the financial environment since the crisis.</w:t>
      </w:r>
    </w:p>
    <w:p w14:paraId="32F5F3E3" w14:textId="7B10D31A"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popularity of online and mobile payment systems is one of the most notable </w:t>
      </w:r>
      <w:r w:rsidR="00030D88" w:rsidRPr="007B194F">
        <w:rPr>
          <w:rFonts w:ascii="Times New Roman" w:hAnsi="Times New Roman" w:cs="Times New Roman"/>
          <w:sz w:val="24"/>
          <w:szCs w:val="24"/>
        </w:rPr>
        <w:t>changes</w:t>
      </w:r>
      <w:r w:rsidRPr="007B194F">
        <w:rPr>
          <w:rFonts w:ascii="Times New Roman" w:hAnsi="Times New Roman" w:cs="Times New Roman"/>
          <w:sz w:val="24"/>
          <w:szCs w:val="24"/>
        </w:rPr>
        <w:t xml:space="preserve"> in the financial technology industry. The widespread acceptance of digital payment solutions has been helped by the development of technology and the rise in smartphone usage. Mobile wallets and contactless payments are two examples of the modern, user-friendly, and safe payment methods available to consumers. Apple Pay, Google Pay, and Alipay are just a few of the famous mobile payment platforms that have skyrocketed in popularity due to their convenient and frictionless contactless payment methods. The use of actual currency or other antiquated payment methods is rendered unnecessary by the convenience and speed of these platforms. Businesses and </w:t>
      </w:r>
      <w:r w:rsidRPr="007B194F">
        <w:rPr>
          <w:rFonts w:ascii="Times New Roman" w:hAnsi="Times New Roman" w:cs="Times New Roman"/>
          <w:sz w:val="24"/>
          <w:szCs w:val="24"/>
        </w:rPr>
        <w:lastRenderedPageBreak/>
        <w:t>individuals alike now have an easier time sending and receiving funds around the world because to the speed and efficiency of digital payments</w:t>
      </w:r>
      <w:r w:rsidR="00030D88" w:rsidRPr="007B194F">
        <w:rPr>
          <w:rFonts w:ascii="Times New Roman" w:hAnsi="Times New Roman" w:cs="Times New Roman"/>
          <w:sz w:val="24"/>
          <w:szCs w:val="24"/>
        </w:rPr>
        <w:t xml:space="preserve"> (Duran and Griffins, </w:t>
      </w:r>
      <w:r w:rsidR="00DB4824" w:rsidRPr="007B194F">
        <w:rPr>
          <w:rFonts w:ascii="Times New Roman" w:hAnsi="Times New Roman" w:cs="Times New Roman"/>
          <w:sz w:val="24"/>
          <w:szCs w:val="24"/>
        </w:rPr>
        <w:t>2021</w:t>
      </w:r>
      <w:r w:rsidR="00DB4824">
        <w:rPr>
          <w:rFonts w:ascii="Times New Roman" w:hAnsi="Times New Roman" w:cs="Times New Roman"/>
          <w:sz w:val="24"/>
          <w:szCs w:val="24"/>
        </w:rPr>
        <w:t>, p.</w:t>
      </w:r>
      <w:r w:rsidR="00AD012C">
        <w:rPr>
          <w:rFonts w:ascii="Times New Roman" w:hAnsi="Times New Roman" w:cs="Times New Roman"/>
          <w:sz w:val="24"/>
          <w:szCs w:val="24"/>
        </w:rPr>
        <w:t>12</w:t>
      </w:r>
      <w:r w:rsidR="00030D88" w:rsidRPr="007B194F">
        <w:rPr>
          <w:rFonts w:ascii="Times New Roman" w:hAnsi="Times New Roman" w:cs="Times New Roman"/>
          <w:sz w:val="24"/>
          <w:szCs w:val="24"/>
        </w:rPr>
        <w:t>)</w:t>
      </w:r>
      <w:r w:rsidRPr="007B194F">
        <w:rPr>
          <w:rFonts w:ascii="Times New Roman" w:hAnsi="Times New Roman" w:cs="Times New Roman"/>
          <w:sz w:val="24"/>
          <w:szCs w:val="24"/>
        </w:rPr>
        <w:t>.</w:t>
      </w:r>
    </w:p>
    <w:p w14:paraId="209A163F" w14:textId="125A7E8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peer-to-peer lending and crowdfunding platforms is yet another </w:t>
      </w:r>
      <w:r w:rsidR="009551BA" w:rsidRPr="007B194F">
        <w:rPr>
          <w:rFonts w:ascii="Times New Roman" w:hAnsi="Times New Roman" w:cs="Times New Roman"/>
          <w:sz w:val="24"/>
          <w:szCs w:val="24"/>
        </w:rPr>
        <w:t>trend</w:t>
      </w:r>
      <w:r w:rsidRPr="007B194F">
        <w:rPr>
          <w:rFonts w:ascii="Times New Roman" w:hAnsi="Times New Roman" w:cs="Times New Roman"/>
          <w:sz w:val="24"/>
          <w:szCs w:val="24"/>
        </w:rPr>
        <w:t xml:space="preserve"> to watch in the FinTech industry. These marketplaces are shaking up the loan industry by cutting out the middleman and putting borrowers and lenders or investors in direct contact with one another. Individuals and small businesses can now gain access to financing that may have been out of reach through more traditional means, thanks to peer-to-peer lending networks. These platforms streamline the credit evaluation process and help connect borrowers with prospective lenders by </w:t>
      </w:r>
      <w:proofErr w:type="spellStart"/>
      <w:r w:rsidRPr="007B194F">
        <w:rPr>
          <w:rFonts w:ascii="Times New Roman" w:hAnsi="Times New Roman" w:cs="Times New Roman"/>
          <w:sz w:val="24"/>
          <w:szCs w:val="24"/>
        </w:rPr>
        <w:t>utilising</w:t>
      </w:r>
      <w:proofErr w:type="spellEnd"/>
      <w:r w:rsidRPr="007B194F">
        <w:rPr>
          <w:rFonts w:ascii="Times New Roman" w:hAnsi="Times New Roman" w:cs="Times New Roman"/>
          <w:sz w:val="24"/>
          <w:szCs w:val="24"/>
        </w:rPr>
        <w:t xml:space="preserve"> technology and data analytics. However, crowdfunding platforms have levelled the playing field by connecting startups with a diverse group of individual investors. This shift has given people and smaller businesses more agency, expanding access to capital, and encouraging risk-taking</w:t>
      </w:r>
      <w:r w:rsidR="00030D88" w:rsidRPr="007B194F">
        <w:rPr>
          <w:rFonts w:ascii="Times New Roman" w:hAnsi="Times New Roman" w:cs="Times New Roman"/>
          <w:sz w:val="24"/>
          <w:szCs w:val="24"/>
        </w:rPr>
        <w:t xml:space="preserve"> (</w:t>
      </w:r>
      <w:r w:rsidR="00030D88" w:rsidRPr="007B194F">
        <w:rPr>
          <w:rFonts w:ascii="Times New Roman" w:hAnsi="Times New Roman" w:cs="Times New Roman"/>
          <w:color w:val="222222"/>
          <w:sz w:val="24"/>
          <w:szCs w:val="24"/>
          <w:shd w:val="clear" w:color="auto" w:fill="FFFFFF"/>
        </w:rPr>
        <w:t xml:space="preserve">Haddad &amp; </w:t>
      </w:r>
      <w:proofErr w:type="spellStart"/>
      <w:r w:rsidR="00030D88" w:rsidRPr="007B194F">
        <w:rPr>
          <w:rFonts w:ascii="Times New Roman" w:hAnsi="Times New Roman" w:cs="Times New Roman"/>
          <w:color w:val="222222"/>
          <w:sz w:val="24"/>
          <w:szCs w:val="24"/>
          <w:shd w:val="clear" w:color="auto" w:fill="FFFFFF"/>
        </w:rPr>
        <w:t>Hornuf</w:t>
      </w:r>
      <w:proofErr w:type="spellEnd"/>
      <w:r w:rsidR="00030D88" w:rsidRPr="007B194F">
        <w:rPr>
          <w:rFonts w:ascii="Times New Roman" w:hAnsi="Times New Roman" w:cs="Times New Roman"/>
          <w:color w:val="222222"/>
          <w:sz w:val="24"/>
          <w:szCs w:val="24"/>
          <w:shd w:val="clear" w:color="auto" w:fill="FFFFFF"/>
        </w:rPr>
        <w:t>, 2019</w:t>
      </w:r>
      <w:r w:rsidR="00AD012C">
        <w:rPr>
          <w:rFonts w:ascii="Times New Roman" w:hAnsi="Times New Roman" w:cs="Times New Roman"/>
          <w:color w:val="222222"/>
          <w:sz w:val="24"/>
          <w:szCs w:val="24"/>
          <w:shd w:val="clear" w:color="auto" w:fill="FFFFFF"/>
        </w:rPr>
        <w:t>, p.6</w:t>
      </w:r>
      <w:r w:rsidR="00030D88"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2542D00" w14:textId="04570EC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Another major </w:t>
      </w:r>
      <w:r w:rsidR="00030D88" w:rsidRPr="007B194F">
        <w:rPr>
          <w:rFonts w:ascii="Times New Roman" w:hAnsi="Times New Roman" w:cs="Times New Roman"/>
          <w:sz w:val="24"/>
          <w:szCs w:val="24"/>
        </w:rPr>
        <w:t>change</w:t>
      </w:r>
      <w:r w:rsidRPr="007B194F">
        <w:rPr>
          <w:rFonts w:ascii="Times New Roman" w:hAnsi="Times New Roman" w:cs="Times New Roman"/>
          <w:sz w:val="24"/>
          <w:szCs w:val="24"/>
        </w:rPr>
        <w:t xml:space="preserve"> in FinTech is the widespread adoption of blockchain technology and cryptocurrency. Blockchain's potential to disrupt the financial sector stems from its characteristics as a distributed and transparent ledger. Cross-border payments, securities settlement, and supply chain financing all benefit from its enhanced safety, efficacy, and visibility. Blockchain technology can simplify and speed complicated financial operations, thereby saving costs and increasing confidence, because it provides a temper-proof and unchangeable record of transactions. Bitcoin and Ethereum are two cryptocurrencies that have recently emerged as viable digital assets that are challenging conventional ideas of value and currency. Secure, </w:t>
      </w:r>
      <w:proofErr w:type="spellStart"/>
      <w:r w:rsidRPr="007B194F">
        <w:rPr>
          <w:rFonts w:ascii="Times New Roman" w:hAnsi="Times New Roman" w:cs="Times New Roman"/>
          <w:sz w:val="24"/>
          <w:szCs w:val="24"/>
        </w:rPr>
        <w:t>decentralised</w:t>
      </w:r>
      <w:proofErr w:type="spellEnd"/>
      <w:r w:rsidRPr="007B194F">
        <w:rPr>
          <w:rFonts w:ascii="Times New Roman" w:hAnsi="Times New Roman" w:cs="Times New Roman"/>
          <w:sz w:val="24"/>
          <w:szCs w:val="24"/>
        </w:rPr>
        <w:t>, and peer-to-peer transactions are made possible by blockchain technology, which is used by these cryptocurrencies. Cryptocurrencies have sparked a new digital asset class and propelled innovation in the financial sector, attracting the interest of investors, traders, and technologists despite the fact that their acceptance and regulatory landscape are still developing</w:t>
      </w:r>
      <w:r w:rsidR="00584155" w:rsidRPr="007B194F">
        <w:rPr>
          <w:rFonts w:ascii="Times New Roman" w:hAnsi="Times New Roman" w:cs="Times New Roman"/>
          <w:sz w:val="24"/>
          <w:szCs w:val="24"/>
        </w:rPr>
        <w:t xml:space="preserve"> (Duran and Griffins, 2021</w:t>
      </w:r>
      <w:r w:rsidR="00F607CE">
        <w:rPr>
          <w:rFonts w:ascii="Times New Roman" w:hAnsi="Times New Roman" w:cs="Times New Roman"/>
          <w:sz w:val="24"/>
          <w:szCs w:val="24"/>
        </w:rPr>
        <w:t>, p.14</w:t>
      </w:r>
      <w:r w:rsidR="00584155" w:rsidRPr="007B194F">
        <w:rPr>
          <w:rFonts w:ascii="Times New Roman" w:hAnsi="Times New Roman" w:cs="Times New Roman"/>
          <w:sz w:val="24"/>
          <w:szCs w:val="24"/>
        </w:rPr>
        <w:t>)</w:t>
      </w:r>
      <w:r w:rsidRPr="007B194F">
        <w:rPr>
          <w:rFonts w:ascii="Times New Roman" w:hAnsi="Times New Roman" w:cs="Times New Roman"/>
          <w:sz w:val="24"/>
          <w:szCs w:val="24"/>
        </w:rPr>
        <w:t>.</w:t>
      </w:r>
    </w:p>
    <w:p w14:paraId="024F4919" w14:textId="5E20E67F"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and other forms of automated investing have also had a profound effect on how regular people acquire access to and handle their financial assets. These online hubs use AI and algorithms to streamline the investment process and make recommendations. More people will be able to afford to invest since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make it easier and more affordable than ever before. Based on user risk tolerance, desired investment returns, and other factors, they recommend certain investment plans. Robo-advisors are able to </w:t>
      </w:r>
      <w:proofErr w:type="spellStart"/>
      <w:r w:rsidRPr="007B194F">
        <w:rPr>
          <w:rFonts w:ascii="Times New Roman" w:hAnsi="Times New Roman" w:cs="Times New Roman"/>
          <w:sz w:val="24"/>
          <w:szCs w:val="24"/>
        </w:rPr>
        <w:t>optimise</w:t>
      </w:r>
      <w:proofErr w:type="spellEnd"/>
      <w:r w:rsidRPr="007B194F">
        <w:rPr>
          <w:rFonts w:ascii="Times New Roman" w:hAnsi="Times New Roman" w:cs="Times New Roman"/>
          <w:sz w:val="24"/>
          <w:szCs w:val="24"/>
        </w:rPr>
        <w:t xml:space="preserve"> portfolio performance by </w:t>
      </w:r>
      <w:r w:rsidRPr="007B194F">
        <w:rPr>
          <w:rFonts w:ascii="Times New Roman" w:hAnsi="Times New Roman" w:cs="Times New Roman"/>
          <w:sz w:val="24"/>
          <w:szCs w:val="24"/>
        </w:rPr>
        <w:lastRenderedPageBreak/>
        <w:t xml:space="preserve">using data-driven insights and executing transactions in a timely manner thanks to the automation of investment operations. This development has </w:t>
      </w:r>
      <w:proofErr w:type="spellStart"/>
      <w:r w:rsidRPr="007B194F">
        <w:rPr>
          <w:rFonts w:ascii="Times New Roman" w:hAnsi="Times New Roman" w:cs="Times New Roman"/>
          <w:sz w:val="24"/>
          <w:szCs w:val="24"/>
        </w:rPr>
        <w:t>democratised</w:t>
      </w:r>
      <w:proofErr w:type="spellEnd"/>
      <w:r w:rsidRPr="007B194F">
        <w:rPr>
          <w:rFonts w:ascii="Times New Roman" w:hAnsi="Times New Roman" w:cs="Times New Roman"/>
          <w:sz w:val="24"/>
          <w:szCs w:val="24"/>
        </w:rPr>
        <w:t xml:space="preserve"> wealth management by making expert financial advice and automated portfolio management accessible to individuals with modest investment capital</w:t>
      </w:r>
      <w:r w:rsidR="00425710" w:rsidRPr="007B194F">
        <w:rPr>
          <w:rFonts w:ascii="Times New Roman" w:hAnsi="Times New Roman" w:cs="Times New Roman"/>
          <w:sz w:val="24"/>
          <w:szCs w:val="24"/>
        </w:rPr>
        <w:t xml:space="preserve"> (</w:t>
      </w:r>
      <w:r w:rsidR="00425710" w:rsidRPr="007B194F">
        <w:rPr>
          <w:rFonts w:ascii="Times New Roman" w:hAnsi="Times New Roman" w:cs="Times New Roman"/>
          <w:color w:val="222222"/>
          <w:sz w:val="24"/>
          <w:szCs w:val="24"/>
          <w:shd w:val="clear" w:color="auto" w:fill="FFFFFF"/>
        </w:rPr>
        <w:t xml:space="preserve">Haddad &amp; </w:t>
      </w:r>
      <w:proofErr w:type="spellStart"/>
      <w:r w:rsidR="00425710" w:rsidRPr="007B194F">
        <w:rPr>
          <w:rFonts w:ascii="Times New Roman" w:hAnsi="Times New Roman" w:cs="Times New Roman"/>
          <w:color w:val="222222"/>
          <w:sz w:val="24"/>
          <w:szCs w:val="24"/>
          <w:shd w:val="clear" w:color="auto" w:fill="FFFFFF"/>
        </w:rPr>
        <w:t>Hornuf</w:t>
      </w:r>
      <w:proofErr w:type="spellEnd"/>
      <w:r w:rsidR="00425710" w:rsidRPr="007B194F">
        <w:rPr>
          <w:rFonts w:ascii="Times New Roman" w:hAnsi="Times New Roman" w:cs="Times New Roman"/>
          <w:color w:val="222222"/>
          <w:sz w:val="24"/>
          <w:szCs w:val="24"/>
          <w:shd w:val="clear" w:color="auto" w:fill="FFFFFF"/>
        </w:rPr>
        <w:t>, 2019</w:t>
      </w:r>
      <w:r w:rsidR="00B24A35">
        <w:rPr>
          <w:rFonts w:ascii="Times New Roman" w:hAnsi="Times New Roman" w:cs="Times New Roman"/>
          <w:color w:val="222222"/>
          <w:sz w:val="24"/>
          <w:szCs w:val="24"/>
          <w:shd w:val="clear" w:color="auto" w:fill="FFFFFF"/>
        </w:rPr>
        <w:t>, p.13</w:t>
      </w:r>
      <w:r w:rsidR="00425710"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4C7FC46" w14:textId="737C3086" w:rsidR="009A682E" w:rsidRPr="00573211" w:rsidRDefault="009A682E" w:rsidP="00573211">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Overall, the financial sector has been significantly altered by the widespread implementation of FinTech since the 2008 financial crisis. Access to banking services and capital has become more widely available thanks to the proliferation of digital payment, P2P lending, and crowdfunding platforms. New types of digital assets have emerged as a result of the innovations brought about by blockchain technology and cryptocurrencies. Investment services have been simplified and reduced in price thanks to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-advisors and other forms of automated investing. The combination of AI, ML, and regulatory sandboxes has accelerated innovation while guaranteeing conformity with all applicable rules. If we want to know where the financial sector is headed and how it will affect global markets, we need to keep an eye on these patterns as FinTech develops.</w:t>
      </w:r>
    </w:p>
    <w:p w14:paraId="6C592ED8" w14:textId="2F0959D3" w:rsidR="00252C5B" w:rsidRPr="007B194F" w:rsidRDefault="00880068"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 xml:space="preserve">6. </w:t>
      </w:r>
      <w:r w:rsidR="00252C5B" w:rsidRPr="007B194F">
        <w:rPr>
          <w:rFonts w:ascii="Times New Roman" w:hAnsi="Times New Roman" w:cs="Times New Roman"/>
          <w:b/>
          <w:bCs/>
          <w:sz w:val="24"/>
          <w:szCs w:val="24"/>
        </w:rPr>
        <w:t>Conclusion</w:t>
      </w:r>
    </w:p>
    <w:p w14:paraId="4F504F2C" w14:textId="32B3D46C" w:rsidR="00325AE1"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shifts and developments observed in financial markets since the 2008 financial crisis hold significant importance and provide valuable insights for understanding the trajectory of the global economy. This conclusion will delve deeper into the implications of the trend analysis conducted in this article, consider the potential future scenarios, and explore how this information can be beneficial in the present.</w:t>
      </w:r>
    </w:p>
    <w:p w14:paraId="5F6C2563" w14:textId="640F3B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analysis of market capitalization trends, regulatory changes, global financial market expansion, and the adoption of FinTech is crucial for several reasons. Firstly, it allows us to comprehend the resilience and adaptability of financial markets in the face of crises. Despite the substantial decline in market capitalization during the 2008 crisis, markets rebounded as economies recovered and investor confidence was restored. This resilience highlights the importance of understanding market dynamics and the factors that drive their recovery. Furthermore, the trend analysis underscores the significance of regulatory measures implemented post-crisis. The development of stronger and more transparent regulations aims to enhance the stability and robustness of the financial system. By examining the evolution of regulations, we can identify areas where further improvements may be required to mitigate future risks effectively.</w:t>
      </w:r>
    </w:p>
    <w:p w14:paraId="25700024" w14:textId="404BEC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lastRenderedPageBreak/>
        <w:t>Looking ahead, financial markets are likely to continue evolving and adapting to emerging trends and challenges. The globalization of financial markets is expected to persist, with emerging markets playing an increasingly central role. The expansion of cross-border capital flows presents both opportunities and risks, necessitating ongoing attention to regulatory cooperation and risk management practices.</w:t>
      </w:r>
      <w:r w:rsidR="001303A2">
        <w:rPr>
          <w:rFonts w:ascii="Times New Roman" w:hAnsi="Times New Roman" w:cs="Times New Roman"/>
          <w:sz w:val="24"/>
          <w:szCs w:val="24"/>
        </w:rPr>
        <w:t xml:space="preserve"> </w:t>
      </w:r>
      <w:r w:rsidRPr="00DB4824">
        <w:rPr>
          <w:rFonts w:ascii="Times New Roman" w:hAnsi="Times New Roman" w:cs="Times New Roman"/>
          <w:sz w:val="24"/>
          <w:szCs w:val="24"/>
        </w:rPr>
        <w:t>Moreover, the continued integration of FinTech is set to reshape financial markets further. As technology advances, we can anticipate greater innovation in payment methods, lending practices, investing strategies, and customer experiences. This evolution offers opportunities for increased efficiency, accessibility, and inclusivity within the financial system. However, it also poses challenges related to cybersecurity, data privacy, and regulatory frameworks that need to keep pace with technological advancements.</w:t>
      </w:r>
    </w:p>
    <w:p w14:paraId="70D46EDC"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insights gained from the analysis of financial market trends and developments can inform current decision-making and strategies. Market participants, policymakers, and regulators can benefit from understanding the historical context and the lessons learned from the 2008 financial crisis. By recognizing the factors that contributed to the crisis and the subsequent recovery, stakeholders can make informed decisions to prevent and mitigate future financial disruptions.</w:t>
      </w:r>
    </w:p>
    <w:p w14:paraId="75E82193"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Furthermore, the knowledge of market capitalization trends and the growing influence of emerging markets can guide investment strategies and portfolio diversification. Investors can harness the potential for higher returns and diversification benefits by considering emerging markets as key players in the global financial landscape. Additionally, recognizing the transformative impact of FinTech can inspire financial institutions to embrace technological advancements and innovate their services. Adopting FinTech solutions can lead to improved customer experiences, streamlined processes, and greater operational efficiency.</w:t>
      </w:r>
    </w:p>
    <w:p w14:paraId="655CF252" w14:textId="68E5D52D"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 xml:space="preserve">In summary, the comprehensive analysis of financial market trends and developments enables us to gain valuable insights into the functioning and future trajectory of the global economy. Understanding the resilience of financial markets, the evolution of regulations, the expansion of global financial markets, and the adoption of FinTech provides us with the knowledge to make informed decisions, anticipate future challenges and opportunities, and work towards building a more robust and inclusive financial system. By leveraging this information, we can </w:t>
      </w:r>
      <w:r w:rsidRPr="00DB4824">
        <w:rPr>
          <w:rFonts w:ascii="Times New Roman" w:hAnsi="Times New Roman" w:cs="Times New Roman"/>
          <w:sz w:val="24"/>
          <w:szCs w:val="24"/>
        </w:rPr>
        <w:lastRenderedPageBreak/>
        <w:t>navigate the complexities of the financial landscape and foster sustainable economic growth and stability.</w:t>
      </w:r>
    </w:p>
    <w:p w14:paraId="6E6E5081" w14:textId="3DBF4607" w:rsidR="00DB4824" w:rsidRDefault="00DB4824" w:rsidP="00DB4824"/>
    <w:p w14:paraId="6B8CA0BF" w14:textId="77777777" w:rsidR="00DB4824" w:rsidRDefault="00DB4824" w:rsidP="00DB4824"/>
    <w:p w14:paraId="45F9488E" w14:textId="77777777" w:rsidR="00DB4824" w:rsidRDefault="00DB4824" w:rsidP="00DB4824"/>
    <w:p w14:paraId="3D21EB8D" w14:textId="77777777" w:rsidR="00DB4824" w:rsidRDefault="00DB4824" w:rsidP="00DB4824"/>
    <w:p w14:paraId="5FB31607" w14:textId="77777777" w:rsidR="00DB4824" w:rsidRDefault="00DB4824" w:rsidP="00DB4824"/>
    <w:p w14:paraId="467F1A3F" w14:textId="77777777" w:rsidR="00DB4824" w:rsidRDefault="00DB4824" w:rsidP="00DB4824"/>
    <w:p w14:paraId="54949BC3" w14:textId="77777777" w:rsidR="00DB4824" w:rsidRDefault="00DB4824" w:rsidP="00DB4824"/>
    <w:p w14:paraId="7E2C4B60" w14:textId="77777777" w:rsidR="00DB4824" w:rsidRDefault="00DB4824" w:rsidP="00DB4824"/>
    <w:p w14:paraId="3F8F975B" w14:textId="77777777" w:rsidR="00DB4824" w:rsidRDefault="00DB4824" w:rsidP="00DB4824"/>
    <w:p w14:paraId="74860EB3" w14:textId="77777777" w:rsidR="00DB4824" w:rsidRDefault="00DB4824" w:rsidP="00DB4824"/>
    <w:p w14:paraId="47AD59BF" w14:textId="77777777" w:rsidR="00DB4824" w:rsidRPr="00DB4824" w:rsidRDefault="00DB4824" w:rsidP="00DB4824"/>
    <w:p w14:paraId="012CAAFD" w14:textId="77777777" w:rsidR="00DB4824" w:rsidRPr="007B194F" w:rsidRDefault="00DB4824" w:rsidP="00252C5B">
      <w:pPr>
        <w:jc w:val="both"/>
        <w:rPr>
          <w:rFonts w:ascii="Times New Roman" w:hAnsi="Times New Roman" w:cs="Times New Roman"/>
          <w:sz w:val="24"/>
          <w:szCs w:val="24"/>
        </w:rPr>
      </w:pPr>
    </w:p>
    <w:p w14:paraId="309E09CD" w14:textId="77777777" w:rsidR="00D3630B" w:rsidRDefault="00D3630B" w:rsidP="00325AE1">
      <w:pPr>
        <w:jc w:val="center"/>
        <w:rPr>
          <w:rFonts w:ascii="Times New Roman" w:hAnsi="Times New Roman" w:cs="Times New Roman"/>
          <w:b/>
          <w:bCs/>
          <w:sz w:val="24"/>
          <w:szCs w:val="24"/>
        </w:rPr>
      </w:pPr>
    </w:p>
    <w:p w14:paraId="014D29FF" w14:textId="77777777" w:rsidR="00D3630B" w:rsidRDefault="00D3630B" w:rsidP="00325AE1">
      <w:pPr>
        <w:jc w:val="center"/>
        <w:rPr>
          <w:rFonts w:ascii="Times New Roman" w:hAnsi="Times New Roman" w:cs="Times New Roman"/>
          <w:b/>
          <w:bCs/>
          <w:sz w:val="24"/>
          <w:szCs w:val="24"/>
        </w:rPr>
      </w:pPr>
    </w:p>
    <w:p w14:paraId="4A0077D6" w14:textId="77777777" w:rsidR="00DB4824" w:rsidRDefault="00DB4824" w:rsidP="00325AE1">
      <w:pPr>
        <w:jc w:val="center"/>
        <w:rPr>
          <w:rFonts w:ascii="Times New Roman" w:hAnsi="Times New Roman" w:cs="Times New Roman"/>
          <w:b/>
          <w:bCs/>
          <w:sz w:val="24"/>
          <w:szCs w:val="24"/>
        </w:rPr>
      </w:pPr>
    </w:p>
    <w:p w14:paraId="61EAC427" w14:textId="77777777" w:rsidR="00DB4824" w:rsidRDefault="00DB4824" w:rsidP="00325AE1">
      <w:pPr>
        <w:jc w:val="center"/>
        <w:rPr>
          <w:rFonts w:ascii="Times New Roman" w:hAnsi="Times New Roman" w:cs="Times New Roman"/>
          <w:b/>
          <w:bCs/>
          <w:sz w:val="24"/>
          <w:szCs w:val="24"/>
        </w:rPr>
      </w:pPr>
    </w:p>
    <w:p w14:paraId="273D4D0C" w14:textId="77777777" w:rsidR="00DB4824" w:rsidRDefault="00DB4824" w:rsidP="00325AE1">
      <w:pPr>
        <w:jc w:val="center"/>
        <w:rPr>
          <w:rFonts w:ascii="Times New Roman" w:hAnsi="Times New Roman" w:cs="Times New Roman"/>
          <w:b/>
          <w:bCs/>
          <w:sz w:val="24"/>
          <w:szCs w:val="24"/>
        </w:rPr>
      </w:pPr>
    </w:p>
    <w:p w14:paraId="24443C2C" w14:textId="77777777" w:rsidR="00DB4824" w:rsidRDefault="00DB4824" w:rsidP="00777F08">
      <w:pPr>
        <w:rPr>
          <w:rFonts w:ascii="Times New Roman" w:hAnsi="Times New Roman" w:cs="Times New Roman"/>
          <w:b/>
          <w:bCs/>
          <w:sz w:val="24"/>
          <w:szCs w:val="24"/>
        </w:rPr>
      </w:pPr>
    </w:p>
    <w:p w14:paraId="6E4CA294" w14:textId="77777777" w:rsidR="00DB4824" w:rsidRDefault="00DB4824" w:rsidP="00325AE1">
      <w:pPr>
        <w:jc w:val="center"/>
        <w:rPr>
          <w:rFonts w:ascii="Times New Roman" w:hAnsi="Times New Roman" w:cs="Times New Roman"/>
          <w:b/>
          <w:bCs/>
          <w:sz w:val="24"/>
          <w:szCs w:val="24"/>
        </w:rPr>
      </w:pPr>
    </w:p>
    <w:p w14:paraId="07E968C9" w14:textId="77777777" w:rsidR="00573211" w:rsidRDefault="00573211" w:rsidP="00325AE1">
      <w:pPr>
        <w:jc w:val="center"/>
        <w:rPr>
          <w:rFonts w:ascii="Times New Roman" w:hAnsi="Times New Roman" w:cs="Times New Roman"/>
          <w:b/>
          <w:bCs/>
          <w:sz w:val="24"/>
          <w:szCs w:val="24"/>
        </w:rPr>
      </w:pPr>
    </w:p>
    <w:p w14:paraId="74B6CDE0" w14:textId="77777777" w:rsidR="00573211" w:rsidRDefault="00573211" w:rsidP="00325AE1">
      <w:pPr>
        <w:jc w:val="center"/>
        <w:rPr>
          <w:rFonts w:ascii="Times New Roman" w:hAnsi="Times New Roman" w:cs="Times New Roman"/>
          <w:b/>
          <w:bCs/>
          <w:sz w:val="24"/>
          <w:szCs w:val="24"/>
        </w:rPr>
      </w:pPr>
    </w:p>
    <w:p w14:paraId="6EC474E9" w14:textId="77777777" w:rsidR="00573211" w:rsidRDefault="00573211" w:rsidP="00325AE1">
      <w:pPr>
        <w:jc w:val="center"/>
        <w:rPr>
          <w:rFonts w:ascii="Times New Roman" w:hAnsi="Times New Roman" w:cs="Times New Roman"/>
          <w:b/>
          <w:bCs/>
          <w:sz w:val="24"/>
          <w:szCs w:val="24"/>
        </w:rPr>
      </w:pPr>
    </w:p>
    <w:p w14:paraId="22157BF8" w14:textId="77777777" w:rsidR="00573211" w:rsidRDefault="00573211" w:rsidP="00325AE1">
      <w:pPr>
        <w:jc w:val="center"/>
        <w:rPr>
          <w:rFonts w:ascii="Times New Roman" w:hAnsi="Times New Roman" w:cs="Times New Roman"/>
          <w:b/>
          <w:bCs/>
          <w:sz w:val="24"/>
          <w:szCs w:val="24"/>
        </w:rPr>
      </w:pPr>
    </w:p>
    <w:p w14:paraId="18F421AC" w14:textId="77777777" w:rsidR="00573211" w:rsidRDefault="00573211" w:rsidP="00325AE1">
      <w:pPr>
        <w:jc w:val="center"/>
        <w:rPr>
          <w:rFonts w:ascii="Times New Roman" w:hAnsi="Times New Roman" w:cs="Times New Roman"/>
          <w:b/>
          <w:bCs/>
          <w:sz w:val="24"/>
          <w:szCs w:val="24"/>
        </w:rPr>
      </w:pPr>
    </w:p>
    <w:p w14:paraId="22ADBBB6" w14:textId="77777777" w:rsidR="00573211" w:rsidRDefault="00573211" w:rsidP="00325AE1">
      <w:pPr>
        <w:jc w:val="center"/>
        <w:rPr>
          <w:rFonts w:ascii="Times New Roman" w:hAnsi="Times New Roman" w:cs="Times New Roman"/>
          <w:b/>
          <w:bCs/>
          <w:sz w:val="24"/>
          <w:szCs w:val="24"/>
        </w:rPr>
      </w:pPr>
    </w:p>
    <w:p w14:paraId="37255831" w14:textId="77777777" w:rsidR="00DB4824" w:rsidRDefault="00DB4824" w:rsidP="00325AE1">
      <w:pPr>
        <w:jc w:val="center"/>
        <w:rPr>
          <w:rFonts w:ascii="Times New Roman" w:hAnsi="Times New Roman" w:cs="Times New Roman"/>
          <w:b/>
          <w:bCs/>
          <w:sz w:val="24"/>
          <w:szCs w:val="24"/>
        </w:rPr>
      </w:pPr>
    </w:p>
    <w:p w14:paraId="32F25B27" w14:textId="2CF4EFC2" w:rsidR="00325AE1" w:rsidRPr="007B194F" w:rsidRDefault="00325AE1" w:rsidP="00777F08">
      <w:pPr>
        <w:rPr>
          <w:rFonts w:ascii="Times New Roman" w:hAnsi="Times New Roman" w:cs="Times New Roman"/>
          <w:b/>
          <w:bCs/>
          <w:sz w:val="24"/>
          <w:szCs w:val="24"/>
        </w:rPr>
      </w:pPr>
      <w:r w:rsidRPr="007B194F">
        <w:rPr>
          <w:rFonts w:ascii="Times New Roman" w:hAnsi="Times New Roman" w:cs="Times New Roman"/>
          <w:b/>
          <w:bCs/>
          <w:sz w:val="24"/>
          <w:szCs w:val="24"/>
        </w:rPr>
        <w:lastRenderedPageBreak/>
        <w:t>References</w:t>
      </w:r>
    </w:p>
    <w:p w14:paraId="4A5E79C2" w14:textId="6B10CA86" w:rsidR="007140AA" w:rsidRPr="00181637"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Avgouleas</w:t>
      </w:r>
      <w:proofErr w:type="spellEnd"/>
      <w:r w:rsidRPr="00181637">
        <w:rPr>
          <w:rFonts w:ascii="Times New Roman" w:hAnsi="Times New Roman" w:cs="Times New Roman"/>
          <w:color w:val="222222"/>
          <w:sz w:val="24"/>
          <w:szCs w:val="24"/>
          <w:shd w:val="clear" w:color="auto" w:fill="FFFFFF"/>
        </w:rPr>
        <w:t xml:space="preserve">, E. (2009). The global financial crisis, </w:t>
      </w:r>
      <w:proofErr w:type="spellStart"/>
      <w:r w:rsidRPr="00181637">
        <w:rPr>
          <w:rFonts w:ascii="Times New Roman" w:hAnsi="Times New Roman" w:cs="Times New Roman"/>
          <w:color w:val="222222"/>
          <w:sz w:val="24"/>
          <w:szCs w:val="24"/>
          <w:shd w:val="clear" w:color="auto" w:fill="FFFFFF"/>
        </w:rPr>
        <w:t>behavioural</w:t>
      </w:r>
      <w:proofErr w:type="spellEnd"/>
      <w:r w:rsidRPr="00181637">
        <w:rPr>
          <w:rFonts w:ascii="Times New Roman" w:hAnsi="Times New Roman" w:cs="Times New Roman"/>
          <w:color w:val="222222"/>
          <w:sz w:val="24"/>
          <w:szCs w:val="24"/>
          <w:shd w:val="clear" w:color="auto" w:fill="FFFFFF"/>
        </w:rPr>
        <w:t xml:space="preserve"> finance, and financial regulation: in search of a new orthodoxy.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(1), 23-59.</w:t>
      </w:r>
    </w:p>
    <w:p w14:paraId="4CA80489" w14:textId="5F43F151"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Claessens, S., &amp; Van Horen, N. (201</w:t>
      </w:r>
      <w:r w:rsidR="006C35D1" w:rsidRPr="00181637">
        <w:rPr>
          <w:rFonts w:ascii="Times New Roman" w:hAnsi="Times New Roman" w:cs="Times New Roman"/>
          <w:color w:val="222222"/>
          <w:sz w:val="24"/>
          <w:szCs w:val="24"/>
          <w:shd w:val="clear" w:color="auto" w:fill="FFFFFF"/>
        </w:rPr>
        <w:t>1</w:t>
      </w:r>
      <w:r w:rsidRPr="00181637">
        <w:rPr>
          <w:rFonts w:ascii="Times New Roman" w:hAnsi="Times New Roman" w:cs="Times New Roman"/>
          <w:color w:val="222222"/>
          <w:sz w:val="24"/>
          <w:szCs w:val="24"/>
          <w:shd w:val="clear" w:color="auto" w:fill="FFFFFF"/>
        </w:rPr>
        <w:t>). The impact of the global financial crisis on banking globalization. </w:t>
      </w:r>
      <w:r w:rsidRPr="00181637">
        <w:rPr>
          <w:rFonts w:ascii="Times New Roman" w:hAnsi="Times New Roman" w:cs="Times New Roman"/>
          <w:i/>
          <w:iCs/>
          <w:color w:val="222222"/>
          <w:sz w:val="24"/>
          <w:szCs w:val="24"/>
          <w:shd w:val="clear" w:color="auto" w:fill="FFFFFF"/>
        </w:rPr>
        <w:t>IMF Economic Review</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63</w:t>
      </w:r>
      <w:r w:rsidRPr="00181637">
        <w:rPr>
          <w:rFonts w:ascii="Times New Roman" w:hAnsi="Times New Roman" w:cs="Times New Roman"/>
          <w:color w:val="222222"/>
          <w:sz w:val="24"/>
          <w:szCs w:val="24"/>
          <w:shd w:val="clear" w:color="auto" w:fill="FFFFFF"/>
        </w:rPr>
        <w:t>, 868-918.</w:t>
      </w:r>
    </w:p>
    <w:p w14:paraId="35635363" w14:textId="3EBC0591" w:rsidR="000A3CA6" w:rsidRPr="00181637" w:rsidRDefault="000A3CA6" w:rsidP="009C69E8">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 xml:space="preserve">Claessens, S., &amp; Van Horen, N. (2019). The aftermath </w:t>
      </w:r>
      <w:proofErr w:type="spellStart"/>
      <w:r w:rsidR="009C69E8" w:rsidRPr="00181637">
        <w:rPr>
          <w:rFonts w:ascii="Times New Roman" w:hAnsi="Times New Roman" w:cs="Times New Roman"/>
          <w:color w:val="222222"/>
          <w:sz w:val="24"/>
          <w:szCs w:val="24"/>
          <w:shd w:val="clear" w:color="auto" w:fill="FFFFFF"/>
        </w:rPr>
        <w:t>effectof</w:t>
      </w:r>
      <w:proofErr w:type="spellEnd"/>
      <w:r w:rsidR="009C69E8" w:rsidRPr="00181637">
        <w:rPr>
          <w:rFonts w:ascii="Times New Roman" w:hAnsi="Times New Roman" w:cs="Times New Roman"/>
          <w:color w:val="222222"/>
          <w:sz w:val="24"/>
          <w:szCs w:val="24"/>
          <w:shd w:val="clear" w:color="auto" w:fill="FFFFFF"/>
        </w:rPr>
        <w:t xml:space="preserve"> the</w:t>
      </w:r>
      <w:r w:rsidRPr="00181637">
        <w:rPr>
          <w:rFonts w:ascii="Times New Roman" w:hAnsi="Times New Roman" w:cs="Times New Roman"/>
          <w:color w:val="222222"/>
          <w:sz w:val="24"/>
          <w:szCs w:val="24"/>
          <w:shd w:val="clear" w:color="auto" w:fill="FFFFFF"/>
        </w:rPr>
        <w:t xml:space="preserve"> global financial crisis. </w:t>
      </w:r>
      <w:r w:rsidRPr="00181637">
        <w:rPr>
          <w:rFonts w:ascii="Times New Roman" w:hAnsi="Times New Roman" w:cs="Times New Roman"/>
          <w:i/>
          <w:iCs/>
          <w:color w:val="222222"/>
          <w:sz w:val="24"/>
          <w:szCs w:val="24"/>
          <w:shd w:val="clear" w:color="auto" w:fill="FFFFFF"/>
        </w:rPr>
        <w:t>IMF Economic Review</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53</w:t>
      </w:r>
      <w:r w:rsidRPr="00181637">
        <w:rPr>
          <w:rFonts w:ascii="Times New Roman" w:hAnsi="Times New Roman" w:cs="Times New Roman"/>
          <w:color w:val="222222"/>
          <w:sz w:val="24"/>
          <w:szCs w:val="24"/>
          <w:shd w:val="clear" w:color="auto" w:fill="FFFFFF"/>
        </w:rPr>
        <w:t>, 811-830.</w:t>
      </w:r>
    </w:p>
    <w:p w14:paraId="45D47989" w14:textId="4C1B1374"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Duran, R. E., &amp; Griffin, P. (20</w:t>
      </w:r>
      <w:r w:rsidR="006C35D1" w:rsidRPr="00181637">
        <w:rPr>
          <w:rFonts w:ascii="Times New Roman" w:hAnsi="Times New Roman" w:cs="Times New Roman"/>
          <w:color w:val="222222"/>
          <w:sz w:val="24"/>
          <w:szCs w:val="24"/>
          <w:shd w:val="clear" w:color="auto" w:fill="FFFFFF"/>
        </w:rPr>
        <w:t>13</w:t>
      </w:r>
      <w:r w:rsidRPr="00181637">
        <w:rPr>
          <w:rFonts w:ascii="Times New Roman" w:hAnsi="Times New Roman" w:cs="Times New Roman"/>
          <w:color w:val="222222"/>
          <w:sz w:val="24"/>
          <w:szCs w:val="24"/>
          <w:shd w:val="clear" w:color="auto" w:fill="FFFFFF"/>
        </w:rPr>
        <w:t>). Smart contracts: will Fintech be the catalyst for the next global financial crisis? </w:t>
      </w:r>
      <w:r w:rsidRPr="00181637">
        <w:rPr>
          <w:rFonts w:ascii="Times New Roman" w:hAnsi="Times New Roman" w:cs="Times New Roman"/>
          <w:i/>
          <w:iCs/>
          <w:color w:val="222222"/>
          <w:sz w:val="24"/>
          <w:szCs w:val="24"/>
          <w:shd w:val="clear" w:color="auto" w:fill="FFFFFF"/>
        </w:rPr>
        <w:t>Journal of Financial Regulation and Compliance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29</w:t>
      </w:r>
      <w:r w:rsidRPr="00181637">
        <w:rPr>
          <w:rFonts w:ascii="Times New Roman" w:hAnsi="Times New Roman" w:cs="Times New Roman"/>
          <w:color w:val="222222"/>
          <w:sz w:val="24"/>
          <w:szCs w:val="24"/>
          <w:shd w:val="clear" w:color="auto" w:fill="FFFFFF"/>
        </w:rPr>
        <w:t>(1), 104-122.</w:t>
      </w:r>
    </w:p>
    <w:p w14:paraId="07DB69F6" w14:textId="53262A4F" w:rsidR="004A447A" w:rsidRPr="00181637" w:rsidRDefault="004A447A" w:rsidP="004A447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Duran, R. E., &amp; Griffin, P. (2021).is the financial crisis a catalyst for fintech? </w:t>
      </w:r>
      <w:r w:rsidRPr="00181637">
        <w:rPr>
          <w:rFonts w:ascii="Times New Roman" w:hAnsi="Times New Roman" w:cs="Times New Roman"/>
          <w:i/>
          <w:iCs/>
          <w:color w:val="222222"/>
          <w:sz w:val="24"/>
          <w:szCs w:val="24"/>
          <w:shd w:val="clear" w:color="auto" w:fill="FFFFFF"/>
        </w:rPr>
        <w:t>Journal of Financial Regulation and Compliance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23</w:t>
      </w:r>
      <w:r w:rsidRPr="00181637">
        <w:rPr>
          <w:rFonts w:ascii="Times New Roman" w:hAnsi="Times New Roman" w:cs="Times New Roman"/>
          <w:color w:val="222222"/>
          <w:sz w:val="24"/>
          <w:szCs w:val="24"/>
          <w:shd w:val="clear" w:color="auto" w:fill="FFFFFF"/>
        </w:rPr>
        <w:t>(2), 91-113.</w:t>
      </w:r>
    </w:p>
    <w:p w14:paraId="76A43538" w14:textId="52AC9EED" w:rsidR="00181637" w:rsidRPr="00181637" w:rsidRDefault="00181637" w:rsidP="004A447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Fenn, D. J., Porter, M. A., Williams, S., McDonald, M., Johnson, N. F., &amp; Jones, N. S. (2011). Temporal evolution of financial-market correlations. </w:t>
      </w:r>
      <w:r w:rsidRPr="00181637">
        <w:rPr>
          <w:rFonts w:ascii="Times New Roman" w:hAnsi="Times New Roman" w:cs="Times New Roman"/>
          <w:i/>
          <w:iCs/>
          <w:color w:val="222222"/>
          <w:sz w:val="24"/>
          <w:szCs w:val="24"/>
          <w:shd w:val="clear" w:color="auto" w:fill="FFFFFF"/>
        </w:rPr>
        <w:t>Physical review 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84</w:t>
      </w:r>
      <w:r w:rsidRPr="00181637">
        <w:rPr>
          <w:rFonts w:ascii="Times New Roman" w:hAnsi="Times New Roman" w:cs="Times New Roman"/>
          <w:color w:val="222222"/>
          <w:sz w:val="24"/>
          <w:szCs w:val="24"/>
          <w:shd w:val="clear" w:color="auto" w:fill="FFFFFF"/>
        </w:rPr>
        <w:t>(2), 026109.</w:t>
      </w:r>
    </w:p>
    <w:p w14:paraId="74447457" w14:textId="17D4F2DD" w:rsidR="00181637" w:rsidRPr="00181637" w:rsidRDefault="00181637" w:rsidP="004A447A">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Abiodun, </w:t>
      </w:r>
      <w:proofErr w:type="gramStart"/>
      <w:r>
        <w:rPr>
          <w:rFonts w:ascii="Times New Roman" w:hAnsi="Times New Roman" w:cs="Times New Roman"/>
          <w:color w:val="222222"/>
          <w:sz w:val="24"/>
          <w:szCs w:val="24"/>
          <w:shd w:val="clear" w:color="auto" w:fill="FFFFFF"/>
        </w:rPr>
        <w:t>N.</w:t>
      </w:r>
      <w:r w:rsidRPr="00181637">
        <w:rPr>
          <w:rFonts w:ascii="Times New Roman" w:hAnsi="Times New Roman" w:cs="Times New Roman"/>
          <w:color w:val="222222"/>
          <w:sz w:val="24"/>
          <w:szCs w:val="24"/>
          <w:shd w:val="clear" w:color="auto" w:fill="FFFFFF"/>
        </w:rPr>
        <w:t>.</w:t>
      </w:r>
      <w:proofErr w:type="gramEnd"/>
      <w:r w:rsidRPr="00181637">
        <w:rPr>
          <w:rFonts w:ascii="Times New Roman" w:hAnsi="Times New Roman" w:cs="Times New Roman"/>
          <w:color w:val="222222"/>
          <w:sz w:val="24"/>
          <w:szCs w:val="24"/>
          <w:shd w:val="clear" w:color="auto" w:fill="FFFFFF"/>
        </w:rPr>
        <w:t xml:space="preserve"> (2017). Information disclosure in financial markets. </w:t>
      </w:r>
      <w:r w:rsidRPr="00181637">
        <w:rPr>
          <w:rFonts w:ascii="Times New Roman" w:hAnsi="Times New Roman" w:cs="Times New Roman"/>
          <w:i/>
          <w:iCs/>
          <w:color w:val="222222"/>
          <w:sz w:val="24"/>
          <w:szCs w:val="24"/>
          <w:shd w:val="clear" w:color="auto" w:fill="FFFFFF"/>
        </w:rPr>
        <w:t>Annual Review of Financial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 101-125.</w:t>
      </w:r>
    </w:p>
    <w:p w14:paraId="373776C1" w14:textId="0468FA7E" w:rsidR="00325AE1" w:rsidRPr="00181637" w:rsidRDefault="00325AE1"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Grima, S., &amp; Caruana, L. (2017, October). The Effect of the Financial Crisis on Emerging Markets. A comparative analysis of the stock market situation before and after. In </w:t>
      </w:r>
      <w:r w:rsidRPr="00181637">
        <w:rPr>
          <w:rFonts w:ascii="Times New Roman" w:hAnsi="Times New Roman" w:cs="Times New Roman"/>
          <w:i/>
          <w:iCs/>
          <w:color w:val="222222"/>
          <w:sz w:val="24"/>
          <w:szCs w:val="24"/>
          <w:shd w:val="clear" w:color="auto" w:fill="FFFFFF"/>
        </w:rPr>
        <w:t>DIEM: Dubrovnik International Economic Meeting</w:t>
      </w:r>
      <w:r w:rsidRPr="00181637">
        <w:rPr>
          <w:rFonts w:ascii="Times New Roman" w:hAnsi="Times New Roman" w:cs="Times New Roman"/>
          <w:color w:val="222222"/>
          <w:sz w:val="24"/>
          <w:szCs w:val="24"/>
          <w:shd w:val="clear" w:color="auto" w:fill="FFFFFF"/>
        </w:rPr>
        <w:t xml:space="preserve"> (Vol. 3, No. 1, pp. 228-254). </w:t>
      </w:r>
      <w:proofErr w:type="spellStart"/>
      <w:r w:rsidRPr="00181637">
        <w:rPr>
          <w:rFonts w:ascii="Times New Roman" w:hAnsi="Times New Roman" w:cs="Times New Roman"/>
          <w:color w:val="222222"/>
          <w:sz w:val="24"/>
          <w:szCs w:val="24"/>
          <w:shd w:val="clear" w:color="auto" w:fill="FFFFFF"/>
        </w:rPr>
        <w:t>Sveučilište</w:t>
      </w:r>
      <w:proofErr w:type="spellEnd"/>
      <w:r w:rsidRPr="00181637">
        <w:rPr>
          <w:rFonts w:ascii="Times New Roman" w:hAnsi="Times New Roman" w:cs="Times New Roman"/>
          <w:color w:val="222222"/>
          <w:sz w:val="24"/>
          <w:szCs w:val="24"/>
          <w:shd w:val="clear" w:color="auto" w:fill="FFFFFF"/>
        </w:rPr>
        <w:t xml:space="preserve"> u </w:t>
      </w:r>
      <w:proofErr w:type="spellStart"/>
      <w:r w:rsidRPr="00181637">
        <w:rPr>
          <w:rFonts w:ascii="Times New Roman" w:hAnsi="Times New Roman" w:cs="Times New Roman"/>
          <w:color w:val="222222"/>
          <w:sz w:val="24"/>
          <w:szCs w:val="24"/>
          <w:shd w:val="clear" w:color="auto" w:fill="FFFFFF"/>
        </w:rPr>
        <w:t>Dubrovniku</w:t>
      </w:r>
      <w:proofErr w:type="spellEnd"/>
      <w:r w:rsidRPr="00181637">
        <w:rPr>
          <w:rFonts w:ascii="Times New Roman" w:hAnsi="Times New Roman" w:cs="Times New Roman"/>
          <w:color w:val="222222"/>
          <w:sz w:val="24"/>
          <w:szCs w:val="24"/>
          <w:shd w:val="clear" w:color="auto" w:fill="FFFFFF"/>
        </w:rPr>
        <w:t>.</w:t>
      </w:r>
    </w:p>
    <w:p w14:paraId="47AB5136" w14:textId="79C127D3" w:rsidR="00181637" w:rsidRPr="00181637" w:rsidRDefault="00181637"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Hachicha</w:t>
      </w:r>
      <w:proofErr w:type="spellEnd"/>
      <w:r w:rsidRPr="00181637">
        <w:rPr>
          <w:rFonts w:ascii="Times New Roman" w:hAnsi="Times New Roman" w:cs="Times New Roman"/>
          <w:color w:val="222222"/>
          <w:sz w:val="24"/>
          <w:szCs w:val="24"/>
          <w:shd w:val="clear" w:color="auto" w:fill="FFFFFF"/>
        </w:rPr>
        <w:t xml:space="preserve">, N., </w:t>
      </w:r>
      <w:proofErr w:type="spellStart"/>
      <w:r w:rsidRPr="00181637">
        <w:rPr>
          <w:rFonts w:ascii="Times New Roman" w:hAnsi="Times New Roman" w:cs="Times New Roman"/>
          <w:color w:val="222222"/>
          <w:sz w:val="24"/>
          <w:szCs w:val="24"/>
          <w:shd w:val="clear" w:color="auto" w:fill="FFFFFF"/>
        </w:rPr>
        <w:t>Jarboui</w:t>
      </w:r>
      <w:proofErr w:type="spellEnd"/>
      <w:r w:rsidRPr="00181637">
        <w:rPr>
          <w:rFonts w:ascii="Times New Roman" w:hAnsi="Times New Roman" w:cs="Times New Roman"/>
          <w:color w:val="222222"/>
          <w:sz w:val="24"/>
          <w:szCs w:val="24"/>
          <w:shd w:val="clear" w:color="auto" w:fill="FFFFFF"/>
        </w:rPr>
        <w:t xml:space="preserve">, B., &amp; </w:t>
      </w:r>
      <w:proofErr w:type="spellStart"/>
      <w:r w:rsidRPr="00181637">
        <w:rPr>
          <w:rFonts w:ascii="Times New Roman" w:hAnsi="Times New Roman" w:cs="Times New Roman"/>
          <w:color w:val="222222"/>
          <w:sz w:val="24"/>
          <w:szCs w:val="24"/>
          <w:shd w:val="clear" w:color="auto" w:fill="FFFFFF"/>
        </w:rPr>
        <w:t>Siarry</w:t>
      </w:r>
      <w:proofErr w:type="spellEnd"/>
      <w:r w:rsidRPr="00181637">
        <w:rPr>
          <w:rFonts w:ascii="Times New Roman" w:hAnsi="Times New Roman" w:cs="Times New Roman"/>
          <w:color w:val="222222"/>
          <w:sz w:val="24"/>
          <w:szCs w:val="24"/>
          <w:shd w:val="clear" w:color="auto" w:fill="FFFFFF"/>
        </w:rPr>
        <w:t xml:space="preserve">, P. (2011). A fuzzy logic control using a differential evolution algorithm aimed at modelling </w:t>
      </w:r>
      <w:r w:rsidR="007D7D12" w:rsidRPr="00181637">
        <w:rPr>
          <w:rFonts w:ascii="Times New Roman" w:hAnsi="Times New Roman" w:cs="Times New Roman"/>
          <w:color w:val="222222"/>
          <w:sz w:val="24"/>
          <w:szCs w:val="24"/>
          <w:shd w:val="clear" w:color="auto" w:fill="FFFFFF"/>
        </w:rPr>
        <w:t>financial</w:t>
      </w:r>
      <w:r w:rsidRPr="00181637">
        <w:rPr>
          <w:rFonts w:ascii="Times New Roman" w:hAnsi="Times New Roman" w:cs="Times New Roman"/>
          <w:color w:val="222222"/>
          <w:sz w:val="24"/>
          <w:szCs w:val="24"/>
          <w:shd w:val="clear" w:color="auto" w:fill="FFFFFF"/>
        </w:rPr>
        <w:t xml:space="preserve"> market dynamics. </w:t>
      </w:r>
      <w:r w:rsidRPr="00181637">
        <w:rPr>
          <w:rFonts w:ascii="Times New Roman" w:hAnsi="Times New Roman" w:cs="Times New Roman"/>
          <w:i/>
          <w:iCs/>
          <w:color w:val="222222"/>
          <w:sz w:val="24"/>
          <w:szCs w:val="24"/>
          <w:shd w:val="clear" w:color="auto" w:fill="FFFFFF"/>
        </w:rPr>
        <w:t>Information Sciences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181</w:t>
      </w:r>
      <w:r w:rsidRPr="00181637">
        <w:rPr>
          <w:rFonts w:ascii="Times New Roman" w:hAnsi="Times New Roman" w:cs="Times New Roman"/>
          <w:color w:val="222222"/>
          <w:sz w:val="24"/>
          <w:szCs w:val="24"/>
          <w:shd w:val="clear" w:color="auto" w:fill="FFFFFF"/>
        </w:rPr>
        <w:t>(1), 79-91.</w:t>
      </w:r>
    </w:p>
    <w:p w14:paraId="4457085A" w14:textId="062F1CC5"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 xml:space="preserve">Haddad, C., &amp; </w:t>
      </w:r>
      <w:proofErr w:type="spellStart"/>
      <w:r w:rsidRPr="00181637">
        <w:rPr>
          <w:rFonts w:ascii="Times New Roman" w:hAnsi="Times New Roman" w:cs="Times New Roman"/>
          <w:color w:val="222222"/>
          <w:sz w:val="24"/>
          <w:szCs w:val="24"/>
          <w:shd w:val="clear" w:color="auto" w:fill="FFFFFF"/>
        </w:rPr>
        <w:t>Hornuf</w:t>
      </w:r>
      <w:proofErr w:type="spellEnd"/>
      <w:r w:rsidRPr="00181637">
        <w:rPr>
          <w:rFonts w:ascii="Times New Roman" w:hAnsi="Times New Roman" w:cs="Times New Roman"/>
          <w:color w:val="222222"/>
          <w:sz w:val="24"/>
          <w:szCs w:val="24"/>
          <w:shd w:val="clear" w:color="auto" w:fill="FFFFFF"/>
        </w:rPr>
        <w:t>, L. (2019). The emergence of the global fintech market: Economic and technological determinants. </w:t>
      </w:r>
      <w:r w:rsidRPr="00181637">
        <w:rPr>
          <w:rFonts w:ascii="Times New Roman" w:hAnsi="Times New Roman" w:cs="Times New Roman"/>
          <w:i/>
          <w:iCs/>
          <w:color w:val="222222"/>
          <w:sz w:val="24"/>
          <w:szCs w:val="24"/>
          <w:shd w:val="clear" w:color="auto" w:fill="FFFFFF"/>
        </w:rPr>
        <w:t>Small business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53</w:t>
      </w:r>
      <w:r w:rsidRPr="00181637">
        <w:rPr>
          <w:rFonts w:ascii="Times New Roman" w:hAnsi="Times New Roman" w:cs="Times New Roman"/>
          <w:color w:val="222222"/>
          <w:sz w:val="24"/>
          <w:szCs w:val="24"/>
          <w:shd w:val="clear" w:color="auto" w:fill="FFFFFF"/>
        </w:rPr>
        <w:t>(1), 81-105.</w:t>
      </w:r>
    </w:p>
    <w:p w14:paraId="2F30C24B" w14:textId="15706B8D" w:rsidR="00181637" w:rsidRPr="00181637" w:rsidRDefault="00181637"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Hens, T., &amp; Schenk-</w:t>
      </w:r>
      <w:proofErr w:type="spellStart"/>
      <w:r w:rsidRPr="00181637">
        <w:rPr>
          <w:rFonts w:ascii="Times New Roman" w:hAnsi="Times New Roman" w:cs="Times New Roman"/>
          <w:color w:val="222222"/>
          <w:sz w:val="24"/>
          <w:szCs w:val="24"/>
          <w:shd w:val="clear" w:color="auto" w:fill="FFFFFF"/>
        </w:rPr>
        <w:t>Hoppé</w:t>
      </w:r>
      <w:proofErr w:type="spellEnd"/>
      <w:r w:rsidRPr="00181637">
        <w:rPr>
          <w:rFonts w:ascii="Times New Roman" w:hAnsi="Times New Roman" w:cs="Times New Roman"/>
          <w:color w:val="222222"/>
          <w:sz w:val="24"/>
          <w:szCs w:val="24"/>
          <w:shd w:val="clear" w:color="auto" w:fill="FFFFFF"/>
        </w:rPr>
        <w:t>, K. R. (Eds.). (2009). </w:t>
      </w:r>
      <w:r w:rsidRPr="00181637">
        <w:rPr>
          <w:rFonts w:ascii="Times New Roman" w:hAnsi="Times New Roman" w:cs="Times New Roman"/>
          <w:i/>
          <w:iCs/>
          <w:color w:val="222222"/>
          <w:sz w:val="24"/>
          <w:szCs w:val="24"/>
          <w:shd w:val="clear" w:color="auto" w:fill="FFFFFF"/>
        </w:rPr>
        <w:t>Handbook of financial markets: dynamics and evolution</w:t>
      </w:r>
      <w:r w:rsidRPr="00181637">
        <w:rPr>
          <w:rFonts w:ascii="Times New Roman" w:hAnsi="Times New Roman" w:cs="Times New Roman"/>
          <w:color w:val="222222"/>
          <w:sz w:val="24"/>
          <w:szCs w:val="24"/>
          <w:shd w:val="clear" w:color="auto" w:fill="FFFFFF"/>
        </w:rPr>
        <w:t>. Elsevier.</w:t>
      </w:r>
    </w:p>
    <w:p w14:paraId="068B4E07" w14:textId="5CB5EE24"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Huang, H. (201</w:t>
      </w:r>
      <w:r w:rsidR="00863442" w:rsidRPr="00181637">
        <w:rPr>
          <w:rFonts w:ascii="Times New Roman" w:hAnsi="Times New Roman" w:cs="Times New Roman"/>
          <w:color w:val="222222"/>
          <w:sz w:val="24"/>
          <w:szCs w:val="24"/>
          <w:shd w:val="clear" w:color="auto" w:fill="FFFFFF"/>
        </w:rPr>
        <w:t>9</w:t>
      </w:r>
      <w:r w:rsidRPr="00181637">
        <w:rPr>
          <w:rFonts w:ascii="Times New Roman" w:hAnsi="Times New Roman" w:cs="Times New Roman"/>
          <w:color w:val="222222"/>
          <w:sz w:val="24"/>
          <w:szCs w:val="24"/>
          <w:shd w:val="clear" w:color="auto" w:fill="FFFFFF"/>
        </w:rPr>
        <w:t>). Institutional structure of financial regulation in China: lessons from the global financial crisis.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10</w:t>
      </w:r>
      <w:r w:rsidRPr="00181637">
        <w:rPr>
          <w:rFonts w:ascii="Times New Roman" w:hAnsi="Times New Roman" w:cs="Times New Roman"/>
          <w:color w:val="222222"/>
          <w:sz w:val="24"/>
          <w:szCs w:val="24"/>
          <w:shd w:val="clear" w:color="auto" w:fill="FFFFFF"/>
        </w:rPr>
        <w:t>(1), 219-254.</w:t>
      </w:r>
    </w:p>
    <w:p w14:paraId="12A50C13" w14:textId="25E0B0F2" w:rsidR="007140AA" w:rsidRPr="00181637"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Moshirian</w:t>
      </w:r>
      <w:proofErr w:type="spellEnd"/>
      <w:r w:rsidRPr="00181637">
        <w:rPr>
          <w:rFonts w:ascii="Times New Roman" w:hAnsi="Times New Roman" w:cs="Times New Roman"/>
          <w:color w:val="222222"/>
          <w:sz w:val="24"/>
          <w:szCs w:val="24"/>
          <w:shd w:val="clear" w:color="auto" w:fill="FFFFFF"/>
        </w:rPr>
        <w:t>, F. (2011). The global financial crisis and the evolution of markets, institutions, and regulation. </w:t>
      </w:r>
      <w:r w:rsidRPr="00181637">
        <w:rPr>
          <w:rFonts w:ascii="Times New Roman" w:hAnsi="Times New Roman" w:cs="Times New Roman"/>
          <w:i/>
          <w:iCs/>
          <w:color w:val="222222"/>
          <w:sz w:val="24"/>
          <w:szCs w:val="24"/>
          <w:shd w:val="clear" w:color="auto" w:fill="FFFFFF"/>
        </w:rPr>
        <w:t>Journal of banking &amp; Finance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35</w:t>
      </w:r>
      <w:r w:rsidRPr="00181637">
        <w:rPr>
          <w:rFonts w:ascii="Times New Roman" w:hAnsi="Times New Roman" w:cs="Times New Roman"/>
          <w:color w:val="222222"/>
          <w:sz w:val="24"/>
          <w:szCs w:val="24"/>
          <w:shd w:val="clear" w:color="auto" w:fill="FFFFFF"/>
        </w:rPr>
        <w:t>(3), 502-511.</w:t>
      </w:r>
    </w:p>
    <w:p w14:paraId="4F6B48DC" w14:textId="79EB7B5C" w:rsidR="00325AE1"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Young, K. (2013). Financial industry groups' adaptation to the post‐crisis regulatory environment: Changing approaches to the policy cycle. </w:t>
      </w:r>
      <w:r w:rsidRPr="00181637">
        <w:rPr>
          <w:rFonts w:ascii="Times New Roman" w:hAnsi="Times New Roman" w:cs="Times New Roman"/>
          <w:i/>
          <w:iCs/>
          <w:color w:val="222222"/>
          <w:sz w:val="24"/>
          <w:szCs w:val="24"/>
          <w:shd w:val="clear" w:color="auto" w:fill="FFFFFF"/>
        </w:rPr>
        <w:t>Regulation &amp; Governance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7</w:t>
      </w:r>
      <w:r w:rsidRPr="00181637">
        <w:rPr>
          <w:rFonts w:ascii="Times New Roman" w:hAnsi="Times New Roman" w:cs="Times New Roman"/>
          <w:color w:val="222222"/>
          <w:sz w:val="24"/>
          <w:szCs w:val="24"/>
          <w:shd w:val="clear" w:color="auto" w:fill="FFFFFF"/>
        </w:rPr>
        <w:t>(4), 460-480.</w:t>
      </w:r>
    </w:p>
    <w:bookmarkEnd w:id="0"/>
    <w:p w14:paraId="625C9649" w14:textId="4B75C073" w:rsidR="00252C5B" w:rsidRPr="007B194F" w:rsidRDefault="00252C5B" w:rsidP="00814AFE">
      <w:pPr>
        <w:spacing w:line="360" w:lineRule="auto"/>
        <w:jc w:val="both"/>
        <w:rPr>
          <w:rFonts w:ascii="Times New Roman" w:hAnsi="Times New Roman" w:cs="Times New Roman"/>
          <w:color w:val="343541"/>
          <w:sz w:val="24"/>
          <w:szCs w:val="24"/>
        </w:rPr>
      </w:pPr>
    </w:p>
    <w:sectPr w:rsidR="00252C5B" w:rsidRPr="007B19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5D2F" w14:textId="77777777" w:rsidR="006A0A78" w:rsidRDefault="006A0A78" w:rsidP="00D369DA">
      <w:pPr>
        <w:spacing w:after="0" w:line="240" w:lineRule="auto"/>
      </w:pPr>
      <w:r>
        <w:separator/>
      </w:r>
    </w:p>
  </w:endnote>
  <w:endnote w:type="continuationSeparator" w:id="0">
    <w:p w14:paraId="298EB579" w14:textId="77777777" w:rsidR="006A0A78" w:rsidRDefault="006A0A78" w:rsidP="00D3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9D0E" w14:textId="77777777" w:rsidR="005B64F9" w:rsidRDefault="005B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23334"/>
      <w:docPartObj>
        <w:docPartGallery w:val="Page Numbers (Bottom of Page)"/>
        <w:docPartUnique/>
      </w:docPartObj>
    </w:sdtPr>
    <w:sdtEndPr>
      <w:rPr>
        <w:noProof/>
      </w:rPr>
    </w:sdtEndPr>
    <w:sdtContent>
      <w:p w14:paraId="5A13DABA" w14:textId="0FAEACB3" w:rsidR="007D537C" w:rsidRDefault="007D5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A7B2C" w14:textId="77777777" w:rsidR="007D537C" w:rsidRDefault="007D5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D405" w14:textId="77777777" w:rsidR="005B64F9" w:rsidRDefault="005B6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0BB7" w14:textId="77777777" w:rsidR="006A0A78" w:rsidRDefault="006A0A78" w:rsidP="00D369DA">
      <w:pPr>
        <w:spacing w:after="0" w:line="240" w:lineRule="auto"/>
      </w:pPr>
      <w:r>
        <w:separator/>
      </w:r>
    </w:p>
  </w:footnote>
  <w:footnote w:type="continuationSeparator" w:id="0">
    <w:p w14:paraId="2EB67619" w14:textId="77777777" w:rsidR="006A0A78" w:rsidRDefault="006A0A78" w:rsidP="00D3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98F3" w14:textId="3708EB74" w:rsidR="005B64F9" w:rsidRDefault="005B64F9">
    <w:pPr>
      <w:pStyle w:val="Header"/>
    </w:pPr>
    <w:r>
      <w:rPr>
        <w:noProof/>
      </w:rPr>
      <w:pict w14:anchorId="6C91F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5978" w14:textId="660A5CC1" w:rsidR="005B64F9" w:rsidRDefault="005B64F9">
    <w:pPr>
      <w:pStyle w:val="Header"/>
    </w:pPr>
    <w:r>
      <w:rPr>
        <w:noProof/>
      </w:rPr>
      <w:pict w14:anchorId="20FEB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2A88" w14:textId="3A2702C7" w:rsidR="005B64F9" w:rsidRDefault="005B64F9">
    <w:pPr>
      <w:pStyle w:val="Header"/>
    </w:pPr>
    <w:r>
      <w:rPr>
        <w:noProof/>
      </w:rPr>
      <w:pict w14:anchorId="5AE9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69"/>
    <w:rsid w:val="00007390"/>
    <w:rsid w:val="000079FA"/>
    <w:rsid w:val="00013E24"/>
    <w:rsid w:val="00030D88"/>
    <w:rsid w:val="00074667"/>
    <w:rsid w:val="000A3CA6"/>
    <w:rsid w:val="00105EED"/>
    <w:rsid w:val="001303A2"/>
    <w:rsid w:val="00181637"/>
    <w:rsid w:val="00252C5B"/>
    <w:rsid w:val="0027383C"/>
    <w:rsid w:val="00293B40"/>
    <w:rsid w:val="003214F1"/>
    <w:rsid w:val="00325AE1"/>
    <w:rsid w:val="00407310"/>
    <w:rsid w:val="00425710"/>
    <w:rsid w:val="00476AF2"/>
    <w:rsid w:val="004A447A"/>
    <w:rsid w:val="00567A3B"/>
    <w:rsid w:val="00573211"/>
    <w:rsid w:val="00584155"/>
    <w:rsid w:val="005913F2"/>
    <w:rsid w:val="005B64F9"/>
    <w:rsid w:val="006271C7"/>
    <w:rsid w:val="0063086B"/>
    <w:rsid w:val="006A0A78"/>
    <w:rsid w:val="006A7073"/>
    <w:rsid w:val="006B6F65"/>
    <w:rsid w:val="006C35D1"/>
    <w:rsid w:val="006E0F1B"/>
    <w:rsid w:val="006E4D2B"/>
    <w:rsid w:val="007140AA"/>
    <w:rsid w:val="00733CE5"/>
    <w:rsid w:val="0076123B"/>
    <w:rsid w:val="00762D61"/>
    <w:rsid w:val="00777F08"/>
    <w:rsid w:val="007B194F"/>
    <w:rsid w:val="007D537C"/>
    <w:rsid w:val="007D7D12"/>
    <w:rsid w:val="00811684"/>
    <w:rsid w:val="00814AFE"/>
    <w:rsid w:val="00843A57"/>
    <w:rsid w:val="00863442"/>
    <w:rsid w:val="00880068"/>
    <w:rsid w:val="008E36B8"/>
    <w:rsid w:val="009413F7"/>
    <w:rsid w:val="009551BA"/>
    <w:rsid w:val="00974169"/>
    <w:rsid w:val="00976A2F"/>
    <w:rsid w:val="00984BB4"/>
    <w:rsid w:val="009A682E"/>
    <w:rsid w:val="009C69E8"/>
    <w:rsid w:val="00A03B58"/>
    <w:rsid w:val="00A95B13"/>
    <w:rsid w:val="00AB36D0"/>
    <w:rsid w:val="00AC3A77"/>
    <w:rsid w:val="00AD012C"/>
    <w:rsid w:val="00B24A35"/>
    <w:rsid w:val="00B32B77"/>
    <w:rsid w:val="00B34920"/>
    <w:rsid w:val="00B702EE"/>
    <w:rsid w:val="00BE46B0"/>
    <w:rsid w:val="00CA601A"/>
    <w:rsid w:val="00CD7C30"/>
    <w:rsid w:val="00D15B31"/>
    <w:rsid w:val="00D3630B"/>
    <w:rsid w:val="00D369DA"/>
    <w:rsid w:val="00D42AA3"/>
    <w:rsid w:val="00D45893"/>
    <w:rsid w:val="00D82785"/>
    <w:rsid w:val="00D85971"/>
    <w:rsid w:val="00D92DA2"/>
    <w:rsid w:val="00D93C2D"/>
    <w:rsid w:val="00DB4824"/>
    <w:rsid w:val="00E93047"/>
    <w:rsid w:val="00EB109D"/>
    <w:rsid w:val="00F27A39"/>
    <w:rsid w:val="00F6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B32AA9"/>
  <w15:chartTrackingRefBased/>
  <w15:docId w15:val="{46AAB756-4B4B-4784-8453-4EDC1619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A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B6F65"/>
    <w:pPr>
      <w:ind w:left="720"/>
      <w:contextualSpacing/>
    </w:pPr>
  </w:style>
  <w:style w:type="paragraph" w:styleId="z-TopofForm">
    <w:name w:val="HTML Top of Form"/>
    <w:basedOn w:val="Normal"/>
    <w:next w:val="Normal"/>
    <w:link w:val="z-TopofFormChar"/>
    <w:hidden/>
    <w:uiPriority w:val="99"/>
    <w:semiHidden/>
    <w:unhideWhenUsed/>
    <w:rsid w:val="0081168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1168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D3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DA"/>
  </w:style>
  <w:style w:type="paragraph" w:styleId="Footer">
    <w:name w:val="footer"/>
    <w:basedOn w:val="Normal"/>
    <w:link w:val="FooterChar"/>
    <w:uiPriority w:val="99"/>
    <w:unhideWhenUsed/>
    <w:rsid w:val="00D3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DA"/>
  </w:style>
  <w:style w:type="character" w:styleId="Hyperlink">
    <w:name w:val="Hyperlink"/>
    <w:basedOn w:val="DefaultParagraphFont"/>
    <w:uiPriority w:val="99"/>
    <w:unhideWhenUsed/>
    <w:rsid w:val="00573211"/>
    <w:rPr>
      <w:color w:val="0563C1" w:themeColor="hyperlink"/>
      <w:u w:val="single"/>
    </w:rPr>
  </w:style>
  <w:style w:type="character" w:styleId="UnresolvedMention">
    <w:name w:val="Unresolved Mention"/>
    <w:basedOn w:val="DefaultParagraphFont"/>
    <w:uiPriority w:val="99"/>
    <w:semiHidden/>
    <w:unhideWhenUsed/>
    <w:rsid w:val="0057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12251">
      <w:bodyDiv w:val="1"/>
      <w:marLeft w:val="0"/>
      <w:marRight w:val="0"/>
      <w:marTop w:val="0"/>
      <w:marBottom w:val="0"/>
      <w:divBdr>
        <w:top w:val="none" w:sz="0" w:space="0" w:color="auto"/>
        <w:left w:val="none" w:sz="0" w:space="0" w:color="auto"/>
        <w:bottom w:val="none" w:sz="0" w:space="0" w:color="auto"/>
        <w:right w:val="none" w:sz="0" w:space="0" w:color="auto"/>
      </w:divBdr>
    </w:div>
    <w:div w:id="651180309">
      <w:bodyDiv w:val="1"/>
      <w:marLeft w:val="0"/>
      <w:marRight w:val="0"/>
      <w:marTop w:val="0"/>
      <w:marBottom w:val="0"/>
      <w:divBdr>
        <w:top w:val="none" w:sz="0" w:space="0" w:color="auto"/>
        <w:left w:val="none" w:sz="0" w:space="0" w:color="auto"/>
        <w:bottom w:val="none" w:sz="0" w:space="0" w:color="auto"/>
        <w:right w:val="none" w:sz="0" w:space="0" w:color="auto"/>
      </w:divBdr>
    </w:div>
    <w:div w:id="1118987963">
      <w:bodyDiv w:val="1"/>
      <w:marLeft w:val="0"/>
      <w:marRight w:val="0"/>
      <w:marTop w:val="0"/>
      <w:marBottom w:val="0"/>
      <w:divBdr>
        <w:top w:val="none" w:sz="0" w:space="0" w:color="auto"/>
        <w:left w:val="none" w:sz="0" w:space="0" w:color="auto"/>
        <w:bottom w:val="none" w:sz="0" w:space="0" w:color="auto"/>
        <w:right w:val="none" w:sz="0" w:space="0" w:color="auto"/>
      </w:divBdr>
    </w:div>
    <w:div w:id="1264457409">
      <w:bodyDiv w:val="1"/>
      <w:marLeft w:val="0"/>
      <w:marRight w:val="0"/>
      <w:marTop w:val="0"/>
      <w:marBottom w:val="0"/>
      <w:divBdr>
        <w:top w:val="none" w:sz="0" w:space="0" w:color="auto"/>
        <w:left w:val="none" w:sz="0" w:space="0" w:color="auto"/>
        <w:bottom w:val="none" w:sz="0" w:space="0" w:color="auto"/>
        <w:right w:val="none" w:sz="0" w:space="0" w:color="auto"/>
      </w:divBdr>
    </w:div>
    <w:div w:id="1505976209">
      <w:bodyDiv w:val="1"/>
      <w:marLeft w:val="0"/>
      <w:marRight w:val="0"/>
      <w:marTop w:val="0"/>
      <w:marBottom w:val="0"/>
      <w:divBdr>
        <w:top w:val="none" w:sz="0" w:space="0" w:color="auto"/>
        <w:left w:val="none" w:sz="0" w:space="0" w:color="auto"/>
        <w:bottom w:val="none" w:sz="0" w:space="0" w:color="auto"/>
        <w:right w:val="none" w:sz="0" w:space="0" w:color="auto"/>
      </w:divBdr>
    </w:div>
    <w:div w:id="1626156175">
      <w:bodyDiv w:val="1"/>
      <w:marLeft w:val="0"/>
      <w:marRight w:val="0"/>
      <w:marTop w:val="0"/>
      <w:marBottom w:val="0"/>
      <w:divBdr>
        <w:top w:val="none" w:sz="0" w:space="0" w:color="auto"/>
        <w:left w:val="none" w:sz="0" w:space="0" w:color="auto"/>
        <w:bottom w:val="none" w:sz="0" w:space="0" w:color="auto"/>
        <w:right w:val="none" w:sz="0" w:space="0" w:color="auto"/>
      </w:divBdr>
    </w:div>
    <w:div w:id="1880432368">
      <w:bodyDiv w:val="1"/>
      <w:marLeft w:val="0"/>
      <w:marRight w:val="0"/>
      <w:marTop w:val="0"/>
      <w:marBottom w:val="0"/>
      <w:divBdr>
        <w:top w:val="none" w:sz="0" w:space="0" w:color="auto"/>
        <w:left w:val="none" w:sz="0" w:space="0" w:color="auto"/>
        <w:bottom w:val="none" w:sz="0" w:space="0" w:color="auto"/>
        <w:right w:val="none" w:sz="0" w:space="0" w:color="auto"/>
      </w:divBdr>
    </w:div>
    <w:div w:id="1904753157">
      <w:bodyDiv w:val="1"/>
      <w:marLeft w:val="0"/>
      <w:marRight w:val="0"/>
      <w:marTop w:val="0"/>
      <w:marBottom w:val="0"/>
      <w:divBdr>
        <w:top w:val="none" w:sz="0" w:space="0" w:color="auto"/>
        <w:left w:val="none" w:sz="0" w:space="0" w:color="auto"/>
        <w:bottom w:val="none" w:sz="0" w:space="0" w:color="auto"/>
        <w:right w:val="none" w:sz="0" w:space="0" w:color="auto"/>
      </w:divBdr>
    </w:div>
    <w:div w:id="2060787132">
      <w:bodyDiv w:val="1"/>
      <w:marLeft w:val="0"/>
      <w:marRight w:val="0"/>
      <w:marTop w:val="0"/>
      <w:marBottom w:val="0"/>
      <w:divBdr>
        <w:top w:val="none" w:sz="0" w:space="0" w:color="auto"/>
        <w:left w:val="none" w:sz="0" w:space="0" w:color="auto"/>
        <w:bottom w:val="none" w:sz="0" w:space="0" w:color="auto"/>
        <w:right w:val="none" w:sz="0" w:space="0" w:color="auto"/>
      </w:divBdr>
      <w:divsChild>
        <w:div w:id="398093471">
          <w:marLeft w:val="0"/>
          <w:marRight w:val="0"/>
          <w:marTop w:val="0"/>
          <w:marBottom w:val="0"/>
          <w:divBdr>
            <w:top w:val="single" w:sz="2" w:space="0" w:color="D9D9E3"/>
            <w:left w:val="single" w:sz="2" w:space="0" w:color="D9D9E3"/>
            <w:bottom w:val="single" w:sz="2" w:space="0" w:color="D9D9E3"/>
            <w:right w:val="single" w:sz="2" w:space="0" w:color="D9D9E3"/>
          </w:divBdr>
          <w:divsChild>
            <w:div w:id="1569655512">
              <w:marLeft w:val="0"/>
              <w:marRight w:val="0"/>
              <w:marTop w:val="0"/>
              <w:marBottom w:val="0"/>
              <w:divBdr>
                <w:top w:val="single" w:sz="2" w:space="0" w:color="D9D9E3"/>
                <w:left w:val="single" w:sz="2" w:space="0" w:color="D9D9E3"/>
                <w:bottom w:val="single" w:sz="2" w:space="0" w:color="D9D9E3"/>
                <w:right w:val="single" w:sz="2" w:space="0" w:color="D9D9E3"/>
              </w:divBdr>
              <w:divsChild>
                <w:div w:id="163012927">
                  <w:marLeft w:val="0"/>
                  <w:marRight w:val="0"/>
                  <w:marTop w:val="0"/>
                  <w:marBottom w:val="0"/>
                  <w:divBdr>
                    <w:top w:val="single" w:sz="2" w:space="0" w:color="D9D9E3"/>
                    <w:left w:val="single" w:sz="2" w:space="0" w:color="D9D9E3"/>
                    <w:bottom w:val="single" w:sz="2" w:space="0" w:color="D9D9E3"/>
                    <w:right w:val="single" w:sz="2" w:space="0" w:color="D9D9E3"/>
                  </w:divBdr>
                  <w:divsChild>
                    <w:div w:id="1726219558">
                      <w:marLeft w:val="0"/>
                      <w:marRight w:val="0"/>
                      <w:marTop w:val="0"/>
                      <w:marBottom w:val="0"/>
                      <w:divBdr>
                        <w:top w:val="single" w:sz="2" w:space="0" w:color="D9D9E3"/>
                        <w:left w:val="single" w:sz="2" w:space="0" w:color="D9D9E3"/>
                        <w:bottom w:val="single" w:sz="2" w:space="0" w:color="D9D9E3"/>
                        <w:right w:val="single" w:sz="2" w:space="0" w:color="D9D9E3"/>
                      </w:divBdr>
                      <w:divsChild>
                        <w:div w:id="1394231754">
                          <w:marLeft w:val="0"/>
                          <w:marRight w:val="0"/>
                          <w:marTop w:val="0"/>
                          <w:marBottom w:val="0"/>
                          <w:divBdr>
                            <w:top w:val="single" w:sz="2" w:space="0" w:color="auto"/>
                            <w:left w:val="single" w:sz="2" w:space="0" w:color="auto"/>
                            <w:bottom w:val="single" w:sz="6" w:space="0" w:color="auto"/>
                            <w:right w:val="single" w:sz="2" w:space="0" w:color="auto"/>
                          </w:divBdr>
                          <w:divsChild>
                            <w:div w:id="89249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47508">
                                  <w:marLeft w:val="0"/>
                                  <w:marRight w:val="0"/>
                                  <w:marTop w:val="0"/>
                                  <w:marBottom w:val="0"/>
                                  <w:divBdr>
                                    <w:top w:val="single" w:sz="2" w:space="0" w:color="D9D9E3"/>
                                    <w:left w:val="single" w:sz="2" w:space="0" w:color="D9D9E3"/>
                                    <w:bottom w:val="single" w:sz="2" w:space="0" w:color="D9D9E3"/>
                                    <w:right w:val="single" w:sz="2" w:space="0" w:color="D9D9E3"/>
                                  </w:divBdr>
                                  <w:divsChild>
                                    <w:div w:id="262038672">
                                      <w:marLeft w:val="0"/>
                                      <w:marRight w:val="0"/>
                                      <w:marTop w:val="0"/>
                                      <w:marBottom w:val="0"/>
                                      <w:divBdr>
                                        <w:top w:val="single" w:sz="2" w:space="0" w:color="D9D9E3"/>
                                        <w:left w:val="single" w:sz="2" w:space="0" w:color="D9D9E3"/>
                                        <w:bottom w:val="single" w:sz="2" w:space="0" w:color="D9D9E3"/>
                                        <w:right w:val="single" w:sz="2" w:space="0" w:color="D9D9E3"/>
                                      </w:divBdr>
                                      <w:divsChild>
                                        <w:div w:id="552425675">
                                          <w:marLeft w:val="0"/>
                                          <w:marRight w:val="0"/>
                                          <w:marTop w:val="0"/>
                                          <w:marBottom w:val="0"/>
                                          <w:divBdr>
                                            <w:top w:val="single" w:sz="2" w:space="0" w:color="D9D9E3"/>
                                            <w:left w:val="single" w:sz="2" w:space="0" w:color="D9D9E3"/>
                                            <w:bottom w:val="single" w:sz="2" w:space="0" w:color="D9D9E3"/>
                                            <w:right w:val="single" w:sz="2" w:space="0" w:color="D9D9E3"/>
                                          </w:divBdr>
                                          <w:divsChild>
                                            <w:div w:id="825901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33662898">
          <w:marLeft w:val="0"/>
          <w:marRight w:val="0"/>
          <w:marTop w:val="0"/>
          <w:marBottom w:val="0"/>
          <w:divBdr>
            <w:top w:val="none" w:sz="0" w:space="0" w:color="auto"/>
            <w:left w:val="none" w:sz="0" w:space="0" w:color="auto"/>
            <w:bottom w:val="none" w:sz="0" w:space="0" w:color="auto"/>
            <w:right w:val="none" w:sz="0" w:space="0" w:color="auto"/>
          </w:divBdr>
        </w:div>
      </w:divsChild>
    </w:div>
    <w:div w:id="2123913105">
      <w:bodyDiv w:val="1"/>
      <w:marLeft w:val="0"/>
      <w:marRight w:val="0"/>
      <w:marTop w:val="0"/>
      <w:marBottom w:val="0"/>
      <w:divBdr>
        <w:top w:val="none" w:sz="0" w:space="0" w:color="auto"/>
        <w:left w:val="none" w:sz="0" w:space="0" w:color="auto"/>
        <w:bottom w:val="none" w:sz="0" w:space="0" w:color="auto"/>
        <w:right w:val="none" w:sz="0" w:space="0" w:color="auto"/>
      </w:divBdr>
    </w:div>
    <w:div w:id="21258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4555</Words>
  <Characters>25968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Oladipupo</dc:creator>
  <cp:keywords/>
  <dc:description/>
  <cp:lastModifiedBy>SDI 1084</cp:lastModifiedBy>
  <cp:revision>4</cp:revision>
  <dcterms:created xsi:type="dcterms:W3CDTF">2025-08-10T01:44:00Z</dcterms:created>
  <dcterms:modified xsi:type="dcterms:W3CDTF">2025-08-12T06:51:00Z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345fc225-befd-4c57-9544-3e4cfbcb6638</vt:lpwstr>
  </property>
</Properties>
</file>