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54F0" w14:textId="14D1D649" w:rsidR="004F4AE5" w:rsidRDefault="004F4AE5" w:rsidP="009C100F">
      <w:pPr>
        <w:spacing w:line="480" w:lineRule="auto"/>
        <w:jc w:val="center"/>
        <w:rPr>
          <w:rFonts w:ascii="Times New Roman" w:hAnsi="Times New Roman" w:cs="Times New Roman"/>
          <w:b/>
          <w:bCs/>
        </w:rPr>
      </w:pPr>
      <w:r w:rsidRPr="00E633D7">
        <w:rPr>
          <w:rFonts w:ascii="Times New Roman" w:hAnsi="Times New Roman" w:cs="Times New Roman"/>
          <w:b/>
          <w:bCs/>
        </w:rPr>
        <w:t>Effect of Gendered Education Investment on Economic Growth in Nigeria</w:t>
      </w:r>
    </w:p>
    <w:p w14:paraId="46F9454D" w14:textId="77777777" w:rsidR="00A122F1" w:rsidRDefault="00A122F1" w:rsidP="004F4AE5">
      <w:pPr>
        <w:spacing w:after="0" w:line="480" w:lineRule="auto"/>
        <w:jc w:val="center"/>
        <w:rPr>
          <w:rFonts w:ascii="Times New Roman" w:hAnsi="Times New Roman" w:cs="Times New Roman"/>
          <w:b/>
          <w:bCs/>
        </w:rPr>
      </w:pPr>
    </w:p>
    <w:p w14:paraId="77123514" w14:textId="026710B9" w:rsidR="004F4AE5" w:rsidRDefault="004F4AE5" w:rsidP="004F4AE5">
      <w:pPr>
        <w:spacing w:after="0" w:line="480" w:lineRule="auto"/>
        <w:jc w:val="center"/>
        <w:rPr>
          <w:rFonts w:ascii="Times New Roman" w:hAnsi="Times New Roman" w:cs="Times New Roman"/>
          <w:b/>
          <w:bCs/>
        </w:rPr>
      </w:pPr>
      <w:bookmarkStart w:id="0" w:name="_GoBack"/>
      <w:bookmarkEnd w:id="0"/>
      <w:r>
        <w:rPr>
          <w:rFonts w:ascii="Times New Roman" w:hAnsi="Times New Roman" w:cs="Times New Roman"/>
          <w:b/>
          <w:bCs/>
        </w:rPr>
        <w:t>Abstract</w:t>
      </w:r>
    </w:p>
    <w:p w14:paraId="108B408C" w14:textId="1DF23218" w:rsidR="004F4AE5" w:rsidRDefault="004F4AE5" w:rsidP="004F4AE5">
      <w:pPr>
        <w:spacing w:line="240" w:lineRule="auto"/>
        <w:jc w:val="both"/>
        <w:rPr>
          <w:rFonts w:ascii="Times New Roman" w:hAnsi="Times New Roman" w:cs="Times New Roman"/>
          <w:sz w:val="20"/>
          <w:szCs w:val="20"/>
        </w:rPr>
      </w:pPr>
      <w:r w:rsidRPr="00CA0808">
        <w:rPr>
          <w:rFonts w:ascii="Times New Roman" w:hAnsi="Times New Roman" w:cs="Times New Roman"/>
          <w:sz w:val="20"/>
          <w:szCs w:val="20"/>
        </w:rPr>
        <w:t xml:space="preserve">This study investigates the impact of gendered education investment on economic growth in Nigeria. Annual data spanning from 1990 to 2023 were sourced from the </w:t>
      </w:r>
      <w:r>
        <w:rPr>
          <w:rFonts w:ascii="Times New Roman" w:hAnsi="Times New Roman" w:cs="Times New Roman"/>
          <w:sz w:val="20"/>
          <w:szCs w:val="20"/>
        </w:rPr>
        <w:t xml:space="preserve">WDI </w:t>
      </w:r>
      <w:r w:rsidRPr="00CA0808">
        <w:rPr>
          <w:rFonts w:ascii="Times New Roman" w:hAnsi="Times New Roman" w:cs="Times New Roman"/>
          <w:sz w:val="20"/>
          <w:szCs w:val="20"/>
        </w:rPr>
        <w:t>and the Central Bank of Nigeria. Real GDP per capita is employed as the dependent variable, while the independent variables include government expenditure on education, female secondary school enrolment, and the Gender Parity Index (GPI) for primary school enrolment. The methodological framework comprises descriptive statistics, unit root testing, bounds cointegration analysis,</w:t>
      </w:r>
      <w:r>
        <w:rPr>
          <w:rFonts w:ascii="Times New Roman" w:hAnsi="Times New Roman" w:cs="Times New Roman"/>
          <w:sz w:val="20"/>
          <w:szCs w:val="20"/>
        </w:rPr>
        <w:t xml:space="preserve"> residual diagnostics tests</w:t>
      </w:r>
      <w:r w:rsidRPr="00CA0808">
        <w:rPr>
          <w:rFonts w:ascii="Times New Roman" w:hAnsi="Times New Roman" w:cs="Times New Roman"/>
          <w:sz w:val="20"/>
          <w:szCs w:val="20"/>
        </w:rPr>
        <w:t xml:space="preserve"> and the Autoregressive Distributed Lag (ARDL) estimation technique. The Augmented Dickey-Fuller (ADF) unit root test reveals a mixed order of integration comprising both </w:t>
      </w:r>
      <w:proofErr w:type="gramStart"/>
      <w:r w:rsidRPr="00CA0808">
        <w:rPr>
          <w:rFonts w:ascii="Times New Roman" w:hAnsi="Times New Roman" w:cs="Times New Roman"/>
          <w:sz w:val="20"/>
          <w:szCs w:val="20"/>
        </w:rPr>
        <w:t>I(</w:t>
      </w:r>
      <w:proofErr w:type="gramEnd"/>
      <w:r w:rsidRPr="00CA0808">
        <w:rPr>
          <w:rFonts w:ascii="Times New Roman" w:hAnsi="Times New Roman" w:cs="Times New Roman"/>
          <w:sz w:val="20"/>
          <w:szCs w:val="20"/>
        </w:rPr>
        <w:t xml:space="preserve">0) and I(1) series, justifying the use of the ARDL model. Cointegration analysis confirms the existence of a long-run equilibrium relationship among the variables. The ARDL long-run estimates indicate that both government expenditure on education and female secondary school enrolment exert a positive and statistically significant effect on real GDP per capita. Conversely, the Gender Parity Index (GPI) for primary school enrolment exhibits a negative and statistically significant long-run effect on real GDP per capita. In light of these findings, the study recommends that the Nigerian government should institutionalize a long-term education financing framework. This should prioritize consistent, accountable, and outcome-driven investments to ensure that educational </w:t>
      </w:r>
      <w:r>
        <w:rPr>
          <w:rFonts w:ascii="Times New Roman" w:hAnsi="Times New Roman" w:cs="Times New Roman"/>
          <w:sz w:val="20"/>
          <w:szCs w:val="20"/>
        </w:rPr>
        <w:t>expenditure</w:t>
      </w:r>
      <w:r w:rsidRPr="00CA0808">
        <w:rPr>
          <w:rFonts w:ascii="Times New Roman" w:hAnsi="Times New Roman" w:cs="Times New Roman"/>
          <w:sz w:val="20"/>
          <w:szCs w:val="20"/>
        </w:rPr>
        <w:t xml:space="preserve"> translates into sustainable economic growth. Additionally, </w:t>
      </w:r>
      <w:r>
        <w:rPr>
          <w:rFonts w:ascii="Times New Roman" w:hAnsi="Times New Roman" w:cs="Times New Roman"/>
          <w:sz w:val="20"/>
          <w:szCs w:val="20"/>
        </w:rPr>
        <w:t xml:space="preserve">the </w:t>
      </w:r>
      <w:r w:rsidRPr="009F4D37">
        <w:rPr>
          <w:rFonts w:ascii="Times New Roman" w:hAnsi="Times New Roman" w:cs="Times New Roman"/>
          <w:sz w:val="20"/>
          <w:szCs w:val="20"/>
        </w:rPr>
        <w:t>government should re-evaluate gender-targeted interventions at the primary level to ensure they are not only inclusive but also effective in improving learning outcomes and long-term economic contributions</w:t>
      </w:r>
      <w:r>
        <w:rPr>
          <w:rFonts w:ascii="Times New Roman" w:hAnsi="Times New Roman" w:cs="Times New Roman"/>
          <w:sz w:val="20"/>
          <w:szCs w:val="20"/>
        </w:rPr>
        <w:t>.</w:t>
      </w:r>
    </w:p>
    <w:p w14:paraId="68188FAE" w14:textId="01912CFD" w:rsidR="004F4AE5" w:rsidRDefault="004F4AE5" w:rsidP="004F4AE5">
      <w:pPr>
        <w:spacing w:line="240" w:lineRule="auto"/>
        <w:jc w:val="both"/>
        <w:rPr>
          <w:rFonts w:ascii="Times New Roman" w:hAnsi="Times New Roman" w:cs="Times New Roman"/>
          <w:sz w:val="20"/>
          <w:szCs w:val="20"/>
        </w:rPr>
      </w:pPr>
      <w:r w:rsidRPr="008A30F3">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CA0808">
        <w:rPr>
          <w:rFonts w:ascii="Times New Roman" w:hAnsi="Times New Roman" w:cs="Times New Roman"/>
          <w:sz w:val="20"/>
          <w:szCs w:val="20"/>
        </w:rPr>
        <w:t>Real GDP per capita</w:t>
      </w:r>
      <w:r>
        <w:rPr>
          <w:rFonts w:ascii="Times New Roman" w:hAnsi="Times New Roman" w:cs="Times New Roman"/>
          <w:sz w:val="20"/>
          <w:szCs w:val="20"/>
        </w:rPr>
        <w:t xml:space="preserve">, </w:t>
      </w:r>
      <w:r w:rsidRPr="00CA0808">
        <w:rPr>
          <w:rFonts w:ascii="Times New Roman" w:hAnsi="Times New Roman" w:cs="Times New Roman"/>
          <w:sz w:val="20"/>
          <w:szCs w:val="20"/>
        </w:rPr>
        <w:t>Gender Parity Index (GPI) for primary school enrolment</w:t>
      </w:r>
      <w:r>
        <w:rPr>
          <w:rFonts w:ascii="Times New Roman" w:hAnsi="Times New Roman" w:cs="Times New Roman"/>
          <w:sz w:val="20"/>
          <w:szCs w:val="20"/>
        </w:rPr>
        <w:t xml:space="preserve">, </w:t>
      </w:r>
      <w:r w:rsidRPr="00CA0808">
        <w:rPr>
          <w:rFonts w:ascii="Times New Roman" w:hAnsi="Times New Roman" w:cs="Times New Roman"/>
          <w:sz w:val="20"/>
          <w:szCs w:val="20"/>
        </w:rPr>
        <w:t>female secondary school enrolment</w:t>
      </w:r>
      <w:r>
        <w:rPr>
          <w:rFonts w:ascii="Times New Roman" w:hAnsi="Times New Roman" w:cs="Times New Roman"/>
          <w:sz w:val="20"/>
          <w:szCs w:val="20"/>
        </w:rPr>
        <w:t xml:space="preserve">, </w:t>
      </w:r>
      <w:r w:rsidRPr="00C4461B">
        <w:rPr>
          <w:rFonts w:ascii="Times New Roman" w:hAnsi="Times New Roman" w:cs="Times New Roman"/>
          <w:sz w:val="20"/>
          <w:szCs w:val="20"/>
        </w:rPr>
        <w:t>Gendered Education Investment</w:t>
      </w:r>
      <w:r>
        <w:rPr>
          <w:rFonts w:ascii="Times New Roman" w:hAnsi="Times New Roman" w:cs="Times New Roman"/>
          <w:sz w:val="20"/>
          <w:szCs w:val="20"/>
        </w:rPr>
        <w:t>, and economic growth.</w:t>
      </w:r>
    </w:p>
    <w:p w14:paraId="62E90534" w14:textId="77777777" w:rsidR="00832003" w:rsidRDefault="00832003" w:rsidP="004F4AE5">
      <w:pPr>
        <w:spacing w:line="240" w:lineRule="auto"/>
        <w:jc w:val="both"/>
        <w:rPr>
          <w:rFonts w:ascii="Times New Roman" w:hAnsi="Times New Roman" w:cs="Times New Roman"/>
          <w:sz w:val="20"/>
          <w:szCs w:val="20"/>
        </w:rPr>
      </w:pPr>
    </w:p>
    <w:p w14:paraId="5A29AA22" w14:textId="77777777" w:rsidR="00832003" w:rsidRDefault="00832003" w:rsidP="009A745E">
      <w:pPr>
        <w:spacing w:line="480" w:lineRule="auto"/>
        <w:jc w:val="both"/>
        <w:rPr>
          <w:rFonts w:ascii="Times New Roman" w:hAnsi="Times New Roman" w:cs="Times New Roman"/>
          <w:b/>
          <w:bCs/>
        </w:rPr>
      </w:pPr>
      <w:r>
        <w:rPr>
          <w:rFonts w:ascii="Times New Roman" w:hAnsi="Times New Roman" w:cs="Times New Roman"/>
          <w:b/>
          <w:bCs/>
        </w:rPr>
        <w:t>1 Introduction</w:t>
      </w:r>
    </w:p>
    <w:p w14:paraId="0B70C38E" w14:textId="77777777" w:rsidR="00832003" w:rsidRPr="00E81168" w:rsidRDefault="00832003" w:rsidP="009A745E">
      <w:pPr>
        <w:spacing w:line="480" w:lineRule="auto"/>
        <w:jc w:val="both"/>
        <w:rPr>
          <w:rFonts w:ascii="Times New Roman" w:hAnsi="Times New Roman" w:cs="Times New Roman"/>
          <w:b/>
          <w:bCs/>
        </w:rPr>
      </w:pPr>
      <w:r w:rsidRPr="00E81168">
        <w:rPr>
          <w:rFonts w:ascii="Times New Roman" w:hAnsi="Times New Roman" w:cs="Times New Roman"/>
          <w:b/>
          <w:bCs/>
        </w:rPr>
        <w:t>Background to the study</w:t>
      </w:r>
    </w:p>
    <w:p w14:paraId="000AD2F7" w14:textId="1AA2B1B6" w:rsidR="00832003" w:rsidRPr="00130B96" w:rsidRDefault="00832003" w:rsidP="009A745E">
      <w:pPr>
        <w:spacing w:line="480" w:lineRule="auto"/>
        <w:ind w:right="90"/>
        <w:jc w:val="both"/>
        <w:rPr>
          <w:rFonts w:ascii="Times New Roman" w:eastAsia="Times New Roman" w:hAnsi="Times New Roman" w:cs="Times New Roman"/>
        </w:rPr>
      </w:pPr>
      <w:r w:rsidRPr="00130B96">
        <w:rPr>
          <w:rFonts w:ascii="Times New Roman" w:eastAsia="Times New Roman" w:hAnsi="Times New Roman" w:cs="Times New Roman"/>
        </w:rPr>
        <w:t>Education is universally acknowledged as a cornerstone of economic development, productivity, and inclusive growth. Within this framework, gendered education investment, particularly in favour of female inclusion, has emerged as a strategic imperative in fostering sustainable development in low and middle-income countries. According to</w:t>
      </w:r>
      <w:r w:rsidRPr="00263BAB">
        <w:t xml:space="preserve"> </w:t>
      </w:r>
      <w:r w:rsidRPr="00263BAB">
        <w:rPr>
          <w:rFonts w:ascii="Times New Roman" w:eastAsia="Times New Roman" w:hAnsi="Times New Roman" w:cs="Times New Roman"/>
        </w:rPr>
        <w:t xml:space="preserve">Jorgenson </w:t>
      </w:r>
      <w:r>
        <w:rPr>
          <w:rFonts w:ascii="Times New Roman" w:eastAsia="Times New Roman" w:hAnsi="Times New Roman" w:cs="Times New Roman"/>
        </w:rPr>
        <w:t>and</w:t>
      </w:r>
      <w:r w:rsidRPr="00263BAB">
        <w:rPr>
          <w:rFonts w:ascii="Times New Roman" w:eastAsia="Times New Roman" w:hAnsi="Times New Roman" w:cs="Times New Roman"/>
        </w:rPr>
        <w:t xml:space="preserve"> Fraumeni </w:t>
      </w:r>
      <w:r w:rsidR="00090DA0">
        <w:rPr>
          <w:rFonts w:ascii="Times New Roman" w:eastAsia="Times New Roman" w:hAnsi="Times New Roman" w:cs="Times New Roman"/>
        </w:rPr>
        <w:t>[1]</w:t>
      </w:r>
      <w:r>
        <w:rPr>
          <w:rFonts w:ascii="Times New Roman" w:eastAsia="Times New Roman" w:hAnsi="Times New Roman" w:cs="Times New Roman"/>
        </w:rPr>
        <w:t xml:space="preserve">, </w:t>
      </w:r>
      <w:r w:rsidRPr="00130B96">
        <w:rPr>
          <w:rFonts w:ascii="Times New Roman" w:eastAsia="Times New Roman" w:hAnsi="Times New Roman" w:cs="Times New Roman"/>
        </w:rPr>
        <w:t>human capital accumulation</w:t>
      </w:r>
      <w:r>
        <w:rPr>
          <w:rFonts w:ascii="Times New Roman" w:eastAsia="Times New Roman" w:hAnsi="Times New Roman" w:cs="Times New Roman"/>
        </w:rPr>
        <w:t xml:space="preserve">, </w:t>
      </w:r>
      <w:r w:rsidRPr="00130B96">
        <w:rPr>
          <w:rFonts w:ascii="Times New Roman" w:eastAsia="Times New Roman" w:hAnsi="Times New Roman" w:cs="Times New Roman"/>
        </w:rPr>
        <w:t>through investments in education</w:t>
      </w:r>
      <w:r>
        <w:rPr>
          <w:rFonts w:ascii="Times New Roman" w:eastAsia="Times New Roman" w:hAnsi="Times New Roman" w:cs="Times New Roman"/>
        </w:rPr>
        <w:t xml:space="preserve">, </w:t>
      </w:r>
      <w:r w:rsidRPr="00130B96">
        <w:rPr>
          <w:rFonts w:ascii="Times New Roman" w:eastAsia="Times New Roman" w:hAnsi="Times New Roman" w:cs="Times New Roman"/>
        </w:rPr>
        <w:t>is central to long-term economic growth. In countries like Nigeria, where gender disparities in education persist, the macroeconomic consequences are both structural and profound.</w:t>
      </w:r>
    </w:p>
    <w:p w14:paraId="3A4BFFEF" w14:textId="13C373FE" w:rsidR="00832003" w:rsidRPr="00130B96" w:rsidRDefault="00832003" w:rsidP="00832003">
      <w:pPr>
        <w:spacing w:line="480" w:lineRule="auto"/>
        <w:ind w:right="90"/>
        <w:jc w:val="both"/>
        <w:rPr>
          <w:rFonts w:ascii="Times New Roman" w:eastAsia="Times New Roman" w:hAnsi="Times New Roman" w:cs="Times New Roman"/>
        </w:rPr>
      </w:pPr>
      <w:r w:rsidRPr="00130B96">
        <w:rPr>
          <w:rFonts w:ascii="Times New Roman" w:eastAsia="Times New Roman" w:hAnsi="Times New Roman" w:cs="Times New Roman"/>
        </w:rPr>
        <w:t>Nigeria, Africa’s most populous country and largest economy, continues to struggle with educational inequalities that significantly disadvantage females. As of 20</w:t>
      </w:r>
      <w:r>
        <w:rPr>
          <w:rFonts w:ascii="Times New Roman" w:eastAsia="Times New Roman" w:hAnsi="Times New Roman" w:cs="Times New Roman"/>
        </w:rPr>
        <w:t>21</w:t>
      </w:r>
      <w:r w:rsidRPr="00130B96">
        <w:rPr>
          <w:rFonts w:ascii="Times New Roman" w:eastAsia="Times New Roman" w:hAnsi="Times New Roman" w:cs="Times New Roman"/>
        </w:rPr>
        <w:t xml:space="preserve">, the female </w:t>
      </w:r>
      <w:r>
        <w:rPr>
          <w:rFonts w:ascii="Times New Roman" w:eastAsia="Times New Roman" w:hAnsi="Times New Roman" w:cs="Times New Roman"/>
        </w:rPr>
        <w:t>literacy rate</w:t>
      </w:r>
      <w:r w:rsidRPr="00130B96">
        <w:rPr>
          <w:rFonts w:ascii="Times New Roman" w:eastAsia="Times New Roman" w:hAnsi="Times New Roman" w:cs="Times New Roman"/>
        </w:rPr>
        <w:t xml:space="preserve"> was estimated at </w:t>
      </w:r>
      <w:r>
        <w:rPr>
          <w:rFonts w:ascii="Times New Roman" w:eastAsia="Times New Roman" w:hAnsi="Times New Roman" w:cs="Times New Roman"/>
        </w:rPr>
        <w:t>53</w:t>
      </w:r>
      <w:r w:rsidRPr="00130B96">
        <w:rPr>
          <w:rFonts w:ascii="Times New Roman" w:eastAsia="Times New Roman" w:hAnsi="Times New Roman" w:cs="Times New Roman"/>
        </w:rPr>
        <w:t xml:space="preserve">%, compared to </w:t>
      </w:r>
      <w:r>
        <w:rPr>
          <w:rFonts w:ascii="Times New Roman" w:eastAsia="Times New Roman" w:hAnsi="Times New Roman" w:cs="Times New Roman"/>
        </w:rPr>
        <w:t>74</w:t>
      </w:r>
      <w:r w:rsidRPr="00130B96">
        <w:rPr>
          <w:rFonts w:ascii="Times New Roman" w:eastAsia="Times New Roman" w:hAnsi="Times New Roman" w:cs="Times New Roman"/>
        </w:rPr>
        <w:t xml:space="preserve">% for males </w:t>
      </w:r>
      <w:r>
        <w:rPr>
          <w:rFonts w:ascii="Times New Roman" w:eastAsia="Times New Roman" w:hAnsi="Times New Roman" w:cs="Times New Roman"/>
        </w:rPr>
        <w:t>World Bank</w:t>
      </w:r>
      <w:r w:rsidRPr="00130B96">
        <w:rPr>
          <w:rFonts w:ascii="Times New Roman" w:eastAsia="Times New Roman" w:hAnsi="Times New Roman" w:cs="Times New Roman"/>
        </w:rPr>
        <w:t xml:space="preserve"> </w:t>
      </w:r>
      <w:r w:rsidR="00C72A86">
        <w:rPr>
          <w:rFonts w:ascii="Times New Roman" w:eastAsia="Times New Roman" w:hAnsi="Times New Roman" w:cs="Times New Roman"/>
        </w:rPr>
        <w:t>[2]</w:t>
      </w:r>
      <w:r w:rsidRPr="00130B96">
        <w:rPr>
          <w:rFonts w:ascii="Times New Roman" w:eastAsia="Times New Roman" w:hAnsi="Times New Roman" w:cs="Times New Roman"/>
        </w:rPr>
        <w:t xml:space="preserve">. This disparity </w:t>
      </w:r>
      <w:r w:rsidRPr="00130B96">
        <w:rPr>
          <w:rFonts w:ascii="Times New Roman" w:eastAsia="Times New Roman" w:hAnsi="Times New Roman" w:cs="Times New Roman"/>
        </w:rPr>
        <w:lastRenderedPageBreak/>
        <w:t xml:space="preserve">is even more pronounced in </w:t>
      </w:r>
      <w:bookmarkStart w:id="1" w:name="_Hlk204064969"/>
      <w:r>
        <w:rPr>
          <w:rFonts w:ascii="Times New Roman" w:eastAsia="Times New Roman" w:hAnsi="Times New Roman" w:cs="Times New Roman"/>
        </w:rPr>
        <w:t>N</w:t>
      </w:r>
      <w:r w:rsidRPr="00130B96">
        <w:rPr>
          <w:rFonts w:ascii="Times New Roman" w:eastAsia="Times New Roman" w:hAnsi="Times New Roman" w:cs="Times New Roman"/>
        </w:rPr>
        <w:t xml:space="preserve">orthern Nigeria, where </w:t>
      </w:r>
      <w:r>
        <w:rPr>
          <w:rFonts w:ascii="Times New Roman" w:eastAsia="Times New Roman" w:hAnsi="Times New Roman" w:cs="Times New Roman"/>
        </w:rPr>
        <w:t>e</w:t>
      </w:r>
      <w:r w:rsidRPr="0053047F">
        <w:rPr>
          <w:rFonts w:ascii="Times New Roman" w:eastAsia="Times New Roman" w:hAnsi="Times New Roman" w:cs="Times New Roman"/>
        </w:rPr>
        <w:t xml:space="preserve">arly marriage, gender discrimination, poverty, and religious beliefs are major barriers to girls' enrolment and retention in schools </w:t>
      </w:r>
      <w:r w:rsidR="00393F59">
        <w:rPr>
          <w:rFonts w:ascii="Times New Roman" w:eastAsia="Times New Roman" w:hAnsi="Times New Roman" w:cs="Times New Roman"/>
        </w:rPr>
        <w:t>[3,4]</w:t>
      </w:r>
      <w:r w:rsidRPr="00130B96">
        <w:rPr>
          <w:rFonts w:ascii="Times New Roman" w:eastAsia="Times New Roman" w:hAnsi="Times New Roman" w:cs="Times New Roman"/>
        </w:rPr>
        <w:t xml:space="preserve">. </w:t>
      </w:r>
      <w:bookmarkEnd w:id="1"/>
      <w:r w:rsidRPr="00130B96">
        <w:rPr>
          <w:rFonts w:ascii="Times New Roman" w:eastAsia="Times New Roman" w:hAnsi="Times New Roman" w:cs="Times New Roman"/>
        </w:rPr>
        <w:t xml:space="preserve">Moreover, the Gender Parity Index (GPI) for primary school enrolment stood at </w:t>
      </w:r>
      <w:r>
        <w:rPr>
          <w:rFonts w:ascii="Times New Roman" w:eastAsia="Times New Roman" w:hAnsi="Times New Roman" w:cs="Times New Roman"/>
        </w:rPr>
        <w:t>1.01</w:t>
      </w:r>
      <w:r w:rsidRPr="00130B96">
        <w:rPr>
          <w:rFonts w:ascii="Times New Roman" w:eastAsia="Times New Roman" w:hAnsi="Times New Roman" w:cs="Times New Roman"/>
        </w:rPr>
        <w:t xml:space="preserve"> in 20</w:t>
      </w:r>
      <w:r>
        <w:rPr>
          <w:rFonts w:ascii="Times New Roman" w:eastAsia="Times New Roman" w:hAnsi="Times New Roman" w:cs="Times New Roman"/>
        </w:rPr>
        <w:t>19</w:t>
      </w:r>
      <w:r w:rsidRPr="00130B96">
        <w:rPr>
          <w:rFonts w:ascii="Times New Roman" w:eastAsia="Times New Roman" w:hAnsi="Times New Roman" w:cs="Times New Roman"/>
        </w:rPr>
        <w:t xml:space="preserve">, indicating a substantial gender imbalance in </w:t>
      </w:r>
      <w:r>
        <w:rPr>
          <w:rFonts w:ascii="Times New Roman" w:eastAsia="Times New Roman" w:hAnsi="Times New Roman" w:cs="Times New Roman"/>
        </w:rPr>
        <w:t>favour</w:t>
      </w:r>
      <w:r w:rsidRPr="00130B96">
        <w:rPr>
          <w:rFonts w:ascii="Times New Roman" w:eastAsia="Times New Roman" w:hAnsi="Times New Roman" w:cs="Times New Roman"/>
        </w:rPr>
        <w:t xml:space="preserve"> of boys </w:t>
      </w:r>
      <w:r w:rsidR="008158F1">
        <w:rPr>
          <w:rFonts w:ascii="Times New Roman" w:eastAsia="Times New Roman" w:hAnsi="Times New Roman" w:cs="Times New Roman"/>
        </w:rPr>
        <w:t>[5]</w:t>
      </w:r>
      <w:r w:rsidR="00F62079">
        <w:rPr>
          <w:rFonts w:ascii="Times New Roman" w:eastAsia="Times New Roman" w:hAnsi="Times New Roman" w:cs="Times New Roman"/>
        </w:rPr>
        <w:t>.</w:t>
      </w:r>
      <w:r w:rsidRPr="00130B96">
        <w:rPr>
          <w:rFonts w:ascii="Times New Roman" w:eastAsia="Times New Roman" w:hAnsi="Times New Roman" w:cs="Times New Roman"/>
        </w:rPr>
        <w:t xml:space="preserve"> This gap restricts the pipeline of female human capital into the economy and impedes inclusive development.</w:t>
      </w:r>
    </w:p>
    <w:p w14:paraId="21D2E646" w14:textId="736C5BFF" w:rsidR="005B7237" w:rsidRPr="00130B96" w:rsidRDefault="00832003" w:rsidP="00832003">
      <w:pPr>
        <w:spacing w:line="480" w:lineRule="auto"/>
        <w:ind w:right="90"/>
        <w:jc w:val="both"/>
        <w:rPr>
          <w:rFonts w:ascii="Times New Roman" w:eastAsia="Times New Roman" w:hAnsi="Times New Roman" w:cs="Times New Roman"/>
        </w:rPr>
      </w:pPr>
      <w:r w:rsidRPr="00130B96">
        <w:rPr>
          <w:rFonts w:ascii="Times New Roman" w:eastAsia="Times New Roman" w:hAnsi="Times New Roman" w:cs="Times New Roman"/>
        </w:rPr>
        <w:t xml:space="preserve">Government expenditure on education in Nigeria remains consistently below international benchmarks. While the United Nations Educational, Scientific and Cultural </w:t>
      </w:r>
      <w:r>
        <w:rPr>
          <w:rFonts w:ascii="Times New Roman" w:eastAsia="Times New Roman" w:hAnsi="Times New Roman" w:cs="Times New Roman"/>
        </w:rPr>
        <w:t>Organisation</w:t>
      </w:r>
      <w:r w:rsidRPr="00130B96">
        <w:rPr>
          <w:rFonts w:ascii="Times New Roman" w:eastAsia="Times New Roman" w:hAnsi="Times New Roman" w:cs="Times New Roman"/>
        </w:rPr>
        <w:t xml:space="preserve"> (UNESCO) recommends allocating at least 15</w:t>
      </w:r>
      <w:r>
        <w:rPr>
          <w:rFonts w:ascii="Times New Roman" w:eastAsia="Times New Roman" w:hAnsi="Times New Roman" w:cs="Times New Roman"/>
        </w:rPr>
        <w:t xml:space="preserve"> to </w:t>
      </w:r>
      <w:r w:rsidRPr="00130B96">
        <w:rPr>
          <w:rFonts w:ascii="Times New Roman" w:eastAsia="Times New Roman" w:hAnsi="Times New Roman" w:cs="Times New Roman"/>
        </w:rPr>
        <w:t xml:space="preserve">20% of national budgets to education, Nigeria allocated only </w:t>
      </w:r>
      <w:r>
        <w:rPr>
          <w:rFonts w:ascii="Times New Roman" w:eastAsia="Times New Roman" w:hAnsi="Times New Roman" w:cs="Times New Roman"/>
        </w:rPr>
        <w:t>4.31</w:t>
      </w:r>
      <w:r w:rsidRPr="00130B96">
        <w:rPr>
          <w:rFonts w:ascii="Times New Roman" w:eastAsia="Times New Roman" w:hAnsi="Times New Roman" w:cs="Times New Roman"/>
        </w:rPr>
        <w:t xml:space="preserve">% in 2022 </w:t>
      </w:r>
      <w:r w:rsidR="00046B79">
        <w:rPr>
          <w:rFonts w:ascii="Times New Roman" w:eastAsia="Times New Roman" w:hAnsi="Times New Roman" w:cs="Times New Roman"/>
        </w:rPr>
        <w:t>[6].</w:t>
      </w:r>
      <w:r w:rsidRPr="00130B96">
        <w:rPr>
          <w:rFonts w:ascii="Times New Roman" w:eastAsia="Times New Roman" w:hAnsi="Times New Roman" w:cs="Times New Roman"/>
        </w:rPr>
        <w:t xml:space="preserve"> Such underinvestment undermines access, quality, and equity</w:t>
      </w:r>
      <w:r>
        <w:rPr>
          <w:rFonts w:ascii="Times New Roman" w:eastAsia="Times New Roman" w:hAnsi="Times New Roman" w:cs="Times New Roman"/>
        </w:rPr>
        <w:t xml:space="preserve"> </w:t>
      </w:r>
      <w:r w:rsidRPr="00130B96">
        <w:rPr>
          <w:rFonts w:ascii="Times New Roman" w:eastAsia="Times New Roman" w:hAnsi="Times New Roman" w:cs="Times New Roman"/>
        </w:rPr>
        <w:t xml:space="preserve">disproportionately affecting female education outcomes. </w:t>
      </w:r>
      <w:r w:rsidRPr="00967FE1">
        <w:rPr>
          <w:rFonts w:ascii="Times New Roman" w:eastAsia="Times New Roman" w:hAnsi="Times New Roman" w:cs="Times New Roman"/>
        </w:rPr>
        <w:t xml:space="preserve">Research consistently shows that gender inequality in education negatively impacts economic growth in developing countries. Multiple studies have found that increasing gender equality in education leads to higher GDP per capita </w:t>
      </w:r>
      <w:r w:rsidR="001D1616">
        <w:rPr>
          <w:rFonts w:ascii="Times New Roman" w:eastAsia="Times New Roman" w:hAnsi="Times New Roman" w:cs="Times New Roman"/>
        </w:rPr>
        <w:t>[</w:t>
      </w:r>
      <w:r w:rsidR="003244A1">
        <w:rPr>
          <w:rFonts w:ascii="Times New Roman" w:eastAsia="Times New Roman" w:hAnsi="Times New Roman" w:cs="Times New Roman"/>
        </w:rPr>
        <w:t>7,8,9,1</w:t>
      </w:r>
      <w:r w:rsidR="00BF260F">
        <w:rPr>
          <w:rFonts w:ascii="Times New Roman" w:eastAsia="Times New Roman" w:hAnsi="Times New Roman" w:cs="Times New Roman"/>
        </w:rPr>
        <w:t>0</w:t>
      </w:r>
      <w:r w:rsidR="003244A1">
        <w:rPr>
          <w:rFonts w:ascii="Times New Roman" w:eastAsia="Times New Roman" w:hAnsi="Times New Roman" w:cs="Times New Roman"/>
        </w:rPr>
        <w:t xml:space="preserve">]. </w:t>
      </w:r>
      <w:r w:rsidRPr="00967FE1">
        <w:rPr>
          <w:rFonts w:ascii="Times New Roman" w:eastAsia="Times New Roman" w:hAnsi="Times New Roman" w:cs="Times New Roman"/>
        </w:rPr>
        <w:t xml:space="preserve">For example, a 1% increase in the female-to-male educational attainment ratio is associated with a 0.848% increase in GDP per capita in Asian developing nations </w:t>
      </w:r>
      <w:r w:rsidR="00216DAC">
        <w:rPr>
          <w:rFonts w:ascii="Times New Roman" w:eastAsia="Times New Roman" w:hAnsi="Times New Roman" w:cs="Times New Roman"/>
        </w:rPr>
        <w:t>[8]</w:t>
      </w:r>
      <w:r w:rsidRPr="00130B96">
        <w:rPr>
          <w:rFonts w:ascii="Times New Roman" w:eastAsia="Times New Roman" w:hAnsi="Times New Roman" w:cs="Times New Roman"/>
        </w:rPr>
        <w:t>.</w:t>
      </w:r>
      <w:r>
        <w:rPr>
          <w:rFonts w:ascii="Times New Roman" w:eastAsia="Times New Roman" w:hAnsi="Times New Roman" w:cs="Times New Roman"/>
        </w:rPr>
        <w:t xml:space="preserve"> </w:t>
      </w:r>
      <w:bookmarkStart w:id="2" w:name="_Hlk204075661"/>
      <w:proofErr w:type="spellStart"/>
      <w:r w:rsidRPr="006433EF">
        <w:rPr>
          <w:rFonts w:ascii="Times New Roman" w:eastAsia="Times New Roman" w:hAnsi="Times New Roman" w:cs="Times New Roman"/>
        </w:rPr>
        <w:t>Sehar</w:t>
      </w:r>
      <w:proofErr w:type="spellEnd"/>
      <w:r w:rsidRPr="006433EF">
        <w:rPr>
          <w:rFonts w:ascii="Times New Roman" w:eastAsia="Times New Roman" w:hAnsi="Times New Roman" w:cs="Times New Roman"/>
        </w:rPr>
        <w:t xml:space="preserve"> et al. </w:t>
      </w:r>
      <w:r w:rsidR="00BF260F">
        <w:rPr>
          <w:rFonts w:ascii="Times New Roman" w:eastAsia="Times New Roman" w:hAnsi="Times New Roman" w:cs="Times New Roman"/>
        </w:rPr>
        <w:t>[11]</w:t>
      </w:r>
      <w:r w:rsidRPr="00130B96">
        <w:rPr>
          <w:rFonts w:ascii="Times New Roman" w:eastAsia="Times New Roman" w:hAnsi="Times New Roman" w:cs="Times New Roman"/>
        </w:rPr>
        <w:t xml:space="preserve"> </w:t>
      </w:r>
      <w:bookmarkEnd w:id="2"/>
      <w:r w:rsidRPr="00130B96">
        <w:rPr>
          <w:rFonts w:ascii="Times New Roman" w:eastAsia="Times New Roman" w:hAnsi="Times New Roman" w:cs="Times New Roman"/>
        </w:rPr>
        <w:t xml:space="preserve">empirically demonstrated that increasing female education contributes significantly to </w:t>
      </w:r>
      <w:r>
        <w:rPr>
          <w:rFonts w:ascii="Times New Roman" w:eastAsia="Times New Roman" w:hAnsi="Times New Roman" w:cs="Times New Roman"/>
        </w:rPr>
        <w:t xml:space="preserve">GDP </w:t>
      </w:r>
      <w:r w:rsidRPr="00130B96">
        <w:rPr>
          <w:rFonts w:ascii="Times New Roman" w:eastAsia="Times New Roman" w:hAnsi="Times New Roman" w:cs="Times New Roman"/>
        </w:rPr>
        <w:t>per capita.</w:t>
      </w:r>
    </w:p>
    <w:p w14:paraId="1F437EA7" w14:textId="77777777" w:rsidR="00832003" w:rsidRDefault="00832003" w:rsidP="00832003">
      <w:pPr>
        <w:spacing w:after="0" w:line="480" w:lineRule="auto"/>
        <w:ind w:right="90"/>
        <w:jc w:val="both"/>
        <w:rPr>
          <w:rFonts w:ascii="Times New Roman" w:hAnsi="Times New Roman" w:cs="Times New Roman"/>
          <w:b/>
          <w:bCs/>
        </w:rPr>
      </w:pPr>
      <w:r w:rsidRPr="00E81168">
        <w:rPr>
          <w:rFonts w:ascii="Times New Roman" w:hAnsi="Times New Roman" w:cs="Times New Roman"/>
          <w:b/>
          <w:bCs/>
        </w:rPr>
        <w:t>Statement of the Problem</w:t>
      </w:r>
    </w:p>
    <w:p w14:paraId="7B5E98CB" w14:textId="26C0CB86" w:rsidR="00832003" w:rsidRPr="001054CB" w:rsidRDefault="00832003" w:rsidP="00832003">
      <w:pPr>
        <w:spacing w:after="0" w:line="480" w:lineRule="auto"/>
        <w:ind w:right="90"/>
        <w:jc w:val="both"/>
        <w:rPr>
          <w:rFonts w:ascii="Times New Roman" w:hAnsi="Times New Roman" w:cs="Times New Roman"/>
        </w:rPr>
      </w:pPr>
      <w:r w:rsidRPr="001054CB">
        <w:rPr>
          <w:rFonts w:ascii="Times New Roman" w:hAnsi="Times New Roman" w:cs="Times New Roman"/>
        </w:rPr>
        <w:t>Despite decades of development planning, Nigeria continues to face chronic underperformance in human capital indices</w:t>
      </w:r>
      <w:r>
        <w:rPr>
          <w:rFonts w:ascii="Times New Roman" w:hAnsi="Times New Roman" w:cs="Times New Roman"/>
        </w:rPr>
        <w:t xml:space="preserve"> </w:t>
      </w:r>
      <w:r w:rsidRPr="001054CB">
        <w:rPr>
          <w:rFonts w:ascii="Times New Roman" w:hAnsi="Times New Roman" w:cs="Times New Roman"/>
        </w:rPr>
        <w:t xml:space="preserve">driven significantly by gender disparities in education. The disconnection between gendered educational investment and macroeconomic outcomes suggests structural inefficiencies and policy neglect. Although real GDP per capita grew at an annual average of only </w:t>
      </w:r>
      <w:r>
        <w:rPr>
          <w:rFonts w:ascii="Times New Roman" w:hAnsi="Times New Roman" w:cs="Times New Roman"/>
        </w:rPr>
        <w:t>0.7</w:t>
      </w:r>
      <w:r w:rsidRPr="001054CB">
        <w:rPr>
          <w:rFonts w:ascii="Times New Roman" w:hAnsi="Times New Roman" w:cs="Times New Roman"/>
        </w:rPr>
        <w:t>% between 2015 and 202</w:t>
      </w:r>
      <w:r>
        <w:rPr>
          <w:rFonts w:ascii="Times New Roman" w:hAnsi="Times New Roman" w:cs="Times New Roman"/>
        </w:rPr>
        <w:t>3</w:t>
      </w:r>
      <w:r w:rsidRPr="001054CB">
        <w:rPr>
          <w:rFonts w:ascii="Times New Roman" w:hAnsi="Times New Roman" w:cs="Times New Roman"/>
        </w:rPr>
        <w:t xml:space="preserve"> </w:t>
      </w:r>
      <w:r w:rsidR="00466BAF">
        <w:rPr>
          <w:rFonts w:ascii="Times New Roman" w:hAnsi="Times New Roman" w:cs="Times New Roman"/>
        </w:rPr>
        <w:t>[12]</w:t>
      </w:r>
      <w:r w:rsidRPr="001054CB">
        <w:rPr>
          <w:rFonts w:ascii="Times New Roman" w:hAnsi="Times New Roman" w:cs="Times New Roman"/>
        </w:rPr>
        <w:t>, Nigeria ranks 16</w:t>
      </w:r>
      <w:r>
        <w:rPr>
          <w:rFonts w:ascii="Times New Roman" w:hAnsi="Times New Roman" w:cs="Times New Roman"/>
        </w:rPr>
        <w:t>4</w:t>
      </w:r>
      <w:r w:rsidRPr="001054CB">
        <w:rPr>
          <w:rFonts w:ascii="Times New Roman" w:hAnsi="Times New Roman" w:cs="Times New Roman"/>
        </w:rPr>
        <w:t xml:space="preserve"> out of 19</w:t>
      </w:r>
      <w:r>
        <w:rPr>
          <w:rFonts w:ascii="Times New Roman" w:hAnsi="Times New Roman" w:cs="Times New Roman"/>
        </w:rPr>
        <w:t>3</w:t>
      </w:r>
      <w:r w:rsidRPr="001054CB">
        <w:rPr>
          <w:rFonts w:ascii="Times New Roman" w:hAnsi="Times New Roman" w:cs="Times New Roman"/>
        </w:rPr>
        <w:t xml:space="preserve"> countries on the Human Development Index, with female education outcomes contributing to this dismal ranking </w:t>
      </w:r>
      <w:r w:rsidR="00A14697">
        <w:rPr>
          <w:rFonts w:ascii="Times New Roman" w:hAnsi="Times New Roman" w:cs="Times New Roman"/>
        </w:rPr>
        <w:t>[13]</w:t>
      </w:r>
      <w:r w:rsidRPr="001054CB">
        <w:rPr>
          <w:rFonts w:ascii="Times New Roman" w:hAnsi="Times New Roman" w:cs="Times New Roman"/>
        </w:rPr>
        <w:t>.</w:t>
      </w:r>
    </w:p>
    <w:p w14:paraId="77189290" w14:textId="643A7EBC" w:rsidR="00832003" w:rsidRPr="001054CB" w:rsidRDefault="00832003" w:rsidP="00832003">
      <w:pPr>
        <w:spacing w:after="0" w:line="480" w:lineRule="auto"/>
        <w:ind w:right="90"/>
        <w:jc w:val="both"/>
        <w:rPr>
          <w:rFonts w:ascii="Times New Roman" w:hAnsi="Times New Roman" w:cs="Times New Roman"/>
        </w:rPr>
      </w:pPr>
      <w:r w:rsidRPr="001054CB">
        <w:rPr>
          <w:rFonts w:ascii="Times New Roman" w:hAnsi="Times New Roman" w:cs="Times New Roman"/>
        </w:rPr>
        <w:lastRenderedPageBreak/>
        <w:t>One major issue is the persistently low female secondary school enrolment, which stunts long-term labo</w:t>
      </w:r>
      <w:r>
        <w:rPr>
          <w:rFonts w:ascii="Times New Roman" w:hAnsi="Times New Roman" w:cs="Times New Roman"/>
        </w:rPr>
        <w:t>u</w:t>
      </w:r>
      <w:r w:rsidRPr="001054CB">
        <w:rPr>
          <w:rFonts w:ascii="Times New Roman" w:hAnsi="Times New Roman" w:cs="Times New Roman"/>
        </w:rPr>
        <w:t>r force readiness and innovation capacity. Studies have shown that countries with more equitable education systems achieve higher long-run economic growth</w:t>
      </w:r>
      <w:r w:rsidR="00F10DD4">
        <w:rPr>
          <w:rFonts w:ascii="Times New Roman" w:hAnsi="Times New Roman" w:cs="Times New Roman"/>
        </w:rPr>
        <w:t xml:space="preserve"> [14]</w:t>
      </w:r>
      <w:r w:rsidRPr="001054CB">
        <w:rPr>
          <w:rFonts w:ascii="Times New Roman" w:hAnsi="Times New Roman" w:cs="Times New Roman"/>
        </w:rPr>
        <w:t>. However, in Nigeria, structural barriers such as poverty, early marriage, and insecurity continue to prevent girls from transitioning from primary to secondary education</w:t>
      </w:r>
      <w:r>
        <w:rPr>
          <w:rFonts w:ascii="Times New Roman" w:hAnsi="Times New Roman" w:cs="Times New Roman"/>
        </w:rPr>
        <w:t xml:space="preserve">, </w:t>
      </w:r>
      <w:r w:rsidRPr="001054CB">
        <w:rPr>
          <w:rFonts w:ascii="Times New Roman" w:hAnsi="Times New Roman" w:cs="Times New Roman"/>
        </w:rPr>
        <w:t xml:space="preserve">resulting in over </w:t>
      </w:r>
      <w:r>
        <w:rPr>
          <w:rFonts w:ascii="Times New Roman" w:hAnsi="Times New Roman" w:cs="Times New Roman"/>
        </w:rPr>
        <w:t>7.6</w:t>
      </w:r>
      <w:r w:rsidRPr="001054CB">
        <w:rPr>
          <w:rFonts w:ascii="Times New Roman" w:hAnsi="Times New Roman" w:cs="Times New Roman"/>
        </w:rPr>
        <w:t xml:space="preserve"> million out-of-school girls as of </w:t>
      </w:r>
      <w:r>
        <w:rPr>
          <w:rFonts w:ascii="Times New Roman" w:hAnsi="Times New Roman" w:cs="Times New Roman"/>
        </w:rPr>
        <w:t xml:space="preserve">June </w:t>
      </w:r>
      <w:r w:rsidRPr="001054CB">
        <w:rPr>
          <w:rFonts w:ascii="Times New Roman" w:hAnsi="Times New Roman" w:cs="Times New Roman"/>
        </w:rPr>
        <w:t>2022</w:t>
      </w:r>
      <w:r>
        <w:rPr>
          <w:rFonts w:ascii="Times New Roman" w:hAnsi="Times New Roman" w:cs="Times New Roman"/>
        </w:rPr>
        <w:t xml:space="preserve"> report</w:t>
      </w:r>
      <w:r w:rsidR="00574588">
        <w:rPr>
          <w:rFonts w:ascii="Times New Roman" w:hAnsi="Times New Roman" w:cs="Times New Roman"/>
        </w:rPr>
        <w:t xml:space="preserve"> [15]</w:t>
      </w:r>
      <w:r w:rsidRPr="001054CB">
        <w:rPr>
          <w:rFonts w:ascii="Times New Roman" w:hAnsi="Times New Roman" w:cs="Times New Roman"/>
        </w:rPr>
        <w:t>. Without urgent intervention, this education gap will translate into continued economic exclusion for nearly half of Nigeria’s population.</w:t>
      </w:r>
    </w:p>
    <w:p w14:paraId="04BB9108" w14:textId="0E15FE48" w:rsidR="00832003" w:rsidRPr="001054CB" w:rsidRDefault="00832003" w:rsidP="00832003">
      <w:pPr>
        <w:spacing w:after="0" w:line="480" w:lineRule="auto"/>
        <w:ind w:right="90"/>
        <w:jc w:val="both"/>
        <w:rPr>
          <w:rFonts w:ascii="Times New Roman" w:hAnsi="Times New Roman" w:cs="Times New Roman"/>
        </w:rPr>
      </w:pPr>
      <w:r w:rsidRPr="001054CB">
        <w:rPr>
          <w:rFonts w:ascii="Times New Roman" w:hAnsi="Times New Roman" w:cs="Times New Roman"/>
        </w:rPr>
        <w:t xml:space="preserve">Additionally, government spending on education, a key instrument for human capital formation, remains grossly inadequate. Public investment in education has not only failed to meet global recommendations but has also shown weak targeting toward bridging gender disparities. </w:t>
      </w:r>
      <w:proofErr w:type="spellStart"/>
      <w:r>
        <w:rPr>
          <w:rFonts w:ascii="Times New Roman" w:hAnsi="Times New Roman" w:cs="Times New Roman"/>
        </w:rPr>
        <w:t>Wodon</w:t>
      </w:r>
      <w:proofErr w:type="spellEnd"/>
      <w:r>
        <w:rPr>
          <w:rFonts w:ascii="Times New Roman" w:hAnsi="Times New Roman" w:cs="Times New Roman"/>
        </w:rPr>
        <w:t xml:space="preserve"> et al.</w:t>
      </w:r>
      <w:r w:rsidRPr="001054CB">
        <w:rPr>
          <w:rFonts w:ascii="Times New Roman" w:hAnsi="Times New Roman" w:cs="Times New Roman"/>
        </w:rPr>
        <w:t xml:space="preserve"> </w:t>
      </w:r>
      <w:r w:rsidR="00DD3A66">
        <w:rPr>
          <w:rFonts w:ascii="Times New Roman" w:hAnsi="Times New Roman" w:cs="Times New Roman"/>
        </w:rPr>
        <w:t>[16]</w:t>
      </w:r>
      <w:r w:rsidRPr="001054CB">
        <w:rPr>
          <w:rFonts w:ascii="Times New Roman" w:hAnsi="Times New Roman" w:cs="Times New Roman"/>
        </w:rPr>
        <w:t xml:space="preserve"> </w:t>
      </w:r>
      <w:r>
        <w:rPr>
          <w:rFonts w:ascii="Times New Roman" w:hAnsi="Times New Roman" w:cs="Times New Roman"/>
        </w:rPr>
        <w:t>assert</w:t>
      </w:r>
      <w:r w:rsidRPr="001054CB">
        <w:rPr>
          <w:rFonts w:ascii="Times New Roman" w:hAnsi="Times New Roman" w:cs="Times New Roman"/>
        </w:rPr>
        <w:t xml:space="preserve"> that such fiscal misalignment not only depresses access to quality education but also undermines the productivity potential of the economy</w:t>
      </w:r>
      <w:r>
        <w:rPr>
          <w:rFonts w:ascii="Times New Roman" w:hAnsi="Times New Roman" w:cs="Times New Roman"/>
        </w:rPr>
        <w:t xml:space="preserve">, </w:t>
      </w:r>
      <w:r w:rsidRPr="001054CB">
        <w:rPr>
          <w:rFonts w:ascii="Times New Roman" w:hAnsi="Times New Roman" w:cs="Times New Roman"/>
        </w:rPr>
        <w:t xml:space="preserve">particularly when female cohorts are </w:t>
      </w:r>
      <w:r>
        <w:rPr>
          <w:rFonts w:ascii="Times New Roman" w:hAnsi="Times New Roman" w:cs="Times New Roman"/>
        </w:rPr>
        <w:t>undereducated</w:t>
      </w:r>
      <w:r w:rsidRPr="001054CB">
        <w:rPr>
          <w:rFonts w:ascii="Times New Roman" w:hAnsi="Times New Roman" w:cs="Times New Roman"/>
        </w:rPr>
        <w:t xml:space="preserve"> and </w:t>
      </w:r>
      <w:r>
        <w:rPr>
          <w:rFonts w:ascii="Times New Roman" w:hAnsi="Times New Roman" w:cs="Times New Roman"/>
        </w:rPr>
        <w:t>underemployed</w:t>
      </w:r>
      <w:r w:rsidRPr="001054CB">
        <w:rPr>
          <w:rFonts w:ascii="Times New Roman" w:hAnsi="Times New Roman" w:cs="Times New Roman"/>
        </w:rPr>
        <w:t>.</w:t>
      </w:r>
    </w:p>
    <w:p w14:paraId="2AB796FB" w14:textId="3F1DEFAF" w:rsidR="00832003" w:rsidRPr="001054CB" w:rsidRDefault="00832003" w:rsidP="00832003">
      <w:pPr>
        <w:spacing w:after="0" w:line="480" w:lineRule="auto"/>
        <w:ind w:right="90"/>
        <w:jc w:val="both"/>
        <w:rPr>
          <w:rFonts w:ascii="Times New Roman" w:hAnsi="Times New Roman" w:cs="Times New Roman"/>
        </w:rPr>
      </w:pPr>
      <w:r w:rsidRPr="001054CB">
        <w:rPr>
          <w:rFonts w:ascii="Times New Roman" w:hAnsi="Times New Roman" w:cs="Times New Roman"/>
        </w:rPr>
        <w:t xml:space="preserve">While the GPI for primary school enrolment remains slightly below parity, the real concern lies in its uneven regional distribution and lack of transition to secondary and tertiary education. According </w:t>
      </w:r>
      <w:r>
        <w:rPr>
          <w:rFonts w:ascii="Times New Roman" w:hAnsi="Times New Roman" w:cs="Times New Roman"/>
        </w:rPr>
        <w:t xml:space="preserve">to </w:t>
      </w:r>
      <w:r w:rsidRPr="00161036">
        <w:rPr>
          <w:rFonts w:ascii="Times New Roman" w:hAnsi="Times New Roman" w:cs="Times New Roman"/>
        </w:rPr>
        <w:t>Mohammed</w:t>
      </w:r>
      <w:r>
        <w:rPr>
          <w:rFonts w:ascii="Times New Roman" w:hAnsi="Times New Roman" w:cs="Times New Roman"/>
        </w:rPr>
        <w:t xml:space="preserve"> and</w:t>
      </w:r>
      <w:r w:rsidRPr="00161036">
        <w:rPr>
          <w:rFonts w:ascii="Times New Roman" w:hAnsi="Times New Roman" w:cs="Times New Roman"/>
        </w:rPr>
        <w:t xml:space="preserve"> Alhassan</w:t>
      </w:r>
      <w:r>
        <w:rPr>
          <w:rFonts w:ascii="Times New Roman" w:hAnsi="Times New Roman" w:cs="Times New Roman"/>
        </w:rPr>
        <w:t xml:space="preserve"> </w:t>
      </w:r>
      <w:r w:rsidR="009553D5">
        <w:rPr>
          <w:rFonts w:ascii="Times New Roman" w:hAnsi="Times New Roman" w:cs="Times New Roman"/>
        </w:rPr>
        <w:t>[17]</w:t>
      </w:r>
      <w:r w:rsidRPr="001054CB">
        <w:rPr>
          <w:rFonts w:ascii="Times New Roman" w:hAnsi="Times New Roman" w:cs="Times New Roman"/>
        </w:rPr>
        <w:t xml:space="preserve">, </w:t>
      </w:r>
      <w:r w:rsidR="009553D5">
        <w:rPr>
          <w:rFonts w:ascii="Times New Roman" w:hAnsi="Times New Roman" w:cs="Times New Roman"/>
        </w:rPr>
        <w:t>fifteen (</w:t>
      </w:r>
      <w:r>
        <w:rPr>
          <w:rFonts w:ascii="Times New Roman" w:hAnsi="Times New Roman" w:cs="Times New Roman"/>
        </w:rPr>
        <w:t>15</w:t>
      </w:r>
      <w:r w:rsidR="009553D5">
        <w:rPr>
          <w:rFonts w:ascii="Times New Roman" w:hAnsi="Times New Roman" w:cs="Times New Roman"/>
        </w:rPr>
        <w:t>)</w:t>
      </w:r>
      <w:r>
        <w:rPr>
          <w:rFonts w:ascii="Times New Roman" w:hAnsi="Times New Roman" w:cs="Times New Roman"/>
        </w:rPr>
        <w:t xml:space="preserve"> </w:t>
      </w:r>
      <w:r w:rsidRPr="001054CB">
        <w:rPr>
          <w:rFonts w:ascii="Times New Roman" w:hAnsi="Times New Roman" w:cs="Times New Roman"/>
        </w:rPr>
        <w:t xml:space="preserve">states in </w:t>
      </w:r>
      <w:r>
        <w:rPr>
          <w:rFonts w:ascii="Times New Roman" w:hAnsi="Times New Roman" w:cs="Times New Roman"/>
        </w:rPr>
        <w:t>N</w:t>
      </w:r>
      <w:r w:rsidRPr="001054CB">
        <w:rPr>
          <w:rFonts w:ascii="Times New Roman" w:hAnsi="Times New Roman" w:cs="Times New Roman"/>
        </w:rPr>
        <w:t>orthern Nigeria recorded</w:t>
      </w:r>
      <w:r>
        <w:rPr>
          <w:rFonts w:ascii="Times New Roman" w:hAnsi="Times New Roman" w:cs="Times New Roman"/>
        </w:rPr>
        <w:t xml:space="preserve"> are </w:t>
      </w:r>
      <w:r w:rsidRPr="00161036">
        <w:rPr>
          <w:rFonts w:ascii="Times New Roman" w:hAnsi="Times New Roman" w:cs="Times New Roman"/>
        </w:rPr>
        <w:t>below average regarding the ratio of their girls in schools</w:t>
      </w:r>
      <w:r w:rsidRPr="001054CB">
        <w:rPr>
          <w:rFonts w:ascii="Times New Roman" w:hAnsi="Times New Roman" w:cs="Times New Roman"/>
        </w:rPr>
        <w:t>, while southern states approached or exceeded parity. This skew creates a bifurcated human capital structure where regional underdevelopment becomes self-reinforcing and limits aggregate economic performance.</w:t>
      </w:r>
    </w:p>
    <w:p w14:paraId="6027E210" w14:textId="77777777" w:rsidR="00832003" w:rsidRDefault="00832003" w:rsidP="00832003">
      <w:pPr>
        <w:spacing w:after="0" w:line="480" w:lineRule="auto"/>
        <w:ind w:right="90"/>
        <w:jc w:val="both"/>
        <w:rPr>
          <w:rFonts w:ascii="Times New Roman" w:hAnsi="Times New Roman" w:cs="Times New Roman"/>
        </w:rPr>
      </w:pPr>
      <w:r w:rsidRPr="001054CB">
        <w:rPr>
          <w:rFonts w:ascii="Times New Roman" w:hAnsi="Times New Roman" w:cs="Times New Roman"/>
        </w:rPr>
        <w:t xml:space="preserve">The empirical literature provides limited country-specific insights into the simultaneous effects of gender-targeted education investments on Nigeria's economic trajectory. Most existing studies are either </w:t>
      </w:r>
      <w:r>
        <w:rPr>
          <w:rFonts w:ascii="Times New Roman" w:hAnsi="Times New Roman" w:cs="Times New Roman"/>
        </w:rPr>
        <w:t>generalised</w:t>
      </w:r>
      <w:r w:rsidRPr="001054CB">
        <w:rPr>
          <w:rFonts w:ascii="Times New Roman" w:hAnsi="Times New Roman" w:cs="Times New Roman"/>
        </w:rPr>
        <w:t xml:space="preserve"> or outdated, ignoring key disaggregated variables. Therefore, there is a critical need for empirical analysis that integrates female secondary </w:t>
      </w:r>
      <w:r w:rsidRPr="001054CB">
        <w:rPr>
          <w:rFonts w:ascii="Times New Roman" w:hAnsi="Times New Roman" w:cs="Times New Roman"/>
        </w:rPr>
        <w:lastRenderedPageBreak/>
        <w:t xml:space="preserve">school enrolment, </w:t>
      </w:r>
      <w:r>
        <w:rPr>
          <w:rFonts w:ascii="Times New Roman" w:hAnsi="Times New Roman" w:cs="Times New Roman"/>
        </w:rPr>
        <w:t xml:space="preserve">government </w:t>
      </w:r>
      <w:r w:rsidRPr="001054CB">
        <w:rPr>
          <w:rFonts w:ascii="Times New Roman" w:hAnsi="Times New Roman" w:cs="Times New Roman"/>
        </w:rPr>
        <w:t>education spending, and gender parity into a coherent model of economic growth in Nigeria. This gap in both research and policy design justifies a focused econometric investigation.</w:t>
      </w:r>
    </w:p>
    <w:p w14:paraId="75187991" w14:textId="77777777" w:rsidR="00832003" w:rsidRPr="00372453" w:rsidRDefault="00832003" w:rsidP="00832003">
      <w:pPr>
        <w:spacing w:line="480" w:lineRule="auto"/>
        <w:ind w:right="90"/>
        <w:jc w:val="both"/>
        <w:rPr>
          <w:rFonts w:ascii="Times New Roman" w:hAnsi="Times New Roman" w:cs="Times New Roman"/>
        </w:rPr>
      </w:pPr>
      <w:r w:rsidRPr="00130B96">
        <w:rPr>
          <w:rFonts w:ascii="Times New Roman" w:eastAsia="Times New Roman" w:hAnsi="Times New Roman" w:cs="Times New Roman"/>
        </w:rPr>
        <w:t>Thus, th</w:t>
      </w:r>
      <w:r>
        <w:rPr>
          <w:rFonts w:ascii="Times New Roman" w:eastAsia="Times New Roman" w:hAnsi="Times New Roman" w:cs="Times New Roman"/>
        </w:rPr>
        <w:t>e specific objectives of this</w:t>
      </w:r>
      <w:r w:rsidRPr="00130B96">
        <w:rPr>
          <w:rFonts w:ascii="Times New Roman" w:eastAsia="Times New Roman" w:hAnsi="Times New Roman" w:cs="Times New Roman"/>
        </w:rPr>
        <w:t xml:space="preserve"> study </w:t>
      </w:r>
      <w:r>
        <w:rPr>
          <w:rFonts w:ascii="Times New Roman" w:eastAsia="Times New Roman" w:hAnsi="Times New Roman" w:cs="Times New Roman"/>
        </w:rPr>
        <w:t>are to examine</w:t>
      </w:r>
      <w:r w:rsidRPr="00130B96">
        <w:rPr>
          <w:rFonts w:ascii="Times New Roman" w:eastAsia="Times New Roman" w:hAnsi="Times New Roman" w:cs="Times New Roman"/>
        </w:rPr>
        <w:t xml:space="preserve"> how female secondary school enrolment, government education expenditure, and GPI in primary enrolment influence real GDP per capita in Nigeria. By adopting a gendered lens in education-growth analysis, this study contributes to policy strategies that could break intergenerational poverty cycles, enhance productivity, and promote inclusive growth</w:t>
      </w:r>
      <w:r w:rsidRPr="00372453">
        <w:rPr>
          <w:rFonts w:ascii="Times New Roman" w:hAnsi="Times New Roman" w:cs="Times New Roman"/>
        </w:rPr>
        <w:t>.</w:t>
      </w:r>
    </w:p>
    <w:p w14:paraId="46FCB63F" w14:textId="77777777" w:rsidR="00832003" w:rsidRPr="00A614CB" w:rsidRDefault="00832003" w:rsidP="00832003">
      <w:pPr>
        <w:spacing w:after="0" w:line="480" w:lineRule="auto"/>
        <w:jc w:val="both"/>
        <w:rPr>
          <w:rFonts w:ascii="Times New Roman" w:hAnsi="Times New Roman" w:cs="Times New Roman"/>
          <w:b/>
          <w:bCs/>
        </w:rPr>
      </w:pPr>
      <w:bookmarkStart w:id="3" w:name="_Hlk173400252"/>
      <w:r w:rsidRPr="00A614CB">
        <w:rPr>
          <w:rFonts w:ascii="Times New Roman" w:hAnsi="Times New Roman" w:cs="Times New Roman"/>
          <w:b/>
          <w:bCs/>
        </w:rPr>
        <w:t>2. Literature Review</w:t>
      </w:r>
    </w:p>
    <w:bookmarkEnd w:id="3"/>
    <w:p w14:paraId="67E8716A" w14:textId="77777777" w:rsidR="00832003" w:rsidRDefault="00832003" w:rsidP="00832003">
      <w:pPr>
        <w:spacing w:line="480" w:lineRule="auto"/>
        <w:jc w:val="both"/>
        <w:rPr>
          <w:rFonts w:ascii="Times New Roman" w:hAnsi="Times New Roman" w:cs="Times New Roman"/>
          <w:b/>
          <w:bCs/>
        </w:rPr>
      </w:pPr>
      <w:r w:rsidRPr="00982BB2">
        <w:rPr>
          <w:rFonts w:ascii="Times New Roman" w:hAnsi="Times New Roman" w:cs="Times New Roman"/>
          <w:b/>
          <w:bCs/>
        </w:rPr>
        <w:t>Theoretical Framework</w:t>
      </w:r>
    </w:p>
    <w:p w14:paraId="5B53EA3D" w14:textId="77777777" w:rsidR="00832003" w:rsidRPr="00705097" w:rsidRDefault="00832003" w:rsidP="00832003">
      <w:pPr>
        <w:spacing w:line="480" w:lineRule="auto"/>
        <w:jc w:val="both"/>
        <w:rPr>
          <w:rFonts w:ascii="Times New Roman" w:hAnsi="Times New Roman" w:cs="Times New Roman"/>
        </w:rPr>
      </w:pPr>
      <w:r>
        <w:rPr>
          <w:rFonts w:ascii="Times New Roman" w:hAnsi="Times New Roman" w:cs="Times New Roman"/>
        </w:rPr>
        <w:t>The</w:t>
      </w:r>
      <w:r w:rsidRPr="00705097">
        <w:rPr>
          <w:rFonts w:ascii="Times New Roman" w:hAnsi="Times New Roman" w:cs="Times New Roman"/>
        </w:rPr>
        <w:t xml:space="preserve"> theoretical foundation of this study is grounded in Human Capital Theory, Endogenous Growth Theory, and Sen’s Capability Approach, all of which offer distinct yet complementary lenses through which the relationship between gendered education investment and economic growth can be understood.</w:t>
      </w:r>
      <w:r>
        <w:rPr>
          <w:rFonts w:ascii="Times New Roman" w:hAnsi="Times New Roman" w:cs="Times New Roman"/>
        </w:rPr>
        <w:t xml:space="preserve"> </w:t>
      </w:r>
    </w:p>
    <w:p w14:paraId="3D4E143B" w14:textId="5F2A63B3" w:rsidR="00832003" w:rsidRDefault="00832003" w:rsidP="00832003">
      <w:pPr>
        <w:spacing w:line="480" w:lineRule="auto"/>
        <w:jc w:val="both"/>
        <w:rPr>
          <w:rFonts w:ascii="Times New Roman" w:hAnsi="Times New Roman" w:cs="Times New Roman"/>
        </w:rPr>
      </w:pPr>
      <w:r w:rsidRPr="00982F68">
        <w:rPr>
          <w:rFonts w:ascii="Times New Roman" w:hAnsi="Times New Roman" w:cs="Times New Roman"/>
        </w:rPr>
        <w:t xml:space="preserve">Human Capital Theory, developed by Becker </w:t>
      </w:r>
      <w:r w:rsidR="00EB14D3">
        <w:rPr>
          <w:rFonts w:ascii="Times New Roman" w:hAnsi="Times New Roman" w:cs="Times New Roman"/>
        </w:rPr>
        <w:t>[18]</w:t>
      </w:r>
      <w:r w:rsidRPr="00982F68">
        <w:rPr>
          <w:rFonts w:ascii="Times New Roman" w:hAnsi="Times New Roman" w:cs="Times New Roman"/>
        </w:rPr>
        <w:t xml:space="preserve"> and expanded by Mincer </w:t>
      </w:r>
      <w:r w:rsidR="00EB14D3">
        <w:rPr>
          <w:rFonts w:ascii="Times New Roman" w:hAnsi="Times New Roman" w:cs="Times New Roman"/>
        </w:rPr>
        <w:t>[19]</w:t>
      </w:r>
      <w:r w:rsidRPr="00982F68">
        <w:rPr>
          <w:rFonts w:ascii="Times New Roman" w:hAnsi="Times New Roman" w:cs="Times New Roman"/>
        </w:rPr>
        <w:t>, posits that education is a form of investment that enhances individual productivity and national output. This theory asserts that individuals</w:t>
      </w:r>
      <w:r>
        <w:rPr>
          <w:rFonts w:ascii="Times New Roman" w:hAnsi="Times New Roman" w:cs="Times New Roman"/>
        </w:rPr>
        <w:t xml:space="preserve">, </w:t>
      </w:r>
      <w:r w:rsidRPr="00982F68">
        <w:rPr>
          <w:rFonts w:ascii="Times New Roman" w:hAnsi="Times New Roman" w:cs="Times New Roman"/>
        </w:rPr>
        <w:t>when provided with education and training</w:t>
      </w:r>
      <w:r>
        <w:rPr>
          <w:rFonts w:ascii="Times New Roman" w:hAnsi="Times New Roman" w:cs="Times New Roman"/>
        </w:rPr>
        <w:t xml:space="preserve">, </w:t>
      </w:r>
      <w:r w:rsidRPr="00982F68">
        <w:rPr>
          <w:rFonts w:ascii="Times New Roman" w:hAnsi="Times New Roman" w:cs="Times New Roman"/>
        </w:rPr>
        <w:t xml:space="preserve">accumulate knowledge and skills that increase their future earnings and efficiency. In the context of gendered education, investing in female secondary school enrolment yields both direct economic benefits and social returns, such as reduced fertility rates, improved child health, and expanded </w:t>
      </w:r>
      <w:r>
        <w:rPr>
          <w:rFonts w:ascii="Times New Roman" w:hAnsi="Times New Roman" w:cs="Times New Roman"/>
        </w:rPr>
        <w:t>labour</w:t>
      </w:r>
      <w:r w:rsidRPr="00982F68">
        <w:rPr>
          <w:rFonts w:ascii="Times New Roman" w:hAnsi="Times New Roman" w:cs="Times New Roman"/>
        </w:rPr>
        <w:t xml:space="preserve"> force participation </w:t>
      </w:r>
      <w:r w:rsidR="002A0580">
        <w:rPr>
          <w:rFonts w:ascii="Times New Roman" w:hAnsi="Times New Roman" w:cs="Times New Roman"/>
        </w:rPr>
        <w:t>[20]</w:t>
      </w:r>
      <w:r w:rsidRPr="00982F68">
        <w:rPr>
          <w:rFonts w:ascii="Times New Roman" w:hAnsi="Times New Roman" w:cs="Times New Roman"/>
        </w:rPr>
        <w:t xml:space="preserve">. Moreover, government expenditure on education reflects the state's commitment to building a productive workforce. When such expenditures are strategically targeted toward reducing gender disparities, they contribute to a more balanced and efficient allocation of human resources, which in turn raises national productivity and real </w:t>
      </w:r>
      <w:r w:rsidRPr="00982F68">
        <w:rPr>
          <w:rFonts w:ascii="Times New Roman" w:hAnsi="Times New Roman" w:cs="Times New Roman"/>
        </w:rPr>
        <w:lastRenderedPageBreak/>
        <w:t xml:space="preserve">income levels. The Gender Parity Index (GPI) in primary education further complements this framework, serving as a proxy for the equitable distribution of foundational learning opportunities. </w:t>
      </w:r>
    </w:p>
    <w:p w14:paraId="776AEEC0" w14:textId="136F556D" w:rsidR="00832003" w:rsidRDefault="00832003" w:rsidP="00832003">
      <w:pPr>
        <w:spacing w:line="480" w:lineRule="auto"/>
        <w:jc w:val="both"/>
        <w:rPr>
          <w:rFonts w:ascii="Times New Roman" w:hAnsi="Times New Roman" w:cs="Times New Roman"/>
        </w:rPr>
      </w:pPr>
      <w:r w:rsidRPr="00B6143F">
        <w:rPr>
          <w:rFonts w:ascii="Times New Roman" w:hAnsi="Times New Roman" w:cs="Times New Roman"/>
        </w:rPr>
        <w:t xml:space="preserve">Building on the human capital perspective, Endogenous Growth Theory offers a more dynamic explanation of how education contributes to long-run economic performance. </w:t>
      </w:r>
      <w:r w:rsidRPr="007504AC">
        <w:rPr>
          <w:rFonts w:ascii="Times New Roman" w:hAnsi="Times New Roman" w:cs="Times New Roman"/>
        </w:rPr>
        <w:t xml:space="preserve">As articulated by Romer </w:t>
      </w:r>
      <w:r w:rsidR="00C70C7A">
        <w:rPr>
          <w:rFonts w:ascii="Times New Roman" w:hAnsi="Times New Roman" w:cs="Times New Roman"/>
        </w:rPr>
        <w:t>[21]</w:t>
      </w:r>
      <w:r w:rsidRPr="007504AC">
        <w:rPr>
          <w:rFonts w:ascii="Times New Roman" w:hAnsi="Times New Roman" w:cs="Times New Roman"/>
        </w:rPr>
        <w:t xml:space="preserve"> and Lucas </w:t>
      </w:r>
      <w:r w:rsidR="00C70C7A">
        <w:rPr>
          <w:rFonts w:ascii="Times New Roman" w:hAnsi="Times New Roman" w:cs="Times New Roman"/>
        </w:rPr>
        <w:t>[22]</w:t>
      </w:r>
      <w:r w:rsidRPr="007504AC">
        <w:rPr>
          <w:rFonts w:ascii="Times New Roman" w:hAnsi="Times New Roman" w:cs="Times New Roman"/>
        </w:rPr>
        <w:t xml:space="preserve">, endogenous growth models </w:t>
      </w:r>
      <w:r>
        <w:rPr>
          <w:rFonts w:ascii="Times New Roman" w:hAnsi="Times New Roman" w:cs="Times New Roman"/>
        </w:rPr>
        <w:t>emphasise</w:t>
      </w:r>
      <w:r w:rsidRPr="007504AC">
        <w:rPr>
          <w:rFonts w:ascii="Times New Roman" w:hAnsi="Times New Roman" w:cs="Times New Roman"/>
        </w:rPr>
        <w:t xml:space="preserve"> that the accumulation of knowledge and human capital</w:t>
      </w:r>
      <w:r>
        <w:rPr>
          <w:rFonts w:ascii="Times New Roman" w:hAnsi="Times New Roman" w:cs="Times New Roman"/>
        </w:rPr>
        <w:t xml:space="preserve">, </w:t>
      </w:r>
      <w:r w:rsidRPr="007504AC">
        <w:rPr>
          <w:rFonts w:ascii="Times New Roman" w:hAnsi="Times New Roman" w:cs="Times New Roman"/>
        </w:rPr>
        <w:t>particularly through education</w:t>
      </w:r>
      <w:r>
        <w:rPr>
          <w:rFonts w:ascii="Times New Roman" w:hAnsi="Times New Roman" w:cs="Times New Roman"/>
        </w:rPr>
        <w:t xml:space="preserve">, </w:t>
      </w:r>
      <w:r w:rsidRPr="007504AC">
        <w:rPr>
          <w:rFonts w:ascii="Times New Roman" w:hAnsi="Times New Roman" w:cs="Times New Roman"/>
        </w:rPr>
        <w:t>is a primary driver of technological advancement and innovation within an economy. These models argue that public policies, such as increased government expenditure on education, can have sustained effects on growth by fostering environments that promote learning, innovation, and skill development. Importantly, when such policies are inclusive</w:t>
      </w:r>
      <w:r>
        <w:rPr>
          <w:rFonts w:ascii="Times New Roman" w:hAnsi="Times New Roman" w:cs="Times New Roman"/>
        </w:rPr>
        <w:t xml:space="preserve"> by </w:t>
      </w:r>
      <w:r w:rsidRPr="007504AC">
        <w:rPr>
          <w:rFonts w:ascii="Times New Roman" w:hAnsi="Times New Roman" w:cs="Times New Roman"/>
        </w:rPr>
        <w:t>ensuring equitable access to girls and boys,</w:t>
      </w:r>
      <w:r>
        <w:rPr>
          <w:rFonts w:ascii="Times New Roman" w:hAnsi="Times New Roman" w:cs="Times New Roman"/>
        </w:rPr>
        <w:t xml:space="preserve"> </w:t>
      </w:r>
      <w:r w:rsidRPr="007504AC">
        <w:rPr>
          <w:rFonts w:ascii="Times New Roman" w:hAnsi="Times New Roman" w:cs="Times New Roman"/>
        </w:rPr>
        <w:t xml:space="preserve">they create a more diversified and resilient base of human capital. Female secondary education plays a particularly critical role in this framework, as it equips women with the competencies needed to participate in high-value-added sectors of the economy. The presence of a near-equal GPI in primary education is a necessary condition for these benefits to </w:t>
      </w:r>
      <w:r>
        <w:rPr>
          <w:rFonts w:ascii="Times New Roman" w:hAnsi="Times New Roman" w:cs="Times New Roman"/>
        </w:rPr>
        <w:t>materialise</w:t>
      </w:r>
      <w:r w:rsidRPr="007504AC">
        <w:rPr>
          <w:rFonts w:ascii="Times New Roman" w:hAnsi="Times New Roman" w:cs="Times New Roman"/>
        </w:rPr>
        <w:t xml:space="preserve"> at later educational stages. When gender disparities persist, a significant portion of the population is excluded from the knowledge economy, thereby reducing the nation’s growth potential.</w:t>
      </w:r>
    </w:p>
    <w:p w14:paraId="5C563B5A" w14:textId="128BB888" w:rsidR="00832003" w:rsidRPr="00C12F42" w:rsidRDefault="00832003" w:rsidP="00832003">
      <w:pPr>
        <w:spacing w:line="480" w:lineRule="auto"/>
        <w:jc w:val="both"/>
        <w:rPr>
          <w:rFonts w:ascii="Times New Roman" w:hAnsi="Times New Roman" w:cs="Times New Roman"/>
        </w:rPr>
      </w:pPr>
      <w:r w:rsidRPr="000273DD">
        <w:rPr>
          <w:rFonts w:ascii="Times New Roman" w:hAnsi="Times New Roman" w:cs="Times New Roman"/>
        </w:rPr>
        <w:t>Complementing these economic models is the</w:t>
      </w:r>
      <w:r>
        <w:rPr>
          <w:rFonts w:ascii="Times New Roman" w:hAnsi="Times New Roman" w:cs="Times New Roman"/>
          <w:b/>
          <w:bCs/>
        </w:rPr>
        <w:t xml:space="preserve"> </w:t>
      </w:r>
      <w:r w:rsidRPr="00E21613">
        <w:rPr>
          <w:rFonts w:ascii="Times New Roman" w:hAnsi="Times New Roman" w:cs="Times New Roman"/>
        </w:rPr>
        <w:t>Capability Approach</w:t>
      </w:r>
      <w:r>
        <w:rPr>
          <w:rFonts w:ascii="Times New Roman" w:hAnsi="Times New Roman" w:cs="Times New Roman"/>
        </w:rPr>
        <w:t xml:space="preserve"> </w:t>
      </w:r>
      <w:r w:rsidRPr="00E21613">
        <w:rPr>
          <w:rFonts w:ascii="Times New Roman" w:hAnsi="Times New Roman" w:cs="Times New Roman"/>
        </w:rPr>
        <w:t xml:space="preserve">advanced by Amartya Sen </w:t>
      </w:r>
      <w:r w:rsidR="00C92FD6">
        <w:rPr>
          <w:rFonts w:ascii="Times New Roman" w:hAnsi="Times New Roman" w:cs="Times New Roman"/>
        </w:rPr>
        <w:t>[</w:t>
      </w:r>
      <w:r w:rsidR="007E0166">
        <w:rPr>
          <w:rFonts w:ascii="Times New Roman" w:hAnsi="Times New Roman" w:cs="Times New Roman"/>
        </w:rPr>
        <w:t>23</w:t>
      </w:r>
      <w:r w:rsidR="00C92FD6">
        <w:rPr>
          <w:rFonts w:ascii="Times New Roman" w:hAnsi="Times New Roman" w:cs="Times New Roman"/>
        </w:rPr>
        <w:t>]</w:t>
      </w:r>
      <w:r w:rsidRPr="00E21613">
        <w:rPr>
          <w:rFonts w:ascii="Times New Roman" w:hAnsi="Times New Roman" w:cs="Times New Roman"/>
        </w:rPr>
        <w:t xml:space="preserve">, which expands the concept of development beyond income metrics to include human freedom, agency, and opportunity. Sen argues that true development occurs when individuals have the capabilities to live lives they value, and education is central to expanding those capabilities. In this context, </w:t>
      </w:r>
      <w:r w:rsidRPr="00786D16">
        <w:rPr>
          <w:rFonts w:ascii="Times New Roman" w:hAnsi="Times New Roman" w:cs="Times New Roman"/>
        </w:rPr>
        <w:t xml:space="preserve">gendered education investment </w:t>
      </w:r>
      <w:r w:rsidRPr="00E21613">
        <w:rPr>
          <w:rFonts w:ascii="Times New Roman" w:hAnsi="Times New Roman" w:cs="Times New Roman"/>
        </w:rPr>
        <w:t>is not only a tool for income generation but also a pathway to empowerment and social justice. When girls are denied access to education</w:t>
      </w:r>
      <w:r>
        <w:rPr>
          <w:rFonts w:ascii="Times New Roman" w:hAnsi="Times New Roman" w:cs="Times New Roman"/>
        </w:rPr>
        <w:t xml:space="preserve">, </w:t>
      </w:r>
      <w:r w:rsidRPr="00E21613">
        <w:rPr>
          <w:rFonts w:ascii="Times New Roman" w:hAnsi="Times New Roman" w:cs="Times New Roman"/>
        </w:rPr>
        <w:t>particularly at the primary and secondary levels</w:t>
      </w:r>
      <w:r>
        <w:rPr>
          <w:rFonts w:ascii="Times New Roman" w:hAnsi="Times New Roman" w:cs="Times New Roman"/>
        </w:rPr>
        <w:t xml:space="preserve">, </w:t>
      </w:r>
      <w:r w:rsidRPr="00E21613">
        <w:rPr>
          <w:rFonts w:ascii="Times New Roman" w:hAnsi="Times New Roman" w:cs="Times New Roman"/>
        </w:rPr>
        <w:t xml:space="preserve">their ability to participate meaningfully in economic and civic life is severely constrained. The </w:t>
      </w:r>
      <w:r w:rsidRPr="00E960F4">
        <w:rPr>
          <w:rFonts w:ascii="Times New Roman" w:hAnsi="Times New Roman" w:cs="Times New Roman"/>
        </w:rPr>
        <w:t xml:space="preserve">Gender Parity Index for </w:t>
      </w:r>
      <w:r w:rsidRPr="00E960F4">
        <w:rPr>
          <w:rFonts w:ascii="Times New Roman" w:hAnsi="Times New Roman" w:cs="Times New Roman"/>
        </w:rPr>
        <w:lastRenderedPageBreak/>
        <w:t>primary enrolment</w:t>
      </w:r>
      <w:r w:rsidRPr="00E21613">
        <w:rPr>
          <w:rFonts w:ascii="Times New Roman" w:hAnsi="Times New Roman" w:cs="Times New Roman"/>
        </w:rPr>
        <w:t xml:space="preserve"> is therefore an early indicator of whether development is inclusive and equitable. Public spending that </w:t>
      </w:r>
      <w:r>
        <w:rPr>
          <w:rFonts w:ascii="Times New Roman" w:hAnsi="Times New Roman" w:cs="Times New Roman"/>
        </w:rPr>
        <w:t>prioritises</w:t>
      </w:r>
      <w:r w:rsidRPr="00E21613">
        <w:rPr>
          <w:rFonts w:ascii="Times New Roman" w:hAnsi="Times New Roman" w:cs="Times New Roman"/>
        </w:rPr>
        <w:t xml:space="preserve"> gender parity in education</w:t>
      </w:r>
      <w:r>
        <w:rPr>
          <w:rFonts w:ascii="Times New Roman" w:hAnsi="Times New Roman" w:cs="Times New Roman"/>
        </w:rPr>
        <w:t xml:space="preserve">, </w:t>
      </w:r>
      <w:r w:rsidRPr="00E21613">
        <w:rPr>
          <w:rFonts w:ascii="Times New Roman" w:hAnsi="Times New Roman" w:cs="Times New Roman"/>
        </w:rPr>
        <w:t xml:space="preserve">especially in </w:t>
      </w:r>
      <w:r>
        <w:rPr>
          <w:rFonts w:ascii="Times New Roman" w:hAnsi="Times New Roman" w:cs="Times New Roman"/>
        </w:rPr>
        <w:t>nat</w:t>
      </w:r>
      <w:r w:rsidRPr="00E21613">
        <w:rPr>
          <w:rFonts w:ascii="Times New Roman" w:hAnsi="Times New Roman" w:cs="Times New Roman"/>
        </w:rPr>
        <w:t xml:space="preserve">ions with historically low female </w:t>
      </w:r>
      <w:r>
        <w:rPr>
          <w:rFonts w:ascii="Times New Roman" w:hAnsi="Times New Roman" w:cs="Times New Roman"/>
        </w:rPr>
        <w:t xml:space="preserve">enrolment, </w:t>
      </w:r>
      <w:r w:rsidRPr="00E21613">
        <w:rPr>
          <w:rFonts w:ascii="Times New Roman" w:hAnsi="Times New Roman" w:cs="Times New Roman"/>
        </w:rPr>
        <w:t>can unlock latent human capabilities and fuel sustained, broad-based economic growth</w:t>
      </w:r>
      <w:r>
        <w:rPr>
          <w:rFonts w:ascii="Times New Roman" w:hAnsi="Times New Roman" w:cs="Times New Roman"/>
        </w:rPr>
        <w:t>.</w:t>
      </w:r>
    </w:p>
    <w:p w14:paraId="732FD26B" w14:textId="2F50FCBE" w:rsidR="00832003" w:rsidRPr="00A27D69" w:rsidRDefault="00832003" w:rsidP="00832003">
      <w:pPr>
        <w:spacing w:line="480" w:lineRule="auto"/>
        <w:jc w:val="both"/>
        <w:rPr>
          <w:rFonts w:ascii="Times New Roman" w:hAnsi="Times New Roman" w:cs="Times New Roman"/>
          <w:b/>
        </w:rPr>
      </w:pPr>
      <w:r w:rsidRPr="00A27D69">
        <w:rPr>
          <w:rFonts w:ascii="Times New Roman" w:hAnsi="Times New Roman" w:cs="Times New Roman"/>
          <w:b/>
        </w:rPr>
        <w:t>Empirical Review</w:t>
      </w:r>
    </w:p>
    <w:p w14:paraId="0CA85433" w14:textId="4459460B" w:rsidR="00832003" w:rsidRPr="00B40FA4" w:rsidRDefault="00832003" w:rsidP="00832003">
      <w:pPr>
        <w:spacing w:line="480" w:lineRule="auto"/>
        <w:jc w:val="both"/>
        <w:rPr>
          <w:rFonts w:ascii="Times New Roman" w:hAnsi="Times New Roman" w:cs="Times New Roman"/>
          <w:bCs/>
        </w:rPr>
      </w:pPr>
      <w:proofErr w:type="spellStart"/>
      <w:r w:rsidRPr="0036533C">
        <w:rPr>
          <w:rFonts w:ascii="Times New Roman" w:hAnsi="Times New Roman" w:cs="Times New Roman"/>
          <w:bCs/>
        </w:rPr>
        <w:t>Kocevska</w:t>
      </w:r>
      <w:proofErr w:type="spellEnd"/>
      <w:r w:rsidRPr="0036533C">
        <w:rPr>
          <w:rFonts w:ascii="Times New Roman" w:hAnsi="Times New Roman" w:cs="Times New Roman"/>
          <w:bCs/>
        </w:rPr>
        <w:t xml:space="preserve"> </w:t>
      </w:r>
      <w:r w:rsidR="00F87276">
        <w:rPr>
          <w:rFonts w:ascii="Times New Roman" w:hAnsi="Times New Roman" w:cs="Times New Roman"/>
          <w:bCs/>
        </w:rPr>
        <w:t>[24]</w:t>
      </w:r>
      <w:r w:rsidRPr="0036533C">
        <w:rPr>
          <w:rFonts w:ascii="Times New Roman" w:hAnsi="Times New Roman" w:cs="Times New Roman"/>
          <w:bCs/>
        </w:rPr>
        <w:t xml:space="preserve"> </w:t>
      </w:r>
      <w:r w:rsidRPr="003A4CD1">
        <w:rPr>
          <w:rFonts w:ascii="Times New Roman" w:hAnsi="Times New Roman" w:cs="Times New Roman"/>
          <w:bCs/>
        </w:rPr>
        <w:t>investigated the impact of public education investment on GDP per capita in North Macedonia from 1991 to 2020</w:t>
      </w:r>
      <w:r w:rsidRPr="0036533C">
        <w:rPr>
          <w:rFonts w:ascii="Times New Roman" w:hAnsi="Times New Roman" w:cs="Times New Roman"/>
          <w:bCs/>
        </w:rPr>
        <w:t xml:space="preserve">. </w:t>
      </w:r>
      <w:r w:rsidRPr="009C615C">
        <w:rPr>
          <w:rFonts w:ascii="Times New Roman" w:hAnsi="Times New Roman" w:cs="Times New Roman"/>
          <w:bCs/>
        </w:rPr>
        <w:t xml:space="preserve">The study found significant results using empirical </w:t>
      </w:r>
      <w:r>
        <w:rPr>
          <w:rFonts w:ascii="Times New Roman" w:hAnsi="Times New Roman" w:cs="Times New Roman"/>
          <w:bCs/>
        </w:rPr>
        <w:t>comput</w:t>
      </w:r>
      <w:r w:rsidRPr="0036533C">
        <w:rPr>
          <w:rFonts w:ascii="Times New Roman" w:hAnsi="Times New Roman" w:cs="Times New Roman"/>
          <w:bCs/>
        </w:rPr>
        <w:t xml:space="preserve">ations, the study produced salient findings. </w:t>
      </w:r>
      <w:r w:rsidRPr="009C615C">
        <w:rPr>
          <w:rFonts w:ascii="Times New Roman" w:hAnsi="Times New Roman" w:cs="Times New Roman"/>
          <w:bCs/>
        </w:rPr>
        <w:t>In the short run, public spending on education had a negative and significant relationship with GDP per capita. In the long run, the relationship remained negative, though statistically insignificant. Based on these findings, the study concluded that</w:t>
      </w:r>
      <w:r w:rsidRPr="0036533C">
        <w:rPr>
          <w:rFonts w:ascii="Times New Roman" w:hAnsi="Times New Roman" w:cs="Times New Roman"/>
          <w:bCs/>
        </w:rPr>
        <w:t xml:space="preserve"> policy interventions in the financing of the education sector were necessary to transform educational expenditures into productive human capital and thereby enhance national economic development</w:t>
      </w:r>
      <w:r w:rsidRPr="00B40FA4">
        <w:rPr>
          <w:rFonts w:ascii="Times New Roman" w:hAnsi="Times New Roman" w:cs="Times New Roman"/>
          <w:bCs/>
        </w:rPr>
        <w:t>.</w:t>
      </w:r>
    </w:p>
    <w:p w14:paraId="30B2EFC9" w14:textId="1E0D24FB" w:rsidR="00832003" w:rsidRPr="00B40FA4" w:rsidRDefault="00832003" w:rsidP="00832003">
      <w:pPr>
        <w:spacing w:line="480" w:lineRule="auto"/>
        <w:jc w:val="both"/>
        <w:rPr>
          <w:rFonts w:ascii="Times New Roman" w:hAnsi="Times New Roman" w:cs="Times New Roman"/>
          <w:bCs/>
        </w:rPr>
      </w:pPr>
      <w:r w:rsidRPr="00354232">
        <w:rPr>
          <w:rFonts w:ascii="Times New Roman" w:hAnsi="Times New Roman" w:cs="Times New Roman"/>
          <w:bCs/>
        </w:rPr>
        <w:t xml:space="preserve">Kenneth et al. </w:t>
      </w:r>
      <w:r w:rsidR="007848F3">
        <w:rPr>
          <w:rFonts w:ascii="Times New Roman" w:hAnsi="Times New Roman" w:cs="Times New Roman"/>
          <w:bCs/>
        </w:rPr>
        <w:t>[25]</w:t>
      </w:r>
      <w:r w:rsidRPr="00354232">
        <w:rPr>
          <w:rFonts w:ascii="Times New Roman" w:hAnsi="Times New Roman" w:cs="Times New Roman"/>
          <w:bCs/>
        </w:rPr>
        <w:t xml:space="preserve"> studied the effect of government education spending and school attainment on per capita income in Nigeria between 1990 and 2018</w:t>
      </w:r>
      <w:r w:rsidRPr="0036533C">
        <w:rPr>
          <w:rFonts w:ascii="Times New Roman" w:hAnsi="Times New Roman" w:cs="Times New Roman"/>
          <w:bCs/>
        </w:rPr>
        <w:t xml:space="preserve">. The study incorporated variables such as GDP per capita, literacy rate, and enrolment rates at the primary, secondary, and tertiary levels, applying the dynamic autoregressive distributed lag (ARDL) framework. Their findings indicated that gross fixed capital formation, capital expenditure on education, secondary and tertiary school enrolment, and adult literacy exerted significant positive effects on GDP per capita. In contrast, the </w:t>
      </w:r>
      <w:r>
        <w:rPr>
          <w:rFonts w:ascii="Times New Roman" w:hAnsi="Times New Roman" w:cs="Times New Roman"/>
          <w:bCs/>
        </w:rPr>
        <w:t>labour</w:t>
      </w:r>
      <w:r w:rsidRPr="0036533C">
        <w:rPr>
          <w:rFonts w:ascii="Times New Roman" w:hAnsi="Times New Roman" w:cs="Times New Roman"/>
          <w:bCs/>
        </w:rPr>
        <w:t xml:space="preserve"> force and primary school enrolment ratios showed negative associations. </w:t>
      </w:r>
      <w:r w:rsidRPr="00C56FA6">
        <w:rPr>
          <w:rFonts w:ascii="Times New Roman" w:hAnsi="Times New Roman" w:cs="Times New Roman"/>
          <w:bCs/>
        </w:rPr>
        <w:t>Furthermore, government recurrent expenditure had a negative impact on GDP per capita in the short run</w:t>
      </w:r>
      <w:r w:rsidRPr="0036533C">
        <w:rPr>
          <w:rFonts w:ascii="Times New Roman" w:hAnsi="Times New Roman" w:cs="Times New Roman"/>
          <w:bCs/>
        </w:rPr>
        <w:t xml:space="preserve">, but a positive </w:t>
      </w:r>
      <w:r>
        <w:rPr>
          <w:rFonts w:ascii="Times New Roman" w:hAnsi="Times New Roman" w:cs="Times New Roman"/>
          <w:bCs/>
        </w:rPr>
        <w:t>link</w:t>
      </w:r>
      <w:r w:rsidRPr="0036533C">
        <w:rPr>
          <w:rFonts w:ascii="Times New Roman" w:hAnsi="Times New Roman" w:cs="Times New Roman"/>
          <w:bCs/>
        </w:rPr>
        <w:t xml:space="preserve"> in the long term</w:t>
      </w:r>
      <w:r w:rsidRPr="00B40FA4">
        <w:rPr>
          <w:rFonts w:ascii="Times New Roman" w:hAnsi="Times New Roman" w:cs="Times New Roman"/>
          <w:bCs/>
        </w:rPr>
        <w:t xml:space="preserve">. </w:t>
      </w:r>
    </w:p>
    <w:p w14:paraId="5BA5C1E4" w14:textId="70426773" w:rsidR="00832003" w:rsidRPr="00B40FA4" w:rsidRDefault="00832003" w:rsidP="00832003">
      <w:pPr>
        <w:spacing w:line="480" w:lineRule="auto"/>
        <w:jc w:val="both"/>
        <w:rPr>
          <w:rFonts w:ascii="Times New Roman" w:hAnsi="Times New Roman" w:cs="Times New Roman"/>
          <w:bCs/>
        </w:rPr>
      </w:pPr>
      <w:r>
        <w:rPr>
          <w:rFonts w:ascii="Times New Roman" w:hAnsi="Times New Roman" w:cs="Times New Roman"/>
          <w:bCs/>
        </w:rPr>
        <w:t xml:space="preserve">Using </w:t>
      </w:r>
      <w:r w:rsidRPr="00B602C7">
        <w:rPr>
          <w:rFonts w:ascii="Times New Roman" w:hAnsi="Times New Roman" w:cs="Times New Roman"/>
          <w:bCs/>
        </w:rPr>
        <w:t>a system-generalized method of moments (SGMM) estimator to examine panel data from 35 Sub-Saharan African countries spanning 1980–2008</w:t>
      </w:r>
      <w:r>
        <w:rPr>
          <w:rFonts w:ascii="Times New Roman" w:hAnsi="Times New Roman" w:cs="Times New Roman"/>
          <w:bCs/>
        </w:rPr>
        <w:t xml:space="preserve">, </w:t>
      </w:r>
      <w:proofErr w:type="spellStart"/>
      <w:r w:rsidRPr="00B602C7">
        <w:rPr>
          <w:rFonts w:ascii="Times New Roman" w:hAnsi="Times New Roman" w:cs="Times New Roman"/>
          <w:bCs/>
        </w:rPr>
        <w:t>Ogundari</w:t>
      </w:r>
      <w:proofErr w:type="spellEnd"/>
      <w:r w:rsidRPr="00B602C7">
        <w:rPr>
          <w:rFonts w:ascii="Times New Roman" w:hAnsi="Times New Roman" w:cs="Times New Roman"/>
          <w:bCs/>
        </w:rPr>
        <w:t xml:space="preserve"> and </w:t>
      </w:r>
      <w:proofErr w:type="spellStart"/>
      <w:r w:rsidRPr="00B602C7">
        <w:rPr>
          <w:rFonts w:ascii="Times New Roman" w:hAnsi="Times New Roman" w:cs="Times New Roman"/>
          <w:bCs/>
        </w:rPr>
        <w:t>Awokuse</w:t>
      </w:r>
      <w:proofErr w:type="spellEnd"/>
      <w:r w:rsidRPr="00B602C7">
        <w:rPr>
          <w:rFonts w:ascii="Times New Roman" w:hAnsi="Times New Roman" w:cs="Times New Roman"/>
          <w:bCs/>
        </w:rPr>
        <w:t xml:space="preserve"> </w:t>
      </w:r>
      <w:r w:rsidR="00F2160A">
        <w:rPr>
          <w:rFonts w:ascii="Times New Roman" w:hAnsi="Times New Roman" w:cs="Times New Roman"/>
          <w:bCs/>
        </w:rPr>
        <w:t>[26]</w:t>
      </w:r>
      <w:r w:rsidRPr="00B602C7">
        <w:rPr>
          <w:rFonts w:ascii="Times New Roman" w:hAnsi="Times New Roman" w:cs="Times New Roman"/>
          <w:bCs/>
        </w:rPr>
        <w:t xml:space="preserve"> </w:t>
      </w:r>
      <w:r w:rsidRPr="00B602C7">
        <w:rPr>
          <w:rFonts w:ascii="Times New Roman" w:hAnsi="Times New Roman" w:cs="Times New Roman"/>
          <w:bCs/>
        </w:rPr>
        <w:lastRenderedPageBreak/>
        <w:t xml:space="preserve">employed two proxies for human capital: health and education. The results </w:t>
      </w:r>
      <w:r>
        <w:rPr>
          <w:rFonts w:ascii="Times New Roman" w:hAnsi="Times New Roman" w:cs="Times New Roman"/>
          <w:bCs/>
        </w:rPr>
        <w:t>showed</w:t>
      </w:r>
      <w:r w:rsidRPr="00B602C7">
        <w:rPr>
          <w:rFonts w:ascii="Times New Roman" w:hAnsi="Times New Roman" w:cs="Times New Roman"/>
          <w:bCs/>
        </w:rPr>
        <w:t xml:space="preserve"> that both variables positively influenced economic growth, with health having a more pronounced effect. Furthermore, while government expenditure on education contributed positively to growth, the effect was not statistically significant</w:t>
      </w:r>
      <w:r w:rsidRPr="00B40FA4">
        <w:rPr>
          <w:rFonts w:ascii="Times New Roman" w:hAnsi="Times New Roman" w:cs="Times New Roman"/>
          <w:bCs/>
        </w:rPr>
        <w:t>.</w:t>
      </w:r>
    </w:p>
    <w:p w14:paraId="010C39CC" w14:textId="518A6CC1" w:rsidR="00832003" w:rsidRPr="00B40FA4" w:rsidRDefault="00832003" w:rsidP="00832003">
      <w:pPr>
        <w:spacing w:line="480" w:lineRule="auto"/>
        <w:jc w:val="both"/>
        <w:rPr>
          <w:rFonts w:ascii="Times New Roman" w:hAnsi="Times New Roman" w:cs="Times New Roman"/>
          <w:bCs/>
        </w:rPr>
      </w:pPr>
      <w:r w:rsidRPr="006E7BA4">
        <w:rPr>
          <w:rFonts w:ascii="Times New Roman" w:hAnsi="Times New Roman" w:cs="Times New Roman"/>
          <w:bCs/>
        </w:rPr>
        <w:t xml:space="preserve">Using 237 estimates from 29 initial studies, Churchill et al. </w:t>
      </w:r>
      <w:r w:rsidR="00882C9E">
        <w:rPr>
          <w:rFonts w:ascii="Times New Roman" w:hAnsi="Times New Roman" w:cs="Times New Roman"/>
          <w:bCs/>
        </w:rPr>
        <w:t>[27]</w:t>
      </w:r>
      <w:r w:rsidRPr="006E7BA4">
        <w:rPr>
          <w:rFonts w:ascii="Times New Roman" w:hAnsi="Times New Roman" w:cs="Times New Roman"/>
          <w:bCs/>
        </w:rPr>
        <w:t xml:space="preserve"> performed a hierarchical meta-regression analysis to assess the connection between economic growth and government expenditures on education. According to the findings, education spending has a positive effect on growth in industrialised nations. On the other hand, the correlation was statistically insignificant for LDCs</w:t>
      </w:r>
      <w:r w:rsidRPr="003B465A">
        <w:rPr>
          <w:rFonts w:ascii="Times New Roman" w:hAnsi="Times New Roman" w:cs="Times New Roman"/>
          <w:bCs/>
        </w:rPr>
        <w:t xml:space="preserve">. The study further explored heterogeneity across findings and identified that variations in econometric methods, publication attributes, and data features accounted for differences in outcomes. </w:t>
      </w:r>
      <w:r w:rsidRPr="006E7BA4">
        <w:rPr>
          <w:rFonts w:ascii="Times New Roman" w:hAnsi="Times New Roman" w:cs="Times New Roman"/>
          <w:bCs/>
        </w:rPr>
        <w:t>Interestingly, no indication of publication bias was found</w:t>
      </w:r>
      <w:r w:rsidRPr="00B40FA4">
        <w:rPr>
          <w:rFonts w:ascii="Times New Roman" w:hAnsi="Times New Roman" w:cs="Times New Roman"/>
          <w:bCs/>
        </w:rPr>
        <w:t>.</w:t>
      </w:r>
    </w:p>
    <w:p w14:paraId="4D120526" w14:textId="358511D8" w:rsidR="00832003" w:rsidRPr="00B40FA4" w:rsidRDefault="00832003" w:rsidP="00832003">
      <w:pPr>
        <w:spacing w:line="480" w:lineRule="auto"/>
        <w:jc w:val="both"/>
        <w:rPr>
          <w:rFonts w:ascii="Times New Roman" w:hAnsi="Times New Roman" w:cs="Times New Roman"/>
          <w:bCs/>
        </w:rPr>
      </w:pPr>
      <w:proofErr w:type="spellStart"/>
      <w:r w:rsidRPr="00BE6FDC">
        <w:rPr>
          <w:rFonts w:ascii="Times New Roman" w:hAnsi="Times New Roman" w:cs="Times New Roman"/>
          <w:bCs/>
        </w:rPr>
        <w:t>Kouton</w:t>
      </w:r>
      <w:proofErr w:type="spellEnd"/>
      <w:r w:rsidRPr="00BE6FDC">
        <w:rPr>
          <w:rFonts w:ascii="Times New Roman" w:hAnsi="Times New Roman" w:cs="Times New Roman"/>
          <w:bCs/>
        </w:rPr>
        <w:t xml:space="preserve"> </w:t>
      </w:r>
      <w:r w:rsidR="00465F3D">
        <w:rPr>
          <w:rFonts w:ascii="Times New Roman" w:hAnsi="Times New Roman" w:cs="Times New Roman"/>
          <w:bCs/>
        </w:rPr>
        <w:t>[28]</w:t>
      </w:r>
      <w:r w:rsidRPr="00BE6FDC">
        <w:rPr>
          <w:rFonts w:ascii="Times New Roman" w:hAnsi="Times New Roman" w:cs="Times New Roman"/>
          <w:bCs/>
        </w:rPr>
        <w:t xml:space="preserve"> explored the long-term relationship between Côte d'Ivoire's economic growth and government spending on education from 1970 to 2015. The results showed that education investment has a long-term, statistically significant negative impact on economic growth. On the other hand, albeit statistically insignificant, the short-term relationship was positive. Additionally, a unidirectional causal relationship between economic growth and education spending was demonstrated</w:t>
      </w:r>
      <w:r w:rsidRPr="00B40FA4">
        <w:rPr>
          <w:rFonts w:ascii="Times New Roman" w:hAnsi="Times New Roman" w:cs="Times New Roman"/>
          <w:bCs/>
        </w:rPr>
        <w:t>.</w:t>
      </w:r>
    </w:p>
    <w:p w14:paraId="475C6BEE" w14:textId="29E87986" w:rsidR="00832003" w:rsidRPr="00B40FA4" w:rsidRDefault="00832003" w:rsidP="00832003">
      <w:pPr>
        <w:spacing w:line="480" w:lineRule="auto"/>
        <w:jc w:val="both"/>
        <w:rPr>
          <w:rFonts w:ascii="Times New Roman" w:hAnsi="Times New Roman" w:cs="Times New Roman"/>
          <w:bCs/>
        </w:rPr>
      </w:pPr>
      <w:proofErr w:type="spellStart"/>
      <w:r w:rsidRPr="006E050D">
        <w:rPr>
          <w:rFonts w:ascii="Times New Roman" w:hAnsi="Times New Roman" w:cs="Times New Roman"/>
          <w:bCs/>
        </w:rPr>
        <w:t>Sehar</w:t>
      </w:r>
      <w:proofErr w:type="spellEnd"/>
      <w:r w:rsidRPr="006E050D">
        <w:rPr>
          <w:rFonts w:ascii="Times New Roman" w:hAnsi="Times New Roman" w:cs="Times New Roman"/>
          <w:bCs/>
        </w:rPr>
        <w:t xml:space="preserve"> et al. </w:t>
      </w:r>
      <w:r w:rsidR="00465F3D">
        <w:rPr>
          <w:rFonts w:ascii="Times New Roman" w:hAnsi="Times New Roman" w:cs="Times New Roman"/>
          <w:bCs/>
        </w:rPr>
        <w:t>[11]</w:t>
      </w:r>
      <w:r w:rsidRPr="006E050D">
        <w:rPr>
          <w:rFonts w:ascii="Times New Roman" w:hAnsi="Times New Roman" w:cs="Times New Roman"/>
          <w:bCs/>
        </w:rPr>
        <w:t xml:space="preserve"> used World Development Indicators panel data from 2000 to 2023 to examine the impact of gender equality on economic growth. The study examined major gender-related factors such as female labour force participation, secondary school enrolment, and women's representation in national parliaments</w:t>
      </w:r>
      <w:r>
        <w:rPr>
          <w:rFonts w:ascii="Times New Roman" w:hAnsi="Times New Roman" w:cs="Times New Roman"/>
          <w:bCs/>
        </w:rPr>
        <w:t xml:space="preserve">, </w:t>
      </w:r>
      <w:r w:rsidRPr="0043273E">
        <w:rPr>
          <w:rFonts w:ascii="Times New Roman" w:hAnsi="Times New Roman" w:cs="Times New Roman"/>
          <w:bCs/>
        </w:rPr>
        <w:t xml:space="preserve">while controlling for gross capital formation. </w:t>
      </w:r>
      <w:r w:rsidRPr="006E050D">
        <w:rPr>
          <w:rFonts w:ascii="Times New Roman" w:hAnsi="Times New Roman" w:cs="Times New Roman"/>
          <w:bCs/>
        </w:rPr>
        <w:t>The results showed that female secondary education was the most influential</w:t>
      </w:r>
      <w:r>
        <w:rPr>
          <w:rFonts w:ascii="Times New Roman" w:hAnsi="Times New Roman" w:cs="Times New Roman"/>
          <w:bCs/>
        </w:rPr>
        <w:t xml:space="preserve"> </w:t>
      </w:r>
      <w:r w:rsidRPr="0043273E">
        <w:rPr>
          <w:rFonts w:ascii="Times New Roman" w:hAnsi="Times New Roman" w:cs="Times New Roman"/>
          <w:bCs/>
        </w:rPr>
        <w:t xml:space="preserve">factor, where a 1% increase was associated with a $269 rise in GDP per capita. </w:t>
      </w:r>
      <w:r w:rsidRPr="00B068D0">
        <w:rPr>
          <w:rFonts w:ascii="Times New Roman" w:hAnsi="Times New Roman" w:cs="Times New Roman"/>
          <w:bCs/>
        </w:rPr>
        <w:t xml:space="preserve">Although female labour force participation and political representation had positive coefficients, the effects were statistically insignificant, </w:t>
      </w:r>
      <w:r w:rsidRPr="00B068D0">
        <w:rPr>
          <w:rFonts w:ascii="Times New Roman" w:hAnsi="Times New Roman" w:cs="Times New Roman"/>
          <w:bCs/>
        </w:rPr>
        <w:lastRenderedPageBreak/>
        <w:t>pointing to underlying structural constraints</w:t>
      </w:r>
      <w:r w:rsidRPr="0043273E">
        <w:rPr>
          <w:rFonts w:ascii="Times New Roman" w:hAnsi="Times New Roman" w:cs="Times New Roman"/>
          <w:bCs/>
        </w:rPr>
        <w:t>. Gross capital formation remained a robust and positive driver of economic growth</w:t>
      </w:r>
      <w:r w:rsidRPr="00B40FA4">
        <w:rPr>
          <w:rFonts w:ascii="Times New Roman" w:hAnsi="Times New Roman" w:cs="Times New Roman"/>
          <w:bCs/>
        </w:rPr>
        <w:t>.</w:t>
      </w:r>
    </w:p>
    <w:p w14:paraId="3FA568B2" w14:textId="41A47E06" w:rsidR="00832003" w:rsidRPr="00B40FA4" w:rsidRDefault="00832003" w:rsidP="00832003">
      <w:pPr>
        <w:spacing w:line="480" w:lineRule="auto"/>
        <w:jc w:val="both"/>
        <w:rPr>
          <w:rFonts w:ascii="Times New Roman" w:hAnsi="Times New Roman" w:cs="Times New Roman"/>
        </w:rPr>
      </w:pPr>
      <w:bookmarkStart w:id="4" w:name="_Hlk204296658"/>
      <w:r w:rsidRPr="00130A1E">
        <w:rPr>
          <w:rFonts w:ascii="Times New Roman" w:hAnsi="Times New Roman" w:cs="Times New Roman"/>
        </w:rPr>
        <w:t xml:space="preserve">Keller </w:t>
      </w:r>
      <w:r w:rsidR="00337BDF">
        <w:rPr>
          <w:rFonts w:ascii="Times New Roman" w:hAnsi="Times New Roman" w:cs="Times New Roman"/>
        </w:rPr>
        <w:t>[29]</w:t>
      </w:r>
      <w:r w:rsidRPr="00130A1E">
        <w:rPr>
          <w:rFonts w:ascii="Times New Roman" w:hAnsi="Times New Roman" w:cs="Times New Roman"/>
        </w:rPr>
        <w:t xml:space="preserve"> used global panel data regressions to investigate the effects of female and male enrolment rates in primary, secondary, and higher education on GDP per capita. The study also looked at how the gender parity index (GPI) affected different levels of schooling. The results were highly statistically significant, typically at the 1% level.</w:t>
      </w:r>
      <w:r>
        <w:rPr>
          <w:rFonts w:ascii="Times New Roman" w:hAnsi="Times New Roman" w:cs="Times New Roman"/>
        </w:rPr>
        <w:t xml:space="preserve"> </w:t>
      </w:r>
      <w:r w:rsidRPr="00200C1C">
        <w:rPr>
          <w:rFonts w:ascii="Times New Roman" w:hAnsi="Times New Roman" w:cs="Times New Roman"/>
        </w:rPr>
        <w:t>Female enrolment was linked to a variety of economic and social benefits, including lower fertility and infant mortality rates, decreased poverty and inequality, and increased trade openness, investment (both domestic and international), R&amp;D spending, savings rates, and political rights</w:t>
      </w:r>
      <w:r w:rsidRPr="00B40FA4">
        <w:rPr>
          <w:rFonts w:ascii="Times New Roman" w:hAnsi="Times New Roman" w:cs="Times New Roman"/>
        </w:rPr>
        <w:t>.</w:t>
      </w:r>
    </w:p>
    <w:p w14:paraId="47AE4955" w14:textId="31858F33" w:rsidR="00832003" w:rsidRPr="00B40FA4" w:rsidRDefault="00215C78" w:rsidP="00832003">
      <w:pPr>
        <w:spacing w:line="480" w:lineRule="auto"/>
        <w:jc w:val="both"/>
        <w:rPr>
          <w:rFonts w:ascii="Times New Roman" w:hAnsi="Times New Roman" w:cs="Times New Roman"/>
        </w:rPr>
      </w:pPr>
      <w:r>
        <w:rPr>
          <w:rFonts w:ascii="Times New Roman" w:hAnsi="Times New Roman" w:cs="Times New Roman"/>
        </w:rPr>
        <w:t>Fe</w:t>
      </w:r>
      <w:r w:rsidR="00832003" w:rsidRPr="004A3DB0">
        <w:rPr>
          <w:rFonts w:ascii="Times New Roman" w:hAnsi="Times New Roman" w:cs="Times New Roman"/>
        </w:rPr>
        <w:t xml:space="preserve"> </w:t>
      </w:r>
      <w:r>
        <w:rPr>
          <w:rFonts w:ascii="Times New Roman" w:hAnsi="Times New Roman" w:cs="Times New Roman"/>
        </w:rPr>
        <w:t>[30]</w:t>
      </w:r>
      <w:r w:rsidR="009015BA">
        <w:rPr>
          <w:rFonts w:ascii="Times New Roman" w:hAnsi="Times New Roman" w:cs="Times New Roman"/>
        </w:rPr>
        <w:t xml:space="preserve"> </w:t>
      </w:r>
      <w:r w:rsidR="00832003" w:rsidRPr="004A3DB0">
        <w:rPr>
          <w:rFonts w:ascii="Times New Roman" w:hAnsi="Times New Roman" w:cs="Times New Roman"/>
        </w:rPr>
        <w:t xml:space="preserve">used panel data to examine gender parity in education and its impact on per capita income in 13 West African countries. </w:t>
      </w:r>
      <w:r w:rsidR="00832003" w:rsidRPr="00EB3120">
        <w:rPr>
          <w:rFonts w:ascii="Times New Roman" w:hAnsi="Times New Roman" w:cs="Times New Roman"/>
        </w:rPr>
        <w:t xml:space="preserve">The study focused on secondary and </w:t>
      </w:r>
      <w:r w:rsidR="00832003">
        <w:rPr>
          <w:rFonts w:ascii="Times New Roman" w:hAnsi="Times New Roman" w:cs="Times New Roman"/>
        </w:rPr>
        <w:t>university</w:t>
      </w:r>
      <w:r w:rsidR="00832003" w:rsidRPr="00EB3120">
        <w:rPr>
          <w:rFonts w:ascii="Times New Roman" w:hAnsi="Times New Roman" w:cs="Times New Roman"/>
        </w:rPr>
        <w:t xml:space="preserve"> education and found persistent educational inequality, typically </w:t>
      </w:r>
      <w:proofErr w:type="spellStart"/>
      <w:r w:rsidR="00832003" w:rsidRPr="00EB3120">
        <w:rPr>
          <w:rFonts w:ascii="Times New Roman" w:hAnsi="Times New Roman" w:cs="Times New Roman"/>
        </w:rPr>
        <w:t>favoring</w:t>
      </w:r>
      <w:proofErr w:type="spellEnd"/>
      <w:r w:rsidR="00832003" w:rsidRPr="00EB3120">
        <w:rPr>
          <w:rFonts w:ascii="Times New Roman" w:hAnsi="Times New Roman" w:cs="Times New Roman"/>
        </w:rPr>
        <w:t xml:space="preserve"> boys, with the exception of Cabo Verde. </w:t>
      </w:r>
      <w:r w:rsidR="00832003" w:rsidRPr="004A3DB0">
        <w:rPr>
          <w:rFonts w:ascii="Times New Roman" w:hAnsi="Times New Roman" w:cs="Times New Roman"/>
        </w:rPr>
        <w:t>The findings suggested that eliminating gender gaps at both educational levels has a beneficial effect on GDP per capita across the region</w:t>
      </w:r>
      <w:r w:rsidR="00832003" w:rsidRPr="00B40FA4">
        <w:rPr>
          <w:rFonts w:ascii="Times New Roman" w:hAnsi="Times New Roman" w:cs="Times New Roman"/>
        </w:rPr>
        <w:t>.</w:t>
      </w:r>
    </w:p>
    <w:p w14:paraId="04402576" w14:textId="0B1080C5" w:rsidR="00832003" w:rsidRDefault="00832003" w:rsidP="00832003">
      <w:pPr>
        <w:spacing w:line="480" w:lineRule="auto"/>
        <w:jc w:val="both"/>
        <w:rPr>
          <w:rFonts w:ascii="Times New Roman" w:hAnsi="Times New Roman" w:cs="Times New Roman"/>
        </w:rPr>
      </w:pPr>
      <w:r w:rsidRPr="0024621A">
        <w:rPr>
          <w:rFonts w:ascii="Times New Roman" w:hAnsi="Times New Roman" w:cs="Times New Roman"/>
        </w:rPr>
        <w:t xml:space="preserve">From 1980 to 2014, </w:t>
      </w:r>
      <w:proofErr w:type="spellStart"/>
      <w:r w:rsidRPr="0024621A">
        <w:rPr>
          <w:rFonts w:ascii="Times New Roman" w:hAnsi="Times New Roman" w:cs="Times New Roman"/>
        </w:rPr>
        <w:t>Assoumou</w:t>
      </w:r>
      <w:proofErr w:type="spellEnd"/>
      <w:r w:rsidRPr="0024621A">
        <w:rPr>
          <w:rFonts w:ascii="Times New Roman" w:hAnsi="Times New Roman" w:cs="Times New Roman"/>
        </w:rPr>
        <w:t xml:space="preserve">-Ella </w:t>
      </w:r>
      <w:r w:rsidR="009015BA">
        <w:rPr>
          <w:rFonts w:ascii="Times New Roman" w:hAnsi="Times New Roman" w:cs="Times New Roman"/>
        </w:rPr>
        <w:t>[10]</w:t>
      </w:r>
      <w:r w:rsidRPr="0024621A">
        <w:rPr>
          <w:rFonts w:ascii="Times New Roman" w:hAnsi="Times New Roman" w:cs="Times New Roman"/>
        </w:rPr>
        <w:t xml:space="preserve"> examined the direct and indirect effects of gender disparity in schooling on GDP per capita in CEMAC nations. </w:t>
      </w:r>
      <w:r w:rsidRPr="00A31707">
        <w:rPr>
          <w:rFonts w:ascii="Times New Roman" w:hAnsi="Times New Roman" w:cs="Times New Roman"/>
        </w:rPr>
        <w:t xml:space="preserve">Utilizing instrumental variable (IV) estimation </w:t>
      </w:r>
      <w:r w:rsidRPr="0024621A">
        <w:rPr>
          <w:rFonts w:ascii="Times New Roman" w:hAnsi="Times New Roman" w:cs="Times New Roman"/>
        </w:rPr>
        <w:t>in conjunction with</w:t>
      </w:r>
      <w:r w:rsidRPr="00A31707">
        <w:rPr>
          <w:rFonts w:ascii="Times New Roman" w:hAnsi="Times New Roman" w:cs="Times New Roman"/>
        </w:rPr>
        <w:t xml:space="preserve"> the </w:t>
      </w:r>
      <w:r w:rsidRPr="0024621A">
        <w:rPr>
          <w:rFonts w:ascii="Times New Roman" w:hAnsi="Times New Roman" w:cs="Times New Roman"/>
        </w:rPr>
        <w:t xml:space="preserve">Blundell and Bond's (1998) system-GMM estimator, found that increases in gender equality at the primary-secondary and tertiary levels considerably increased GDP per capita. </w:t>
      </w:r>
      <w:r>
        <w:rPr>
          <w:rFonts w:ascii="Times New Roman" w:hAnsi="Times New Roman" w:cs="Times New Roman"/>
        </w:rPr>
        <w:t>This</w:t>
      </w:r>
      <w:r w:rsidRPr="00A31707">
        <w:rPr>
          <w:rFonts w:ascii="Times New Roman" w:hAnsi="Times New Roman" w:cs="Times New Roman"/>
        </w:rPr>
        <w:t xml:space="preserve"> highlight</w:t>
      </w:r>
      <w:r>
        <w:rPr>
          <w:rFonts w:ascii="Times New Roman" w:hAnsi="Times New Roman" w:cs="Times New Roman"/>
        </w:rPr>
        <w:t>s</w:t>
      </w:r>
      <w:r w:rsidRPr="00A31707">
        <w:rPr>
          <w:rFonts w:ascii="Times New Roman" w:hAnsi="Times New Roman" w:cs="Times New Roman"/>
        </w:rPr>
        <w:t xml:space="preserve"> the critical role of equitable educational access in fostering economic development</w:t>
      </w:r>
      <w:r w:rsidRPr="00A27D69">
        <w:rPr>
          <w:rFonts w:ascii="Times New Roman" w:hAnsi="Times New Roman" w:cs="Times New Roman"/>
        </w:rPr>
        <w:t>.</w:t>
      </w:r>
    </w:p>
    <w:p w14:paraId="2BE9E2B4" w14:textId="719DA30B" w:rsidR="00832003" w:rsidRPr="00291330" w:rsidRDefault="00832003" w:rsidP="00832003">
      <w:pPr>
        <w:spacing w:line="480" w:lineRule="auto"/>
        <w:jc w:val="both"/>
        <w:rPr>
          <w:rFonts w:ascii="Times New Roman" w:hAnsi="Times New Roman" w:cs="Times New Roman"/>
        </w:rPr>
      </w:pPr>
      <w:r w:rsidRPr="00C45297">
        <w:rPr>
          <w:rFonts w:ascii="Times New Roman" w:hAnsi="Times New Roman" w:cs="Times New Roman"/>
        </w:rPr>
        <w:t xml:space="preserve">Carter et al. </w:t>
      </w:r>
      <w:r w:rsidR="00DC61A0">
        <w:rPr>
          <w:rFonts w:ascii="Times New Roman" w:hAnsi="Times New Roman" w:cs="Times New Roman"/>
        </w:rPr>
        <w:t>[31]</w:t>
      </w:r>
      <w:r w:rsidRPr="00C45297">
        <w:rPr>
          <w:rFonts w:ascii="Times New Roman" w:hAnsi="Times New Roman" w:cs="Times New Roman"/>
        </w:rPr>
        <w:t xml:space="preserve"> presented empirical evidence on the relationship between government expenditure components and Barbados' economic growth. They used Dynamic Ordinary Least Squares (DOLS) and the Unrestricted Error Correction Model (UECM) to analyse time series data from 1976 to 2011</w:t>
      </w:r>
      <w:r w:rsidRPr="00291330">
        <w:rPr>
          <w:rFonts w:ascii="Times New Roman" w:hAnsi="Times New Roman" w:cs="Times New Roman"/>
        </w:rPr>
        <w:t xml:space="preserve">. Their results indicated that total government </w:t>
      </w:r>
      <w:r>
        <w:rPr>
          <w:rFonts w:ascii="Times New Roman" w:hAnsi="Times New Roman" w:cs="Times New Roman"/>
        </w:rPr>
        <w:t>expenditure</w:t>
      </w:r>
      <w:r w:rsidRPr="00291330">
        <w:rPr>
          <w:rFonts w:ascii="Times New Roman" w:hAnsi="Times New Roman" w:cs="Times New Roman"/>
        </w:rPr>
        <w:t xml:space="preserve"> </w:t>
      </w:r>
      <w:r>
        <w:rPr>
          <w:rFonts w:ascii="Times New Roman" w:hAnsi="Times New Roman" w:cs="Times New Roman"/>
        </w:rPr>
        <w:t>had</w:t>
      </w:r>
      <w:r w:rsidRPr="00291330">
        <w:rPr>
          <w:rFonts w:ascii="Times New Roman" w:hAnsi="Times New Roman" w:cs="Times New Roman"/>
        </w:rPr>
        <w:t xml:space="preserve"> a </w:t>
      </w:r>
      <w:r w:rsidRPr="00291330">
        <w:rPr>
          <w:rFonts w:ascii="Times New Roman" w:hAnsi="Times New Roman" w:cs="Times New Roman"/>
        </w:rPr>
        <w:lastRenderedPageBreak/>
        <w:t xml:space="preserve">contractionary </w:t>
      </w:r>
      <w:r>
        <w:rPr>
          <w:rFonts w:ascii="Times New Roman" w:hAnsi="Times New Roman" w:cs="Times New Roman"/>
        </w:rPr>
        <w:t>influence</w:t>
      </w:r>
      <w:r w:rsidRPr="00291330">
        <w:rPr>
          <w:rFonts w:ascii="Times New Roman" w:hAnsi="Times New Roman" w:cs="Times New Roman"/>
        </w:rPr>
        <w:t xml:space="preserve"> on economic growth, particularly in the short run, with a more </w:t>
      </w:r>
      <w:r>
        <w:rPr>
          <w:rFonts w:ascii="Times New Roman" w:hAnsi="Times New Roman" w:cs="Times New Roman"/>
        </w:rPr>
        <w:t>muted</w:t>
      </w:r>
      <w:r w:rsidRPr="00291330">
        <w:rPr>
          <w:rFonts w:ascii="Times New Roman" w:hAnsi="Times New Roman" w:cs="Times New Roman"/>
        </w:rPr>
        <w:t xml:space="preserve"> impact </w:t>
      </w:r>
      <w:r>
        <w:rPr>
          <w:rFonts w:ascii="Times New Roman" w:hAnsi="Times New Roman" w:cs="Times New Roman"/>
        </w:rPr>
        <w:t xml:space="preserve">in </w:t>
      </w:r>
      <w:r w:rsidRPr="00291330">
        <w:rPr>
          <w:rFonts w:ascii="Times New Roman" w:hAnsi="Times New Roman" w:cs="Times New Roman"/>
        </w:rPr>
        <w:t xml:space="preserve">the long </w:t>
      </w:r>
      <w:r>
        <w:rPr>
          <w:rFonts w:ascii="Times New Roman" w:hAnsi="Times New Roman" w:cs="Times New Roman"/>
        </w:rPr>
        <w:t>run</w:t>
      </w:r>
      <w:r w:rsidRPr="00291330">
        <w:rPr>
          <w:rFonts w:ascii="Times New Roman" w:hAnsi="Times New Roman" w:cs="Times New Roman"/>
        </w:rPr>
        <w:t xml:space="preserve">. More specifically, while </w:t>
      </w:r>
      <w:r w:rsidRPr="00C45297">
        <w:rPr>
          <w:rFonts w:ascii="Times New Roman" w:hAnsi="Times New Roman" w:cs="Times New Roman"/>
        </w:rPr>
        <w:t>government spending on health and social security had little or no effect on per capita economic growth, government spending on education had a consistently significant and negative impact on growth in both the short and long run</w:t>
      </w:r>
      <w:r w:rsidRPr="00291330">
        <w:rPr>
          <w:rFonts w:ascii="Times New Roman" w:hAnsi="Times New Roman" w:cs="Times New Roman"/>
        </w:rPr>
        <w:t>.</w:t>
      </w:r>
    </w:p>
    <w:p w14:paraId="46AAEE21" w14:textId="583EFBDE" w:rsidR="00832003" w:rsidRPr="00A27D69" w:rsidRDefault="00832003" w:rsidP="00832003">
      <w:pPr>
        <w:spacing w:line="480" w:lineRule="auto"/>
        <w:jc w:val="both"/>
        <w:rPr>
          <w:rFonts w:ascii="Times New Roman" w:hAnsi="Times New Roman" w:cs="Times New Roman"/>
        </w:rPr>
      </w:pPr>
      <w:proofErr w:type="spellStart"/>
      <w:r w:rsidRPr="008E7854">
        <w:rPr>
          <w:rFonts w:ascii="Times New Roman" w:hAnsi="Times New Roman" w:cs="Times New Roman"/>
        </w:rPr>
        <w:t>Duwal</w:t>
      </w:r>
      <w:proofErr w:type="spellEnd"/>
      <w:r w:rsidRPr="008E7854">
        <w:rPr>
          <w:rFonts w:ascii="Times New Roman" w:hAnsi="Times New Roman" w:cs="Times New Roman"/>
        </w:rPr>
        <w:t xml:space="preserve"> and </w:t>
      </w:r>
      <w:proofErr w:type="spellStart"/>
      <w:r w:rsidRPr="008E7854">
        <w:rPr>
          <w:rFonts w:ascii="Times New Roman" w:hAnsi="Times New Roman" w:cs="Times New Roman"/>
        </w:rPr>
        <w:t>Suwal</w:t>
      </w:r>
      <w:proofErr w:type="spellEnd"/>
      <w:r w:rsidRPr="008E7854">
        <w:rPr>
          <w:rFonts w:ascii="Times New Roman" w:hAnsi="Times New Roman" w:cs="Times New Roman"/>
        </w:rPr>
        <w:t xml:space="preserve"> </w:t>
      </w:r>
      <w:r w:rsidR="001B6BE2">
        <w:rPr>
          <w:rFonts w:ascii="Times New Roman" w:hAnsi="Times New Roman" w:cs="Times New Roman"/>
        </w:rPr>
        <w:t>[32]</w:t>
      </w:r>
      <w:r w:rsidRPr="008E7854">
        <w:rPr>
          <w:rFonts w:ascii="Times New Roman" w:hAnsi="Times New Roman" w:cs="Times New Roman"/>
        </w:rPr>
        <w:t xml:space="preserve"> investigated the relationship between educational attainment, government spending on education, and economic growth in Nepal from 1990 to 2022. They used the Autoregressive Distributed Lag (ARDL) model and the Error Correction Model (ECM) to examine both long-run and short-run dynamics</w:t>
      </w:r>
      <w:r w:rsidRPr="00291330">
        <w:rPr>
          <w:rFonts w:ascii="Times New Roman" w:hAnsi="Times New Roman" w:cs="Times New Roman"/>
        </w:rPr>
        <w:t>.</w:t>
      </w:r>
      <w:r>
        <w:rPr>
          <w:rFonts w:ascii="Times New Roman" w:hAnsi="Times New Roman" w:cs="Times New Roman"/>
        </w:rPr>
        <w:t xml:space="preserve"> </w:t>
      </w:r>
      <w:r w:rsidRPr="008E7854">
        <w:rPr>
          <w:rFonts w:ascii="Times New Roman" w:hAnsi="Times New Roman" w:cs="Times New Roman"/>
        </w:rPr>
        <w:t>Their findings demonstrated that the educational index, gross capital formation, and population size all had a favourable and significant long-term impact on economic growth. Conversely, government spending on education, domestic loans to the private sector, and trade liberalisation all had negative and statistically negligible effects on long-run growth.</w:t>
      </w:r>
      <w:r>
        <w:rPr>
          <w:rFonts w:ascii="Times New Roman" w:hAnsi="Times New Roman" w:cs="Times New Roman"/>
        </w:rPr>
        <w:t xml:space="preserve"> </w:t>
      </w:r>
      <w:r w:rsidRPr="008E7854">
        <w:rPr>
          <w:rFonts w:ascii="Times New Roman" w:hAnsi="Times New Roman" w:cs="Times New Roman"/>
        </w:rPr>
        <w:t>In the short term, the educational index had a negative and considerable impact on economic growth.</w:t>
      </w:r>
    </w:p>
    <w:bookmarkEnd w:id="4"/>
    <w:p w14:paraId="267E408E" w14:textId="77777777" w:rsidR="00832003" w:rsidRPr="00A614CB" w:rsidRDefault="00832003" w:rsidP="00832003">
      <w:pPr>
        <w:spacing w:line="480" w:lineRule="auto"/>
        <w:jc w:val="both"/>
        <w:rPr>
          <w:rFonts w:ascii="Times New Roman" w:hAnsi="Times New Roman" w:cs="Times New Roman"/>
          <w:b/>
          <w:bCs/>
        </w:rPr>
      </w:pPr>
      <w:r w:rsidRPr="00A614CB">
        <w:rPr>
          <w:rFonts w:ascii="Times New Roman" w:hAnsi="Times New Roman" w:cs="Times New Roman"/>
          <w:b/>
          <w:bCs/>
        </w:rPr>
        <w:t xml:space="preserve">3. </w:t>
      </w:r>
      <w:bookmarkStart w:id="5" w:name="_Hlk175062999"/>
      <w:r w:rsidRPr="00A614CB">
        <w:rPr>
          <w:rFonts w:ascii="Times New Roman" w:hAnsi="Times New Roman" w:cs="Times New Roman"/>
          <w:b/>
          <w:bCs/>
        </w:rPr>
        <w:t>Methodology</w:t>
      </w:r>
    </w:p>
    <w:p w14:paraId="340EB830" w14:textId="1370996E" w:rsidR="00832003" w:rsidRPr="00BB0EDC" w:rsidRDefault="00832003" w:rsidP="00BB0EDC">
      <w:pPr>
        <w:spacing w:line="480" w:lineRule="auto"/>
        <w:jc w:val="both"/>
        <w:rPr>
          <w:rFonts w:ascii="Times New Roman" w:eastAsia="Calibri" w:hAnsi="Times New Roman" w:cs="Times New Roman"/>
          <w:bCs/>
        </w:rPr>
      </w:pPr>
      <w:r w:rsidRPr="00A614CB">
        <w:rPr>
          <w:rFonts w:ascii="Times New Roman" w:eastAsia="Calibri" w:hAnsi="Times New Roman" w:cs="Times New Roman"/>
          <w:bCs/>
        </w:rPr>
        <w:t>This study adopt</w:t>
      </w:r>
      <w:r>
        <w:rPr>
          <w:rFonts w:ascii="Times New Roman" w:eastAsia="Calibri" w:hAnsi="Times New Roman" w:cs="Times New Roman"/>
          <w:bCs/>
        </w:rPr>
        <w:t>s</w:t>
      </w:r>
      <w:r w:rsidRPr="00A614CB">
        <w:rPr>
          <w:rFonts w:ascii="Times New Roman" w:eastAsia="Calibri" w:hAnsi="Times New Roman" w:cs="Times New Roman"/>
          <w:bCs/>
        </w:rPr>
        <w:t xml:space="preserve"> the ex-post research design</w:t>
      </w:r>
      <w:r>
        <w:rPr>
          <w:rFonts w:ascii="Times New Roman" w:eastAsia="Calibri" w:hAnsi="Times New Roman" w:cs="Times New Roman"/>
          <w:bCs/>
        </w:rPr>
        <w:t xml:space="preserve">, while </w:t>
      </w:r>
      <w:r>
        <w:rPr>
          <w:rFonts w:ascii="Times New Roman" w:hAnsi="Times New Roman" w:cs="Times New Roman"/>
        </w:rPr>
        <w:t>t</w:t>
      </w:r>
      <w:r w:rsidRPr="00A614CB">
        <w:rPr>
          <w:rFonts w:ascii="Times New Roman" w:hAnsi="Times New Roman" w:cs="Times New Roman"/>
        </w:rPr>
        <w:t xml:space="preserve">he data </w:t>
      </w:r>
      <w:r>
        <w:rPr>
          <w:rFonts w:ascii="Times New Roman" w:hAnsi="Times New Roman" w:cs="Times New Roman"/>
        </w:rPr>
        <w:t>used</w:t>
      </w:r>
      <w:r w:rsidRPr="00A614CB">
        <w:rPr>
          <w:rFonts w:ascii="Times New Roman" w:hAnsi="Times New Roman" w:cs="Times New Roman"/>
        </w:rPr>
        <w:t xml:space="preserve"> </w:t>
      </w:r>
      <w:r>
        <w:rPr>
          <w:rFonts w:ascii="Times New Roman" w:hAnsi="Times New Roman" w:cs="Times New Roman"/>
        </w:rPr>
        <w:t>were</w:t>
      </w:r>
      <w:r w:rsidRPr="00A614CB">
        <w:rPr>
          <w:rFonts w:ascii="Times New Roman" w:hAnsi="Times New Roman" w:cs="Times New Roman"/>
        </w:rPr>
        <w:t xml:space="preserve"> </w:t>
      </w:r>
      <w:r>
        <w:rPr>
          <w:rFonts w:ascii="Times New Roman" w:hAnsi="Times New Roman" w:cs="Times New Roman"/>
        </w:rPr>
        <w:t>sourced</w:t>
      </w:r>
      <w:r w:rsidRPr="00A614CB">
        <w:rPr>
          <w:rFonts w:ascii="Times New Roman" w:hAnsi="Times New Roman" w:cs="Times New Roman"/>
        </w:rPr>
        <w:t xml:space="preserve"> from the World </w:t>
      </w:r>
      <w:r>
        <w:rPr>
          <w:rFonts w:ascii="Times New Roman" w:hAnsi="Times New Roman" w:cs="Times New Roman"/>
        </w:rPr>
        <w:t>Development Indicators</w:t>
      </w:r>
      <w:r w:rsidRPr="00A614CB">
        <w:rPr>
          <w:rFonts w:ascii="Times New Roman" w:hAnsi="Times New Roman" w:cs="Times New Roman"/>
        </w:rPr>
        <w:t xml:space="preserve">, </w:t>
      </w:r>
      <w:r>
        <w:rPr>
          <w:rFonts w:ascii="Times New Roman" w:hAnsi="Times New Roman" w:cs="Times New Roman"/>
        </w:rPr>
        <w:t>and the CBN Statistical Bulletin</w:t>
      </w:r>
      <w:r w:rsidRPr="00A614CB">
        <w:rPr>
          <w:rFonts w:ascii="Times New Roman" w:hAnsi="Times New Roman" w:cs="Times New Roman"/>
        </w:rPr>
        <w:t xml:space="preserve"> from 199</w:t>
      </w:r>
      <w:r>
        <w:rPr>
          <w:rFonts w:ascii="Times New Roman" w:hAnsi="Times New Roman" w:cs="Times New Roman"/>
        </w:rPr>
        <w:t>0</w:t>
      </w:r>
      <w:r w:rsidRPr="00A614CB">
        <w:rPr>
          <w:rFonts w:ascii="Times New Roman" w:hAnsi="Times New Roman" w:cs="Times New Roman"/>
        </w:rPr>
        <w:t>-202</w:t>
      </w:r>
      <w:r>
        <w:rPr>
          <w:rFonts w:ascii="Times New Roman" w:hAnsi="Times New Roman" w:cs="Times New Roman"/>
        </w:rPr>
        <w:t xml:space="preserve">3. The dependent variable for the study is real </w:t>
      </w:r>
      <w:r w:rsidRPr="00D64ABA">
        <w:rPr>
          <w:rFonts w:ascii="Times New Roman" w:hAnsi="Times New Roman" w:cs="Times New Roman"/>
        </w:rPr>
        <w:t>GDP per capita,</w:t>
      </w:r>
      <w:r>
        <w:rPr>
          <w:rFonts w:ascii="Times New Roman" w:hAnsi="Times New Roman" w:cs="Times New Roman"/>
        </w:rPr>
        <w:t xml:space="preserve"> </w:t>
      </w:r>
      <w:r w:rsidRPr="00D64ABA">
        <w:rPr>
          <w:rFonts w:ascii="Times New Roman" w:hAnsi="Times New Roman" w:cs="Times New Roman"/>
        </w:rPr>
        <w:t>expressed in constant 20</w:t>
      </w:r>
      <w:r>
        <w:rPr>
          <w:rFonts w:ascii="Times New Roman" w:hAnsi="Times New Roman" w:cs="Times New Roman"/>
        </w:rPr>
        <w:t>1</w:t>
      </w:r>
      <w:r w:rsidRPr="00D64ABA">
        <w:rPr>
          <w:rFonts w:ascii="Times New Roman" w:hAnsi="Times New Roman" w:cs="Times New Roman"/>
        </w:rPr>
        <w:t>5</w:t>
      </w:r>
      <w:r>
        <w:rPr>
          <w:rFonts w:ascii="Times New Roman" w:hAnsi="Times New Roman" w:cs="Times New Roman"/>
        </w:rPr>
        <w:t xml:space="preserve"> US$, while the independent variables include </w:t>
      </w:r>
      <w:r>
        <w:rPr>
          <w:rFonts w:ascii="Times New Roman" w:hAnsi="Times New Roman" w:cs="Times New Roman"/>
          <w:bCs/>
        </w:rPr>
        <w:t xml:space="preserve">government </w:t>
      </w:r>
      <w:r w:rsidRPr="00386461">
        <w:rPr>
          <w:rFonts w:ascii="Times New Roman" w:hAnsi="Times New Roman" w:cs="Times New Roman"/>
          <w:bCs/>
        </w:rPr>
        <w:t xml:space="preserve">expenditure </w:t>
      </w:r>
      <w:r>
        <w:rPr>
          <w:rFonts w:ascii="Times New Roman" w:hAnsi="Times New Roman" w:cs="Times New Roman"/>
          <w:bCs/>
        </w:rPr>
        <w:t xml:space="preserve">on </w:t>
      </w:r>
      <w:r w:rsidRPr="00386461">
        <w:rPr>
          <w:rFonts w:ascii="Times New Roman" w:hAnsi="Times New Roman" w:cs="Times New Roman"/>
          <w:bCs/>
        </w:rPr>
        <w:t>education</w:t>
      </w:r>
      <w:r>
        <w:rPr>
          <w:rFonts w:ascii="Times New Roman" w:hAnsi="Times New Roman" w:cs="Times New Roman"/>
          <w:bCs/>
        </w:rPr>
        <w:t xml:space="preserve">, </w:t>
      </w:r>
      <w:r w:rsidRPr="00386461">
        <w:rPr>
          <w:rFonts w:ascii="Times New Roman" w:hAnsi="Times New Roman" w:cs="Times New Roman"/>
          <w:bCs/>
        </w:rPr>
        <w:t>female secondary school enrolment (% gross)</w:t>
      </w:r>
      <w:r>
        <w:rPr>
          <w:rFonts w:ascii="Times New Roman" w:hAnsi="Times New Roman" w:cs="Times New Roman"/>
          <w:bCs/>
        </w:rPr>
        <w:t xml:space="preserve">, and </w:t>
      </w:r>
      <w:r w:rsidRPr="008C478D">
        <w:rPr>
          <w:rFonts w:ascii="Times New Roman" w:hAnsi="Times New Roman" w:cs="Times New Roman"/>
          <w:bCs/>
        </w:rPr>
        <w:t>gender parity index (GPI)</w:t>
      </w:r>
      <w:r>
        <w:rPr>
          <w:rFonts w:ascii="Times New Roman" w:hAnsi="Times New Roman" w:cs="Times New Roman"/>
          <w:bCs/>
        </w:rPr>
        <w:t xml:space="preserve"> for </w:t>
      </w:r>
      <w:r w:rsidRPr="008C478D">
        <w:rPr>
          <w:rFonts w:ascii="Times New Roman" w:hAnsi="Times New Roman" w:cs="Times New Roman"/>
          <w:bCs/>
        </w:rPr>
        <w:t xml:space="preserve">primary </w:t>
      </w:r>
      <w:r>
        <w:rPr>
          <w:rFonts w:ascii="Times New Roman" w:hAnsi="Times New Roman" w:cs="Times New Roman"/>
          <w:bCs/>
        </w:rPr>
        <w:t>s</w:t>
      </w:r>
      <w:r w:rsidRPr="008C478D">
        <w:rPr>
          <w:rFonts w:ascii="Times New Roman" w:hAnsi="Times New Roman" w:cs="Times New Roman"/>
          <w:bCs/>
        </w:rPr>
        <w:t xml:space="preserve">chool </w:t>
      </w:r>
      <w:r>
        <w:rPr>
          <w:rFonts w:ascii="Times New Roman" w:hAnsi="Times New Roman" w:cs="Times New Roman"/>
          <w:bCs/>
        </w:rPr>
        <w:t>enrolment (</w:t>
      </w:r>
      <w:r w:rsidRPr="00386461">
        <w:rPr>
          <w:rFonts w:ascii="Times New Roman" w:hAnsi="Times New Roman" w:cs="Times New Roman"/>
          <w:bCs/>
        </w:rPr>
        <w:t>%</w:t>
      </w:r>
      <w:r w:rsidR="00053F2E">
        <w:rPr>
          <w:rFonts w:ascii="Times New Roman" w:hAnsi="Times New Roman" w:cs="Times New Roman"/>
          <w:bCs/>
        </w:rPr>
        <w:t xml:space="preserve"> </w:t>
      </w:r>
      <w:r w:rsidRPr="008C478D">
        <w:rPr>
          <w:rFonts w:ascii="Times New Roman" w:hAnsi="Times New Roman" w:cs="Times New Roman"/>
          <w:bCs/>
        </w:rPr>
        <w:t>gross)</w:t>
      </w:r>
      <w:r>
        <w:rPr>
          <w:rFonts w:ascii="Times New Roman" w:hAnsi="Times New Roman" w:cs="Times New Roman"/>
          <w:bCs/>
        </w:rPr>
        <w:t>.</w:t>
      </w:r>
      <w:r w:rsidR="00BB0EDC">
        <w:rPr>
          <w:rFonts w:ascii="Times New Roman" w:eastAsia="Calibri" w:hAnsi="Times New Roman" w:cs="Times New Roman"/>
          <w:bCs/>
        </w:rPr>
        <w:t xml:space="preserve"> </w:t>
      </w:r>
      <w:r w:rsidRPr="00A614CB">
        <w:rPr>
          <w:rFonts w:ascii="Times New Roman" w:hAnsi="Times New Roman" w:cs="Times New Roman"/>
        </w:rPr>
        <w:t xml:space="preserve">To achieve the objective of this study, the </w:t>
      </w:r>
      <w:r>
        <w:rPr>
          <w:rFonts w:ascii="Times New Roman" w:hAnsi="Times New Roman" w:cs="Times New Roman"/>
        </w:rPr>
        <w:t>study adopted the endogenous growth theory for model specifications.</w:t>
      </w:r>
    </w:p>
    <w:p w14:paraId="33BCD14B" w14:textId="24D29B54" w:rsidR="00832003" w:rsidRPr="002803FD" w:rsidRDefault="00FD3910" w:rsidP="00832003">
      <w:pPr>
        <w:spacing w:line="480" w:lineRule="auto"/>
        <w:ind w:right="90"/>
        <w:jc w:val="both"/>
        <w:rPr>
          <w:rFonts w:ascii="Times New Roman" w:hAnsi="Times New Roman" w:cs="Times New Roman"/>
          <w:b/>
          <w:bCs/>
        </w:rPr>
      </w:pPr>
      <w:r>
        <w:rPr>
          <w:rFonts w:ascii="Times New Roman" w:hAnsi="Times New Roman" w:cs="Times New Roman"/>
          <w:b/>
          <w:bCs/>
        </w:rPr>
        <w:t>F</w:t>
      </w:r>
      <w:r w:rsidR="00832003" w:rsidRPr="002803FD">
        <w:rPr>
          <w:rFonts w:ascii="Times New Roman" w:hAnsi="Times New Roman" w:cs="Times New Roman"/>
          <w:b/>
          <w:bCs/>
        </w:rPr>
        <w:t xml:space="preserve">unctional </w:t>
      </w:r>
      <w:r>
        <w:rPr>
          <w:rFonts w:ascii="Times New Roman" w:hAnsi="Times New Roman" w:cs="Times New Roman"/>
          <w:b/>
          <w:bCs/>
        </w:rPr>
        <w:t>F</w:t>
      </w:r>
      <w:r w:rsidR="00832003" w:rsidRPr="002803FD">
        <w:rPr>
          <w:rFonts w:ascii="Times New Roman" w:hAnsi="Times New Roman" w:cs="Times New Roman"/>
          <w:b/>
          <w:bCs/>
        </w:rPr>
        <w:t>orm</w:t>
      </w:r>
      <w:r>
        <w:rPr>
          <w:rFonts w:ascii="Times New Roman" w:hAnsi="Times New Roman" w:cs="Times New Roman"/>
          <w:b/>
          <w:bCs/>
        </w:rPr>
        <w:t xml:space="preserve"> of the Model</w:t>
      </w:r>
      <w:r w:rsidR="00832003" w:rsidRPr="002803FD">
        <w:rPr>
          <w:rFonts w:ascii="Times New Roman" w:hAnsi="Times New Roman" w:cs="Times New Roman"/>
          <w:b/>
          <w:bCs/>
        </w:rPr>
        <w:t>:</w:t>
      </w:r>
    </w:p>
    <w:p w14:paraId="6DB60B80" w14:textId="100C30F5" w:rsidR="00832003" w:rsidRDefault="00832003" w:rsidP="00832003">
      <w:pPr>
        <w:spacing w:line="480" w:lineRule="auto"/>
        <w:ind w:right="90"/>
        <w:jc w:val="both"/>
        <w:rPr>
          <w:rFonts w:ascii="Times New Roman" w:hAnsi="Times New Roman" w:cs="Times New Roman"/>
        </w:rPr>
      </w:pPr>
      <w:r w:rsidRPr="00520F2F">
        <w:rPr>
          <w:rFonts w:ascii="Times New Roman" w:hAnsi="Times New Roman" w:cs="Times New Roman"/>
        </w:rPr>
        <w:t>GDPPC</w:t>
      </w:r>
      <m:oMath>
        <m:r>
          <w:rPr>
            <w:rFonts w:ascii="Cambria Math" w:hAnsi="Cambria Math" w:cs="Times New Roman"/>
          </w:rPr>
          <m:t>ₜ</m:t>
        </m:r>
        <m:r>
          <m:rPr>
            <m:sty m:val="p"/>
          </m:rPr>
          <w:rPr>
            <w:rFonts w:ascii="Cambria Math" w:hAnsi="Cambria Math" w:cs="Times New Roman"/>
          </w:rPr>
          <m:t xml:space="preserve"> </m:t>
        </m:r>
      </m:oMath>
      <w:r w:rsidRPr="00520F2F">
        <w:rPr>
          <w:rFonts w:ascii="Times New Roman" w:hAnsi="Times New Roman" w:cs="Times New Roman"/>
        </w:rPr>
        <w:t xml:space="preserve">= </w:t>
      </w:r>
      <w:proofErr w:type="gramStart"/>
      <w:r w:rsidRPr="00520F2F">
        <w:rPr>
          <w:rFonts w:ascii="Times New Roman" w:hAnsi="Times New Roman" w:cs="Times New Roman"/>
          <w:i/>
          <w:iCs/>
        </w:rPr>
        <w:t>f</w:t>
      </w:r>
      <w:r w:rsidRPr="00520F2F">
        <w:rPr>
          <w:rFonts w:ascii="Times New Roman" w:hAnsi="Times New Roman" w:cs="Times New Roman"/>
        </w:rPr>
        <w:t>(</w:t>
      </w:r>
      <w:proofErr w:type="gramEnd"/>
      <w:r w:rsidR="00475CD9">
        <w:rPr>
          <w:rFonts w:ascii="Times New Roman" w:hAnsi="Times New Roman" w:cs="Times New Roman"/>
        </w:rPr>
        <w:t>G</w:t>
      </w:r>
      <w:r w:rsidRPr="00520F2F">
        <w:rPr>
          <w:rFonts w:ascii="Times New Roman" w:hAnsi="Times New Roman" w:cs="Times New Roman"/>
        </w:rPr>
        <w:t xml:space="preserve">EDU​, </w:t>
      </w:r>
      <w:r w:rsidRPr="00447773">
        <w:rPr>
          <w:rFonts w:ascii="Times New Roman" w:hAnsi="Times New Roman" w:cs="Times New Roman"/>
        </w:rPr>
        <w:t>FSE, GPI)</w:t>
      </w:r>
      <w:r w:rsidRPr="0044777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2B5D">
        <w:rPr>
          <w:rFonts w:ascii="Times New Roman" w:hAnsi="Times New Roman" w:cs="Times New Roman"/>
        </w:rPr>
        <w:t>1</w:t>
      </w:r>
    </w:p>
    <w:p w14:paraId="7BE424DC" w14:textId="646E09AF" w:rsidR="00832003" w:rsidRPr="00453999" w:rsidRDefault="00E412FA" w:rsidP="00832003">
      <w:pPr>
        <w:spacing w:line="480" w:lineRule="auto"/>
        <w:ind w:right="90"/>
        <w:jc w:val="both"/>
        <w:rPr>
          <w:rFonts w:ascii="Times New Roman" w:hAnsi="Times New Roman" w:cs="Times New Roman"/>
          <w:b/>
          <w:bCs/>
        </w:rPr>
      </w:pPr>
      <w:r>
        <w:rPr>
          <w:rFonts w:ascii="Times New Roman" w:hAnsi="Times New Roman" w:cs="Times New Roman"/>
          <w:b/>
          <w:bCs/>
        </w:rPr>
        <w:lastRenderedPageBreak/>
        <w:t>E</w:t>
      </w:r>
      <w:r w:rsidR="00832003" w:rsidRPr="00453999">
        <w:rPr>
          <w:rFonts w:ascii="Times New Roman" w:hAnsi="Times New Roman" w:cs="Times New Roman"/>
          <w:b/>
          <w:bCs/>
        </w:rPr>
        <w:t xml:space="preserve">conometric </w:t>
      </w:r>
      <w:r>
        <w:rPr>
          <w:rFonts w:ascii="Times New Roman" w:hAnsi="Times New Roman" w:cs="Times New Roman"/>
          <w:b/>
          <w:bCs/>
        </w:rPr>
        <w:t>F</w:t>
      </w:r>
      <w:r w:rsidR="00832003" w:rsidRPr="00453999">
        <w:rPr>
          <w:rFonts w:ascii="Times New Roman" w:hAnsi="Times New Roman" w:cs="Times New Roman"/>
          <w:b/>
          <w:bCs/>
        </w:rPr>
        <w:t>orm</w:t>
      </w:r>
      <w:r>
        <w:rPr>
          <w:rFonts w:ascii="Times New Roman" w:hAnsi="Times New Roman" w:cs="Times New Roman"/>
          <w:b/>
          <w:bCs/>
        </w:rPr>
        <w:t xml:space="preserve"> of the Model</w:t>
      </w:r>
      <w:r w:rsidR="00832003" w:rsidRPr="00453999">
        <w:rPr>
          <w:rFonts w:ascii="Times New Roman" w:hAnsi="Times New Roman" w:cs="Times New Roman"/>
          <w:b/>
          <w:bCs/>
        </w:rPr>
        <w:t>:</w:t>
      </w:r>
    </w:p>
    <w:p w14:paraId="7A66F365" w14:textId="2E6E1E65" w:rsidR="00832003" w:rsidRDefault="00832003" w:rsidP="00832003">
      <w:pPr>
        <w:spacing w:line="480" w:lineRule="auto"/>
        <w:ind w:right="90"/>
        <w:jc w:val="both"/>
        <w:rPr>
          <w:rFonts w:eastAsia="Calibri"/>
        </w:rPr>
      </w:pPr>
      <w:r w:rsidRPr="00DC5A2D">
        <w:rPr>
          <w:rFonts w:ascii="Times New Roman" w:hAnsi="Times New Roman" w:cs="Times New Roman"/>
          <w:iCs/>
        </w:rPr>
        <w:t>GDPPC</w:t>
      </w:r>
      <m:oMath>
        <m:r>
          <m:rPr>
            <m:sty m:val="p"/>
          </m:rPr>
          <w:rPr>
            <w:rFonts w:ascii="Cambria Math" w:hAnsi="Cambria Math" w:cs="Times New Roman"/>
          </w:rPr>
          <m:t>ₜ</m:t>
        </m:r>
      </m:oMath>
      <w:r w:rsidRPr="00DC5A2D">
        <w:rPr>
          <w:rFonts w:ascii="Times New Roman" w:hAnsi="Times New Roman" w:cs="Times New Roman"/>
          <w:iCs/>
        </w:rPr>
        <w:t xml:space="preserve"> = </w:t>
      </w:r>
      <m:oMath>
        <m:r>
          <m:rPr>
            <m:sty m:val="p"/>
          </m:rPr>
          <w:rPr>
            <w:rFonts w:ascii="Cambria Math" w:hAnsi="Cambria Math" w:cs="Times New Roman"/>
          </w:rPr>
          <m:t>α₀+ α₁ GEDUₜ+α₂FSEₜ+α₃GPIₜ+εₜ</m:t>
        </m:r>
      </m:oMath>
      <w:r w:rsidRPr="00A614CB">
        <w:rPr>
          <w:rStyle w:val="a"/>
          <w:rFonts w:eastAsia="Calibri"/>
        </w:rPr>
        <w:tab/>
      </w:r>
      <w:r>
        <w:rPr>
          <w:rStyle w:val="a"/>
          <w:rFonts w:eastAsia="Calibri"/>
        </w:rPr>
        <w:tab/>
      </w:r>
      <w:r w:rsidR="00DA58EB">
        <w:rPr>
          <w:rStyle w:val="a"/>
          <w:rFonts w:eastAsia="Calibri"/>
        </w:rPr>
        <w:tab/>
      </w:r>
      <w:r w:rsidR="00DA58EB">
        <w:rPr>
          <w:rStyle w:val="a"/>
          <w:rFonts w:eastAsia="Calibri"/>
        </w:rPr>
        <w:tab/>
      </w:r>
      <w:r w:rsidR="00C62170">
        <w:rPr>
          <w:rStyle w:val="a"/>
          <w:rFonts w:eastAsia="Calibri"/>
        </w:rPr>
        <w:tab/>
      </w:r>
      <w:r>
        <w:rPr>
          <w:rStyle w:val="a"/>
          <w:rFonts w:eastAsia="Calibri"/>
        </w:rPr>
        <w:t>2</w:t>
      </w:r>
      <w:bookmarkEnd w:id="5"/>
      <m:oMath>
        <m:r>
          <m:rPr>
            <m:sty m:val="p"/>
          </m:rPr>
          <w:rPr>
            <w:rFonts w:ascii="Cambria Math" w:hAnsi="Cambria Math" w:cs="Times New Roman"/>
          </w:rPr>
          <m:t xml:space="preserve"> </m:t>
        </m:r>
      </m:oMath>
    </w:p>
    <w:p w14:paraId="47741DE1" w14:textId="32C7746D" w:rsidR="00E412FA" w:rsidRDefault="00E412FA" w:rsidP="00832003">
      <w:pPr>
        <w:spacing w:line="480" w:lineRule="auto"/>
        <w:ind w:right="90"/>
        <w:jc w:val="both"/>
        <w:rPr>
          <w:rFonts w:ascii="Times New Roman" w:hAnsi="Times New Roman" w:cs="Times New Roman"/>
        </w:rPr>
      </w:pPr>
      <w:r>
        <w:rPr>
          <w:rFonts w:ascii="Times New Roman" w:hAnsi="Times New Roman" w:cs="Times New Roman"/>
        </w:rPr>
        <w:t>Where:</w:t>
      </w:r>
    </w:p>
    <w:p w14:paraId="077FAF88" w14:textId="28C26413" w:rsidR="00E412FA" w:rsidRDefault="00E412FA" w:rsidP="00E412FA">
      <w:pPr>
        <w:spacing w:line="360" w:lineRule="auto"/>
        <w:rPr>
          <w:rFonts w:ascii="Times New Roman" w:hAnsi="Times New Roman" w:cs="Times New Roman"/>
        </w:rPr>
      </w:pPr>
      <w:r w:rsidRPr="00B176C7">
        <w:rPr>
          <w:rFonts w:ascii="Times New Roman" w:hAnsi="Times New Roman" w:cs="Times New Roman"/>
        </w:rPr>
        <w:t>GDPPC</w:t>
      </w:r>
      <m:oMath>
        <m:r>
          <m:rPr>
            <m:sty m:val="p"/>
          </m:rPr>
          <w:rPr>
            <w:rFonts w:ascii="Cambria Math" w:hAnsi="Cambria Math" w:cs="Times New Roman"/>
          </w:rPr>
          <m:t>ₜ</m:t>
        </m:r>
      </m:oMath>
      <w:r w:rsidRPr="00B176C7">
        <w:rPr>
          <w:rFonts w:ascii="Times New Roman" w:hAnsi="Times New Roman" w:cs="Times New Roman"/>
        </w:rPr>
        <w:t>​</w:t>
      </w:r>
      <m:oMath>
        <m:r>
          <m:rPr>
            <m:sty m:val="p"/>
          </m:rPr>
          <w:rPr>
            <w:rFonts w:ascii="Cambria Math" w:hAnsi="Cambria Math" w:cs="Times New Roman"/>
          </w:rPr>
          <m:t>:</m:t>
        </m:r>
      </m:oMath>
      <w:r w:rsidRPr="00B176C7">
        <w:rPr>
          <w:rFonts w:ascii="Times New Roman" w:hAnsi="Times New Roman" w:cs="Times New Roman"/>
        </w:rPr>
        <w:t xml:space="preserve"> </w:t>
      </w:r>
      <w:r w:rsidR="00C62170">
        <w:rPr>
          <w:rFonts w:ascii="Times New Roman" w:hAnsi="Times New Roman" w:cs="Times New Roman"/>
        </w:rPr>
        <w:t>R</w:t>
      </w:r>
      <w:r w:rsidR="00533500">
        <w:rPr>
          <w:rFonts w:ascii="Times New Roman" w:hAnsi="Times New Roman" w:cs="Times New Roman"/>
        </w:rPr>
        <w:t xml:space="preserve">eal </w:t>
      </w:r>
      <w:r w:rsidRPr="00B176C7">
        <w:rPr>
          <w:rFonts w:ascii="Times New Roman" w:hAnsi="Times New Roman" w:cs="Times New Roman"/>
        </w:rPr>
        <w:t>GDP per capita (constant 2015 US$)</w:t>
      </w:r>
    </w:p>
    <w:p w14:paraId="487DB5F8" w14:textId="4EA018DD" w:rsidR="00E412FA" w:rsidRDefault="00E412FA" w:rsidP="00E412FA">
      <w:pPr>
        <w:spacing w:line="360" w:lineRule="auto"/>
        <w:rPr>
          <w:rFonts w:ascii="Times New Roman" w:hAnsi="Times New Roman" w:cs="Times New Roman"/>
        </w:rPr>
      </w:pPr>
      <w:r>
        <w:rPr>
          <w:rFonts w:ascii="Times New Roman" w:hAnsi="Times New Roman" w:cs="Times New Roman"/>
        </w:rPr>
        <w:t>G</w:t>
      </w:r>
      <w:r w:rsidRPr="00B176C7">
        <w:rPr>
          <w:rFonts w:ascii="Times New Roman" w:hAnsi="Times New Roman" w:cs="Times New Roman"/>
        </w:rPr>
        <w:t>EDU</w:t>
      </w:r>
      <m:oMath>
        <m:r>
          <m:rPr>
            <m:sty m:val="p"/>
          </m:rPr>
          <w:rPr>
            <w:rFonts w:ascii="Cambria Math" w:hAnsi="Cambria Math" w:cs="Times New Roman"/>
          </w:rPr>
          <m:t>ₜ</m:t>
        </m:r>
      </m:oMath>
      <w:r w:rsidRPr="00B176C7">
        <w:rPr>
          <w:rFonts w:ascii="Times New Roman" w:hAnsi="Times New Roman" w:cs="Times New Roman"/>
        </w:rPr>
        <w:t>​</w:t>
      </w:r>
      <m:oMath>
        <m:r>
          <m:rPr>
            <m:sty m:val="p"/>
          </m:rPr>
          <w:rPr>
            <w:rFonts w:ascii="Cambria Math" w:hAnsi="Cambria Math" w:cs="Times New Roman"/>
          </w:rPr>
          <m:t>:</m:t>
        </m:r>
      </m:oMath>
      <w:r w:rsidRPr="00B176C7">
        <w:rPr>
          <w:rFonts w:ascii="Times New Roman" w:hAnsi="Times New Roman" w:cs="Times New Roman"/>
        </w:rPr>
        <w:t xml:space="preserve"> </w:t>
      </w:r>
      <w:r w:rsidR="00AC28E3">
        <w:rPr>
          <w:rFonts w:ascii="Times New Roman" w:hAnsi="Times New Roman" w:cs="Times New Roman"/>
        </w:rPr>
        <w:t>G</w:t>
      </w:r>
      <w:r>
        <w:rPr>
          <w:rFonts w:ascii="Times New Roman" w:hAnsi="Times New Roman" w:cs="Times New Roman"/>
        </w:rPr>
        <w:t>overnment expenditure on</w:t>
      </w:r>
      <w:r w:rsidRPr="00B176C7">
        <w:rPr>
          <w:rFonts w:ascii="Times New Roman" w:hAnsi="Times New Roman" w:cs="Times New Roman"/>
        </w:rPr>
        <w:t xml:space="preserve"> education (% of GDP)</w:t>
      </w:r>
    </w:p>
    <w:p w14:paraId="19BAC276" w14:textId="77777777" w:rsidR="00E412FA" w:rsidRDefault="00E412FA" w:rsidP="00E412FA">
      <w:pPr>
        <w:spacing w:line="360" w:lineRule="auto"/>
        <w:rPr>
          <w:rFonts w:ascii="Times New Roman" w:hAnsi="Times New Roman" w:cs="Times New Roman"/>
        </w:rPr>
      </w:pPr>
      <w:r>
        <w:rPr>
          <w:rFonts w:ascii="Times New Roman" w:hAnsi="Times New Roman" w:cs="Times New Roman"/>
        </w:rPr>
        <w:t>F</w:t>
      </w:r>
      <w:r w:rsidRPr="00B176C7">
        <w:rPr>
          <w:rFonts w:ascii="Times New Roman" w:hAnsi="Times New Roman" w:cs="Times New Roman"/>
        </w:rPr>
        <w:t>SE</w:t>
      </w:r>
      <m:oMath>
        <m:r>
          <m:rPr>
            <m:sty m:val="p"/>
          </m:rPr>
          <w:rPr>
            <w:rFonts w:ascii="Cambria Math" w:hAnsi="Cambria Math" w:cs="Times New Roman"/>
          </w:rPr>
          <m:t>ₜ</m:t>
        </m:r>
      </m:oMath>
      <w:r w:rsidRPr="00B176C7">
        <w:rPr>
          <w:rFonts w:ascii="Times New Roman" w:hAnsi="Times New Roman" w:cs="Times New Roman"/>
        </w:rPr>
        <w:t>​</w:t>
      </w:r>
      <m:oMath>
        <m:r>
          <m:rPr>
            <m:sty m:val="p"/>
          </m:rPr>
          <w:rPr>
            <w:rFonts w:ascii="Cambria Math" w:hAnsi="Cambria Math" w:cs="Times New Roman"/>
          </w:rPr>
          <m:t>:</m:t>
        </m:r>
      </m:oMath>
      <w:r w:rsidRPr="00B176C7">
        <w:rPr>
          <w:rFonts w:ascii="Times New Roman" w:hAnsi="Times New Roman" w:cs="Times New Roman"/>
        </w:rPr>
        <w:t xml:space="preserve"> Female secondary school enrolment (% gross)</w:t>
      </w:r>
    </w:p>
    <w:p w14:paraId="5269918E" w14:textId="3C78CB23" w:rsidR="00244795" w:rsidRDefault="00E412FA" w:rsidP="00E412FA">
      <w:pPr>
        <w:spacing w:line="360" w:lineRule="auto"/>
        <w:rPr>
          <w:rFonts w:ascii="Times New Roman" w:hAnsi="Times New Roman" w:cs="Times New Roman"/>
        </w:rPr>
      </w:pPr>
      <w:r>
        <w:rPr>
          <w:rFonts w:ascii="Times New Roman" w:hAnsi="Times New Roman" w:cs="Times New Roman"/>
        </w:rPr>
        <w:t>GPI</w:t>
      </w:r>
      <m:oMath>
        <m:r>
          <m:rPr>
            <m:sty m:val="p"/>
          </m:rPr>
          <w:rPr>
            <w:rFonts w:ascii="Cambria Math" w:hAnsi="Cambria Math" w:cs="Times New Roman"/>
          </w:rPr>
          <m:t xml:space="preserve">ₜ: </m:t>
        </m:r>
      </m:oMath>
      <w:r w:rsidR="00244795" w:rsidRPr="007F7B5E">
        <w:rPr>
          <w:rFonts w:ascii="Times New Roman" w:hAnsi="Times New Roman" w:cs="Times New Roman"/>
        </w:rPr>
        <w:t>Gender Parity Index (GPI) for primary school enrolment</w:t>
      </w:r>
      <w:r w:rsidR="00244795">
        <w:rPr>
          <w:rFonts w:ascii="Times New Roman" w:hAnsi="Times New Roman" w:cs="Times New Roman"/>
        </w:rPr>
        <w:t xml:space="preserve"> (% gross)</w:t>
      </w:r>
    </w:p>
    <w:p w14:paraId="6D8F8F02" w14:textId="5A2FADAF" w:rsidR="00E412FA" w:rsidRDefault="00E412FA" w:rsidP="00832003">
      <w:pPr>
        <w:spacing w:line="360" w:lineRule="auto"/>
        <w:rPr>
          <w:rFonts w:ascii="Times New Roman" w:hAnsi="Times New Roman" w:cs="Times New Roman"/>
        </w:rPr>
      </w:pPr>
      <w:r>
        <w:rPr>
          <w:rFonts w:ascii="Times New Roman" w:hAnsi="Times New Roman" w:cs="Times New Roman"/>
        </w:rPr>
        <w:t>a</w:t>
      </w:r>
      <w:r w:rsidRPr="00B176C7">
        <w:rPr>
          <w:rFonts w:ascii="Times New Roman" w:hAnsi="Times New Roman" w:cs="Times New Roman"/>
          <w:vertAlign w:val="subscript"/>
        </w:rPr>
        <w:t>0</w:t>
      </w:r>
      <w:r>
        <w:rPr>
          <w:rFonts w:ascii="Times New Roman" w:hAnsi="Times New Roman" w:cs="Times New Roman"/>
          <w:vertAlign w:val="subscript"/>
        </w:rPr>
        <w:t xml:space="preserve"> </w:t>
      </w:r>
      <w:r>
        <w:rPr>
          <w:rFonts w:ascii="Times New Roman" w:hAnsi="Times New Roman" w:cs="Times New Roman"/>
        </w:rPr>
        <w:t>= intercept term</w:t>
      </w:r>
      <w:r w:rsidR="00872F5B">
        <w:rPr>
          <w:rFonts w:ascii="Times New Roman" w:hAnsi="Times New Roman" w:cs="Times New Roman"/>
        </w:rPr>
        <w:t>;</w:t>
      </w:r>
      <w:r>
        <w:rPr>
          <w:rFonts w:ascii="Times New Roman" w:hAnsi="Times New Roman" w:cs="Times New Roman"/>
        </w:rPr>
        <w:t xml:space="preserve"> </w:t>
      </w:r>
      <w:r w:rsidRPr="00B176C7">
        <w:rPr>
          <w:rFonts w:ascii="Times New Roman" w:hAnsi="Times New Roman" w:cs="Times New Roman"/>
        </w:rPr>
        <w:t>α</w:t>
      </w:r>
      <w:r w:rsidRPr="00B176C7">
        <w:rPr>
          <w:rFonts w:ascii="Times New Roman" w:hAnsi="Times New Roman" w:cs="Times New Roman"/>
          <w:vertAlign w:val="subscript"/>
        </w:rPr>
        <w:t>1</w:t>
      </w:r>
      <w:r w:rsidRPr="00B176C7">
        <w:rPr>
          <w:rFonts w:ascii="Times New Roman" w:hAnsi="Times New Roman" w:cs="Times New Roman"/>
        </w:rPr>
        <w:t xml:space="preserve"> </w:t>
      </w:r>
      <w:r>
        <w:rPr>
          <w:rFonts w:ascii="Times New Roman" w:hAnsi="Times New Roman" w:cs="Times New Roman"/>
        </w:rPr>
        <w:t xml:space="preserve">to </w:t>
      </w:r>
      <w:r w:rsidRPr="00B176C7">
        <w:rPr>
          <w:rFonts w:ascii="Times New Roman" w:hAnsi="Times New Roman" w:cs="Times New Roman"/>
        </w:rPr>
        <w:t>α</w:t>
      </w:r>
      <w:r>
        <w:rPr>
          <w:rFonts w:ascii="Times New Roman" w:hAnsi="Times New Roman" w:cs="Times New Roman"/>
          <w:vertAlign w:val="subscript"/>
        </w:rPr>
        <w:t>3</w:t>
      </w:r>
      <w:r w:rsidRPr="00B176C7">
        <w:rPr>
          <w:rFonts w:ascii="Times New Roman" w:hAnsi="Times New Roman" w:cs="Times New Roman"/>
        </w:rPr>
        <w:t>​</w:t>
      </w:r>
      <w:r>
        <w:rPr>
          <w:rFonts w:ascii="Times New Roman" w:hAnsi="Times New Roman" w:cs="Times New Roman"/>
        </w:rPr>
        <w:t xml:space="preserve"> =</w:t>
      </w:r>
      <w:r w:rsidRPr="00B176C7">
        <w:rPr>
          <w:rFonts w:ascii="Times New Roman" w:hAnsi="Times New Roman" w:cs="Times New Roman"/>
        </w:rPr>
        <w:t xml:space="preserve"> </w:t>
      </w:r>
      <w:r w:rsidR="00872F5B">
        <w:rPr>
          <w:rFonts w:ascii="Times New Roman" w:hAnsi="Times New Roman" w:cs="Times New Roman"/>
        </w:rPr>
        <w:t>p</w:t>
      </w:r>
      <w:r w:rsidRPr="00B176C7">
        <w:rPr>
          <w:rFonts w:ascii="Times New Roman" w:hAnsi="Times New Roman" w:cs="Times New Roman"/>
        </w:rPr>
        <w:t>artial regression coefficients</w:t>
      </w:r>
      <w:r w:rsidR="00872F5B">
        <w:rPr>
          <w:rFonts w:ascii="Times New Roman" w:hAnsi="Times New Roman" w:cs="Times New Roman"/>
        </w:rPr>
        <w:t>;</w:t>
      </w:r>
      <w:r>
        <w:rPr>
          <w:rFonts w:ascii="Times New Roman" w:hAnsi="Times New Roman" w:cs="Times New Roman"/>
        </w:rPr>
        <w:t xml:space="preserve"> </w:t>
      </w:r>
      <w:r w:rsidRPr="00B176C7">
        <w:rPr>
          <w:rFonts w:ascii="Times New Roman" w:hAnsi="Times New Roman" w:cs="Times New Roman"/>
        </w:rPr>
        <w:t>εₜ</w:t>
      </w:r>
      <w:r>
        <w:rPr>
          <w:rFonts w:ascii="Times New Roman" w:hAnsi="Times New Roman" w:cs="Times New Roman"/>
        </w:rPr>
        <w:t xml:space="preserve"> = </w:t>
      </w:r>
      <w:r w:rsidR="00872F5B">
        <w:rPr>
          <w:rFonts w:ascii="Times New Roman" w:hAnsi="Times New Roman" w:cs="Times New Roman"/>
        </w:rPr>
        <w:t>s</w:t>
      </w:r>
      <w:r w:rsidRPr="00404FBA">
        <w:rPr>
          <w:rFonts w:ascii="Times New Roman" w:hAnsi="Times New Roman" w:cs="Times New Roman"/>
        </w:rPr>
        <w:t>tochastic error term</w:t>
      </w:r>
      <w:r>
        <w:rPr>
          <w:rFonts w:ascii="Times New Roman" w:hAnsi="Times New Roman" w:cs="Times New Roman"/>
        </w:rPr>
        <w:t>.</w:t>
      </w:r>
      <w:r w:rsidR="00B6354F">
        <w:rPr>
          <w:rFonts w:ascii="Times New Roman" w:hAnsi="Times New Roman" w:cs="Times New Roman"/>
        </w:rPr>
        <w:t xml:space="preserve"> t = time.</w:t>
      </w:r>
      <w:r w:rsidR="002B0329">
        <w:rPr>
          <w:rFonts w:ascii="Times New Roman" w:hAnsi="Times New Roman" w:cs="Times New Roman"/>
        </w:rPr>
        <w:t xml:space="preserve"> </w:t>
      </w:r>
    </w:p>
    <w:p w14:paraId="5BF1F40B" w14:textId="651386D5" w:rsidR="002B0329" w:rsidRPr="00C72C1B" w:rsidRDefault="002B0329" w:rsidP="00832003">
      <w:pPr>
        <w:spacing w:line="360" w:lineRule="auto"/>
        <w:rPr>
          <w:rFonts w:ascii="Times New Roman" w:hAnsi="Times New Roman" w:cs="Times New Roman"/>
        </w:rPr>
      </w:pPr>
      <w:r>
        <w:rPr>
          <w:rFonts w:ascii="Times New Roman" w:hAnsi="Times New Roman" w:cs="Times New Roman"/>
        </w:rPr>
        <w:t xml:space="preserve">Note: GDPPC and GEDU variable is </w:t>
      </w:r>
      <w:r w:rsidRPr="00C34C5B">
        <w:rPr>
          <w:rFonts w:ascii="Times New Roman" w:hAnsi="Times New Roman" w:cs="Times New Roman"/>
        </w:rPr>
        <w:t>log-transformed to address scale differences and ensure linearity in the model estimation</w:t>
      </w:r>
      <w:r>
        <w:rPr>
          <w:rFonts w:ascii="Times New Roman" w:hAnsi="Times New Roman" w:cs="Times New Roman"/>
        </w:rPr>
        <w:t>.</w:t>
      </w:r>
    </w:p>
    <w:p w14:paraId="5A94640C" w14:textId="3C42E673" w:rsidR="00832003" w:rsidRDefault="00832003" w:rsidP="00832003">
      <w:pPr>
        <w:spacing w:line="360" w:lineRule="auto"/>
        <w:rPr>
          <w:rFonts w:ascii="Times New Roman" w:hAnsi="Times New Roman" w:cs="Times New Roman"/>
          <w:b/>
          <w:bCs/>
        </w:rPr>
      </w:pPr>
      <w:r w:rsidRPr="008235B1">
        <w:rPr>
          <w:rFonts w:ascii="Times New Roman" w:hAnsi="Times New Roman" w:cs="Times New Roman"/>
          <w:b/>
          <w:bCs/>
        </w:rPr>
        <w:t xml:space="preserve">ARDL </w:t>
      </w:r>
      <w:r w:rsidR="00E412FA">
        <w:rPr>
          <w:rFonts w:ascii="Times New Roman" w:hAnsi="Times New Roman" w:cs="Times New Roman"/>
          <w:b/>
          <w:bCs/>
        </w:rPr>
        <w:t>Model S</w:t>
      </w:r>
      <w:r w:rsidRPr="008235B1">
        <w:rPr>
          <w:rFonts w:ascii="Times New Roman" w:hAnsi="Times New Roman" w:cs="Times New Roman"/>
          <w:b/>
          <w:bCs/>
        </w:rPr>
        <w:t>pecification:</w:t>
      </w:r>
    </w:p>
    <w:p w14:paraId="1362C2AF" w14:textId="7C0CBE8D" w:rsidR="003C4D11" w:rsidRPr="00D5402D" w:rsidRDefault="00832003" w:rsidP="00D5402D">
      <w:pPr>
        <w:spacing w:after="0" w:line="240" w:lineRule="auto"/>
        <w:rPr>
          <w:rFonts w:ascii="Cambria Math" w:hAnsi="Cambria Math" w:cs="Times New Roman"/>
          <w:sz w:val="22"/>
          <w:szCs w:val="22"/>
          <w:oMath/>
        </w:rPr>
      </w:pPr>
      <m:oMath>
        <m:r>
          <m:rPr>
            <m:sty m:val="p"/>
          </m:rPr>
          <w:rPr>
            <w:rFonts w:ascii="Cambria Math" w:hAnsi="Cambria Math" w:cs="Times New Roman"/>
          </w:rPr>
          <m:t>△GDPPCₜ=β₀+</m:t>
        </m:r>
        <m:nary>
          <m:naryPr>
            <m:chr m:val="∑"/>
            <m:limLoc m:val="undOvr"/>
            <m:ctrlPr>
              <w:rPr>
                <w:rFonts w:ascii="Cambria Math" w:hAnsi="Cambria Math" w:cs="Times New Roman"/>
                <w:bCs/>
                <w:iCs/>
              </w:rPr>
            </m:ctrlPr>
          </m:naryPr>
          <m:sub>
            <m:r>
              <m:rPr>
                <m:sty m:val="p"/>
              </m:rPr>
              <w:rPr>
                <w:rFonts w:ascii="Cambria Math" w:hAnsi="Cambria Math" w:cs="Times New Roman"/>
              </w:rPr>
              <m:t>i=1</m:t>
            </m:r>
          </m:sub>
          <m:sup>
            <m:r>
              <m:rPr>
                <m:sty m:val="p"/>
              </m:rPr>
              <w:rPr>
                <w:rFonts w:ascii="Cambria Math" w:hAnsi="Cambria Math" w:cs="Times New Roman"/>
              </w:rPr>
              <m:t>P</m:t>
            </m:r>
          </m:sup>
          <m:e>
            <m:r>
              <m:rPr>
                <m:sty m:val="p"/>
              </m:rPr>
              <w:rPr>
                <w:rStyle w:val="mord"/>
                <w:rFonts w:ascii="Cambria Math" w:hAnsi="Cambria Math"/>
              </w:rPr>
              <m:t>ϕ</m:t>
            </m:r>
            <m:r>
              <m:rPr>
                <m:sty m:val="p"/>
              </m:rPr>
              <w:rPr>
                <w:rFonts w:ascii="Cambria Math" w:hAnsi="Cambria Math" w:cs="Times New Roman"/>
              </w:rPr>
              <m:t>ᵢ</m:t>
            </m:r>
            <m:r>
              <m:rPr>
                <m:sty m:val="p"/>
              </m:rPr>
              <w:rPr>
                <w:rStyle w:val="vlist-s"/>
                <w:rFonts w:ascii="Cambria Math" w:hAnsi="Cambria Math"/>
              </w:rPr>
              <m:t>​</m:t>
            </m:r>
          </m:e>
        </m:nary>
        <m:r>
          <m:rPr>
            <m:sty m:val="p"/>
          </m:rPr>
          <w:rPr>
            <w:rFonts w:ascii="Cambria Math" w:hAnsi="Cambria Math" w:cs="Times New Roman"/>
          </w:rPr>
          <m:t>△GDPPCₜ₋ᵢ +</m:t>
        </m:r>
        <m:nary>
          <m:naryPr>
            <m:chr m:val="∑"/>
            <m:limLoc m:val="undOvr"/>
            <m:ctrlPr>
              <w:rPr>
                <w:rFonts w:ascii="Cambria Math" w:hAnsi="Cambria Math" w:cs="Times New Roman"/>
                <w:bCs/>
                <w:iCs/>
              </w:rPr>
            </m:ctrlPr>
          </m:naryPr>
          <m:sub>
            <m:r>
              <m:rPr>
                <m:sty m:val="p"/>
              </m:rPr>
              <w:rPr>
                <w:rFonts w:ascii="Cambria Math" w:hAnsi="Cambria Math" w:cs="Times New Roman"/>
              </w:rPr>
              <m:t>i=1</m:t>
            </m:r>
          </m:sub>
          <m:sup>
            <m:r>
              <m:rPr>
                <m:sty m:val="p"/>
              </m:rPr>
              <w:rPr>
                <w:rFonts w:ascii="Cambria Math" w:hAnsi="Cambria Math" w:cs="Times New Roman"/>
              </w:rPr>
              <m:t>q</m:t>
            </m:r>
          </m:sup>
          <m:e>
            <m:r>
              <m:rPr>
                <m:sty m:val="p"/>
              </m:rPr>
              <w:rPr>
                <w:rStyle w:val="mord"/>
                <w:rFonts w:ascii="Cambria Math" w:hAnsi="Cambria Math"/>
              </w:rPr>
              <m:t>θ</m:t>
            </m:r>
            <m:r>
              <m:rPr>
                <m:sty m:val="p"/>
              </m:rPr>
              <w:rPr>
                <w:rFonts w:ascii="Cambria Math" w:hAnsi="Cambria Math" w:cs="Times New Roman"/>
              </w:rPr>
              <m:t>₁</m:t>
            </m:r>
            <m:r>
              <m:rPr>
                <m:sty m:val="p"/>
              </m:rPr>
              <w:rPr>
                <w:rStyle w:val="vlist-s"/>
                <w:rFonts w:ascii="Cambria Math" w:hAnsi="Cambria Math"/>
              </w:rPr>
              <m:t>​</m:t>
            </m:r>
          </m:e>
        </m:nary>
        <m:r>
          <m:rPr>
            <m:sty m:val="p"/>
          </m:rPr>
          <w:rPr>
            <w:rFonts w:ascii="Cambria Math" w:hAnsi="Cambria Math" w:cs="Times New Roman"/>
          </w:rPr>
          <m:t xml:space="preserve">△GEDUₜ₋ᵢ+ </m:t>
        </m:r>
        <m:nary>
          <m:naryPr>
            <m:chr m:val="∑"/>
            <m:limLoc m:val="undOvr"/>
            <m:ctrlPr>
              <w:rPr>
                <w:rFonts w:ascii="Cambria Math" w:hAnsi="Cambria Math" w:cs="Times New Roman"/>
                <w:bCs/>
                <w:iCs/>
              </w:rPr>
            </m:ctrlPr>
          </m:naryPr>
          <m:sub>
            <m:r>
              <m:rPr>
                <m:sty m:val="p"/>
              </m:rPr>
              <w:rPr>
                <w:rFonts w:ascii="Cambria Math" w:hAnsi="Cambria Math" w:cs="Times New Roman"/>
              </w:rPr>
              <m:t>i=1</m:t>
            </m:r>
          </m:sub>
          <m:sup>
            <m:r>
              <m:rPr>
                <m:sty m:val="p"/>
              </m:rPr>
              <w:rPr>
                <w:rFonts w:ascii="Cambria Math" w:hAnsi="Cambria Math" w:cs="Times New Roman"/>
              </w:rPr>
              <m:t>q</m:t>
            </m:r>
          </m:sup>
          <m:e>
            <m:r>
              <m:rPr>
                <m:sty m:val="p"/>
              </m:rPr>
              <w:rPr>
                <w:rStyle w:val="mord"/>
                <w:rFonts w:ascii="Cambria Math" w:hAnsi="Cambria Math"/>
              </w:rPr>
              <m:t>θ</m:t>
            </m:r>
            <m:r>
              <m:rPr>
                <m:sty m:val="p"/>
              </m:rPr>
              <w:rPr>
                <w:rFonts w:ascii="Cambria Math" w:hAnsi="Cambria Math" w:cs="Times New Roman"/>
              </w:rPr>
              <m:t>₁</m:t>
            </m:r>
            <m:r>
              <m:rPr>
                <m:sty m:val="p"/>
              </m:rPr>
              <w:rPr>
                <w:rStyle w:val="vlist-s"/>
                <w:rFonts w:ascii="Cambria Math" w:hAnsi="Cambria Math"/>
              </w:rPr>
              <m:t>​</m:t>
            </m:r>
          </m:e>
        </m:nary>
        <m:r>
          <m:rPr>
            <m:sty m:val="p"/>
          </m:rPr>
          <w:rPr>
            <w:rFonts w:ascii="Cambria Math" w:hAnsi="Cambria Math" w:cs="Times New Roman"/>
          </w:rPr>
          <m:t>△</m:t>
        </m:r>
        <m:r>
          <m:rPr>
            <m:sty m:val="p"/>
          </m:rPr>
          <w:rPr>
            <w:rFonts w:ascii="Cambria Math" w:hAnsi="Cambria Math"/>
          </w:rPr>
          <m:t>FSE</m:t>
        </m:r>
        <m:r>
          <m:rPr>
            <m:sty m:val="p"/>
          </m:rPr>
          <w:rPr>
            <w:rFonts w:ascii="Cambria Math" w:hAnsi="Cambria Math" w:cs="Times New Roman"/>
          </w:rPr>
          <m:t xml:space="preserve">ₜ₋ᵢ + </m:t>
        </m:r>
        <m:nary>
          <m:naryPr>
            <m:chr m:val="∑"/>
            <m:limLoc m:val="undOvr"/>
            <m:ctrlPr>
              <w:rPr>
                <w:rFonts w:ascii="Cambria Math" w:hAnsi="Cambria Math" w:cs="Times New Roman"/>
                <w:bCs/>
                <w:iCs/>
              </w:rPr>
            </m:ctrlPr>
          </m:naryPr>
          <m:sub>
            <m:r>
              <m:rPr>
                <m:sty m:val="p"/>
              </m:rPr>
              <w:rPr>
                <w:rFonts w:ascii="Cambria Math" w:hAnsi="Cambria Math" w:cs="Times New Roman"/>
              </w:rPr>
              <m:t>i=1</m:t>
            </m:r>
          </m:sub>
          <m:sup>
            <m:r>
              <m:rPr>
                <m:sty m:val="p"/>
              </m:rPr>
              <w:rPr>
                <w:rFonts w:ascii="Cambria Math" w:hAnsi="Cambria Math" w:cs="Times New Roman"/>
              </w:rPr>
              <m:t>q</m:t>
            </m:r>
          </m:sup>
          <m:e>
            <m:r>
              <m:rPr>
                <m:sty m:val="p"/>
              </m:rPr>
              <w:rPr>
                <w:rStyle w:val="mord"/>
                <w:rFonts w:ascii="Cambria Math" w:hAnsi="Cambria Math"/>
              </w:rPr>
              <m:t>ϕ</m:t>
            </m:r>
            <m:r>
              <m:rPr>
                <m:sty m:val="p"/>
              </m:rPr>
              <w:rPr>
                <w:rFonts w:ascii="Cambria Math" w:hAnsi="Cambria Math" w:cs="Times New Roman"/>
              </w:rPr>
              <m:t>ᵢ</m:t>
            </m:r>
            <m:r>
              <m:rPr>
                <m:sty m:val="p"/>
              </m:rPr>
              <w:rPr>
                <w:rStyle w:val="vlist-s"/>
                <w:rFonts w:ascii="Cambria Math" w:hAnsi="Cambria Math"/>
              </w:rPr>
              <m:t>​</m:t>
            </m:r>
          </m:e>
        </m:nary>
        <m:r>
          <m:rPr>
            <m:sty m:val="p"/>
          </m:rPr>
          <w:rPr>
            <w:rFonts w:ascii="Cambria Math" w:hAnsi="Cambria Math" w:cs="Times New Roman"/>
          </w:rPr>
          <m:t xml:space="preserve">△GPIₜ₋ᵢ+ λ₁GDPPCₜ₋₁+ λ₂GEDUₜ₋₁+ λ₃FTEₜ₋₁ + λ₄GPIₜ₋₁ +µₜ </m:t>
        </m:r>
      </m:oMath>
      <w:r w:rsidR="00017990">
        <w:rPr>
          <w:rFonts w:ascii="Times New Roman" w:hAnsi="Times New Roman" w:cs="Times New Roman"/>
        </w:rPr>
        <w:tab/>
      </w:r>
      <w:r w:rsidR="00EA50AB">
        <w:rPr>
          <w:rFonts w:ascii="Times New Roman" w:hAnsi="Times New Roman" w:cs="Times New Roman"/>
        </w:rPr>
        <w:t>3</w:t>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t>3</w:t>
      </w:r>
    </w:p>
    <w:p w14:paraId="67F35F12" w14:textId="3ED1D846" w:rsidR="00832003" w:rsidRDefault="00832003" w:rsidP="003C4D11">
      <w:pPr>
        <w:spacing w:line="480" w:lineRule="auto"/>
        <w:rPr>
          <w:rFonts w:ascii="Times New Roman" w:hAnsi="Times New Roman" w:cs="Times New Roman"/>
        </w:rPr>
      </w:pPr>
      <w:r w:rsidRPr="00AB73A6">
        <w:rPr>
          <w:rFonts w:ascii="Times New Roman" w:hAnsi="Times New Roman" w:cs="Times New Roman"/>
        </w:rPr>
        <w:t>Where:</w:t>
      </w:r>
    </w:p>
    <w:p w14:paraId="406204C4" w14:textId="02B04151" w:rsidR="00AA376E" w:rsidRDefault="00832003" w:rsidP="003C4D11">
      <w:pPr>
        <w:spacing w:line="480" w:lineRule="auto"/>
        <w:jc w:val="both"/>
        <w:rPr>
          <w:rFonts w:ascii="Times New Roman" w:hAnsi="Times New Roman" w:cs="Times New Roman"/>
        </w:rPr>
      </w:pPr>
      <m:oMath>
        <m:r>
          <m:rPr>
            <m:sty m:val="p"/>
          </m:rPr>
          <w:rPr>
            <w:rFonts w:ascii="Cambria Math" w:hAnsi="Cambria Math" w:cs="Times New Roman"/>
          </w:rPr>
          <m:t>△</m:t>
        </m:r>
      </m:oMath>
      <w:r w:rsidRPr="00AB73A6">
        <w:rPr>
          <w:rFonts w:ascii="Times New Roman" w:hAnsi="Times New Roman" w:cs="Times New Roman"/>
          <w:bCs/>
          <w:iCs/>
        </w:rPr>
        <w:t xml:space="preserve"> </w:t>
      </w:r>
      <w:r w:rsidR="00234671">
        <w:rPr>
          <w:rFonts w:ascii="Times New Roman" w:hAnsi="Times New Roman" w:cs="Times New Roman"/>
          <w:bCs/>
          <w:iCs/>
        </w:rPr>
        <w:t xml:space="preserve">= </w:t>
      </w:r>
      <w:r w:rsidRPr="00AB73A6">
        <w:rPr>
          <w:rFonts w:ascii="Times New Roman" w:hAnsi="Times New Roman" w:cs="Times New Roman"/>
          <w:bCs/>
          <w:iCs/>
        </w:rPr>
        <w:t>denotes first difference (short-run d</w:t>
      </w:r>
      <w:r>
        <w:rPr>
          <w:rFonts w:ascii="Times New Roman" w:hAnsi="Times New Roman" w:cs="Times New Roman"/>
          <w:bCs/>
          <w:iCs/>
        </w:rPr>
        <w:t>y</w:t>
      </w:r>
      <w:r w:rsidRPr="00AB73A6">
        <w:rPr>
          <w:rFonts w:ascii="Times New Roman" w:hAnsi="Times New Roman" w:cs="Times New Roman"/>
          <w:bCs/>
          <w:iCs/>
        </w:rPr>
        <w:t>namics)</w:t>
      </w:r>
      <w:r w:rsidR="00561DBD">
        <w:rPr>
          <w:rFonts w:ascii="Times New Roman" w:hAnsi="Times New Roman" w:cs="Times New Roman"/>
          <w:bCs/>
          <w:iCs/>
        </w:rPr>
        <w:t>;</w:t>
      </w:r>
      <w:r w:rsidR="00A27668">
        <w:rPr>
          <w:rFonts w:ascii="Times New Roman" w:hAnsi="Times New Roman" w:cs="Times New Roman"/>
          <w:bCs/>
          <w:iCs/>
        </w:rPr>
        <w:t xml:space="preserve"> </w:t>
      </w:r>
      <m:oMath>
        <m:r>
          <m:rPr>
            <m:sty m:val="p"/>
          </m:rPr>
          <w:rPr>
            <w:rStyle w:val="mord"/>
            <w:rFonts w:ascii="Cambria Math" w:hAnsi="Cambria Math"/>
          </w:rPr>
          <m:t>ϕ</m:t>
        </m:r>
        <m:r>
          <m:rPr>
            <m:sty m:val="p"/>
          </m:rPr>
          <w:rPr>
            <w:rFonts w:ascii="Cambria Math" w:hAnsi="Cambria Math" w:cs="Times New Roman"/>
          </w:rPr>
          <m:t>ᵢ</m:t>
        </m:r>
      </m:oMath>
      <w:r w:rsidR="00EF3BC2">
        <w:rPr>
          <w:rFonts w:ascii="Times New Roman" w:hAnsi="Times New Roman" w:cs="Times New Roman"/>
          <w:iCs/>
        </w:rPr>
        <w:t>,</w:t>
      </w:r>
      <w:r w:rsidRPr="00230F34">
        <w:rPr>
          <w:rStyle w:val="mord"/>
          <w:rFonts w:ascii="Cambria Math" w:hAnsi="Cambria Math"/>
          <w:iCs/>
        </w:rPr>
        <w:t xml:space="preserve"> </w:t>
      </w:r>
      <m:oMath>
        <m:r>
          <m:rPr>
            <m:sty m:val="p"/>
          </m:rPr>
          <w:rPr>
            <w:rStyle w:val="mord"/>
            <w:rFonts w:ascii="Cambria Math" w:hAnsi="Cambria Math"/>
          </w:rPr>
          <m:t>θ</m:t>
        </m:r>
        <m:r>
          <m:rPr>
            <m:sty m:val="p"/>
          </m:rPr>
          <w:rPr>
            <w:rFonts w:ascii="Cambria Math" w:hAnsi="Cambria Math" w:cs="Times New Roman"/>
          </w:rPr>
          <m:t>₁</m:t>
        </m:r>
      </m:oMath>
      <w:r>
        <w:rPr>
          <w:rFonts w:ascii="Cambria Math" w:hAnsi="Cambria Math"/>
          <w:bCs/>
          <w:iCs/>
        </w:rPr>
        <w:t xml:space="preserve"> </w:t>
      </w:r>
      <w:r w:rsidR="00EF3BC2">
        <w:rPr>
          <w:rFonts w:ascii="Cambria Math" w:hAnsi="Cambria Math"/>
          <w:bCs/>
          <w:iCs/>
        </w:rPr>
        <w:t>= s</w:t>
      </w:r>
      <w:r w:rsidR="004F1E7F" w:rsidRPr="004F1E7F">
        <w:rPr>
          <w:rFonts w:ascii="Cambria Math" w:hAnsi="Cambria Math"/>
          <w:bCs/>
          <w:iCs/>
        </w:rPr>
        <w:t>hort-run coefficients</w:t>
      </w:r>
      <w:r w:rsidR="00561DBD">
        <w:rPr>
          <w:rFonts w:ascii="Cambria Math" w:hAnsi="Cambria Math"/>
          <w:bCs/>
          <w:iCs/>
        </w:rPr>
        <w:t>;</w:t>
      </w:r>
      <w:r w:rsidR="00A27668">
        <w:rPr>
          <w:rFonts w:ascii="Times New Roman" w:hAnsi="Times New Roman" w:cs="Times New Roman"/>
          <w:bCs/>
          <w:iCs/>
        </w:rPr>
        <w:t xml:space="preserve"> </w:t>
      </w:r>
      <m:oMath>
        <m:r>
          <m:rPr>
            <m:sty m:val="p"/>
          </m:rPr>
          <w:rPr>
            <w:rFonts w:ascii="Cambria Math" w:hAnsi="Cambria Math" w:cs="Times New Roman"/>
          </w:rPr>
          <m:t>λ₁-λ₄</m:t>
        </m:r>
      </m:oMath>
      <w:r w:rsidR="00B176C7">
        <w:rPr>
          <w:rFonts w:ascii="Times New Roman" w:hAnsi="Times New Roman" w:cs="Times New Roman"/>
          <w:bCs/>
          <w:iCs/>
        </w:rPr>
        <w:t>,</w:t>
      </w:r>
      <w:r>
        <w:rPr>
          <w:rFonts w:ascii="Times New Roman" w:hAnsi="Times New Roman" w:cs="Times New Roman"/>
          <w:bCs/>
          <w:iCs/>
        </w:rPr>
        <w:t xml:space="preserve"> </w:t>
      </w:r>
      <w:r w:rsidR="00EF3BC2">
        <w:rPr>
          <w:rFonts w:ascii="Times New Roman" w:hAnsi="Times New Roman" w:cs="Times New Roman"/>
          <w:bCs/>
          <w:iCs/>
        </w:rPr>
        <w:t>l</w:t>
      </w:r>
      <w:r w:rsidR="00B176C7" w:rsidRPr="00B176C7">
        <w:rPr>
          <w:rFonts w:ascii="Times New Roman" w:hAnsi="Times New Roman" w:cs="Times New Roman"/>
          <w:bCs/>
          <w:iCs/>
        </w:rPr>
        <w:t>ong-run</w:t>
      </w:r>
      <w:r w:rsidR="00EF3BC2">
        <w:rPr>
          <w:rFonts w:ascii="Times New Roman" w:hAnsi="Times New Roman" w:cs="Times New Roman"/>
          <w:bCs/>
          <w:iCs/>
        </w:rPr>
        <w:t xml:space="preserve"> </w:t>
      </w:r>
      <w:r w:rsidR="00B176C7" w:rsidRPr="00B176C7">
        <w:rPr>
          <w:rFonts w:ascii="Times New Roman" w:hAnsi="Times New Roman" w:cs="Times New Roman"/>
          <w:bCs/>
          <w:iCs/>
        </w:rPr>
        <w:t>coefficients</w:t>
      </w:r>
      <w:r w:rsidR="00561DBD">
        <w:rPr>
          <w:rFonts w:ascii="Times New Roman" w:hAnsi="Times New Roman" w:cs="Times New Roman"/>
          <w:bCs/>
          <w:iCs/>
        </w:rPr>
        <w:t>;</w:t>
      </w:r>
      <w:r w:rsidR="00A27668">
        <w:rPr>
          <w:rFonts w:ascii="Times New Roman" w:hAnsi="Times New Roman" w:cs="Times New Roman"/>
          <w:bCs/>
          <w:iCs/>
        </w:rPr>
        <w:t xml:space="preserve"> </w:t>
      </w:r>
      <m:oMath>
        <m:r>
          <m:rPr>
            <m:sty m:val="p"/>
          </m:rPr>
          <w:rPr>
            <w:rFonts w:ascii="Cambria Math" w:hAnsi="Cambria Math" w:cs="Times New Roman"/>
          </w:rPr>
          <m:t>µₜ=white noise error term</m:t>
        </m:r>
      </m:oMath>
      <w:r w:rsidR="007E1FBD">
        <w:rPr>
          <w:rFonts w:ascii="Times New Roman" w:hAnsi="Times New Roman" w:cs="Times New Roman"/>
        </w:rPr>
        <w:t>.</w:t>
      </w:r>
    </w:p>
    <w:p w14:paraId="7DF8486E" w14:textId="77777777" w:rsidR="00832003" w:rsidRPr="00E62946" w:rsidRDefault="00832003" w:rsidP="00832003">
      <w:pPr>
        <w:spacing w:line="360" w:lineRule="auto"/>
        <w:rPr>
          <w:rFonts w:ascii="Times New Roman" w:hAnsi="Times New Roman" w:cs="Times New Roman"/>
        </w:rPr>
      </w:pPr>
      <w:r w:rsidRPr="00864BEA">
        <w:rPr>
          <w:rFonts w:ascii="Times New Roman" w:hAnsi="Times New Roman" w:cs="Times New Roman"/>
          <w:b/>
        </w:rPr>
        <w:t>A priori Expectation</w:t>
      </w:r>
    </w:p>
    <w:p w14:paraId="56FD2B7C" w14:textId="3421DDCE" w:rsidR="00301B7A" w:rsidRPr="0043638C" w:rsidRDefault="00832003" w:rsidP="0043638C">
      <w:pPr>
        <w:spacing w:line="360" w:lineRule="auto"/>
        <w:ind w:right="90"/>
        <w:jc w:val="both"/>
        <w:rPr>
          <w:rFonts w:ascii="Times New Roman" w:hAnsi="Times New Roman" w:cs="Times New Roman"/>
        </w:rPr>
      </w:pPr>
      <w:r w:rsidRPr="00A614CB">
        <w:rPr>
          <w:rFonts w:ascii="Times New Roman" w:hAnsi="Times New Roman" w:cs="Times New Roman"/>
        </w:rPr>
        <w:t xml:space="preserve">Based on </w:t>
      </w:r>
      <w:r>
        <w:rPr>
          <w:rFonts w:ascii="Times New Roman" w:hAnsi="Times New Roman" w:cs="Times New Roman"/>
        </w:rPr>
        <w:t>the</w:t>
      </w:r>
      <w:r w:rsidRPr="00A614CB">
        <w:rPr>
          <w:rFonts w:ascii="Times New Roman" w:hAnsi="Times New Roman" w:cs="Times New Roman"/>
        </w:rPr>
        <w:t xml:space="preserve"> theor</w:t>
      </w:r>
      <w:r>
        <w:rPr>
          <w:rFonts w:ascii="Times New Roman" w:hAnsi="Times New Roman" w:cs="Times New Roman"/>
        </w:rPr>
        <w:t>ies</w:t>
      </w:r>
      <w:r w:rsidRPr="00A614CB">
        <w:rPr>
          <w:rFonts w:ascii="Times New Roman" w:hAnsi="Times New Roman" w:cs="Times New Roman"/>
        </w:rPr>
        <w:t xml:space="preserve">, it is anticipated that the </w:t>
      </w:r>
      <m:oMath>
        <m:r>
          <m:rPr>
            <m:sty m:val="p"/>
          </m:rPr>
          <w:rPr>
            <w:rStyle w:val="mord"/>
            <w:rFonts w:ascii="Cambria Math" w:hAnsi="Cambria Math"/>
          </w:rPr>
          <m:t xml:space="preserve">θ and </m:t>
        </m:r>
        <m:r>
          <m:rPr>
            <m:sty m:val="p"/>
          </m:rPr>
          <w:rPr>
            <w:rFonts w:ascii="Cambria Math" w:hAnsi="Cambria Math" w:cs="Times New Roman"/>
          </w:rPr>
          <m:t>λ coefficients</m:t>
        </m:r>
      </m:oMath>
      <w:r w:rsidRPr="00A614CB">
        <w:rPr>
          <w:rFonts w:ascii="Times New Roman" w:hAnsi="Times New Roman" w:cs="Times New Roman"/>
        </w:rPr>
        <w:t xml:space="preserve"> will be positive. </w:t>
      </w:r>
    </w:p>
    <w:p w14:paraId="40A323F1" w14:textId="5A750993" w:rsidR="00832003" w:rsidRDefault="00832003" w:rsidP="00832003">
      <w:pPr>
        <w:tabs>
          <w:tab w:val="left" w:pos="2169"/>
        </w:tabs>
        <w:spacing w:line="360" w:lineRule="auto"/>
        <w:jc w:val="both"/>
        <w:rPr>
          <w:rFonts w:ascii="Times New Roman" w:hAnsi="Times New Roman" w:cs="Times New Roman"/>
          <w:b/>
          <w:bCs/>
        </w:rPr>
      </w:pPr>
      <w:r w:rsidRPr="00A614CB">
        <w:rPr>
          <w:rFonts w:ascii="Times New Roman" w:hAnsi="Times New Roman" w:cs="Times New Roman"/>
          <w:b/>
          <w:bCs/>
        </w:rPr>
        <w:t>4. Results and Discussion</w:t>
      </w:r>
    </w:p>
    <w:p w14:paraId="4DA6A5EC" w14:textId="7A0C2FFA" w:rsidR="00832003" w:rsidRPr="00E13813" w:rsidRDefault="00BD52CC" w:rsidP="00832003">
      <w:pPr>
        <w:spacing w:after="0" w:line="480" w:lineRule="auto"/>
        <w:ind w:right="90"/>
        <w:jc w:val="both"/>
        <w:rPr>
          <w:rFonts w:ascii="Times New Roman" w:hAnsi="Times New Roman" w:cs="Times New Roman"/>
          <w:b/>
        </w:rPr>
      </w:pPr>
      <w:r>
        <w:rPr>
          <w:rFonts w:ascii="Times New Roman" w:hAnsi="Times New Roman" w:cs="Times New Roman"/>
          <w:b/>
        </w:rPr>
        <w:t xml:space="preserve">4.1 </w:t>
      </w:r>
      <w:r w:rsidR="00832003" w:rsidRPr="00E13813">
        <w:rPr>
          <w:rFonts w:ascii="Times New Roman" w:hAnsi="Times New Roman" w:cs="Times New Roman"/>
          <w:b/>
        </w:rPr>
        <w:t xml:space="preserve">Descriptive Statistics </w:t>
      </w:r>
    </w:p>
    <w:p w14:paraId="7970813B" w14:textId="09827EFF" w:rsidR="0043638C" w:rsidRPr="002C353E" w:rsidRDefault="0043638C" w:rsidP="0043638C">
      <w:pPr>
        <w:tabs>
          <w:tab w:val="left" w:pos="2169"/>
        </w:tabs>
        <w:spacing w:line="480" w:lineRule="auto"/>
        <w:jc w:val="both"/>
        <w:rPr>
          <w:rFonts w:ascii="Times New Roman" w:hAnsi="Times New Roman" w:cs="Times New Roman"/>
        </w:rPr>
      </w:pPr>
      <w:r w:rsidRPr="002C353E">
        <w:rPr>
          <w:rFonts w:ascii="Times New Roman" w:hAnsi="Times New Roman" w:cs="Times New Roman"/>
        </w:rPr>
        <w:t>The descriptive statistics presented in Table 1 offer a comprehensive overview of the distributional properties of the variables across the study period. Real GDP per capita (GDPPC) exhibited an average annual growth rate of 7.56%, with a relatively narrow range</w:t>
      </w:r>
      <w:r>
        <w:rPr>
          <w:rFonts w:ascii="Times New Roman" w:hAnsi="Times New Roman" w:cs="Times New Roman"/>
        </w:rPr>
        <w:t xml:space="preserve"> </w:t>
      </w:r>
      <w:r w:rsidRPr="002C353E">
        <w:rPr>
          <w:rFonts w:ascii="Times New Roman" w:hAnsi="Times New Roman" w:cs="Times New Roman"/>
        </w:rPr>
        <w:t xml:space="preserve">spanning </w:t>
      </w:r>
      <w:r w:rsidRPr="002C353E">
        <w:rPr>
          <w:rFonts w:ascii="Times New Roman" w:hAnsi="Times New Roman" w:cs="Times New Roman"/>
        </w:rPr>
        <w:lastRenderedPageBreak/>
        <w:t>from a minimum of 7.24% to a maximum of 7.86%. This indicates that Nigeria’s real per capita income experienced only modest fluctuations throughout the observed timeframe.</w:t>
      </w:r>
    </w:p>
    <w:p w14:paraId="6C1AA4C0" w14:textId="77777777" w:rsidR="0043638C" w:rsidRPr="002C353E" w:rsidRDefault="0043638C" w:rsidP="0043638C">
      <w:pPr>
        <w:tabs>
          <w:tab w:val="left" w:pos="2169"/>
        </w:tabs>
        <w:spacing w:line="480" w:lineRule="auto"/>
        <w:jc w:val="both"/>
        <w:rPr>
          <w:rFonts w:ascii="Times New Roman" w:hAnsi="Times New Roman" w:cs="Times New Roman"/>
        </w:rPr>
      </w:pPr>
      <w:r w:rsidRPr="002C353E">
        <w:rPr>
          <w:rFonts w:ascii="Times New Roman" w:hAnsi="Times New Roman" w:cs="Times New Roman"/>
        </w:rPr>
        <w:t>Government expenditure on education (GEDU) recorded a mean coverage rate of 4.34%, though it ranged from a high of 6.62% to a concerning low of -1.24%, suggesting episodes of budgetary contraction in the sector.</w:t>
      </w:r>
    </w:p>
    <w:p w14:paraId="552F3E61" w14:textId="77777777" w:rsidR="0043638C" w:rsidRPr="002C353E" w:rsidRDefault="0043638C" w:rsidP="0043638C">
      <w:pPr>
        <w:tabs>
          <w:tab w:val="left" w:pos="2169"/>
        </w:tabs>
        <w:spacing w:line="480" w:lineRule="auto"/>
        <w:jc w:val="both"/>
        <w:rPr>
          <w:rFonts w:ascii="Times New Roman" w:hAnsi="Times New Roman" w:cs="Times New Roman"/>
        </w:rPr>
      </w:pPr>
      <w:r w:rsidRPr="002C353E">
        <w:rPr>
          <w:rFonts w:ascii="Times New Roman" w:hAnsi="Times New Roman" w:cs="Times New Roman"/>
        </w:rPr>
        <w:t>Female secondary school enrolment (FSE) averaged 32.76%, with values ranging between 21.32% and 52.23%, reflecting significant variation in access over time. Meanwhile, the Gender Parity Index (GPI) for primary school enrolment maintained a mean of 0.89, with values fluctuating within a relatively narrow band of 0.79 to 1.01, indicating progress toward parity, though not without volatility.</w:t>
      </w:r>
    </w:p>
    <w:p w14:paraId="1078E6FC" w14:textId="77777777" w:rsidR="0043638C" w:rsidRPr="002C353E" w:rsidRDefault="0043638C" w:rsidP="0043638C">
      <w:pPr>
        <w:tabs>
          <w:tab w:val="left" w:pos="2169"/>
        </w:tabs>
        <w:spacing w:line="480" w:lineRule="auto"/>
        <w:jc w:val="both"/>
        <w:rPr>
          <w:rFonts w:ascii="Times New Roman" w:hAnsi="Times New Roman" w:cs="Times New Roman"/>
        </w:rPr>
      </w:pPr>
      <w:r w:rsidRPr="002C353E">
        <w:rPr>
          <w:rFonts w:ascii="Times New Roman" w:hAnsi="Times New Roman" w:cs="Times New Roman"/>
        </w:rPr>
        <w:t>The standard deviations across all variables are lower than their respective means, signalling low dispersion and suggesting that these time series are relatively stable over the study period.</w:t>
      </w:r>
    </w:p>
    <w:p w14:paraId="729C8393" w14:textId="7A939433" w:rsidR="0043638C" w:rsidRDefault="0043638C" w:rsidP="00F712FC">
      <w:pPr>
        <w:tabs>
          <w:tab w:val="left" w:pos="2169"/>
        </w:tabs>
        <w:spacing w:line="480" w:lineRule="auto"/>
        <w:jc w:val="both"/>
        <w:rPr>
          <w:rFonts w:ascii="Times New Roman" w:hAnsi="Times New Roman" w:cs="Times New Roman"/>
        </w:rPr>
      </w:pPr>
      <w:r w:rsidRPr="002C353E">
        <w:rPr>
          <w:rFonts w:ascii="Times New Roman" w:hAnsi="Times New Roman" w:cs="Times New Roman"/>
        </w:rPr>
        <w:t xml:space="preserve">Finally, the probability values associated with the </w:t>
      </w:r>
      <w:proofErr w:type="spellStart"/>
      <w:r w:rsidRPr="002C353E">
        <w:rPr>
          <w:rFonts w:ascii="Times New Roman" w:hAnsi="Times New Roman" w:cs="Times New Roman"/>
        </w:rPr>
        <w:t>Jarque-Bera</w:t>
      </w:r>
      <w:proofErr w:type="spellEnd"/>
      <w:r w:rsidRPr="002C353E">
        <w:rPr>
          <w:rFonts w:ascii="Times New Roman" w:hAnsi="Times New Roman" w:cs="Times New Roman"/>
        </w:rPr>
        <w:t xml:space="preserve"> statistics indicate that all variables are normally distributed at the 5% level of significance, affirming the appropriateness of parametric methods in subsequent econometric analysis</w:t>
      </w:r>
      <w:r>
        <w:rPr>
          <w:rFonts w:ascii="Times New Roman" w:hAnsi="Times New Roman" w:cs="Times New Roman"/>
        </w:rPr>
        <w:t>.</w:t>
      </w:r>
    </w:p>
    <w:p w14:paraId="01B9F3C3" w14:textId="77777777" w:rsidR="00C34EC7" w:rsidRDefault="00C34EC7" w:rsidP="00F712FC">
      <w:pPr>
        <w:tabs>
          <w:tab w:val="left" w:pos="2169"/>
        </w:tabs>
        <w:spacing w:line="480" w:lineRule="auto"/>
        <w:jc w:val="both"/>
        <w:rPr>
          <w:rFonts w:ascii="Times New Roman" w:hAnsi="Times New Roman" w:cs="Times New Roman"/>
        </w:rPr>
      </w:pPr>
    </w:p>
    <w:p w14:paraId="3FFA8FBF" w14:textId="5AB8E65D" w:rsidR="00832003" w:rsidRDefault="00832003" w:rsidP="00832003">
      <w:pPr>
        <w:spacing w:after="0" w:line="240" w:lineRule="auto"/>
        <w:ind w:right="90"/>
        <w:jc w:val="both"/>
        <w:rPr>
          <w:rFonts w:ascii="Times New Roman" w:hAnsi="Times New Roman" w:cs="Times New Roman"/>
          <w:b/>
        </w:rPr>
      </w:pPr>
      <w:r>
        <w:rPr>
          <w:rFonts w:ascii="Times New Roman" w:hAnsi="Times New Roman" w:cs="Times New Roman"/>
          <w:b/>
        </w:rPr>
        <w:t>T</w:t>
      </w:r>
      <w:r w:rsidRPr="00E13813">
        <w:rPr>
          <w:rFonts w:ascii="Times New Roman" w:hAnsi="Times New Roman" w:cs="Times New Roman"/>
          <w:b/>
        </w:rPr>
        <w:t xml:space="preserve">able </w:t>
      </w:r>
      <w:r>
        <w:rPr>
          <w:rFonts w:ascii="Times New Roman" w:hAnsi="Times New Roman" w:cs="Times New Roman"/>
          <w:b/>
        </w:rPr>
        <w:t>1</w:t>
      </w:r>
      <w:r w:rsidRPr="00E13813">
        <w:rPr>
          <w:rFonts w:ascii="Times New Roman" w:hAnsi="Times New Roman" w:cs="Times New Roman"/>
          <w:b/>
        </w:rPr>
        <w:t>: Summary of descriptive Statistics for the variables</w:t>
      </w:r>
    </w:p>
    <w:tbl>
      <w:tblPr>
        <w:tblW w:w="0" w:type="auto"/>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tblGrid>
      <w:tr w:rsidR="00832003" w14:paraId="62C56229" w14:textId="77777777" w:rsidTr="00B82BF5">
        <w:trPr>
          <w:trHeight w:val="225"/>
        </w:trPr>
        <w:tc>
          <w:tcPr>
            <w:tcW w:w="1492" w:type="dxa"/>
            <w:tcBorders>
              <w:top w:val="single" w:sz="4" w:space="0" w:color="auto"/>
              <w:bottom w:val="single" w:sz="4" w:space="0" w:color="auto"/>
            </w:tcBorders>
            <w:vAlign w:val="bottom"/>
          </w:tcPr>
          <w:p w14:paraId="0A695CA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tcBorders>
              <w:top w:val="single" w:sz="4" w:space="0" w:color="auto"/>
              <w:bottom w:val="single" w:sz="4" w:space="0" w:color="auto"/>
            </w:tcBorders>
            <w:vAlign w:val="bottom"/>
          </w:tcPr>
          <w:p w14:paraId="0713D9A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GDPPC</w:t>
            </w:r>
          </w:p>
        </w:tc>
        <w:tc>
          <w:tcPr>
            <w:tcW w:w="1312" w:type="dxa"/>
            <w:tcBorders>
              <w:top w:val="single" w:sz="4" w:space="0" w:color="auto"/>
              <w:bottom w:val="single" w:sz="4" w:space="0" w:color="auto"/>
            </w:tcBorders>
            <w:vAlign w:val="bottom"/>
          </w:tcPr>
          <w:p w14:paraId="1F914F2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GEDU</w:t>
            </w:r>
          </w:p>
        </w:tc>
        <w:tc>
          <w:tcPr>
            <w:tcW w:w="1313" w:type="dxa"/>
            <w:tcBorders>
              <w:top w:val="single" w:sz="4" w:space="0" w:color="auto"/>
              <w:bottom w:val="single" w:sz="4" w:space="0" w:color="auto"/>
            </w:tcBorders>
            <w:vAlign w:val="bottom"/>
          </w:tcPr>
          <w:p w14:paraId="24967E8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FSE</w:t>
            </w:r>
          </w:p>
        </w:tc>
        <w:tc>
          <w:tcPr>
            <w:tcW w:w="1312" w:type="dxa"/>
            <w:tcBorders>
              <w:top w:val="single" w:sz="4" w:space="0" w:color="auto"/>
              <w:bottom w:val="single" w:sz="4" w:space="0" w:color="auto"/>
            </w:tcBorders>
            <w:vAlign w:val="bottom"/>
          </w:tcPr>
          <w:p w14:paraId="3C82034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GPI</w:t>
            </w:r>
          </w:p>
        </w:tc>
      </w:tr>
      <w:tr w:rsidR="00832003" w14:paraId="254A13D2" w14:textId="77777777" w:rsidTr="00B82BF5">
        <w:trPr>
          <w:trHeight w:val="225"/>
        </w:trPr>
        <w:tc>
          <w:tcPr>
            <w:tcW w:w="1492" w:type="dxa"/>
            <w:tcBorders>
              <w:top w:val="single" w:sz="4" w:space="0" w:color="auto"/>
            </w:tcBorders>
            <w:vAlign w:val="bottom"/>
          </w:tcPr>
          <w:p w14:paraId="495399C8"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Mean</w:t>
            </w:r>
          </w:p>
        </w:tc>
        <w:tc>
          <w:tcPr>
            <w:tcW w:w="1313" w:type="dxa"/>
            <w:tcBorders>
              <w:top w:val="single" w:sz="4" w:space="0" w:color="auto"/>
            </w:tcBorders>
            <w:vAlign w:val="bottom"/>
          </w:tcPr>
          <w:p w14:paraId="273F742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7.559864</w:t>
            </w:r>
          </w:p>
        </w:tc>
        <w:tc>
          <w:tcPr>
            <w:tcW w:w="1312" w:type="dxa"/>
            <w:tcBorders>
              <w:top w:val="single" w:sz="4" w:space="0" w:color="auto"/>
            </w:tcBorders>
            <w:vAlign w:val="bottom"/>
          </w:tcPr>
          <w:p w14:paraId="48580EF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4.340677</w:t>
            </w:r>
          </w:p>
        </w:tc>
        <w:tc>
          <w:tcPr>
            <w:tcW w:w="1313" w:type="dxa"/>
            <w:tcBorders>
              <w:top w:val="single" w:sz="4" w:space="0" w:color="auto"/>
            </w:tcBorders>
            <w:vAlign w:val="bottom"/>
          </w:tcPr>
          <w:p w14:paraId="75427A1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32.76088</w:t>
            </w:r>
          </w:p>
        </w:tc>
        <w:tc>
          <w:tcPr>
            <w:tcW w:w="1312" w:type="dxa"/>
            <w:tcBorders>
              <w:top w:val="single" w:sz="4" w:space="0" w:color="auto"/>
            </w:tcBorders>
            <w:vAlign w:val="bottom"/>
          </w:tcPr>
          <w:p w14:paraId="12536B5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0.893824</w:t>
            </w:r>
          </w:p>
        </w:tc>
      </w:tr>
      <w:tr w:rsidR="00832003" w14:paraId="3D44CD1F" w14:textId="77777777" w:rsidTr="00B82BF5">
        <w:trPr>
          <w:trHeight w:val="225"/>
        </w:trPr>
        <w:tc>
          <w:tcPr>
            <w:tcW w:w="1492" w:type="dxa"/>
            <w:vAlign w:val="bottom"/>
          </w:tcPr>
          <w:p w14:paraId="25E714A4"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Median</w:t>
            </w:r>
          </w:p>
        </w:tc>
        <w:tc>
          <w:tcPr>
            <w:tcW w:w="1313" w:type="dxa"/>
            <w:vAlign w:val="bottom"/>
          </w:tcPr>
          <w:p w14:paraId="2D0F97A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7.593209</w:t>
            </w:r>
          </w:p>
        </w:tc>
        <w:tc>
          <w:tcPr>
            <w:tcW w:w="1312" w:type="dxa"/>
            <w:vAlign w:val="bottom"/>
          </w:tcPr>
          <w:p w14:paraId="4A39540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4.850074</w:t>
            </w:r>
          </w:p>
        </w:tc>
        <w:tc>
          <w:tcPr>
            <w:tcW w:w="1313" w:type="dxa"/>
            <w:vAlign w:val="bottom"/>
          </w:tcPr>
          <w:p w14:paraId="14598E8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31.38500</w:t>
            </w:r>
          </w:p>
        </w:tc>
        <w:tc>
          <w:tcPr>
            <w:tcW w:w="1312" w:type="dxa"/>
            <w:vAlign w:val="bottom"/>
          </w:tcPr>
          <w:p w14:paraId="4ABC84F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0.870000</w:t>
            </w:r>
          </w:p>
        </w:tc>
      </w:tr>
      <w:tr w:rsidR="00832003" w14:paraId="6504069C" w14:textId="77777777" w:rsidTr="00B82BF5">
        <w:trPr>
          <w:trHeight w:val="225"/>
        </w:trPr>
        <w:tc>
          <w:tcPr>
            <w:tcW w:w="1492" w:type="dxa"/>
            <w:vAlign w:val="bottom"/>
          </w:tcPr>
          <w:p w14:paraId="137DE140"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Maximum</w:t>
            </w:r>
          </w:p>
        </w:tc>
        <w:tc>
          <w:tcPr>
            <w:tcW w:w="1313" w:type="dxa"/>
            <w:vAlign w:val="bottom"/>
          </w:tcPr>
          <w:p w14:paraId="5F37168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7.857763</w:t>
            </w:r>
          </w:p>
        </w:tc>
        <w:tc>
          <w:tcPr>
            <w:tcW w:w="1312" w:type="dxa"/>
            <w:vAlign w:val="bottom"/>
          </w:tcPr>
          <w:p w14:paraId="5F6962A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6.624039</w:t>
            </w:r>
          </w:p>
        </w:tc>
        <w:tc>
          <w:tcPr>
            <w:tcW w:w="1313" w:type="dxa"/>
            <w:vAlign w:val="bottom"/>
          </w:tcPr>
          <w:p w14:paraId="68F9D64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52.23000</w:t>
            </w:r>
          </w:p>
        </w:tc>
        <w:tc>
          <w:tcPr>
            <w:tcW w:w="1312" w:type="dxa"/>
            <w:vAlign w:val="bottom"/>
          </w:tcPr>
          <w:p w14:paraId="539DBA6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1.010000</w:t>
            </w:r>
          </w:p>
        </w:tc>
      </w:tr>
      <w:tr w:rsidR="00832003" w14:paraId="04B1DB58" w14:textId="77777777" w:rsidTr="00B82BF5">
        <w:trPr>
          <w:trHeight w:val="225"/>
        </w:trPr>
        <w:tc>
          <w:tcPr>
            <w:tcW w:w="1492" w:type="dxa"/>
            <w:vAlign w:val="bottom"/>
          </w:tcPr>
          <w:p w14:paraId="667E73AC"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Minimum</w:t>
            </w:r>
          </w:p>
        </w:tc>
        <w:tc>
          <w:tcPr>
            <w:tcW w:w="1313" w:type="dxa"/>
            <w:vAlign w:val="bottom"/>
          </w:tcPr>
          <w:p w14:paraId="1C2887F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7.237397</w:t>
            </w:r>
          </w:p>
        </w:tc>
        <w:tc>
          <w:tcPr>
            <w:tcW w:w="1312" w:type="dxa"/>
            <w:vAlign w:val="bottom"/>
          </w:tcPr>
          <w:p w14:paraId="59F5F47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-1.237874</w:t>
            </w:r>
          </w:p>
        </w:tc>
        <w:tc>
          <w:tcPr>
            <w:tcW w:w="1313" w:type="dxa"/>
            <w:vAlign w:val="bottom"/>
          </w:tcPr>
          <w:p w14:paraId="4BAF4C5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21.32000</w:t>
            </w:r>
          </w:p>
        </w:tc>
        <w:tc>
          <w:tcPr>
            <w:tcW w:w="1312" w:type="dxa"/>
            <w:vAlign w:val="bottom"/>
          </w:tcPr>
          <w:p w14:paraId="1F11B0A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0.790000</w:t>
            </w:r>
          </w:p>
        </w:tc>
      </w:tr>
      <w:tr w:rsidR="00832003" w14:paraId="3507EB6E" w14:textId="77777777" w:rsidTr="00B82BF5">
        <w:trPr>
          <w:trHeight w:val="225"/>
        </w:trPr>
        <w:tc>
          <w:tcPr>
            <w:tcW w:w="1492" w:type="dxa"/>
            <w:vAlign w:val="bottom"/>
          </w:tcPr>
          <w:p w14:paraId="3638840E"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Std. Dev.</w:t>
            </w:r>
          </w:p>
        </w:tc>
        <w:tc>
          <w:tcPr>
            <w:tcW w:w="1313" w:type="dxa"/>
            <w:vAlign w:val="bottom"/>
          </w:tcPr>
          <w:p w14:paraId="312ED2B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0.232508</w:t>
            </w:r>
          </w:p>
        </w:tc>
        <w:tc>
          <w:tcPr>
            <w:tcW w:w="1312" w:type="dxa"/>
            <w:vAlign w:val="bottom"/>
          </w:tcPr>
          <w:p w14:paraId="6C55C6A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1.981637</w:t>
            </w:r>
          </w:p>
        </w:tc>
        <w:tc>
          <w:tcPr>
            <w:tcW w:w="1313" w:type="dxa"/>
            <w:vAlign w:val="bottom"/>
          </w:tcPr>
          <w:p w14:paraId="31B4277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10.25876</w:t>
            </w:r>
          </w:p>
        </w:tc>
        <w:tc>
          <w:tcPr>
            <w:tcW w:w="1312" w:type="dxa"/>
            <w:vAlign w:val="bottom"/>
          </w:tcPr>
          <w:p w14:paraId="675B4F8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0.074305</w:t>
            </w:r>
          </w:p>
        </w:tc>
      </w:tr>
      <w:tr w:rsidR="00832003" w14:paraId="08B2C650" w14:textId="77777777" w:rsidTr="00B82BF5">
        <w:trPr>
          <w:trHeight w:val="225"/>
        </w:trPr>
        <w:tc>
          <w:tcPr>
            <w:tcW w:w="1492" w:type="dxa"/>
            <w:vAlign w:val="bottom"/>
          </w:tcPr>
          <w:p w14:paraId="0BDFA392"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Skewness</w:t>
            </w:r>
          </w:p>
        </w:tc>
        <w:tc>
          <w:tcPr>
            <w:tcW w:w="1313" w:type="dxa"/>
            <w:vAlign w:val="bottom"/>
          </w:tcPr>
          <w:p w14:paraId="1D92CBE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-0.166151</w:t>
            </w:r>
          </w:p>
        </w:tc>
        <w:tc>
          <w:tcPr>
            <w:tcW w:w="1312" w:type="dxa"/>
            <w:vAlign w:val="bottom"/>
          </w:tcPr>
          <w:p w14:paraId="23A4B7FB"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-0.989533</w:t>
            </w:r>
          </w:p>
        </w:tc>
        <w:tc>
          <w:tcPr>
            <w:tcW w:w="1313" w:type="dxa"/>
            <w:vAlign w:val="bottom"/>
          </w:tcPr>
          <w:p w14:paraId="0132DCF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0.215673</w:t>
            </w:r>
          </w:p>
        </w:tc>
        <w:tc>
          <w:tcPr>
            <w:tcW w:w="1312" w:type="dxa"/>
            <w:vAlign w:val="bottom"/>
          </w:tcPr>
          <w:p w14:paraId="1753E63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0.343012</w:t>
            </w:r>
          </w:p>
        </w:tc>
      </w:tr>
      <w:tr w:rsidR="00832003" w14:paraId="7312C30B" w14:textId="77777777" w:rsidTr="00B82BF5">
        <w:trPr>
          <w:trHeight w:val="225"/>
        </w:trPr>
        <w:tc>
          <w:tcPr>
            <w:tcW w:w="1492" w:type="dxa"/>
            <w:vAlign w:val="bottom"/>
          </w:tcPr>
          <w:p w14:paraId="4D6EA83E"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Kurtosis</w:t>
            </w:r>
          </w:p>
        </w:tc>
        <w:tc>
          <w:tcPr>
            <w:tcW w:w="1313" w:type="dxa"/>
            <w:vAlign w:val="bottom"/>
          </w:tcPr>
          <w:p w14:paraId="2939250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1.349076</w:t>
            </w:r>
          </w:p>
        </w:tc>
        <w:tc>
          <w:tcPr>
            <w:tcW w:w="1312" w:type="dxa"/>
            <w:vAlign w:val="bottom"/>
          </w:tcPr>
          <w:p w14:paraId="104F7A0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3.352476</w:t>
            </w:r>
          </w:p>
        </w:tc>
        <w:tc>
          <w:tcPr>
            <w:tcW w:w="1313" w:type="dxa"/>
            <w:vAlign w:val="bottom"/>
          </w:tcPr>
          <w:p w14:paraId="5409469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1.528359</w:t>
            </w:r>
          </w:p>
        </w:tc>
        <w:tc>
          <w:tcPr>
            <w:tcW w:w="1312" w:type="dxa"/>
            <w:vAlign w:val="bottom"/>
          </w:tcPr>
          <w:p w14:paraId="02E700B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1.663184</w:t>
            </w:r>
          </w:p>
        </w:tc>
      </w:tr>
      <w:tr w:rsidR="00832003" w14:paraId="15F1954C" w14:textId="77777777" w:rsidTr="00B82BF5">
        <w:trPr>
          <w:trHeight w:val="225"/>
        </w:trPr>
        <w:tc>
          <w:tcPr>
            <w:tcW w:w="1492" w:type="dxa"/>
            <w:vAlign w:val="bottom"/>
          </w:tcPr>
          <w:p w14:paraId="31D16C0B"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4A2AB3E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6344201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47912D7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278AE14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218FED2A" w14:textId="77777777" w:rsidTr="00B82BF5">
        <w:trPr>
          <w:trHeight w:val="225"/>
        </w:trPr>
        <w:tc>
          <w:tcPr>
            <w:tcW w:w="1492" w:type="dxa"/>
            <w:vAlign w:val="bottom"/>
          </w:tcPr>
          <w:p w14:paraId="6FF94E09"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w:t>
            </w:r>
            <w:proofErr w:type="spellStart"/>
            <w:r>
              <w:rPr>
                <w:rFonts w:ascii="Arial" w:hAnsi="Arial" w:cs="Arial"/>
                <w:color w:val="000000"/>
                <w:kern w:val="0"/>
                <w:sz w:val="18"/>
                <w:szCs w:val="18"/>
              </w:rPr>
              <w:t>Jarque-Bera</w:t>
            </w:r>
            <w:proofErr w:type="spellEnd"/>
          </w:p>
        </w:tc>
        <w:tc>
          <w:tcPr>
            <w:tcW w:w="1313" w:type="dxa"/>
            <w:vAlign w:val="bottom"/>
          </w:tcPr>
          <w:p w14:paraId="4A33AFC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4.017633</w:t>
            </w:r>
          </w:p>
        </w:tc>
        <w:tc>
          <w:tcPr>
            <w:tcW w:w="1312" w:type="dxa"/>
            <w:vAlign w:val="bottom"/>
          </w:tcPr>
          <w:p w14:paraId="3BEB063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5.724668</w:t>
            </w:r>
          </w:p>
        </w:tc>
        <w:tc>
          <w:tcPr>
            <w:tcW w:w="1313" w:type="dxa"/>
            <w:vAlign w:val="bottom"/>
          </w:tcPr>
          <w:p w14:paraId="42592F5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3.331699</w:t>
            </w:r>
          </w:p>
        </w:tc>
        <w:tc>
          <w:tcPr>
            <w:tcW w:w="1312" w:type="dxa"/>
            <w:vAlign w:val="bottom"/>
          </w:tcPr>
          <w:p w14:paraId="7278DBA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3.198417</w:t>
            </w:r>
          </w:p>
        </w:tc>
      </w:tr>
      <w:tr w:rsidR="00832003" w14:paraId="4AE74EF7" w14:textId="77777777" w:rsidTr="00B82BF5">
        <w:trPr>
          <w:trHeight w:val="225"/>
        </w:trPr>
        <w:tc>
          <w:tcPr>
            <w:tcW w:w="1492" w:type="dxa"/>
            <w:vAlign w:val="bottom"/>
          </w:tcPr>
          <w:p w14:paraId="298A2705"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Probability</w:t>
            </w:r>
          </w:p>
        </w:tc>
        <w:tc>
          <w:tcPr>
            <w:tcW w:w="1313" w:type="dxa"/>
            <w:vAlign w:val="bottom"/>
          </w:tcPr>
          <w:p w14:paraId="3407BE9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0.134147</w:t>
            </w:r>
          </w:p>
        </w:tc>
        <w:tc>
          <w:tcPr>
            <w:tcW w:w="1312" w:type="dxa"/>
            <w:vAlign w:val="bottom"/>
          </w:tcPr>
          <w:p w14:paraId="28275D2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0.057135</w:t>
            </w:r>
          </w:p>
        </w:tc>
        <w:tc>
          <w:tcPr>
            <w:tcW w:w="1313" w:type="dxa"/>
            <w:vAlign w:val="bottom"/>
          </w:tcPr>
          <w:p w14:paraId="092E7BA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0.189030</w:t>
            </w:r>
          </w:p>
        </w:tc>
        <w:tc>
          <w:tcPr>
            <w:tcW w:w="1312" w:type="dxa"/>
            <w:vAlign w:val="bottom"/>
          </w:tcPr>
          <w:p w14:paraId="5749F27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0.202056</w:t>
            </w:r>
          </w:p>
        </w:tc>
      </w:tr>
      <w:tr w:rsidR="00832003" w14:paraId="07FF50A3" w14:textId="77777777" w:rsidTr="00B82BF5">
        <w:trPr>
          <w:trHeight w:val="225"/>
        </w:trPr>
        <w:tc>
          <w:tcPr>
            <w:tcW w:w="1492" w:type="dxa"/>
            <w:vAlign w:val="bottom"/>
          </w:tcPr>
          <w:p w14:paraId="26CD391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2A14F02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004D706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35DE7C7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3359683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2024867B" w14:textId="77777777" w:rsidTr="00B82BF5">
        <w:trPr>
          <w:trHeight w:val="225"/>
        </w:trPr>
        <w:tc>
          <w:tcPr>
            <w:tcW w:w="1492" w:type="dxa"/>
            <w:vAlign w:val="bottom"/>
          </w:tcPr>
          <w:p w14:paraId="68C5241A"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Sum</w:t>
            </w:r>
          </w:p>
        </w:tc>
        <w:tc>
          <w:tcPr>
            <w:tcW w:w="1313" w:type="dxa"/>
            <w:vAlign w:val="bottom"/>
          </w:tcPr>
          <w:p w14:paraId="6E06DDB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257.0354</w:t>
            </w:r>
          </w:p>
        </w:tc>
        <w:tc>
          <w:tcPr>
            <w:tcW w:w="1312" w:type="dxa"/>
            <w:vAlign w:val="bottom"/>
          </w:tcPr>
          <w:p w14:paraId="1873F73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147.5830</w:t>
            </w:r>
          </w:p>
        </w:tc>
        <w:tc>
          <w:tcPr>
            <w:tcW w:w="1313" w:type="dxa"/>
            <w:vAlign w:val="bottom"/>
          </w:tcPr>
          <w:p w14:paraId="33DFD51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1113.870</w:t>
            </w:r>
          </w:p>
        </w:tc>
        <w:tc>
          <w:tcPr>
            <w:tcW w:w="1312" w:type="dxa"/>
            <w:vAlign w:val="bottom"/>
          </w:tcPr>
          <w:p w14:paraId="2CFDD01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30.39000</w:t>
            </w:r>
          </w:p>
        </w:tc>
      </w:tr>
      <w:tr w:rsidR="00832003" w14:paraId="7B94786D" w14:textId="77777777" w:rsidTr="00B82BF5">
        <w:trPr>
          <w:trHeight w:val="225"/>
        </w:trPr>
        <w:tc>
          <w:tcPr>
            <w:tcW w:w="1492" w:type="dxa"/>
            <w:vAlign w:val="bottom"/>
          </w:tcPr>
          <w:p w14:paraId="3447CFC9"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Sum Sq. Dev.</w:t>
            </w:r>
          </w:p>
        </w:tc>
        <w:tc>
          <w:tcPr>
            <w:tcW w:w="1313" w:type="dxa"/>
            <w:vAlign w:val="bottom"/>
          </w:tcPr>
          <w:p w14:paraId="41FB2737"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1.783980</w:t>
            </w:r>
          </w:p>
        </w:tc>
        <w:tc>
          <w:tcPr>
            <w:tcW w:w="1312" w:type="dxa"/>
            <w:vAlign w:val="bottom"/>
          </w:tcPr>
          <w:p w14:paraId="5B1C309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129.5872</w:t>
            </w:r>
          </w:p>
        </w:tc>
        <w:tc>
          <w:tcPr>
            <w:tcW w:w="1313" w:type="dxa"/>
            <w:vAlign w:val="bottom"/>
          </w:tcPr>
          <w:p w14:paraId="6381C36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3472.992</w:t>
            </w:r>
          </w:p>
        </w:tc>
        <w:tc>
          <w:tcPr>
            <w:tcW w:w="1312" w:type="dxa"/>
            <w:vAlign w:val="bottom"/>
          </w:tcPr>
          <w:p w14:paraId="04318A5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0.182203</w:t>
            </w:r>
          </w:p>
        </w:tc>
      </w:tr>
      <w:tr w:rsidR="00832003" w14:paraId="0407617A" w14:textId="77777777" w:rsidTr="00B82BF5">
        <w:trPr>
          <w:trHeight w:val="225"/>
        </w:trPr>
        <w:tc>
          <w:tcPr>
            <w:tcW w:w="1492" w:type="dxa"/>
            <w:vAlign w:val="bottom"/>
          </w:tcPr>
          <w:p w14:paraId="09DCEB7B"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7B42872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4247C93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56FF527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1C0B995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7BA1CBBD" w14:textId="77777777" w:rsidTr="00B82BF5">
        <w:trPr>
          <w:trHeight w:val="225"/>
        </w:trPr>
        <w:tc>
          <w:tcPr>
            <w:tcW w:w="1492" w:type="dxa"/>
            <w:vAlign w:val="bottom"/>
          </w:tcPr>
          <w:p w14:paraId="2A332CE2"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Observations</w:t>
            </w:r>
          </w:p>
        </w:tc>
        <w:tc>
          <w:tcPr>
            <w:tcW w:w="1313" w:type="dxa"/>
            <w:vAlign w:val="bottom"/>
          </w:tcPr>
          <w:p w14:paraId="084DB05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w:t>
            </w:r>
          </w:p>
        </w:tc>
        <w:tc>
          <w:tcPr>
            <w:tcW w:w="1312" w:type="dxa"/>
            <w:vAlign w:val="bottom"/>
          </w:tcPr>
          <w:p w14:paraId="2772FC6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w:t>
            </w:r>
          </w:p>
        </w:tc>
        <w:tc>
          <w:tcPr>
            <w:tcW w:w="1313" w:type="dxa"/>
            <w:vAlign w:val="bottom"/>
          </w:tcPr>
          <w:p w14:paraId="014AE75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w:t>
            </w:r>
          </w:p>
        </w:tc>
        <w:tc>
          <w:tcPr>
            <w:tcW w:w="1312" w:type="dxa"/>
            <w:vAlign w:val="bottom"/>
          </w:tcPr>
          <w:p w14:paraId="3199FD9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w:t>
            </w:r>
          </w:p>
        </w:tc>
      </w:tr>
    </w:tbl>
    <w:p w14:paraId="0912071D" w14:textId="77777777" w:rsidR="00832003" w:rsidRPr="005A3AEB" w:rsidRDefault="00832003" w:rsidP="00832003">
      <w:pPr>
        <w:spacing w:line="480" w:lineRule="auto"/>
        <w:jc w:val="both"/>
        <w:rPr>
          <w:rFonts w:ascii="Times New Roman" w:hAnsi="Times New Roman" w:cs="Times New Roman"/>
          <w:i/>
          <w:iCs/>
          <w:sz w:val="20"/>
          <w:szCs w:val="20"/>
        </w:rPr>
      </w:pPr>
      <w:r w:rsidRPr="005A3AEB">
        <w:rPr>
          <w:rFonts w:ascii="Times New Roman" w:hAnsi="Times New Roman" w:cs="Times New Roman"/>
          <w:sz w:val="20"/>
          <w:szCs w:val="20"/>
        </w:rPr>
        <w:t>Source:</w:t>
      </w:r>
      <w:r w:rsidRPr="005A3AEB">
        <w:rPr>
          <w:rFonts w:ascii="Times New Roman" w:hAnsi="Times New Roman" w:cs="Times New Roman"/>
          <w:i/>
          <w:iCs/>
          <w:sz w:val="20"/>
          <w:szCs w:val="20"/>
        </w:rPr>
        <w:t xml:space="preserve"> </w:t>
      </w:r>
      <w:r>
        <w:rPr>
          <w:rFonts w:ascii="Times New Roman" w:hAnsi="Times New Roman" w:cs="Times New Roman"/>
          <w:i/>
          <w:iCs/>
          <w:sz w:val="20"/>
          <w:szCs w:val="20"/>
        </w:rPr>
        <w:t>Researcher</w:t>
      </w:r>
      <w:r w:rsidRPr="005A3AEB">
        <w:rPr>
          <w:rFonts w:ascii="Times New Roman" w:hAnsi="Times New Roman" w:cs="Times New Roman"/>
          <w:i/>
          <w:iCs/>
          <w:sz w:val="20"/>
          <w:szCs w:val="20"/>
        </w:rPr>
        <w:t>’s computation using E-views 12</w:t>
      </w:r>
      <w:r>
        <w:rPr>
          <w:rFonts w:ascii="Times New Roman" w:hAnsi="Times New Roman" w:cs="Times New Roman"/>
          <w:i/>
          <w:iCs/>
          <w:sz w:val="20"/>
          <w:szCs w:val="20"/>
        </w:rPr>
        <w:t>.</w:t>
      </w:r>
    </w:p>
    <w:p w14:paraId="46FCC21E" w14:textId="68F5B6C3" w:rsidR="00832003" w:rsidRDefault="00C34EC7" w:rsidP="00AD107E">
      <w:pPr>
        <w:tabs>
          <w:tab w:val="left" w:pos="2169"/>
        </w:tabs>
        <w:spacing w:line="480" w:lineRule="auto"/>
        <w:jc w:val="both"/>
        <w:rPr>
          <w:rFonts w:ascii="Times New Roman" w:hAnsi="Times New Roman" w:cs="Times New Roman"/>
          <w:b/>
          <w:bCs/>
        </w:rPr>
      </w:pPr>
      <w:r>
        <w:rPr>
          <w:rFonts w:ascii="Times New Roman" w:hAnsi="Times New Roman" w:cs="Times New Roman"/>
          <w:b/>
          <w:bCs/>
        </w:rPr>
        <w:lastRenderedPageBreak/>
        <w:t xml:space="preserve">4.2 </w:t>
      </w:r>
      <w:r w:rsidR="00832003">
        <w:rPr>
          <w:rFonts w:ascii="Times New Roman" w:hAnsi="Times New Roman" w:cs="Times New Roman"/>
          <w:b/>
          <w:bCs/>
        </w:rPr>
        <w:t>Unit Root Test</w:t>
      </w:r>
    </w:p>
    <w:p w14:paraId="69AFC925" w14:textId="77777777" w:rsidR="00832003" w:rsidRDefault="00832003" w:rsidP="00AD107E">
      <w:pPr>
        <w:tabs>
          <w:tab w:val="left" w:pos="2169"/>
        </w:tabs>
        <w:spacing w:line="480" w:lineRule="auto"/>
        <w:jc w:val="both"/>
        <w:rPr>
          <w:rFonts w:ascii="Times New Roman" w:hAnsi="Times New Roman" w:cs="Times New Roman"/>
        </w:rPr>
      </w:pPr>
      <w:r w:rsidRPr="002458D3">
        <w:rPr>
          <w:rFonts w:ascii="Times New Roman" w:hAnsi="Times New Roman" w:cs="Times New Roman"/>
        </w:rPr>
        <w:t>To mitigate the risk of spurious regression results, the second stage of our empirical analysis involved testing the stationarity properties of the time series variables. The test specification included an individual intercept, and we employed the Augmented Dickey-Fuller Fisher (ADF-Fisher) method, under the null hypothesis that each series possesses a unit root</w:t>
      </w:r>
      <w:r>
        <w:rPr>
          <w:rFonts w:ascii="Times New Roman" w:hAnsi="Times New Roman" w:cs="Times New Roman"/>
        </w:rPr>
        <w:t xml:space="preserve"> (</w:t>
      </w:r>
      <w:r w:rsidRPr="002458D3">
        <w:rPr>
          <w:rFonts w:ascii="Times New Roman" w:hAnsi="Times New Roman" w:cs="Times New Roman"/>
        </w:rPr>
        <w:t>i.e., is non-stationary</w:t>
      </w:r>
      <w:r>
        <w:rPr>
          <w:rFonts w:ascii="Times New Roman" w:hAnsi="Times New Roman" w:cs="Times New Roman"/>
        </w:rPr>
        <w:t>)</w:t>
      </w:r>
      <w:r w:rsidRPr="00E36E0A">
        <w:rPr>
          <w:rFonts w:ascii="Times New Roman" w:hAnsi="Times New Roman" w:cs="Times New Roman"/>
        </w:rPr>
        <w:t>.</w:t>
      </w:r>
    </w:p>
    <w:p w14:paraId="37CD0C9D" w14:textId="1B53CD36" w:rsidR="0023407D" w:rsidRPr="00E960C3" w:rsidRDefault="0023407D" w:rsidP="0023407D">
      <w:pPr>
        <w:spacing w:line="480" w:lineRule="auto"/>
        <w:ind w:right="90"/>
        <w:jc w:val="both"/>
        <w:rPr>
          <w:rFonts w:ascii="Times New Roman" w:hAnsi="Times New Roman" w:cs="Times New Roman"/>
        </w:rPr>
      </w:pPr>
      <w:r w:rsidRPr="00E960C3">
        <w:rPr>
          <w:rFonts w:ascii="Times New Roman" w:hAnsi="Times New Roman" w:cs="Times New Roman"/>
        </w:rPr>
        <w:t xml:space="preserve">The outcomes of the unit root test, presented in Table 2, reveal that only government expenditure on education (GEDU) is stationary in its level form. The ADF test statistic for GEDU is -6.137666, which exceeds the 5% critical value in absolute terms, implying that the null hypothesis of a unit root is rejected at conventional significance levels. Thus, GEDU is integrated of order zero, </w:t>
      </w:r>
      <w:proofErr w:type="gramStart"/>
      <w:r w:rsidRPr="00E960C3">
        <w:rPr>
          <w:rFonts w:ascii="Times New Roman" w:hAnsi="Times New Roman" w:cs="Times New Roman"/>
        </w:rPr>
        <w:t>I(</w:t>
      </w:r>
      <w:proofErr w:type="gramEnd"/>
      <w:r w:rsidRPr="00E960C3">
        <w:rPr>
          <w:rFonts w:ascii="Times New Roman" w:hAnsi="Times New Roman" w:cs="Times New Roman"/>
        </w:rPr>
        <w:t>0), and does not require differencing to attain stationarity.</w:t>
      </w:r>
    </w:p>
    <w:p w14:paraId="5069B5D5" w14:textId="77777777" w:rsidR="0023407D" w:rsidRPr="00E960C3" w:rsidRDefault="0023407D" w:rsidP="0023407D">
      <w:pPr>
        <w:spacing w:line="480" w:lineRule="auto"/>
        <w:ind w:right="90"/>
        <w:jc w:val="both"/>
        <w:rPr>
          <w:rFonts w:ascii="Times New Roman" w:hAnsi="Times New Roman" w:cs="Times New Roman"/>
        </w:rPr>
      </w:pPr>
      <w:r w:rsidRPr="00E960C3">
        <w:rPr>
          <w:rFonts w:ascii="Times New Roman" w:hAnsi="Times New Roman" w:cs="Times New Roman"/>
        </w:rPr>
        <w:t>In contrast, the remaining variables</w:t>
      </w:r>
      <w:r>
        <w:rPr>
          <w:rFonts w:ascii="Times New Roman" w:hAnsi="Times New Roman" w:cs="Times New Roman"/>
        </w:rPr>
        <w:t xml:space="preserve">: </w:t>
      </w:r>
      <w:r w:rsidRPr="00E960C3">
        <w:rPr>
          <w:rFonts w:ascii="Times New Roman" w:hAnsi="Times New Roman" w:cs="Times New Roman"/>
        </w:rPr>
        <w:t>real GDP per capita (GDPPC), female secondary school enrolment (FSE), and the Gender Parity Index (GPI) for primary school enrolment</w:t>
      </w:r>
      <w:r>
        <w:rPr>
          <w:rFonts w:ascii="Times New Roman" w:hAnsi="Times New Roman" w:cs="Times New Roman"/>
        </w:rPr>
        <w:t xml:space="preserve"> </w:t>
      </w:r>
      <w:r w:rsidRPr="00E960C3">
        <w:rPr>
          <w:rFonts w:ascii="Times New Roman" w:hAnsi="Times New Roman" w:cs="Times New Roman"/>
        </w:rPr>
        <w:t xml:space="preserve">were found to be non-stationary at levels but stationary after first differencing. Specifically, their ADF test statistics are -3.055924, -6.840476, and -5.192283, respectively, all exceeding the 5% critical threshold in magnitude at first difference. These findings suggest that GDPPC, FSE, and GPI are integrated of order one, </w:t>
      </w:r>
      <w:proofErr w:type="gramStart"/>
      <w:r w:rsidRPr="00E960C3">
        <w:rPr>
          <w:rFonts w:ascii="Times New Roman" w:hAnsi="Times New Roman" w:cs="Times New Roman"/>
        </w:rPr>
        <w:t>I(</w:t>
      </w:r>
      <w:proofErr w:type="gramEnd"/>
      <w:r w:rsidRPr="00E960C3">
        <w:rPr>
          <w:rFonts w:ascii="Times New Roman" w:hAnsi="Times New Roman" w:cs="Times New Roman"/>
        </w:rPr>
        <w:t>1), and thus contain a unit root in levels but become stationary in their differenced forms.</w:t>
      </w:r>
    </w:p>
    <w:p w14:paraId="5140A37E" w14:textId="3B4DE2C4" w:rsidR="0023407D" w:rsidRPr="00EE1DEC" w:rsidRDefault="0023407D" w:rsidP="0023407D">
      <w:pPr>
        <w:spacing w:line="480" w:lineRule="auto"/>
        <w:ind w:right="90"/>
        <w:jc w:val="both"/>
        <w:rPr>
          <w:rFonts w:ascii="Times New Roman" w:hAnsi="Times New Roman" w:cs="Times New Roman"/>
        </w:rPr>
      </w:pPr>
      <w:r w:rsidRPr="00E960C3">
        <w:rPr>
          <w:rFonts w:ascii="Times New Roman" w:hAnsi="Times New Roman" w:cs="Times New Roman"/>
        </w:rPr>
        <w:t xml:space="preserve">Given this mixture of </w:t>
      </w:r>
      <w:proofErr w:type="gramStart"/>
      <w:r w:rsidRPr="00E960C3">
        <w:rPr>
          <w:rFonts w:ascii="Times New Roman" w:hAnsi="Times New Roman" w:cs="Times New Roman"/>
        </w:rPr>
        <w:t>I(</w:t>
      </w:r>
      <w:proofErr w:type="gramEnd"/>
      <w:r w:rsidRPr="00E960C3">
        <w:rPr>
          <w:rFonts w:ascii="Times New Roman" w:hAnsi="Times New Roman" w:cs="Times New Roman"/>
        </w:rPr>
        <w:t xml:space="preserve">0) and I(1) variables, it is appropriate to proceed with a </w:t>
      </w:r>
      <w:r w:rsidR="0038726E" w:rsidRPr="00E960C3">
        <w:rPr>
          <w:rFonts w:ascii="Times New Roman" w:hAnsi="Times New Roman" w:cs="Times New Roman"/>
        </w:rPr>
        <w:t>bound</w:t>
      </w:r>
      <w:r w:rsidRPr="00E960C3">
        <w:rPr>
          <w:rFonts w:ascii="Times New Roman" w:hAnsi="Times New Roman" w:cs="Times New Roman"/>
        </w:rPr>
        <w:t xml:space="preserve"> testing approach to examine the existence of a long-run equilibrium relationship among the variables, in line with the methodology outlined by </w:t>
      </w:r>
      <w:proofErr w:type="spellStart"/>
      <w:r w:rsidRPr="00E960C3">
        <w:rPr>
          <w:rFonts w:ascii="Times New Roman" w:hAnsi="Times New Roman" w:cs="Times New Roman"/>
        </w:rPr>
        <w:t>Aninwagu</w:t>
      </w:r>
      <w:proofErr w:type="spellEnd"/>
      <w:r w:rsidRPr="00E960C3">
        <w:rPr>
          <w:rFonts w:ascii="Times New Roman" w:hAnsi="Times New Roman" w:cs="Times New Roman"/>
        </w:rPr>
        <w:t xml:space="preserve"> and Momodu </w:t>
      </w:r>
      <w:r w:rsidR="004D055D">
        <w:rPr>
          <w:rFonts w:ascii="Times New Roman" w:hAnsi="Times New Roman" w:cs="Times New Roman"/>
        </w:rPr>
        <w:t>[33]</w:t>
      </w:r>
      <w:r w:rsidR="00924576">
        <w:rPr>
          <w:rFonts w:ascii="Times New Roman" w:hAnsi="Times New Roman" w:cs="Times New Roman"/>
        </w:rPr>
        <w:t>.</w:t>
      </w:r>
    </w:p>
    <w:p w14:paraId="17C47EE3" w14:textId="77777777" w:rsidR="00832003" w:rsidRPr="0082633E" w:rsidRDefault="00832003" w:rsidP="00832003">
      <w:pPr>
        <w:spacing w:line="360" w:lineRule="auto"/>
        <w:jc w:val="both"/>
        <w:rPr>
          <w:rFonts w:ascii="Times New Roman" w:hAnsi="Times New Roman" w:cs="Times New Roman"/>
          <w:b/>
          <w:bCs/>
        </w:rPr>
      </w:pPr>
      <w:r w:rsidRPr="00A614CB">
        <w:rPr>
          <w:rFonts w:ascii="Times New Roman" w:hAnsi="Times New Roman" w:cs="Times New Roman"/>
          <w:b/>
          <w:bCs/>
        </w:rPr>
        <w:t xml:space="preserve">Table </w:t>
      </w:r>
      <w:r>
        <w:rPr>
          <w:rFonts w:ascii="Times New Roman" w:hAnsi="Times New Roman" w:cs="Times New Roman"/>
          <w:b/>
          <w:bCs/>
        </w:rPr>
        <w:t>2</w:t>
      </w:r>
      <w:r w:rsidRPr="00A614CB">
        <w:rPr>
          <w:rFonts w:ascii="Times New Roman" w:hAnsi="Times New Roman" w:cs="Times New Roman"/>
          <w:b/>
          <w:bCs/>
        </w:rPr>
        <w:t>: ADF Unit Root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985"/>
        <w:gridCol w:w="2136"/>
        <w:gridCol w:w="2412"/>
      </w:tblGrid>
      <w:tr w:rsidR="00832003" w14:paraId="5A3965F4" w14:textId="77777777" w:rsidTr="00B82BF5">
        <w:trPr>
          <w:trHeight w:val="553"/>
          <w:jc w:val="center"/>
        </w:trPr>
        <w:tc>
          <w:tcPr>
            <w:tcW w:w="2405" w:type="dxa"/>
            <w:tcBorders>
              <w:bottom w:val="nil"/>
            </w:tcBorders>
          </w:tcPr>
          <w:p w14:paraId="68449A43" w14:textId="77777777" w:rsidR="00832003" w:rsidRPr="00A45B40" w:rsidRDefault="00832003" w:rsidP="00B82BF5">
            <w:pPr>
              <w:spacing w:line="240" w:lineRule="auto"/>
              <w:ind w:right="90"/>
              <w:jc w:val="both"/>
              <w:rPr>
                <w:rFonts w:ascii="Times New Roman" w:hAnsi="Times New Roman" w:cs="Times New Roman"/>
                <w:b/>
                <w:bCs/>
              </w:rPr>
            </w:pPr>
            <w:r w:rsidRPr="00A45B40">
              <w:rPr>
                <w:rFonts w:ascii="Times New Roman" w:hAnsi="Times New Roman" w:cs="Times New Roman"/>
                <w:b/>
                <w:bCs/>
              </w:rPr>
              <w:t>Variables</w:t>
            </w:r>
          </w:p>
        </w:tc>
        <w:tc>
          <w:tcPr>
            <w:tcW w:w="4121" w:type="dxa"/>
            <w:gridSpan w:val="2"/>
          </w:tcPr>
          <w:p w14:paraId="2ADEE757" w14:textId="77777777" w:rsidR="00832003" w:rsidRPr="00CD18F3" w:rsidRDefault="00832003" w:rsidP="00B82BF5">
            <w:pPr>
              <w:spacing w:line="240" w:lineRule="auto"/>
              <w:ind w:right="90"/>
              <w:jc w:val="center"/>
              <w:rPr>
                <w:rFonts w:ascii="Times New Roman" w:hAnsi="Times New Roman" w:cs="Times New Roman"/>
                <w:b/>
                <w:bCs/>
              </w:rPr>
            </w:pPr>
            <w:r w:rsidRPr="00CD18F3">
              <w:rPr>
                <w:rFonts w:ascii="Times New Roman" w:hAnsi="Times New Roman" w:cs="Times New Roman"/>
                <w:b/>
                <w:bCs/>
              </w:rPr>
              <w:t>ADF (SIC)</w:t>
            </w:r>
          </w:p>
        </w:tc>
        <w:tc>
          <w:tcPr>
            <w:tcW w:w="2412" w:type="dxa"/>
          </w:tcPr>
          <w:p w14:paraId="445DB6C4" w14:textId="77777777" w:rsidR="00832003" w:rsidRPr="00CD18F3" w:rsidRDefault="00832003" w:rsidP="00B82BF5">
            <w:pPr>
              <w:spacing w:line="240" w:lineRule="auto"/>
              <w:ind w:right="90"/>
              <w:jc w:val="both"/>
              <w:rPr>
                <w:rFonts w:ascii="Times New Roman" w:hAnsi="Times New Roman" w:cs="Times New Roman"/>
                <w:b/>
                <w:bCs/>
              </w:rPr>
            </w:pPr>
            <w:r w:rsidRPr="00CD18F3">
              <w:rPr>
                <w:rFonts w:ascii="Times New Roman" w:hAnsi="Times New Roman" w:cs="Times New Roman"/>
                <w:b/>
                <w:bCs/>
              </w:rPr>
              <w:t xml:space="preserve">Order of Integration </w:t>
            </w:r>
          </w:p>
        </w:tc>
      </w:tr>
      <w:tr w:rsidR="00832003" w14:paraId="3C55A092" w14:textId="77777777" w:rsidTr="00B82BF5">
        <w:trPr>
          <w:trHeight w:val="262"/>
          <w:jc w:val="center"/>
        </w:trPr>
        <w:tc>
          <w:tcPr>
            <w:tcW w:w="2405" w:type="dxa"/>
            <w:tcBorders>
              <w:top w:val="nil"/>
            </w:tcBorders>
          </w:tcPr>
          <w:p w14:paraId="670918EE" w14:textId="77777777" w:rsidR="00832003" w:rsidRPr="00A45B40" w:rsidRDefault="00832003" w:rsidP="00B82BF5">
            <w:pPr>
              <w:spacing w:line="240" w:lineRule="auto"/>
              <w:ind w:right="90"/>
              <w:jc w:val="both"/>
              <w:rPr>
                <w:rFonts w:ascii="Times New Roman" w:hAnsi="Times New Roman" w:cs="Times New Roman"/>
                <w:b/>
                <w:bCs/>
              </w:rPr>
            </w:pPr>
          </w:p>
        </w:tc>
        <w:tc>
          <w:tcPr>
            <w:tcW w:w="1985" w:type="dxa"/>
          </w:tcPr>
          <w:p w14:paraId="630E53C0" w14:textId="77777777" w:rsidR="00832003" w:rsidRDefault="00832003" w:rsidP="00B82BF5">
            <w:pPr>
              <w:spacing w:line="240" w:lineRule="auto"/>
              <w:ind w:right="90"/>
              <w:jc w:val="both"/>
              <w:rPr>
                <w:rFonts w:ascii="Times New Roman" w:hAnsi="Times New Roman" w:cs="Times New Roman"/>
              </w:rPr>
            </w:pPr>
            <w:r>
              <w:rPr>
                <w:rFonts w:ascii="Times New Roman" w:hAnsi="Times New Roman" w:cs="Times New Roman"/>
              </w:rPr>
              <w:t>Level</w:t>
            </w:r>
          </w:p>
        </w:tc>
        <w:tc>
          <w:tcPr>
            <w:tcW w:w="2136" w:type="dxa"/>
          </w:tcPr>
          <w:p w14:paraId="37AFDF2B" w14:textId="77777777" w:rsidR="00832003" w:rsidRDefault="00832003" w:rsidP="00B82BF5">
            <w:pPr>
              <w:spacing w:line="240" w:lineRule="auto"/>
              <w:ind w:right="90"/>
              <w:jc w:val="both"/>
              <w:rPr>
                <w:rFonts w:ascii="Times New Roman" w:hAnsi="Times New Roman" w:cs="Times New Roman"/>
              </w:rPr>
            </w:pPr>
            <w:r>
              <w:rPr>
                <w:rFonts w:ascii="Times New Roman" w:hAnsi="Times New Roman" w:cs="Times New Roman"/>
              </w:rPr>
              <w:t>First Difference</w:t>
            </w:r>
          </w:p>
        </w:tc>
        <w:tc>
          <w:tcPr>
            <w:tcW w:w="2412" w:type="dxa"/>
          </w:tcPr>
          <w:p w14:paraId="7111361B" w14:textId="77777777" w:rsidR="00832003" w:rsidRDefault="00832003" w:rsidP="00B82BF5">
            <w:pPr>
              <w:spacing w:line="240" w:lineRule="auto"/>
              <w:ind w:right="90"/>
              <w:jc w:val="both"/>
              <w:rPr>
                <w:rFonts w:ascii="Times New Roman" w:hAnsi="Times New Roman" w:cs="Times New Roman"/>
              </w:rPr>
            </w:pPr>
          </w:p>
        </w:tc>
      </w:tr>
      <w:tr w:rsidR="00832003" w14:paraId="56DA76F0" w14:textId="77777777" w:rsidTr="00B82BF5">
        <w:trPr>
          <w:trHeight w:val="411"/>
          <w:jc w:val="center"/>
        </w:trPr>
        <w:tc>
          <w:tcPr>
            <w:tcW w:w="2405" w:type="dxa"/>
          </w:tcPr>
          <w:p w14:paraId="3BFDD722" w14:textId="77777777" w:rsidR="00832003" w:rsidRPr="00A45B40" w:rsidRDefault="00832003" w:rsidP="00B82BF5">
            <w:pPr>
              <w:spacing w:line="240" w:lineRule="auto"/>
              <w:ind w:right="90"/>
              <w:jc w:val="both"/>
              <w:rPr>
                <w:rFonts w:ascii="Times New Roman" w:hAnsi="Times New Roman" w:cs="Times New Roman"/>
                <w:b/>
                <w:bCs/>
              </w:rPr>
            </w:pPr>
            <w:r w:rsidRPr="00C82217">
              <w:rPr>
                <w:rFonts w:ascii="Arial" w:hAnsi="Arial" w:cs="Arial"/>
                <w:sz w:val="20"/>
                <w:szCs w:val="20"/>
              </w:rPr>
              <w:t>GDPPC</w:t>
            </w:r>
          </w:p>
        </w:tc>
        <w:tc>
          <w:tcPr>
            <w:tcW w:w="1985" w:type="dxa"/>
            <w:vAlign w:val="bottom"/>
          </w:tcPr>
          <w:p w14:paraId="143301E1"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-0.890977</w:t>
            </w:r>
          </w:p>
        </w:tc>
        <w:tc>
          <w:tcPr>
            <w:tcW w:w="2136" w:type="dxa"/>
          </w:tcPr>
          <w:p w14:paraId="03DBD601"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-3.055924</w:t>
            </w:r>
          </w:p>
        </w:tc>
        <w:tc>
          <w:tcPr>
            <w:tcW w:w="2412" w:type="dxa"/>
          </w:tcPr>
          <w:p w14:paraId="23AD9FDC"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1(1)</w:t>
            </w:r>
          </w:p>
        </w:tc>
      </w:tr>
      <w:tr w:rsidR="00832003" w14:paraId="5B84DCD8" w14:textId="77777777" w:rsidTr="00B82BF5">
        <w:trPr>
          <w:trHeight w:val="403"/>
          <w:jc w:val="center"/>
        </w:trPr>
        <w:tc>
          <w:tcPr>
            <w:tcW w:w="2405" w:type="dxa"/>
          </w:tcPr>
          <w:p w14:paraId="1611C1FC" w14:textId="77777777" w:rsidR="00832003" w:rsidRPr="00A45B40" w:rsidRDefault="00832003" w:rsidP="00B82BF5">
            <w:pPr>
              <w:spacing w:line="240" w:lineRule="auto"/>
              <w:ind w:right="90"/>
              <w:jc w:val="both"/>
              <w:rPr>
                <w:rFonts w:ascii="Times New Roman" w:hAnsi="Times New Roman" w:cs="Times New Roman"/>
                <w:b/>
                <w:bCs/>
              </w:rPr>
            </w:pPr>
            <w:r w:rsidRPr="00C82217">
              <w:rPr>
                <w:rFonts w:ascii="Arial" w:hAnsi="Arial" w:cs="Arial"/>
                <w:sz w:val="20"/>
                <w:szCs w:val="20"/>
              </w:rPr>
              <w:t>FSE</w:t>
            </w:r>
          </w:p>
        </w:tc>
        <w:tc>
          <w:tcPr>
            <w:tcW w:w="1985" w:type="dxa"/>
          </w:tcPr>
          <w:p w14:paraId="424BB07F"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-0.662196</w:t>
            </w:r>
          </w:p>
        </w:tc>
        <w:tc>
          <w:tcPr>
            <w:tcW w:w="2136" w:type="dxa"/>
          </w:tcPr>
          <w:p w14:paraId="6CBECAB5"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-6.840476</w:t>
            </w:r>
          </w:p>
        </w:tc>
        <w:tc>
          <w:tcPr>
            <w:tcW w:w="2412" w:type="dxa"/>
          </w:tcPr>
          <w:p w14:paraId="6E736209"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1(1)</w:t>
            </w:r>
          </w:p>
        </w:tc>
      </w:tr>
      <w:tr w:rsidR="00832003" w14:paraId="0D7A21A7" w14:textId="77777777" w:rsidTr="00B82BF5">
        <w:trPr>
          <w:trHeight w:val="280"/>
          <w:jc w:val="center"/>
        </w:trPr>
        <w:tc>
          <w:tcPr>
            <w:tcW w:w="2405" w:type="dxa"/>
          </w:tcPr>
          <w:p w14:paraId="131921C3" w14:textId="77777777" w:rsidR="00832003" w:rsidRPr="00A45B40" w:rsidRDefault="00832003" w:rsidP="00B82BF5">
            <w:pPr>
              <w:spacing w:line="240" w:lineRule="auto"/>
              <w:ind w:right="90"/>
              <w:jc w:val="both"/>
              <w:rPr>
                <w:rFonts w:ascii="Times New Roman" w:hAnsi="Times New Roman" w:cs="Times New Roman"/>
                <w:b/>
                <w:bCs/>
              </w:rPr>
            </w:pPr>
            <w:r w:rsidRPr="00C82217">
              <w:rPr>
                <w:rFonts w:ascii="Arial" w:hAnsi="Arial" w:cs="Arial"/>
                <w:sz w:val="20"/>
                <w:szCs w:val="20"/>
              </w:rPr>
              <w:t>GEDU</w:t>
            </w:r>
          </w:p>
        </w:tc>
        <w:tc>
          <w:tcPr>
            <w:tcW w:w="1985" w:type="dxa"/>
          </w:tcPr>
          <w:p w14:paraId="463100C5"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-6.137666</w:t>
            </w:r>
          </w:p>
        </w:tc>
        <w:tc>
          <w:tcPr>
            <w:tcW w:w="2136" w:type="dxa"/>
          </w:tcPr>
          <w:p w14:paraId="60F7519E"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NA</w:t>
            </w:r>
          </w:p>
        </w:tc>
        <w:tc>
          <w:tcPr>
            <w:tcW w:w="2412" w:type="dxa"/>
          </w:tcPr>
          <w:p w14:paraId="0B030241"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1(0)</w:t>
            </w:r>
          </w:p>
        </w:tc>
      </w:tr>
      <w:tr w:rsidR="00832003" w14:paraId="0D6D8ED5" w14:textId="77777777" w:rsidTr="00B82BF5">
        <w:trPr>
          <w:trHeight w:val="315"/>
          <w:jc w:val="center"/>
        </w:trPr>
        <w:tc>
          <w:tcPr>
            <w:tcW w:w="2405" w:type="dxa"/>
          </w:tcPr>
          <w:p w14:paraId="2169B353" w14:textId="77777777" w:rsidR="00832003" w:rsidRPr="00A45B40" w:rsidRDefault="00832003" w:rsidP="00B82BF5">
            <w:pPr>
              <w:spacing w:line="240" w:lineRule="auto"/>
              <w:ind w:right="90"/>
              <w:jc w:val="both"/>
              <w:rPr>
                <w:rFonts w:ascii="Times New Roman" w:hAnsi="Times New Roman" w:cs="Times New Roman"/>
                <w:b/>
                <w:bCs/>
              </w:rPr>
            </w:pPr>
            <w:r w:rsidRPr="00C82217">
              <w:rPr>
                <w:rFonts w:ascii="Arial" w:hAnsi="Arial" w:cs="Arial"/>
                <w:sz w:val="20"/>
                <w:szCs w:val="20"/>
              </w:rPr>
              <w:t>GPI</w:t>
            </w:r>
          </w:p>
        </w:tc>
        <w:tc>
          <w:tcPr>
            <w:tcW w:w="1985" w:type="dxa"/>
          </w:tcPr>
          <w:p w14:paraId="6F113EB5"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-0.585743</w:t>
            </w:r>
          </w:p>
        </w:tc>
        <w:tc>
          <w:tcPr>
            <w:tcW w:w="2136" w:type="dxa"/>
          </w:tcPr>
          <w:p w14:paraId="039F9181"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-5.192283</w:t>
            </w:r>
          </w:p>
        </w:tc>
        <w:tc>
          <w:tcPr>
            <w:tcW w:w="2412" w:type="dxa"/>
          </w:tcPr>
          <w:p w14:paraId="1B9DBD22"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1(1)</w:t>
            </w:r>
          </w:p>
        </w:tc>
      </w:tr>
    </w:tbl>
    <w:p w14:paraId="3F0D2DD0" w14:textId="77777777" w:rsidR="00832003" w:rsidRPr="00864BEA" w:rsidRDefault="00832003" w:rsidP="00832003">
      <w:pPr>
        <w:spacing w:after="0" w:line="240" w:lineRule="auto"/>
        <w:ind w:right="90"/>
        <w:jc w:val="both"/>
        <w:rPr>
          <w:rFonts w:ascii="Times New Roman" w:hAnsi="Times New Roman"/>
          <w:i/>
          <w:sz w:val="20"/>
        </w:rPr>
      </w:pPr>
      <w:r w:rsidRPr="00864BEA">
        <w:rPr>
          <w:rFonts w:ascii="Times New Roman" w:hAnsi="Times New Roman"/>
          <w:i/>
          <w:sz w:val="20"/>
        </w:rPr>
        <w:t xml:space="preserve">Source: Researcher’s computation </w:t>
      </w:r>
      <w:r>
        <w:rPr>
          <w:rFonts w:ascii="Times New Roman" w:hAnsi="Times New Roman"/>
          <w:i/>
          <w:sz w:val="20"/>
        </w:rPr>
        <w:t>using</w:t>
      </w:r>
      <w:r w:rsidRPr="00864BEA">
        <w:rPr>
          <w:rFonts w:ascii="Times New Roman" w:hAnsi="Times New Roman"/>
          <w:i/>
          <w:sz w:val="20"/>
        </w:rPr>
        <w:t xml:space="preserve"> </w:t>
      </w:r>
      <w:proofErr w:type="spellStart"/>
      <w:r w:rsidRPr="00864BEA">
        <w:rPr>
          <w:rFonts w:ascii="Times New Roman" w:hAnsi="Times New Roman"/>
          <w:i/>
          <w:sz w:val="20"/>
        </w:rPr>
        <w:t>Eviews</w:t>
      </w:r>
      <w:proofErr w:type="spellEnd"/>
      <w:r w:rsidRPr="00864BEA">
        <w:rPr>
          <w:rFonts w:ascii="Times New Roman" w:hAnsi="Times New Roman"/>
          <w:i/>
          <w:sz w:val="20"/>
        </w:rPr>
        <w:t xml:space="preserve"> </w:t>
      </w:r>
      <w:r>
        <w:rPr>
          <w:rFonts w:ascii="Times New Roman" w:hAnsi="Times New Roman"/>
          <w:i/>
          <w:sz w:val="20"/>
        </w:rPr>
        <w:t>12</w:t>
      </w:r>
    </w:p>
    <w:p w14:paraId="77A35362" w14:textId="77777777" w:rsidR="00832003" w:rsidRPr="00D51382" w:rsidRDefault="00832003" w:rsidP="00E63796">
      <w:pPr>
        <w:spacing w:after="0" w:line="480" w:lineRule="auto"/>
        <w:ind w:right="90"/>
        <w:jc w:val="both"/>
        <w:rPr>
          <w:rFonts w:ascii="Times New Roman" w:hAnsi="Times New Roman" w:cs="Times New Roman"/>
          <w:sz w:val="20"/>
          <w:szCs w:val="20"/>
        </w:rPr>
      </w:pPr>
      <w:r w:rsidRPr="00D51382">
        <w:rPr>
          <w:rFonts w:ascii="Times New Roman" w:hAnsi="Times New Roman" w:cs="Times New Roman"/>
          <w:sz w:val="20"/>
          <w:szCs w:val="20"/>
        </w:rPr>
        <w:t xml:space="preserve">Note: </w:t>
      </w:r>
      <w:r>
        <w:rPr>
          <w:rFonts w:ascii="Times New Roman" w:hAnsi="Times New Roman" w:cs="Times New Roman"/>
          <w:sz w:val="20"/>
          <w:szCs w:val="20"/>
        </w:rPr>
        <w:t>The study used a</w:t>
      </w:r>
      <w:r w:rsidRPr="00D51382">
        <w:rPr>
          <w:rFonts w:ascii="Times New Roman" w:hAnsi="Times New Roman" w:cs="Times New Roman"/>
          <w:sz w:val="20"/>
          <w:szCs w:val="20"/>
        </w:rPr>
        <w:t xml:space="preserve"> 5% level of significance, NA sign indicates that the variable is stationary at level.</w:t>
      </w:r>
    </w:p>
    <w:p w14:paraId="4FC2DA1A" w14:textId="77777777" w:rsidR="00832003" w:rsidRDefault="00832003" w:rsidP="00832003">
      <w:pPr>
        <w:spacing w:after="0" w:line="240" w:lineRule="auto"/>
        <w:ind w:right="90"/>
        <w:jc w:val="both"/>
        <w:rPr>
          <w:rFonts w:ascii="Times New Roman" w:hAnsi="Times New Roman" w:cs="Times New Roman"/>
        </w:rPr>
      </w:pPr>
    </w:p>
    <w:p w14:paraId="5A83EED1" w14:textId="1BCBB715" w:rsidR="00832003" w:rsidRPr="00A614CB" w:rsidRDefault="00CD3862" w:rsidP="00832003">
      <w:pPr>
        <w:spacing w:after="0" w:line="480" w:lineRule="auto"/>
        <w:ind w:right="90"/>
        <w:jc w:val="both"/>
        <w:rPr>
          <w:rFonts w:ascii="Times New Roman" w:hAnsi="Times New Roman" w:cs="Times New Roman"/>
          <w:b/>
        </w:rPr>
      </w:pPr>
      <w:r>
        <w:rPr>
          <w:rFonts w:ascii="Times New Roman" w:hAnsi="Times New Roman" w:cs="Times New Roman"/>
          <w:b/>
          <w:bCs/>
        </w:rPr>
        <w:t xml:space="preserve">4.3 </w:t>
      </w:r>
      <w:r w:rsidR="00832003" w:rsidRPr="00A614CB">
        <w:rPr>
          <w:rFonts w:ascii="Times New Roman" w:hAnsi="Times New Roman" w:cs="Times New Roman"/>
          <w:b/>
        </w:rPr>
        <w:t>Cointegration Test Resul</w:t>
      </w:r>
      <w:r w:rsidR="004B2C19">
        <w:rPr>
          <w:rFonts w:ascii="Times New Roman" w:hAnsi="Times New Roman" w:cs="Times New Roman"/>
          <w:b/>
        </w:rPr>
        <w:t>t</w:t>
      </w:r>
    </w:p>
    <w:p w14:paraId="126DAD15" w14:textId="77777777" w:rsidR="00832003" w:rsidRDefault="00832003" w:rsidP="00E63796">
      <w:pPr>
        <w:spacing w:line="480" w:lineRule="auto"/>
        <w:ind w:right="90"/>
        <w:jc w:val="both"/>
        <w:rPr>
          <w:rFonts w:ascii="Times New Roman" w:hAnsi="Times New Roman" w:cs="Times New Roman"/>
        </w:rPr>
      </w:pPr>
      <w:r w:rsidRPr="00562241">
        <w:rPr>
          <w:rFonts w:ascii="Times New Roman" w:hAnsi="Times New Roman" w:cs="Times New Roman"/>
        </w:rPr>
        <w:t>Given the mixed order of integration</w:t>
      </w:r>
      <w:r>
        <w:rPr>
          <w:rFonts w:ascii="Times New Roman" w:hAnsi="Times New Roman" w:cs="Times New Roman"/>
        </w:rPr>
        <w:t xml:space="preserve"> </w:t>
      </w:r>
      <w:r w:rsidRPr="00562241">
        <w:rPr>
          <w:rFonts w:ascii="Times New Roman" w:hAnsi="Times New Roman" w:cs="Times New Roman"/>
        </w:rPr>
        <w:t xml:space="preserve">comprising both </w:t>
      </w:r>
      <w:proofErr w:type="gramStart"/>
      <w:r w:rsidRPr="00562241">
        <w:rPr>
          <w:rFonts w:ascii="Times New Roman" w:hAnsi="Times New Roman" w:cs="Times New Roman"/>
        </w:rPr>
        <w:t>I(</w:t>
      </w:r>
      <w:proofErr w:type="gramEnd"/>
      <w:r w:rsidRPr="00562241">
        <w:rPr>
          <w:rFonts w:ascii="Times New Roman" w:hAnsi="Times New Roman" w:cs="Times New Roman"/>
        </w:rPr>
        <w:t>0) and I(1) variables</w:t>
      </w:r>
      <w:r>
        <w:rPr>
          <w:rFonts w:ascii="Times New Roman" w:hAnsi="Times New Roman" w:cs="Times New Roman"/>
        </w:rPr>
        <w:t xml:space="preserve">, </w:t>
      </w:r>
      <w:r w:rsidRPr="00562241">
        <w:rPr>
          <w:rFonts w:ascii="Times New Roman" w:hAnsi="Times New Roman" w:cs="Times New Roman"/>
        </w:rPr>
        <w:t>the Autoregressive Distributed Lag (ARDL) bounds testing approach was employed to investigate the existence of a long-run equilibrium relationship between the dependent and independent variables.</w:t>
      </w:r>
    </w:p>
    <w:p w14:paraId="526AF79A" w14:textId="0AA95554" w:rsidR="000860BF" w:rsidRDefault="0012063C" w:rsidP="00E63796">
      <w:pPr>
        <w:spacing w:line="480" w:lineRule="auto"/>
        <w:ind w:right="90"/>
        <w:jc w:val="both"/>
        <w:rPr>
          <w:rFonts w:ascii="Times New Roman" w:hAnsi="Times New Roman" w:cs="Times New Roman"/>
        </w:rPr>
      </w:pPr>
      <w:r w:rsidRPr="007D056C">
        <w:rPr>
          <w:rFonts w:ascii="Times New Roman" w:hAnsi="Times New Roman" w:cs="Times New Roman"/>
        </w:rPr>
        <w:t>As reported in Table 3, the calculated F-statistic from the bounds test is 12.58254. This value exceeds the upper critical bound (</w:t>
      </w:r>
      <w:proofErr w:type="gramStart"/>
      <w:r w:rsidRPr="007D056C">
        <w:rPr>
          <w:rFonts w:ascii="Times New Roman" w:hAnsi="Times New Roman" w:cs="Times New Roman"/>
        </w:rPr>
        <w:t>I(</w:t>
      </w:r>
      <w:proofErr w:type="gramEnd"/>
      <w:r w:rsidRPr="007D056C">
        <w:rPr>
          <w:rFonts w:ascii="Times New Roman" w:hAnsi="Times New Roman" w:cs="Times New Roman"/>
        </w:rPr>
        <w:t>1)) at the 5% significance level, thereby providing robust statistical evidence against the null hypothesis of no cointegration. Accordingly, we conclude that a stable long-run relationship exists among the variables in the model</w:t>
      </w:r>
      <w:r w:rsidRPr="00A93645">
        <w:rPr>
          <w:rFonts w:ascii="Times New Roman" w:hAnsi="Times New Roman" w:cs="Times New Roman"/>
        </w:rPr>
        <w:t>.</w:t>
      </w:r>
    </w:p>
    <w:p w14:paraId="1F8DEA17" w14:textId="77777777" w:rsidR="00F574F6" w:rsidRDefault="00F574F6" w:rsidP="00E63796">
      <w:pPr>
        <w:spacing w:line="480" w:lineRule="auto"/>
        <w:ind w:right="90"/>
        <w:jc w:val="both"/>
        <w:rPr>
          <w:rFonts w:ascii="Times New Roman" w:hAnsi="Times New Roman" w:cs="Times New Roman"/>
        </w:rPr>
      </w:pPr>
    </w:p>
    <w:p w14:paraId="7C5452E5" w14:textId="77777777" w:rsidR="00F574F6" w:rsidRPr="00562241" w:rsidRDefault="00F574F6" w:rsidP="00E63796">
      <w:pPr>
        <w:spacing w:line="480" w:lineRule="auto"/>
        <w:ind w:right="90"/>
        <w:jc w:val="both"/>
        <w:rPr>
          <w:rFonts w:ascii="Times New Roman" w:hAnsi="Times New Roman" w:cs="Times New Roman"/>
        </w:rPr>
      </w:pPr>
    </w:p>
    <w:p w14:paraId="1495BA5A" w14:textId="35EF23F0" w:rsidR="00832003" w:rsidRPr="00501B3A" w:rsidRDefault="00832003" w:rsidP="00832003">
      <w:pPr>
        <w:spacing w:after="0" w:line="360" w:lineRule="auto"/>
        <w:ind w:right="90"/>
        <w:jc w:val="both"/>
        <w:rPr>
          <w:rFonts w:ascii="Times New Roman" w:hAnsi="Times New Roman" w:cs="Times New Roman"/>
          <w:b/>
        </w:rPr>
      </w:pPr>
      <w:r w:rsidRPr="00A614CB">
        <w:rPr>
          <w:rFonts w:ascii="Times New Roman" w:hAnsi="Times New Roman" w:cs="Times New Roman"/>
          <w:b/>
        </w:rPr>
        <w:t xml:space="preserve">Table </w:t>
      </w:r>
      <w:r>
        <w:rPr>
          <w:rFonts w:ascii="Times New Roman" w:hAnsi="Times New Roman" w:cs="Times New Roman"/>
          <w:b/>
        </w:rPr>
        <w:t>3</w:t>
      </w:r>
      <w:r w:rsidRPr="00A614CB">
        <w:rPr>
          <w:rFonts w:ascii="Times New Roman" w:hAnsi="Times New Roman" w:cs="Times New Roman"/>
          <w:b/>
        </w:rPr>
        <w:t>: Bounds Cointegration Test</w:t>
      </w:r>
      <w:r w:rsidR="004B2C19">
        <w:rPr>
          <w:rFonts w:ascii="Times New Roman" w:hAnsi="Times New Roman" w:cs="Times New Roman"/>
          <w:b/>
        </w:rPr>
        <w:t xml:space="preserve"> Result</w:t>
      </w:r>
      <w:r w:rsidR="0056568D">
        <w:rPr>
          <w:rFonts w:ascii="Times New Roman" w:hAnsi="Times New Roman" w:cs="Times New Roman"/>
          <w:b/>
        </w:rPr>
        <w:t>s</w:t>
      </w:r>
    </w:p>
    <w:tbl>
      <w:tblPr>
        <w:tblStyle w:val="TableGrid"/>
        <w:tblW w:w="0" w:type="auto"/>
        <w:tblLook w:val="04A0" w:firstRow="1" w:lastRow="0" w:firstColumn="1" w:lastColumn="0" w:noHBand="0" w:noVBand="1"/>
      </w:tblPr>
      <w:tblGrid>
        <w:gridCol w:w="1147"/>
        <w:gridCol w:w="736"/>
        <w:gridCol w:w="1130"/>
        <w:gridCol w:w="1054"/>
        <w:gridCol w:w="1054"/>
        <w:gridCol w:w="1054"/>
        <w:gridCol w:w="947"/>
        <w:gridCol w:w="947"/>
        <w:gridCol w:w="947"/>
      </w:tblGrid>
      <w:tr w:rsidR="00832003" w14:paraId="4B313796" w14:textId="77777777" w:rsidTr="00B82BF5">
        <w:tc>
          <w:tcPr>
            <w:tcW w:w="1170" w:type="dxa"/>
          </w:tcPr>
          <w:p w14:paraId="4F1AB941" w14:textId="77777777" w:rsidR="00832003" w:rsidRDefault="00832003" w:rsidP="00B82BF5">
            <w:pPr>
              <w:ind w:right="90"/>
              <w:jc w:val="both"/>
              <w:rPr>
                <w:rFonts w:ascii="Times New Roman" w:hAnsi="Times New Roman" w:cs="Times New Roman"/>
                <w:iCs/>
              </w:rPr>
            </w:pPr>
          </w:p>
        </w:tc>
        <w:tc>
          <w:tcPr>
            <w:tcW w:w="830" w:type="dxa"/>
          </w:tcPr>
          <w:p w14:paraId="4F41D30C" w14:textId="77777777" w:rsidR="00832003" w:rsidRDefault="00832003" w:rsidP="00B82BF5">
            <w:pPr>
              <w:ind w:right="90"/>
              <w:jc w:val="both"/>
              <w:rPr>
                <w:rFonts w:ascii="Times New Roman" w:hAnsi="Times New Roman" w:cs="Times New Roman"/>
                <w:iCs/>
              </w:rPr>
            </w:pPr>
          </w:p>
        </w:tc>
        <w:tc>
          <w:tcPr>
            <w:tcW w:w="1157" w:type="dxa"/>
          </w:tcPr>
          <w:p w14:paraId="2B4A446F" w14:textId="77777777" w:rsidR="00832003" w:rsidRDefault="00832003" w:rsidP="00B82BF5">
            <w:pPr>
              <w:ind w:right="90"/>
              <w:jc w:val="both"/>
              <w:rPr>
                <w:rFonts w:ascii="Times New Roman" w:hAnsi="Times New Roman" w:cs="Times New Roman"/>
                <w:iCs/>
              </w:rPr>
            </w:pPr>
          </w:p>
        </w:tc>
        <w:tc>
          <w:tcPr>
            <w:tcW w:w="1094" w:type="dxa"/>
            <w:tcBorders>
              <w:right w:val="nil"/>
            </w:tcBorders>
          </w:tcPr>
          <w:p w14:paraId="5B301E54" w14:textId="77777777" w:rsidR="00832003" w:rsidRDefault="00832003" w:rsidP="00B82BF5">
            <w:pPr>
              <w:ind w:right="90"/>
              <w:jc w:val="center"/>
              <w:rPr>
                <w:rFonts w:ascii="Times New Roman" w:hAnsi="Times New Roman" w:cs="Times New Roman"/>
                <w:iCs/>
              </w:rPr>
            </w:pPr>
            <w:r>
              <w:rPr>
                <w:rFonts w:ascii="Times New Roman" w:hAnsi="Times New Roman" w:cs="Times New Roman"/>
                <w:iCs/>
              </w:rPr>
              <w:t>10%</w:t>
            </w:r>
          </w:p>
        </w:tc>
        <w:tc>
          <w:tcPr>
            <w:tcW w:w="1094" w:type="dxa"/>
            <w:tcBorders>
              <w:left w:val="nil"/>
            </w:tcBorders>
          </w:tcPr>
          <w:p w14:paraId="60086BB5" w14:textId="77777777" w:rsidR="00832003" w:rsidRDefault="00832003" w:rsidP="00B82BF5">
            <w:pPr>
              <w:ind w:right="90"/>
              <w:jc w:val="both"/>
              <w:rPr>
                <w:rFonts w:ascii="Times New Roman" w:hAnsi="Times New Roman" w:cs="Times New Roman"/>
                <w:iCs/>
              </w:rPr>
            </w:pPr>
          </w:p>
        </w:tc>
        <w:tc>
          <w:tcPr>
            <w:tcW w:w="1094" w:type="dxa"/>
            <w:tcBorders>
              <w:right w:val="nil"/>
            </w:tcBorders>
          </w:tcPr>
          <w:p w14:paraId="3E18EDDF" w14:textId="77777777" w:rsidR="00832003" w:rsidRDefault="00832003" w:rsidP="00B82BF5">
            <w:pPr>
              <w:ind w:right="90"/>
              <w:jc w:val="center"/>
              <w:rPr>
                <w:rFonts w:ascii="Times New Roman" w:hAnsi="Times New Roman" w:cs="Times New Roman"/>
                <w:iCs/>
              </w:rPr>
            </w:pPr>
            <w:r>
              <w:rPr>
                <w:rFonts w:ascii="Times New Roman" w:hAnsi="Times New Roman" w:cs="Times New Roman"/>
                <w:iCs/>
              </w:rPr>
              <w:t>5%</w:t>
            </w:r>
          </w:p>
        </w:tc>
        <w:tc>
          <w:tcPr>
            <w:tcW w:w="683" w:type="dxa"/>
            <w:tcBorders>
              <w:left w:val="nil"/>
            </w:tcBorders>
          </w:tcPr>
          <w:p w14:paraId="5D6A6C29" w14:textId="77777777" w:rsidR="00832003" w:rsidRDefault="00832003" w:rsidP="00B82BF5">
            <w:pPr>
              <w:ind w:right="90"/>
              <w:jc w:val="both"/>
              <w:rPr>
                <w:rFonts w:ascii="Times New Roman" w:hAnsi="Times New Roman" w:cs="Times New Roman"/>
                <w:iCs/>
              </w:rPr>
            </w:pPr>
          </w:p>
        </w:tc>
        <w:tc>
          <w:tcPr>
            <w:tcW w:w="947" w:type="dxa"/>
            <w:tcBorders>
              <w:right w:val="nil"/>
            </w:tcBorders>
          </w:tcPr>
          <w:p w14:paraId="56C44D2A" w14:textId="77777777" w:rsidR="00832003" w:rsidRDefault="00832003" w:rsidP="00B82BF5">
            <w:pPr>
              <w:ind w:right="90"/>
              <w:jc w:val="center"/>
              <w:rPr>
                <w:rFonts w:ascii="Times New Roman" w:hAnsi="Times New Roman" w:cs="Times New Roman"/>
                <w:iCs/>
              </w:rPr>
            </w:pPr>
            <w:r>
              <w:rPr>
                <w:rFonts w:ascii="Times New Roman" w:hAnsi="Times New Roman" w:cs="Times New Roman"/>
                <w:iCs/>
              </w:rPr>
              <w:t>1%</w:t>
            </w:r>
          </w:p>
        </w:tc>
        <w:tc>
          <w:tcPr>
            <w:tcW w:w="947" w:type="dxa"/>
            <w:tcBorders>
              <w:left w:val="nil"/>
            </w:tcBorders>
          </w:tcPr>
          <w:p w14:paraId="43D13028" w14:textId="77777777" w:rsidR="00832003" w:rsidRDefault="00832003" w:rsidP="00B82BF5">
            <w:pPr>
              <w:ind w:right="90"/>
              <w:jc w:val="both"/>
              <w:rPr>
                <w:rFonts w:ascii="Times New Roman" w:hAnsi="Times New Roman" w:cs="Times New Roman"/>
                <w:iCs/>
              </w:rPr>
            </w:pPr>
          </w:p>
        </w:tc>
      </w:tr>
      <w:tr w:rsidR="00832003" w14:paraId="1009254D" w14:textId="77777777" w:rsidTr="00B82BF5">
        <w:tc>
          <w:tcPr>
            <w:tcW w:w="1170" w:type="dxa"/>
          </w:tcPr>
          <w:p w14:paraId="3A2E5327"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Model</w:t>
            </w:r>
          </w:p>
        </w:tc>
        <w:tc>
          <w:tcPr>
            <w:tcW w:w="830" w:type="dxa"/>
          </w:tcPr>
          <w:p w14:paraId="1E38DAF5"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K</w:t>
            </w:r>
          </w:p>
        </w:tc>
        <w:tc>
          <w:tcPr>
            <w:tcW w:w="1157" w:type="dxa"/>
          </w:tcPr>
          <w:p w14:paraId="0634B00A"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F-stat</w:t>
            </w:r>
          </w:p>
        </w:tc>
        <w:tc>
          <w:tcPr>
            <w:tcW w:w="1094" w:type="dxa"/>
          </w:tcPr>
          <w:p w14:paraId="2E522A9A"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Lower Bound</w:t>
            </w:r>
          </w:p>
        </w:tc>
        <w:tc>
          <w:tcPr>
            <w:tcW w:w="1094" w:type="dxa"/>
          </w:tcPr>
          <w:p w14:paraId="21392DEA"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Upper Bound</w:t>
            </w:r>
          </w:p>
        </w:tc>
        <w:tc>
          <w:tcPr>
            <w:tcW w:w="1094" w:type="dxa"/>
          </w:tcPr>
          <w:p w14:paraId="29A326ED"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Lower Bound</w:t>
            </w:r>
          </w:p>
        </w:tc>
        <w:tc>
          <w:tcPr>
            <w:tcW w:w="683" w:type="dxa"/>
          </w:tcPr>
          <w:p w14:paraId="73191F6C"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Upper Bound</w:t>
            </w:r>
          </w:p>
        </w:tc>
        <w:tc>
          <w:tcPr>
            <w:tcW w:w="947" w:type="dxa"/>
          </w:tcPr>
          <w:p w14:paraId="25D75D75"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Lower Bound</w:t>
            </w:r>
          </w:p>
        </w:tc>
        <w:tc>
          <w:tcPr>
            <w:tcW w:w="947" w:type="dxa"/>
          </w:tcPr>
          <w:p w14:paraId="522928A5"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Upper Bound</w:t>
            </w:r>
          </w:p>
        </w:tc>
      </w:tr>
      <w:tr w:rsidR="00832003" w14:paraId="6B9F29E5" w14:textId="77777777" w:rsidTr="00B82BF5">
        <w:tc>
          <w:tcPr>
            <w:tcW w:w="1170" w:type="dxa"/>
          </w:tcPr>
          <w:p w14:paraId="49E8A8E7"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GDPPC</w:t>
            </w:r>
          </w:p>
        </w:tc>
        <w:tc>
          <w:tcPr>
            <w:tcW w:w="830" w:type="dxa"/>
          </w:tcPr>
          <w:p w14:paraId="7DA48D04"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3</w:t>
            </w:r>
          </w:p>
        </w:tc>
        <w:tc>
          <w:tcPr>
            <w:tcW w:w="1157" w:type="dxa"/>
          </w:tcPr>
          <w:p w14:paraId="2CC2D042" w14:textId="77777777" w:rsidR="00832003" w:rsidRDefault="00832003" w:rsidP="00B82BF5">
            <w:pPr>
              <w:ind w:right="90"/>
              <w:jc w:val="both"/>
              <w:rPr>
                <w:rFonts w:ascii="Times New Roman" w:hAnsi="Times New Roman" w:cs="Times New Roman"/>
                <w:iCs/>
              </w:rPr>
            </w:pPr>
            <w:r>
              <w:rPr>
                <w:rFonts w:ascii="Arial" w:hAnsi="Arial" w:cs="Arial"/>
                <w:color w:val="000000"/>
                <w:kern w:val="0"/>
                <w:sz w:val="18"/>
                <w:szCs w:val="18"/>
              </w:rPr>
              <w:t>12.58254</w:t>
            </w:r>
          </w:p>
        </w:tc>
        <w:tc>
          <w:tcPr>
            <w:tcW w:w="1094" w:type="dxa"/>
          </w:tcPr>
          <w:p w14:paraId="48BC4CEB"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2.37</w:t>
            </w:r>
          </w:p>
        </w:tc>
        <w:tc>
          <w:tcPr>
            <w:tcW w:w="1094" w:type="dxa"/>
          </w:tcPr>
          <w:p w14:paraId="7ADF9E25"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3.2</w:t>
            </w:r>
          </w:p>
        </w:tc>
        <w:tc>
          <w:tcPr>
            <w:tcW w:w="1094" w:type="dxa"/>
          </w:tcPr>
          <w:p w14:paraId="6FC2FC48"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2.79</w:t>
            </w:r>
          </w:p>
        </w:tc>
        <w:tc>
          <w:tcPr>
            <w:tcW w:w="683" w:type="dxa"/>
          </w:tcPr>
          <w:p w14:paraId="26554653"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3.67</w:t>
            </w:r>
          </w:p>
        </w:tc>
        <w:tc>
          <w:tcPr>
            <w:tcW w:w="947" w:type="dxa"/>
          </w:tcPr>
          <w:p w14:paraId="3077B4D8"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3.65</w:t>
            </w:r>
          </w:p>
        </w:tc>
        <w:tc>
          <w:tcPr>
            <w:tcW w:w="947" w:type="dxa"/>
          </w:tcPr>
          <w:p w14:paraId="7B61A260"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4.66</w:t>
            </w:r>
          </w:p>
        </w:tc>
      </w:tr>
    </w:tbl>
    <w:p w14:paraId="54171B1E" w14:textId="77777777" w:rsidR="00832003" w:rsidRPr="00501B3A" w:rsidRDefault="00832003" w:rsidP="00832003">
      <w:pPr>
        <w:spacing w:after="0" w:line="240" w:lineRule="auto"/>
        <w:ind w:right="90"/>
        <w:jc w:val="both"/>
        <w:rPr>
          <w:rFonts w:ascii="Times New Roman" w:hAnsi="Times New Roman" w:cs="Times New Roman"/>
          <w:i/>
          <w:sz w:val="20"/>
        </w:rPr>
      </w:pPr>
      <w:r w:rsidRPr="00A614CB">
        <w:rPr>
          <w:rFonts w:ascii="Times New Roman" w:hAnsi="Times New Roman" w:cs="Times New Roman"/>
          <w:i/>
          <w:sz w:val="20"/>
        </w:rPr>
        <w:t xml:space="preserve">Source: Authors computations </w:t>
      </w:r>
      <w:r>
        <w:rPr>
          <w:rFonts w:ascii="Times New Roman" w:hAnsi="Times New Roman" w:cs="Times New Roman"/>
          <w:i/>
          <w:sz w:val="20"/>
        </w:rPr>
        <w:t>using</w:t>
      </w:r>
      <w:r w:rsidRPr="00A614CB">
        <w:rPr>
          <w:rFonts w:ascii="Times New Roman" w:hAnsi="Times New Roman" w:cs="Times New Roman"/>
          <w:i/>
          <w:sz w:val="20"/>
        </w:rPr>
        <w:t xml:space="preserve"> </w:t>
      </w:r>
      <w:proofErr w:type="spellStart"/>
      <w:r w:rsidRPr="00A614CB">
        <w:rPr>
          <w:rFonts w:ascii="Times New Roman" w:hAnsi="Times New Roman" w:cs="Times New Roman"/>
          <w:i/>
          <w:sz w:val="20"/>
        </w:rPr>
        <w:t>Eviews</w:t>
      </w:r>
      <w:proofErr w:type="spellEnd"/>
      <w:r w:rsidRPr="00A614CB">
        <w:rPr>
          <w:rFonts w:ascii="Times New Roman" w:hAnsi="Times New Roman" w:cs="Times New Roman"/>
          <w:i/>
          <w:sz w:val="20"/>
        </w:rPr>
        <w:t xml:space="preserve"> 1</w:t>
      </w:r>
      <w:r>
        <w:rPr>
          <w:rFonts w:ascii="Times New Roman" w:hAnsi="Times New Roman" w:cs="Times New Roman"/>
          <w:i/>
          <w:sz w:val="20"/>
        </w:rPr>
        <w:t>2</w:t>
      </w:r>
    </w:p>
    <w:p w14:paraId="061E5D4C" w14:textId="72A3D838" w:rsidR="00301B7A" w:rsidRPr="004F5A50" w:rsidRDefault="00832003" w:rsidP="00832003">
      <w:pPr>
        <w:spacing w:line="480" w:lineRule="auto"/>
        <w:ind w:right="90"/>
        <w:jc w:val="both"/>
        <w:rPr>
          <w:rFonts w:ascii="Times New Roman" w:hAnsi="Times New Roman" w:cs="Times New Roman"/>
          <w:bCs/>
          <w:sz w:val="20"/>
          <w:szCs w:val="20"/>
        </w:rPr>
      </w:pPr>
      <w:r w:rsidRPr="00501B3A">
        <w:rPr>
          <w:rFonts w:ascii="Times New Roman" w:hAnsi="Times New Roman" w:cs="Times New Roman"/>
          <w:bCs/>
          <w:sz w:val="20"/>
          <w:szCs w:val="20"/>
        </w:rPr>
        <w:t>Note: K denotes number of independent variables</w:t>
      </w:r>
    </w:p>
    <w:p w14:paraId="09EBAEFD" w14:textId="51F6ABD0" w:rsidR="00832003" w:rsidRDefault="006360EE" w:rsidP="00832003">
      <w:pPr>
        <w:spacing w:after="0" w:line="480" w:lineRule="auto"/>
        <w:ind w:right="90"/>
        <w:jc w:val="both"/>
        <w:rPr>
          <w:rFonts w:ascii="Times New Roman" w:hAnsi="Times New Roman" w:cs="Times New Roman"/>
          <w:b/>
        </w:rPr>
      </w:pPr>
      <w:r>
        <w:rPr>
          <w:rFonts w:ascii="Times New Roman" w:hAnsi="Times New Roman" w:cs="Times New Roman"/>
          <w:b/>
          <w:bCs/>
        </w:rPr>
        <w:t xml:space="preserve">4.4 </w:t>
      </w:r>
      <w:r w:rsidR="00832003" w:rsidRPr="00A614CB">
        <w:rPr>
          <w:rFonts w:ascii="Times New Roman" w:hAnsi="Times New Roman" w:cs="Times New Roman"/>
          <w:b/>
        </w:rPr>
        <w:t xml:space="preserve">Model Estimation </w:t>
      </w:r>
    </w:p>
    <w:p w14:paraId="25FADC37" w14:textId="1112FC55" w:rsidR="00087097" w:rsidRDefault="00087097" w:rsidP="00087097">
      <w:pPr>
        <w:spacing w:after="200" w:line="480" w:lineRule="auto"/>
        <w:ind w:right="90"/>
        <w:jc w:val="both"/>
        <w:rPr>
          <w:rFonts w:ascii="Times New Roman" w:hAnsi="Times New Roman" w:cs="Times New Roman"/>
        </w:rPr>
      </w:pPr>
      <w:r w:rsidRPr="007F7B5E">
        <w:rPr>
          <w:rFonts w:ascii="Times New Roman" w:hAnsi="Times New Roman" w:cs="Times New Roman"/>
        </w:rPr>
        <w:t xml:space="preserve">The ARDL model analysis presented in Table 4 examines both the short-run and long-run dynamics of real GDP per capita (GDPPC) in Nigeria, as influenced by </w:t>
      </w:r>
      <w:bookmarkStart w:id="6" w:name="_Hlk204481150"/>
      <w:r w:rsidRPr="007F7B5E">
        <w:rPr>
          <w:rFonts w:ascii="Times New Roman" w:hAnsi="Times New Roman" w:cs="Times New Roman"/>
        </w:rPr>
        <w:t xml:space="preserve">government </w:t>
      </w:r>
      <w:r w:rsidRPr="007F7B5E">
        <w:rPr>
          <w:rFonts w:ascii="Times New Roman" w:hAnsi="Times New Roman" w:cs="Times New Roman"/>
        </w:rPr>
        <w:lastRenderedPageBreak/>
        <w:t>expenditure on education (GEDU), female secondary school enrolment (FSE), and the Gender Parity Index (GPI) for primary school enrolment</w:t>
      </w:r>
      <w:bookmarkEnd w:id="6"/>
      <w:r w:rsidRPr="00652CBF">
        <w:rPr>
          <w:rFonts w:ascii="Times New Roman" w:hAnsi="Times New Roman" w:cs="Times New Roman"/>
        </w:rPr>
        <w:t>.</w:t>
      </w:r>
      <w:r w:rsidR="001F73AF">
        <w:rPr>
          <w:rFonts w:ascii="Times New Roman" w:hAnsi="Times New Roman" w:cs="Times New Roman"/>
        </w:rPr>
        <w:t xml:space="preserve"> </w:t>
      </w:r>
    </w:p>
    <w:p w14:paraId="23DEDE48" w14:textId="67EF0563" w:rsidR="00087097" w:rsidRPr="00652CBF" w:rsidRDefault="00087097" w:rsidP="00087097">
      <w:pPr>
        <w:spacing w:after="200" w:line="480" w:lineRule="auto"/>
        <w:ind w:right="90"/>
        <w:jc w:val="both"/>
        <w:rPr>
          <w:rFonts w:ascii="Times New Roman" w:hAnsi="Times New Roman" w:cs="Times New Roman"/>
        </w:rPr>
      </w:pPr>
      <w:r w:rsidRPr="00297779">
        <w:rPr>
          <w:rFonts w:ascii="Times New Roman" w:hAnsi="Times New Roman" w:cs="Times New Roman"/>
        </w:rPr>
        <w:t xml:space="preserve">In the short run, the coefficient estimate for </w:t>
      </w:r>
      <w:bookmarkStart w:id="7" w:name="_Hlk204481410"/>
      <w:r w:rsidRPr="00297779">
        <w:rPr>
          <w:rFonts w:ascii="Times New Roman" w:hAnsi="Times New Roman" w:cs="Times New Roman"/>
        </w:rPr>
        <w:t xml:space="preserve">government expenditure on education </w:t>
      </w:r>
      <w:bookmarkEnd w:id="7"/>
      <w:r w:rsidRPr="00297779">
        <w:rPr>
          <w:rFonts w:ascii="Times New Roman" w:hAnsi="Times New Roman" w:cs="Times New Roman"/>
        </w:rPr>
        <w:t xml:space="preserve">in the immediate year exhibits a negative and statistically insignificant </w:t>
      </w:r>
      <w:r>
        <w:rPr>
          <w:rFonts w:ascii="Times New Roman" w:hAnsi="Times New Roman" w:cs="Times New Roman"/>
        </w:rPr>
        <w:t>impact</w:t>
      </w:r>
      <w:r w:rsidRPr="00297779">
        <w:rPr>
          <w:rFonts w:ascii="Times New Roman" w:hAnsi="Times New Roman" w:cs="Times New Roman"/>
        </w:rPr>
        <w:t xml:space="preserve"> on real GDP per capita. Specifically, a </w:t>
      </w:r>
      <w:r w:rsidR="001F73AF">
        <w:rPr>
          <w:rFonts w:ascii="Times New Roman" w:hAnsi="Times New Roman" w:cs="Times New Roman"/>
        </w:rPr>
        <w:t>1</w:t>
      </w:r>
      <w:r w:rsidR="00F712FC">
        <w:rPr>
          <w:rFonts w:ascii="Times New Roman" w:hAnsi="Times New Roman" w:cs="Times New Roman"/>
        </w:rPr>
        <w:t xml:space="preserve"> percent</w:t>
      </w:r>
      <w:r>
        <w:rPr>
          <w:rFonts w:ascii="Times New Roman" w:hAnsi="Times New Roman" w:cs="Times New Roman"/>
        </w:rPr>
        <w:t xml:space="preserve"> </w:t>
      </w:r>
      <w:r w:rsidRPr="00297779">
        <w:rPr>
          <w:rFonts w:ascii="Times New Roman" w:hAnsi="Times New Roman" w:cs="Times New Roman"/>
        </w:rPr>
        <w:t xml:space="preserve">increase in government expenditure on education </w:t>
      </w:r>
      <w:r w:rsidR="001F73AF">
        <w:rPr>
          <w:rFonts w:ascii="Times New Roman" w:hAnsi="Times New Roman" w:cs="Times New Roman"/>
        </w:rPr>
        <w:t>i</w:t>
      </w:r>
      <w:r w:rsidR="001F73AF" w:rsidRPr="001F73AF">
        <w:rPr>
          <w:rFonts w:ascii="Times New Roman" w:hAnsi="Times New Roman" w:cs="Times New Roman"/>
        </w:rPr>
        <w:t>s associated with</w:t>
      </w:r>
      <w:r w:rsidRPr="00297779">
        <w:rPr>
          <w:rFonts w:ascii="Times New Roman" w:hAnsi="Times New Roman" w:cs="Times New Roman"/>
        </w:rPr>
        <w:t xml:space="preserve"> 0.007</w:t>
      </w:r>
      <w:r w:rsidR="001F73AF">
        <w:rPr>
          <w:rFonts w:ascii="Times New Roman" w:hAnsi="Times New Roman" w:cs="Times New Roman"/>
        </w:rPr>
        <w:t xml:space="preserve"> </w:t>
      </w:r>
      <w:r w:rsidR="00C03907">
        <w:rPr>
          <w:rFonts w:ascii="Times New Roman" w:eastAsia="Calibri" w:hAnsi="Times New Roman"/>
        </w:rPr>
        <w:t xml:space="preserve">percent </w:t>
      </w:r>
      <w:r w:rsidR="00C03907">
        <w:rPr>
          <w:rFonts w:ascii="Times New Roman" w:hAnsi="Times New Roman" w:cs="Times New Roman"/>
        </w:rPr>
        <w:t>change</w:t>
      </w:r>
      <w:r w:rsidR="001F73AF">
        <w:rPr>
          <w:rFonts w:ascii="Times New Roman" w:hAnsi="Times New Roman" w:cs="Times New Roman"/>
        </w:rPr>
        <w:t xml:space="preserve"> in </w:t>
      </w:r>
      <w:r w:rsidR="001F73AF" w:rsidRPr="00297779">
        <w:rPr>
          <w:rFonts w:ascii="Times New Roman" w:hAnsi="Times New Roman" w:cs="Times New Roman"/>
        </w:rPr>
        <w:t>real GDP per capita</w:t>
      </w:r>
      <w:r w:rsidRPr="00297779">
        <w:rPr>
          <w:rFonts w:ascii="Times New Roman" w:hAnsi="Times New Roman" w:cs="Times New Roman"/>
        </w:rPr>
        <w:t xml:space="preserve">. However, at lag 1 and lag 2, the </w:t>
      </w:r>
      <w:r w:rsidR="006B093A">
        <w:rPr>
          <w:rFonts w:ascii="Times New Roman" w:hAnsi="Times New Roman" w:cs="Times New Roman"/>
        </w:rPr>
        <w:t xml:space="preserve">coefficient </w:t>
      </w:r>
      <w:r w:rsidRPr="00297779">
        <w:rPr>
          <w:rFonts w:ascii="Times New Roman" w:hAnsi="Times New Roman" w:cs="Times New Roman"/>
        </w:rPr>
        <w:t xml:space="preserve">becomes negative and statistically significant, suggesting that a </w:t>
      </w:r>
      <w:r>
        <w:rPr>
          <w:rFonts w:ascii="Times New Roman" w:hAnsi="Times New Roman" w:cs="Times New Roman"/>
        </w:rPr>
        <w:t>1</w:t>
      </w:r>
      <w:r w:rsidR="000A3ECB">
        <w:rPr>
          <w:rFonts w:ascii="Times New Roman" w:hAnsi="Times New Roman" w:cs="Times New Roman"/>
        </w:rPr>
        <w:t xml:space="preserve"> percent</w:t>
      </w:r>
      <w:r w:rsidRPr="00297779">
        <w:rPr>
          <w:rFonts w:ascii="Times New Roman" w:hAnsi="Times New Roman" w:cs="Times New Roman"/>
        </w:rPr>
        <w:t xml:space="preserve"> increase in </w:t>
      </w:r>
      <w:r w:rsidR="004B3785" w:rsidRPr="00297779">
        <w:rPr>
          <w:rFonts w:ascii="Times New Roman" w:hAnsi="Times New Roman" w:cs="Times New Roman"/>
        </w:rPr>
        <w:t xml:space="preserve">government expenditure on education </w:t>
      </w:r>
      <w:r w:rsidR="00DD4E87">
        <w:rPr>
          <w:rFonts w:ascii="Times New Roman" w:hAnsi="Times New Roman" w:cs="Times New Roman"/>
        </w:rPr>
        <w:t>leads to</w:t>
      </w:r>
      <w:r w:rsidRPr="00297779">
        <w:rPr>
          <w:rFonts w:ascii="Times New Roman" w:hAnsi="Times New Roman" w:cs="Times New Roman"/>
        </w:rPr>
        <w:t xml:space="preserve"> </w:t>
      </w:r>
      <w:r>
        <w:rPr>
          <w:rFonts w:ascii="Times New Roman" w:hAnsi="Times New Roman" w:cs="Times New Roman"/>
        </w:rPr>
        <w:t xml:space="preserve">a </w:t>
      </w:r>
      <w:r w:rsidRPr="00297779">
        <w:rPr>
          <w:rFonts w:ascii="Times New Roman" w:hAnsi="Times New Roman" w:cs="Times New Roman"/>
        </w:rPr>
        <w:t>0.609 and 0.269</w:t>
      </w:r>
      <w:r>
        <w:rPr>
          <w:rFonts w:ascii="Times New Roman" w:hAnsi="Times New Roman" w:cs="Times New Roman"/>
        </w:rPr>
        <w:t xml:space="preserve"> </w:t>
      </w:r>
      <w:r w:rsidR="007B1DD5">
        <w:rPr>
          <w:rFonts w:ascii="Times New Roman" w:eastAsia="Calibri" w:hAnsi="Times New Roman"/>
        </w:rPr>
        <w:t xml:space="preserve">percent </w:t>
      </w:r>
      <w:r w:rsidR="007B1DD5">
        <w:rPr>
          <w:rFonts w:ascii="Times New Roman" w:hAnsi="Times New Roman" w:cs="Times New Roman"/>
        </w:rPr>
        <w:t>change</w:t>
      </w:r>
      <w:r>
        <w:rPr>
          <w:rFonts w:ascii="Times New Roman" w:hAnsi="Times New Roman" w:cs="Times New Roman"/>
        </w:rPr>
        <w:t xml:space="preserve"> </w:t>
      </w:r>
      <w:r w:rsidRPr="00297779">
        <w:rPr>
          <w:rFonts w:ascii="Times New Roman" w:hAnsi="Times New Roman" w:cs="Times New Roman"/>
        </w:rPr>
        <w:t xml:space="preserve">in </w:t>
      </w:r>
      <w:r>
        <w:rPr>
          <w:rFonts w:ascii="Times New Roman" w:hAnsi="Times New Roman" w:cs="Times New Roman"/>
        </w:rPr>
        <w:t xml:space="preserve">real </w:t>
      </w:r>
      <w:r w:rsidRPr="00297779">
        <w:rPr>
          <w:rFonts w:ascii="Times New Roman" w:hAnsi="Times New Roman" w:cs="Times New Roman"/>
        </w:rPr>
        <w:t xml:space="preserve">GDP per capita. These findings are consistent with the results reported by </w:t>
      </w:r>
      <w:proofErr w:type="spellStart"/>
      <w:r w:rsidRPr="00297779">
        <w:rPr>
          <w:rFonts w:ascii="Times New Roman" w:hAnsi="Times New Roman" w:cs="Times New Roman"/>
        </w:rPr>
        <w:t>Kocevska</w:t>
      </w:r>
      <w:proofErr w:type="spellEnd"/>
      <w:r w:rsidRPr="00297779">
        <w:rPr>
          <w:rFonts w:ascii="Times New Roman" w:hAnsi="Times New Roman" w:cs="Times New Roman"/>
        </w:rPr>
        <w:t xml:space="preserve"> </w:t>
      </w:r>
      <w:r w:rsidR="0038726E">
        <w:rPr>
          <w:rFonts w:ascii="Times New Roman" w:hAnsi="Times New Roman" w:cs="Times New Roman"/>
        </w:rPr>
        <w:t>[</w:t>
      </w:r>
      <w:r w:rsidR="0089511F">
        <w:rPr>
          <w:rFonts w:ascii="Times New Roman" w:hAnsi="Times New Roman" w:cs="Times New Roman"/>
        </w:rPr>
        <w:t>24]</w:t>
      </w:r>
      <w:r w:rsidRPr="00297779">
        <w:rPr>
          <w:rFonts w:ascii="Times New Roman" w:hAnsi="Times New Roman" w:cs="Times New Roman"/>
        </w:rPr>
        <w:t xml:space="preserve">. In contrast, the long-run coefficient estimates reveal </w:t>
      </w:r>
      <w:bookmarkStart w:id="8" w:name="_Hlk204481501"/>
      <w:r w:rsidRPr="00297779">
        <w:rPr>
          <w:rFonts w:ascii="Times New Roman" w:hAnsi="Times New Roman" w:cs="Times New Roman"/>
        </w:rPr>
        <w:t>a positive and statistically significant</w:t>
      </w:r>
      <w:bookmarkEnd w:id="8"/>
      <w:r w:rsidRPr="00297779">
        <w:rPr>
          <w:rFonts w:ascii="Times New Roman" w:hAnsi="Times New Roman" w:cs="Times New Roman"/>
        </w:rPr>
        <w:t xml:space="preserve"> </w:t>
      </w:r>
      <w:r>
        <w:rPr>
          <w:rFonts w:ascii="Times New Roman" w:hAnsi="Times New Roman" w:cs="Times New Roman"/>
        </w:rPr>
        <w:t>effect</w:t>
      </w:r>
      <w:r w:rsidRPr="00297779">
        <w:rPr>
          <w:rFonts w:ascii="Times New Roman" w:hAnsi="Times New Roman" w:cs="Times New Roman"/>
        </w:rPr>
        <w:t xml:space="preserve">, where a </w:t>
      </w:r>
      <w:r>
        <w:rPr>
          <w:rFonts w:ascii="Times New Roman" w:hAnsi="Times New Roman" w:cs="Times New Roman"/>
        </w:rPr>
        <w:t>1</w:t>
      </w:r>
      <w:r w:rsidR="00D94EE7">
        <w:rPr>
          <w:rFonts w:ascii="Times New Roman" w:hAnsi="Times New Roman" w:cs="Times New Roman"/>
        </w:rPr>
        <w:t xml:space="preserve"> percent</w:t>
      </w:r>
      <w:r w:rsidRPr="00297779">
        <w:rPr>
          <w:rFonts w:ascii="Times New Roman" w:hAnsi="Times New Roman" w:cs="Times New Roman"/>
        </w:rPr>
        <w:t xml:space="preserve"> increase in government expenditure on education corresponds to a 0.133 increase in real GDP per capita</w:t>
      </w:r>
      <w:r w:rsidRPr="006162FB">
        <w:rPr>
          <w:rFonts w:ascii="Times New Roman" w:hAnsi="Times New Roman" w:cs="Times New Roman"/>
        </w:rPr>
        <w:t xml:space="preserve">. </w:t>
      </w:r>
      <w:r w:rsidRPr="00297779">
        <w:rPr>
          <w:rFonts w:ascii="Times New Roman" w:hAnsi="Times New Roman" w:cs="Times New Roman"/>
        </w:rPr>
        <w:t xml:space="preserve">These results do not align with previous findings by </w:t>
      </w:r>
      <w:r w:rsidR="007067F8">
        <w:rPr>
          <w:rFonts w:ascii="Times New Roman" w:hAnsi="Times New Roman" w:cs="Times New Roman"/>
        </w:rPr>
        <w:t>[26, 32]</w:t>
      </w:r>
      <w:r w:rsidRPr="00297779">
        <w:rPr>
          <w:rFonts w:ascii="Times New Roman" w:hAnsi="Times New Roman" w:cs="Times New Roman"/>
        </w:rPr>
        <w:t xml:space="preserve">, but they are in line with the study’s a priori expectations and the findings of Kenneth et al. </w:t>
      </w:r>
      <w:r w:rsidR="00DF7116">
        <w:rPr>
          <w:rFonts w:ascii="Times New Roman" w:hAnsi="Times New Roman" w:cs="Times New Roman"/>
        </w:rPr>
        <w:t>[25]</w:t>
      </w:r>
      <w:r w:rsidR="0067794A">
        <w:rPr>
          <w:rFonts w:ascii="Times New Roman" w:hAnsi="Times New Roman" w:cs="Times New Roman"/>
        </w:rPr>
        <w:t>.</w:t>
      </w:r>
    </w:p>
    <w:p w14:paraId="380241C1" w14:textId="74CA0E0C" w:rsidR="00087097" w:rsidRDefault="00087097" w:rsidP="00087097">
      <w:pPr>
        <w:spacing w:line="480" w:lineRule="auto"/>
        <w:jc w:val="both"/>
        <w:rPr>
          <w:rFonts w:ascii="Times New Roman" w:eastAsia="Calibri" w:hAnsi="Times New Roman"/>
        </w:rPr>
      </w:pPr>
      <w:r w:rsidRPr="00C223ED">
        <w:rPr>
          <w:rFonts w:ascii="Times New Roman" w:eastAsia="Calibri" w:hAnsi="Times New Roman"/>
        </w:rPr>
        <w:t xml:space="preserve">Regarding </w:t>
      </w:r>
      <w:bookmarkStart w:id="9" w:name="_Hlk204481580"/>
      <w:r w:rsidRPr="00C223ED">
        <w:rPr>
          <w:rFonts w:ascii="Times New Roman" w:eastAsia="Calibri" w:hAnsi="Times New Roman"/>
        </w:rPr>
        <w:t>female secondary school enrolment</w:t>
      </w:r>
      <w:bookmarkEnd w:id="9"/>
      <w:r w:rsidRPr="00692278">
        <w:rPr>
          <w:rFonts w:ascii="Times New Roman" w:eastAsia="Calibri" w:hAnsi="Times New Roman"/>
        </w:rPr>
        <w:t>,</w:t>
      </w:r>
      <w:r>
        <w:rPr>
          <w:rFonts w:ascii="Times New Roman" w:eastAsia="Calibri" w:hAnsi="Times New Roman"/>
        </w:rPr>
        <w:t xml:space="preserve"> </w:t>
      </w:r>
      <w:r w:rsidRPr="00C223ED">
        <w:rPr>
          <w:rFonts w:ascii="Times New Roman" w:eastAsia="Calibri" w:hAnsi="Times New Roman"/>
        </w:rPr>
        <w:t xml:space="preserve">the short-run coefficient is positive and statistically significant, indicating that a </w:t>
      </w:r>
      <w:r w:rsidR="0047428A">
        <w:rPr>
          <w:rFonts w:ascii="Times New Roman" w:eastAsia="Calibri" w:hAnsi="Times New Roman"/>
        </w:rPr>
        <w:t>one</w:t>
      </w:r>
      <w:r w:rsidR="00B05330">
        <w:rPr>
          <w:rFonts w:ascii="Times New Roman" w:eastAsia="Calibri" w:hAnsi="Times New Roman"/>
        </w:rPr>
        <w:t xml:space="preserve"> unit</w:t>
      </w:r>
      <w:r w:rsidRPr="00C223ED">
        <w:rPr>
          <w:rFonts w:ascii="Times New Roman" w:eastAsia="Calibri" w:hAnsi="Times New Roman"/>
        </w:rPr>
        <w:t xml:space="preserve"> increase in female secondary school enrolment leads to a 0.002</w:t>
      </w:r>
      <w:r>
        <w:rPr>
          <w:rFonts w:ascii="Times New Roman" w:eastAsia="Calibri" w:hAnsi="Times New Roman"/>
        </w:rPr>
        <w:t xml:space="preserve"> </w:t>
      </w:r>
      <w:r w:rsidR="00C03907">
        <w:rPr>
          <w:rFonts w:ascii="Times New Roman" w:eastAsia="Calibri" w:hAnsi="Times New Roman"/>
        </w:rPr>
        <w:t>percent</w:t>
      </w:r>
      <w:r w:rsidR="00E27B0A" w:rsidRPr="00E27B0A">
        <w:rPr>
          <w:rFonts w:ascii="Times New Roman" w:hAnsi="Times New Roman" w:cs="Times New Roman"/>
        </w:rPr>
        <w:t xml:space="preserve"> </w:t>
      </w:r>
      <w:r w:rsidR="00E27B0A">
        <w:rPr>
          <w:rFonts w:ascii="Times New Roman" w:hAnsi="Times New Roman" w:cs="Times New Roman"/>
        </w:rPr>
        <w:t>increase</w:t>
      </w:r>
      <w:r w:rsidR="00E27B0A" w:rsidRPr="00C223ED">
        <w:rPr>
          <w:rFonts w:ascii="Times New Roman" w:eastAsia="Calibri" w:hAnsi="Times New Roman"/>
        </w:rPr>
        <w:t xml:space="preserve"> </w:t>
      </w:r>
      <w:r w:rsidRPr="00C223ED">
        <w:rPr>
          <w:rFonts w:ascii="Times New Roman" w:eastAsia="Calibri" w:hAnsi="Times New Roman"/>
        </w:rPr>
        <w:t>in real GDP per capita. This suggests that female secondary school enrolment positively contributes to GDP per capita in the short term, likely through improvements in human capital or increased labour force participation</w:t>
      </w:r>
      <w:r w:rsidRPr="00692278">
        <w:rPr>
          <w:rFonts w:ascii="Times New Roman" w:eastAsia="Calibri" w:hAnsi="Times New Roman"/>
        </w:rPr>
        <w:t xml:space="preserve">. </w:t>
      </w:r>
      <w:r w:rsidRPr="00C223ED">
        <w:rPr>
          <w:rFonts w:ascii="Times New Roman" w:eastAsia="Calibri" w:hAnsi="Times New Roman"/>
        </w:rPr>
        <w:t xml:space="preserve">In the long run, the </w:t>
      </w:r>
      <w:r w:rsidR="00B05330">
        <w:rPr>
          <w:rFonts w:ascii="Times New Roman" w:eastAsia="Calibri" w:hAnsi="Times New Roman"/>
        </w:rPr>
        <w:t>coefficient</w:t>
      </w:r>
      <w:r w:rsidRPr="00C223ED">
        <w:rPr>
          <w:rFonts w:ascii="Times New Roman" w:eastAsia="Calibri" w:hAnsi="Times New Roman"/>
        </w:rPr>
        <w:t xml:space="preserve"> remains positive and statistically significant, with a </w:t>
      </w:r>
      <w:r w:rsidR="0047428A">
        <w:rPr>
          <w:rFonts w:ascii="Times New Roman" w:eastAsia="Calibri" w:hAnsi="Times New Roman"/>
        </w:rPr>
        <w:t>one</w:t>
      </w:r>
      <w:r w:rsidR="00B05330">
        <w:rPr>
          <w:rFonts w:ascii="Times New Roman" w:eastAsia="Calibri" w:hAnsi="Times New Roman"/>
        </w:rPr>
        <w:t xml:space="preserve"> unit</w:t>
      </w:r>
      <w:r>
        <w:rPr>
          <w:rFonts w:ascii="Times New Roman" w:eastAsia="Calibri" w:hAnsi="Times New Roman"/>
        </w:rPr>
        <w:t xml:space="preserve"> </w:t>
      </w:r>
      <w:r w:rsidRPr="00C223ED">
        <w:rPr>
          <w:rFonts w:ascii="Times New Roman" w:eastAsia="Calibri" w:hAnsi="Times New Roman"/>
        </w:rPr>
        <w:t>increase in female secondary school enrolment associated with a 0.026</w:t>
      </w:r>
      <w:r w:rsidR="0047428A">
        <w:rPr>
          <w:rFonts w:ascii="Times New Roman" w:eastAsia="Calibri" w:hAnsi="Times New Roman"/>
        </w:rPr>
        <w:t xml:space="preserve"> </w:t>
      </w:r>
      <w:r w:rsidR="00E27B0A">
        <w:rPr>
          <w:rFonts w:ascii="Times New Roman" w:eastAsia="Calibri" w:hAnsi="Times New Roman"/>
        </w:rPr>
        <w:t xml:space="preserve">percent </w:t>
      </w:r>
      <w:r w:rsidR="00E27B0A">
        <w:rPr>
          <w:rFonts w:ascii="Times New Roman" w:hAnsi="Times New Roman" w:cs="Times New Roman"/>
        </w:rPr>
        <w:t>increase</w:t>
      </w:r>
      <w:r w:rsidRPr="00C223ED">
        <w:rPr>
          <w:rFonts w:ascii="Times New Roman" w:eastAsia="Calibri" w:hAnsi="Times New Roman"/>
        </w:rPr>
        <w:t xml:space="preserve"> in real GDP per capita</w:t>
      </w:r>
      <w:r w:rsidRPr="00692278">
        <w:rPr>
          <w:rFonts w:ascii="Times New Roman" w:eastAsia="Calibri" w:hAnsi="Times New Roman"/>
        </w:rPr>
        <w:t>. These results support the study’s a priori expectations and align with prior empirical finding</w:t>
      </w:r>
      <w:r w:rsidR="0067794A">
        <w:rPr>
          <w:rFonts w:ascii="Times New Roman" w:eastAsia="Calibri" w:hAnsi="Times New Roman"/>
        </w:rPr>
        <w:t xml:space="preserve"> from</w:t>
      </w:r>
      <w:r w:rsidRPr="00692278">
        <w:rPr>
          <w:rFonts w:ascii="Times New Roman" w:eastAsia="Calibri" w:hAnsi="Times New Roman"/>
        </w:rPr>
        <w:t xml:space="preserve"> </w:t>
      </w:r>
      <w:proofErr w:type="spellStart"/>
      <w:r w:rsidRPr="00692278">
        <w:rPr>
          <w:rFonts w:ascii="Times New Roman" w:eastAsia="Calibri" w:hAnsi="Times New Roman"/>
        </w:rPr>
        <w:t>Sehar</w:t>
      </w:r>
      <w:proofErr w:type="spellEnd"/>
      <w:r w:rsidRPr="00692278">
        <w:rPr>
          <w:rFonts w:ascii="Times New Roman" w:eastAsia="Calibri" w:hAnsi="Times New Roman"/>
        </w:rPr>
        <w:t xml:space="preserve"> et al.</w:t>
      </w:r>
      <w:r w:rsidR="0067794A">
        <w:rPr>
          <w:rFonts w:ascii="Times New Roman" w:eastAsia="Calibri" w:hAnsi="Times New Roman"/>
        </w:rPr>
        <w:t xml:space="preserve"> [11]</w:t>
      </w:r>
      <w:r>
        <w:rPr>
          <w:rFonts w:ascii="Times New Roman" w:eastAsia="Calibri" w:hAnsi="Times New Roman"/>
        </w:rPr>
        <w:t xml:space="preserve"> </w:t>
      </w:r>
      <w:r w:rsidRPr="006162FB">
        <w:rPr>
          <w:rFonts w:ascii="Times New Roman" w:hAnsi="Times New Roman" w:cs="Times New Roman"/>
        </w:rPr>
        <w:t>as well as with human capital theory</w:t>
      </w:r>
      <w:r>
        <w:rPr>
          <w:rFonts w:ascii="Times New Roman" w:hAnsi="Times New Roman" w:cs="Times New Roman"/>
        </w:rPr>
        <w:t>.</w:t>
      </w:r>
    </w:p>
    <w:p w14:paraId="49A15B89" w14:textId="4B1EA5CA" w:rsidR="00087097" w:rsidRPr="007F7B5E" w:rsidRDefault="00087097" w:rsidP="00087097">
      <w:pPr>
        <w:spacing w:line="480" w:lineRule="auto"/>
        <w:jc w:val="both"/>
        <w:rPr>
          <w:rFonts w:ascii="Times New Roman" w:eastAsia="Calibri" w:hAnsi="Times New Roman"/>
        </w:rPr>
      </w:pPr>
      <w:r w:rsidRPr="00C223ED">
        <w:rPr>
          <w:rFonts w:ascii="Times New Roman" w:eastAsia="Calibri" w:hAnsi="Times New Roman"/>
        </w:rPr>
        <w:t xml:space="preserve">In the case of the </w:t>
      </w:r>
      <w:bookmarkStart w:id="10" w:name="_Hlk204481679"/>
      <w:r w:rsidRPr="00C223ED">
        <w:rPr>
          <w:rFonts w:ascii="Times New Roman" w:eastAsia="Calibri" w:hAnsi="Times New Roman"/>
        </w:rPr>
        <w:t>Gender Parity Index (GPI) for primary school enrolment</w:t>
      </w:r>
      <w:bookmarkEnd w:id="10"/>
      <w:r w:rsidRPr="00692278">
        <w:rPr>
          <w:rFonts w:ascii="Times New Roman" w:eastAsia="Calibri" w:hAnsi="Times New Roman"/>
        </w:rPr>
        <w:t xml:space="preserve">, </w:t>
      </w:r>
      <w:r w:rsidRPr="00C223ED">
        <w:rPr>
          <w:rFonts w:ascii="Times New Roman" w:eastAsia="Calibri" w:hAnsi="Times New Roman"/>
        </w:rPr>
        <w:t>the short-run results indicate that the immediate</w:t>
      </w:r>
      <w:r>
        <w:rPr>
          <w:rFonts w:ascii="Times New Roman" w:eastAsia="Calibri" w:hAnsi="Times New Roman"/>
        </w:rPr>
        <w:t xml:space="preserve"> </w:t>
      </w:r>
      <w:r w:rsidRPr="00C223ED">
        <w:rPr>
          <w:rFonts w:ascii="Times New Roman" w:eastAsia="Calibri" w:hAnsi="Times New Roman"/>
        </w:rPr>
        <w:t xml:space="preserve">year coefficient is negative and statistically insignificant, with a </w:t>
      </w:r>
      <w:r w:rsidR="0038092E">
        <w:rPr>
          <w:rFonts w:ascii="Times New Roman" w:eastAsia="Calibri" w:hAnsi="Times New Roman"/>
        </w:rPr>
        <w:lastRenderedPageBreak/>
        <w:t>one unit</w:t>
      </w:r>
      <w:r>
        <w:rPr>
          <w:rFonts w:ascii="Times New Roman" w:eastAsia="Calibri" w:hAnsi="Times New Roman"/>
        </w:rPr>
        <w:t xml:space="preserve"> </w:t>
      </w:r>
      <w:r w:rsidRPr="00C223ED">
        <w:rPr>
          <w:rFonts w:ascii="Times New Roman" w:eastAsia="Calibri" w:hAnsi="Times New Roman"/>
        </w:rPr>
        <w:t xml:space="preserve">increase in GPI </w:t>
      </w:r>
      <w:r>
        <w:rPr>
          <w:rFonts w:ascii="Times New Roman" w:eastAsia="Calibri" w:hAnsi="Times New Roman"/>
        </w:rPr>
        <w:t>associated with</w:t>
      </w:r>
      <w:r w:rsidRPr="00C223ED">
        <w:rPr>
          <w:rFonts w:ascii="Times New Roman" w:eastAsia="Calibri" w:hAnsi="Times New Roman"/>
        </w:rPr>
        <w:t xml:space="preserve"> a 0.112</w:t>
      </w:r>
      <w:r w:rsidR="0038092E">
        <w:rPr>
          <w:rFonts w:ascii="Times New Roman" w:eastAsia="Calibri" w:hAnsi="Times New Roman"/>
        </w:rPr>
        <w:t xml:space="preserve"> percent</w:t>
      </w:r>
      <w:r w:rsidRPr="00C223ED">
        <w:rPr>
          <w:rFonts w:ascii="Times New Roman" w:eastAsia="Calibri" w:hAnsi="Times New Roman"/>
        </w:rPr>
        <w:t xml:space="preserve"> decrease in real GDP per capita. However, at lags 1 and 2, the coefficients turn positive, though statistical significance is observed only at lag 1, where a </w:t>
      </w:r>
      <w:r w:rsidR="0038092E">
        <w:rPr>
          <w:rFonts w:ascii="Times New Roman" w:eastAsia="Calibri" w:hAnsi="Times New Roman"/>
        </w:rPr>
        <w:t xml:space="preserve">unit </w:t>
      </w:r>
      <w:r w:rsidRPr="00C223ED">
        <w:rPr>
          <w:rFonts w:ascii="Times New Roman" w:eastAsia="Calibri" w:hAnsi="Times New Roman"/>
        </w:rPr>
        <w:t>increase in GPI results in a 0.609</w:t>
      </w:r>
      <w:r w:rsidR="0038092E">
        <w:rPr>
          <w:rFonts w:ascii="Times New Roman" w:eastAsia="Calibri" w:hAnsi="Times New Roman"/>
        </w:rPr>
        <w:t xml:space="preserve"> percent</w:t>
      </w:r>
      <w:r w:rsidRPr="00C223ED">
        <w:rPr>
          <w:rFonts w:ascii="Times New Roman" w:eastAsia="Calibri" w:hAnsi="Times New Roman"/>
        </w:rPr>
        <w:t xml:space="preserve"> increase in </w:t>
      </w:r>
      <w:r w:rsidR="0038092E">
        <w:rPr>
          <w:rFonts w:ascii="Times New Roman" w:eastAsia="Calibri" w:hAnsi="Times New Roman"/>
        </w:rPr>
        <w:t xml:space="preserve">real </w:t>
      </w:r>
      <w:r w:rsidRPr="00C223ED">
        <w:rPr>
          <w:rFonts w:ascii="Times New Roman" w:eastAsia="Calibri" w:hAnsi="Times New Roman"/>
        </w:rPr>
        <w:t>GDP per capita. At lag 2, a 0.269</w:t>
      </w:r>
      <w:r w:rsidR="00F52926">
        <w:rPr>
          <w:rFonts w:ascii="Times New Roman" w:eastAsia="Calibri" w:hAnsi="Times New Roman"/>
        </w:rPr>
        <w:t xml:space="preserve"> percent</w:t>
      </w:r>
      <w:r w:rsidRPr="00C223ED">
        <w:rPr>
          <w:rFonts w:ascii="Times New Roman" w:eastAsia="Calibri" w:hAnsi="Times New Roman"/>
        </w:rPr>
        <w:t xml:space="preserve"> increase is observed, albeit without confirmed statistical significance</w:t>
      </w:r>
      <w:r w:rsidRPr="00692278">
        <w:rPr>
          <w:rFonts w:ascii="Times New Roman" w:eastAsia="Calibri" w:hAnsi="Times New Roman"/>
        </w:rPr>
        <w:t xml:space="preserve">. </w:t>
      </w:r>
      <w:r>
        <w:rPr>
          <w:rFonts w:ascii="Times New Roman" w:eastAsia="Calibri" w:hAnsi="Times New Roman"/>
        </w:rPr>
        <w:t xml:space="preserve">Conversely, </w:t>
      </w:r>
      <w:r w:rsidRPr="00DD7C99">
        <w:rPr>
          <w:rFonts w:ascii="Times New Roman" w:eastAsia="Calibri" w:hAnsi="Times New Roman"/>
        </w:rPr>
        <w:t xml:space="preserve">the long-run coefficient for GPI reveals a negative and statistically significant </w:t>
      </w:r>
      <w:r w:rsidR="00F52926">
        <w:rPr>
          <w:rFonts w:ascii="Times New Roman" w:eastAsia="Calibri" w:hAnsi="Times New Roman"/>
        </w:rPr>
        <w:t>effect</w:t>
      </w:r>
      <w:r w:rsidRPr="00DD7C99">
        <w:rPr>
          <w:rFonts w:ascii="Times New Roman" w:eastAsia="Calibri" w:hAnsi="Times New Roman"/>
        </w:rPr>
        <w:t xml:space="preserve"> on real GDP per capita, where a one</w:t>
      </w:r>
      <w:r w:rsidR="00F52926">
        <w:rPr>
          <w:rFonts w:ascii="Times New Roman" w:eastAsia="Calibri" w:hAnsi="Times New Roman"/>
        </w:rPr>
        <w:t xml:space="preserve"> </w:t>
      </w:r>
      <w:r w:rsidRPr="00DD7C99">
        <w:rPr>
          <w:rFonts w:ascii="Times New Roman" w:eastAsia="Calibri" w:hAnsi="Times New Roman"/>
        </w:rPr>
        <w:t>unit increase in GPI leads to a 4.331</w:t>
      </w:r>
      <w:r w:rsidR="00031FA7">
        <w:rPr>
          <w:rFonts w:ascii="Times New Roman" w:eastAsia="Calibri" w:hAnsi="Times New Roman"/>
        </w:rPr>
        <w:t xml:space="preserve"> percent</w:t>
      </w:r>
      <w:r w:rsidRPr="00DD7C99">
        <w:rPr>
          <w:rFonts w:ascii="Times New Roman" w:eastAsia="Calibri" w:hAnsi="Times New Roman"/>
        </w:rPr>
        <w:t xml:space="preserve"> decrease in GDP per capita</w:t>
      </w:r>
      <w:r w:rsidRPr="00692278">
        <w:rPr>
          <w:rFonts w:ascii="Times New Roman" w:eastAsia="Calibri" w:hAnsi="Times New Roman"/>
        </w:rPr>
        <w:t xml:space="preserve">. </w:t>
      </w:r>
      <w:r w:rsidRPr="00DD7C99">
        <w:rPr>
          <w:rFonts w:ascii="Times New Roman" w:eastAsia="Calibri" w:hAnsi="Times New Roman"/>
        </w:rPr>
        <w:t>These long-run results are inconsistent with the study’s a priori expectations and do not conform to the theoretical assumptions underpinning Sen’s Capability Approach</w:t>
      </w:r>
      <w:r>
        <w:rPr>
          <w:rFonts w:ascii="Times New Roman" w:hAnsi="Times New Roman" w:cs="Times New Roman"/>
        </w:rPr>
        <w:t>.</w:t>
      </w:r>
    </w:p>
    <w:p w14:paraId="4E41691D" w14:textId="77777777" w:rsidR="00087097" w:rsidRPr="00652CBF" w:rsidRDefault="00087097" w:rsidP="00087097">
      <w:pPr>
        <w:spacing w:after="200" w:line="480" w:lineRule="auto"/>
        <w:ind w:right="90"/>
        <w:jc w:val="both"/>
        <w:rPr>
          <w:rFonts w:ascii="Times New Roman" w:hAnsi="Times New Roman" w:cs="Times New Roman"/>
          <w:i/>
        </w:rPr>
      </w:pPr>
      <w:r w:rsidRPr="00652CBF">
        <w:rPr>
          <w:rFonts w:ascii="Times New Roman" w:hAnsi="Times New Roman" w:cs="Times New Roman"/>
        </w:rPr>
        <w:t>The error correction term (</w:t>
      </w:r>
      <w:proofErr w:type="spellStart"/>
      <w:r w:rsidRPr="00652CBF">
        <w:rPr>
          <w:rFonts w:ascii="Times New Roman" w:hAnsi="Times New Roman" w:cs="Times New Roman"/>
        </w:rPr>
        <w:t>CointEq</w:t>
      </w:r>
      <w:proofErr w:type="spellEnd"/>
      <w:r w:rsidRPr="00652CBF">
        <w:rPr>
          <w:rFonts w:ascii="Times New Roman" w:hAnsi="Times New Roman" w:cs="Times New Roman"/>
        </w:rPr>
        <w:t xml:space="preserve"> (-1)) with </w:t>
      </w:r>
      <w:r>
        <w:rPr>
          <w:rFonts w:ascii="Times New Roman" w:hAnsi="Times New Roman" w:cs="Times New Roman"/>
        </w:rPr>
        <w:t xml:space="preserve">the </w:t>
      </w:r>
      <w:r w:rsidRPr="00417BDF">
        <w:rPr>
          <w:rFonts w:ascii="Times New Roman" w:hAnsi="Times New Roman" w:cs="Times New Roman"/>
        </w:rPr>
        <w:t>negative sign of</w:t>
      </w:r>
      <w:r>
        <w:rPr>
          <w:rFonts w:ascii="Times New Roman" w:hAnsi="Times New Roman" w:cs="Times New Roman"/>
        </w:rPr>
        <w:t xml:space="preserve"> </w:t>
      </w:r>
      <w:r w:rsidRPr="00652CBF">
        <w:rPr>
          <w:rFonts w:ascii="Times New Roman" w:hAnsi="Times New Roman" w:cs="Times New Roman"/>
        </w:rPr>
        <w:t>a coefficient -0. 190338 indicates that the system corrects approximately 19</w:t>
      </w:r>
      <w:r>
        <w:rPr>
          <w:rFonts w:ascii="Times New Roman" w:hAnsi="Times New Roman" w:cs="Times New Roman"/>
        </w:rPr>
        <w:t>.</w:t>
      </w:r>
      <w:r w:rsidRPr="00652CBF">
        <w:rPr>
          <w:rFonts w:ascii="Times New Roman" w:hAnsi="Times New Roman" w:cs="Times New Roman"/>
        </w:rPr>
        <w:t>0</w:t>
      </w:r>
      <w:r>
        <w:rPr>
          <w:rFonts w:ascii="Times New Roman" w:hAnsi="Times New Roman" w:cs="Times New Roman"/>
        </w:rPr>
        <w:t>3</w:t>
      </w:r>
      <w:r w:rsidRPr="00652CBF">
        <w:rPr>
          <w:rFonts w:ascii="Times New Roman" w:hAnsi="Times New Roman" w:cs="Times New Roman"/>
        </w:rPr>
        <w:t>% of deviations from the long-run equilibrium annually, demonstrating a strong tendency towards equilibrium restoration.</w:t>
      </w:r>
    </w:p>
    <w:p w14:paraId="3DAE11B2" w14:textId="3E6A6F47" w:rsidR="004F5A50" w:rsidRDefault="00087097" w:rsidP="00087097">
      <w:pPr>
        <w:spacing w:after="0" w:line="480" w:lineRule="auto"/>
        <w:ind w:right="90"/>
        <w:jc w:val="both"/>
        <w:rPr>
          <w:rFonts w:ascii="Times New Roman" w:hAnsi="Times New Roman" w:cs="Times New Roman"/>
        </w:rPr>
      </w:pPr>
      <w:r w:rsidRPr="007F1ACF">
        <w:rPr>
          <w:rFonts w:ascii="Times New Roman" w:hAnsi="Times New Roman" w:cs="Times New Roman"/>
        </w:rPr>
        <w:t>Finally, the model exhibits strong explanatory power, with an R-squared value of 0.</w:t>
      </w:r>
      <w:r>
        <w:rPr>
          <w:rFonts w:ascii="Times New Roman" w:hAnsi="Times New Roman" w:cs="Times New Roman"/>
        </w:rPr>
        <w:t>789199</w:t>
      </w:r>
      <w:r w:rsidRPr="007F1ACF">
        <w:rPr>
          <w:rFonts w:ascii="Times New Roman" w:hAnsi="Times New Roman" w:cs="Times New Roman"/>
        </w:rPr>
        <w:t xml:space="preserve"> and an adjusted R-squared of 0.72</w:t>
      </w:r>
      <w:r>
        <w:rPr>
          <w:rFonts w:ascii="Times New Roman" w:hAnsi="Times New Roman" w:cs="Times New Roman"/>
        </w:rPr>
        <w:t>5042</w:t>
      </w:r>
      <w:r w:rsidRPr="007F1ACF">
        <w:rPr>
          <w:rFonts w:ascii="Times New Roman" w:hAnsi="Times New Roman" w:cs="Times New Roman"/>
        </w:rPr>
        <w:t xml:space="preserve">. These statistics imply that approximately </w:t>
      </w:r>
      <w:r>
        <w:rPr>
          <w:rFonts w:ascii="Times New Roman" w:hAnsi="Times New Roman" w:cs="Times New Roman"/>
        </w:rPr>
        <w:t>78.92</w:t>
      </w:r>
      <w:r w:rsidRPr="007F1ACF">
        <w:rPr>
          <w:rFonts w:ascii="Times New Roman" w:hAnsi="Times New Roman" w:cs="Times New Roman"/>
        </w:rPr>
        <w:t xml:space="preserve">% of the variation in </w:t>
      </w:r>
      <w:r>
        <w:rPr>
          <w:rFonts w:ascii="Times New Roman" w:hAnsi="Times New Roman" w:cs="Times New Roman"/>
        </w:rPr>
        <w:t xml:space="preserve">real </w:t>
      </w:r>
      <w:r w:rsidRPr="007F1ACF">
        <w:rPr>
          <w:rFonts w:ascii="Times New Roman" w:hAnsi="Times New Roman" w:cs="Times New Roman"/>
        </w:rPr>
        <w:t xml:space="preserve">GDP per capita is explained by the </w:t>
      </w:r>
      <w:r>
        <w:rPr>
          <w:rFonts w:ascii="Times New Roman" w:hAnsi="Times New Roman" w:cs="Times New Roman"/>
        </w:rPr>
        <w:t>model</w:t>
      </w:r>
      <w:r w:rsidRPr="007F1ACF">
        <w:rPr>
          <w:rFonts w:ascii="Times New Roman" w:hAnsi="Times New Roman" w:cs="Times New Roman"/>
        </w:rPr>
        <w:t xml:space="preserve">, with the adjusted R-squared </w:t>
      </w:r>
      <w:r>
        <w:rPr>
          <w:rFonts w:ascii="Times New Roman" w:hAnsi="Times New Roman" w:cs="Times New Roman"/>
        </w:rPr>
        <w:t xml:space="preserve">of </w:t>
      </w:r>
      <w:r w:rsidRPr="00083A05">
        <w:rPr>
          <w:rFonts w:ascii="Times New Roman" w:hAnsi="Times New Roman" w:cs="Times New Roman"/>
        </w:rPr>
        <w:t>72.50%</w:t>
      </w:r>
      <w:r>
        <w:rPr>
          <w:rFonts w:ascii="Times New Roman" w:hAnsi="Times New Roman" w:cs="Times New Roman"/>
        </w:rPr>
        <w:t xml:space="preserve"> </w:t>
      </w:r>
      <w:r w:rsidRPr="007F1ACF">
        <w:rPr>
          <w:rFonts w:ascii="Times New Roman" w:hAnsi="Times New Roman" w:cs="Times New Roman"/>
        </w:rPr>
        <w:t>confirming the robustness of the model after accounting for degrees of freedom</w:t>
      </w:r>
      <w:r>
        <w:rPr>
          <w:rFonts w:ascii="Times New Roman" w:hAnsi="Times New Roman" w:cs="Times New Roman"/>
        </w:rPr>
        <w:t>.</w:t>
      </w:r>
    </w:p>
    <w:p w14:paraId="17A17C37" w14:textId="77777777" w:rsidR="00F459A3" w:rsidRPr="00087097" w:rsidRDefault="00F459A3" w:rsidP="00087097">
      <w:pPr>
        <w:spacing w:after="0" w:line="480" w:lineRule="auto"/>
        <w:ind w:right="90"/>
        <w:jc w:val="both"/>
        <w:rPr>
          <w:rFonts w:ascii="Times New Roman" w:hAnsi="Times New Roman" w:cs="Times New Roman"/>
          <w:bCs/>
        </w:rPr>
      </w:pPr>
    </w:p>
    <w:bookmarkStart w:id="11" w:name="_Hlk189990274"/>
    <w:bookmarkStart w:id="12" w:name="_Hlk204331861"/>
    <w:p w14:paraId="31A4E033" w14:textId="42BF364D" w:rsidR="00832003" w:rsidRPr="00D76FB7" w:rsidRDefault="00832003" w:rsidP="00832003">
      <w:pPr>
        <w:spacing w:after="0" w:line="360" w:lineRule="auto"/>
        <w:ind w:right="90"/>
        <w:jc w:val="both"/>
        <w:rPr>
          <w:rFonts w:ascii="Times New Roman" w:eastAsia="Calibri" w:hAnsi="Times New Roman" w:cs="Times New Roman"/>
          <w:b/>
          <w:kern w:val="0"/>
          <w:lang w:eastAsia="en-US"/>
          <w14:ligatures w14:val="none"/>
        </w:rPr>
      </w:pPr>
      <w:r w:rsidRPr="00A614CB">
        <w:rPr>
          <w:rFonts w:ascii="Calibri" w:eastAsia="Calibri" w:hAnsi="Calibri" w:cs="Times New Roman"/>
          <w:noProof/>
          <w:kern w:val="0"/>
          <w:lang w:eastAsia="en-US"/>
          <w14:ligatures w14:val="none"/>
        </w:rPr>
        <mc:AlternateContent>
          <mc:Choice Requires="wps">
            <w:drawing>
              <wp:anchor distT="0" distB="0" distL="114300" distR="114300" simplePos="0" relativeHeight="251659264" behindDoc="0" locked="0" layoutInCell="1" allowOverlap="1" wp14:anchorId="2F99167C" wp14:editId="1F007235">
                <wp:simplePos x="0" y="0"/>
                <wp:positionH relativeFrom="column">
                  <wp:posOffset>0</wp:posOffset>
                </wp:positionH>
                <wp:positionV relativeFrom="paragraph">
                  <wp:posOffset>177962</wp:posOffset>
                </wp:positionV>
                <wp:extent cx="4425950" cy="0"/>
                <wp:effectExtent l="0" t="0" r="0" b="0"/>
                <wp:wrapNone/>
                <wp:docPr id="340244786" name="Straight Connector 12"/>
                <wp:cNvGraphicFramePr/>
                <a:graphic xmlns:a="http://schemas.openxmlformats.org/drawingml/2006/main">
                  <a:graphicData uri="http://schemas.microsoft.com/office/word/2010/wordprocessingShape">
                    <wps:wsp>
                      <wps:cNvCnPr/>
                      <wps:spPr>
                        <a:xfrm>
                          <a:off x="0" y="0"/>
                          <a:ext cx="44259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7FA58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3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" strokecolor="windowText" strokeweight="1pt">
                <v:stroke joinstyle="miter"/>
              </v:line>
            </w:pict>
          </mc:Fallback>
        </mc:AlternateContent>
      </w:r>
      <w:r>
        <w:rPr>
          <w:rFonts w:ascii="Times New Roman" w:eastAsia="Calibri" w:hAnsi="Times New Roman" w:cs="Times New Roman"/>
          <w:b/>
          <w:kern w:val="0"/>
          <w:lang w:eastAsia="en-US"/>
          <w14:ligatures w14:val="none"/>
        </w:rPr>
        <w:t>T</w:t>
      </w:r>
      <w:r w:rsidRPr="00A614CB">
        <w:rPr>
          <w:rFonts w:ascii="Times New Roman" w:hAnsi="Times New Roman" w:cs="Times New Roman"/>
          <w:b/>
        </w:rPr>
        <w:t xml:space="preserve">able </w:t>
      </w:r>
      <w:r>
        <w:rPr>
          <w:rFonts w:ascii="Times New Roman" w:hAnsi="Times New Roman" w:cs="Times New Roman"/>
          <w:b/>
        </w:rPr>
        <w:t>4</w:t>
      </w:r>
      <w:r w:rsidRPr="00A614CB">
        <w:rPr>
          <w:rFonts w:ascii="Times New Roman" w:hAnsi="Times New Roman" w:cs="Times New Roman"/>
          <w:b/>
        </w:rPr>
        <w:t xml:space="preserve">: </w:t>
      </w:r>
      <w:r w:rsidRPr="00A614CB">
        <w:rPr>
          <w:rFonts w:ascii="Times New Roman" w:eastAsia="Calibri" w:hAnsi="Times New Roman" w:cs="Times New Roman"/>
          <w:b/>
          <w:kern w:val="0"/>
          <w:lang w:eastAsia="en-US"/>
          <w14:ligatures w14:val="none"/>
        </w:rPr>
        <w:t xml:space="preserve">ARDL short and long run results for </w:t>
      </w:r>
      <w:r w:rsidR="00F712FC">
        <w:rPr>
          <w:rFonts w:ascii="Times New Roman" w:eastAsia="Calibri" w:hAnsi="Times New Roman" w:cs="Times New Roman"/>
          <w:b/>
          <w:kern w:val="0"/>
          <w:lang w:eastAsia="en-US"/>
          <w14:ligatures w14:val="none"/>
        </w:rPr>
        <w:t>the model</w:t>
      </w:r>
    </w:p>
    <w:p w14:paraId="1D39D886" w14:textId="77777777" w:rsidR="00832003" w:rsidRPr="001C300E" w:rsidRDefault="00832003" w:rsidP="00832003">
      <w:pPr>
        <w:spacing w:after="0" w:line="240" w:lineRule="auto"/>
        <w:ind w:left="2160" w:right="90" w:firstLine="720"/>
        <w:jc w:val="both"/>
        <w:rPr>
          <w:rFonts w:ascii="Arial" w:eastAsia="Calibri" w:hAnsi="Arial" w:cs="Arial"/>
          <w:b/>
          <w:kern w:val="0"/>
          <w:sz w:val="18"/>
          <w:szCs w:val="18"/>
          <w:lang w:eastAsia="en-US"/>
          <w14:ligatures w14:val="none"/>
        </w:rPr>
      </w:pPr>
      <w:r w:rsidRPr="001C300E">
        <w:rPr>
          <w:rFonts w:ascii="Arial" w:eastAsia="Calibri" w:hAnsi="Arial" w:cs="Arial"/>
          <w:b/>
          <w:kern w:val="0"/>
          <w:sz w:val="20"/>
          <w:lang w:eastAsia="en-US"/>
          <w14:ligatures w14:val="none"/>
        </w:rPr>
        <w:t>S</w:t>
      </w:r>
      <w:r w:rsidRPr="001C300E">
        <w:rPr>
          <w:rFonts w:ascii="Arial" w:eastAsia="Calibri" w:hAnsi="Arial" w:cs="Arial"/>
          <w:b/>
          <w:kern w:val="0"/>
          <w:sz w:val="18"/>
          <w:szCs w:val="18"/>
          <w:lang w:eastAsia="en-US"/>
          <w14:ligatures w14:val="none"/>
        </w:rPr>
        <w:t>hort run results</w:t>
      </w:r>
    </w:p>
    <w:tbl>
      <w:tblPr>
        <w:tblW w:w="0" w:type="auto"/>
        <w:tblInd w:w="30" w:type="dxa"/>
        <w:tblLayout w:type="fixed"/>
        <w:tblCellMar>
          <w:left w:w="0" w:type="dxa"/>
          <w:right w:w="0" w:type="dxa"/>
        </w:tblCellMar>
        <w:tblLook w:val="0000" w:firstRow="0" w:lastRow="0" w:firstColumn="0" w:lastColumn="0" w:noHBand="0" w:noVBand="0"/>
      </w:tblPr>
      <w:tblGrid>
        <w:gridCol w:w="2227"/>
        <w:gridCol w:w="1103"/>
        <w:gridCol w:w="1207"/>
        <w:gridCol w:w="1208"/>
        <w:gridCol w:w="997"/>
      </w:tblGrid>
      <w:tr w:rsidR="00832003" w14:paraId="79A99360" w14:textId="77777777" w:rsidTr="00B82BF5">
        <w:trPr>
          <w:trHeight w:val="225"/>
        </w:trPr>
        <w:tc>
          <w:tcPr>
            <w:tcW w:w="2227" w:type="dxa"/>
            <w:tcBorders>
              <w:top w:val="nil"/>
              <w:left w:val="nil"/>
              <w:bottom w:val="nil"/>
              <w:right w:val="nil"/>
            </w:tcBorders>
            <w:vAlign w:val="bottom"/>
          </w:tcPr>
          <w:p w14:paraId="4F3457E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Variable</w:t>
            </w:r>
          </w:p>
        </w:tc>
        <w:tc>
          <w:tcPr>
            <w:tcW w:w="1103" w:type="dxa"/>
            <w:tcBorders>
              <w:top w:val="nil"/>
              <w:left w:val="nil"/>
              <w:bottom w:val="nil"/>
              <w:right w:val="nil"/>
            </w:tcBorders>
            <w:vAlign w:val="bottom"/>
          </w:tcPr>
          <w:p w14:paraId="261D473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Coefficient</w:t>
            </w:r>
          </w:p>
        </w:tc>
        <w:tc>
          <w:tcPr>
            <w:tcW w:w="1207" w:type="dxa"/>
            <w:tcBorders>
              <w:top w:val="nil"/>
              <w:left w:val="nil"/>
              <w:bottom w:val="nil"/>
              <w:right w:val="nil"/>
            </w:tcBorders>
            <w:vAlign w:val="bottom"/>
          </w:tcPr>
          <w:p w14:paraId="4C41939F"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Std. Error</w:t>
            </w:r>
          </w:p>
        </w:tc>
        <w:tc>
          <w:tcPr>
            <w:tcW w:w="1208" w:type="dxa"/>
            <w:tcBorders>
              <w:top w:val="nil"/>
              <w:left w:val="nil"/>
              <w:bottom w:val="nil"/>
              <w:right w:val="nil"/>
            </w:tcBorders>
            <w:vAlign w:val="bottom"/>
          </w:tcPr>
          <w:p w14:paraId="0AC90CA9"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t-Statistic</w:t>
            </w:r>
          </w:p>
        </w:tc>
        <w:tc>
          <w:tcPr>
            <w:tcW w:w="997" w:type="dxa"/>
            <w:tcBorders>
              <w:top w:val="nil"/>
              <w:left w:val="nil"/>
              <w:bottom w:val="nil"/>
              <w:right w:val="nil"/>
            </w:tcBorders>
            <w:vAlign w:val="bottom"/>
          </w:tcPr>
          <w:p w14:paraId="5DF7775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Prob.   </w:t>
            </w:r>
          </w:p>
        </w:tc>
      </w:tr>
      <w:tr w:rsidR="00832003" w14:paraId="298381B9" w14:textId="77777777" w:rsidTr="00B82BF5">
        <w:trPr>
          <w:trHeight w:val="225"/>
        </w:trPr>
        <w:tc>
          <w:tcPr>
            <w:tcW w:w="2227" w:type="dxa"/>
            <w:tcBorders>
              <w:top w:val="nil"/>
              <w:left w:val="nil"/>
              <w:bottom w:val="nil"/>
              <w:right w:val="nil"/>
            </w:tcBorders>
            <w:vAlign w:val="bottom"/>
          </w:tcPr>
          <w:p w14:paraId="7987BD1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D(GEDU)</w:t>
            </w:r>
          </w:p>
        </w:tc>
        <w:tc>
          <w:tcPr>
            <w:tcW w:w="1103" w:type="dxa"/>
            <w:tcBorders>
              <w:top w:val="nil"/>
              <w:left w:val="nil"/>
              <w:bottom w:val="nil"/>
              <w:right w:val="nil"/>
            </w:tcBorders>
            <w:vAlign w:val="bottom"/>
          </w:tcPr>
          <w:p w14:paraId="676EE97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-0.007070</w:t>
            </w:r>
          </w:p>
        </w:tc>
        <w:tc>
          <w:tcPr>
            <w:tcW w:w="1207" w:type="dxa"/>
            <w:tcBorders>
              <w:top w:val="nil"/>
              <w:left w:val="nil"/>
              <w:bottom w:val="nil"/>
              <w:right w:val="nil"/>
            </w:tcBorders>
            <w:vAlign w:val="bottom"/>
          </w:tcPr>
          <w:p w14:paraId="24FF2B4F"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0.005328</w:t>
            </w:r>
          </w:p>
        </w:tc>
        <w:tc>
          <w:tcPr>
            <w:tcW w:w="1208" w:type="dxa"/>
            <w:tcBorders>
              <w:top w:val="nil"/>
              <w:left w:val="nil"/>
              <w:bottom w:val="nil"/>
              <w:right w:val="nil"/>
            </w:tcBorders>
            <w:vAlign w:val="bottom"/>
          </w:tcPr>
          <w:p w14:paraId="6C2D4E90"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-1.326890</w:t>
            </w:r>
          </w:p>
        </w:tc>
        <w:tc>
          <w:tcPr>
            <w:tcW w:w="997" w:type="dxa"/>
            <w:tcBorders>
              <w:top w:val="nil"/>
              <w:left w:val="nil"/>
              <w:bottom w:val="nil"/>
              <w:right w:val="nil"/>
            </w:tcBorders>
            <w:vAlign w:val="bottom"/>
          </w:tcPr>
          <w:p w14:paraId="212BD47D"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0.2003</w:t>
            </w:r>
          </w:p>
        </w:tc>
      </w:tr>
      <w:tr w:rsidR="00832003" w14:paraId="4CFD4EFF" w14:textId="77777777" w:rsidTr="00B82BF5">
        <w:trPr>
          <w:trHeight w:val="225"/>
        </w:trPr>
        <w:tc>
          <w:tcPr>
            <w:tcW w:w="2227" w:type="dxa"/>
            <w:tcBorders>
              <w:top w:val="nil"/>
              <w:left w:val="nil"/>
              <w:bottom w:val="nil"/>
              <w:right w:val="nil"/>
            </w:tcBorders>
            <w:vAlign w:val="bottom"/>
          </w:tcPr>
          <w:p w14:paraId="3514668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w:t>
            </w:r>
            <w:proofErr w:type="gramStart"/>
            <w:r>
              <w:rPr>
                <w:rFonts w:ascii="Arial" w:hAnsi="Arial" w:cs="Arial"/>
                <w:color w:val="000000"/>
                <w:kern w:val="0"/>
                <w:sz w:val="18"/>
                <w:szCs w:val="18"/>
              </w:rPr>
              <w:t>GEDU(</w:t>
            </w:r>
            <w:proofErr w:type="gramEnd"/>
            <w:r>
              <w:rPr>
                <w:rFonts w:ascii="Arial" w:hAnsi="Arial" w:cs="Arial"/>
                <w:color w:val="000000"/>
                <w:kern w:val="0"/>
                <w:sz w:val="18"/>
                <w:szCs w:val="18"/>
              </w:rPr>
              <w:t>-1))</w:t>
            </w:r>
          </w:p>
        </w:tc>
        <w:tc>
          <w:tcPr>
            <w:tcW w:w="1103" w:type="dxa"/>
            <w:tcBorders>
              <w:top w:val="nil"/>
              <w:left w:val="nil"/>
              <w:bottom w:val="nil"/>
              <w:right w:val="nil"/>
            </w:tcBorders>
            <w:vAlign w:val="bottom"/>
          </w:tcPr>
          <w:p w14:paraId="6AAE3E7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-0.027204</w:t>
            </w:r>
          </w:p>
        </w:tc>
        <w:tc>
          <w:tcPr>
            <w:tcW w:w="1207" w:type="dxa"/>
            <w:tcBorders>
              <w:top w:val="nil"/>
              <w:left w:val="nil"/>
              <w:bottom w:val="nil"/>
              <w:right w:val="nil"/>
            </w:tcBorders>
            <w:vAlign w:val="bottom"/>
          </w:tcPr>
          <w:p w14:paraId="399EDA2F"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0.005951</w:t>
            </w:r>
          </w:p>
        </w:tc>
        <w:tc>
          <w:tcPr>
            <w:tcW w:w="1208" w:type="dxa"/>
            <w:tcBorders>
              <w:top w:val="nil"/>
              <w:left w:val="nil"/>
              <w:bottom w:val="nil"/>
              <w:right w:val="nil"/>
            </w:tcBorders>
            <w:vAlign w:val="bottom"/>
          </w:tcPr>
          <w:p w14:paraId="1E25021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-4.571530</w:t>
            </w:r>
          </w:p>
        </w:tc>
        <w:tc>
          <w:tcPr>
            <w:tcW w:w="997" w:type="dxa"/>
            <w:tcBorders>
              <w:top w:val="nil"/>
              <w:left w:val="nil"/>
              <w:bottom w:val="nil"/>
              <w:right w:val="nil"/>
            </w:tcBorders>
            <w:vAlign w:val="bottom"/>
          </w:tcPr>
          <w:p w14:paraId="0CCDC4A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0.0002</w:t>
            </w:r>
          </w:p>
        </w:tc>
      </w:tr>
      <w:tr w:rsidR="00832003" w14:paraId="072C11F2" w14:textId="77777777" w:rsidTr="00B82BF5">
        <w:trPr>
          <w:trHeight w:val="225"/>
        </w:trPr>
        <w:tc>
          <w:tcPr>
            <w:tcW w:w="2227" w:type="dxa"/>
            <w:tcBorders>
              <w:top w:val="nil"/>
              <w:left w:val="nil"/>
              <w:bottom w:val="nil"/>
              <w:right w:val="nil"/>
            </w:tcBorders>
            <w:vAlign w:val="bottom"/>
          </w:tcPr>
          <w:p w14:paraId="2CCC65C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w:t>
            </w:r>
            <w:proofErr w:type="gramStart"/>
            <w:r>
              <w:rPr>
                <w:rFonts w:ascii="Arial" w:hAnsi="Arial" w:cs="Arial"/>
                <w:color w:val="000000"/>
                <w:kern w:val="0"/>
                <w:sz w:val="18"/>
                <w:szCs w:val="18"/>
              </w:rPr>
              <w:t>GEDU(</w:t>
            </w:r>
            <w:proofErr w:type="gramEnd"/>
            <w:r>
              <w:rPr>
                <w:rFonts w:ascii="Arial" w:hAnsi="Arial" w:cs="Arial"/>
                <w:color w:val="000000"/>
                <w:kern w:val="0"/>
                <w:sz w:val="18"/>
                <w:szCs w:val="18"/>
              </w:rPr>
              <w:t>-2))</w:t>
            </w:r>
          </w:p>
        </w:tc>
        <w:tc>
          <w:tcPr>
            <w:tcW w:w="1103" w:type="dxa"/>
            <w:tcBorders>
              <w:top w:val="nil"/>
              <w:left w:val="nil"/>
              <w:bottom w:val="nil"/>
              <w:right w:val="nil"/>
            </w:tcBorders>
            <w:vAlign w:val="bottom"/>
          </w:tcPr>
          <w:p w14:paraId="386A492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-0.015199</w:t>
            </w:r>
          </w:p>
        </w:tc>
        <w:tc>
          <w:tcPr>
            <w:tcW w:w="1207" w:type="dxa"/>
            <w:tcBorders>
              <w:top w:val="nil"/>
              <w:left w:val="nil"/>
              <w:bottom w:val="nil"/>
              <w:right w:val="nil"/>
            </w:tcBorders>
            <w:vAlign w:val="bottom"/>
          </w:tcPr>
          <w:p w14:paraId="60855BA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0.005497</w:t>
            </w:r>
          </w:p>
        </w:tc>
        <w:tc>
          <w:tcPr>
            <w:tcW w:w="1208" w:type="dxa"/>
            <w:tcBorders>
              <w:top w:val="nil"/>
              <w:left w:val="nil"/>
              <w:bottom w:val="nil"/>
              <w:right w:val="nil"/>
            </w:tcBorders>
            <w:vAlign w:val="bottom"/>
          </w:tcPr>
          <w:p w14:paraId="7719BA2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-2.765018</w:t>
            </w:r>
          </w:p>
        </w:tc>
        <w:tc>
          <w:tcPr>
            <w:tcW w:w="997" w:type="dxa"/>
            <w:tcBorders>
              <w:top w:val="nil"/>
              <w:left w:val="nil"/>
              <w:bottom w:val="nil"/>
              <w:right w:val="nil"/>
            </w:tcBorders>
            <w:vAlign w:val="bottom"/>
          </w:tcPr>
          <w:p w14:paraId="31077BF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0.0123</w:t>
            </w:r>
          </w:p>
        </w:tc>
      </w:tr>
      <w:tr w:rsidR="00832003" w14:paraId="6D6C756F" w14:textId="77777777" w:rsidTr="00B82BF5">
        <w:trPr>
          <w:trHeight w:val="225"/>
        </w:trPr>
        <w:tc>
          <w:tcPr>
            <w:tcW w:w="2227" w:type="dxa"/>
            <w:tcBorders>
              <w:top w:val="nil"/>
              <w:left w:val="nil"/>
              <w:bottom w:val="nil"/>
              <w:right w:val="nil"/>
            </w:tcBorders>
            <w:vAlign w:val="bottom"/>
          </w:tcPr>
          <w:p w14:paraId="40B9288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D(FSE)</w:t>
            </w:r>
          </w:p>
        </w:tc>
        <w:tc>
          <w:tcPr>
            <w:tcW w:w="1103" w:type="dxa"/>
            <w:tcBorders>
              <w:top w:val="nil"/>
              <w:left w:val="nil"/>
              <w:bottom w:val="nil"/>
              <w:right w:val="nil"/>
            </w:tcBorders>
            <w:vAlign w:val="bottom"/>
          </w:tcPr>
          <w:p w14:paraId="1A53FAE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0.002618</w:t>
            </w:r>
          </w:p>
        </w:tc>
        <w:tc>
          <w:tcPr>
            <w:tcW w:w="1207" w:type="dxa"/>
            <w:tcBorders>
              <w:top w:val="nil"/>
              <w:left w:val="nil"/>
              <w:bottom w:val="nil"/>
              <w:right w:val="nil"/>
            </w:tcBorders>
            <w:vAlign w:val="bottom"/>
          </w:tcPr>
          <w:p w14:paraId="22CCB361"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0.001178</w:t>
            </w:r>
          </w:p>
        </w:tc>
        <w:tc>
          <w:tcPr>
            <w:tcW w:w="1208" w:type="dxa"/>
            <w:tcBorders>
              <w:top w:val="nil"/>
              <w:left w:val="nil"/>
              <w:bottom w:val="nil"/>
              <w:right w:val="nil"/>
            </w:tcBorders>
            <w:vAlign w:val="bottom"/>
          </w:tcPr>
          <w:p w14:paraId="220A4CB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2.222071</w:t>
            </w:r>
          </w:p>
        </w:tc>
        <w:tc>
          <w:tcPr>
            <w:tcW w:w="997" w:type="dxa"/>
            <w:tcBorders>
              <w:top w:val="nil"/>
              <w:left w:val="nil"/>
              <w:bottom w:val="nil"/>
              <w:right w:val="nil"/>
            </w:tcBorders>
            <w:vAlign w:val="bottom"/>
          </w:tcPr>
          <w:p w14:paraId="002D85A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0.0386</w:t>
            </w:r>
          </w:p>
        </w:tc>
      </w:tr>
      <w:tr w:rsidR="00832003" w14:paraId="1ABA514E" w14:textId="77777777" w:rsidTr="00B82BF5">
        <w:trPr>
          <w:trHeight w:val="225"/>
        </w:trPr>
        <w:tc>
          <w:tcPr>
            <w:tcW w:w="2227" w:type="dxa"/>
            <w:tcBorders>
              <w:top w:val="nil"/>
              <w:left w:val="nil"/>
              <w:bottom w:val="nil"/>
              <w:right w:val="nil"/>
            </w:tcBorders>
            <w:vAlign w:val="bottom"/>
          </w:tcPr>
          <w:p w14:paraId="74E21E8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D(GPI)</w:t>
            </w:r>
          </w:p>
        </w:tc>
        <w:tc>
          <w:tcPr>
            <w:tcW w:w="1103" w:type="dxa"/>
            <w:tcBorders>
              <w:top w:val="nil"/>
              <w:left w:val="nil"/>
              <w:bottom w:val="nil"/>
              <w:right w:val="nil"/>
            </w:tcBorders>
            <w:vAlign w:val="bottom"/>
          </w:tcPr>
          <w:p w14:paraId="21B93AC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-0.112922</w:t>
            </w:r>
          </w:p>
        </w:tc>
        <w:tc>
          <w:tcPr>
            <w:tcW w:w="1207" w:type="dxa"/>
            <w:tcBorders>
              <w:top w:val="nil"/>
              <w:left w:val="nil"/>
              <w:bottom w:val="nil"/>
              <w:right w:val="nil"/>
            </w:tcBorders>
            <w:vAlign w:val="bottom"/>
          </w:tcPr>
          <w:p w14:paraId="5A104D70"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0.194236</w:t>
            </w:r>
          </w:p>
        </w:tc>
        <w:tc>
          <w:tcPr>
            <w:tcW w:w="1208" w:type="dxa"/>
            <w:tcBorders>
              <w:top w:val="nil"/>
              <w:left w:val="nil"/>
              <w:bottom w:val="nil"/>
              <w:right w:val="nil"/>
            </w:tcBorders>
            <w:vAlign w:val="bottom"/>
          </w:tcPr>
          <w:p w14:paraId="3E77B28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-0.581362</w:t>
            </w:r>
          </w:p>
        </w:tc>
        <w:tc>
          <w:tcPr>
            <w:tcW w:w="997" w:type="dxa"/>
            <w:tcBorders>
              <w:top w:val="nil"/>
              <w:left w:val="nil"/>
              <w:bottom w:val="nil"/>
              <w:right w:val="nil"/>
            </w:tcBorders>
            <w:vAlign w:val="bottom"/>
          </w:tcPr>
          <w:p w14:paraId="1108D40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0.5678</w:t>
            </w:r>
          </w:p>
        </w:tc>
      </w:tr>
      <w:tr w:rsidR="00832003" w14:paraId="4B6CB0BD" w14:textId="77777777" w:rsidTr="00B82BF5">
        <w:trPr>
          <w:trHeight w:val="225"/>
        </w:trPr>
        <w:tc>
          <w:tcPr>
            <w:tcW w:w="2227" w:type="dxa"/>
            <w:tcBorders>
              <w:top w:val="nil"/>
              <w:left w:val="nil"/>
              <w:bottom w:val="nil"/>
              <w:right w:val="nil"/>
            </w:tcBorders>
            <w:vAlign w:val="bottom"/>
          </w:tcPr>
          <w:p w14:paraId="78CDEB7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w:t>
            </w:r>
            <w:proofErr w:type="gramStart"/>
            <w:r>
              <w:rPr>
                <w:rFonts w:ascii="Arial" w:hAnsi="Arial" w:cs="Arial"/>
                <w:color w:val="000000"/>
                <w:kern w:val="0"/>
                <w:sz w:val="18"/>
                <w:szCs w:val="18"/>
              </w:rPr>
              <w:t>GPI(</w:t>
            </w:r>
            <w:proofErr w:type="gramEnd"/>
            <w:r>
              <w:rPr>
                <w:rFonts w:ascii="Arial" w:hAnsi="Arial" w:cs="Arial"/>
                <w:color w:val="000000"/>
                <w:kern w:val="0"/>
                <w:sz w:val="18"/>
                <w:szCs w:val="18"/>
              </w:rPr>
              <w:t>-1))</w:t>
            </w:r>
          </w:p>
        </w:tc>
        <w:tc>
          <w:tcPr>
            <w:tcW w:w="1103" w:type="dxa"/>
            <w:tcBorders>
              <w:top w:val="nil"/>
              <w:left w:val="nil"/>
              <w:bottom w:val="nil"/>
              <w:right w:val="nil"/>
            </w:tcBorders>
            <w:vAlign w:val="bottom"/>
          </w:tcPr>
          <w:p w14:paraId="0ECFDF3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0.609385</w:t>
            </w:r>
          </w:p>
        </w:tc>
        <w:tc>
          <w:tcPr>
            <w:tcW w:w="1207" w:type="dxa"/>
            <w:tcBorders>
              <w:top w:val="nil"/>
              <w:left w:val="nil"/>
              <w:bottom w:val="nil"/>
              <w:right w:val="nil"/>
            </w:tcBorders>
            <w:vAlign w:val="bottom"/>
          </w:tcPr>
          <w:p w14:paraId="57B25169"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0.209492</w:t>
            </w:r>
          </w:p>
        </w:tc>
        <w:tc>
          <w:tcPr>
            <w:tcW w:w="1208" w:type="dxa"/>
            <w:tcBorders>
              <w:top w:val="nil"/>
              <w:left w:val="nil"/>
              <w:bottom w:val="nil"/>
              <w:right w:val="nil"/>
            </w:tcBorders>
            <w:vAlign w:val="bottom"/>
          </w:tcPr>
          <w:p w14:paraId="6EEA179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2.908870</w:t>
            </w:r>
          </w:p>
        </w:tc>
        <w:tc>
          <w:tcPr>
            <w:tcW w:w="997" w:type="dxa"/>
            <w:tcBorders>
              <w:top w:val="nil"/>
              <w:left w:val="nil"/>
              <w:bottom w:val="nil"/>
              <w:right w:val="nil"/>
            </w:tcBorders>
            <w:vAlign w:val="bottom"/>
          </w:tcPr>
          <w:p w14:paraId="2597CBA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0.0090</w:t>
            </w:r>
          </w:p>
        </w:tc>
      </w:tr>
      <w:tr w:rsidR="00832003" w14:paraId="5636DF77" w14:textId="77777777" w:rsidTr="00B82BF5">
        <w:trPr>
          <w:trHeight w:val="225"/>
        </w:trPr>
        <w:tc>
          <w:tcPr>
            <w:tcW w:w="2227" w:type="dxa"/>
            <w:tcBorders>
              <w:top w:val="nil"/>
              <w:left w:val="nil"/>
              <w:bottom w:val="nil"/>
              <w:right w:val="nil"/>
            </w:tcBorders>
            <w:vAlign w:val="bottom"/>
          </w:tcPr>
          <w:p w14:paraId="23C5322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w:t>
            </w:r>
            <w:proofErr w:type="gramStart"/>
            <w:r>
              <w:rPr>
                <w:rFonts w:ascii="Arial" w:hAnsi="Arial" w:cs="Arial"/>
                <w:color w:val="000000"/>
                <w:kern w:val="0"/>
                <w:sz w:val="18"/>
                <w:szCs w:val="18"/>
              </w:rPr>
              <w:t>GPI(</w:t>
            </w:r>
            <w:proofErr w:type="gramEnd"/>
            <w:r>
              <w:rPr>
                <w:rFonts w:ascii="Arial" w:hAnsi="Arial" w:cs="Arial"/>
                <w:color w:val="000000"/>
                <w:kern w:val="0"/>
                <w:sz w:val="18"/>
                <w:szCs w:val="18"/>
              </w:rPr>
              <w:t>-2))</w:t>
            </w:r>
          </w:p>
        </w:tc>
        <w:tc>
          <w:tcPr>
            <w:tcW w:w="1103" w:type="dxa"/>
            <w:tcBorders>
              <w:top w:val="nil"/>
              <w:left w:val="nil"/>
              <w:bottom w:val="nil"/>
              <w:right w:val="nil"/>
            </w:tcBorders>
            <w:vAlign w:val="bottom"/>
          </w:tcPr>
          <w:p w14:paraId="5F21E6CC"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0.269189</w:t>
            </w:r>
          </w:p>
        </w:tc>
        <w:tc>
          <w:tcPr>
            <w:tcW w:w="1207" w:type="dxa"/>
            <w:tcBorders>
              <w:top w:val="nil"/>
              <w:left w:val="nil"/>
              <w:bottom w:val="nil"/>
              <w:right w:val="nil"/>
            </w:tcBorders>
            <w:vAlign w:val="bottom"/>
          </w:tcPr>
          <w:p w14:paraId="329FF7C7"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0.172794</w:t>
            </w:r>
          </w:p>
        </w:tc>
        <w:tc>
          <w:tcPr>
            <w:tcW w:w="1208" w:type="dxa"/>
            <w:tcBorders>
              <w:top w:val="nil"/>
              <w:left w:val="nil"/>
              <w:bottom w:val="nil"/>
              <w:right w:val="nil"/>
            </w:tcBorders>
            <w:vAlign w:val="bottom"/>
          </w:tcPr>
          <w:p w14:paraId="3DF154B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1.557865</w:t>
            </w:r>
          </w:p>
        </w:tc>
        <w:tc>
          <w:tcPr>
            <w:tcW w:w="997" w:type="dxa"/>
            <w:tcBorders>
              <w:top w:val="nil"/>
              <w:left w:val="nil"/>
              <w:bottom w:val="nil"/>
              <w:right w:val="nil"/>
            </w:tcBorders>
            <w:vAlign w:val="bottom"/>
          </w:tcPr>
          <w:p w14:paraId="6E4B34D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0.1358</w:t>
            </w:r>
          </w:p>
        </w:tc>
      </w:tr>
      <w:tr w:rsidR="00832003" w14:paraId="69D4C172" w14:textId="77777777" w:rsidTr="00B82BF5">
        <w:trPr>
          <w:trHeight w:val="225"/>
        </w:trPr>
        <w:tc>
          <w:tcPr>
            <w:tcW w:w="2227" w:type="dxa"/>
            <w:tcBorders>
              <w:top w:val="nil"/>
              <w:left w:val="nil"/>
              <w:bottom w:val="nil"/>
              <w:right w:val="nil"/>
            </w:tcBorders>
            <w:vAlign w:val="bottom"/>
          </w:tcPr>
          <w:p w14:paraId="1227BD7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bookmarkStart w:id="13" w:name="_Hlk204179357"/>
            <w:proofErr w:type="spellStart"/>
            <w:proofErr w:type="gramStart"/>
            <w:r>
              <w:rPr>
                <w:rFonts w:ascii="Arial" w:hAnsi="Arial" w:cs="Arial"/>
                <w:color w:val="000000"/>
                <w:kern w:val="0"/>
                <w:sz w:val="18"/>
                <w:szCs w:val="18"/>
              </w:rPr>
              <w:t>CointEq</w:t>
            </w:r>
            <w:bookmarkEnd w:id="13"/>
            <w:proofErr w:type="spellEnd"/>
            <w:r>
              <w:rPr>
                <w:rFonts w:ascii="Arial" w:hAnsi="Arial" w:cs="Arial"/>
                <w:color w:val="000000"/>
                <w:kern w:val="0"/>
                <w:sz w:val="18"/>
                <w:szCs w:val="18"/>
              </w:rPr>
              <w:t>(</w:t>
            </w:r>
            <w:proofErr w:type="gramEnd"/>
            <w:r>
              <w:rPr>
                <w:rFonts w:ascii="Arial" w:hAnsi="Arial" w:cs="Arial"/>
                <w:color w:val="000000"/>
                <w:kern w:val="0"/>
                <w:sz w:val="18"/>
                <w:szCs w:val="18"/>
              </w:rPr>
              <w:t>-1)*</w:t>
            </w:r>
          </w:p>
        </w:tc>
        <w:tc>
          <w:tcPr>
            <w:tcW w:w="1103" w:type="dxa"/>
            <w:tcBorders>
              <w:top w:val="nil"/>
              <w:left w:val="nil"/>
              <w:bottom w:val="nil"/>
              <w:right w:val="nil"/>
            </w:tcBorders>
            <w:vAlign w:val="bottom"/>
          </w:tcPr>
          <w:p w14:paraId="199C1A8E"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w:t>
            </w:r>
            <w:bookmarkStart w:id="14" w:name="_Hlk204179395"/>
            <w:r>
              <w:rPr>
                <w:rFonts w:ascii="Arial" w:hAnsi="Arial" w:cs="Arial"/>
                <w:color w:val="000000"/>
                <w:kern w:val="0"/>
                <w:sz w:val="18"/>
                <w:szCs w:val="18"/>
              </w:rPr>
              <w:t>190338</w:t>
            </w:r>
            <w:bookmarkEnd w:id="14"/>
          </w:p>
        </w:tc>
        <w:tc>
          <w:tcPr>
            <w:tcW w:w="1207" w:type="dxa"/>
            <w:tcBorders>
              <w:top w:val="nil"/>
              <w:left w:val="nil"/>
              <w:bottom w:val="nil"/>
              <w:right w:val="nil"/>
            </w:tcBorders>
            <w:vAlign w:val="bottom"/>
          </w:tcPr>
          <w:p w14:paraId="14B3866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0.021811</w:t>
            </w:r>
          </w:p>
        </w:tc>
        <w:tc>
          <w:tcPr>
            <w:tcW w:w="1208" w:type="dxa"/>
            <w:tcBorders>
              <w:top w:val="nil"/>
              <w:left w:val="nil"/>
              <w:bottom w:val="nil"/>
              <w:right w:val="nil"/>
            </w:tcBorders>
            <w:vAlign w:val="bottom"/>
          </w:tcPr>
          <w:p w14:paraId="463764C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-8.726825</w:t>
            </w:r>
          </w:p>
        </w:tc>
        <w:tc>
          <w:tcPr>
            <w:tcW w:w="997" w:type="dxa"/>
            <w:tcBorders>
              <w:top w:val="nil"/>
              <w:left w:val="nil"/>
              <w:bottom w:val="nil"/>
              <w:right w:val="nil"/>
            </w:tcBorders>
            <w:vAlign w:val="bottom"/>
          </w:tcPr>
          <w:p w14:paraId="5621CD7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0.0000</w:t>
            </w:r>
          </w:p>
        </w:tc>
      </w:tr>
    </w:tbl>
    <w:p w14:paraId="220E237C" w14:textId="77777777" w:rsidR="00832003" w:rsidRDefault="00832003" w:rsidP="00832003">
      <w:pPr>
        <w:spacing w:after="0" w:line="276" w:lineRule="auto"/>
        <w:ind w:left="2160" w:right="90" w:firstLine="720"/>
        <w:jc w:val="both"/>
        <w:rPr>
          <w:rFonts w:ascii="Arial" w:eastAsia="Calibri" w:hAnsi="Arial" w:cs="Arial"/>
          <w:b/>
          <w:kern w:val="0"/>
          <w:sz w:val="18"/>
          <w:szCs w:val="18"/>
          <w:lang w:eastAsia="en-US"/>
          <w14:ligatures w14:val="none"/>
        </w:rPr>
      </w:pPr>
      <w:r w:rsidRPr="001C300E">
        <w:rPr>
          <w:rFonts w:ascii="Calibri" w:eastAsia="Calibri" w:hAnsi="Calibri" w:cs="Times New Roman"/>
          <w:noProof/>
          <w:kern w:val="0"/>
          <w:lang w:eastAsia="en-US"/>
          <w14:ligatures w14:val="none"/>
        </w:rPr>
        <mc:AlternateContent>
          <mc:Choice Requires="wps">
            <w:drawing>
              <wp:anchor distT="0" distB="0" distL="114300" distR="114300" simplePos="0" relativeHeight="251661312" behindDoc="0" locked="0" layoutInCell="1" allowOverlap="1" wp14:anchorId="6F2A28F4" wp14:editId="3F720057">
                <wp:simplePos x="0" y="0"/>
                <wp:positionH relativeFrom="column">
                  <wp:posOffset>635</wp:posOffset>
                </wp:positionH>
                <wp:positionV relativeFrom="paragraph">
                  <wp:posOffset>855345</wp:posOffset>
                </wp:positionV>
                <wp:extent cx="4494530" cy="0"/>
                <wp:effectExtent l="0" t="0" r="0" b="0"/>
                <wp:wrapNone/>
                <wp:docPr id="121586590" name="Straight Connector 15"/>
                <wp:cNvGraphicFramePr/>
                <a:graphic xmlns:a="http://schemas.openxmlformats.org/drawingml/2006/main">
                  <a:graphicData uri="http://schemas.microsoft.com/office/word/2010/wordprocessingShape">
                    <wps:wsp>
                      <wps:cNvCnPr/>
                      <wps:spPr>
                        <a:xfrm>
                          <a:off x="0" y="0"/>
                          <a:ext cx="44945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6C5421"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7.35pt" to="353.9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gcswEAAFoDAAAOAAAAZHJzL2Uyb0RvYy54bWysU8tu2zAQvBfoPxC811Qct0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" strokecolor="windowText" strokeweight="1pt">
                <v:stroke joinstyle="miter"/>
              </v:line>
            </w:pict>
          </mc:Fallback>
        </mc:AlternateContent>
      </w:r>
      <w:r w:rsidRPr="001C300E">
        <w:rPr>
          <w:rFonts w:ascii="Calibri" w:eastAsia="Calibri" w:hAnsi="Calibri" w:cs="Times New Roman"/>
          <w:kern w:val="0"/>
          <w:lang w:eastAsia="en-US"/>
          <w14:ligatures w14:val="none"/>
        </w:rPr>
        <w:t xml:space="preserve">  </w:t>
      </w:r>
      <w:r w:rsidRPr="001C300E">
        <w:rPr>
          <w:rFonts w:ascii="Arial" w:eastAsia="Calibri" w:hAnsi="Arial" w:cs="Arial"/>
          <w:b/>
          <w:kern w:val="0"/>
          <w:sz w:val="18"/>
          <w:szCs w:val="18"/>
          <w:lang w:eastAsia="en-US"/>
          <w14:ligatures w14:val="none"/>
        </w:rPr>
        <w:t>Long run results</w:t>
      </w:r>
    </w:p>
    <w:tbl>
      <w:tblPr>
        <w:tblW w:w="0" w:type="auto"/>
        <w:tblInd w:w="30" w:type="dxa"/>
        <w:tblLayout w:type="fixed"/>
        <w:tblCellMar>
          <w:left w:w="0" w:type="dxa"/>
          <w:right w:w="0" w:type="dxa"/>
        </w:tblCellMar>
        <w:tblLook w:val="0000" w:firstRow="0" w:lastRow="0" w:firstColumn="0" w:lastColumn="0" w:noHBand="0" w:noVBand="0"/>
      </w:tblPr>
      <w:tblGrid>
        <w:gridCol w:w="2227"/>
        <w:gridCol w:w="1103"/>
        <w:gridCol w:w="1207"/>
        <w:gridCol w:w="1208"/>
        <w:gridCol w:w="997"/>
      </w:tblGrid>
      <w:tr w:rsidR="00832003" w14:paraId="1E0CBA7A" w14:textId="77777777" w:rsidTr="00B82BF5">
        <w:trPr>
          <w:trHeight w:val="225"/>
        </w:trPr>
        <w:tc>
          <w:tcPr>
            <w:tcW w:w="2227" w:type="dxa"/>
            <w:vAlign w:val="bottom"/>
          </w:tcPr>
          <w:p w14:paraId="1374033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Variable</w:t>
            </w:r>
          </w:p>
        </w:tc>
        <w:tc>
          <w:tcPr>
            <w:tcW w:w="1103" w:type="dxa"/>
            <w:vAlign w:val="bottom"/>
          </w:tcPr>
          <w:p w14:paraId="64AB630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Coefficient</w:t>
            </w:r>
          </w:p>
        </w:tc>
        <w:tc>
          <w:tcPr>
            <w:tcW w:w="1207" w:type="dxa"/>
            <w:vAlign w:val="bottom"/>
          </w:tcPr>
          <w:p w14:paraId="1E025FB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Std. Error</w:t>
            </w:r>
          </w:p>
        </w:tc>
        <w:tc>
          <w:tcPr>
            <w:tcW w:w="1208" w:type="dxa"/>
            <w:vAlign w:val="bottom"/>
          </w:tcPr>
          <w:p w14:paraId="5C1F4327"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t-Statistic</w:t>
            </w:r>
          </w:p>
        </w:tc>
        <w:tc>
          <w:tcPr>
            <w:tcW w:w="997" w:type="dxa"/>
            <w:vAlign w:val="bottom"/>
          </w:tcPr>
          <w:p w14:paraId="36600E2E"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Prob.   </w:t>
            </w:r>
          </w:p>
        </w:tc>
      </w:tr>
      <w:tr w:rsidR="00832003" w14:paraId="00D22445" w14:textId="77777777" w:rsidTr="00B82BF5">
        <w:trPr>
          <w:trHeight w:val="225"/>
        </w:trPr>
        <w:tc>
          <w:tcPr>
            <w:tcW w:w="2227" w:type="dxa"/>
            <w:vAlign w:val="bottom"/>
          </w:tcPr>
          <w:p w14:paraId="695AA3E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GEDU</w:t>
            </w:r>
          </w:p>
        </w:tc>
        <w:tc>
          <w:tcPr>
            <w:tcW w:w="1103" w:type="dxa"/>
            <w:vAlign w:val="bottom"/>
          </w:tcPr>
          <w:p w14:paraId="554E96A1"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0.132692</w:t>
            </w:r>
          </w:p>
        </w:tc>
        <w:tc>
          <w:tcPr>
            <w:tcW w:w="1207" w:type="dxa"/>
            <w:vAlign w:val="bottom"/>
          </w:tcPr>
          <w:p w14:paraId="42F583C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0.051258</w:t>
            </w:r>
          </w:p>
        </w:tc>
        <w:tc>
          <w:tcPr>
            <w:tcW w:w="1208" w:type="dxa"/>
            <w:vAlign w:val="bottom"/>
          </w:tcPr>
          <w:p w14:paraId="5FCDCC6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2.588685</w:t>
            </w:r>
          </w:p>
        </w:tc>
        <w:tc>
          <w:tcPr>
            <w:tcW w:w="997" w:type="dxa"/>
            <w:vAlign w:val="bottom"/>
          </w:tcPr>
          <w:p w14:paraId="7527541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0.0180</w:t>
            </w:r>
          </w:p>
        </w:tc>
      </w:tr>
      <w:tr w:rsidR="00832003" w14:paraId="30C6C09C" w14:textId="77777777" w:rsidTr="00B82BF5">
        <w:trPr>
          <w:trHeight w:val="225"/>
        </w:trPr>
        <w:tc>
          <w:tcPr>
            <w:tcW w:w="2227" w:type="dxa"/>
            <w:vAlign w:val="bottom"/>
          </w:tcPr>
          <w:p w14:paraId="18C60EC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FSE</w:t>
            </w:r>
          </w:p>
        </w:tc>
        <w:tc>
          <w:tcPr>
            <w:tcW w:w="1103" w:type="dxa"/>
            <w:vAlign w:val="bottom"/>
          </w:tcPr>
          <w:p w14:paraId="0132E75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0.026404</w:t>
            </w:r>
          </w:p>
        </w:tc>
        <w:tc>
          <w:tcPr>
            <w:tcW w:w="1207" w:type="dxa"/>
            <w:vAlign w:val="bottom"/>
          </w:tcPr>
          <w:p w14:paraId="18E1557A"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0.008098</w:t>
            </w:r>
          </w:p>
        </w:tc>
        <w:tc>
          <w:tcPr>
            <w:tcW w:w="1208" w:type="dxa"/>
            <w:vAlign w:val="bottom"/>
          </w:tcPr>
          <w:p w14:paraId="1798DDE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3.260458</w:t>
            </w:r>
          </w:p>
        </w:tc>
        <w:tc>
          <w:tcPr>
            <w:tcW w:w="997" w:type="dxa"/>
            <w:vAlign w:val="bottom"/>
          </w:tcPr>
          <w:p w14:paraId="5E85096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0.0041</w:t>
            </w:r>
          </w:p>
        </w:tc>
      </w:tr>
      <w:tr w:rsidR="00832003" w14:paraId="598EF47C" w14:textId="77777777" w:rsidTr="00B82BF5">
        <w:trPr>
          <w:trHeight w:val="225"/>
        </w:trPr>
        <w:tc>
          <w:tcPr>
            <w:tcW w:w="2227" w:type="dxa"/>
            <w:vAlign w:val="bottom"/>
          </w:tcPr>
          <w:p w14:paraId="53D7F4B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GPI</w:t>
            </w:r>
          </w:p>
        </w:tc>
        <w:tc>
          <w:tcPr>
            <w:tcW w:w="1103" w:type="dxa"/>
            <w:vAlign w:val="bottom"/>
          </w:tcPr>
          <w:p w14:paraId="1ED4EF39"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-4.331708</w:t>
            </w:r>
          </w:p>
        </w:tc>
        <w:tc>
          <w:tcPr>
            <w:tcW w:w="1207" w:type="dxa"/>
            <w:vAlign w:val="bottom"/>
          </w:tcPr>
          <w:p w14:paraId="69EA1B2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1.491000</w:t>
            </w:r>
          </w:p>
        </w:tc>
        <w:tc>
          <w:tcPr>
            <w:tcW w:w="1208" w:type="dxa"/>
            <w:vAlign w:val="bottom"/>
          </w:tcPr>
          <w:p w14:paraId="5520588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-2.905237</w:t>
            </w:r>
          </w:p>
        </w:tc>
        <w:tc>
          <w:tcPr>
            <w:tcW w:w="997" w:type="dxa"/>
            <w:vAlign w:val="bottom"/>
          </w:tcPr>
          <w:p w14:paraId="54F1C13C"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0.0091</w:t>
            </w:r>
          </w:p>
        </w:tc>
      </w:tr>
      <w:tr w:rsidR="00832003" w14:paraId="1812DBDB" w14:textId="77777777" w:rsidTr="00B82BF5">
        <w:trPr>
          <w:trHeight w:val="225"/>
        </w:trPr>
        <w:tc>
          <w:tcPr>
            <w:tcW w:w="2227" w:type="dxa"/>
            <w:vAlign w:val="bottom"/>
          </w:tcPr>
          <w:p w14:paraId="5C46232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C</w:t>
            </w:r>
          </w:p>
        </w:tc>
        <w:tc>
          <w:tcPr>
            <w:tcW w:w="1103" w:type="dxa"/>
            <w:vAlign w:val="bottom"/>
          </w:tcPr>
          <w:p w14:paraId="09BF241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10.06399</w:t>
            </w:r>
          </w:p>
        </w:tc>
        <w:tc>
          <w:tcPr>
            <w:tcW w:w="1207" w:type="dxa"/>
            <w:vAlign w:val="bottom"/>
          </w:tcPr>
          <w:p w14:paraId="04D7BA6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1.089795</w:t>
            </w:r>
          </w:p>
        </w:tc>
        <w:tc>
          <w:tcPr>
            <w:tcW w:w="1208" w:type="dxa"/>
            <w:vAlign w:val="bottom"/>
          </w:tcPr>
          <w:p w14:paraId="6315EE0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9.234759</w:t>
            </w:r>
          </w:p>
        </w:tc>
        <w:tc>
          <w:tcPr>
            <w:tcW w:w="997" w:type="dxa"/>
            <w:vAlign w:val="bottom"/>
          </w:tcPr>
          <w:p w14:paraId="5B599E1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0.0000</w:t>
            </w:r>
          </w:p>
        </w:tc>
      </w:tr>
    </w:tbl>
    <w:p w14:paraId="268931EF" w14:textId="77777777" w:rsidR="00832003" w:rsidRPr="001C300E" w:rsidRDefault="00832003" w:rsidP="00832003">
      <w:pPr>
        <w:tabs>
          <w:tab w:val="center" w:pos="742"/>
        </w:tabs>
        <w:spacing w:after="0" w:line="276" w:lineRule="auto"/>
        <w:ind w:right="90"/>
        <w:rPr>
          <w:rFonts w:ascii="Arial" w:eastAsia="Calibri" w:hAnsi="Arial" w:cs="Arial"/>
          <w:kern w:val="0"/>
          <w:sz w:val="18"/>
          <w:szCs w:val="18"/>
          <w:lang w:eastAsia="en-US"/>
          <w14:ligatures w14:val="none"/>
        </w:rPr>
      </w:pPr>
      <w:r w:rsidRPr="001C300E">
        <w:rPr>
          <w:rFonts w:ascii="Calibri" w:eastAsia="Calibri" w:hAnsi="Calibri" w:cs="Times New Roman"/>
          <w:noProof/>
          <w:kern w:val="0"/>
          <w:lang w:eastAsia="en-US"/>
          <w14:ligatures w14:val="none"/>
        </w:rPr>
        <w:lastRenderedPageBreak/>
        <mc:AlternateContent>
          <mc:Choice Requires="wps">
            <w:drawing>
              <wp:anchor distT="0" distB="0" distL="114300" distR="114300" simplePos="0" relativeHeight="251660288" behindDoc="0" locked="0" layoutInCell="1" allowOverlap="1" wp14:anchorId="1383F26F" wp14:editId="47F84438">
                <wp:simplePos x="0" y="0"/>
                <wp:positionH relativeFrom="column">
                  <wp:posOffset>-4445</wp:posOffset>
                </wp:positionH>
                <wp:positionV relativeFrom="paragraph">
                  <wp:posOffset>145888</wp:posOffset>
                </wp:positionV>
                <wp:extent cx="4494530" cy="0"/>
                <wp:effectExtent l="0" t="0" r="0" b="0"/>
                <wp:wrapNone/>
                <wp:docPr id="515089737" name="Straight Connector 15"/>
                <wp:cNvGraphicFramePr/>
                <a:graphic xmlns:a="http://schemas.openxmlformats.org/drawingml/2006/main">
                  <a:graphicData uri="http://schemas.microsoft.com/office/word/2010/wordprocessingShape">
                    <wps:wsp>
                      <wps:cNvCnPr/>
                      <wps:spPr>
                        <a:xfrm>
                          <a:off x="0" y="0"/>
                          <a:ext cx="44945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18084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5pt" to="35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gcswEAAFoDAAAOAAAAZHJzL2Uyb0RvYy54bWysU8tu2zAQvBfoPxC811Qct0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" strokecolor="windowText" strokeweight="1pt">
                <v:stroke joinstyle="miter"/>
              </v:line>
            </w:pict>
          </mc:Fallback>
        </mc:AlternateContent>
      </w:r>
      <w:r w:rsidRPr="001C300E">
        <w:rPr>
          <w:rFonts w:ascii="Arial" w:eastAsia="Calibri" w:hAnsi="Arial" w:cs="Arial"/>
          <w:kern w:val="0"/>
          <w:sz w:val="18"/>
          <w:szCs w:val="18"/>
          <w:lang w:eastAsia="en-US"/>
          <w14:ligatures w14:val="none"/>
        </w:rPr>
        <w:tab/>
        <w:t xml:space="preserve">R-squared </w:t>
      </w:r>
      <w:r w:rsidRPr="00C56DB4">
        <w:rPr>
          <w:rFonts w:ascii="Arial" w:eastAsia="Calibri" w:hAnsi="Arial" w:cs="Arial"/>
          <w:kern w:val="0"/>
          <w:sz w:val="18"/>
          <w:szCs w:val="18"/>
          <w:lang w:eastAsia="en-US"/>
          <w14:ligatures w14:val="none"/>
        </w:rPr>
        <w:t>0.789199</w:t>
      </w:r>
      <w:r w:rsidRPr="001C300E">
        <w:rPr>
          <w:rFonts w:ascii="Arial" w:eastAsia="Calibri" w:hAnsi="Arial" w:cs="Arial"/>
          <w:kern w:val="0"/>
          <w:sz w:val="18"/>
          <w:szCs w:val="18"/>
          <w:lang w:eastAsia="en-US"/>
          <w14:ligatures w14:val="none"/>
        </w:rPr>
        <w:t>;</w:t>
      </w:r>
      <w:r w:rsidRPr="001C300E">
        <w:rPr>
          <w:rFonts w:ascii="Arial" w:eastAsia="Calibri" w:hAnsi="Arial" w:cs="Arial"/>
          <w:kern w:val="0"/>
          <w:sz w:val="18"/>
          <w:szCs w:val="18"/>
          <w:lang w:eastAsia="en-US"/>
          <w14:ligatures w14:val="none"/>
        </w:rPr>
        <w:tab/>
        <w:t xml:space="preserve">Adjusted R-squared </w:t>
      </w:r>
      <w:r w:rsidRPr="000D58D4">
        <w:rPr>
          <w:rFonts w:ascii="Arial" w:eastAsia="Calibri" w:hAnsi="Arial" w:cs="Arial"/>
          <w:kern w:val="0"/>
          <w:sz w:val="18"/>
          <w:szCs w:val="18"/>
          <w:lang w:eastAsia="en-US"/>
          <w14:ligatures w14:val="none"/>
        </w:rPr>
        <w:t>0.725042</w:t>
      </w:r>
    </w:p>
    <w:p w14:paraId="434EFD68" w14:textId="41C9EA7F" w:rsidR="00832003" w:rsidRPr="005F4FCD" w:rsidRDefault="00832003" w:rsidP="005F4FCD">
      <w:pPr>
        <w:spacing w:after="200" w:line="480" w:lineRule="auto"/>
        <w:ind w:right="90"/>
        <w:rPr>
          <w:rFonts w:ascii="Times New Roman" w:eastAsia="Calibri" w:hAnsi="Times New Roman" w:cs="Times New Roman"/>
          <w:i/>
          <w:kern w:val="0"/>
          <w:lang w:eastAsia="en-US"/>
          <w14:ligatures w14:val="none"/>
        </w:rPr>
      </w:pPr>
      <w:r w:rsidRPr="001C300E">
        <w:rPr>
          <w:rFonts w:ascii="Times New Roman" w:eastAsia="Calibri" w:hAnsi="Times New Roman" w:cs="Times New Roman"/>
          <w:i/>
          <w:kern w:val="0"/>
          <w:sz w:val="20"/>
          <w:lang w:eastAsia="en-US"/>
          <w14:ligatures w14:val="none"/>
        </w:rPr>
        <w:t xml:space="preserve">Source: </w:t>
      </w:r>
      <w:r w:rsidRPr="006B7E26">
        <w:rPr>
          <w:rFonts w:ascii="Times New Roman" w:eastAsia="Calibri" w:hAnsi="Times New Roman" w:cs="Times New Roman"/>
          <w:i/>
          <w:kern w:val="0"/>
          <w:sz w:val="20"/>
          <w:szCs w:val="20"/>
          <w:lang w:eastAsia="en-US"/>
          <w14:ligatures w14:val="none"/>
        </w:rPr>
        <w:t xml:space="preserve">Researcher’s computation using </w:t>
      </w:r>
      <w:proofErr w:type="spellStart"/>
      <w:r w:rsidRPr="006B7E26">
        <w:rPr>
          <w:rFonts w:ascii="Times New Roman" w:eastAsia="Calibri" w:hAnsi="Times New Roman" w:cs="Times New Roman"/>
          <w:i/>
          <w:kern w:val="0"/>
          <w:sz w:val="20"/>
          <w:szCs w:val="20"/>
          <w:lang w:eastAsia="en-US"/>
          <w14:ligatures w14:val="none"/>
        </w:rPr>
        <w:t>Eviews</w:t>
      </w:r>
      <w:proofErr w:type="spellEnd"/>
      <w:r w:rsidRPr="006B7E26">
        <w:rPr>
          <w:rFonts w:ascii="Times New Roman" w:eastAsia="Calibri" w:hAnsi="Times New Roman" w:cs="Times New Roman"/>
          <w:i/>
          <w:kern w:val="0"/>
          <w:sz w:val="20"/>
          <w:szCs w:val="20"/>
          <w:lang w:eastAsia="en-US"/>
          <w14:ligatures w14:val="none"/>
        </w:rPr>
        <w:t xml:space="preserve"> 12.</w:t>
      </w:r>
      <w:bookmarkEnd w:id="11"/>
      <w:bookmarkEnd w:id="12"/>
    </w:p>
    <w:p w14:paraId="485C692E" w14:textId="1B7815F6" w:rsidR="00832003" w:rsidRPr="00A614CB" w:rsidRDefault="00BC7BD2" w:rsidP="00832003">
      <w:pPr>
        <w:spacing w:after="0" w:line="360" w:lineRule="auto"/>
        <w:ind w:right="90"/>
        <w:jc w:val="both"/>
        <w:rPr>
          <w:rFonts w:ascii="Times New Roman" w:hAnsi="Times New Roman" w:cs="Times New Roman"/>
          <w:b/>
        </w:rPr>
      </w:pPr>
      <w:r>
        <w:rPr>
          <w:rFonts w:ascii="Times New Roman" w:hAnsi="Times New Roman" w:cs="Times New Roman"/>
          <w:b/>
          <w:bCs/>
        </w:rPr>
        <w:t xml:space="preserve">4.5 </w:t>
      </w:r>
      <w:r w:rsidR="00832003" w:rsidRPr="00930DCE">
        <w:rPr>
          <w:rFonts w:ascii="Times New Roman" w:hAnsi="Times New Roman" w:cs="Times New Roman"/>
          <w:b/>
        </w:rPr>
        <w:t xml:space="preserve">Residual </w:t>
      </w:r>
      <w:r w:rsidR="0054067A">
        <w:rPr>
          <w:rFonts w:ascii="Times New Roman" w:hAnsi="Times New Roman" w:cs="Times New Roman"/>
          <w:b/>
        </w:rPr>
        <w:t>D</w:t>
      </w:r>
      <w:r w:rsidR="00832003" w:rsidRPr="00930DCE">
        <w:rPr>
          <w:rFonts w:ascii="Times New Roman" w:hAnsi="Times New Roman" w:cs="Times New Roman"/>
          <w:b/>
        </w:rPr>
        <w:t xml:space="preserve">iagnostic </w:t>
      </w:r>
      <w:r w:rsidR="00832003" w:rsidRPr="00A614CB">
        <w:rPr>
          <w:rFonts w:ascii="Times New Roman" w:hAnsi="Times New Roman" w:cs="Times New Roman"/>
          <w:b/>
        </w:rPr>
        <w:t>Tests</w:t>
      </w:r>
    </w:p>
    <w:p w14:paraId="1C3BE0DB" w14:textId="23A36686" w:rsidR="00832003" w:rsidRDefault="005C70DB" w:rsidP="00832003">
      <w:pPr>
        <w:spacing w:line="360" w:lineRule="auto"/>
        <w:ind w:right="90"/>
        <w:jc w:val="both"/>
        <w:rPr>
          <w:rFonts w:ascii="Times New Roman" w:hAnsi="Times New Roman" w:cs="Times New Roman"/>
          <w:b/>
          <w:bCs/>
        </w:rPr>
      </w:pPr>
      <w:bookmarkStart w:id="15" w:name="_Hlk178686119"/>
      <w:r>
        <w:rPr>
          <w:rFonts w:ascii="Times New Roman" w:hAnsi="Times New Roman" w:cs="Times New Roman"/>
          <w:b/>
          <w:bCs/>
        </w:rPr>
        <w:t xml:space="preserve">4.5.1 </w:t>
      </w:r>
      <w:r w:rsidR="005F4FCD" w:rsidRPr="005F4FCD">
        <w:rPr>
          <w:rFonts w:ascii="Times New Roman" w:hAnsi="Times New Roman" w:cs="Times New Roman"/>
          <w:b/>
          <w:bCs/>
        </w:rPr>
        <w:t>Breusch-Godfrey Serial Correlation LM Test</w:t>
      </w:r>
    </w:p>
    <w:p w14:paraId="2CF1F16B" w14:textId="58C75496" w:rsidR="009B5032" w:rsidRPr="009B5032" w:rsidRDefault="006B5A71" w:rsidP="00D97E53">
      <w:pPr>
        <w:spacing w:after="240" w:line="480" w:lineRule="auto"/>
        <w:jc w:val="both"/>
        <w:rPr>
          <w:rFonts w:ascii="Times New Roman" w:hAnsi="Times New Roman" w:cs="Times New Roman"/>
        </w:rPr>
      </w:pPr>
      <w:r>
        <w:rPr>
          <w:rFonts w:ascii="Times New Roman" w:hAnsi="Times New Roman" w:cs="Times New Roman"/>
        </w:rPr>
        <w:t>T</w:t>
      </w:r>
      <w:r w:rsidR="00D97E53" w:rsidRPr="004C48B4">
        <w:rPr>
          <w:rFonts w:ascii="Times New Roman" w:hAnsi="Times New Roman" w:cs="Times New Roman"/>
        </w:rPr>
        <w:t xml:space="preserve">he </w:t>
      </w:r>
      <w:r>
        <w:rPr>
          <w:rFonts w:ascii="Times New Roman" w:hAnsi="Times New Roman" w:cs="Times New Roman"/>
        </w:rPr>
        <w:t xml:space="preserve">results of </w:t>
      </w:r>
      <w:r w:rsidRPr="006B5A71">
        <w:rPr>
          <w:rFonts w:ascii="Times New Roman" w:hAnsi="Times New Roman" w:cs="Times New Roman"/>
        </w:rPr>
        <w:t>Breusch-Godfrey Serial Correlation LM Test</w:t>
      </w:r>
      <w:r>
        <w:rPr>
          <w:rFonts w:ascii="Times New Roman" w:hAnsi="Times New Roman" w:cs="Times New Roman"/>
        </w:rPr>
        <w:t xml:space="preserve"> in table 5 shows </w:t>
      </w:r>
      <w:r w:rsidR="00D97E53" w:rsidRPr="004C48B4">
        <w:rPr>
          <w:rFonts w:ascii="Times New Roman" w:hAnsi="Times New Roman" w:cs="Times New Roman"/>
        </w:rPr>
        <w:t xml:space="preserve">F-statistic </w:t>
      </w:r>
      <w:r>
        <w:rPr>
          <w:rFonts w:ascii="Times New Roman" w:hAnsi="Times New Roman" w:cs="Times New Roman"/>
        </w:rPr>
        <w:t>value of</w:t>
      </w:r>
      <w:r w:rsidR="00D97E53" w:rsidRPr="004C48B4">
        <w:rPr>
          <w:rFonts w:ascii="Times New Roman" w:hAnsi="Times New Roman" w:cs="Times New Roman"/>
        </w:rPr>
        <w:t xml:space="preserve"> 0.078311, with a corresponding probability value (Prob. F) of 0.9250. Since the p-value exceeds the conventional significance threshold of 0.05, we fail to reject the null hypothesis of no serial correlation. Similarly, the </w:t>
      </w:r>
      <w:proofErr w:type="spellStart"/>
      <w:r w:rsidR="00D97E53" w:rsidRPr="004C48B4">
        <w:rPr>
          <w:rFonts w:ascii="Times New Roman" w:hAnsi="Times New Roman" w:cs="Times New Roman"/>
        </w:rPr>
        <w:t>Obs</w:t>
      </w:r>
      <w:proofErr w:type="spellEnd"/>
      <w:r w:rsidR="00D97E53" w:rsidRPr="004C48B4">
        <w:rPr>
          <w:rFonts w:ascii="Times New Roman" w:hAnsi="Times New Roman" w:cs="Times New Roman"/>
        </w:rPr>
        <w:t>*R-squared statistic is 0.282998, with an associated p-value of 0.8681, which further supports the absence of serial correlation in the residuals. These results indicate that the model does not suffer from serial correlation issues, thereby enhancing the reliability of the estimated coefficients and supporting the model’s validity over time</w:t>
      </w:r>
      <w:r w:rsidR="00D97E53" w:rsidRPr="0033300A">
        <w:rPr>
          <w:rFonts w:ascii="Times New Roman" w:hAnsi="Times New Roman" w:cs="Times New Roman"/>
        </w:rPr>
        <w:t>.</w:t>
      </w:r>
    </w:p>
    <w:tbl>
      <w:tblPr>
        <w:tblW w:w="0" w:type="auto"/>
        <w:tblLayout w:type="fixed"/>
        <w:tblCellMar>
          <w:left w:w="0" w:type="dxa"/>
          <w:right w:w="0" w:type="dxa"/>
        </w:tblCellMar>
        <w:tblLook w:val="0000" w:firstRow="0" w:lastRow="0" w:firstColumn="0" w:lastColumn="0" w:noHBand="0" w:noVBand="0"/>
      </w:tblPr>
      <w:tblGrid>
        <w:gridCol w:w="30"/>
        <w:gridCol w:w="2017"/>
        <w:gridCol w:w="1103"/>
        <w:gridCol w:w="1207"/>
        <w:gridCol w:w="1208"/>
        <w:gridCol w:w="997"/>
      </w:tblGrid>
      <w:tr w:rsidR="00832003" w:rsidRPr="00864BEA" w14:paraId="5F9A8E0E" w14:textId="77777777" w:rsidTr="00B82BF5">
        <w:trPr>
          <w:gridBefore w:val="1"/>
          <w:wBefore w:w="30" w:type="dxa"/>
          <w:trHeight w:val="225"/>
        </w:trPr>
        <w:tc>
          <w:tcPr>
            <w:tcW w:w="5535" w:type="dxa"/>
            <w:gridSpan w:val="4"/>
            <w:tcBorders>
              <w:top w:val="nil"/>
              <w:left w:val="nil"/>
              <w:bottom w:val="nil"/>
              <w:right w:val="nil"/>
            </w:tcBorders>
            <w:vAlign w:val="bottom"/>
          </w:tcPr>
          <w:p w14:paraId="402DEE8D" w14:textId="4FEBCD93" w:rsidR="00832003" w:rsidRPr="009B5032" w:rsidRDefault="00832003" w:rsidP="009B5032">
            <w:pPr>
              <w:autoSpaceDE w:val="0"/>
              <w:autoSpaceDN w:val="0"/>
              <w:adjustRightInd w:val="0"/>
              <w:spacing w:after="0" w:line="240" w:lineRule="auto"/>
              <w:ind w:right="90"/>
              <w:jc w:val="both"/>
              <w:rPr>
                <w:rFonts w:ascii="Times New Roman" w:hAnsi="Times New Roman" w:cs="Times New Roman"/>
                <w:b/>
                <w:bCs/>
                <w:sz w:val="18"/>
                <w:szCs w:val="18"/>
              </w:rPr>
            </w:pPr>
            <w:r w:rsidRPr="009B5032">
              <w:rPr>
                <w:rFonts w:ascii="Times New Roman" w:hAnsi="Times New Roman" w:cs="Times New Roman"/>
                <w:b/>
                <w:bCs/>
              </w:rPr>
              <w:t>Table 5: Breusch-Godfrey Serial Correlation LM</w:t>
            </w:r>
            <w:r w:rsidR="009B5032">
              <w:rPr>
                <w:rFonts w:ascii="Times New Roman" w:hAnsi="Times New Roman" w:cs="Times New Roman"/>
                <w:b/>
                <w:bCs/>
              </w:rPr>
              <w:t xml:space="preserve"> </w:t>
            </w:r>
            <w:r w:rsidRPr="009B5032">
              <w:rPr>
                <w:rFonts w:ascii="Times New Roman" w:hAnsi="Times New Roman" w:cs="Times New Roman"/>
                <w:b/>
                <w:bCs/>
              </w:rPr>
              <w:t>Test:</w:t>
            </w:r>
          </w:p>
        </w:tc>
        <w:tc>
          <w:tcPr>
            <w:tcW w:w="997" w:type="dxa"/>
            <w:tcBorders>
              <w:top w:val="nil"/>
              <w:left w:val="nil"/>
              <w:bottom w:val="nil"/>
              <w:right w:val="nil"/>
            </w:tcBorders>
            <w:vAlign w:val="bottom"/>
          </w:tcPr>
          <w:p w14:paraId="3D256B84" w14:textId="77777777" w:rsidR="00832003" w:rsidRPr="00864BEA" w:rsidRDefault="00832003" w:rsidP="009B5032">
            <w:pPr>
              <w:autoSpaceDE w:val="0"/>
              <w:autoSpaceDN w:val="0"/>
              <w:adjustRightInd w:val="0"/>
              <w:spacing w:after="0" w:line="240" w:lineRule="auto"/>
              <w:ind w:right="90"/>
              <w:rPr>
                <w:rFonts w:ascii="Arial" w:hAnsi="Arial" w:cs="Arial"/>
                <w:sz w:val="18"/>
                <w:szCs w:val="18"/>
              </w:rPr>
            </w:pPr>
          </w:p>
        </w:tc>
      </w:tr>
      <w:tr w:rsidR="00832003" w14:paraId="515E677C" w14:textId="77777777" w:rsidTr="00B82BF5">
        <w:trPr>
          <w:trHeight w:hRule="exact" w:val="90"/>
        </w:trPr>
        <w:tc>
          <w:tcPr>
            <w:tcW w:w="2047" w:type="dxa"/>
            <w:gridSpan w:val="2"/>
            <w:tcBorders>
              <w:top w:val="nil"/>
              <w:left w:val="nil"/>
              <w:bottom w:val="double" w:sz="6" w:space="2" w:color="auto"/>
              <w:right w:val="nil"/>
            </w:tcBorders>
            <w:vAlign w:val="bottom"/>
          </w:tcPr>
          <w:p w14:paraId="47488687"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double" w:sz="6" w:space="2" w:color="auto"/>
              <w:right w:val="nil"/>
            </w:tcBorders>
            <w:vAlign w:val="bottom"/>
          </w:tcPr>
          <w:p w14:paraId="445DC1E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double" w:sz="6" w:space="2" w:color="auto"/>
              <w:right w:val="nil"/>
            </w:tcBorders>
            <w:vAlign w:val="bottom"/>
          </w:tcPr>
          <w:p w14:paraId="5BE4CB7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double" w:sz="6" w:space="2" w:color="auto"/>
              <w:right w:val="nil"/>
            </w:tcBorders>
            <w:vAlign w:val="bottom"/>
          </w:tcPr>
          <w:p w14:paraId="735E09B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double" w:sz="6" w:space="2" w:color="auto"/>
              <w:right w:val="nil"/>
            </w:tcBorders>
            <w:vAlign w:val="bottom"/>
          </w:tcPr>
          <w:p w14:paraId="79A8876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71243D96" w14:textId="77777777" w:rsidTr="00B82BF5">
        <w:trPr>
          <w:trHeight w:hRule="exact" w:val="135"/>
        </w:trPr>
        <w:tc>
          <w:tcPr>
            <w:tcW w:w="2047" w:type="dxa"/>
            <w:gridSpan w:val="2"/>
            <w:tcBorders>
              <w:top w:val="nil"/>
              <w:left w:val="nil"/>
              <w:bottom w:val="nil"/>
              <w:right w:val="nil"/>
            </w:tcBorders>
            <w:vAlign w:val="bottom"/>
          </w:tcPr>
          <w:p w14:paraId="2DB4D26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nil"/>
              <w:right w:val="nil"/>
            </w:tcBorders>
            <w:vAlign w:val="bottom"/>
          </w:tcPr>
          <w:p w14:paraId="0CF8381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nil"/>
              <w:right w:val="nil"/>
            </w:tcBorders>
            <w:vAlign w:val="bottom"/>
          </w:tcPr>
          <w:p w14:paraId="298BDA0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nil"/>
              <w:right w:val="nil"/>
            </w:tcBorders>
            <w:vAlign w:val="bottom"/>
          </w:tcPr>
          <w:p w14:paraId="753880C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nil"/>
              <w:right w:val="nil"/>
            </w:tcBorders>
            <w:vAlign w:val="bottom"/>
          </w:tcPr>
          <w:p w14:paraId="13B0652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695B40A4" w14:textId="77777777" w:rsidTr="00B82BF5">
        <w:trPr>
          <w:trHeight w:val="225"/>
        </w:trPr>
        <w:tc>
          <w:tcPr>
            <w:tcW w:w="2047" w:type="dxa"/>
            <w:gridSpan w:val="2"/>
            <w:tcBorders>
              <w:top w:val="nil"/>
              <w:left w:val="nil"/>
              <w:bottom w:val="nil"/>
              <w:right w:val="nil"/>
            </w:tcBorders>
            <w:vAlign w:val="bottom"/>
          </w:tcPr>
          <w:p w14:paraId="165B8FD7"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F-statistic</w:t>
            </w:r>
          </w:p>
        </w:tc>
        <w:tc>
          <w:tcPr>
            <w:tcW w:w="1103" w:type="dxa"/>
            <w:tcBorders>
              <w:top w:val="nil"/>
              <w:left w:val="nil"/>
              <w:bottom w:val="nil"/>
              <w:right w:val="nil"/>
            </w:tcBorders>
            <w:vAlign w:val="bottom"/>
          </w:tcPr>
          <w:p w14:paraId="51A9F7C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0.078311</w:t>
            </w:r>
          </w:p>
        </w:tc>
        <w:tc>
          <w:tcPr>
            <w:tcW w:w="2415" w:type="dxa"/>
            <w:gridSpan w:val="2"/>
            <w:tcBorders>
              <w:top w:val="nil"/>
              <w:left w:val="nil"/>
              <w:bottom w:val="nil"/>
              <w:right w:val="nil"/>
            </w:tcBorders>
            <w:vAlign w:val="bottom"/>
          </w:tcPr>
          <w:p w14:paraId="0092A05A"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xml:space="preserve">    Prob. </w:t>
            </w:r>
            <w:proofErr w:type="gramStart"/>
            <w:r>
              <w:rPr>
                <w:rFonts w:ascii="Arial" w:hAnsi="Arial" w:cs="Arial"/>
                <w:color w:val="000000"/>
                <w:kern w:val="0"/>
                <w:sz w:val="18"/>
                <w:szCs w:val="18"/>
              </w:rPr>
              <w:t>F(</w:t>
            </w:r>
            <w:proofErr w:type="gramEnd"/>
            <w:r>
              <w:rPr>
                <w:rFonts w:ascii="Arial" w:hAnsi="Arial" w:cs="Arial"/>
                <w:color w:val="000000"/>
                <w:kern w:val="0"/>
                <w:sz w:val="18"/>
                <w:szCs w:val="18"/>
              </w:rPr>
              <w:t>2,17)</w:t>
            </w:r>
          </w:p>
        </w:tc>
        <w:tc>
          <w:tcPr>
            <w:tcW w:w="997" w:type="dxa"/>
            <w:tcBorders>
              <w:top w:val="nil"/>
              <w:left w:val="nil"/>
              <w:bottom w:val="nil"/>
              <w:right w:val="nil"/>
            </w:tcBorders>
            <w:vAlign w:val="bottom"/>
          </w:tcPr>
          <w:p w14:paraId="141E4C21"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0.9250</w:t>
            </w:r>
          </w:p>
        </w:tc>
      </w:tr>
      <w:tr w:rsidR="00832003" w14:paraId="1C0C333A" w14:textId="77777777" w:rsidTr="00B82BF5">
        <w:trPr>
          <w:trHeight w:val="225"/>
        </w:trPr>
        <w:tc>
          <w:tcPr>
            <w:tcW w:w="2047" w:type="dxa"/>
            <w:gridSpan w:val="2"/>
            <w:tcBorders>
              <w:top w:val="nil"/>
              <w:left w:val="nil"/>
              <w:bottom w:val="nil"/>
              <w:right w:val="nil"/>
            </w:tcBorders>
            <w:vAlign w:val="bottom"/>
          </w:tcPr>
          <w:p w14:paraId="6CCBB0D3"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proofErr w:type="spellStart"/>
            <w:r>
              <w:rPr>
                <w:rFonts w:ascii="Arial" w:hAnsi="Arial" w:cs="Arial"/>
                <w:color w:val="000000"/>
                <w:kern w:val="0"/>
                <w:sz w:val="18"/>
                <w:szCs w:val="18"/>
              </w:rPr>
              <w:t>Obs</w:t>
            </w:r>
            <w:proofErr w:type="spellEnd"/>
            <w:r>
              <w:rPr>
                <w:rFonts w:ascii="Arial" w:hAnsi="Arial" w:cs="Arial"/>
                <w:color w:val="000000"/>
                <w:kern w:val="0"/>
                <w:sz w:val="18"/>
                <w:szCs w:val="18"/>
              </w:rPr>
              <w:t>*R-squared</w:t>
            </w:r>
          </w:p>
        </w:tc>
        <w:tc>
          <w:tcPr>
            <w:tcW w:w="1103" w:type="dxa"/>
            <w:tcBorders>
              <w:top w:val="nil"/>
              <w:left w:val="nil"/>
              <w:bottom w:val="nil"/>
              <w:right w:val="nil"/>
            </w:tcBorders>
            <w:vAlign w:val="bottom"/>
          </w:tcPr>
          <w:p w14:paraId="5D4B7DB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0.282998</w:t>
            </w:r>
          </w:p>
        </w:tc>
        <w:tc>
          <w:tcPr>
            <w:tcW w:w="2415" w:type="dxa"/>
            <w:gridSpan w:val="2"/>
            <w:tcBorders>
              <w:top w:val="nil"/>
              <w:left w:val="nil"/>
              <w:bottom w:val="nil"/>
              <w:right w:val="nil"/>
            </w:tcBorders>
            <w:vAlign w:val="bottom"/>
          </w:tcPr>
          <w:p w14:paraId="3421F6FF"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Prob. Chi-</w:t>
            </w:r>
            <w:proofErr w:type="gramStart"/>
            <w:r>
              <w:rPr>
                <w:rFonts w:ascii="Arial" w:hAnsi="Arial" w:cs="Arial"/>
                <w:color w:val="000000"/>
                <w:kern w:val="0"/>
                <w:sz w:val="18"/>
                <w:szCs w:val="18"/>
              </w:rPr>
              <w:t>Square(</w:t>
            </w:r>
            <w:proofErr w:type="gramEnd"/>
            <w:r>
              <w:rPr>
                <w:rFonts w:ascii="Arial" w:hAnsi="Arial" w:cs="Arial"/>
                <w:color w:val="000000"/>
                <w:kern w:val="0"/>
                <w:sz w:val="18"/>
                <w:szCs w:val="18"/>
              </w:rPr>
              <w:t>2)</w:t>
            </w:r>
          </w:p>
        </w:tc>
        <w:tc>
          <w:tcPr>
            <w:tcW w:w="997" w:type="dxa"/>
            <w:tcBorders>
              <w:top w:val="nil"/>
              <w:left w:val="nil"/>
              <w:bottom w:val="nil"/>
              <w:right w:val="nil"/>
            </w:tcBorders>
            <w:vAlign w:val="bottom"/>
          </w:tcPr>
          <w:p w14:paraId="160D6C9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0.8681</w:t>
            </w:r>
          </w:p>
        </w:tc>
      </w:tr>
      <w:tr w:rsidR="00832003" w14:paraId="409A0056" w14:textId="77777777" w:rsidTr="00B82BF5">
        <w:trPr>
          <w:trHeight w:hRule="exact" w:val="90"/>
        </w:trPr>
        <w:tc>
          <w:tcPr>
            <w:tcW w:w="2047" w:type="dxa"/>
            <w:gridSpan w:val="2"/>
            <w:tcBorders>
              <w:top w:val="nil"/>
              <w:left w:val="nil"/>
              <w:bottom w:val="double" w:sz="6" w:space="2" w:color="auto"/>
              <w:right w:val="nil"/>
            </w:tcBorders>
            <w:vAlign w:val="bottom"/>
          </w:tcPr>
          <w:p w14:paraId="1B16056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double" w:sz="6" w:space="2" w:color="auto"/>
              <w:right w:val="nil"/>
            </w:tcBorders>
            <w:vAlign w:val="bottom"/>
          </w:tcPr>
          <w:p w14:paraId="36D9DEE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double" w:sz="6" w:space="2" w:color="auto"/>
              <w:right w:val="nil"/>
            </w:tcBorders>
            <w:vAlign w:val="bottom"/>
          </w:tcPr>
          <w:p w14:paraId="5F498E1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double" w:sz="6" w:space="2" w:color="auto"/>
              <w:right w:val="nil"/>
            </w:tcBorders>
            <w:vAlign w:val="bottom"/>
          </w:tcPr>
          <w:p w14:paraId="23DC4B4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double" w:sz="6" w:space="2" w:color="auto"/>
              <w:right w:val="nil"/>
            </w:tcBorders>
            <w:vAlign w:val="bottom"/>
          </w:tcPr>
          <w:p w14:paraId="55412E4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64A5A93E" w14:textId="77777777" w:rsidTr="00B82BF5">
        <w:trPr>
          <w:trHeight w:hRule="exact" w:val="135"/>
        </w:trPr>
        <w:tc>
          <w:tcPr>
            <w:tcW w:w="2047" w:type="dxa"/>
            <w:gridSpan w:val="2"/>
            <w:tcBorders>
              <w:top w:val="nil"/>
              <w:left w:val="nil"/>
              <w:bottom w:val="nil"/>
              <w:right w:val="nil"/>
            </w:tcBorders>
            <w:vAlign w:val="bottom"/>
          </w:tcPr>
          <w:p w14:paraId="6F0BBE3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nil"/>
              <w:right w:val="nil"/>
            </w:tcBorders>
            <w:vAlign w:val="bottom"/>
          </w:tcPr>
          <w:p w14:paraId="308CBE5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nil"/>
              <w:right w:val="nil"/>
            </w:tcBorders>
            <w:vAlign w:val="bottom"/>
          </w:tcPr>
          <w:p w14:paraId="226FB7C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nil"/>
              <w:right w:val="nil"/>
            </w:tcBorders>
            <w:vAlign w:val="bottom"/>
          </w:tcPr>
          <w:p w14:paraId="32EAE7E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nil"/>
              <w:right w:val="nil"/>
            </w:tcBorders>
            <w:vAlign w:val="bottom"/>
          </w:tcPr>
          <w:p w14:paraId="78D0284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bl>
    <w:p w14:paraId="425AA922" w14:textId="77777777" w:rsidR="00832003" w:rsidRPr="00C56221" w:rsidRDefault="00832003" w:rsidP="00832003">
      <w:pPr>
        <w:spacing w:line="360" w:lineRule="auto"/>
        <w:ind w:right="90"/>
        <w:jc w:val="both"/>
        <w:rPr>
          <w:rFonts w:ascii="Times New Roman" w:eastAsia="Calibri" w:hAnsi="Times New Roman"/>
          <w:b/>
          <w:bCs/>
          <w:sz w:val="28"/>
          <w:szCs w:val="28"/>
        </w:rPr>
      </w:pPr>
      <w:r w:rsidRPr="00C56221">
        <w:rPr>
          <w:rFonts w:ascii="Times New Roman" w:hAnsi="Times New Roman" w:cs="Times New Roman"/>
          <w:i/>
          <w:sz w:val="20"/>
          <w:szCs w:val="28"/>
        </w:rPr>
        <w:t xml:space="preserve">Source: Researcher’s computation using </w:t>
      </w:r>
      <w:proofErr w:type="spellStart"/>
      <w:r w:rsidRPr="00C56221">
        <w:rPr>
          <w:rFonts w:ascii="Times New Roman" w:hAnsi="Times New Roman" w:cs="Times New Roman"/>
          <w:i/>
          <w:sz w:val="20"/>
          <w:szCs w:val="28"/>
        </w:rPr>
        <w:t>Eviews</w:t>
      </w:r>
      <w:proofErr w:type="spellEnd"/>
      <w:r>
        <w:rPr>
          <w:rFonts w:ascii="Times New Roman" w:hAnsi="Times New Roman" w:cs="Times New Roman"/>
          <w:i/>
          <w:sz w:val="20"/>
          <w:szCs w:val="28"/>
        </w:rPr>
        <w:t xml:space="preserve"> </w:t>
      </w:r>
      <w:r w:rsidRPr="00C56221">
        <w:rPr>
          <w:rFonts w:ascii="Times New Roman" w:hAnsi="Times New Roman" w:cs="Times New Roman"/>
          <w:i/>
          <w:sz w:val="20"/>
          <w:szCs w:val="28"/>
        </w:rPr>
        <w:t>12</w:t>
      </w:r>
    </w:p>
    <w:p w14:paraId="025052C1" w14:textId="04B06DA4" w:rsidR="00AC6EBD" w:rsidRDefault="00F83AD4" w:rsidP="00832003">
      <w:pPr>
        <w:tabs>
          <w:tab w:val="left" w:pos="2001"/>
          <w:tab w:val="left" w:pos="6340"/>
        </w:tabs>
        <w:spacing w:line="360" w:lineRule="auto"/>
        <w:ind w:right="90"/>
        <w:jc w:val="both"/>
        <w:rPr>
          <w:rFonts w:ascii="Times New Roman" w:eastAsia="Times New Roman" w:hAnsi="Times New Roman" w:cs="Times New Roman"/>
          <w:b/>
        </w:rPr>
      </w:pPr>
      <w:bookmarkStart w:id="16" w:name="_Hlk204858809"/>
      <w:bookmarkEnd w:id="15"/>
      <w:r>
        <w:rPr>
          <w:rFonts w:ascii="Times New Roman" w:hAnsi="Times New Roman" w:cs="Times New Roman"/>
          <w:b/>
          <w:bCs/>
        </w:rPr>
        <w:t>4.5.</w:t>
      </w:r>
      <w:r w:rsidR="00F46BD1">
        <w:rPr>
          <w:rFonts w:ascii="Times New Roman" w:hAnsi="Times New Roman" w:cs="Times New Roman"/>
          <w:b/>
          <w:bCs/>
        </w:rPr>
        <w:t>2</w:t>
      </w:r>
      <w:r>
        <w:rPr>
          <w:rFonts w:ascii="Times New Roman" w:hAnsi="Times New Roman" w:cs="Times New Roman"/>
          <w:b/>
          <w:bCs/>
        </w:rPr>
        <w:t xml:space="preserve"> </w:t>
      </w:r>
      <w:r w:rsidR="00832003" w:rsidRPr="00A614CB">
        <w:rPr>
          <w:rFonts w:ascii="Times New Roman" w:eastAsia="Times New Roman" w:hAnsi="Times New Roman" w:cs="Times New Roman"/>
          <w:b/>
        </w:rPr>
        <w:t>Heteroskedasticity</w:t>
      </w:r>
      <w:bookmarkEnd w:id="16"/>
      <w:r w:rsidR="00832003" w:rsidRPr="00A614CB">
        <w:rPr>
          <w:rFonts w:ascii="Times New Roman" w:eastAsia="Times New Roman" w:hAnsi="Times New Roman" w:cs="Times New Roman"/>
          <w:b/>
        </w:rPr>
        <w:t xml:space="preserve"> </w:t>
      </w:r>
      <w:r>
        <w:rPr>
          <w:rFonts w:ascii="Times New Roman" w:eastAsia="Times New Roman" w:hAnsi="Times New Roman" w:cs="Times New Roman"/>
          <w:b/>
        </w:rPr>
        <w:t>T</w:t>
      </w:r>
      <w:r w:rsidR="00832003" w:rsidRPr="00A614CB">
        <w:rPr>
          <w:rFonts w:ascii="Times New Roman" w:eastAsia="Times New Roman" w:hAnsi="Times New Roman" w:cs="Times New Roman"/>
          <w:b/>
        </w:rPr>
        <w:t>est</w:t>
      </w:r>
    </w:p>
    <w:p w14:paraId="38567189" w14:textId="06F100FF" w:rsidR="00832003" w:rsidRPr="00AC6EBD" w:rsidRDefault="00AC6EBD" w:rsidP="00AC6EBD">
      <w:pPr>
        <w:spacing w:line="480" w:lineRule="auto"/>
        <w:ind w:right="90"/>
        <w:jc w:val="both"/>
        <w:rPr>
          <w:rFonts w:ascii="Times New Roman" w:hAnsi="Times New Roman" w:cs="Times New Roman"/>
        </w:rPr>
      </w:pPr>
      <w:r w:rsidRPr="00ED21ED">
        <w:rPr>
          <w:rFonts w:ascii="Times New Roman" w:hAnsi="Times New Roman" w:cs="Times New Roman"/>
        </w:rPr>
        <w:t xml:space="preserve">The </w:t>
      </w:r>
      <w:r w:rsidRPr="00AC6EBD">
        <w:rPr>
          <w:rFonts w:ascii="Times New Roman" w:hAnsi="Times New Roman" w:cs="Times New Roman"/>
        </w:rPr>
        <w:t>Heteroskedasticity</w:t>
      </w:r>
      <w:r>
        <w:rPr>
          <w:rFonts w:ascii="Times New Roman" w:hAnsi="Times New Roman" w:cs="Times New Roman"/>
        </w:rPr>
        <w:t xml:space="preserve"> in table 6 shows</w:t>
      </w:r>
      <w:r w:rsidRPr="00ED21ED">
        <w:rPr>
          <w:rFonts w:ascii="Times New Roman" w:hAnsi="Times New Roman" w:cs="Times New Roman"/>
        </w:rPr>
        <w:t xml:space="preserve"> F-statistic</w:t>
      </w:r>
      <w:r>
        <w:rPr>
          <w:rFonts w:ascii="Times New Roman" w:hAnsi="Times New Roman" w:cs="Times New Roman"/>
        </w:rPr>
        <w:t xml:space="preserve"> value of</w:t>
      </w:r>
      <w:r w:rsidRPr="00ED21ED">
        <w:rPr>
          <w:rFonts w:ascii="Times New Roman" w:hAnsi="Times New Roman" w:cs="Times New Roman"/>
        </w:rPr>
        <w:t xml:space="preserve"> 0.657308, with an associated Prob. F of 0.7597, which is well above the conventional 0.05 significance threshold. The </w:t>
      </w:r>
      <w:proofErr w:type="spellStart"/>
      <w:r w:rsidRPr="00ED21ED">
        <w:rPr>
          <w:rFonts w:ascii="Times New Roman" w:hAnsi="Times New Roman" w:cs="Times New Roman"/>
        </w:rPr>
        <w:t>Obs</w:t>
      </w:r>
      <w:proofErr w:type="spellEnd"/>
      <w:r w:rsidRPr="00ED21ED">
        <w:rPr>
          <w:rFonts w:ascii="Times New Roman" w:hAnsi="Times New Roman" w:cs="Times New Roman"/>
        </w:rPr>
        <w:t>*R-squared statistic is 0.545126, with a p-value of 0.6638, while the Scaled Explained Sum of Squares (SS) yields a p-value of 0.9439. As all p-values exceed 0.05, we fail to reject the null hypothesis (H₀) of homoskedasticity. This outcome suggests that the residuals exhibit constant variance, indicating the absence of heteroskedasticity. Consequently, the parameter estimates are considered efficient and unbiased, thereby supporting the robustness of the model’s inferential results</w:t>
      </w:r>
      <w:r>
        <w:rPr>
          <w:rFonts w:ascii="Times New Roman" w:hAnsi="Times New Roman" w:cs="Times New Roman"/>
        </w:rPr>
        <w:t>.</w:t>
      </w:r>
    </w:p>
    <w:tbl>
      <w:tblPr>
        <w:tblW w:w="0" w:type="auto"/>
        <w:tblLayout w:type="fixed"/>
        <w:tblCellMar>
          <w:left w:w="0" w:type="dxa"/>
          <w:right w:w="0" w:type="dxa"/>
        </w:tblCellMar>
        <w:tblLook w:val="0000" w:firstRow="0" w:lastRow="0" w:firstColumn="0" w:lastColumn="0" w:noHBand="0" w:noVBand="0"/>
      </w:tblPr>
      <w:tblGrid>
        <w:gridCol w:w="30"/>
        <w:gridCol w:w="2017"/>
        <w:gridCol w:w="1103"/>
        <w:gridCol w:w="1207"/>
        <w:gridCol w:w="1208"/>
        <w:gridCol w:w="997"/>
      </w:tblGrid>
      <w:tr w:rsidR="00832003" w:rsidRPr="004103F1" w14:paraId="46079314" w14:textId="77777777" w:rsidTr="00B82BF5">
        <w:trPr>
          <w:gridBefore w:val="1"/>
          <w:wBefore w:w="30" w:type="dxa"/>
          <w:trHeight w:val="225"/>
        </w:trPr>
        <w:tc>
          <w:tcPr>
            <w:tcW w:w="6532" w:type="dxa"/>
            <w:gridSpan w:val="5"/>
            <w:tcBorders>
              <w:top w:val="nil"/>
              <w:left w:val="nil"/>
              <w:bottom w:val="nil"/>
              <w:right w:val="nil"/>
            </w:tcBorders>
            <w:vAlign w:val="bottom"/>
          </w:tcPr>
          <w:p w14:paraId="674E6863" w14:textId="77777777" w:rsidR="00832003" w:rsidRPr="00F46BD1" w:rsidRDefault="00832003" w:rsidP="00B82BF5">
            <w:pPr>
              <w:autoSpaceDE w:val="0"/>
              <w:autoSpaceDN w:val="0"/>
              <w:adjustRightInd w:val="0"/>
              <w:spacing w:after="0" w:line="240" w:lineRule="auto"/>
              <w:ind w:right="90"/>
              <w:jc w:val="both"/>
              <w:rPr>
                <w:rFonts w:ascii="Times New Roman" w:eastAsiaTheme="minorHAnsi" w:hAnsi="Times New Roman" w:cs="Times New Roman"/>
                <w:b/>
                <w:bCs/>
                <w:kern w:val="0"/>
                <w:sz w:val="18"/>
                <w:szCs w:val="18"/>
                <w:lang w:eastAsia="en-US"/>
                <w14:ligatures w14:val="none"/>
              </w:rPr>
            </w:pPr>
            <w:r w:rsidRPr="00F46BD1">
              <w:rPr>
                <w:rFonts w:ascii="Times New Roman" w:eastAsiaTheme="minorHAnsi" w:hAnsi="Times New Roman" w:cs="Times New Roman"/>
                <w:b/>
                <w:bCs/>
                <w:kern w:val="0"/>
                <w:szCs w:val="22"/>
                <w:lang w:eastAsia="en-US"/>
                <w14:ligatures w14:val="none"/>
              </w:rPr>
              <w:t>Table 6: Heteroskedasticity Test: Breusch-Pagan-Godfrey</w:t>
            </w:r>
          </w:p>
        </w:tc>
      </w:tr>
      <w:tr w:rsidR="00832003" w14:paraId="7B6C53BB" w14:textId="77777777" w:rsidTr="00B82BF5">
        <w:trPr>
          <w:trHeight w:hRule="exact" w:val="90"/>
        </w:trPr>
        <w:tc>
          <w:tcPr>
            <w:tcW w:w="2047" w:type="dxa"/>
            <w:gridSpan w:val="2"/>
            <w:tcBorders>
              <w:top w:val="nil"/>
              <w:left w:val="nil"/>
              <w:bottom w:val="double" w:sz="6" w:space="2" w:color="auto"/>
              <w:right w:val="nil"/>
            </w:tcBorders>
            <w:vAlign w:val="bottom"/>
          </w:tcPr>
          <w:p w14:paraId="2BA23C6F"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p>
        </w:tc>
        <w:tc>
          <w:tcPr>
            <w:tcW w:w="1103" w:type="dxa"/>
            <w:tcBorders>
              <w:top w:val="nil"/>
              <w:left w:val="nil"/>
              <w:bottom w:val="double" w:sz="6" w:space="2" w:color="auto"/>
              <w:right w:val="nil"/>
            </w:tcBorders>
            <w:vAlign w:val="bottom"/>
          </w:tcPr>
          <w:p w14:paraId="09F543D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double" w:sz="6" w:space="2" w:color="auto"/>
              <w:right w:val="nil"/>
            </w:tcBorders>
            <w:vAlign w:val="bottom"/>
          </w:tcPr>
          <w:p w14:paraId="21378C6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double" w:sz="6" w:space="2" w:color="auto"/>
              <w:right w:val="nil"/>
            </w:tcBorders>
            <w:vAlign w:val="bottom"/>
          </w:tcPr>
          <w:p w14:paraId="6B133A3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double" w:sz="6" w:space="2" w:color="auto"/>
              <w:right w:val="nil"/>
            </w:tcBorders>
            <w:vAlign w:val="bottom"/>
          </w:tcPr>
          <w:p w14:paraId="5BAC48A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4676C6C1" w14:textId="77777777" w:rsidTr="00B82BF5">
        <w:trPr>
          <w:trHeight w:hRule="exact" w:val="135"/>
        </w:trPr>
        <w:tc>
          <w:tcPr>
            <w:tcW w:w="2047" w:type="dxa"/>
            <w:gridSpan w:val="2"/>
            <w:tcBorders>
              <w:top w:val="nil"/>
              <w:left w:val="nil"/>
              <w:bottom w:val="nil"/>
              <w:right w:val="nil"/>
            </w:tcBorders>
            <w:vAlign w:val="bottom"/>
          </w:tcPr>
          <w:p w14:paraId="05D5330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nil"/>
              <w:right w:val="nil"/>
            </w:tcBorders>
            <w:vAlign w:val="bottom"/>
          </w:tcPr>
          <w:p w14:paraId="5F147F5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nil"/>
              <w:right w:val="nil"/>
            </w:tcBorders>
            <w:vAlign w:val="bottom"/>
          </w:tcPr>
          <w:p w14:paraId="3065417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nil"/>
              <w:right w:val="nil"/>
            </w:tcBorders>
            <w:vAlign w:val="bottom"/>
          </w:tcPr>
          <w:p w14:paraId="378D091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nil"/>
              <w:right w:val="nil"/>
            </w:tcBorders>
            <w:vAlign w:val="bottom"/>
          </w:tcPr>
          <w:p w14:paraId="38A253D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4D4317A1" w14:textId="77777777" w:rsidTr="00B82BF5">
        <w:trPr>
          <w:trHeight w:val="225"/>
        </w:trPr>
        <w:tc>
          <w:tcPr>
            <w:tcW w:w="2047" w:type="dxa"/>
            <w:gridSpan w:val="2"/>
            <w:tcBorders>
              <w:top w:val="nil"/>
              <w:left w:val="nil"/>
              <w:bottom w:val="nil"/>
              <w:right w:val="nil"/>
            </w:tcBorders>
            <w:vAlign w:val="bottom"/>
          </w:tcPr>
          <w:p w14:paraId="55B3B2AD"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F-statistic</w:t>
            </w:r>
          </w:p>
        </w:tc>
        <w:tc>
          <w:tcPr>
            <w:tcW w:w="1103" w:type="dxa"/>
            <w:tcBorders>
              <w:top w:val="nil"/>
              <w:left w:val="nil"/>
              <w:bottom w:val="nil"/>
              <w:right w:val="nil"/>
            </w:tcBorders>
            <w:vAlign w:val="bottom"/>
          </w:tcPr>
          <w:p w14:paraId="69DA8B8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0.657308</w:t>
            </w:r>
          </w:p>
        </w:tc>
        <w:tc>
          <w:tcPr>
            <w:tcW w:w="2415" w:type="dxa"/>
            <w:gridSpan w:val="2"/>
            <w:tcBorders>
              <w:top w:val="nil"/>
              <w:left w:val="nil"/>
              <w:bottom w:val="nil"/>
              <w:right w:val="nil"/>
            </w:tcBorders>
            <w:vAlign w:val="bottom"/>
          </w:tcPr>
          <w:p w14:paraId="0026F351"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xml:space="preserve">    Prob. </w:t>
            </w:r>
            <w:proofErr w:type="gramStart"/>
            <w:r>
              <w:rPr>
                <w:rFonts w:ascii="Arial" w:hAnsi="Arial" w:cs="Arial"/>
                <w:color w:val="000000"/>
                <w:kern w:val="0"/>
                <w:sz w:val="18"/>
                <w:szCs w:val="18"/>
              </w:rPr>
              <w:t>F(</w:t>
            </w:r>
            <w:proofErr w:type="gramEnd"/>
            <w:r>
              <w:rPr>
                <w:rFonts w:ascii="Arial" w:hAnsi="Arial" w:cs="Arial"/>
                <w:color w:val="000000"/>
                <w:kern w:val="0"/>
                <w:sz w:val="18"/>
                <w:szCs w:val="18"/>
              </w:rPr>
              <w:t>11,19)</w:t>
            </w:r>
          </w:p>
        </w:tc>
        <w:tc>
          <w:tcPr>
            <w:tcW w:w="997" w:type="dxa"/>
            <w:tcBorders>
              <w:top w:val="nil"/>
              <w:left w:val="nil"/>
              <w:bottom w:val="nil"/>
              <w:right w:val="nil"/>
            </w:tcBorders>
            <w:vAlign w:val="bottom"/>
          </w:tcPr>
          <w:p w14:paraId="71510BE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0.7597</w:t>
            </w:r>
          </w:p>
        </w:tc>
      </w:tr>
      <w:tr w:rsidR="00832003" w14:paraId="573B0595" w14:textId="77777777" w:rsidTr="00B82BF5">
        <w:trPr>
          <w:trHeight w:val="225"/>
        </w:trPr>
        <w:tc>
          <w:tcPr>
            <w:tcW w:w="2047" w:type="dxa"/>
            <w:gridSpan w:val="2"/>
            <w:tcBorders>
              <w:top w:val="nil"/>
              <w:left w:val="nil"/>
              <w:bottom w:val="nil"/>
              <w:right w:val="nil"/>
            </w:tcBorders>
            <w:vAlign w:val="bottom"/>
          </w:tcPr>
          <w:p w14:paraId="21EE5AE0"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proofErr w:type="spellStart"/>
            <w:r>
              <w:rPr>
                <w:rFonts w:ascii="Arial" w:hAnsi="Arial" w:cs="Arial"/>
                <w:color w:val="000000"/>
                <w:kern w:val="0"/>
                <w:sz w:val="18"/>
                <w:szCs w:val="18"/>
              </w:rPr>
              <w:lastRenderedPageBreak/>
              <w:t>Obs</w:t>
            </w:r>
            <w:proofErr w:type="spellEnd"/>
            <w:r>
              <w:rPr>
                <w:rFonts w:ascii="Arial" w:hAnsi="Arial" w:cs="Arial"/>
                <w:color w:val="000000"/>
                <w:kern w:val="0"/>
                <w:sz w:val="18"/>
                <w:szCs w:val="18"/>
              </w:rPr>
              <w:t>*R-squared</w:t>
            </w:r>
          </w:p>
        </w:tc>
        <w:tc>
          <w:tcPr>
            <w:tcW w:w="1103" w:type="dxa"/>
            <w:tcBorders>
              <w:top w:val="nil"/>
              <w:left w:val="nil"/>
              <w:bottom w:val="nil"/>
              <w:right w:val="nil"/>
            </w:tcBorders>
            <w:vAlign w:val="bottom"/>
          </w:tcPr>
          <w:p w14:paraId="5020FF9E"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8.545126</w:t>
            </w:r>
          </w:p>
        </w:tc>
        <w:tc>
          <w:tcPr>
            <w:tcW w:w="2415" w:type="dxa"/>
            <w:gridSpan w:val="2"/>
            <w:tcBorders>
              <w:top w:val="nil"/>
              <w:left w:val="nil"/>
              <w:bottom w:val="nil"/>
              <w:right w:val="nil"/>
            </w:tcBorders>
            <w:vAlign w:val="bottom"/>
          </w:tcPr>
          <w:p w14:paraId="1CFB2BBD"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Prob. Chi-</w:t>
            </w:r>
            <w:proofErr w:type="gramStart"/>
            <w:r>
              <w:rPr>
                <w:rFonts w:ascii="Arial" w:hAnsi="Arial" w:cs="Arial"/>
                <w:color w:val="000000"/>
                <w:kern w:val="0"/>
                <w:sz w:val="18"/>
                <w:szCs w:val="18"/>
              </w:rPr>
              <w:t>Square(</w:t>
            </w:r>
            <w:proofErr w:type="gramEnd"/>
            <w:r>
              <w:rPr>
                <w:rFonts w:ascii="Arial" w:hAnsi="Arial" w:cs="Arial"/>
                <w:color w:val="000000"/>
                <w:kern w:val="0"/>
                <w:sz w:val="18"/>
                <w:szCs w:val="18"/>
              </w:rPr>
              <w:t>11)</w:t>
            </w:r>
          </w:p>
        </w:tc>
        <w:tc>
          <w:tcPr>
            <w:tcW w:w="997" w:type="dxa"/>
            <w:tcBorders>
              <w:top w:val="nil"/>
              <w:left w:val="nil"/>
              <w:bottom w:val="nil"/>
              <w:right w:val="nil"/>
            </w:tcBorders>
            <w:vAlign w:val="bottom"/>
          </w:tcPr>
          <w:p w14:paraId="6AC9B53E"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0.6638</w:t>
            </w:r>
          </w:p>
        </w:tc>
      </w:tr>
      <w:tr w:rsidR="00832003" w14:paraId="03F0B131" w14:textId="77777777" w:rsidTr="00B82BF5">
        <w:trPr>
          <w:trHeight w:val="225"/>
        </w:trPr>
        <w:tc>
          <w:tcPr>
            <w:tcW w:w="2047" w:type="dxa"/>
            <w:gridSpan w:val="2"/>
            <w:tcBorders>
              <w:top w:val="nil"/>
              <w:left w:val="nil"/>
              <w:bottom w:val="nil"/>
              <w:right w:val="nil"/>
            </w:tcBorders>
            <w:vAlign w:val="bottom"/>
          </w:tcPr>
          <w:p w14:paraId="0E51FAED"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Scaled explained SS</w:t>
            </w:r>
          </w:p>
        </w:tc>
        <w:tc>
          <w:tcPr>
            <w:tcW w:w="1103" w:type="dxa"/>
            <w:tcBorders>
              <w:top w:val="nil"/>
              <w:left w:val="nil"/>
              <w:bottom w:val="nil"/>
              <w:right w:val="nil"/>
            </w:tcBorders>
            <w:vAlign w:val="bottom"/>
          </w:tcPr>
          <w:p w14:paraId="7A1408BF"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4.721882</w:t>
            </w:r>
          </w:p>
        </w:tc>
        <w:tc>
          <w:tcPr>
            <w:tcW w:w="2415" w:type="dxa"/>
            <w:gridSpan w:val="2"/>
            <w:tcBorders>
              <w:top w:val="nil"/>
              <w:left w:val="nil"/>
              <w:bottom w:val="nil"/>
              <w:right w:val="nil"/>
            </w:tcBorders>
            <w:vAlign w:val="bottom"/>
          </w:tcPr>
          <w:p w14:paraId="6DA07F7F"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Prob. Chi-</w:t>
            </w:r>
            <w:proofErr w:type="gramStart"/>
            <w:r>
              <w:rPr>
                <w:rFonts w:ascii="Arial" w:hAnsi="Arial" w:cs="Arial"/>
                <w:color w:val="000000"/>
                <w:kern w:val="0"/>
                <w:sz w:val="18"/>
                <w:szCs w:val="18"/>
              </w:rPr>
              <w:t>Square(</w:t>
            </w:r>
            <w:proofErr w:type="gramEnd"/>
            <w:r>
              <w:rPr>
                <w:rFonts w:ascii="Arial" w:hAnsi="Arial" w:cs="Arial"/>
                <w:color w:val="000000"/>
                <w:kern w:val="0"/>
                <w:sz w:val="18"/>
                <w:szCs w:val="18"/>
              </w:rPr>
              <w:t>11)</w:t>
            </w:r>
          </w:p>
        </w:tc>
        <w:tc>
          <w:tcPr>
            <w:tcW w:w="997" w:type="dxa"/>
            <w:tcBorders>
              <w:top w:val="nil"/>
              <w:left w:val="nil"/>
              <w:bottom w:val="nil"/>
              <w:right w:val="nil"/>
            </w:tcBorders>
            <w:vAlign w:val="bottom"/>
          </w:tcPr>
          <w:p w14:paraId="41480B9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0.9439</w:t>
            </w:r>
          </w:p>
        </w:tc>
      </w:tr>
      <w:tr w:rsidR="00832003" w14:paraId="3DD9ED74" w14:textId="77777777" w:rsidTr="00B82BF5">
        <w:trPr>
          <w:trHeight w:hRule="exact" w:val="90"/>
        </w:trPr>
        <w:tc>
          <w:tcPr>
            <w:tcW w:w="2047" w:type="dxa"/>
            <w:gridSpan w:val="2"/>
            <w:tcBorders>
              <w:top w:val="nil"/>
              <w:left w:val="nil"/>
              <w:bottom w:val="double" w:sz="6" w:space="2" w:color="auto"/>
              <w:right w:val="nil"/>
            </w:tcBorders>
            <w:vAlign w:val="bottom"/>
          </w:tcPr>
          <w:p w14:paraId="43CA4D6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double" w:sz="6" w:space="2" w:color="auto"/>
              <w:right w:val="nil"/>
            </w:tcBorders>
            <w:vAlign w:val="bottom"/>
          </w:tcPr>
          <w:p w14:paraId="4308A03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double" w:sz="6" w:space="2" w:color="auto"/>
              <w:right w:val="nil"/>
            </w:tcBorders>
            <w:vAlign w:val="bottom"/>
          </w:tcPr>
          <w:p w14:paraId="3CF74D7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double" w:sz="6" w:space="2" w:color="auto"/>
              <w:right w:val="nil"/>
            </w:tcBorders>
            <w:vAlign w:val="bottom"/>
          </w:tcPr>
          <w:p w14:paraId="7663FF9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double" w:sz="6" w:space="2" w:color="auto"/>
              <w:right w:val="nil"/>
            </w:tcBorders>
            <w:vAlign w:val="bottom"/>
          </w:tcPr>
          <w:p w14:paraId="7550F52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bl>
    <w:p w14:paraId="373D3292" w14:textId="31314A06" w:rsidR="005F4FCD" w:rsidRPr="009822C1" w:rsidRDefault="00832003" w:rsidP="009822C1">
      <w:pPr>
        <w:spacing w:line="480" w:lineRule="auto"/>
        <w:ind w:right="90"/>
        <w:rPr>
          <w:rFonts w:ascii="Times New Roman" w:eastAsia="Calibri" w:hAnsi="Times New Roman" w:cs="Times New Roman"/>
          <w:bCs/>
          <w:i/>
          <w:kern w:val="0"/>
          <w:sz w:val="18"/>
          <w:lang w:eastAsia="en-US"/>
          <w14:ligatures w14:val="none"/>
        </w:rPr>
      </w:pPr>
      <w:r w:rsidRPr="004103F1">
        <w:rPr>
          <w:rFonts w:ascii="Times New Roman" w:eastAsiaTheme="minorHAnsi" w:hAnsi="Times New Roman" w:cs="Times New Roman"/>
          <w:i/>
          <w:kern w:val="0"/>
          <w:sz w:val="18"/>
          <w:lang w:eastAsia="en-US"/>
          <w14:ligatures w14:val="none"/>
        </w:rPr>
        <w:t xml:space="preserve">Source: Researcher’s computation using </w:t>
      </w:r>
      <w:proofErr w:type="spellStart"/>
      <w:r w:rsidRPr="004103F1">
        <w:rPr>
          <w:rFonts w:ascii="Times New Roman" w:eastAsiaTheme="minorHAnsi" w:hAnsi="Times New Roman" w:cs="Times New Roman"/>
          <w:i/>
          <w:kern w:val="0"/>
          <w:sz w:val="18"/>
          <w:lang w:eastAsia="en-US"/>
          <w14:ligatures w14:val="none"/>
        </w:rPr>
        <w:t>Eviews</w:t>
      </w:r>
      <w:proofErr w:type="spellEnd"/>
      <w:r w:rsidRPr="004103F1">
        <w:rPr>
          <w:rFonts w:ascii="Times New Roman" w:eastAsiaTheme="minorHAnsi" w:hAnsi="Times New Roman" w:cs="Times New Roman"/>
          <w:i/>
          <w:kern w:val="0"/>
          <w:sz w:val="18"/>
          <w:lang w:eastAsia="en-US"/>
          <w14:ligatures w14:val="none"/>
        </w:rPr>
        <w:t xml:space="preserve"> </w:t>
      </w:r>
      <w:r>
        <w:rPr>
          <w:rFonts w:ascii="Times New Roman" w:eastAsiaTheme="minorHAnsi" w:hAnsi="Times New Roman" w:cs="Times New Roman"/>
          <w:i/>
          <w:kern w:val="0"/>
          <w:sz w:val="18"/>
          <w:lang w:eastAsia="en-US"/>
          <w14:ligatures w14:val="none"/>
        </w:rPr>
        <w:t>12</w:t>
      </w:r>
    </w:p>
    <w:p w14:paraId="3EFF143F" w14:textId="51B8E9DD" w:rsidR="009822C1" w:rsidRDefault="00F46BD1" w:rsidP="00374276">
      <w:pPr>
        <w:spacing w:line="480" w:lineRule="auto"/>
        <w:ind w:right="90"/>
        <w:jc w:val="both"/>
        <w:rPr>
          <w:rFonts w:ascii="Times New Roman" w:hAnsi="Times New Roman" w:cs="Times New Roman"/>
          <w:b/>
        </w:rPr>
      </w:pPr>
      <w:r>
        <w:rPr>
          <w:rFonts w:ascii="Times New Roman" w:hAnsi="Times New Roman" w:cs="Times New Roman"/>
          <w:b/>
          <w:bCs/>
        </w:rPr>
        <w:t xml:space="preserve">4.5.3 </w:t>
      </w:r>
      <w:r w:rsidR="00832003" w:rsidRPr="00A614CB">
        <w:rPr>
          <w:rFonts w:ascii="Times New Roman" w:hAnsi="Times New Roman" w:cs="Times New Roman"/>
          <w:b/>
        </w:rPr>
        <w:t>Normality Test</w:t>
      </w:r>
    </w:p>
    <w:p w14:paraId="683F0972" w14:textId="39B34FA3" w:rsidR="0095320C" w:rsidRPr="00F459A3" w:rsidRDefault="00832003" w:rsidP="00F459A3">
      <w:pPr>
        <w:spacing w:line="480" w:lineRule="auto"/>
        <w:jc w:val="both"/>
        <w:rPr>
          <w:rFonts w:ascii="Times New Roman" w:hAnsi="Times New Roman" w:cs="Times New Roman"/>
        </w:rPr>
      </w:pPr>
      <w:r w:rsidRPr="00EB6115">
        <w:rPr>
          <w:rFonts w:ascii="Times New Roman" w:hAnsi="Times New Roman" w:cs="Times New Roman"/>
        </w:rPr>
        <w:t xml:space="preserve">The </w:t>
      </w:r>
      <w:proofErr w:type="spellStart"/>
      <w:r w:rsidRPr="00EB6115">
        <w:rPr>
          <w:rFonts w:ascii="Times New Roman" w:hAnsi="Times New Roman" w:cs="Times New Roman"/>
        </w:rPr>
        <w:t>Jarque-Bera</w:t>
      </w:r>
      <w:proofErr w:type="spellEnd"/>
      <w:r w:rsidRPr="00EB6115">
        <w:rPr>
          <w:rFonts w:ascii="Times New Roman" w:hAnsi="Times New Roman" w:cs="Times New Roman"/>
        </w:rPr>
        <w:t xml:space="preserve"> test, as presented in Figure 1, assesses whether the residuals follow a normal distribution</w:t>
      </w:r>
      <w:r>
        <w:rPr>
          <w:rFonts w:ascii="Times New Roman" w:hAnsi="Times New Roman" w:cs="Times New Roman"/>
        </w:rPr>
        <w:t>.</w:t>
      </w:r>
      <w:r w:rsidR="00374276">
        <w:rPr>
          <w:rFonts w:ascii="Times New Roman" w:hAnsi="Times New Roman" w:cs="Times New Roman"/>
        </w:rPr>
        <w:t xml:space="preserve"> </w:t>
      </w:r>
      <w:r w:rsidR="009822C1" w:rsidRPr="000D289D">
        <w:rPr>
          <w:rFonts w:ascii="Times New Roman" w:hAnsi="Times New Roman" w:cs="Times New Roman"/>
        </w:rPr>
        <w:t xml:space="preserve">The test yields a </w:t>
      </w:r>
      <w:proofErr w:type="spellStart"/>
      <w:r w:rsidR="009822C1" w:rsidRPr="000D289D">
        <w:rPr>
          <w:rFonts w:ascii="Times New Roman" w:hAnsi="Times New Roman" w:cs="Times New Roman"/>
        </w:rPr>
        <w:t>Jarque-Bera</w:t>
      </w:r>
      <w:proofErr w:type="spellEnd"/>
      <w:r w:rsidR="009822C1" w:rsidRPr="000D289D">
        <w:rPr>
          <w:rFonts w:ascii="Times New Roman" w:hAnsi="Times New Roman" w:cs="Times New Roman"/>
        </w:rPr>
        <w:t xml:space="preserve"> statistic of 2.040958, with a corresponding p-value of 0.360422. Since the p-value exceeds the conventional 0.05 significance threshold, we fail to reject the null hypothesis that the residuals are normally distributed. This supports the statistical reliability and validity of the model's inference framework.</w:t>
      </w:r>
    </w:p>
    <w:p w14:paraId="01C97F4F" w14:textId="21C6F202" w:rsidR="00832003" w:rsidRPr="0020696A" w:rsidRDefault="00832003" w:rsidP="00832003">
      <w:pPr>
        <w:spacing w:line="360" w:lineRule="auto"/>
        <w:jc w:val="both"/>
        <w:rPr>
          <w:rFonts w:ascii="Times New Roman" w:hAnsi="Times New Roman" w:cs="Times New Roman"/>
          <w:b/>
          <w:bCs/>
        </w:rPr>
      </w:pPr>
      <w:r w:rsidRPr="0020696A">
        <w:rPr>
          <w:rFonts w:ascii="Times New Roman" w:hAnsi="Times New Roman" w:cs="Times New Roman"/>
          <w:b/>
          <w:bCs/>
        </w:rPr>
        <w:t xml:space="preserve">Figure 1: </w:t>
      </w:r>
      <w:proofErr w:type="spellStart"/>
      <w:r w:rsidRPr="0020696A">
        <w:rPr>
          <w:rFonts w:ascii="Times New Roman" w:hAnsi="Times New Roman" w:cs="Times New Roman"/>
          <w:b/>
          <w:bCs/>
        </w:rPr>
        <w:t>Jarque-Bera</w:t>
      </w:r>
      <w:proofErr w:type="spellEnd"/>
      <w:r w:rsidRPr="0020696A">
        <w:rPr>
          <w:rFonts w:ascii="Times New Roman" w:hAnsi="Times New Roman" w:cs="Times New Roman"/>
          <w:b/>
          <w:bCs/>
        </w:rPr>
        <w:t xml:space="preserve"> test</w:t>
      </w:r>
    </w:p>
    <w:p w14:paraId="2A25A95B" w14:textId="77777777" w:rsidR="00832003" w:rsidRDefault="00832003" w:rsidP="00832003">
      <w:pPr>
        <w:spacing w:line="240" w:lineRule="auto"/>
        <w:ind w:right="90"/>
        <w:jc w:val="both"/>
      </w:pPr>
      <w:r>
        <w:object w:dxaOrig="9631" w:dyaOrig="4650" w14:anchorId="4AC09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5pt;height:175.7pt" o:ole="">
            <v:imagedata r:id="rId7" o:title=""/>
          </v:shape>
          <o:OLEObject Type="Embed" ProgID="EViews.Workfile.2" ShapeID="_x0000_i1025" DrawAspect="Content" ObjectID="_1815911639" r:id="rId8"/>
        </w:object>
      </w:r>
    </w:p>
    <w:p w14:paraId="01DECF9F" w14:textId="77777777" w:rsidR="00832003" w:rsidRPr="00927F85" w:rsidRDefault="00832003" w:rsidP="004209DC">
      <w:pPr>
        <w:spacing w:line="480" w:lineRule="auto"/>
        <w:jc w:val="both"/>
        <w:rPr>
          <w:rFonts w:ascii="Times New Roman" w:hAnsi="Times New Roman" w:cs="Times New Roman"/>
          <w:i/>
          <w:iCs/>
          <w:sz w:val="20"/>
          <w:szCs w:val="20"/>
        </w:rPr>
      </w:pPr>
      <w:r w:rsidRPr="00413609">
        <w:rPr>
          <w:rFonts w:ascii="Times New Roman" w:hAnsi="Times New Roman" w:cs="Times New Roman"/>
          <w:i/>
          <w:iCs/>
          <w:sz w:val="20"/>
          <w:szCs w:val="20"/>
        </w:rPr>
        <w:t xml:space="preserve">Source: Author’s computation using </w:t>
      </w:r>
      <w:proofErr w:type="spellStart"/>
      <w:r w:rsidRPr="00413609">
        <w:rPr>
          <w:rFonts w:ascii="Times New Roman" w:hAnsi="Times New Roman" w:cs="Times New Roman"/>
          <w:i/>
          <w:iCs/>
          <w:sz w:val="20"/>
          <w:szCs w:val="20"/>
        </w:rPr>
        <w:t>Eview</w:t>
      </w:r>
      <w:r>
        <w:rPr>
          <w:rFonts w:ascii="Times New Roman" w:hAnsi="Times New Roman" w:cs="Times New Roman"/>
          <w:i/>
          <w:iCs/>
          <w:sz w:val="20"/>
          <w:szCs w:val="20"/>
        </w:rPr>
        <w:t>s</w:t>
      </w:r>
      <w:proofErr w:type="spellEnd"/>
      <w:r>
        <w:rPr>
          <w:rFonts w:ascii="Times New Roman" w:hAnsi="Times New Roman" w:cs="Times New Roman"/>
          <w:i/>
          <w:iCs/>
          <w:sz w:val="20"/>
          <w:szCs w:val="20"/>
        </w:rPr>
        <w:t xml:space="preserve"> </w:t>
      </w:r>
      <w:r w:rsidRPr="00413609">
        <w:rPr>
          <w:rFonts w:ascii="Times New Roman" w:hAnsi="Times New Roman" w:cs="Times New Roman"/>
          <w:i/>
          <w:iCs/>
          <w:sz w:val="20"/>
          <w:szCs w:val="20"/>
        </w:rPr>
        <w:t>12</w:t>
      </w:r>
    </w:p>
    <w:p w14:paraId="3B09D296" w14:textId="77777777" w:rsidR="000E0198" w:rsidRDefault="000E0198" w:rsidP="00832003">
      <w:pPr>
        <w:spacing w:line="480" w:lineRule="auto"/>
        <w:jc w:val="both"/>
        <w:rPr>
          <w:rFonts w:ascii="Times New Roman" w:eastAsia="Times New Roman" w:hAnsi="Times New Roman" w:cs="Times New Roman"/>
          <w:b/>
          <w:bCs/>
          <w:color w:val="000000"/>
          <w:kern w:val="0"/>
          <w14:ligatures w14:val="none"/>
        </w:rPr>
      </w:pPr>
      <w:bookmarkStart w:id="17" w:name="_Hlk204423363"/>
    </w:p>
    <w:p w14:paraId="0E850F8B" w14:textId="44EFB544" w:rsidR="00832003" w:rsidRDefault="00FA59D6" w:rsidP="00832003">
      <w:pPr>
        <w:spacing w:line="480" w:lineRule="auto"/>
        <w:jc w:val="both"/>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5. </w:t>
      </w:r>
      <w:r w:rsidR="00832003" w:rsidRPr="00A614CB">
        <w:rPr>
          <w:rFonts w:ascii="Times New Roman" w:eastAsia="Times New Roman" w:hAnsi="Times New Roman" w:cs="Times New Roman"/>
          <w:b/>
          <w:bCs/>
          <w:color w:val="000000"/>
          <w:kern w:val="0"/>
          <w14:ligatures w14:val="none"/>
        </w:rPr>
        <w:t>Conclusion</w:t>
      </w:r>
      <w:r>
        <w:rPr>
          <w:rFonts w:ascii="Times New Roman" w:eastAsia="Times New Roman" w:hAnsi="Times New Roman" w:cs="Times New Roman"/>
          <w:b/>
          <w:bCs/>
          <w:color w:val="000000"/>
          <w:kern w:val="0"/>
          <w14:ligatures w14:val="none"/>
        </w:rPr>
        <w:t xml:space="preserve"> and</w:t>
      </w:r>
      <w:r w:rsidR="0061372F">
        <w:rPr>
          <w:rFonts w:ascii="Times New Roman" w:eastAsia="Times New Roman" w:hAnsi="Times New Roman" w:cs="Times New Roman"/>
          <w:b/>
          <w:bCs/>
          <w:color w:val="000000"/>
          <w:kern w:val="0"/>
          <w14:ligatures w14:val="none"/>
        </w:rPr>
        <w:t xml:space="preserve"> Policy</w:t>
      </w:r>
      <w:r>
        <w:rPr>
          <w:rFonts w:ascii="Times New Roman" w:eastAsia="Times New Roman" w:hAnsi="Times New Roman" w:cs="Times New Roman"/>
          <w:b/>
          <w:bCs/>
          <w:color w:val="000000"/>
          <w:kern w:val="0"/>
          <w14:ligatures w14:val="none"/>
        </w:rPr>
        <w:t xml:space="preserve"> Recommendations</w:t>
      </w:r>
    </w:p>
    <w:p w14:paraId="782761B3" w14:textId="42312A8C" w:rsidR="00FA59D6" w:rsidRPr="003E701D" w:rsidRDefault="00FA59D6" w:rsidP="00832003">
      <w:pPr>
        <w:spacing w:line="480" w:lineRule="auto"/>
        <w:jc w:val="both"/>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5.1 Conclusion</w:t>
      </w:r>
    </w:p>
    <w:bookmarkEnd w:id="17"/>
    <w:p w14:paraId="6C4D32F5" w14:textId="12A46DB0" w:rsidR="00FE7075" w:rsidRPr="008B23A5" w:rsidRDefault="00832003" w:rsidP="008B23A5">
      <w:pPr>
        <w:spacing w:line="480" w:lineRule="auto"/>
        <w:jc w:val="both"/>
        <w:rPr>
          <w:rFonts w:ascii="Times New Roman" w:eastAsia="Calibri" w:hAnsi="Times New Roman"/>
        </w:rPr>
      </w:pPr>
      <w:r w:rsidRPr="00E13813">
        <w:rPr>
          <w:rFonts w:ascii="Times New Roman" w:eastAsia="Times New Roman" w:hAnsi="Times New Roman" w:cs="Times New Roman"/>
        </w:rPr>
        <w:t>There ha</w:t>
      </w:r>
      <w:r>
        <w:rPr>
          <w:rFonts w:ascii="Times New Roman" w:eastAsia="Times New Roman" w:hAnsi="Times New Roman" w:cs="Times New Roman"/>
        </w:rPr>
        <w:t>s</w:t>
      </w:r>
      <w:r w:rsidRPr="00E13813">
        <w:rPr>
          <w:rFonts w:ascii="Times New Roman" w:eastAsia="Times New Roman" w:hAnsi="Times New Roman" w:cs="Times New Roman"/>
        </w:rPr>
        <w:t xml:space="preserve"> been an ongoing debate in economic literature on the role </w:t>
      </w:r>
      <w:r w:rsidRPr="00D858A2">
        <w:rPr>
          <w:rFonts w:ascii="Times New Roman" w:eastAsia="Calibri" w:hAnsi="Times New Roman"/>
        </w:rPr>
        <w:t>of gendered education investment</w:t>
      </w:r>
      <w:r>
        <w:rPr>
          <w:rFonts w:ascii="Times New Roman" w:eastAsia="Calibri" w:hAnsi="Times New Roman"/>
        </w:rPr>
        <w:t xml:space="preserve"> on economic growth. </w:t>
      </w:r>
      <w:r w:rsidRPr="00E13813">
        <w:rPr>
          <w:rFonts w:ascii="Times New Roman" w:eastAsia="Times New Roman" w:hAnsi="Times New Roman" w:cs="Times New Roman"/>
        </w:rPr>
        <w:t>This study use</w:t>
      </w:r>
      <w:r>
        <w:rPr>
          <w:rFonts w:ascii="Times New Roman" w:eastAsia="Times New Roman" w:hAnsi="Times New Roman" w:cs="Times New Roman"/>
        </w:rPr>
        <w:t xml:space="preserve">d real GDP pe capita as indicator for economic growth, while </w:t>
      </w:r>
      <w:r w:rsidRPr="00652CBF">
        <w:rPr>
          <w:rFonts w:ascii="Times New Roman" w:hAnsi="Times New Roman" w:cs="Times New Roman"/>
        </w:rPr>
        <w:t>government expenditure on educatio</w:t>
      </w:r>
      <w:r>
        <w:rPr>
          <w:rFonts w:ascii="Times New Roman" w:hAnsi="Times New Roman" w:cs="Times New Roman"/>
        </w:rPr>
        <w:t>n</w:t>
      </w:r>
      <w:r w:rsidRPr="00652CBF">
        <w:rPr>
          <w:rFonts w:ascii="Times New Roman" w:hAnsi="Times New Roman" w:cs="Times New Roman"/>
        </w:rPr>
        <w:t>, female secondary school enrolment, and Gender Parity Index (GPI) for primary school enrolment</w:t>
      </w:r>
      <w:r>
        <w:rPr>
          <w:rFonts w:ascii="Times New Roman" w:hAnsi="Times New Roman" w:cs="Times New Roman"/>
        </w:rPr>
        <w:t xml:space="preserve"> was used as </w:t>
      </w:r>
      <w:r w:rsidRPr="00D858A2">
        <w:rPr>
          <w:rFonts w:ascii="Times New Roman" w:eastAsia="Calibri" w:hAnsi="Times New Roman"/>
        </w:rPr>
        <w:t xml:space="preserve">gendered education </w:t>
      </w:r>
      <w:r w:rsidRPr="00D858A2">
        <w:rPr>
          <w:rFonts w:ascii="Times New Roman" w:eastAsia="Calibri" w:hAnsi="Times New Roman"/>
        </w:rPr>
        <w:lastRenderedPageBreak/>
        <w:t>investment</w:t>
      </w:r>
      <w:r>
        <w:rPr>
          <w:rFonts w:ascii="Times New Roman" w:eastAsia="Calibri" w:hAnsi="Times New Roman"/>
        </w:rPr>
        <w:t xml:space="preserve">. </w:t>
      </w:r>
      <w:r w:rsidRPr="00F873C4">
        <w:rPr>
          <w:rFonts w:ascii="Times New Roman" w:eastAsia="Calibri" w:hAnsi="Times New Roman"/>
        </w:rPr>
        <w:t xml:space="preserve">Using </w:t>
      </w:r>
      <w:r>
        <w:rPr>
          <w:rFonts w:ascii="Times New Roman" w:eastAsia="Calibri" w:hAnsi="Times New Roman"/>
        </w:rPr>
        <w:t xml:space="preserve">the </w:t>
      </w:r>
      <w:r w:rsidRPr="00F873C4">
        <w:rPr>
          <w:rFonts w:ascii="Times New Roman" w:eastAsia="Calibri" w:hAnsi="Times New Roman"/>
        </w:rPr>
        <w:t>ARDL econometric analysis,</w:t>
      </w:r>
      <w:r>
        <w:rPr>
          <w:rFonts w:ascii="Times New Roman" w:eastAsia="Calibri" w:hAnsi="Times New Roman"/>
        </w:rPr>
        <w:t xml:space="preserve"> the study concludes that </w:t>
      </w:r>
      <w:r w:rsidRPr="00652CBF">
        <w:rPr>
          <w:rFonts w:ascii="Times New Roman" w:hAnsi="Times New Roman" w:cs="Times New Roman"/>
        </w:rPr>
        <w:t>government expenditure on educatio</w:t>
      </w:r>
      <w:r>
        <w:rPr>
          <w:rFonts w:ascii="Times New Roman" w:hAnsi="Times New Roman" w:cs="Times New Roman"/>
        </w:rPr>
        <w:t xml:space="preserve">n and </w:t>
      </w:r>
      <w:r w:rsidRPr="00652CBF">
        <w:rPr>
          <w:rFonts w:ascii="Times New Roman" w:hAnsi="Times New Roman" w:cs="Times New Roman"/>
        </w:rPr>
        <w:t xml:space="preserve">female secondary school </w:t>
      </w:r>
      <w:r>
        <w:rPr>
          <w:rFonts w:ascii="Times New Roman" w:hAnsi="Times New Roman" w:cs="Times New Roman"/>
        </w:rPr>
        <w:t xml:space="preserve">enrolment significantly contribute to the Nigerian economic growth in the long term. On the other hand, </w:t>
      </w:r>
      <w:r w:rsidRPr="00652CBF">
        <w:rPr>
          <w:rFonts w:ascii="Times New Roman" w:hAnsi="Times New Roman" w:cs="Times New Roman"/>
        </w:rPr>
        <w:t>Gender Parity Index (GPI) for primary school enrolment</w:t>
      </w:r>
      <w:r>
        <w:rPr>
          <w:rFonts w:ascii="Times New Roman" w:hAnsi="Times New Roman" w:cs="Times New Roman"/>
        </w:rPr>
        <w:t xml:space="preserve"> does not improve economic growth in Nigeria</w:t>
      </w:r>
      <w:r w:rsidR="008B23A5">
        <w:rPr>
          <w:rFonts w:ascii="Times New Roman" w:hAnsi="Times New Roman" w:cs="Times New Roman"/>
        </w:rPr>
        <w:t xml:space="preserve"> in the long run</w:t>
      </w:r>
      <w:r>
        <w:rPr>
          <w:rFonts w:ascii="Times New Roman" w:hAnsi="Times New Roman" w:cs="Times New Roman"/>
        </w:rPr>
        <w:t>.</w:t>
      </w:r>
    </w:p>
    <w:p w14:paraId="47710C0A" w14:textId="7B359870" w:rsidR="00832003" w:rsidRDefault="00B715DA" w:rsidP="00832003">
      <w:pPr>
        <w:spacing w:before="75" w:after="0" w:line="480" w:lineRule="auto"/>
        <w:jc w:val="both"/>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5.2 </w:t>
      </w:r>
      <w:r w:rsidR="0061372F">
        <w:rPr>
          <w:rFonts w:ascii="Times New Roman" w:eastAsia="Times New Roman" w:hAnsi="Times New Roman" w:cs="Times New Roman"/>
          <w:b/>
          <w:bCs/>
          <w:color w:val="000000"/>
          <w:kern w:val="0"/>
          <w14:ligatures w14:val="none"/>
        </w:rPr>
        <w:t xml:space="preserve">Policy </w:t>
      </w:r>
      <w:r w:rsidR="00832003" w:rsidRPr="00A614CB">
        <w:rPr>
          <w:rFonts w:ascii="Times New Roman" w:eastAsia="Times New Roman" w:hAnsi="Times New Roman" w:cs="Times New Roman"/>
          <w:b/>
          <w:bCs/>
          <w:color w:val="000000"/>
          <w:kern w:val="0"/>
          <w14:ligatures w14:val="none"/>
        </w:rPr>
        <w:t>Recommendation</w:t>
      </w:r>
      <w:r w:rsidR="00832003">
        <w:rPr>
          <w:rFonts w:ascii="Times New Roman" w:eastAsia="Times New Roman" w:hAnsi="Times New Roman" w:cs="Times New Roman"/>
          <w:b/>
          <w:bCs/>
          <w:color w:val="000000"/>
          <w:kern w:val="0"/>
          <w14:ligatures w14:val="none"/>
        </w:rPr>
        <w:t>s</w:t>
      </w:r>
    </w:p>
    <w:p w14:paraId="322149FE" w14:textId="16CEBEDA" w:rsidR="003B2336" w:rsidRPr="003B2336" w:rsidRDefault="003B2336" w:rsidP="00832003">
      <w:pPr>
        <w:spacing w:before="75" w:after="0" w:line="480" w:lineRule="auto"/>
        <w:jc w:val="both"/>
        <w:rPr>
          <w:rFonts w:ascii="Times New Roman" w:eastAsia="Times New Roman" w:hAnsi="Times New Roman" w:cs="Times New Roman"/>
          <w:color w:val="000000"/>
          <w:kern w:val="0"/>
          <w14:ligatures w14:val="none"/>
        </w:rPr>
      </w:pPr>
      <w:r w:rsidRPr="003B2336">
        <w:rPr>
          <w:rFonts w:ascii="Times New Roman" w:eastAsia="Times New Roman" w:hAnsi="Times New Roman" w:cs="Times New Roman"/>
          <w:color w:val="000000"/>
          <w:kern w:val="0"/>
          <w14:ligatures w14:val="none"/>
        </w:rPr>
        <w:t>Based on the findings, the authors recommend that:</w:t>
      </w:r>
    </w:p>
    <w:p w14:paraId="56E7A97B" w14:textId="77777777" w:rsidR="00832003" w:rsidRPr="00E57344" w:rsidRDefault="00832003" w:rsidP="00832003">
      <w:pPr>
        <w:pStyle w:val="ListParagraph"/>
        <w:numPr>
          <w:ilvl w:val="0"/>
          <w:numId w:val="1"/>
        </w:numPr>
        <w:spacing w:before="75" w:after="0" w:line="480" w:lineRule="auto"/>
        <w:jc w:val="both"/>
        <w:rPr>
          <w:rFonts w:ascii="Times New Roman" w:hAnsi="Times New Roman" w:cs="Times New Roman"/>
        </w:rPr>
      </w:pPr>
      <w:r>
        <w:rPr>
          <w:rFonts w:ascii="Times New Roman" w:hAnsi="Times New Roman" w:cs="Times New Roman"/>
        </w:rPr>
        <w:t>T</w:t>
      </w:r>
      <w:r w:rsidRPr="00A71315">
        <w:rPr>
          <w:rFonts w:ascii="Times New Roman" w:hAnsi="Times New Roman" w:cs="Times New Roman"/>
        </w:rPr>
        <w:t xml:space="preserve">he </w:t>
      </w:r>
      <w:bookmarkStart w:id="18" w:name="_Hlk204481811"/>
      <w:r w:rsidRPr="00A71315">
        <w:rPr>
          <w:rFonts w:ascii="Times New Roman" w:hAnsi="Times New Roman" w:cs="Times New Roman"/>
        </w:rPr>
        <w:t>Nigerian government should institutionalize a long-term education financing framework. This should prioritize consistent, accountable, and outcome-driven investments to ensure that educational spending translates into sustainable economic growth</w:t>
      </w:r>
      <w:bookmarkEnd w:id="18"/>
      <w:r w:rsidRPr="00B2035F">
        <w:rPr>
          <w:rFonts w:ascii="Times New Roman" w:hAnsi="Times New Roman" w:cs="Times New Roman"/>
        </w:rPr>
        <w:t>.</w:t>
      </w:r>
    </w:p>
    <w:p w14:paraId="105DC953" w14:textId="3244F29A" w:rsidR="00832003" w:rsidRPr="00E57344" w:rsidRDefault="00832003" w:rsidP="00832003">
      <w:pPr>
        <w:pStyle w:val="ListParagraph"/>
        <w:numPr>
          <w:ilvl w:val="0"/>
          <w:numId w:val="1"/>
        </w:numPr>
        <w:spacing w:before="75" w:after="0" w:line="480" w:lineRule="auto"/>
        <w:jc w:val="both"/>
        <w:rPr>
          <w:rFonts w:ascii="Times New Roman" w:hAnsi="Times New Roman" w:cs="Times New Roman"/>
        </w:rPr>
      </w:pPr>
      <w:bookmarkStart w:id="19" w:name="_Hlk204481995"/>
      <w:r>
        <w:rPr>
          <w:rFonts w:ascii="Times New Roman" w:hAnsi="Times New Roman" w:cs="Times New Roman"/>
        </w:rPr>
        <w:t xml:space="preserve">Government </w:t>
      </w:r>
      <w:r w:rsidRPr="005D3902">
        <w:rPr>
          <w:rFonts w:ascii="Times New Roman" w:hAnsi="Times New Roman" w:cs="Times New Roman"/>
        </w:rPr>
        <w:t xml:space="preserve">policies should focus on removing socio-economic barriers to girls’ education by providing scholarships, enforcing anti-child marriage laws, and </w:t>
      </w:r>
      <w:r w:rsidRPr="00F8657A">
        <w:rPr>
          <w:rFonts w:ascii="Times New Roman" w:hAnsi="Times New Roman" w:cs="Times New Roman"/>
        </w:rPr>
        <w:t>expanding school networks in rural areas</w:t>
      </w:r>
      <w:r>
        <w:rPr>
          <w:rFonts w:ascii="Times New Roman" w:hAnsi="Times New Roman" w:cs="Times New Roman"/>
        </w:rPr>
        <w:t xml:space="preserve"> </w:t>
      </w:r>
      <w:r w:rsidRPr="005D3902">
        <w:rPr>
          <w:rFonts w:ascii="Times New Roman" w:hAnsi="Times New Roman" w:cs="Times New Roman"/>
        </w:rPr>
        <w:t>to maximize labo</w:t>
      </w:r>
      <w:r w:rsidR="006D44CA">
        <w:rPr>
          <w:rFonts w:ascii="Times New Roman" w:hAnsi="Times New Roman" w:cs="Times New Roman"/>
        </w:rPr>
        <w:t>u</w:t>
      </w:r>
      <w:r w:rsidRPr="005D3902">
        <w:rPr>
          <w:rFonts w:ascii="Times New Roman" w:hAnsi="Times New Roman" w:cs="Times New Roman"/>
        </w:rPr>
        <w:t>r force participation and productivity</w:t>
      </w:r>
      <w:r w:rsidRPr="00E57344">
        <w:rPr>
          <w:rFonts w:ascii="Times New Roman" w:hAnsi="Times New Roman" w:cs="Times New Roman"/>
        </w:rPr>
        <w:t xml:space="preserve">. </w:t>
      </w:r>
      <w:bookmarkEnd w:id="19"/>
    </w:p>
    <w:p w14:paraId="3D832E85" w14:textId="306D4677" w:rsidR="00832003" w:rsidRPr="004144FE" w:rsidRDefault="00832003" w:rsidP="00832003">
      <w:pPr>
        <w:pStyle w:val="ListParagraph"/>
        <w:numPr>
          <w:ilvl w:val="0"/>
          <w:numId w:val="1"/>
        </w:numPr>
        <w:spacing w:before="75" w:after="0" w:line="480" w:lineRule="auto"/>
        <w:jc w:val="both"/>
        <w:rPr>
          <w:rFonts w:ascii="Times New Roman" w:hAnsi="Times New Roman" w:cs="Times New Roman"/>
        </w:rPr>
      </w:pPr>
      <w:r w:rsidRPr="005D3902">
        <w:rPr>
          <w:rFonts w:ascii="Times New Roman" w:hAnsi="Times New Roman" w:cs="Times New Roman"/>
        </w:rPr>
        <w:t xml:space="preserve">The </w:t>
      </w:r>
      <w:bookmarkStart w:id="20" w:name="_Hlk204483234"/>
      <w:r w:rsidRPr="005D3902">
        <w:rPr>
          <w:rFonts w:ascii="Times New Roman" w:hAnsi="Times New Roman" w:cs="Times New Roman"/>
        </w:rPr>
        <w:t>government should re-evaluate gender-targeted interventions at the primary level to ensure they are not only inclusive but also effective in improving learning outcomes and long-term economic contributions</w:t>
      </w:r>
      <w:bookmarkEnd w:id="20"/>
      <w:r w:rsidRPr="00E57344">
        <w:rPr>
          <w:rFonts w:ascii="Times New Roman" w:hAnsi="Times New Roman" w:cs="Times New Roman"/>
        </w:rPr>
        <w:t xml:space="preserve">. </w:t>
      </w:r>
    </w:p>
    <w:p w14:paraId="5B687416" w14:textId="77777777" w:rsidR="00FE5BFA" w:rsidRDefault="00FE5BFA" w:rsidP="000E7ADD">
      <w:pPr>
        <w:spacing w:line="480" w:lineRule="auto"/>
        <w:jc w:val="both"/>
        <w:rPr>
          <w:rFonts w:ascii="Times New Roman" w:hAnsi="Times New Roman" w:cs="Times New Roman"/>
          <w:b/>
          <w:bCs/>
        </w:rPr>
      </w:pPr>
    </w:p>
    <w:p w14:paraId="4671080E" w14:textId="77777777" w:rsidR="00FE5BFA" w:rsidRDefault="00FE5BFA" w:rsidP="000E7ADD">
      <w:pPr>
        <w:spacing w:line="480" w:lineRule="auto"/>
        <w:jc w:val="both"/>
        <w:rPr>
          <w:rFonts w:ascii="Times New Roman" w:hAnsi="Times New Roman" w:cs="Times New Roman"/>
          <w:b/>
          <w:bCs/>
        </w:rPr>
      </w:pPr>
    </w:p>
    <w:p w14:paraId="56340F5C" w14:textId="513A58E4" w:rsidR="00C109B8" w:rsidRDefault="00C237AE" w:rsidP="000E7ADD">
      <w:pPr>
        <w:spacing w:line="480" w:lineRule="auto"/>
        <w:jc w:val="both"/>
        <w:rPr>
          <w:rFonts w:ascii="Times New Roman" w:hAnsi="Times New Roman" w:cs="Times New Roman"/>
          <w:b/>
          <w:bCs/>
        </w:rPr>
      </w:pPr>
      <w:r w:rsidRPr="00C109B8">
        <w:rPr>
          <w:rFonts w:ascii="Times New Roman" w:hAnsi="Times New Roman" w:cs="Times New Roman"/>
          <w:b/>
          <w:bCs/>
        </w:rPr>
        <w:t>Disclaimer</w:t>
      </w:r>
    </w:p>
    <w:p w14:paraId="7DC5F8F6" w14:textId="7C9EB7E3" w:rsidR="005A2033" w:rsidRDefault="00B657A2" w:rsidP="000E7ADD">
      <w:pPr>
        <w:spacing w:line="480" w:lineRule="auto"/>
        <w:jc w:val="both"/>
        <w:rPr>
          <w:rFonts w:ascii="Times New Roman" w:hAnsi="Times New Roman" w:cs="Times New Roman"/>
        </w:rPr>
      </w:pPr>
      <w:r w:rsidRPr="00B657A2">
        <w:rPr>
          <w:rFonts w:ascii="Times New Roman" w:hAnsi="Times New Roman" w:cs="Times New Roman"/>
        </w:rPr>
        <w:t>The products used in this research are commonly and predominantly used in our area of research and country. There is absolutely no conflict of interest between the authors and the producers of these products, as we do not intend to use them for any form of litigation but solely for the advancement of knowledge. Additionally, this research was not funded by the producing companies; it was entirely supported through the personal efforts of the authors.</w:t>
      </w:r>
    </w:p>
    <w:p w14:paraId="4C7800FE" w14:textId="63CED8F4" w:rsidR="00832003" w:rsidRDefault="000E7ADD" w:rsidP="000E7ADD">
      <w:pPr>
        <w:spacing w:line="480" w:lineRule="auto"/>
        <w:jc w:val="both"/>
        <w:rPr>
          <w:rFonts w:ascii="Times New Roman" w:hAnsi="Times New Roman" w:cs="Times New Roman"/>
          <w:b/>
          <w:bCs/>
        </w:rPr>
      </w:pPr>
      <w:r w:rsidRPr="000E7ADD">
        <w:rPr>
          <w:rFonts w:ascii="Times New Roman" w:hAnsi="Times New Roman" w:cs="Times New Roman"/>
          <w:b/>
          <w:bCs/>
        </w:rPr>
        <w:lastRenderedPageBreak/>
        <w:t>Competing Interests</w:t>
      </w:r>
    </w:p>
    <w:p w14:paraId="6FF28CD7" w14:textId="6B648BA2" w:rsidR="000E7ADD" w:rsidRPr="00392346" w:rsidRDefault="00392346" w:rsidP="000E7ADD">
      <w:pPr>
        <w:spacing w:line="480" w:lineRule="auto"/>
        <w:jc w:val="both"/>
        <w:rPr>
          <w:rFonts w:ascii="Times New Roman" w:hAnsi="Times New Roman" w:cs="Times New Roman"/>
        </w:rPr>
      </w:pPr>
      <w:r w:rsidRPr="00392346">
        <w:rPr>
          <w:rFonts w:ascii="Times New Roman" w:hAnsi="Times New Roman" w:cs="Times New Roman"/>
        </w:rPr>
        <w:t>Authors have declared that no competing interests exist.</w:t>
      </w:r>
    </w:p>
    <w:p w14:paraId="32CAF880" w14:textId="77777777" w:rsidR="00832003" w:rsidRDefault="00832003" w:rsidP="00832003"/>
    <w:p w14:paraId="2FAC1361" w14:textId="77777777" w:rsidR="00832003" w:rsidRDefault="00832003" w:rsidP="00832003"/>
    <w:p w14:paraId="777031A6" w14:textId="77777777" w:rsidR="00832003" w:rsidRDefault="00832003" w:rsidP="00832003"/>
    <w:p w14:paraId="262D9D19" w14:textId="77777777" w:rsidR="00832003" w:rsidRDefault="00832003" w:rsidP="00832003"/>
    <w:p w14:paraId="3EF0A239" w14:textId="77777777" w:rsidR="00832003" w:rsidRDefault="00832003" w:rsidP="00832003"/>
    <w:p w14:paraId="308C2BE4" w14:textId="77777777" w:rsidR="00832003" w:rsidRDefault="00832003" w:rsidP="00832003"/>
    <w:p w14:paraId="0C7C92BD" w14:textId="77777777" w:rsidR="00832003" w:rsidRDefault="00832003" w:rsidP="00832003"/>
    <w:p w14:paraId="05A36B4E" w14:textId="77777777" w:rsidR="00832003" w:rsidRDefault="00832003" w:rsidP="00832003"/>
    <w:p w14:paraId="72BCA987" w14:textId="5042E3C5" w:rsidR="00832003" w:rsidRDefault="00832003" w:rsidP="004F4AE5">
      <w:pPr>
        <w:spacing w:line="240" w:lineRule="auto"/>
        <w:jc w:val="both"/>
        <w:rPr>
          <w:rFonts w:ascii="Times New Roman" w:hAnsi="Times New Roman" w:cs="Times New Roman"/>
        </w:rPr>
      </w:pPr>
    </w:p>
    <w:p w14:paraId="6DFED878" w14:textId="77777777" w:rsidR="00670E66" w:rsidRDefault="00670E66" w:rsidP="004F4AE5">
      <w:pPr>
        <w:spacing w:line="240" w:lineRule="auto"/>
        <w:jc w:val="both"/>
        <w:rPr>
          <w:rFonts w:ascii="Times New Roman" w:hAnsi="Times New Roman" w:cs="Times New Roman"/>
        </w:rPr>
      </w:pPr>
    </w:p>
    <w:p w14:paraId="39216C26" w14:textId="77777777" w:rsidR="00670E66" w:rsidRDefault="00670E66" w:rsidP="004F4AE5">
      <w:pPr>
        <w:spacing w:line="240" w:lineRule="auto"/>
        <w:jc w:val="both"/>
        <w:rPr>
          <w:rFonts w:ascii="Times New Roman" w:hAnsi="Times New Roman" w:cs="Times New Roman"/>
        </w:rPr>
      </w:pPr>
    </w:p>
    <w:p w14:paraId="4EE52672" w14:textId="77777777" w:rsidR="00670E66" w:rsidRDefault="00670E66" w:rsidP="004F4AE5">
      <w:pPr>
        <w:spacing w:line="240" w:lineRule="auto"/>
        <w:jc w:val="both"/>
        <w:rPr>
          <w:rFonts w:ascii="Times New Roman" w:hAnsi="Times New Roman" w:cs="Times New Roman"/>
        </w:rPr>
      </w:pPr>
    </w:p>
    <w:p w14:paraId="62A2332B" w14:textId="77777777" w:rsidR="00670E66" w:rsidRDefault="00670E66" w:rsidP="004F4AE5">
      <w:pPr>
        <w:spacing w:line="240" w:lineRule="auto"/>
        <w:jc w:val="both"/>
        <w:rPr>
          <w:rFonts w:ascii="Times New Roman" w:hAnsi="Times New Roman" w:cs="Times New Roman"/>
        </w:rPr>
      </w:pPr>
    </w:p>
    <w:p w14:paraId="0D2CA011" w14:textId="77777777" w:rsidR="00670E66" w:rsidRDefault="00670E66" w:rsidP="004F4AE5">
      <w:pPr>
        <w:spacing w:line="240" w:lineRule="auto"/>
        <w:jc w:val="both"/>
        <w:rPr>
          <w:rFonts w:ascii="Times New Roman" w:hAnsi="Times New Roman" w:cs="Times New Roman"/>
        </w:rPr>
      </w:pPr>
    </w:p>
    <w:p w14:paraId="5ED9E854" w14:textId="77777777" w:rsidR="00670E66" w:rsidRDefault="00670E66" w:rsidP="004F4AE5">
      <w:pPr>
        <w:spacing w:line="240" w:lineRule="auto"/>
        <w:jc w:val="both"/>
        <w:rPr>
          <w:rFonts w:ascii="Times New Roman" w:hAnsi="Times New Roman" w:cs="Times New Roman"/>
        </w:rPr>
      </w:pPr>
    </w:p>
    <w:p w14:paraId="2C799FAC" w14:textId="77777777" w:rsidR="00670E66" w:rsidRDefault="00670E66" w:rsidP="004F4AE5">
      <w:pPr>
        <w:spacing w:line="240" w:lineRule="auto"/>
        <w:jc w:val="both"/>
        <w:rPr>
          <w:rFonts w:ascii="Times New Roman" w:hAnsi="Times New Roman" w:cs="Times New Roman"/>
        </w:rPr>
      </w:pPr>
    </w:p>
    <w:p w14:paraId="05CE91DC" w14:textId="77777777" w:rsidR="00670E66" w:rsidRDefault="00670E66" w:rsidP="004F4AE5">
      <w:pPr>
        <w:spacing w:line="240" w:lineRule="auto"/>
        <w:jc w:val="both"/>
        <w:rPr>
          <w:rFonts w:ascii="Times New Roman" w:hAnsi="Times New Roman" w:cs="Times New Roman"/>
        </w:rPr>
      </w:pPr>
    </w:p>
    <w:p w14:paraId="0365DACE" w14:textId="77777777" w:rsidR="00670E66" w:rsidRDefault="00670E66" w:rsidP="004F4AE5">
      <w:pPr>
        <w:spacing w:line="240" w:lineRule="auto"/>
        <w:jc w:val="both"/>
        <w:rPr>
          <w:rFonts w:ascii="Times New Roman" w:hAnsi="Times New Roman" w:cs="Times New Roman"/>
        </w:rPr>
      </w:pPr>
    </w:p>
    <w:p w14:paraId="752C9B1A" w14:textId="77777777" w:rsidR="00670E66" w:rsidRDefault="00670E66" w:rsidP="004F4AE5">
      <w:pPr>
        <w:spacing w:line="240" w:lineRule="auto"/>
        <w:jc w:val="both"/>
        <w:rPr>
          <w:rFonts w:ascii="Times New Roman" w:hAnsi="Times New Roman" w:cs="Times New Roman"/>
        </w:rPr>
      </w:pPr>
    </w:p>
    <w:p w14:paraId="5B82B08B" w14:textId="77777777" w:rsidR="00670E66" w:rsidRPr="00214874" w:rsidRDefault="00670E66" w:rsidP="00670E66">
      <w:pPr>
        <w:spacing w:line="240" w:lineRule="auto"/>
        <w:ind w:left="3600"/>
        <w:jc w:val="both"/>
        <w:rPr>
          <w:rFonts w:ascii="Times New Roman" w:hAnsi="Times New Roman" w:cs="Times New Roman"/>
          <w:b/>
          <w:bCs/>
        </w:rPr>
      </w:pPr>
      <w:r w:rsidRPr="00214874">
        <w:rPr>
          <w:rFonts w:ascii="Times New Roman" w:hAnsi="Times New Roman" w:cs="Times New Roman"/>
          <w:b/>
          <w:bCs/>
        </w:rPr>
        <w:t xml:space="preserve">       </w:t>
      </w:r>
      <w:bookmarkStart w:id="21" w:name="_Hlk205200097"/>
      <w:r w:rsidRPr="00214874">
        <w:rPr>
          <w:rFonts w:ascii="Times New Roman" w:hAnsi="Times New Roman" w:cs="Times New Roman"/>
          <w:b/>
          <w:bCs/>
        </w:rPr>
        <w:t>References</w:t>
      </w:r>
    </w:p>
    <w:bookmarkEnd w:id="21"/>
    <w:p w14:paraId="3FBB98A4"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Jorgenson D, Fraumeni B. </w:t>
      </w:r>
      <w:r w:rsidRPr="00214874">
        <w:rPr>
          <w:rFonts w:ascii="Times New Roman" w:hAnsi="Times New Roman" w:cs="Times New Roman"/>
          <w:i/>
          <w:iCs/>
        </w:rPr>
        <w:t xml:space="preserve">Investment in education and U.S. economic growth; 1992. </w:t>
      </w:r>
      <w:proofErr w:type="spellStart"/>
      <w:r w:rsidRPr="00214874">
        <w:rPr>
          <w:rFonts w:ascii="Times New Roman" w:hAnsi="Times New Roman" w:cs="Times New Roman"/>
          <w:i/>
          <w:iCs/>
        </w:rPr>
        <w:t>Available:</w:t>
      </w:r>
      <w:hyperlink r:id="rId9"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://doi.org/10.2307/3440246</w:t>
        </w:r>
      </w:hyperlink>
    </w:p>
    <w:p w14:paraId="1ADBA4BF"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World Bank. </w:t>
      </w:r>
      <w:r w:rsidRPr="00214874">
        <w:rPr>
          <w:rFonts w:ascii="Times New Roman" w:hAnsi="Times New Roman" w:cs="Times New Roman"/>
          <w:i/>
          <w:iCs/>
        </w:rPr>
        <w:t>Literacy rate (%) - Nigeria;2021.</w:t>
      </w:r>
      <w:r w:rsidRPr="00214874">
        <w:rPr>
          <w:rFonts w:ascii="Times New Roman" w:hAnsi="Times New Roman" w:cs="Times New Roman"/>
        </w:rPr>
        <w:t xml:space="preserve"> Available: https://genderdata.worldbank.org/en/indicator/se-adt?view=trend&amp;geos=NGA&amp;gender=female&amp;gender=male</w:t>
      </w:r>
    </w:p>
    <w:p w14:paraId="774BECB4"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proofErr w:type="spellStart"/>
      <w:r w:rsidRPr="00214874">
        <w:rPr>
          <w:rFonts w:ascii="Times New Roman" w:hAnsi="Times New Roman" w:cs="Times New Roman"/>
        </w:rPr>
        <w:t>Nasidi</w:t>
      </w:r>
      <w:proofErr w:type="spellEnd"/>
      <w:r w:rsidRPr="00214874">
        <w:rPr>
          <w:rFonts w:ascii="Times New Roman" w:hAnsi="Times New Roman" w:cs="Times New Roman"/>
        </w:rPr>
        <w:t xml:space="preserve"> NA. </w:t>
      </w:r>
      <w:r w:rsidRPr="00214874">
        <w:rPr>
          <w:rFonts w:ascii="Times New Roman" w:hAnsi="Times New Roman" w:cs="Times New Roman"/>
          <w:i/>
          <w:iCs/>
        </w:rPr>
        <w:t>Must they go to school? Northern Nigeria and the challenges of girl child education, 1999-2015</w:t>
      </w:r>
      <w:r w:rsidRPr="00214874">
        <w:rPr>
          <w:rFonts w:ascii="Times New Roman" w:hAnsi="Times New Roman" w:cs="Times New Roman"/>
        </w:rPr>
        <w:t xml:space="preserve">. Reconstructing the Past: Journal of Historical Studies. 2024;2(3):60-69. </w:t>
      </w:r>
      <w:proofErr w:type="spellStart"/>
      <w:r w:rsidRPr="00214874">
        <w:rPr>
          <w:rFonts w:ascii="Times New Roman" w:hAnsi="Times New Roman" w:cs="Times New Roman"/>
        </w:rPr>
        <w:t>Available:</w:t>
      </w:r>
      <w:hyperlink r:id="rId10"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://doi.org/10.54414/zxuj8630</w:t>
        </w:r>
      </w:hyperlink>
    </w:p>
    <w:p w14:paraId="36C4B3DF"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bookmarkStart w:id="22" w:name="_Hlk205209029"/>
      <w:r w:rsidRPr="00214874">
        <w:rPr>
          <w:rFonts w:ascii="Times New Roman" w:hAnsi="Times New Roman" w:cs="Times New Roman"/>
        </w:rPr>
        <w:t xml:space="preserve">Ibrahim Z, Khan A, Ramli J. </w:t>
      </w:r>
      <w:r w:rsidRPr="00214874">
        <w:rPr>
          <w:rFonts w:ascii="Times New Roman" w:hAnsi="Times New Roman" w:cs="Times New Roman"/>
          <w:i/>
          <w:iCs/>
        </w:rPr>
        <w:t>Cultural and socio-economic status factors affecting female education in Sokoto State, Northern Nigeria: Implication for counselling</w:t>
      </w:r>
      <w:r w:rsidRPr="00214874">
        <w:rPr>
          <w:rFonts w:ascii="Times New Roman" w:hAnsi="Times New Roman" w:cs="Times New Roman"/>
        </w:rPr>
        <w:t xml:space="preserve">. </w:t>
      </w:r>
      <w:r w:rsidRPr="00214874">
        <w:rPr>
          <w:rFonts w:ascii="Times New Roman" w:hAnsi="Times New Roman" w:cs="Times New Roman"/>
        </w:rPr>
        <w:lastRenderedPageBreak/>
        <w:t xml:space="preserve">Universal Journal of Educational Research. 2020;8(11):124-128. </w:t>
      </w:r>
      <w:proofErr w:type="spellStart"/>
      <w:r w:rsidRPr="00214874">
        <w:rPr>
          <w:rFonts w:ascii="Times New Roman" w:hAnsi="Times New Roman" w:cs="Times New Roman"/>
        </w:rPr>
        <w:t>Available:</w:t>
      </w:r>
      <w:hyperlink r:id="rId11"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://doi.org/10.13189/ujer.2020.082314</w:t>
        </w:r>
      </w:hyperlink>
      <w:bookmarkEnd w:id="22"/>
    </w:p>
    <w:p w14:paraId="33353CDE"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eastAsia="Times New Roman" w:hAnsi="Times New Roman" w:cs="Times New Roman"/>
        </w:rPr>
        <w:t xml:space="preserve">World Bank. </w:t>
      </w:r>
      <w:r w:rsidRPr="00214874">
        <w:rPr>
          <w:rFonts w:ascii="Times New Roman" w:eastAsia="Times New Roman" w:hAnsi="Times New Roman" w:cs="Times New Roman"/>
          <w:i/>
          <w:iCs/>
        </w:rPr>
        <w:t xml:space="preserve">School enrolment, primary (gross), gender parity index (GPI) - Nigeria; </w:t>
      </w:r>
      <w:r w:rsidRPr="00214874">
        <w:rPr>
          <w:rFonts w:ascii="Times New Roman" w:eastAsia="Times New Roman" w:hAnsi="Times New Roman" w:cs="Times New Roman"/>
        </w:rPr>
        <w:t>2019</w:t>
      </w:r>
      <w:r w:rsidRPr="00214874">
        <w:rPr>
          <w:rFonts w:ascii="Times New Roman" w:eastAsia="Times New Roman" w:hAnsi="Times New Roman" w:cs="Times New Roman"/>
          <w:i/>
          <w:iCs/>
        </w:rPr>
        <w:t xml:space="preserve">. </w:t>
      </w:r>
      <w:r w:rsidRPr="00214874">
        <w:rPr>
          <w:rFonts w:ascii="Times New Roman" w:eastAsia="Times New Roman" w:hAnsi="Times New Roman" w:cs="Times New Roman"/>
        </w:rPr>
        <w:t>Available:</w:t>
      </w:r>
      <w:hyperlink r:id="rId12" w:history="1">
        <w:r w:rsidRPr="00214874">
          <w:rPr>
            <w:rStyle w:val="Hyperlink"/>
            <w:rFonts w:ascii="Times New Roman" w:eastAsia="Times New Roman" w:hAnsi="Times New Roman" w:cs="Times New Roman"/>
            <w:u w:val="none"/>
          </w:rPr>
          <w:t>https://data.worldbank.org/indicator/SE.ENR.PRIM.FM.ZS?locations=NG</w:t>
        </w:r>
      </w:hyperlink>
    </w:p>
    <w:p w14:paraId="1C6CD5BC" w14:textId="77777777" w:rsidR="00670E66" w:rsidRPr="00214874" w:rsidRDefault="00670E66" w:rsidP="00670E66">
      <w:pPr>
        <w:pStyle w:val="ListParagraph"/>
        <w:numPr>
          <w:ilvl w:val="0"/>
          <w:numId w:val="3"/>
        </w:numPr>
        <w:spacing w:line="240" w:lineRule="auto"/>
        <w:jc w:val="both"/>
        <w:rPr>
          <w:rFonts w:ascii="Times New Roman" w:eastAsia="Times New Roman" w:hAnsi="Times New Roman" w:cs="Times New Roman"/>
        </w:rPr>
      </w:pPr>
      <w:r w:rsidRPr="00214874">
        <w:rPr>
          <w:rFonts w:ascii="Times New Roman" w:eastAsia="Times New Roman" w:hAnsi="Times New Roman" w:cs="Times New Roman"/>
        </w:rPr>
        <w:t xml:space="preserve">World Bank. </w:t>
      </w:r>
      <w:r w:rsidRPr="00214874">
        <w:rPr>
          <w:rFonts w:ascii="Times New Roman" w:eastAsia="Times New Roman" w:hAnsi="Times New Roman" w:cs="Times New Roman"/>
          <w:i/>
          <w:iCs/>
        </w:rPr>
        <w:t>Domestic general government health expenditure (% of general government expenditure) – Nigeria</w:t>
      </w:r>
      <w:r w:rsidRPr="00214874">
        <w:rPr>
          <w:rFonts w:ascii="Times New Roman" w:eastAsia="Times New Roman" w:hAnsi="Times New Roman" w:cs="Times New Roman"/>
        </w:rPr>
        <w:t>; 2022). Available:</w:t>
      </w:r>
      <w:hyperlink r:id="rId13" w:history="1">
        <w:r w:rsidRPr="00214874">
          <w:rPr>
            <w:rStyle w:val="Hyperlink"/>
            <w:rFonts w:ascii="Times New Roman" w:eastAsia="Times New Roman" w:hAnsi="Times New Roman" w:cs="Times New Roman"/>
            <w:u w:val="none"/>
          </w:rPr>
          <w:t>https://data.worldbank.org/indicator/SH.XPD.GHED.GE.ZS?locations=NG</w:t>
        </w:r>
      </w:hyperlink>
    </w:p>
    <w:p w14:paraId="165052E8"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eastAsia="Times New Roman" w:hAnsi="Times New Roman" w:cs="Times New Roman"/>
        </w:rPr>
        <w:t xml:space="preserve">Altuzarra A, </w:t>
      </w:r>
      <w:proofErr w:type="spellStart"/>
      <w:r w:rsidRPr="00214874">
        <w:rPr>
          <w:rFonts w:ascii="Times New Roman" w:eastAsia="Times New Roman" w:hAnsi="Times New Roman" w:cs="Times New Roman"/>
        </w:rPr>
        <w:t>Gálvez-Gálvez</w:t>
      </w:r>
      <w:proofErr w:type="spellEnd"/>
      <w:r w:rsidRPr="00214874">
        <w:rPr>
          <w:rFonts w:ascii="Times New Roman" w:eastAsia="Times New Roman" w:hAnsi="Times New Roman" w:cs="Times New Roman"/>
        </w:rPr>
        <w:t xml:space="preserve"> C, González-Flores A. Is gender inequality a barrier to economic growth? A panel data analysis of developing countries; 2021. </w:t>
      </w:r>
      <w:proofErr w:type="spellStart"/>
      <w:r w:rsidRPr="00214874">
        <w:rPr>
          <w:rFonts w:ascii="Times New Roman" w:eastAsia="Times New Roman" w:hAnsi="Times New Roman" w:cs="Times New Roman"/>
        </w:rPr>
        <w:t>Available:</w:t>
      </w:r>
      <w:hyperlink r:id="rId14" w:history="1">
        <w:r w:rsidRPr="00214874">
          <w:rPr>
            <w:rStyle w:val="Hyperlink"/>
            <w:rFonts w:ascii="Times New Roman" w:eastAsia="Times New Roman" w:hAnsi="Times New Roman" w:cs="Times New Roman"/>
            <w:u w:val="none"/>
          </w:rPr>
          <w:t>https</w:t>
        </w:r>
        <w:proofErr w:type="spellEnd"/>
        <w:r w:rsidRPr="00214874">
          <w:rPr>
            <w:rStyle w:val="Hyperlink"/>
            <w:rFonts w:ascii="Times New Roman" w:eastAsia="Times New Roman" w:hAnsi="Times New Roman" w:cs="Times New Roman"/>
            <w:u w:val="none"/>
          </w:rPr>
          <w:t>://doi.org/10.3390/su13010367</w:t>
        </w:r>
      </w:hyperlink>
    </w:p>
    <w:p w14:paraId="22895E4F"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Ali Z. Gender equality and economic growth: Solving the Asian puzzle; 2023. Available:</w:t>
      </w:r>
      <w:hyperlink r:id="rId15" w:history="1">
        <w:r w:rsidRPr="00214874">
          <w:rPr>
            <w:rStyle w:val="Hyperlink"/>
            <w:rFonts w:ascii="Times New Roman" w:hAnsi="Times New Roman" w:cs="Times New Roman"/>
            <w:u w:val="none"/>
          </w:rPr>
          <w:t>https://www.econ.berkeley.edu/sites/default/files/ALI_Zoya_Spring%202021.pdf</w:t>
        </w:r>
      </w:hyperlink>
    </w:p>
    <w:p w14:paraId="0AF3AFE1"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Klassen S. The impact of gender inequality on economic performance in developing countries. Annual Review of Resource Economics. </w:t>
      </w:r>
      <w:proofErr w:type="gramStart"/>
      <w:r w:rsidRPr="00214874">
        <w:rPr>
          <w:rFonts w:ascii="Times New Roman" w:hAnsi="Times New Roman" w:cs="Times New Roman"/>
        </w:rPr>
        <w:t>2018;10:279</w:t>
      </w:r>
      <w:proofErr w:type="gramEnd"/>
      <w:r w:rsidRPr="00214874">
        <w:rPr>
          <w:rFonts w:ascii="Times New Roman" w:hAnsi="Times New Roman" w:cs="Times New Roman"/>
        </w:rPr>
        <w:t xml:space="preserve">-298. </w:t>
      </w:r>
      <w:hyperlink r:id="rId16" w:history="1">
        <w:r w:rsidRPr="00214874">
          <w:rPr>
            <w:rStyle w:val="Hyperlink"/>
            <w:rFonts w:ascii="Times New Roman" w:hAnsi="Times New Roman" w:cs="Times New Roman"/>
            <w:u w:val="none"/>
          </w:rPr>
          <w:t>https://doi.org/10.1146/ANNUREV-RESOURCE-100517-023429</w:t>
        </w:r>
      </w:hyperlink>
    </w:p>
    <w:p w14:paraId="41AF0089"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proofErr w:type="spellStart"/>
      <w:r w:rsidRPr="00214874">
        <w:rPr>
          <w:rFonts w:ascii="Times New Roman" w:hAnsi="Times New Roman" w:cs="Times New Roman"/>
        </w:rPr>
        <w:t>Assoumou</w:t>
      </w:r>
      <w:proofErr w:type="spellEnd"/>
      <w:r w:rsidRPr="00214874">
        <w:rPr>
          <w:rFonts w:ascii="Times New Roman" w:hAnsi="Times New Roman" w:cs="Times New Roman"/>
        </w:rPr>
        <w:t xml:space="preserve">-Ella G. Gender inequality in education and Per Capita GDP: The case of CEMAC Countries; 2019. </w:t>
      </w:r>
      <w:proofErr w:type="spellStart"/>
      <w:r w:rsidRPr="00214874">
        <w:rPr>
          <w:rFonts w:ascii="Times New Roman" w:hAnsi="Times New Roman" w:cs="Times New Roman"/>
        </w:rPr>
        <w:t>Available:</w:t>
      </w:r>
      <w:hyperlink r:id="rId17"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://doi.org/10.2139/ssrn.3391773</w:t>
        </w:r>
      </w:hyperlink>
    </w:p>
    <w:p w14:paraId="71B471A4" w14:textId="77777777" w:rsidR="00670E66" w:rsidRPr="00214874" w:rsidRDefault="00670E66" w:rsidP="00670E66">
      <w:pPr>
        <w:pStyle w:val="ListParagraph"/>
        <w:numPr>
          <w:ilvl w:val="0"/>
          <w:numId w:val="3"/>
        </w:numPr>
        <w:spacing w:line="240" w:lineRule="auto"/>
        <w:jc w:val="both"/>
        <w:rPr>
          <w:rFonts w:ascii="Times New Roman" w:eastAsia="Times New Roman" w:hAnsi="Times New Roman" w:cs="Times New Roman"/>
        </w:rPr>
      </w:pPr>
      <w:proofErr w:type="spellStart"/>
      <w:r w:rsidRPr="00214874">
        <w:rPr>
          <w:rFonts w:ascii="Times New Roman" w:eastAsia="Times New Roman" w:hAnsi="Times New Roman" w:cs="Times New Roman"/>
        </w:rPr>
        <w:t>Sehar</w:t>
      </w:r>
      <w:proofErr w:type="spellEnd"/>
      <w:r w:rsidRPr="00214874">
        <w:rPr>
          <w:rFonts w:ascii="Times New Roman" w:eastAsia="Times New Roman" w:hAnsi="Times New Roman" w:cs="Times New Roman"/>
        </w:rPr>
        <w:t xml:space="preserve"> N, Bhatia S, Sharma M. </w:t>
      </w:r>
      <w:r w:rsidRPr="00214874">
        <w:rPr>
          <w:rFonts w:ascii="Times New Roman" w:eastAsia="Times New Roman" w:hAnsi="Times New Roman" w:cs="Times New Roman"/>
          <w:i/>
          <w:iCs/>
        </w:rPr>
        <w:t>Gender equality and economic growth: An econometric analysis using World Development Indicators.</w:t>
      </w:r>
      <w:r w:rsidRPr="00214874">
        <w:rPr>
          <w:rFonts w:ascii="Times New Roman" w:eastAsia="Times New Roman" w:hAnsi="Times New Roman" w:cs="Times New Roman"/>
        </w:rPr>
        <w:tab/>
        <w:t xml:space="preserve">Research Hub International Multidisciplinary Research Journal. 2025;12(6):46–54. </w:t>
      </w:r>
      <w:proofErr w:type="spellStart"/>
      <w:r w:rsidRPr="00214874">
        <w:rPr>
          <w:rFonts w:ascii="Times New Roman" w:eastAsia="Times New Roman" w:hAnsi="Times New Roman" w:cs="Times New Roman"/>
        </w:rPr>
        <w:t>Available:</w:t>
      </w:r>
      <w:hyperlink r:id="rId18" w:history="1">
        <w:r w:rsidRPr="00214874">
          <w:rPr>
            <w:rStyle w:val="Hyperlink"/>
            <w:rFonts w:ascii="Times New Roman" w:eastAsia="Times New Roman" w:hAnsi="Times New Roman" w:cs="Times New Roman"/>
            <w:u w:val="none"/>
          </w:rPr>
          <w:t>https</w:t>
        </w:r>
        <w:proofErr w:type="spellEnd"/>
        <w:r w:rsidRPr="00214874">
          <w:rPr>
            <w:rStyle w:val="Hyperlink"/>
            <w:rFonts w:ascii="Times New Roman" w:eastAsia="Times New Roman" w:hAnsi="Times New Roman" w:cs="Times New Roman"/>
            <w:u w:val="none"/>
          </w:rPr>
          <w:t>://doi.org/10.53573/rhimrj.2025.v12n6si.006</w:t>
        </w:r>
      </w:hyperlink>
    </w:p>
    <w:p w14:paraId="327893AB"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World Bank. </w:t>
      </w:r>
      <w:r w:rsidRPr="00214874">
        <w:rPr>
          <w:rFonts w:ascii="Times New Roman" w:hAnsi="Times New Roman" w:cs="Times New Roman"/>
          <w:i/>
          <w:iCs/>
        </w:rPr>
        <w:t>GDP per capita growth (annual %) – Nigeria</w:t>
      </w:r>
      <w:r w:rsidRPr="00214874">
        <w:rPr>
          <w:rFonts w:ascii="Times New Roman" w:hAnsi="Times New Roman" w:cs="Times New Roman"/>
        </w:rPr>
        <w:t>; 2023.  Available:</w:t>
      </w:r>
      <w:hyperlink r:id="rId19" w:history="1">
        <w:r w:rsidRPr="00214874">
          <w:rPr>
            <w:rStyle w:val="Hyperlink"/>
            <w:rFonts w:ascii="Times New Roman" w:hAnsi="Times New Roman" w:cs="Times New Roman"/>
            <w:u w:val="none"/>
          </w:rPr>
          <w:t>https://data.worldbank.org/indicator/NY.GDP.PCAP.KD.ZG?locations=NG</w:t>
        </w:r>
      </w:hyperlink>
    </w:p>
    <w:p w14:paraId="56C5E0F6"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United Nations Development Programme (UNDP) </w:t>
      </w:r>
      <w:r w:rsidRPr="00214874">
        <w:rPr>
          <w:rFonts w:ascii="Times New Roman" w:hAnsi="Times New Roman" w:cs="Times New Roman"/>
          <w:i/>
          <w:iCs/>
        </w:rPr>
        <w:t>Human Development Insights</w:t>
      </w:r>
      <w:r w:rsidRPr="00214874">
        <w:rPr>
          <w:rFonts w:ascii="Times New Roman" w:hAnsi="Times New Roman" w:cs="Times New Roman"/>
        </w:rPr>
        <w:t>; 2023. Available: https://hdr.undp.org/data-center/country-insights#/ranks</w:t>
      </w:r>
    </w:p>
    <w:p w14:paraId="00540F0B"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Bah IA. The relationship between education and economic growth: A cross-country analysis. Research, Society and Development. 2023;12(5). </w:t>
      </w:r>
      <w:proofErr w:type="spellStart"/>
      <w:r w:rsidRPr="00214874">
        <w:rPr>
          <w:rFonts w:ascii="Times New Roman" w:hAnsi="Times New Roman" w:cs="Times New Roman"/>
        </w:rPr>
        <w:t>Available:</w:t>
      </w:r>
      <w:hyperlink r:id="rId20"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://doi.org/10.33448/rsd-v12i5.40522</w:t>
        </w:r>
      </w:hyperlink>
    </w:p>
    <w:p w14:paraId="33D1CC06"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United Nations Children’s Fund (UNICEF) </w:t>
      </w:r>
      <w:r w:rsidRPr="00214874">
        <w:rPr>
          <w:rFonts w:ascii="Times New Roman" w:hAnsi="Times New Roman" w:cs="Times New Roman"/>
          <w:i/>
          <w:iCs/>
        </w:rPr>
        <w:t>Education opportunities for Girls in Nigeria</w:t>
      </w:r>
      <w:r w:rsidRPr="00214874">
        <w:rPr>
          <w:rFonts w:ascii="Times New Roman" w:hAnsi="Times New Roman" w:cs="Times New Roman"/>
        </w:rPr>
        <w:t>; 2022. Available:</w:t>
      </w:r>
      <w:hyperlink r:id="rId21" w:history="1">
        <w:r w:rsidRPr="00214874">
          <w:rPr>
            <w:rStyle w:val="Hyperlink"/>
            <w:rFonts w:ascii="Times New Roman" w:hAnsi="Times New Roman" w:cs="Times New Roman"/>
            <w:u w:val="none"/>
          </w:rPr>
          <w:t>https://www.unicef.org/nigeria/media/7741/file/UNICEF%20Nigeria%20Cheat%20</w:t>
        </w:r>
      </w:hyperlink>
      <w:r w:rsidRPr="00214874">
        <w:rPr>
          <w:rFonts w:ascii="Times New Roman" w:hAnsi="Times New Roman" w:cs="Times New Roman"/>
        </w:rPr>
        <w:t>Sheet%20-%20Girls%20Education.pdf</w:t>
      </w:r>
    </w:p>
    <w:p w14:paraId="128CD069"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proofErr w:type="spellStart"/>
      <w:r w:rsidRPr="00214874">
        <w:rPr>
          <w:rFonts w:ascii="Times New Roman" w:hAnsi="Times New Roman" w:cs="Times New Roman"/>
        </w:rPr>
        <w:t>Wodon</w:t>
      </w:r>
      <w:proofErr w:type="spellEnd"/>
      <w:r w:rsidRPr="00214874">
        <w:rPr>
          <w:rFonts w:ascii="Times New Roman" w:hAnsi="Times New Roman" w:cs="Times New Roman"/>
        </w:rPr>
        <w:t xml:space="preserve"> Q, Montenegro CE, Nguyen H, </w:t>
      </w:r>
      <w:proofErr w:type="spellStart"/>
      <w:r w:rsidRPr="00214874">
        <w:rPr>
          <w:rFonts w:ascii="Times New Roman" w:hAnsi="Times New Roman" w:cs="Times New Roman"/>
        </w:rPr>
        <w:t>Onagoruwa</w:t>
      </w:r>
      <w:proofErr w:type="spellEnd"/>
      <w:r w:rsidRPr="00214874">
        <w:rPr>
          <w:rFonts w:ascii="Times New Roman" w:hAnsi="Times New Roman" w:cs="Times New Roman"/>
        </w:rPr>
        <w:t xml:space="preserve"> A. Missed opportunities: The High Cost of Not Educating Girls; 2018. </w:t>
      </w:r>
      <w:proofErr w:type="spellStart"/>
      <w:r w:rsidRPr="00214874">
        <w:rPr>
          <w:rFonts w:ascii="Times New Roman" w:hAnsi="Times New Roman" w:cs="Times New Roman"/>
        </w:rPr>
        <w:t>Available:</w:t>
      </w:r>
      <w:hyperlink r:id="rId22"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://doi.org/10.1596/29956</w:t>
        </w:r>
      </w:hyperlink>
    </w:p>
    <w:p w14:paraId="3F23FFEC"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Mohammed K, Alhassan UM. Nigeria’s female educational development crises under recessive economy: The way forward; 1974. </w:t>
      </w:r>
      <w:proofErr w:type="spellStart"/>
      <w:r w:rsidRPr="00214874">
        <w:rPr>
          <w:rFonts w:ascii="Times New Roman" w:hAnsi="Times New Roman" w:cs="Times New Roman"/>
        </w:rPr>
        <w:t>Available:</w:t>
      </w:r>
      <w:hyperlink r:id="rId23"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://doi.org/10.56201/ijee.v9.no3.2023.pg125.133</w:t>
        </w:r>
      </w:hyperlink>
    </w:p>
    <w:p w14:paraId="631DC7EA"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Becker GS. Human capital: A theoretical and empirical analysis, with special reference to education. University of Chicago Press; 1964.</w:t>
      </w:r>
    </w:p>
    <w:p w14:paraId="088B4B48"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Mincer J. Schooling, experience, and earnings. Columbia University Press; 1974.</w:t>
      </w:r>
    </w:p>
    <w:p w14:paraId="62D3B284"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Hahn Y, Islam A, </w:t>
      </w:r>
      <w:proofErr w:type="spellStart"/>
      <w:r w:rsidRPr="00214874">
        <w:rPr>
          <w:rFonts w:ascii="Times New Roman" w:hAnsi="Times New Roman" w:cs="Times New Roman"/>
        </w:rPr>
        <w:t>Nuzhat</w:t>
      </w:r>
      <w:proofErr w:type="spellEnd"/>
      <w:r w:rsidRPr="00214874">
        <w:rPr>
          <w:rFonts w:ascii="Times New Roman" w:hAnsi="Times New Roman" w:cs="Times New Roman"/>
        </w:rPr>
        <w:t xml:space="preserve"> K, Smyth R, Yang H. Education, marriage, and fertility: Long-term evidence from a female stipend program in Bangladesh. Chicago Journals. 2017;66(2). </w:t>
      </w:r>
      <w:proofErr w:type="spellStart"/>
      <w:r w:rsidRPr="00214874">
        <w:rPr>
          <w:rFonts w:ascii="Times New Roman" w:hAnsi="Times New Roman" w:cs="Times New Roman"/>
        </w:rPr>
        <w:t>Available:</w:t>
      </w:r>
      <w:hyperlink r:id="rId24"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://doi.org/10.1086/694930</w:t>
        </w:r>
      </w:hyperlink>
    </w:p>
    <w:p w14:paraId="6E7455FB"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Romer PM. Endogenous technological change. </w:t>
      </w:r>
      <w:r w:rsidRPr="00214874">
        <w:rPr>
          <w:rFonts w:ascii="Times New Roman" w:hAnsi="Times New Roman" w:cs="Times New Roman"/>
          <w:i/>
          <w:iCs/>
        </w:rPr>
        <w:t xml:space="preserve">Journal of Political Economy. </w:t>
      </w:r>
      <w:r w:rsidRPr="00214874">
        <w:rPr>
          <w:rFonts w:ascii="Times New Roman" w:hAnsi="Times New Roman" w:cs="Times New Roman"/>
        </w:rPr>
        <w:t>1990;</w:t>
      </w:r>
      <w:r w:rsidRPr="00214874">
        <w:rPr>
          <w:rFonts w:ascii="Times New Roman" w:hAnsi="Times New Roman" w:cs="Times New Roman"/>
          <w:i/>
          <w:iCs/>
        </w:rPr>
        <w:t xml:space="preserve"> 98</w:t>
      </w:r>
      <w:r w:rsidRPr="00214874">
        <w:rPr>
          <w:rFonts w:ascii="Times New Roman" w:hAnsi="Times New Roman" w:cs="Times New Roman"/>
        </w:rPr>
        <w:t>(5):71-102.</w:t>
      </w:r>
    </w:p>
    <w:p w14:paraId="00136AD5"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Lucas RE. On the mechanics of economic development. </w:t>
      </w:r>
      <w:r w:rsidRPr="00214874">
        <w:rPr>
          <w:rFonts w:ascii="Times New Roman" w:hAnsi="Times New Roman" w:cs="Times New Roman"/>
          <w:i/>
          <w:iCs/>
        </w:rPr>
        <w:t>Journal of Monetary Economics. 1988;22</w:t>
      </w:r>
      <w:r w:rsidRPr="00214874">
        <w:rPr>
          <w:rFonts w:ascii="Times New Roman" w:hAnsi="Times New Roman" w:cs="Times New Roman"/>
        </w:rPr>
        <w:t>(1):3–42.</w:t>
      </w:r>
    </w:p>
    <w:p w14:paraId="03F62F8B"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Sen A. </w:t>
      </w:r>
      <w:r w:rsidRPr="00214874">
        <w:rPr>
          <w:rFonts w:ascii="Times New Roman" w:hAnsi="Times New Roman" w:cs="Times New Roman"/>
          <w:i/>
          <w:iCs/>
        </w:rPr>
        <w:t>Development as freedom</w:t>
      </w:r>
      <w:r w:rsidRPr="00214874">
        <w:rPr>
          <w:rFonts w:ascii="Times New Roman" w:hAnsi="Times New Roman" w:cs="Times New Roman"/>
        </w:rPr>
        <w:t>. Oxford University Press; 1999.</w:t>
      </w:r>
    </w:p>
    <w:p w14:paraId="168AA9E3"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bCs/>
        </w:rPr>
      </w:pPr>
      <w:proofErr w:type="spellStart"/>
      <w:r w:rsidRPr="00214874">
        <w:rPr>
          <w:rFonts w:ascii="Times New Roman" w:hAnsi="Times New Roman" w:cs="Times New Roman"/>
          <w:bCs/>
        </w:rPr>
        <w:lastRenderedPageBreak/>
        <w:t>Kocevska</w:t>
      </w:r>
      <w:proofErr w:type="spellEnd"/>
      <w:r w:rsidRPr="00214874">
        <w:rPr>
          <w:rFonts w:ascii="Times New Roman" w:hAnsi="Times New Roman" w:cs="Times New Roman"/>
          <w:bCs/>
        </w:rPr>
        <w:t xml:space="preserve"> KS. Public expenditure on education and economic growth: Evidence from North Macedonia. Journal of Liberty and International Affairs 9 (1):22-34. </w:t>
      </w:r>
      <w:proofErr w:type="spellStart"/>
      <w:r w:rsidRPr="00214874">
        <w:rPr>
          <w:rFonts w:ascii="Times New Roman" w:hAnsi="Times New Roman" w:cs="Times New Roman"/>
          <w:bCs/>
        </w:rPr>
        <w:t>Available:</w:t>
      </w:r>
      <w:hyperlink r:id="rId25" w:history="1">
        <w:r w:rsidRPr="00214874">
          <w:rPr>
            <w:rStyle w:val="Hyperlink"/>
            <w:rFonts w:ascii="Times New Roman" w:hAnsi="Times New Roman" w:cs="Times New Roman"/>
            <w:bCs/>
            <w:u w:val="none"/>
          </w:rPr>
          <w:t>https</w:t>
        </w:r>
        <w:proofErr w:type="spellEnd"/>
        <w:r w:rsidRPr="00214874">
          <w:rPr>
            <w:rStyle w:val="Hyperlink"/>
            <w:rFonts w:ascii="Times New Roman" w:hAnsi="Times New Roman" w:cs="Times New Roman"/>
            <w:bCs/>
            <w:u w:val="none"/>
          </w:rPr>
          <w:t>://doi.org/10.47305/jlia2391022shk</w:t>
        </w:r>
      </w:hyperlink>
    </w:p>
    <w:p w14:paraId="60A4280C"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Kenneth O, Kenneth O, </w:t>
      </w:r>
      <w:proofErr w:type="spellStart"/>
      <w:r w:rsidRPr="00214874">
        <w:rPr>
          <w:rFonts w:ascii="Times New Roman" w:hAnsi="Times New Roman" w:cs="Times New Roman"/>
        </w:rPr>
        <w:t>Uju</w:t>
      </w:r>
      <w:proofErr w:type="spellEnd"/>
      <w:r w:rsidRPr="00214874">
        <w:rPr>
          <w:rFonts w:ascii="Times New Roman" w:hAnsi="Times New Roman" w:cs="Times New Roman"/>
        </w:rPr>
        <w:t xml:space="preserve"> R, Chris U. </w:t>
      </w:r>
      <w:r w:rsidRPr="00214874">
        <w:rPr>
          <w:rFonts w:ascii="Times New Roman" w:hAnsi="Times New Roman" w:cs="Times New Roman"/>
          <w:i/>
          <w:iCs/>
        </w:rPr>
        <w:t>Analysis of effects of government education expenditure and school attainment on Per Capita Income in Nigeria.</w:t>
      </w:r>
      <w:r w:rsidRPr="00214874">
        <w:rPr>
          <w:rFonts w:ascii="Times New Roman" w:hAnsi="Times New Roman" w:cs="Times New Roman"/>
        </w:rPr>
        <w:t xml:space="preserve"> International Journal of Academic Research in Business and Social Sciences, 2020;10(8):121–146. </w:t>
      </w:r>
      <w:hyperlink r:id="rId26" w:history="1">
        <w:r w:rsidRPr="00214874">
          <w:rPr>
            <w:rStyle w:val="Hyperlink"/>
            <w:rFonts w:ascii="Times New Roman" w:hAnsi="Times New Roman" w:cs="Times New Roman"/>
            <w:u w:val="none"/>
          </w:rPr>
          <w:t>https://doi.org/10.6007/ijarbss/v10-i8/7506</w:t>
        </w:r>
      </w:hyperlink>
    </w:p>
    <w:p w14:paraId="14A1400E"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proofErr w:type="spellStart"/>
      <w:r w:rsidRPr="00214874">
        <w:rPr>
          <w:rFonts w:ascii="Times New Roman" w:hAnsi="Times New Roman" w:cs="Times New Roman"/>
        </w:rPr>
        <w:t>Ogundari</w:t>
      </w:r>
      <w:proofErr w:type="spellEnd"/>
      <w:r w:rsidRPr="00214874">
        <w:rPr>
          <w:rFonts w:ascii="Times New Roman" w:hAnsi="Times New Roman" w:cs="Times New Roman"/>
        </w:rPr>
        <w:t xml:space="preserve"> K, </w:t>
      </w:r>
      <w:proofErr w:type="spellStart"/>
      <w:r w:rsidRPr="00214874">
        <w:rPr>
          <w:rFonts w:ascii="Times New Roman" w:hAnsi="Times New Roman" w:cs="Times New Roman"/>
        </w:rPr>
        <w:t>Awokuse</w:t>
      </w:r>
      <w:proofErr w:type="spellEnd"/>
      <w:r w:rsidRPr="00214874">
        <w:rPr>
          <w:rFonts w:ascii="Times New Roman" w:hAnsi="Times New Roman" w:cs="Times New Roman"/>
        </w:rPr>
        <w:t xml:space="preserve"> T. Human capital contribution to economic growth in Sub-Saharan Africa: Does health status matter more than education? Economic Analysis and Policy, Elsevier. 2018;58(C):131-140.</w:t>
      </w:r>
    </w:p>
    <w:p w14:paraId="0923055F"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Churchill SA, </w:t>
      </w:r>
      <w:proofErr w:type="spellStart"/>
      <w:r w:rsidRPr="00214874">
        <w:rPr>
          <w:rFonts w:ascii="Times New Roman" w:hAnsi="Times New Roman" w:cs="Times New Roman"/>
        </w:rPr>
        <w:t>Ugur</w:t>
      </w:r>
      <w:proofErr w:type="spellEnd"/>
      <w:r w:rsidRPr="00214874">
        <w:rPr>
          <w:rFonts w:ascii="Times New Roman" w:hAnsi="Times New Roman" w:cs="Times New Roman"/>
        </w:rPr>
        <w:t xml:space="preserve"> M, Yew SL. Government education expenditures and economic growth: A meta-analysis; 2017. </w:t>
      </w:r>
      <w:proofErr w:type="spellStart"/>
      <w:r w:rsidRPr="00214874">
        <w:rPr>
          <w:rFonts w:ascii="Times New Roman" w:hAnsi="Times New Roman" w:cs="Times New Roman"/>
        </w:rPr>
        <w:t>Available:</w:t>
      </w:r>
      <w:hyperlink r:id="rId27"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://doi.org/10.1515/bejm-2016-0109</w:t>
        </w:r>
      </w:hyperlink>
    </w:p>
    <w:p w14:paraId="1F91CE67"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proofErr w:type="spellStart"/>
      <w:r w:rsidRPr="00214874">
        <w:rPr>
          <w:rFonts w:ascii="Times New Roman" w:hAnsi="Times New Roman" w:cs="Times New Roman"/>
        </w:rPr>
        <w:t>Kouton</w:t>
      </w:r>
      <w:proofErr w:type="spellEnd"/>
      <w:r w:rsidRPr="00214874">
        <w:rPr>
          <w:rFonts w:ascii="Times New Roman" w:hAnsi="Times New Roman" w:cs="Times New Roman"/>
        </w:rPr>
        <w:t xml:space="preserve"> K. Education expenditure and economic growth: Some empirical evidence from Côte d’Ivoire; 2018. </w:t>
      </w:r>
      <w:proofErr w:type="gramStart"/>
      <w:r w:rsidRPr="00214874">
        <w:rPr>
          <w:rFonts w:ascii="Times New Roman" w:hAnsi="Times New Roman" w:cs="Times New Roman"/>
        </w:rPr>
        <w:t>Available:https://mpra.ub.uni-muenchen.de/88350/1/MPRA_paper_88350.pdf</w:t>
      </w:r>
      <w:proofErr w:type="gramEnd"/>
    </w:p>
    <w:p w14:paraId="37A8046F"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hAnsi="Times New Roman" w:cs="Times New Roman"/>
        </w:rPr>
        <w:t xml:space="preserve">Keller KRI. </w:t>
      </w:r>
      <w:r w:rsidRPr="00214874">
        <w:rPr>
          <w:rFonts w:ascii="Times New Roman" w:hAnsi="Times New Roman" w:cs="Times New Roman"/>
          <w:i/>
          <w:iCs/>
        </w:rPr>
        <w:t xml:space="preserve">The economic effects of girls’ and young women’s education in development; 2019. </w:t>
      </w:r>
      <w:proofErr w:type="spellStart"/>
      <w:r w:rsidRPr="00214874">
        <w:rPr>
          <w:rFonts w:ascii="Times New Roman" w:hAnsi="Times New Roman" w:cs="Times New Roman"/>
          <w:i/>
          <w:iCs/>
        </w:rPr>
        <w:t>Available:</w:t>
      </w:r>
      <w:hyperlink r:id="rId28"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://doi.org/10.2139/ssrn.3308635</w:t>
        </w:r>
      </w:hyperlink>
    </w:p>
    <w:p w14:paraId="43BEE6F2"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bookmarkStart w:id="23" w:name="_Hlk204296356"/>
      <w:r w:rsidRPr="00214874">
        <w:rPr>
          <w:rFonts w:ascii="Times New Roman" w:hAnsi="Times New Roman" w:cs="Times New Roman"/>
        </w:rPr>
        <w:t>Fe DS</w:t>
      </w:r>
      <w:bookmarkEnd w:id="23"/>
      <w:r w:rsidRPr="00214874">
        <w:rPr>
          <w:rFonts w:ascii="Times New Roman" w:hAnsi="Times New Roman" w:cs="Times New Roman"/>
        </w:rPr>
        <w:t xml:space="preserve">. The effect of gender parity in education on income per capita in West Africa. SCIREA Journal of Economics. 2022;7(2):42-70. </w:t>
      </w:r>
      <w:proofErr w:type="spellStart"/>
      <w:r w:rsidRPr="00214874">
        <w:rPr>
          <w:rFonts w:ascii="Times New Roman" w:hAnsi="Times New Roman" w:cs="Times New Roman"/>
        </w:rPr>
        <w:t>Available:</w:t>
      </w:r>
      <w:hyperlink r:id="rId29"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://doi.org/10.54647/economics79285</w:t>
        </w:r>
      </w:hyperlink>
    </w:p>
    <w:p w14:paraId="0DAEBCD7"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r w:rsidRPr="00214874">
        <w:rPr>
          <w:rFonts w:ascii="Times New Roman" w:eastAsia="Times New Roman" w:hAnsi="Times New Roman" w:cs="Times New Roman"/>
        </w:rPr>
        <w:t xml:space="preserve">Carter J, </w:t>
      </w:r>
      <w:proofErr w:type="spellStart"/>
      <w:r w:rsidRPr="00214874">
        <w:rPr>
          <w:rFonts w:ascii="Times New Roman" w:eastAsia="Times New Roman" w:hAnsi="Times New Roman" w:cs="Times New Roman"/>
        </w:rPr>
        <w:t>Craigwell</w:t>
      </w:r>
      <w:proofErr w:type="spellEnd"/>
      <w:r w:rsidRPr="00214874">
        <w:rPr>
          <w:rFonts w:ascii="Times New Roman" w:eastAsia="Times New Roman" w:hAnsi="Times New Roman" w:cs="Times New Roman"/>
        </w:rPr>
        <w:t xml:space="preserve"> R, Lowe S. Government expenditure and economic growth in a small open economy: A disaggregated approach. CBB Working Paper No. WP/13/15; 2013</w:t>
      </w:r>
    </w:p>
    <w:p w14:paraId="038F3F4E" w14:textId="77777777" w:rsidR="00670E66" w:rsidRPr="00214874" w:rsidRDefault="00670E66" w:rsidP="00670E66">
      <w:pPr>
        <w:pStyle w:val="ListParagraph"/>
        <w:numPr>
          <w:ilvl w:val="0"/>
          <w:numId w:val="3"/>
        </w:numPr>
        <w:spacing w:line="240" w:lineRule="auto"/>
        <w:jc w:val="both"/>
        <w:rPr>
          <w:rFonts w:ascii="Times New Roman" w:hAnsi="Times New Roman" w:cs="Times New Roman"/>
        </w:rPr>
      </w:pPr>
      <w:proofErr w:type="spellStart"/>
      <w:r w:rsidRPr="00214874">
        <w:rPr>
          <w:rFonts w:ascii="Times New Roman" w:hAnsi="Times New Roman" w:cs="Times New Roman"/>
        </w:rPr>
        <w:t>Duwal</w:t>
      </w:r>
      <w:proofErr w:type="spellEnd"/>
      <w:r w:rsidRPr="00214874">
        <w:rPr>
          <w:rFonts w:ascii="Times New Roman" w:hAnsi="Times New Roman" w:cs="Times New Roman"/>
        </w:rPr>
        <w:t xml:space="preserve"> N, </w:t>
      </w:r>
      <w:proofErr w:type="spellStart"/>
      <w:r w:rsidRPr="00214874">
        <w:rPr>
          <w:rFonts w:ascii="Times New Roman" w:hAnsi="Times New Roman" w:cs="Times New Roman"/>
        </w:rPr>
        <w:t>Suwal</w:t>
      </w:r>
      <w:proofErr w:type="spellEnd"/>
      <w:r w:rsidRPr="00214874">
        <w:rPr>
          <w:rFonts w:ascii="Times New Roman" w:hAnsi="Times New Roman" w:cs="Times New Roman"/>
        </w:rPr>
        <w:t xml:space="preserve"> S. Government expenditure on education, educational index, and</w:t>
      </w:r>
      <w:r w:rsidRPr="00214874">
        <w:rPr>
          <w:rFonts w:ascii="Times New Roman" w:hAnsi="Times New Roman" w:cs="Times New Roman"/>
        </w:rPr>
        <w:tab/>
        <w:t xml:space="preserve">economic growth in Nepal: An ARDL-ECM Approach. </w:t>
      </w:r>
      <w:proofErr w:type="spellStart"/>
      <w:r w:rsidRPr="00214874">
        <w:rPr>
          <w:rFonts w:ascii="Times New Roman" w:hAnsi="Times New Roman" w:cs="Times New Roman"/>
        </w:rPr>
        <w:t>Ekonomikalia</w:t>
      </w:r>
      <w:proofErr w:type="spellEnd"/>
      <w:r w:rsidRPr="00214874">
        <w:rPr>
          <w:rFonts w:ascii="Times New Roman" w:hAnsi="Times New Roman" w:cs="Times New Roman"/>
        </w:rPr>
        <w:t xml:space="preserve"> Journal of Economics. 2024;2(2): 82–94.</w:t>
      </w:r>
      <w:r w:rsidRPr="00214874">
        <w:rPr>
          <w:rFonts w:ascii="Times New Roman" w:hAnsi="Times New Roman" w:cs="Times New Roman"/>
        </w:rPr>
        <w:tab/>
      </w:r>
      <w:proofErr w:type="spellStart"/>
      <w:r w:rsidRPr="00214874">
        <w:rPr>
          <w:rFonts w:ascii="Times New Roman" w:hAnsi="Times New Roman" w:cs="Times New Roman"/>
        </w:rPr>
        <w:t>Available:</w:t>
      </w:r>
      <w:hyperlink r:id="rId30" w:history="1">
        <w:r w:rsidRPr="00214874">
          <w:rPr>
            <w:rStyle w:val="Hyperlink"/>
            <w:rFonts w:ascii="Times New Roman" w:hAnsi="Times New Roman" w:cs="Times New Roman"/>
            <w:u w:val="none"/>
          </w:rPr>
          <w:t>https</w:t>
        </w:r>
        <w:proofErr w:type="spellEnd"/>
        <w:r w:rsidRPr="00214874">
          <w:rPr>
            <w:rStyle w:val="Hyperlink"/>
            <w:rFonts w:ascii="Times New Roman" w:hAnsi="Times New Roman" w:cs="Times New Roman"/>
            <w:u w:val="none"/>
          </w:rPr>
          <w:t>://doi.org/10.60084/eje.v2i2.205</w:t>
        </w:r>
      </w:hyperlink>
    </w:p>
    <w:p w14:paraId="03BBED13" w14:textId="457030D0" w:rsidR="00670E66" w:rsidRPr="004A0357" w:rsidRDefault="00670E66" w:rsidP="004F4AE5">
      <w:pPr>
        <w:pStyle w:val="ListParagraph"/>
        <w:numPr>
          <w:ilvl w:val="0"/>
          <w:numId w:val="3"/>
        </w:numPr>
        <w:spacing w:line="240" w:lineRule="auto"/>
        <w:jc w:val="both"/>
        <w:rPr>
          <w:rFonts w:ascii="Times New Roman" w:eastAsia="Times New Roman" w:hAnsi="Times New Roman" w:cs="Times New Roman"/>
        </w:rPr>
      </w:pPr>
      <w:proofErr w:type="spellStart"/>
      <w:r w:rsidRPr="00214874">
        <w:rPr>
          <w:rFonts w:ascii="Times New Roman" w:eastAsia="Times New Roman" w:hAnsi="Times New Roman" w:cs="Times New Roman"/>
        </w:rPr>
        <w:t>Aninwagu</w:t>
      </w:r>
      <w:proofErr w:type="spellEnd"/>
      <w:r w:rsidRPr="00214874">
        <w:rPr>
          <w:rFonts w:ascii="Times New Roman" w:eastAsia="Times New Roman" w:hAnsi="Times New Roman" w:cs="Times New Roman"/>
        </w:rPr>
        <w:t xml:space="preserve"> VO, Momodu AA. Effect of political instability on human development in Nigeria. International Journal of Research Publication and Reviews. 2025;6(6):11416-11424.</w:t>
      </w:r>
    </w:p>
    <w:sectPr w:rsidR="00670E66" w:rsidRPr="004A0357">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13728" w14:textId="77777777" w:rsidR="00253C60" w:rsidRDefault="00253C60" w:rsidP="00A122F1">
      <w:pPr>
        <w:spacing w:after="0" w:line="240" w:lineRule="auto"/>
      </w:pPr>
      <w:r>
        <w:separator/>
      </w:r>
    </w:p>
  </w:endnote>
  <w:endnote w:type="continuationSeparator" w:id="0">
    <w:p w14:paraId="4712709E" w14:textId="77777777" w:rsidR="00253C60" w:rsidRDefault="00253C60" w:rsidP="00A1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8143" w14:textId="77777777" w:rsidR="00A122F1" w:rsidRDefault="00A12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4147" w14:textId="77777777" w:rsidR="00A122F1" w:rsidRDefault="00A12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8BB7" w14:textId="77777777" w:rsidR="00A122F1" w:rsidRDefault="00A1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3FBF" w14:textId="77777777" w:rsidR="00253C60" w:rsidRDefault="00253C60" w:rsidP="00A122F1">
      <w:pPr>
        <w:spacing w:after="0" w:line="240" w:lineRule="auto"/>
      </w:pPr>
      <w:r>
        <w:separator/>
      </w:r>
    </w:p>
  </w:footnote>
  <w:footnote w:type="continuationSeparator" w:id="0">
    <w:p w14:paraId="502DD515" w14:textId="77777777" w:rsidR="00253C60" w:rsidRDefault="00253C60" w:rsidP="00A12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D89A" w14:textId="22D7A8D2" w:rsidR="00A122F1" w:rsidRDefault="00A122F1">
    <w:pPr>
      <w:pStyle w:val="Header"/>
    </w:pPr>
    <w:r>
      <w:rPr>
        <w:noProof/>
      </w:rPr>
      <w:pict w14:anchorId="69740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73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CA0B" w14:textId="253B7A4D" w:rsidR="00A122F1" w:rsidRDefault="00A122F1">
    <w:pPr>
      <w:pStyle w:val="Header"/>
    </w:pPr>
    <w:r>
      <w:rPr>
        <w:noProof/>
      </w:rPr>
      <w:pict w14:anchorId="17AEB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73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8DA0" w14:textId="3E2271E6" w:rsidR="00A122F1" w:rsidRDefault="00A122F1">
    <w:pPr>
      <w:pStyle w:val="Header"/>
    </w:pPr>
    <w:r>
      <w:rPr>
        <w:noProof/>
      </w:rPr>
      <w:pict w14:anchorId="66F41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73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44F5A"/>
    <w:multiLevelType w:val="multilevel"/>
    <w:tmpl w:val="D6AA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46D28"/>
    <w:multiLevelType w:val="hybridMultilevel"/>
    <w:tmpl w:val="CDA85E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1D76B6"/>
    <w:multiLevelType w:val="hybridMultilevel"/>
    <w:tmpl w:val="42787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86799"/>
    <w:multiLevelType w:val="hybridMultilevel"/>
    <w:tmpl w:val="3C70F0B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E5"/>
    <w:rsid w:val="00017990"/>
    <w:rsid w:val="00024030"/>
    <w:rsid w:val="00031FA7"/>
    <w:rsid w:val="0003345F"/>
    <w:rsid w:val="00046B79"/>
    <w:rsid w:val="00053F2E"/>
    <w:rsid w:val="000860BF"/>
    <w:rsid w:val="00087097"/>
    <w:rsid w:val="00090D11"/>
    <w:rsid w:val="00090DA0"/>
    <w:rsid w:val="000A3ECB"/>
    <w:rsid w:val="000C126C"/>
    <w:rsid w:val="000C12C7"/>
    <w:rsid w:val="000C4204"/>
    <w:rsid w:val="000D629A"/>
    <w:rsid w:val="000E0198"/>
    <w:rsid w:val="000E35D2"/>
    <w:rsid w:val="000E73D5"/>
    <w:rsid w:val="000E7ADD"/>
    <w:rsid w:val="0012063C"/>
    <w:rsid w:val="0014234C"/>
    <w:rsid w:val="00147DDA"/>
    <w:rsid w:val="001A31B6"/>
    <w:rsid w:val="001B6BE2"/>
    <w:rsid w:val="001C4B17"/>
    <w:rsid w:val="001D1616"/>
    <w:rsid w:val="001E2756"/>
    <w:rsid w:val="001F3B4A"/>
    <w:rsid w:val="001F73AF"/>
    <w:rsid w:val="002026C4"/>
    <w:rsid w:val="00215C78"/>
    <w:rsid w:val="00216DAC"/>
    <w:rsid w:val="00221DF0"/>
    <w:rsid w:val="002245DD"/>
    <w:rsid w:val="00227F93"/>
    <w:rsid w:val="0023407D"/>
    <w:rsid w:val="00234671"/>
    <w:rsid w:val="00244795"/>
    <w:rsid w:val="00246904"/>
    <w:rsid w:val="00253C60"/>
    <w:rsid w:val="00256099"/>
    <w:rsid w:val="0028078F"/>
    <w:rsid w:val="002A0580"/>
    <w:rsid w:val="002B0329"/>
    <w:rsid w:val="00301B7A"/>
    <w:rsid w:val="00314E9A"/>
    <w:rsid w:val="003221B1"/>
    <w:rsid w:val="003244A1"/>
    <w:rsid w:val="00337BDF"/>
    <w:rsid w:val="0035152D"/>
    <w:rsid w:val="00374276"/>
    <w:rsid w:val="0038092E"/>
    <w:rsid w:val="0038726E"/>
    <w:rsid w:val="00392346"/>
    <w:rsid w:val="00393F59"/>
    <w:rsid w:val="003A29D0"/>
    <w:rsid w:val="003A42F7"/>
    <w:rsid w:val="003B2336"/>
    <w:rsid w:val="003B4674"/>
    <w:rsid w:val="003C4D11"/>
    <w:rsid w:val="004006F4"/>
    <w:rsid w:val="00401D9D"/>
    <w:rsid w:val="00404FBA"/>
    <w:rsid w:val="004144FE"/>
    <w:rsid w:val="004209DC"/>
    <w:rsid w:val="00425C80"/>
    <w:rsid w:val="0043060D"/>
    <w:rsid w:val="00432A5C"/>
    <w:rsid w:val="0043638C"/>
    <w:rsid w:val="00442AEF"/>
    <w:rsid w:val="00447773"/>
    <w:rsid w:val="00456A93"/>
    <w:rsid w:val="00465F3D"/>
    <w:rsid w:val="00466BAF"/>
    <w:rsid w:val="0047140F"/>
    <w:rsid w:val="0047428A"/>
    <w:rsid w:val="00475CD9"/>
    <w:rsid w:val="0049514C"/>
    <w:rsid w:val="004A0357"/>
    <w:rsid w:val="004B2C19"/>
    <w:rsid w:val="004B3785"/>
    <w:rsid w:val="004D055D"/>
    <w:rsid w:val="004D4677"/>
    <w:rsid w:val="004F1E7F"/>
    <w:rsid w:val="004F4AE5"/>
    <w:rsid w:val="004F5A50"/>
    <w:rsid w:val="00517E9F"/>
    <w:rsid w:val="00520F2F"/>
    <w:rsid w:val="0052608A"/>
    <w:rsid w:val="00533500"/>
    <w:rsid w:val="00540401"/>
    <w:rsid w:val="0054067A"/>
    <w:rsid w:val="00561DBD"/>
    <w:rsid w:val="0056568D"/>
    <w:rsid w:val="00574588"/>
    <w:rsid w:val="005A2033"/>
    <w:rsid w:val="005B7237"/>
    <w:rsid w:val="005C70DB"/>
    <w:rsid w:val="005E3F1D"/>
    <w:rsid w:val="005F4FCD"/>
    <w:rsid w:val="005F7D6C"/>
    <w:rsid w:val="0061372F"/>
    <w:rsid w:val="00625EDB"/>
    <w:rsid w:val="00632150"/>
    <w:rsid w:val="006360EE"/>
    <w:rsid w:val="0065292F"/>
    <w:rsid w:val="00652F09"/>
    <w:rsid w:val="00670E66"/>
    <w:rsid w:val="00673F81"/>
    <w:rsid w:val="0067794A"/>
    <w:rsid w:val="006B093A"/>
    <w:rsid w:val="006B5A71"/>
    <w:rsid w:val="006D44CA"/>
    <w:rsid w:val="006F3EAF"/>
    <w:rsid w:val="006F79FA"/>
    <w:rsid w:val="007067F8"/>
    <w:rsid w:val="0071193F"/>
    <w:rsid w:val="00733F39"/>
    <w:rsid w:val="00782C10"/>
    <w:rsid w:val="00782D48"/>
    <w:rsid w:val="007848F3"/>
    <w:rsid w:val="00785770"/>
    <w:rsid w:val="007A56A7"/>
    <w:rsid w:val="007B1DD5"/>
    <w:rsid w:val="007E0166"/>
    <w:rsid w:val="007E1FBD"/>
    <w:rsid w:val="008020F7"/>
    <w:rsid w:val="008138C2"/>
    <w:rsid w:val="008158F1"/>
    <w:rsid w:val="00832003"/>
    <w:rsid w:val="00863BF8"/>
    <w:rsid w:val="00872F5B"/>
    <w:rsid w:val="00882C9E"/>
    <w:rsid w:val="0089511F"/>
    <w:rsid w:val="008B23A5"/>
    <w:rsid w:val="008D500F"/>
    <w:rsid w:val="008F2885"/>
    <w:rsid w:val="008F391C"/>
    <w:rsid w:val="008F628A"/>
    <w:rsid w:val="009015BA"/>
    <w:rsid w:val="00914CEE"/>
    <w:rsid w:val="00924576"/>
    <w:rsid w:val="0095320C"/>
    <w:rsid w:val="009553D5"/>
    <w:rsid w:val="009822C1"/>
    <w:rsid w:val="009A745E"/>
    <w:rsid w:val="009B5032"/>
    <w:rsid w:val="009B5EDF"/>
    <w:rsid w:val="009C100F"/>
    <w:rsid w:val="009C7111"/>
    <w:rsid w:val="009E1D4D"/>
    <w:rsid w:val="009F159B"/>
    <w:rsid w:val="00A0362A"/>
    <w:rsid w:val="00A122F1"/>
    <w:rsid w:val="00A14697"/>
    <w:rsid w:val="00A261B0"/>
    <w:rsid w:val="00A27668"/>
    <w:rsid w:val="00A42B5F"/>
    <w:rsid w:val="00A46D35"/>
    <w:rsid w:val="00A6653A"/>
    <w:rsid w:val="00A83B8D"/>
    <w:rsid w:val="00AA376E"/>
    <w:rsid w:val="00AC28E3"/>
    <w:rsid w:val="00AC638B"/>
    <w:rsid w:val="00AC6EBD"/>
    <w:rsid w:val="00AC7801"/>
    <w:rsid w:val="00AD107E"/>
    <w:rsid w:val="00AD20F7"/>
    <w:rsid w:val="00AD405B"/>
    <w:rsid w:val="00AD443B"/>
    <w:rsid w:val="00B05330"/>
    <w:rsid w:val="00B065F6"/>
    <w:rsid w:val="00B15A07"/>
    <w:rsid w:val="00B176C7"/>
    <w:rsid w:val="00B179D8"/>
    <w:rsid w:val="00B57217"/>
    <w:rsid w:val="00B60840"/>
    <w:rsid w:val="00B6354F"/>
    <w:rsid w:val="00B657A2"/>
    <w:rsid w:val="00B715DA"/>
    <w:rsid w:val="00BA07D9"/>
    <w:rsid w:val="00BA6256"/>
    <w:rsid w:val="00BB0EDC"/>
    <w:rsid w:val="00BC51B7"/>
    <w:rsid w:val="00BC7BD2"/>
    <w:rsid w:val="00BD52CC"/>
    <w:rsid w:val="00BF1DB5"/>
    <w:rsid w:val="00BF260F"/>
    <w:rsid w:val="00C00983"/>
    <w:rsid w:val="00C03907"/>
    <w:rsid w:val="00C074E0"/>
    <w:rsid w:val="00C109B8"/>
    <w:rsid w:val="00C237AE"/>
    <w:rsid w:val="00C30CF0"/>
    <w:rsid w:val="00C34EC7"/>
    <w:rsid w:val="00C404C9"/>
    <w:rsid w:val="00C568CB"/>
    <w:rsid w:val="00C62170"/>
    <w:rsid w:val="00C70C7A"/>
    <w:rsid w:val="00C72A86"/>
    <w:rsid w:val="00C72C1B"/>
    <w:rsid w:val="00C92FD6"/>
    <w:rsid w:val="00CB05CA"/>
    <w:rsid w:val="00CB28E5"/>
    <w:rsid w:val="00CD3862"/>
    <w:rsid w:val="00D06796"/>
    <w:rsid w:val="00D07D16"/>
    <w:rsid w:val="00D34BE4"/>
    <w:rsid w:val="00D3580B"/>
    <w:rsid w:val="00D5402D"/>
    <w:rsid w:val="00D62AD4"/>
    <w:rsid w:val="00D64787"/>
    <w:rsid w:val="00D76A11"/>
    <w:rsid w:val="00D77C9B"/>
    <w:rsid w:val="00D845B7"/>
    <w:rsid w:val="00D94EE7"/>
    <w:rsid w:val="00D97E53"/>
    <w:rsid w:val="00DA58EB"/>
    <w:rsid w:val="00DC5A2D"/>
    <w:rsid w:val="00DC61A0"/>
    <w:rsid w:val="00DD3A66"/>
    <w:rsid w:val="00DD4E87"/>
    <w:rsid w:val="00DF5C8F"/>
    <w:rsid w:val="00DF7116"/>
    <w:rsid w:val="00E27B0A"/>
    <w:rsid w:val="00E32253"/>
    <w:rsid w:val="00E412FA"/>
    <w:rsid w:val="00E63796"/>
    <w:rsid w:val="00E93DCB"/>
    <w:rsid w:val="00EA01BA"/>
    <w:rsid w:val="00EA35B5"/>
    <w:rsid w:val="00EA50AB"/>
    <w:rsid w:val="00EB14D3"/>
    <w:rsid w:val="00EF3BC2"/>
    <w:rsid w:val="00F10DD4"/>
    <w:rsid w:val="00F17C0E"/>
    <w:rsid w:val="00F2160A"/>
    <w:rsid w:val="00F3065A"/>
    <w:rsid w:val="00F35E69"/>
    <w:rsid w:val="00F459A3"/>
    <w:rsid w:val="00F46BD1"/>
    <w:rsid w:val="00F52926"/>
    <w:rsid w:val="00F566AE"/>
    <w:rsid w:val="00F574F6"/>
    <w:rsid w:val="00F62079"/>
    <w:rsid w:val="00F675D7"/>
    <w:rsid w:val="00F70470"/>
    <w:rsid w:val="00F712FC"/>
    <w:rsid w:val="00F73385"/>
    <w:rsid w:val="00F75F9F"/>
    <w:rsid w:val="00F83AD4"/>
    <w:rsid w:val="00F87276"/>
    <w:rsid w:val="00F907F8"/>
    <w:rsid w:val="00FA59D6"/>
    <w:rsid w:val="00FB0348"/>
    <w:rsid w:val="00FB7815"/>
    <w:rsid w:val="00FD3910"/>
    <w:rsid w:val="00FE5BFA"/>
    <w:rsid w:val="00FE7075"/>
    <w:rsid w:val="00FF1A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E00F4D"/>
  <w15:chartTrackingRefBased/>
  <w15:docId w15:val="{D7186F12-5F57-4422-8297-7E4DB917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AE5"/>
  </w:style>
  <w:style w:type="paragraph" w:styleId="Heading1">
    <w:name w:val="heading 1"/>
    <w:basedOn w:val="Normal"/>
    <w:next w:val="Normal"/>
    <w:link w:val="Heading1Char"/>
    <w:uiPriority w:val="9"/>
    <w:qFormat/>
    <w:rsid w:val="004F4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4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4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4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4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4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4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E5"/>
    <w:rPr>
      <w:rFonts w:eastAsiaTheme="majorEastAsia" w:cstheme="majorBidi"/>
      <w:color w:val="272727" w:themeColor="text1" w:themeTint="D8"/>
    </w:rPr>
  </w:style>
  <w:style w:type="paragraph" w:styleId="Title">
    <w:name w:val="Title"/>
    <w:basedOn w:val="Normal"/>
    <w:next w:val="Normal"/>
    <w:link w:val="TitleChar"/>
    <w:uiPriority w:val="10"/>
    <w:qFormat/>
    <w:rsid w:val="004F4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E5"/>
    <w:pPr>
      <w:spacing w:before="160"/>
      <w:jc w:val="center"/>
    </w:pPr>
    <w:rPr>
      <w:i/>
      <w:iCs/>
      <w:color w:val="404040" w:themeColor="text1" w:themeTint="BF"/>
    </w:rPr>
  </w:style>
  <w:style w:type="character" w:customStyle="1" w:styleId="QuoteChar">
    <w:name w:val="Quote Char"/>
    <w:basedOn w:val="DefaultParagraphFont"/>
    <w:link w:val="Quote"/>
    <w:uiPriority w:val="29"/>
    <w:rsid w:val="004F4AE5"/>
    <w:rPr>
      <w:i/>
      <w:iCs/>
      <w:color w:val="404040" w:themeColor="text1" w:themeTint="BF"/>
    </w:rPr>
  </w:style>
  <w:style w:type="paragraph" w:styleId="ListParagraph">
    <w:name w:val="List Paragraph"/>
    <w:basedOn w:val="Normal"/>
    <w:uiPriority w:val="34"/>
    <w:qFormat/>
    <w:rsid w:val="004F4AE5"/>
    <w:pPr>
      <w:ind w:left="720"/>
      <w:contextualSpacing/>
    </w:pPr>
  </w:style>
  <w:style w:type="character" w:styleId="IntenseEmphasis">
    <w:name w:val="Intense Emphasis"/>
    <w:basedOn w:val="DefaultParagraphFont"/>
    <w:uiPriority w:val="21"/>
    <w:qFormat/>
    <w:rsid w:val="004F4AE5"/>
    <w:rPr>
      <w:i/>
      <w:iCs/>
      <w:color w:val="2F5496" w:themeColor="accent1" w:themeShade="BF"/>
    </w:rPr>
  </w:style>
  <w:style w:type="paragraph" w:styleId="IntenseQuote">
    <w:name w:val="Intense Quote"/>
    <w:basedOn w:val="Normal"/>
    <w:next w:val="Normal"/>
    <w:link w:val="IntenseQuoteChar"/>
    <w:uiPriority w:val="30"/>
    <w:qFormat/>
    <w:rsid w:val="004F4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AE5"/>
    <w:rPr>
      <w:i/>
      <w:iCs/>
      <w:color w:val="2F5496" w:themeColor="accent1" w:themeShade="BF"/>
    </w:rPr>
  </w:style>
  <w:style w:type="character" w:styleId="IntenseReference">
    <w:name w:val="Intense Reference"/>
    <w:basedOn w:val="DefaultParagraphFont"/>
    <w:uiPriority w:val="32"/>
    <w:qFormat/>
    <w:rsid w:val="004F4AE5"/>
    <w:rPr>
      <w:b/>
      <w:bCs/>
      <w:smallCaps/>
      <w:color w:val="2F5496" w:themeColor="accent1" w:themeShade="BF"/>
      <w:spacing w:val="5"/>
    </w:rPr>
  </w:style>
  <w:style w:type="character" w:styleId="Hyperlink">
    <w:name w:val="Hyperlink"/>
    <w:basedOn w:val="DefaultParagraphFont"/>
    <w:uiPriority w:val="99"/>
    <w:unhideWhenUsed/>
    <w:rsid w:val="004F4AE5"/>
    <w:rPr>
      <w:color w:val="0563C1" w:themeColor="hyperlink"/>
      <w:u w:val="single"/>
    </w:rPr>
  </w:style>
  <w:style w:type="character" w:customStyle="1" w:styleId="a">
    <w:name w:val="_"/>
    <w:basedOn w:val="DefaultParagraphFont"/>
    <w:qFormat/>
    <w:rsid w:val="00832003"/>
  </w:style>
  <w:style w:type="character" w:styleId="PlaceholderText">
    <w:name w:val="Placeholder Text"/>
    <w:basedOn w:val="DefaultParagraphFont"/>
    <w:uiPriority w:val="99"/>
    <w:semiHidden/>
    <w:rsid w:val="00832003"/>
    <w:rPr>
      <w:color w:val="666666"/>
    </w:rPr>
  </w:style>
  <w:style w:type="character" w:customStyle="1" w:styleId="mord">
    <w:name w:val="mord"/>
    <w:basedOn w:val="DefaultParagraphFont"/>
    <w:rsid w:val="00832003"/>
  </w:style>
  <w:style w:type="character" w:customStyle="1" w:styleId="vlist-s">
    <w:name w:val="vlist-s"/>
    <w:basedOn w:val="DefaultParagraphFont"/>
    <w:rsid w:val="00832003"/>
  </w:style>
  <w:style w:type="paragraph" w:styleId="Header">
    <w:name w:val="header"/>
    <w:basedOn w:val="Normal"/>
    <w:link w:val="HeaderChar"/>
    <w:uiPriority w:val="99"/>
    <w:unhideWhenUsed/>
    <w:rsid w:val="00832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003"/>
  </w:style>
  <w:style w:type="paragraph" w:styleId="Footer">
    <w:name w:val="footer"/>
    <w:basedOn w:val="Normal"/>
    <w:link w:val="FooterChar"/>
    <w:uiPriority w:val="99"/>
    <w:unhideWhenUsed/>
    <w:rsid w:val="00832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003"/>
  </w:style>
  <w:style w:type="table" w:styleId="TableGrid">
    <w:name w:val="Table Grid"/>
    <w:basedOn w:val="TableNormal"/>
    <w:uiPriority w:val="39"/>
    <w:rsid w:val="00832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2003"/>
    <w:rPr>
      <w:color w:val="605E5C"/>
      <w:shd w:val="clear" w:color="auto" w:fill="E1DFDD"/>
    </w:rPr>
  </w:style>
  <w:style w:type="character" w:styleId="CommentReference">
    <w:name w:val="annotation reference"/>
    <w:basedOn w:val="DefaultParagraphFont"/>
    <w:uiPriority w:val="99"/>
    <w:semiHidden/>
    <w:unhideWhenUsed/>
    <w:rsid w:val="00832003"/>
    <w:rPr>
      <w:sz w:val="16"/>
      <w:szCs w:val="16"/>
    </w:rPr>
  </w:style>
  <w:style w:type="paragraph" w:styleId="CommentText">
    <w:name w:val="annotation text"/>
    <w:basedOn w:val="Normal"/>
    <w:link w:val="CommentTextChar"/>
    <w:uiPriority w:val="99"/>
    <w:semiHidden/>
    <w:unhideWhenUsed/>
    <w:rsid w:val="00832003"/>
    <w:pPr>
      <w:spacing w:line="240" w:lineRule="auto"/>
    </w:pPr>
    <w:rPr>
      <w:sz w:val="20"/>
      <w:szCs w:val="20"/>
    </w:rPr>
  </w:style>
  <w:style w:type="character" w:customStyle="1" w:styleId="CommentTextChar">
    <w:name w:val="Comment Text Char"/>
    <w:basedOn w:val="DefaultParagraphFont"/>
    <w:link w:val="CommentText"/>
    <w:uiPriority w:val="99"/>
    <w:semiHidden/>
    <w:rsid w:val="00832003"/>
    <w:rPr>
      <w:sz w:val="20"/>
      <w:szCs w:val="20"/>
    </w:rPr>
  </w:style>
  <w:style w:type="paragraph" w:styleId="CommentSubject">
    <w:name w:val="annotation subject"/>
    <w:basedOn w:val="CommentText"/>
    <w:next w:val="CommentText"/>
    <w:link w:val="CommentSubjectChar"/>
    <w:uiPriority w:val="99"/>
    <w:semiHidden/>
    <w:unhideWhenUsed/>
    <w:rsid w:val="00832003"/>
    <w:rPr>
      <w:b/>
      <w:bCs/>
    </w:rPr>
  </w:style>
  <w:style w:type="character" w:customStyle="1" w:styleId="CommentSubjectChar">
    <w:name w:val="Comment Subject Char"/>
    <w:basedOn w:val="CommentTextChar"/>
    <w:link w:val="CommentSubject"/>
    <w:uiPriority w:val="99"/>
    <w:semiHidden/>
    <w:rsid w:val="00832003"/>
    <w:rPr>
      <w:b/>
      <w:bCs/>
      <w:sz w:val="20"/>
      <w:szCs w:val="20"/>
    </w:rPr>
  </w:style>
  <w:style w:type="character" w:styleId="FollowedHyperlink">
    <w:name w:val="FollowedHyperlink"/>
    <w:basedOn w:val="DefaultParagraphFont"/>
    <w:uiPriority w:val="99"/>
    <w:semiHidden/>
    <w:unhideWhenUsed/>
    <w:rsid w:val="00401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19323">
      <w:bodyDiv w:val="1"/>
      <w:marLeft w:val="0"/>
      <w:marRight w:val="0"/>
      <w:marTop w:val="0"/>
      <w:marBottom w:val="0"/>
      <w:divBdr>
        <w:top w:val="none" w:sz="0" w:space="0" w:color="auto"/>
        <w:left w:val="none" w:sz="0" w:space="0" w:color="auto"/>
        <w:bottom w:val="none" w:sz="0" w:space="0" w:color="auto"/>
        <w:right w:val="none" w:sz="0" w:space="0" w:color="auto"/>
      </w:divBdr>
    </w:div>
    <w:div w:id="970015091">
      <w:bodyDiv w:val="1"/>
      <w:marLeft w:val="0"/>
      <w:marRight w:val="0"/>
      <w:marTop w:val="0"/>
      <w:marBottom w:val="0"/>
      <w:divBdr>
        <w:top w:val="none" w:sz="0" w:space="0" w:color="auto"/>
        <w:left w:val="none" w:sz="0" w:space="0" w:color="auto"/>
        <w:bottom w:val="none" w:sz="0" w:space="0" w:color="auto"/>
        <w:right w:val="none" w:sz="0" w:space="0" w:color="auto"/>
      </w:divBdr>
    </w:div>
    <w:div w:id="1136944903">
      <w:bodyDiv w:val="1"/>
      <w:marLeft w:val="0"/>
      <w:marRight w:val="0"/>
      <w:marTop w:val="0"/>
      <w:marBottom w:val="0"/>
      <w:divBdr>
        <w:top w:val="none" w:sz="0" w:space="0" w:color="auto"/>
        <w:left w:val="none" w:sz="0" w:space="0" w:color="auto"/>
        <w:bottom w:val="none" w:sz="0" w:space="0" w:color="auto"/>
        <w:right w:val="none" w:sz="0" w:space="0" w:color="auto"/>
      </w:divBdr>
    </w:div>
    <w:div w:id="1274484052">
      <w:bodyDiv w:val="1"/>
      <w:marLeft w:val="0"/>
      <w:marRight w:val="0"/>
      <w:marTop w:val="0"/>
      <w:marBottom w:val="0"/>
      <w:divBdr>
        <w:top w:val="none" w:sz="0" w:space="0" w:color="auto"/>
        <w:left w:val="none" w:sz="0" w:space="0" w:color="auto"/>
        <w:bottom w:val="none" w:sz="0" w:space="0" w:color="auto"/>
        <w:right w:val="none" w:sz="0" w:space="0" w:color="auto"/>
      </w:divBdr>
    </w:div>
    <w:div w:id="1631667941">
      <w:bodyDiv w:val="1"/>
      <w:marLeft w:val="0"/>
      <w:marRight w:val="0"/>
      <w:marTop w:val="0"/>
      <w:marBottom w:val="0"/>
      <w:divBdr>
        <w:top w:val="none" w:sz="0" w:space="0" w:color="auto"/>
        <w:left w:val="none" w:sz="0" w:space="0" w:color="auto"/>
        <w:bottom w:val="none" w:sz="0" w:space="0" w:color="auto"/>
        <w:right w:val="none" w:sz="0" w:space="0" w:color="auto"/>
      </w:divBdr>
    </w:div>
    <w:div w:id="19301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orldbank.org/indicator/SH.XPD.GHED.GE.ZS?locations=NG" TargetMode="External"/><Relationship Id="rId18" Type="http://schemas.openxmlformats.org/officeDocument/2006/relationships/hyperlink" Target="https://doi.org/10.53573/rhimrj.2025.v12n6si.006" TargetMode="External"/><Relationship Id="rId26" Type="http://schemas.openxmlformats.org/officeDocument/2006/relationships/hyperlink" Target="https://doi.org/10.6007/ijarbss/v10-i8/7506" TargetMode="External"/><Relationship Id="rId21" Type="http://schemas.openxmlformats.org/officeDocument/2006/relationships/hyperlink" Target="https://www.unicef.org/nigeria/media/7741/file/UNICEF%20Nigeria%20Cheat%20" TargetMode="External"/><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s://data.worldbank.org/indicator/SE.ENR.PRIM.FM.ZS?locations=NG" TargetMode="External"/><Relationship Id="rId17" Type="http://schemas.openxmlformats.org/officeDocument/2006/relationships/hyperlink" Target="https://doi.org/10.2139/ssrn.3391773" TargetMode="External"/><Relationship Id="rId25" Type="http://schemas.openxmlformats.org/officeDocument/2006/relationships/hyperlink" Target="https://doi.org/10.47305/jlia2391022sh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46/ANNUREV-RESOURCE-100517-023429" TargetMode="External"/><Relationship Id="rId20" Type="http://schemas.openxmlformats.org/officeDocument/2006/relationships/hyperlink" Target="https://doi.org/10.33448/rsd-v12i5.40522" TargetMode="External"/><Relationship Id="rId29" Type="http://schemas.openxmlformats.org/officeDocument/2006/relationships/hyperlink" Target="https://doi.org/10.54647/economics792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189/ujer.2020.082314" TargetMode="External"/><Relationship Id="rId24" Type="http://schemas.openxmlformats.org/officeDocument/2006/relationships/hyperlink" Target="https://doi.org/10.1086/69493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on.berkeley.edu/sites/default/files/ALI_Zoya_Spring%202021.pdf" TargetMode="External"/><Relationship Id="rId23" Type="http://schemas.openxmlformats.org/officeDocument/2006/relationships/hyperlink" Target="https://doi.org/10.56201/ijee.v9.no3.2023.pg125.133" TargetMode="External"/><Relationship Id="rId28" Type="http://schemas.openxmlformats.org/officeDocument/2006/relationships/hyperlink" Target="https://doi.org/10.2139/ssrn.3308635" TargetMode="External"/><Relationship Id="rId36" Type="http://schemas.openxmlformats.org/officeDocument/2006/relationships/footer" Target="footer3.xml"/><Relationship Id="rId10" Type="http://schemas.openxmlformats.org/officeDocument/2006/relationships/hyperlink" Target="https://doi.org/10.54414/zxuj8630" TargetMode="External"/><Relationship Id="rId19" Type="http://schemas.openxmlformats.org/officeDocument/2006/relationships/hyperlink" Target="https://data.worldbank.org/indicator/NY.GDP.PCAP.KD.ZG?locations=N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307/3440246" TargetMode="External"/><Relationship Id="rId14" Type="http://schemas.openxmlformats.org/officeDocument/2006/relationships/hyperlink" Target="https://doi.org/10.3390/su13010367" TargetMode="External"/><Relationship Id="rId22" Type="http://schemas.openxmlformats.org/officeDocument/2006/relationships/hyperlink" Target="https://doi.org/10.1596/29956" TargetMode="External"/><Relationship Id="rId27" Type="http://schemas.openxmlformats.org/officeDocument/2006/relationships/hyperlink" Target="https://doi.org/10.1515/bejm-2016-0109" TargetMode="External"/><Relationship Id="rId30" Type="http://schemas.openxmlformats.org/officeDocument/2006/relationships/hyperlink" Target="https://doi.org/10.60084/eje.v2i2.205" TargetMode="External"/><Relationship Id="rId35" Type="http://schemas.openxmlformats.org/officeDocument/2006/relationships/header" Target="header3.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3722</TotalTime>
  <Pages>21</Pages>
  <Words>6229</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Aninwagu</dc:creator>
  <cp:keywords/>
  <dc:description/>
  <cp:lastModifiedBy>SDI 1084</cp:lastModifiedBy>
  <cp:revision>247</cp:revision>
  <dcterms:created xsi:type="dcterms:W3CDTF">2025-07-28T12:04:00Z</dcterms:created>
  <dcterms:modified xsi:type="dcterms:W3CDTF">2025-08-05T09:38:00Z</dcterms:modified>
</cp:coreProperties>
</file>