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B04C7" w14:textId="5F5DAA14" w:rsidR="00754C9A" w:rsidRDefault="00E241A0" w:rsidP="00441B6F">
      <w:pPr>
        <w:pStyle w:val="Title"/>
        <w:spacing w:after="0"/>
        <w:jc w:val="both"/>
        <w:rPr>
          <w:rFonts w:ascii="Arial" w:hAnsi="Arial" w:cs="Arial"/>
        </w:rPr>
      </w:pPr>
      <w:r w:rsidRPr="00E241A0">
        <w:rPr>
          <w:rFonts w:ascii="Arial" w:hAnsi="Arial" w:cs="Arial"/>
        </w:rPr>
        <w:t>Original Research Article</w:t>
      </w:r>
    </w:p>
    <w:p w14:paraId="0FA41CF7" w14:textId="77777777" w:rsidR="00E241A0" w:rsidRDefault="00E241A0" w:rsidP="00441B6F">
      <w:pPr>
        <w:pStyle w:val="Title"/>
        <w:spacing w:after="0"/>
        <w:jc w:val="both"/>
        <w:rPr>
          <w:rFonts w:ascii="Arial" w:hAnsi="Arial" w:cs="Arial"/>
        </w:rPr>
      </w:pPr>
    </w:p>
    <w:p w14:paraId="2F031665" w14:textId="77777777" w:rsidR="00A258C3" w:rsidRDefault="00E664A4" w:rsidP="00E664A4">
      <w:pPr>
        <w:pStyle w:val="Author"/>
        <w:spacing w:line="240" w:lineRule="auto"/>
        <w:rPr>
          <w:rStyle w:val="Strong"/>
          <w:rFonts w:ascii="Arial" w:hAnsi="Arial" w:cs="Arial"/>
          <w:b/>
          <w:sz w:val="36"/>
        </w:rPr>
      </w:pPr>
      <w:r w:rsidRPr="00E664A4">
        <w:rPr>
          <w:rStyle w:val="Strong"/>
          <w:rFonts w:ascii="Arial" w:hAnsi="Arial" w:cs="Arial"/>
          <w:b/>
          <w:sz w:val="36"/>
        </w:rPr>
        <w:t>THE EFFECT OF WORKLOAD AND WORK-LIFE BALANCE ON EMPLOYEE TURNOVER INTENTION AT SWISS-BELHOTEL LAMPUNG WITH ORGANIZATIONAL SUPPORT AS A MODERATING VARIABLE</w:t>
      </w:r>
    </w:p>
    <w:p w14:paraId="2F6BDA5C" w14:textId="77777777" w:rsidR="00A57560" w:rsidRPr="00E664A4" w:rsidRDefault="00A57560" w:rsidP="00E664A4">
      <w:pPr>
        <w:pStyle w:val="Author"/>
        <w:spacing w:line="240" w:lineRule="auto"/>
        <w:rPr>
          <w:rFonts w:ascii="Arial" w:hAnsi="Arial" w:cs="Arial"/>
          <w:b w:val="0"/>
          <w:sz w:val="48"/>
        </w:rPr>
      </w:pPr>
    </w:p>
    <w:p w14:paraId="2B61DA7D" w14:textId="77777777" w:rsidR="00790ADA" w:rsidRDefault="00790ADA" w:rsidP="00441B6F">
      <w:pPr>
        <w:pStyle w:val="Affiliation"/>
        <w:spacing w:after="0" w:line="240" w:lineRule="auto"/>
        <w:jc w:val="both"/>
        <w:rPr>
          <w:rFonts w:ascii="Arial" w:hAnsi="Arial" w:cs="Arial"/>
        </w:rPr>
      </w:pPr>
    </w:p>
    <w:p w14:paraId="6407B2A4" w14:textId="77777777" w:rsidR="002C57D2" w:rsidRPr="00FB3A86" w:rsidRDefault="002C57D2" w:rsidP="00441B6F">
      <w:pPr>
        <w:pStyle w:val="Affiliation"/>
        <w:spacing w:after="0" w:line="240" w:lineRule="auto"/>
        <w:jc w:val="both"/>
        <w:rPr>
          <w:rFonts w:ascii="Arial" w:hAnsi="Arial" w:cs="Arial"/>
        </w:rPr>
      </w:pPr>
    </w:p>
    <w:p w14:paraId="165D377D" w14:textId="77777777" w:rsidR="00B01FCD" w:rsidRPr="00FB3A86" w:rsidRDefault="00DA3B35" w:rsidP="00441B6F">
      <w:pPr>
        <w:pStyle w:val="Copyright"/>
        <w:spacing w:after="0" w:line="240" w:lineRule="auto"/>
        <w:jc w:val="both"/>
        <w:rPr>
          <w:rFonts w:ascii="Arial" w:hAnsi="Arial" w:cs="Arial"/>
        </w:rPr>
        <w:sectPr w:rsidR="00B01FCD" w:rsidRPr="00FB3A86" w:rsidSect="007158B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3FAFD0E">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11267E32" w14:textId="77777777" w:rsidR="00790ADA" w:rsidRDefault="00B01FCD" w:rsidP="00441B6F">
      <w:pPr>
        <w:pStyle w:val="AbstHead"/>
        <w:spacing w:after="0"/>
        <w:jc w:val="both"/>
        <w:rPr>
          <w:rFonts w:ascii="Arial" w:hAnsi="Arial" w:cs="Arial"/>
        </w:rPr>
      </w:pPr>
      <w:r w:rsidRPr="00FB3A86">
        <w:rPr>
          <w:rFonts w:ascii="Arial" w:hAnsi="Arial" w:cs="Arial"/>
        </w:rPr>
        <w:t>ABSTRACT</w:t>
      </w:r>
    </w:p>
    <w:p w14:paraId="0CC3F818" w14:textId="77777777" w:rsidR="00BC37D3" w:rsidRPr="00FB3A86" w:rsidRDefault="00BC37D3"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7CD2766" w14:textId="77777777" w:rsidTr="001E44FE">
        <w:tc>
          <w:tcPr>
            <w:tcW w:w="9576" w:type="dxa"/>
            <w:shd w:val="clear" w:color="auto" w:fill="F2F2F2"/>
          </w:tcPr>
          <w:p w14:paraId="55115F79"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sz w:val="22"/>
                <w:szCs w:val="22"/>
              </w:rPr>
              <w:t xml:space="preserve">Aims: </w:t>
            </w:r>
            <w:r w:rsidR="00A041FF" w:rsidRPr="00690139">
              <w:rPr>
                <w:rFonts w:ascii="Arial" w:hAnsi="Arial" w:cs="Arial"/>
                <w:sz w:val="22"/>
                <w:szCs w:val="22"/>
              </w:rPr>
              <w:t>This study aims to analyze the effect of workload and work-life balance on employee turnover intention at Swiss-</w:t>
            </w:r>
            <w:proofErr w:type="spellStart"/>
            <w:r w:rsidR="00A041FF" w:rsidRPr="00690139">
              <w:rPr>
                <w:rFonts w:ascii="Arial" w:hAnsi="Arial" w:cs="Arial"/>
                <w:sz w:val="22"/>
                <w:szCs w:val="22"/>
              </w:rPr>
              <w:t>Belhotel</w:t>
            </w:r>
            <w:proofErr w:type="spellEnd"/>
            <w:r w:rsidR="00A041FF" w:rsidRPr="00690139">
              <w:rPr>
                <w:rFonts w:ascii="Arial" w:hAnsi="Arial" w:cs="Arial"/>
                <w:sz w:val="22"/>
                <w:szCs w:val="22"/>
              </w:rPr>
              <w:t xml:space="preserve"> </w:t>
            </w:r>
            <w:proofErr w:type="spellStart"/>
            <w:r w:rsidR="00A041FF" w:rsidRPr="00690139">
              <w:rPr>
                <w:rFonts w:ascii="Arial" w:hAnsi="Arial" w:cs="Arial"/>
                <w:sz w:val="22"/>
                <w:szCs w:val="22"/>
              </w:rPr>
              <w:t>lampung</w:t>
            </w:r>
            <w:proofErr w:type="spellEnd"/>
            <w:r w:rsidR="00A041FF" w:rsidRPr="00690139">
              <w:rPr>
                <w:rFonts w:ascii="Arial" w:hAnsi="Arial" w:cs="Arial"/>
                <w:caps/>
                <w:sz w:val="22"/>
                <w:szCs w:val="22"/>
              </w:rPr>
              <w:t xml:space="preserve"> </w:t>
            </w:r>
            <w:r w:rsidR="00A041FF" w:rsidRPr="00690139">
              <w:rPr>
                <w:rStyle w:val="Strong"/>
                <w:rFonts w:ascii="Arial" w:hAnsi="Arial" w:cs="Arial"/>
                <w:b w:val="0"/>
                <w:sz w:val="22"/>
                <w:szCs w:val="22"/>
              </w:rPr>
              <w:t>with organizational support as a moderating variable</w:t>
            </w:r>
            <w:r w:rsidR="00A041FF" w:rsidRPr="00690139">
              <w:rPr>
                <w:rFonts w:ascii="Arial" w:hAnsi="Arial" w:cs="Arial"/>
                <w:caps/>
                <w:sz w:val="22"/>
                <w:szCs w:val="22"/>
              </w:rPr>
              <w:t xml:space="preserve">. </w:t>
            </w:r>
            <w:r w:rsidR="00A041FF" w:rsidRPr="00690139">
              <w:rPr>
                <w:rFonts w:ascii="Arial" w:hAnsi="Arial" w:cs="Arial"/>
                <w:sz w:val="22"/>
                <w:szCs w:val="22"/>
              </w:rPr>
              <w:t xml:space="preserve">Specifically, </w:t>
            </w:r>
            <w:r w:rsidR="00A041FF" w:rsidRPr="00690139">
              <w:rPr>
                <w:rFonts w:ascii="Arial" w:hAnsi="Arial" w:cs="Arial"/>
                <w:sz w:val="22"/>
                <w:szCs w:val="22"/>
                <w:lang w:val="en-ID"/>
              </w:rPr>
              <w:t>this study focuses the positive or negative effect whether workload and work-life balance on employee turnover intention at Swiss-</w:t>
            </w:r>
            <w:proofErr w:type="spellStart"/>
            <w:r w:rsidR="00A041FF" w:rsidRPr="00690139">
              <w:rPr>
                <w:rFonts w:ascii="Arial" w:hAnsi="Arial" w:cs="Arial"/>
                <w:sz w:val="22"/>
                <w:szCs w:val="22"/>
                <w:lang w:val="en-ID"/>
              </w:rPr>
              <w:t>Belhotel</w:t>
            </w:r>
            <w:proofErr w:type="spellEnd"/>
            <w:r w:rsidR="00A041FF" w:rsidRPr="00690139">
              <w:rPr>
                <w:rFonts w:ascii="Arial" w:hAnsi="Arial" w:cs="Arial"/>
                <w:sz w:val="22"/>
                <w:szCs w:val="22"/>
                <w:lang w:val="en-ID"/>
              </w:rPr>
              <w:t xml:space="preserve"> Lampung, and the moderating role organizational support in the positive or negative effect whether workload and work-life balance on employee turnover intention.</w:t>
            </w:r>
          </w:p>
          <w:p w14:paraId="16888BFC"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sz w:val="22"/>
                <w:szCs w:val="22"/>
              </w:rPr>
              <w:t>Study design:</w:t>
            </w:r>
            <w:r w:rsidRPr="00690139">
              <w:rPr>
                <w:rFonts w:ascii="Arial" w:eastAsia="Calibri" w:hAnsi="Arial" w:cs="Arial"/>
                <w:sz w:val="22"/>
                <w:szCs w:val="22"/>
              </w:rPr>
              <w:t xml:space="preserve">  </w:t>
            </w:r>
            <w:r w:rsidR="00A041FF" w:rsidRPr="00690139">
              <w:rPr>
                <w:rFonts w:ascii="Arial" w:hAnsi="Arial" w:cs="Arial"/>
                <w:sz w:val="22"/>
                <w:szCs w:val="22"/>
              </w:rPr>
              <w:t xml:space="preserve">Utilizing a quantitative approach </w:t>
            </w:r>
            <w:r w:rsidR="00A041FF" w:rsidRPr="00690139">
              <w:rPr>
                <w:rFonts w:ascii="Arial" w:hAnsi="Arial" w:cs="Arial"/>
                <w:sz w:val="22"/>
                <w:szCs w:val="22"/>
                <w:lang w:val="en-ID"/>
              </w:rPr>
              <w:t>a</w:t>
            </w:r>
            <w:r w:rsidR="00A041FF" w:rsidRPr="00690139">
              <w:rPr>
                <w:rFonts w:ascii="Arial" w:hAnsi="Arial" w:cs="Arial"/>
                <w:sz w:val="22"/>
                <w:szCs w:val="22"/>
              </w:rPr>
              <w:t xml:space="preserve"> </w:t>
            </w:r>
            <w:r w:rsidR="00A041FF" w:rsidRPr="00690139">
              <w:rPr>
                <w:rFonts w:ascii="Arial" w:hAnsi="Arial" w:cs="Arial"/>
                <w:sz w:val="22"/>
                <w:szCs w:val="22"/>
                <w:lang w:val="en-ID"/>
              </w:rPr>
              <w:t xml:space="preserve">structural equation </w:t>
            </w:r>
            <w:r w:rsidR="00A041FF" w:rsidRPr="00690139">
              <w:rPr>
                <w:rFonts w:ascii="Arial" w:hAnsi="Arial" w:cs="Arial"/>
                <w:sz w:val="22"/>
                <w:szCs w:val="22"/>
              </w:rPr>
              <w:t xml:space="preserve">modelling </w:t>
            </w:r>
            <w:r w:rsidR="00A041FF" w:rsidRPr="00690139">
              <w:rPr>
                <w:rFonts w:ascii="Arial" w:hAnsi="Arial" w:cs="Arial"/>
                <w:sz w:val="22"/>
                <w:szCs w:val="22"/>
                <w:lang w:val="en-ID"/>
              </w:rPr>
              <w:t>(SEM) approach based on Partial Least Squares (PLS)</w:t>
            </w:r>
            <w:r w:rsidRPr="00690139">
              <w:rPr>
                <w:rFonts w:ascii="Arial" w:eastAsia="Calibri" w:hAnsi="Arial" w:cs="Arial"/>
                <w:sz w:val="22"/>
                <w:szCs w:val="22"/>
              </w:rPr>
              <w:t>.</w:t>
            </w:r>
          </w:p>
          <w:p w14:paraId="0F6F1306"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sz w:val="22"/>
                <w:szCs w:val="22"/>
              </w:rPr>
              <w:t>Place and Duration of Study:</w:t>
            </w:r>
            <w:r w:rsidRPr="00690139">
              <w:rPr>
                <w:rFonts w:ascii="Arial" w:eastAsia="Calibri" w:hAnsi="Arial" w:cs="Arial"/>
                <w:sz w:val="22"/>
                <w:szCs w:val="22"/>
              </w:rPr>
              <w:t xml:space="preserve"> </w:t>
            </w:r>
            <w:r w:rsidR="00A041FF" w:rsidRPr="00690139">
              <w:rPr>
                <w:rFonts w:ascii="Arial" w:eastAsia="Calibri" w:hAnsi="Arial" w:cs="Arial"/>
                <w:sz w:val="22"/>
                <w:szCs w:val="22"/>
              </w:rPr>
              <w:t xml:space="preserve">All </w:t>
            </w:r>
            <w:r w:rsidRPr="00690139">
              <w:rPr>
                <w:rFonts w:ascii="Arial" w:eastAsia="Calibri" w:hAnsi="Arial" w:cs="Arial"/>
                <w:sz w:val="22"/>
                <w:szCs w:val="22"/>
              </w:rPr>
              <w:t xml:space="preserve">Department </w:t>
            </w:r>
            <w:r w:rsidR="00A041FF" w:rsidRPr="00690139">
              <w:rPr>
                <w:rFonts w:ascii="Arial" w:eastAsia="Calibri" w:hAnsi="Arial" w:cs="Arial"/>
                <w:sz w:val="22"/>
                <w:szCs w:val="22"/>
              </w:rPr>
              <w:t>in Swiss-</w:t>
            </w:r>
            <w:proofErr w:type="spellStart"/>
            <w:r w:rsidR="00A041FF" w:rsidRPr="00690139">
              <w:rPr>
                <w:rFonts w:ascii="Arial" w:eastAsia="Calibri" w:hAnsi="Arial" w:cs="Arial"/>
                <w:sz w:val="22"/>
                <w:szCs w:val="22"/>
              </w:rPr>
              <w:t>Belhotel</w:t>
            </w:r>
            <w:proofErr w:type="spellEnd"/>
            <w:r w:rsidR="00A041FF" w:rsidRPr="00690139">
              <w:rPr>
                <w:rFonts w:ascii="Arial" w:eastAsia="Calibri" w:hAnsi="Arial" w:cs="Arial"/>
                <w:sz w:val="22"/>
                <w:szCs w:val="22"/>
              </w:rPr>
              <w:t xml:space="preserve"> Lampung</w:t>
            </w:r>
            <w:r w:rsidRPr="00690139">
              <w:rPr>
                <w:rFonts w:ascii="Arial" w:eastAsia="Calibri" w:hAnsi="Arial" w:cs="Arial"/>
                <w:sz w:val="22"/>
                <w:szCs w:val="22"/>
              </w:rPr>
              <w:t xml:space="preserve"> </w:t>
            </w:r>
            <w:r w:rsidR="00F90238">
              <w:rPr>
                <w:rFonts w:ascii="Arial" w:eastAsia="Calibri" w:hAnsi="Arial" w:cs="Arial"/>
                <w:sz w:val="22"/>
                <w:szCs w:val="22"/>
              </w:rPr>
              <w:t>around</w:t>
            </w:r>
            <w:r w:rsidRPr="00690139">
              <w:rPr>
                <w:rFonts w:ascii="Arial" w:eastAsia="Calibri" w:hAnsi="Arial" w:cs="Arial"/>
                <w:sz w:val="22"/>
                <w:szCs w:val="22"/>
              </w:rPr>
              <w:t xml:space="preserve"> J</w:t>
            </w:r>
            <w:r w:rsidR="00A041FF" w:rsidRPr="00690139">
              <w:rPr>
                <w:rFonts w:ascii="Arial" w:eastAsia="Calibri" w:hAnsi="Arial" w:cs="Arial"/>
                <w:sz w:val="22"/>
                <w:szCs w:val="22"/>
              </w:rPr>
              <w:t>uly</w:t>
            </w:r>
            <w:r w:rsidRPr="00690139">
              <w:rPr>
                <w:rFonts w:ascii="Arial" w:eastAsia="Calibri" w:hAnsi="Arial" w:cs="Arial"/>
                <w:sz w:val="22"/>
                <w:szCs w:val="22"/>
              </w:rPr>
              <w:t xml:space="preserve"> 20</w:t>
            </w:r>
            <w:r w:rsidR="00A041FF" w:rsidRPr="00690139">
              <w:rPr>
                <w:rFonts w:ascii="Arial" w:eastAsia="Calibri" w:hAnsi="Arial" w:cs="Arial"/>
                <w:sz w:val="22"/>
                <w:szCs w:val="22"/>
              </w:rPr>
              <w:t>25</w:t>
            </w:r>
            <w:r w:rsidRPr="00690139">
              <w:rPr>
                <w:rFonts w:ascii="Arial" w:eastAsia="Calibri" w:hAnsi="Arial" w:cs="Arial"/>
                <w:sz w:val="22"/>
                <w:szCs w:val="22"/>
              </w:rPr>
              <w:t>.</w:t>
            </w:r>
          </w:p>
          <w:p w14:paraId="333983CE" w14:textId="77777777" w:rsidR="00BA1B01" w:rsidRPr="00690139" w:rsidRDefault="00BA1B01" w:rsidP="00441B6F">
            <w:pPr>
              <w:pStyle w:val="Body"/>
              <w:spacing w:after="0"/>
              <w:rPr>
                <w:rFonts w:ascii="Arial" w:eastAsia="Calibri" w:hAnsi="Arial" w:cs="Arial"/>
                <w:sz w:val="22"/>
                <w:szCs w:val="22"/>
              </w:rPr>
            </w:pPr>
            <w:r w:rsidRPr="00690139">
              <w:rPr>
                <w:rFonts w:ascii="Arial" w:eastAsia="Calibri" w:hAnsi="Arial" w:cs="Arial"/>
                <w:b/>
                <w:bCs/>
                <w:sz w:val="22"/>
                <w:szCs w:val="22"/>
              </w:rPr>
              <w:t>Methodology:</w:t>
            </w:r>
            <w:r w:rsidRPr="00690139">
              <w:rPr>
                <w:rFonts w:ascii="Arial" w:eastAsia="Calibri" w:hAnsi="Arial" w:cs="Arial"/>
                <w:sz w:val="22"/>
                <w:szCs w:val="22"/>
              </w:rPr>
              <w:t xml:space="preserve"> </w:t>
            </w:r>
            <w:r w:rsidR="00A041FF" w:rsidRPr="00690139">
              <w:rPr>
                <w:rFonts w:ascii="Arial" w:hAnsi="Arial" w:cs="Arial"/>
                <w:sz w:val="22"/>
                <w:szCs w:val="22"/>
                <w:lang w:val="en-ID"/>
              </w:rPr>
              <w:t xml:space="preserve">This study involved a </w:t>
            </w:r>
            <w:proofErr w:type="spellStart"/>
            <w:r w:rsidR="00A041FF" w:rsidRPr="00690139">
              <w:rPr>
                <w:rFonts w:ascii="Arial" w:hAnsi="Arial" w:cs="Arial"/>
                <w:sz w:val="22"/>
                <w:szCs w:val="22"/>
                <w:lang w:val="en-ID"/>
              </w:rPr>
              <w:t>sampel</w:t>
            </w:r>
            <w:proofErr w:type="spellEnd"/>
            <w:r w:rsidR="00A041FF" w:rsidRPr="00690139">
              <w:rPr>
                <w:rFonts w:ascii="Arial" w:hAnsi="Arial" w:cs="Arial"/>
                <w:sz w:val="22"/>
                <w:szCs w:val="22"/>
                <w:lang w:val="en-ID"/>
              </w:rPr>
              <w:t xml:space="preserve"> of </w:t>
            </w:r>
            <w:r w:rsidR="00A041FF" w:rsidRPr="00690139">
              <w:rPr>
                <w:rFonts w:ascii="Arial" w:hAnsi="Arial" w:cs="Arial"/>
                <w:sz w:val="22"/>
                <w:szCs w:val="22"/>
              </w:rPr>
              <w:t>120 contract and daily worker employees at Swiss-</w:t>
            </w:r>
            <w:proofErr w:type="spellStart"/>
            <w:r w:rsidR="00A041FF" w:rsidRPr="00690139">
              <w:rPr>
                <w:rFonts w:ascii="Arial" w:hAnsi="Arial" w:cs="Arial"/>
                <w:sz w:val="22"/>
                <w:szCs w:val="22"/>
              </w:rPr>
              <w:t>Belhotel</w:t>
            </w:r>
            <w:proofErr w:type="spellEnd"/>
            <w:r w:rsidR="00A041FF" w:rsidRPr="00690139">
              <w:rPr>
                <w:rFonts w:ascii="Arial" w:hAnsi="Arial" w:cs="Arial"/>
                <w:sz w:val="22"/>
                <w:szCs w:val="22"/>
              </w:rPr>
              <w:t xml:space="preserve"> Lampung. </w:t>
            </w:r>
            <w:proofErr w:type="gramStart"/>
            <w:r w:rsidR="00A041FF" w:rsidRPr="00803096">
              <w:rPr>
                <w:rFonts w:ascii="Arial" w:hAnsi="Arial" w:cs="Arial"/>
                <w:sz w:val="22"/>
                <w:szCs w:val="22"/>
                <w:lang w:val="en-ID"/>
              </w:rPr>
              <w:t>Data  were</w:t>
            </w:r>
            <w:proofErr w:type="gramEnd"/>
            <w:r w:rsidR="00A041FF" w:rsidRPr="00803096">
              <w:rPr>
                <w:rFonts w:ascii="Arial" w:hAnsi="Arial" w:cs="Arial"/>
                <w:sz w:val="22"/>
                <w:szCs w:val="22"/>
                <w:lang w:val="en-ID"/>
              </w:rPr>
              <w:t xml:space="preserve">  collected  through  a structured  questionnaire  distributed  online  via  Google  Forms</w:t>
            </w:r>
            <w:r w:rsidR="00A041FF" w:rsidRPr="00690139">
              <w:rPr>
                <w:rFonts w:ascii="Arial" w:hAnsi="Arial" w:cs="Arial"/>
                <w:sz w:val="22"/>
                <w:szCs w:val="22"/>
              </w:rPr>
              <w:t xml:space="preserve"> via WhatsApp. </w:t>
            </w:r>
            <w:proofErr w:type="gramStart"/>
            <w:r w:rsidR="00A041FF" w:rsidRPr="00803096">
              <w:rPr>
                <w:rFonts w:ascii="Arial" w:hAnsi="Arial" w:cs="Arial"/>
                <w:sz w:val="22"/>
                <w:szCs w:val="22"/>
                <w:lang w:val="en-ID"/>
              </w:rPr>
              <w:t>Analysis  was</w:t>
            </w:r>
            <w:proofErr w:type="gramEnd"/>
            <w:r w:rsidR="00A041FF" w:rsidRPr="00803096">
              <w:rPr>
                <w:rFonts w:ascii="Arial" w:hAnsi="Arial" w:cs="Arial"/>
                <w:sz w:val="22"/>
                <w:szCs w:val="22"/>
                <w:lang w:val="en-ID"/>
              </w:rPr>
              <w:t xml:space="preserve">  performed  using </w:t>
            </w:r>
            <w:proofErr w:type="spellStart"/>
            <w:r w:rsidR="007242ED">
              <w:rPr>
                <w:rFonts w:ascii="Arial" w:hAnsi="Arial" w:cs="Arial"/>
                <w:sz w:val="22"/>
                <w:szCs w:val="22"/>
                <w:lang w:val="en-ID"/>
              </w:rPr>
              <w:t>s</w:t>
            </w:r>
            <w:r w:rsidR="00A041FF" w:rsidRPr="00803096">
              <w:rPr>
                <w:rFonts w:ascii="Arial" w:hAnsi="Arial" w:cs="Arial"/>
                <w:sz w:val="22"/>
                <w:szCs w:val="22"/>
                <w:lang w:val="en-ID"/>
              </w:rPr>
              <w:t>martPLS</w:t>
            </w:r>
            <w:proofErr w:type="spellEnd"/>
            <w:r w:rsidR="00A041FF" w:rsidRPr="00803096">
              <w:rPr>
                <w:rFonts w:ascii="Arial" w:hAnsi="Arial" w:cs="Arial"/>
                <w:sz w:val="22"/>
                <w:szCs w:val="22"/>
                <w:lang w:val="en-ID"/>
              </w:rPr>
              <w:t xml:space="preserve"> version </w:t>
            </w:r>
            <w:r w:rsidR="00A041FF" w:rsidRPr="00690139">
              <w:rPr>
                <w:rFonts w:ascii="Arial" w:hAnsi="Arial" w:cs="Arial"/>
                <w:sz w:val="22"/>
                <w:szCs w:val="22"/>
              </w:rPr>
              <w:t xml:space="preserve">4.1.1.2 </w:t>
            </w:r>
            <w:r w:rsidR="00A041FF" w:rsidRPr="00803096">
              <w:rPr>
                <w:rFonts w:ascii="Arial" w:hAnsi="Arial" w:cs="Arial"/>
                <w:sz w:val="22"/>
                <w:szCs w:val="22"/>
                <w:lang w:val="en-ID"/>
              </w:rPr>
              <w:t>to test the proposed model and hypotheses</w:t>
            </w:r>
            <w:r w:rsidRPr="00690139">
              <w:rPr>
                <w:rFonts w:ascii="Arial" w:eastAsia="Calibri" w:hAnsi="Arial" w:cs="Arial"/>
                <w:sz w:val="22"/>
                <w:szCs w:val="22"/>
              </w:rPr>
              <w:t>.</w:t>
            </w:r>
          </w:p>
          <w:p w14:paraId="40823946" w14:textId="77777777" w:rsidR="00BA1B01" w:rsidRPr="00690139" w:rsidRDefault="00BA1B01" w:rsidP="00441B6F">
            <w:pPr>
              <w:pStyle w:val="Body"/>
              <w:spacing w:after="0"/>
              <w:rPr>
                <w:rFonts w:ascii="Arial" w:eastAsia="Calibri" w:hAnsi="Arial" w:cs="Arial"/>
                <w:b/>
                <w:bCs/>
                <w:sz w:val="22"/>
                <w:szCs w:val="22"/>
              </w:rPr>
            </w:pPr>
            <w:r w:rsidRPr="00690139">
              <w:rPr>
                <w:rFonts w:ascii="Arial" w:eastAsia="Calibri" w:hAnsi="Arial" w:cs="Arial"/>
                <w:b/>
                <w:bCs/>
                <w:sz w:val="22"/>
                <w:szCs w:val="22"/>
              </w:rPr>
              <w:t>Results:</w:t>
            </w:r>
            <w:r w:rsidRPr="00690139">
              <w:rPr>
                <w:rFonts w:ascii="Arial" w:eastAsia="Calibri" w:hAnsi="Arial" w:cs="Arial"/>
                <w:sz w:val="22"/>
                <w:szCs w:val="22"/>
              </w:rPr>
              <w:t xml:space="preserve"> </w:t>
            </w:r>
            <w:r w:rsidR="00A041FF" w:rsidRPr="00690139">
              <w:rPr>
                <w:rFonts w:ascii="Arial" w:hAnsi="Arial" w:cs="Arial"/>
                <w:sz w:val="22"/>
                <w:szCs w:val="22"/>
              </w:rPr>
              <w:t xml:space="preserve">The results indicate that workload has no significant effect on turnover intention, </w:t>
            </w:r>
            <w:proofErr w:type="spellStart"/>
            <w:r w:rsidR="00A041FF" w:rsidRPr="00690139">
              <w:rPr>
                <w:rFonts w:ascii="Arial" w:hAnsi="Arial" w:cs="Arial"/>
                <w:sz w:val="22"/>
                <w:szCs w:val="22"/>
              </w:rPr>
              <w:t>where</w:t>
            </w:r>
            <w:r w:rsidR="007242ED">
              <w:rPr>
                <w:rFonts w:ascii="Arial" w:hAnsi="Arial" w:cs="Arial"/>
                <w:sz w:val="22"/>
                <w:szCs w:val="22"/>
              </w:rPr>
              <w:t xml:space="preserve"> </w:t>
            </w:r>
            <w:r w:rsidR="00A041FF" w:rsidRPr="00690139">
              <w:rPr>
                <w:rFonts w:ascii="Arial" w:hAnsi="Arial" w:cs="Arial"/>
                <w:sz w:val="22"/>
                <w:szCs w:val="22"/>
              </w:rPr>
              <w:t>as</w:t>
            </w:r>
            <w:proofErr w:type="spellEnd"/>
            <w:r w:rsidR="00A041FF" w:rsidRPr="00690139">
              <w:rPr>
                <w:rFonts w:ascii="Arial" w:hAnsi="Arial" w:cs="Arial"/>
                <w:sz w:val="22"/>
                <w:szCs w:val="22"/>
              </w:rPr>
              <w:t xml:space="preserve"> work-life balance shows a positive and significant effect on turnover intention. This suggests that employees who perceive a better work-life balance may</w:t>
            </w:r>
            <w:r w:rsidR="007242ED">
              <w:rPr>
                <w:rFonts w:ascii="Arial" w:hAnsi="Arial" w:cs="Arial"/>
                <w:sz w:val="22"/>
                <w:szCs w:val="22"/>
              </w:rPr>
              <w:t xml:space="preserve"> </w:t>
            </w:r>
            <w:r w:rsidR="00A041FF" w:rsidRPr="00690139">
              <w:rPr>
                <w:rFonts w:ascii="Arial" w:hAnsi="Arial" w:cs="Arial"/>
                <w:sz w:val="22"/>
                <w:szCs w:val="22"/>
              </w:rPr>
              <w:t>paradoxically</w:t>
            </w:r>
            <w:r w:rsidR="007242ED">
              <w:rPr>
                <w:rFonts w:ascii="Arial" w:hAnsi="Arial" w:cs="Arial"/>
                <w:sz w:val="22"/>
                <w:szCs w:val="22"/>
              </w:rPr>
              <w:t xml:space="preserve"> </w:t>
            </w:r>
            <w:r w:rsidR="00A041FF" w:rsidRPr="00690139">
              <w:rPr>
                <w:rFonts w:ascii="Arial" w:hAnsi="Arial" w:cs="Arial"/>
                <w:sz w:val="22"/>
                <w:szCs w:val="22"/>
              </w:rPr>
              <w:t>show a higher tendency to leave. The moderation test further reveals that organizational support does not significantly moderate the relationship between workload and turnover intention. However, it significantly weakens the effect of work-life balance on turnover intention, indicating that higher organizational support can mitigate the tendency of employees to resign even when they perceive a good work-life balance. These findings emphasize the strategic importance of organizational support in managing employee retention within the hospitality sector</w:t>
            </w:r>
          </w:p>
          <w:p w14:paraId="5EDBF830" w14:textId="77777777" w:rsidR="00505F06" w:rsidRPr="00690139" w:rsidRDefault="00BA1B01" w:rsidP="00441B6F">
            <w:pPr>
              <w:pStyle w:val="Body"/>
              <w:spacing w:after="0"/>
              <w:rPr>
                <w:rFonts w:ascii="Arial" w:eastAsia="Calibri" w:hAnsi="Arial" w:cs="Arial"/>
                <w:sz w:val="22"/>
                <w:szCs w:val="22"/>
              </w:rPr>
            </w:pPr>
            <w:r w:rsidRPr="00690139">
              <w:rPr>
                <w:rFonts w:ascii="Arial" w:eastAsia="Calibri" w:hAnsi="Arial" w:cs="Arial"/>
                <w:b/>
                <w:bCs/>
                <w:sz w:val="22"/>
                <w:szCs w:val="22"/>
              </w:rPr>
              <w:t>Conclusion:</w:t>
            </w:r>
            <w:r w:rsidRPr="00690139">
              <w:rPr>
                <w:rFonts w:ascii="Arial" w:eastAsia="Calibri" w:hAnsi="Arial" w:cs="Arial"/>
                <w:sz w:val="22"/>
                <w:szCs w:val="22"/>
              </w:rPr>
              <w:t xml:space="preserve"> </w:t>
            </w:r>
            <w:r w:rsidR="00A041FF" w:rsidRPr="00482934">
              <w:rPr>
                <w:rFonts w:ascii="Arial" w:hAnsi="Arial" w:cs="Arial"/>
                <w:sz w:val="22"/>
                <w:szCs w:val="22"/>
                <w:lang w:val="en-ID"/>
              </w:rPr>
              <w:t xml:space="preserve">The results of this study indicate that workload is not a primary factor influencing employee turnover intentions. Conversely, work-life balance shows a positive relationship with turnover intentions, suggesting potential dissatisfaction or </w:t>
            </w:r>
            <w:r w:rsidR="00A041FF" w:rsidRPr="00482934">
              <w:rPr>
                <w:rFonts w:ascii="Arial" w:hAnsi="Arial" w:cs="Arial"/>
                <w:sz w:val="22"/>
                <w:szCs w:val="22"/>
                <w:lang w:val="en-ID"/>
              </w:rPr>
              <w:lastRenderedPageBreak/>
              <w:t>a conflict between personal values and job demands, even when employees perceive their work-life balance as adequate. Organizational support is not effective in reducing the impact of workload, it has been shown to strengthen the influence of work-life balance on turnover intentions, functioning as a compensatory mechanism when work-life balance is not optimal.</w:t>
            </w:r>
          </w:p>
        </w:tc>
      </w:tr>
    </w:tbl>
    <w:p w14:paraId="546D455A" w14:textId="77777777" w:rsidR="00636EB2" w:rsidRDefault="00636EB2" w:rsidP="00441B6F">
      <w:pPr>
        <w:pStyle w:val="Body"/>
        <w:spacing w:after="0"/>
        <w:rPr>
          <w:rFonts w:ascii="Arial" w:hAnsi="Arial" w:cs="Arial"/>
          <w:i/>
        </w:rPr>
      </w:pPr>
    </w:p>
    <w:p w14:paraId="7F0A6A9A" w14:textId="77777777" w:rsidR="00A24E7E" w:rsidRPr="00690139" w:rsidRDefault="00A24E7E" w:rsidP="00441B6F">
      <w:pPr>
        <w:pStyle w:val="Body"/>
        <w:spacing w:after="0"/>
        <w:rPr>
          <w:rFonts w:ascii="Arial" w:hAnsi="Arial" w:cs="Arial"/>
          <w:i/>
        </w:rPr>
      </w:pPr>
      <w:r>
        <w:rPr>
          <w:rFonts w:ascii="Arial" w:hAnsi="Arial" w:cs="Arial"/>
          <w:i/>
        </w:rPr>
        <w:t xml:space="preserve">Keywords: </w:t>
      </w:r>
      <w:r w:rsidR="00690139" w:rsidRPr="00690139">
        <w:rPr>
          <w:rFonts w:ascii="Arial" w:hAnsi="Arial" w:cs="Arial"/>
          <w:i/>
        </w:rPr>
        <w:t xml:space="preserve">Workload, </w:t>
      </w:r>
      <w:r w:rsidR="00173084">
        <w:rPr>
          <w:rFonts w:ascii="Arial" w:hAnsi="Arial" w:cs="Arial"/>
          <w:i/>
        </w:rPr>
        <w:t>w</w:t>
      </w:r>
      <w:r w:rsidR="00690139" w:rsidRPr="00690139">
        <w:rPr>
          <w:rFonts w:ascii="Arial" w:hAnsi="Arial" w:cs="Arial"/>
          <w:i/>
        </w:rPr>
        <w:t>ork-</w:t>
      </w:r>
      <w:r w:rsidR="00173084">
        <w:rPr>
          <w:rFonts w:ascii="Arial" w:hAnsi="Arial" w:cs="Arial"/>
          <w:i/>
        </w:rPr>
        <w:t>l</w:t>
      </w:r>
      <w:r w:rsidR="00690139" w:rsidRPr="00690139">
        <w:rPr>
          <w:rFonts w:ascii="Arial" w:hAnsi="Arial" w:cs="Arial"/>
          <w:i/>
        </w:rPr>
        <w:t xml:space="preserve">ife </w:t>
      </w:r>
      <w:r w:rsidR="00173084">
        <w:rPr>
          <w:rFonts w:ascii="Arial" w:hAnsi="Arial" w:cs="Arial"/>
          <w:i/>
        </w:rPr>
        <w:t>b</w:t>
      </w:r>
      <w:r w:rsidR="00690139" w:rsidRPr="00690139">
        <w:rPr>
          <w:rFonts w:ascii="Arial" w:hAnsi="Arial" w:cs="Arial"/>
          <w:i/>
        </w:rPr>
        <w:t xml:space="preserve">alance, </w:t>
      </w:r>
      <w:r w:rsidR="00173084">
        <w:rPr>
          <w:rFonts w:ascii="Arial" w:hAnsi="Arial" w:cs="Arial"/>
          <w:i/>
        </w:rPr>
        <w:t>t</w:t>
      </w:r>
      <w:r w:rsidR="00690139" w:rsidRPr="00690139">
        <w:rPr>
          <w:rFonts w:ascii="Arial" w:hAnsi="Arial" w:cs="Arial"/>
          <w:i/>
        </w:rPr>
        <w:t xml:space="preserve">urnover </w:t>
      </w:r>
      <w:r w:rsidR="00173084">
        <w:rPr>
          <w:rFonts w:ascii="Arial" w:hAnsi="Arial" w:cs="Arial"/>
          <w:i/>
        </w:rPr>
        <w:t>i</w:t>
      </w:r>
      <w:r w:rsidR="00690139" w:rsidRPr="00690139">
        <w:rPr>
          <w:rFonts w:ascii="Arial" w:hAnsi="Arial" w:cs="Arial"/>
          <w:i/>
        </w:rPr>
        <w:t xml:space="preserve">ntention, </w:t>
      </w:r>
      <w:r w:rsidR="00173084">
        <w:rPr>
          <w:rFonts w:ascii="Arial" w:hAnsi="Arial" w:cs="Arial"/>
          <w:i/>
        </w:rPr>
        <w:t>o</w:t>
      </w:r>
      <w:r w:rsidR="00690139" w:rsidRPr="00690139">
        <w:rPr>
          <w:rFonts w:ascii="Arial" w:hAnsi="Arial" w:cs="Arial"/>
          <w:i/>
        </w:rPr>
        <w:t xml:space="preserve">rganizational </w:t>
      </w:r>
      <w:r w:rsidR="00173084">
        <w:rPr>
          <w:rFonts w:ascii="Arial" w:hAnsi="Arial" w:cs="Arial"/>
          <w:i/>
        </w:rPr>
        <w:t>s</w:t>
      </w:r>
      <w:r w:rsidR="00690139" w:rsidRPr="00690139">
        <w:rPr>
          <w:rFonts w:ascii="Arial" w:hAnsi="Arial" w:cs="Arial"/>
          <w:i/>
        </w:rPr>
        <w:t xml:space="preserve">upport, </w:t>
      </w:r>
      <w:r w:rsidR="00173084">
        <w:rPr>
          <w:rFonts w:ascii="Arial" w:hAnsi="Arial" w:cs="Arial"/>
          <w:i/>
        </w:rPr>
        <w:t>h</w:t>
      </w:r>
      <w:r w:rsidR="00690139">
        <w:rPr>
          <w:rFonts w:ascii="Arial" w:hAnsi="Arial" w:cs="Arial"/>
          <w:i/>
        </w:rPr>
        <w:t>otelier, partial least</w:t>
      </w:r>
      <w:r w:rsidR="00173084">
        <w:rPr>
          <w:rFonts w:ascii="Arial" w:hAnsi="Arial" w:cs="Arial"/>
          <w:i/>
        </w:rPr>
        <w:t xml:space="preserve"> squares</w:t>
      </w:r>
    </w:p>
    <w:p w14:paraId="4DA89F23" w14:textId="77777777" w:rsidR="0024282C" w:rsidRDefault="0024282C" w:rsidP="00441B6F">
      <w:pPr>
        <w:pStyle w:val="Body"/>
        <w:spacing w:after="0"/>
        <w:rPr>
          <w:rFonts w:ascii="Arial" w:hAnsi="Arial" w:cs="Arial"/>
          <w:i/>
          <w:sz w:val="18"/>
        </w:rPr>
      </w:pPr>
    </w:p>
    <w:p w14:paraId="58EDF208" w14:textId="77777777" w:rsidR="00505F06" w:rsidRPr="00A24E7E" w:rsidRDefault="00505F06" w:rsidP="00441B6F">
      <w:pPr>
        <w:pStyle w:val="Body"/>
        <w:spacing w:after="0"/>
        <w:rPr>
          <w:rFonts w:ascii="Arial" w:hAnsi="Arial" w:cs="Arial"/>
          <w:i/>
        </w:rPr>
      </w:pPr>
    </w:p>
    <w:p w14:paraId="3B6B017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23DC91" w14:textId="77777777" w:rsidR="0062762E" w:rsidRPr="0062762E" w:rsidRDefault="0062762E" w:rsidP="0062762E">
      <w:pPr>
        <w:pStyle w:val="Body"/>
        <w:rPr>
          <w:rFonts w:ascii="Arial" w:hAnsi="Arial" w:cs="Arial"/>
        </w:rPr>
      </w:pPr>
      <w:r w:rsidRPr="0062762E">
        <w:rPr>
          <w:rFonts w:ascii="Arial" w:hAnsi="Arial" w:cs="Arial"/>
        </w:rPr>
        <w:t xml:space="preserve">The hospitality and tourism industry </w:t>
      </w:r>
      <w:proofErr w:type="gramStart"/>
      <w:r w:rsidRPr="0062762E">
        <w:rPr>
          <w:rFonts w:ascii="Arial" w:hAnsi="Arial" w:cs="Arial"/>
        </w:rPr>
        <w:t>is</w:t>
      </w:r>
      <w:proofErr w:type="gramEnd"/>
      <w:r w:rsidRPr="0062762E">
        <w:rPr>
          <w:rFonts w:ascii="Arial" w:hAnsi="Arial" w:cs="Arial"/>
        </w:rPr>
        <w:t xml:space="preserve"> characterized by a complex and highly competitive environment, where human resource management (HRM) plays a critical role in organizational success and sustainability. Unlike other large-scale industries, the primary product in the hospitality and tourism sector is the customer experience, which is largely intangible and heavily reliant on direct interactions between employees and guests. Therefore, human capital plays a pivotal role in determining service quality, customer satisfaction and loyalty, as well as other key performance indicators (Bruce Tracey, 2014).</w:t>
      </w:r>
    </w:p>
    <w:p w14:paraId="61D17234" w14:textId="77777777" w:rsidR="0062762E" w:rsidRPr="0062762E" w:rsidRDefault="0062762E" w:rsidP="0062762E">
      <w:pPr>
        <w:pStyle w:val="Body"/>
        <w:rPr>
          <w:rFonts w:ascii="Arial" w:hAnsi="Arial" w:cs="Arial"/>
        </w:rPr>
      </w:pPr>
      <w:r w:rsidRPr="0062762E">
        <w:rPr>
          <w:rFonts w:ascii="Arial" w:hAnsi="Arial" w:cs="Arial"/>
        </w:rPr>
        <w:t>Human resource management (HRM) is a specialized field that focuses on managing relationships and the role of people within organizational structures. In hospitality and tourism literature, strategic human resource management (SHRM) emphasizes how HR systems can generate competitive advantages. SHRM assesses how HR practices and policies—either individually or as integrated systems—can directly or indirectly affect organizational performance (Buller &amp; McEvoy, 2012).</w:t>
      </w:r>
    </w:p>
    <w:p w14:paraId="3B171254" w14:textId="77777777" w:rsidR="0062762E" w:rsidRPr="0062762E" w:rsidRDefault="0062762E" w:rsidP="0062762E">
      <w:pPr>
        <w:pStyle w:val="Body"/>
        <w:rPr>
          <w:rFonts w:ascii="Arial" w:hAnsi="Arial" w:cs="Arial"/>
        </w:rPr>
      </w:pPr>
      <w:r w:rsidRPr="0062762E">
        <w:rPr>
          <w:rFonts w:ascii="Arial" w:hAnsi="Arial" w:cs="Arial"/>
        </w:rPr>
        <w:t>At Swiss-</w:t>
      </w:r>
      <w:proofErr w:type="spellStart"/>
      <w:r w:rsidRPr="0062762E">
        <w:rPr>
          <w:rFonts w:ascii="Arial" w:hAnsi="Arial" w:cs="Arial"/>
        </w:rPr>
        <w:t>Belhotel</w:t>
      </w:r>
      <w:proofErr w:type="spellEnd"/>
      <w:r w:rsidRPr="0062762E">
        <w:rPr>
          <w:rFonts w:ascii="Arial" w:hAnsi="Arial" w:cs="Arial"/>
        </w:rPr>
        <w:t xml:space="preserve"> Lampung, employee turnover peaked in April 2023 with seven employees resigning. Of these, six cited personal reasons, while the remaining one cited career or compensation-related factors. This pattern suggests that intrinsic factors such as personal motivation, job satisfaction, and work-life balance play a dominant role in employees’ decisions to leave. Nevertheless, external factors like better career opportunities or more competitive compensation continue to contribute consistently, affecting an average of one to two employees per month. These findings indicate the need for holistic retention strategies that incorporate psychological well-being and work-life quality, in addition to financial incentives and career progression (Swiss-</w:t>
      </w:r>
      <w:proofErr w:type="spellStart"/>
      <w:r w:rsidRPr="0062762E">
        <w:rPr>
          <w:rFonts w:ascii="Arial" w:hAnsi="Arial" w:cs="Arial"/>
        </w:rPr>
        <w:t>Belhotel</w:t>
      </w:r>
      <w:proofErr w:type="spellEnd"/>
      <w:r w:rsidRPr="0062762E">
        <w:rPr>
          <w:rFonts w:ascii="Arial" w:hAnsi="Arial" w:cs="Arial"/>
        </w:rPr>
        <w:t xml:space="preserve"> Lampung Internal Report, 2023).</w:t>
      </w:r>
    </w:p>
    <w:p w14:paraId="7F26E765" w14:textId="77777777" w:rsidR="0062762E" w:rsidRPr="0062762E" w:rsidRDefault="0062762E" w:rsidP="0062762E">
      <w:pPr>
        <w:pStyle w:val="Body"/>
        <w:rPr>
          <w:rFonts w:ascii="Arial" w:hAnsi="Arial" w:cs="Arial"/>
        </w:rPr>
      </w:pPr>
      <w:proofErr w:type="spellStart"/>
      <w:r w:rsidRPr="0062762E">
        <w:rPr>
          <w:rFonts w:ascii="Arial" w:hAnsi="Arial" w:cs="Arial"/>
        </w:rPr>
        <w:t>Im</w:t>
      </w:r>
      <w:proofErr w:type="spellEnd"/>
      <w:r w:rsidRPr="0062762E">
        <w:rPr>
          <w:rFonts w:ascii="Arial" w:hAnsi="Arial" w:cs="Arial"/>
        </w:rPr>
        <w:t xml:space="preserve"> et al. (2021) noted that work pressure in hotel branches operating in developing regions is often poorly managed, despite established corporate HR policies. The high levels of emotional exhaustion and turnover intentions observed at Swiss-</w:t>
      </w:r>
      <w:proofErr w:type="spellStart"/>
      <w:r w:rsidRPr="0062762E">
        <w:rPr>
          <w:rFonts w:ascii="Arial" w:hAnsi="Arial" w:cs="Arial"/>
        </w:rPr>
        <w:t>Belhotel</w:t>
      </w:r>
      <w:proofErr w:type="spellEnd"/>
      <w:r w:rsidRPr="0062762E">
        <w:rPr>
          <w:rFonts w:ascii="Arial" w:hAnsi="Arial" w:cs="Arial"/>
        </w:rPr>
        <w:t xml:space="preserve"> Lampung reflect not only the failure to adapt global policies to local contexts but also pose broader operational sustainability risks. A recent study by Lee &amp; Ok (2022) emphasizes that in the hospitality sector, every 10% increase in turnover is correlated with a 7% decline in customer satisfaction, primarily due to service inconsistencies. This is supported by Deloitte (2023), which reported that 82% of hotel managers in Southeast Asia acknowledge that high turnover has increased the workload for remaining staff, negatively affecting service quality and customer satisfaction.</w:t>
      </w:r>
    </w:p>
    <w:p w14:paraId="12880774" w14:textId="77777777" w:rsidR="0062762E" w:rsidRPr="0062762E" w:rsidRDefault="0062762E" w:rsidP="0062762E">
      <w:pPr>
        <w:pStyle w:val="Body"/>
        <w:rPr>
          <w:rFonts w:ascii="Arial" w:hAnsi="Arial" w:cs="Arial"/>
        </w:rPr>
      </w:pPr>
      <w:r w:rsidRPr="0062762E">
        <w:rPr>
          <w:rFonts w:ascii="Arial" w:hAnsi="Arial" w:cs="Arial"/>
        </w:rPr>
        <w:t xml:space="preserve">Workload refers to the physical, mental, and emotional demands placed on employees in the course of their job responsibilities (Bakker &amp; Demerouti, 2017). Studies have shown that excessive workload is associated with higher intentions to leave due to job dissatisfaction and burnout (Rasool &amp; Shafique, 2022). The Job Demands-Resources (JD-R) model suggests that when job demands outweigh the available resources, employees experience psychological and physiological strain, leading to increased turnover intentions (Maslach &amp; </w:t>
      </w:r>
      <w:r w:rsidRPr="0062762E">
        <w:rPr>
          <w:rFonts w:ascii="Arial" w:hAnsi="Arial" w:cs="Arial"/>
        </w:rPr>
        <w:lastRenderedPageBreak/>
        <w:t>Leiter, 2017). Poor workload management can also result in high absenteeism and low morale, which further exacerbate employee retention challenges (Park &amp; Min, 2020).</w:t>
      </w:r>
    </w:p>
    <w:p w14:paraId="0792A710" w14:textId="77777777" w:rsidR="0062762E" w:rsidRPr="0062762E" w:rsidRDefault="0062762E" w:rsidP="0062762E">
      <w:pPr>
        <w:pStyle w:val="Body"/>
        <w:rPr>
          <w:rFonts w:ascii="Arial" w:hAnsi="Arial" w:cs="Arial"/>
        </w:rPr>
      </w:pPr>
      <w:r w:rsidRPr="0062762E">
        <w:rPr>
          <w:rFonts w:ascii="Arial" w:hAnsi="Arial" w:cs="Arial"/>
        </w:rPr>
        <w:t>Work schedules in the hospitality industry are irregular, with shifts that vary significantly throughout the week. Night-to-morning shift rotations are common, indicating poor sustainable workload management and creating negative spillover effects (Allen, 2010). For instance, employees working 12-hour days during peak seasons often sacrifice rest and social interaction, which heightens emotional exhaustion and strengthens the desire to leave (Chen &amp; Lee, 2023). Emotional exhaustion can lead to conflict between work and personal life (Hochschild, 2006), reduce overall well-being (Major &amp; Morganson, 2011), and increase psychological stress (Shankar &amp; Bhatnagar, 2010).</w:t>
      </w:r>
    </w:p>
    <w:p w14:paraId="201FD3F3" w14:textId="77777777" w:rsidR="0062762E" w:rsidRPr="0062762E" w:rsidRDefault="0062762E" w:rsidP="0062762E">
      <w:pPr>
        <w:pStyle w:val="Body"/>
        <w:rPr>
          <w:rFonts w:ascii="Arial" w:hAnsi="Arial" w:cs="Arial"/>
        </w:rPr>
      </w:pPr>
      <w:r w:rsidRPr="0062762E">
        <w:rPr>
          <w:rFonts w:ascii="Arial" w:hAnsi="Arial" w:cs="Arial"/>
        </w:rPr>
        <w:t xml:space="preserve">Clark (2000) defines work-life balance as a state in which individuals can fulfill their responsibilities at work, home, and in society with minimal role conflict. A balanced life occurs when individuals are equally engaged and satisfied both in the time spent and psychological involvement in their work and personal roles—such as those involving partners, parents, family, friends, and community members—without significant conflict between the two domains. Individuals who prioritize work-life balance tend to place greater importance on their psychological well-being (Westman, Brough, &amp; </w:t>
      </w:r>
      <w:proofErr w:type="spellStart"/>
      <w:r w:rsidRPr="0062762E">
        <w:rPr>
          <w:rFonts w:ascii="Arial" w:hAnsi="Arial" w:cs="Arial"/>
        </w:rPr>
        <w:t>Kalliath</w:t>
      </w:r>
      <w:proofErr w:type="spellEnd"/>
      <w:r w:rsidRPr="0062762E">
        <w:rPr>
          <w:rFonts w:ascii="Arial" w:hAnsi="Arial" w:cs="Arial"/>
        </w:rPr>
        <w:t>, 2009).</w:t>
      </w:r>
    </w:p>
    <w:p w14:paraId="0012E188" w14:textId="77777777" w:rsidR="0062762E" w:rsidRPr="0062762E" w:rsidRDefault="0062762E" w:rsidP="0062762E">
      <w:pPr>
        <w:pStyle w:val="Body"/>
        <w:rPr>
          <w:rFonts w:ascii="Arial" w:hAnsi="Arial" w:cs="Arial"/>
        </w:rPr>
      </w:pPr>
      <w:r w:rsidRPr="0062762E">
        <w:rPr>
          <w:rFonts w:ascii="Arial" w:hAnsi="Arial" w:cs="Arial"/>
        </w:rPr>
        <w:t>A Deloitte (2023) survey found that 68% of younger employees in the service sector prioritize schedule flexibility over salary, highlighting the urgency for organizations to align with evolving workforce expectations. This necessitates the implementation of organizational policies rooted in perceived organizational support (POS). According to Rhoades &amp; Eisenberger (2002), POS is the employee’s belief that the organization values their contributions and well-being. POS may serve as a moderating factor that buffers the negative effects of workload and work-life imbalance. For younger workers in service-oriented roles, flexible scheduling not only meets expectations but also reduces the spillover of work-related stress into personal life, thereby lowering turnover intentions (Zhang et al., 2022).</w:t>
      </w:r>
    </w:p>
    <w:p w14:paraId="6F62C01F" w14:textId="77777777" w:rsidR="00581DD5" w:rsidRDefault="0062762E" w:rsidP="0062762E">
      <w:pPr>
        <w:pStyle w:val="Body"/>
        <w:spacing w:after="0"/>
        <w:rPr>
          <w:rFonts w:ascii="Arial" w:hAnsi="Arial" w:cs="Arial"/>
        </w:rPr>
      </w:pPr>
      <w:r w:rsidRPr="0062762E">
        <w:rPr>
          <w:rFonts w:ascii="Arial" w:hAnsi="Arial" w:cs="Arial"/>
        </w:rPr>
        <w:t xml:space="preserve">Based on this background, the present study investigates </w:t>
      </w:r>
      <w:r w:rsidR="00581DD5" w:rsidRPr="0062762E">
        <w:rPr>
          <w:rFonts w:ascii="Arial" w:hAnsi="Arial" w:cs="Arial"/>
        </w:rPr>
        <w:t>the effect of workload and work-life balance on employee turnover intention at swiss-</w:t>
      </w:r>
      <w:proofErr w:type="spellStart"/>
      <w:r w:rsidR="00581DD5" w:rsidRPr="0062762E">
        <w:rPr>
          <w:rFonts w:ascii="Arial" w:hAnsi="Arial" w:cs="Arial"/>
        </w:rPr>
        <w:t>belhotel</w:t>
      </w:r>
      <w:proofErr w:type="spellEnd"/>
      <w:r w:rsidR="00581DD5" w:rsidRPr="0062762E">
        <w:rPr>
          <w:rFonts w:ascii="Arial" w:hAnsi="Arial" w:cs="Arial"/>
        </w:rPr>
        <w:t xml:space="preserve"> </w:t>
      </w:r>
      <w:proofErr w:type="spellStart"/>
      <w:r w:rsidR="00581DD5" w:rsidRPr="0062762E">
        <w:rPr>
          <w:rFonts w:ascii="Arial" w:hAnsi="Arial" w:cs="Arial"/>
        </w:rPr>
        <w:t>lampung</w:t>
      </w:r>
      <w:proofErr w:type="spellEnd"/>
      <w:r w:rsidR="00581DD5">
        <w:rPr>
          <w:rFonts w:ascii="Arial" w:hAnsi="Arial" w:cs="Arial"/>
        </w:rPr>
        <w:t xml:space="preserve"> with</w:t>
      </w:r>
      <w:r w:rsidR="00581DD5" w:rsidRPr="0062762E">
        <w:rPr>
          <w:rFonts w:ascii="Arial" w:hAnsi="Arial" w:cs="Arial"/>
        </w:rPr>
        <w:t xml:space="preserve"> organizational support </w:t>
      </w:r>
      <w:r w:rsidR="00581DD5">
        <w:rPr>
          <w:rFonts w:ascii="Arial" w:hAnsi="Arial" w:cs="Arial"/>
        </w:rPr>
        <w:t>as a</w:t>
      </w:r>
      <w:r w:rsidR="00581DD5" w:rsidRPr="0062762E">
        <w:rPr>
          <w:rFonts w:ascii="Arial" w:hAnsi="Arial" w:cs="Arial"/>
        </w:rPr>
        <w:t xml:space="preserve"> moderating </w:t>
      </w:r>
      <w:r w:rsidR="00581DD5">
        <w:rPr>
          <w:rFonts w:ascii="Arial" w:hAnsi="Arial" w:cs="Arial"/>
        </w:rPr>
        <w:t>variable</w:t>
      </w:r>
      <w:r w:rsidRPr="0062762E">
        <w:rPr>
          <w:rFonts w:ascii="Arial" w:hAnsi="Arial" w:cs="Arial"/>
        </w:rPr>
        <w:t>. The study aims to analyze how workload and work-life balance influence employee turnover intention and to examine whether perceived organizational support can moderate the effects of these two key factors.</w:t>
      </w:r>
      <w:r>
        <w:rPr>
          <w:rFonts w:ascii="Arial" w:hAnsi="Arial" w:cs="Arial"/>
        </w:rPr>
        <w:t xml:space="preserve"> </w:t>
      </w:r>
    </w:p>
    <w:p w14:paraId="3A715B6D" w14:textId="77777777" w:rsidR="00790ADA" w:rsidRPr="00FB3A86" w:rsidRDefault="00790ADA" w:rsidP="00441B6F">
      <w:pPr>
        <w:pStyle w:val="Body"/>
        <w:spacing w:after="0"/>
        <w:rPr>
          <w:rFonts w:ascii="Arial" w:hAnsi="Arial" w:cs="Arial"/>
        </w:rPr>
      </w:pPr>
    </w:p>
    <w:p w14:paraId="29CD36F2"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0C1AD4B" w14:textId="77777777" w:rsidR="001D4B3D" w:rsidRPr="001D4B3D" w:rsidRDefault="001D4B3D" w:rsidP="001D4B3D">
      <w:pPr>
        <w:pStyle w:val="Body"/>
        <w:rPr>
          <w:rFonts w:ascii="Arial" w:hAnsi="Arial" w:cs="Arial"/>
          <w:b/>
        </w:rPr>
      </w:pPr>
      <w:r>
        <w:rPr>
          <w:rFonts w:ascii="Arial" w:hAnsi="Arial" w:cs="Arial"/>
          <w:b/>
        </w:rPr>
        <w:t xml:space="preserve">2.1 </w:t>
      </w:r>
      <w:r w:rsidRPr="001D4B3D">
        <w:rPr>
          <w:rFonts w:ascii="Arial" w:hAnsi="Arial" w:cs="Arial"/>
          <w:b/>
        </w:rPr>
        <w:t>Research Design</w:t>
      </w:r>
    </w:p>
    <w:p w14:paraId="6121E5BE" w14:textId="77777777" w:rsidR="001D4B3D" w:rsidRPr="001D4B3D" w:rsidRDefault="001D4B3D" w:rsidP="001D4B3D">
      <w:pPr>
        <w:pStyle w:val="Body"/>
        <w:rPr>
          <w:rFonts w:ascii="Arial" w:hAnsi="Arial" w:cs="Arial"/>
        </w:rPr>
      </w:pPr>
      <w:r w:rsidRPr="001D4B3D">
        <w:rPr>
          <w:rFonts w:ascii="Arial" w:hAnsi="Arial" w:cs="Arial"/>
        </w:rPr>
        <w:t>This study adopts a quantitative research approach, in which data are expressed numerically and analyzed using statistical methods (Malhotra, 2016). A causal research design is employed to examine the cause-and-effect relationships between workload (WL) and work-life balance (WLB) on turnover intention (TI), with perceived organizational support (POS) considered as a moderating variable.</w:t>
      </w:r>
    </w:p>
    <w:p w14:paraId="6C779F82" w14:textId="77777777" w:rsidR="001D4B3D" w:rsidRPr="001D4B3D" w:rsidRDefault="001D4B3D" w:rsidP="001D4B3D">
      <w:pPr>
        <w:pStyle w:val="Body"/>
        <w:rPr>
          <w:rFonts w:ascii="Arial" w:hAnsi="Arial" w:cs="Arial"/>
          <w:b/>
        </w:rPr>
      </w:pPr>
      <w:r>
        <w:rPr>
          <w:rFonts w:ascii="Arial" w:hAnsi="Arial" w:cs="Arial"/>
          <w:b/>
        </w:rPr>
        <w:t xml:space="preserve">2.2 </w:t>
      </w:r>
      <w:r w:rsidRPr="001D4B3D">
        <w:rPr>
          <w:rFonts w:ascii="Arial" w:hAnsi="Arial" w:cs="Arial"/>
          <w:b/>
        </w:rPr>
        <w:t>Data Sources</w:t>
      </w:r>
    </w:p>
    <w:p w14:paraId="442F373C" w14:textId="77777777" w:rsidR="001D4B3D" w:rsidRPr="001D4B3D" w:rsidRDefault="001D4B3D" w:rsidP="001D4B3D">
      <w:pPr>
        <w:pStyle w:val="Body"/>
        <w:rPr>
          <w:rFonts w:ascii="Arial" w:hAnsi="Arial" w:cs="Arial"/>
        </w:rPr>
      </w:pPr>
      <w:r w:rsidRPr="001D4B3D">
        <w:rPr>
          <w:rFonts w:ascii="Arial" w:hAnsi="Arial" w:cs="Arial"/>
        </w:rPr>
        <w:t>1. Primary Data</w:t>
      </w:r>
    </w:p>
    <w:p w14:paraId="6266E01F" w14:textId="77777777" w:rsidR="001D4B3D" w:rsidRPr="001D4B3D" w:rsidRDefault="001D4B3D" w:rsidP="001D4B3D">
      <w:pPr>
        <w:pStyle w:val="Body"/>
        <w:rPr>
          <w:rFonts w:ascii="Arial" w:hAnsi="Arial" w:cs="Arial"/>
        </w:rPr>
      </w:pPr>
      <w:r w:rsidRPr="001D4B3D">
        <w:rPr>
          <w:rFonts w:ascii="Arial" w:hAnsi="Arial" w:cs="Arial"/>
        </w:rPr>
        <w:t xml:space="preserve">Primary data were collected directly from the first-hand sources. According to Sekaran and Bougie (2016), the Likert scale is an effective instrument for measuring individual attitudes and perceptions, making it highly suitable for this study, which focuses on employee </w:t>
      </w:r>
      <w:r w:rsidRPr="001D4B3D">
        <w:rPr>
          <w:rFonts w:ascii="Arial" w:hAnsi="Arial" w:cs="Arial"/>
        </w:rPr>
        <w:lastRenderedPageBreak/>
        <w:t>perceptions of their working conditions. All variables were measured using a five-point Likert scale (1 = strongly disagree to 5 = strongly agree), assessing respondents' levels of agreement with various statements related to each construct.</w:t>
      </w:r>
    </w:p>
    <w:p w14:paraId="1FB0F19C" w14:textId="77777777" w:rsidR="001D4B3D" w:rsidRPr="001D4B3D" w:rsidRDefault="001D4B3D" w:rsidP="001D4B3D">
      <w:pPr>
        <w:pStyle w:val="Body"/>
        <w:rPr>
          <w:rFonts w:ascii="Arial" w:hAnsi="Arial" w:cs="Arial"/>
        </w:rPr>
      </w:pPr>
      <w:r w:rsidRPr="001D4B3D">
        <w:rPr>
          <w:rFonts w:ascii="Arial" w:hAnsi="Arial" w:cs="Arial"/>
        </w:rPr>
        <w:t>2. Secondary Data</w:t>
      </w:r>
    </w:p>
    <w:p w14:paraId="6231BA2C" w14:textId="77777777" w:rsidR="001D4B3D" w:rsidRPr="001D4B3D" w:rsidRDefault="001D4B3D" w:rsidP="001D4B3D">
      <w:pPr>
        <w:pStyle w:val="Body"/>
        <w:rPr>
          <w:rFonts w:ascii="Arial" w:hAnsi="Arial" w:cs="Arial"/>
        </w:rPr>
      </w:pPr>
      <w:r w:rsidRPr="001D4B3D">
        <w:rPr>
          <w:rFonts w:ascii="Arial" w:hAnsi="Arial" w:cs="Arial"/>
        </w:rPr>
        <w:t>Secondary data refer to information collected and published by other parties prior to this study. Malhotra (2019) highlights several advantages of secondary data, including wide availability, cost-efficiency, and ease of access. In the context of this research on employee turnover intention at Swiss-</w:t>
      </w:r>
      <w:proofErr w:type="spellStart"/>
      <w:r w:rsidRPr="001D4B3D">
        <w:rPr>
          <w:rFonts w:ascii="Arial" w:hAnsi="Arial" w:cs="Arial"/>
        </w:rPr>
        <w:t>Belhotel</w:t>
      </w:r>
      <w:proofErr w:type="spellEnd"/>
      <w:r w:rsidRPr="001D4B3D">
        <w:rPr>
          <w:rFonts w:ascii="Arial" w:hAnsi="Arial" w:cs="Arial"/>
        </w:rPr>
        <w:t xml:space="preserve"> Lampung, secondary data were obtained from</w:t>
      </w:r>
      <w:r>
        <w:rPr>
          <w:rFonts w:ascii="Arial" w:hAnsi="Arial" w:cs="Arial"/>
        </w:rPr>
        <w:t xml:space="preserve">: </w:t>
      </w:r>
      <w:r w:rsidRPr="001D4B3D">
        <w:rPr>
          <w:rFonts w:ascii="Arial" w:hAnsi="Arial" w:cs="Arial"/>
        </w:rPr>
        <w:t>Internal documents such as HR department reports on employee turnover rates and work-life balance policies</w:t>
      </w:r>
      <w:r>
        <w:rPr>
          <w:rFonts w:ascii="Arial" w:hAnsi="Arial" w:cs="Arial"/>
        </w:rPr>
        <w:t xml:space="preserve">, </w:t>
      </w:r>
      <w:r w:rsidRPr="001D4B3D">
        <w:rPr>
          <w:rFonts w:ascii="Arial" w:hAnsi="Arial" w:cs="Arial"/>
        </w:rPr>
        <w:t>External publications such as academic journals on human resource management in the hospitality industry</w:t>
      </w:r>
      <w:r>
        <w:rPr>
          <w:rFonts w:ascii="Arial" w:hAnsi="Arial" w:cs="Arial"/>
        </w:rPr>
        <w:t xml:space="preserve">, </w:t>
      </w:r>
      <w:r w:rsidRPr="001D4B3D">
        <w:rPr>
          <w:rFonts w:ascii="Arial" w:hAnsi="Arial" w:cs="Arial"/>
        </w:rPr>
        <w:t>Industry reports from the Central Statistics Agency (BPS) and the Ministry of Manpower concerning employment trends in the hospitality sector.</w:t>
      </w:r>
    </w:p>
    <w:p w14:paraId="28C01549" w14:textId="77777777" w:rsidR="001D4B3D" w:rsidRPr="001D4B3D" w:rsidRDefault="001D4B3D" w:rsidP="001D4B3D">
      <w:pPr>
        <w:pStyle w:val="Body"/>
        <w:rPr>
          <w:rFonts w:ascii="Arial" w:hAnsi="Arial" w:cs="Arial"/>
          <w:b/>
        </w:rPr>
      </w:pPr>
      <w:r>
        <w:rPr>
          <w:rFonts w:ascii="Arial" w:hAnsi="Arial" w:cs="Arial"/>
          <w:b/>
        </w:rPr>
        <w:t xml:space="preserve">2.3 </w:t>
      </w:r>
      <w:r w:rsidRPr="001D4B3D">
        <w:rPr>
          <w:rFonts w:ascii="Arial" w:hAnsi="Arial" w:cs="Arial"/>
          <w:b/>
        </w:rPr>
        <w:t>Data Collection Method</w:t>
      </w:r>
      <w:r>
        <w:rPr>
          <w:rFonts w:ascii="Arial" w:hAnsi="Arial" w:cs="Arial"/>
          <w:b/>
        </w:rPr>
        <w:t>s</w:t>
      </w:r>
    </w:p>
    <w:p w14:paraId="6BFD4930" w14:textId="77777777" w:rsidR="001D4B3D" w:rsidRDefault="001D4B3D" w:rsidP="001D4B3D">
      <w:pPr>
        <w:pStyle w:val="Body"/>
        <w:spacing w:after="0"/>
        <w:rPr>
          <w:rFonts w:ascii="Arial" w:hAnsi="Arial" w:cs="Arial"/>
        </w:rPr>
      </w:pPr>
      <w:r w:rsidRPr="001D4B3D">
        <w:rPr>
          <w:rFonts w:ascii="Arial" w:hAnsi="Arial" w:cs="Arial"/>
        </w:rPr>
        <w:t>Data collection was carried out through a survey method using a structured questionnaire distributed via Google Forms. The survey method was selected for its ability to gather direct responses from participants—in this case, employees of Swiss-</w:t>
      </w:r>
      <w:proofErr w:type="spellStart"/>
      <w:r w:rsidRPr="001D4B3D">
        <w:rPr>
          <w:rFonts w:ascii="Arial" w:hAnsi="Arial" w:cs="Arial"/>
        </w:rPr>
        <w:t>Belhotel</w:t>
      </w:r>
      <w:proofErr w:type="spellEnd"/>
      <w:r w:rsidRPr="001D4B3D">
        <w:rPr>
          <w:rFonts w:ascii="Arial" w:hAnsi="Arial" w:cs="Arial"/>
        </w:rPr>
        <w:t xml:space="preserve"> Lampung—based on structured, pre-formulated questions (Malhotra, 2016).</w:t>
      </w:r>
    </w:p>
    <w:p w14:paraId="6EEDB510" w14:textId="77777777" w:rsidR="00661315" w:rsidRPr="00661315" w:rsidRDefault="00661315" w:rsidP="00661315">
      <w:pPr>
        <w:pStyle w:val="Body"/>
        <w:spacing w:after="0"/>
        <w:jc w:val="center"/>
        <w:rPr>
          <w:rFonts w:ascii="Arial" w:hAnsi="Arial" w:cs="Arial"/>
          <w:b/>
        </w:rPr>
      </w:pPr>
      <w:r w:rsidRPr="00661315">
        <w:rPr>
          <w:rFonts w:ascii="Arial" w:hAnsi="Arial" w:cs="Arial"/>
          <w:b/>
        </w:rPr>
        <w:t xml:space="preserve">Table </w:t>
      </w:r>
      <w:r>
        <w:rPr>
          <w:rFonts w:ascii="Arial" w:hAnsi="Arial" w:cs="Arial"/>
          <w:b/>
        </w:rPr>
        <w:t xml:space="preserve">1 </w:t>
      </w:r>
      <w:r w:rsidRPr="00661315">
        <w:rPr>
          <w:rFonts w:ascii="Arial" w:hAnsi="Arial" w:cs="Arial"/>
          <w:b/>
        </w:rPr>
        <w:t>Operational Definitions and Variable Measurements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25"/>
        <w:gridCol w:w="3608"/>
        <w:gridCol w:w="2534"/>
        <w:gridCol w:w="631"/>
      </w:tblGrid>
      <w:tr w:rsidR="001D4B3D" w:rsidRPr="00AD6909" w14:paraId="0930FCBE" w14:textId="77777777" w:rsidTr="00BC37D3">
        <w:trPr>
          <w:tblHeader/>
          <w:tblCellSpacing w:w="15" w:type="dxa"/>
        </w:trPr>
        <w:tc>
          <w:tcPr>
            <w:tcW w:w="0" w:type="auto"/>
            <w:tcBorders>
              <w:top w:val="nil"/>
              <w:bottom w:val="single" w:sz="4" w:space="0" w:color="auto"/>
            </w:tcBorders>
            <w:vAlign w:val="center"/>
            <w:hideMark/>
          </w:tcPr>
          <w:p w14:paraId="3048261E" w14:textId="77777777" w:rsidR="001D4B3D" w:rsidRPr="00AD6909" w:rsidRDefault="001D4B3D" w:rsidP="001D4B3D">
            <w:pPr>
              <w:rPr>
                <w:rFonts w:ascii="Arial" w:hAnsi="Arial" w:cs="Arial"/>
              </w:rPr>
            </w:pPr>
            <w:r w:rsidRPr="00AD6909">
              <w:rPr>
                <w:rFonts w:ascii="Arial" w:hAnsi="Arial" w:cs="Arial"/>
              </w:rPr>
              <w:t>Variable</w:t>
            </w:r>
          </w:p>
        </w:tc>
        <w:tc>
          <w:tcPr>
            <w:tcW w:w="0" w:type="auto"/>
            <w:tcBorders>
              <w:top w:val="nil"/>
              <w:bottom w:val="single" w:sz="4" w:space="0" w:color="auto"/>
            </w:tcBorders>
            <w:vAlign w:val="center"/>
            <w:hideMark/>
          </w:tcPr>
          <w:p w14:paraId="5AEB17C0" w14:textId="77777777" w:rsidR="001D4B3D" w:rsidRPr="00AD6909" w:rsidRDefault="001D4B3D" w:rsidP="001D4B3D">
            <w:pPr>
              <w:rPr>
                <w:rFonts w:ascii="Arial" w:hAnsi="Arial" w:cs="Arial"/>
              </w:rPr>
            </w:pPr>
            <w:r w:rsidRPr="00AD6909">
              <w:rPr>
                <w:rFonts w:ascii="Arial" w:hAnsi="Arial" w:cs="Arial"/>
              </w:rPr>
              <w:t>Operational Definition</w:t>
            </w:r>
          </w:p>
        </w:tc>
        <w:tc>
          <w:tcPr>
            <w:tcW w:w="0" w:type="auto"/>
            <w:tcBorders>
              <w:top w:val="nil"/>
              <w:bottom w:val="single" w:sz="4" w:space="0" w:color="auto"/>
            </w:tcBorders>
            <w:vAlign w:val="center"/>
            <w:hideMark/>
          </w:tcPr>
          <w:p w14:paraId="07FB0C33" w14:textId="77777777" w:rsidR="001D4B3D" w:rsidRPr="00AD6909" w:rsidRDefault="001D4B3D" w:rsidP="001D4B3D">
            <w:pPr>
              <w:rPr>
                <w:rFonts w:ascii="Arial" w:hAnsi="Arial" w:cs="Arial"/>
              </w:rPr>
            </w:pPr>
            <w:r w:rsidRPr="00AD6909">
              <w:rPr>
                <w:rFonts w:ascii="Arial" w:hAnsi="Arial" w:cs="Arial"/>
              </w:rPr>
              <w:t>Indicators</w:t>
            </w:r>
          </w:p>
        </w:tc>
        <w:tc>
          <w:tcPr>
            <w:tcW w:w="0" w:type="auto"/>
            <w:tcBorders>
              <w:top w:val="nil"/>
              <w:bottom w:val="single" w:sz="4" w:space="0" w:color="auto"/>
            </w:tcBorders>
            <w:vAlign w:val="center"/>
            <w:hideMark/>
          </w:tcPr>
          <w:p w14:paraId="450FC623" w14:textId="77777777" w:rsidR="001D4B3D" w:rsidRPr="00AD6909" w:rsidRDefault="001D4B3D" w:rsidP="001D4B3D">
            <w:pPr>
              <w:rPr>
                <w:rFonts w:ascii="Arial" w:hAnsi="Arial" w:cs="Arial"/>
              </w:rPr>
            </w:pPr>
            <w:r w:rsidRPr="00AD6909">
              <w:rPr>
                <w:rFonts w:ascii="Arial" w:hAnsi="Arial" w:cs="Arial"/>
              </w:rPr>
              <w:t>Scale</w:t>
            </w:r>
          </w:p>
        </w:tc>
      </w:tr>
      <w:tr w:rsidR="001D4B3D" w:rsidRPr="00AD6909" w14:paraId="56C1F197" w14:textId="77777777" w:rsidTr="00BC37D3">
        <w:trPr>
          <w:tblCellSpacing w:w="15" w:type="dxa"/>
        </w:trPr>
        <w:tc>
          <w:tcPr>
            <w:tcW w:w="0" w:type="auto"/>
            <w:vAlign w:val="center"/>
            <w:hideMark/>
          </w:tcPr>
          <w:p w14:paraId="375CB833" w14:textId="77777777" w:rsidR="001D4B3D" w:rsidRPr="00AD6909" w:rsidRDefault="001D4B3D" w:rsidP="001D4B3D">
            <w:pPr>
              <w:rPr>
                <w:rFonts w:ascii="Arial" w:hAnsi="Arial" w:cs="Arial"/>
              </w:rPr>
            </w:pPr>
            <w:r w:rsidRPr="00AD6909">
              <w:rPr>
                <w:rFonts w:ascii="Arial" w:hAnsi="Arial" w:cs="Arial"/>
              </w:rPr>
              <w:t>Workload (X</w:t>
            </w:r>
            <w:r w:rsidRPr="00AD6909">
              <w:rPr>
                <w:rFonts w:ascii="Cambria Math" w:hAnsi="Cambria Math" w:cs="Cambria Math"/>
              </w:rPr>
              <w:t>₁</w:t>
            </w:r>
            <w:r w:rsidRPr="00AD6909">
              <w:rPr>
                <w:rFonts w:ascii="Arial" w:hAnsi="Arial" w:cs="Arial"/>
              </w:rPr>
              <w:t>)</w:t>
            </w:r>
          </w:p>
        </w:tc>
        <w:tc>
          <w:tcPr>
            <w:tcW w:w="0" w:type="auto"/>
            <w:vAlign w:val="center"/>
            <w:hideMark/>
          </w:tcPr>
          <w:p w14:paraId="7B1358B0" w14:textId="77777777" w:rsidR="001D4B3D" w:rsidRPr="00AD6909" w:rsidRDefault="001D4B3D" w:rsidP="001D4B3D">
            <w:pPr>
              <w:rPr>
                <w:rFonts w:ascii="Arial" w:hAnsi="Arial" w:cs="Arial"/>
              </w:rPr>
            </w:pPr>
            <w:r w:rsidRPr="00AD6909">
              <w:rPr>
                <w:rFonts w:ascii="Arial" w:hAnsi="Arial" w:cs="Arial"/>
              </w:rPr>
              <w:t>The individual’s perception that the quantity, complexity, and time pressure of tasks exceed their available energy, ability, or time. (Smith et al., 2020)</w:t>
            </w:r>
          </w:p>
        </w:tc>
        <w:tc>
          <w:tcPr>
            <w:tcW w:w="0" w:type="auto"/>
            <w:vAlign w:val="center"/>
            <w:hideMark/>
          </w:tcPr>
          <w:p w14:paraId="303E41D0" w14:textId="77777777" w:rsidR="001D4B3D" w:rsidRPr="00AD6909" w:rsidRDefault="001D4B3D" w:rsidP="001D4B3D">
            <w:pPr>
              <w:rPr>
                <w:rFonts w:ascii="Arial" w:hAnsi="Arial" w:cs="Arial"/>
              </w:rPr>
            </w:pPr>
            <w:r w:rsidRPr="00AD6909">
              <w:rPr>
                <w:rFonts w:ascii="Arial" w:hAnsi="Arial" w:cs="Arial"/>
              </w:rPr>
              <w:t>Work quality: 2 items (1 &amp; 3), Task pressure: 2 items (2 &amp; 4) (Smith et al., 2020)</w:t>
            </w:r>
          </w:p>
        </w:tc>
        <w:tc>
          <w:tcPr>
            <w:tcW w:w="0" w:type="auto"/>
            <w:vAlign w:val="center"/>
            <w:hideMark/>
          </w:tcPr>
          <w:p w14:paraId="5F6F955D" w14:textId="77777777" w:rsidR="001D4B3D" w:rsidRPr="00AD6909" w:rsidRDefault="001D4B3D" w:rsidP="001D4B3D">
            <w:pPr>
              <w:rPr>
                <w:rFonts w:ascii="Arial" w:hAnsi="Arial" w:cs="Arial"/>
              </w:rPr>
            </w:pPr>
            <w:r w:rsidRPr="00AD6909">
              <w:rPr>
                <w:rFonts w:ascii="Arial" w:hAnsi="Arial" w:cs="Arial"/>
              </w:rPr>
              <w:t>Likert 1–5</w:t>
            </w:r>
          </w:p>
        </w:tc>
      </w:tr>
      <w:tr w:rsidR="001D4B3D" w:rsidRPr="00AD6909" w14:paraId="7D15F96D" w14:textId="77777777" w:rsidTr="00BC37D3">
        <w:trPr>
          <w:tblCellSpacing w:w="15" w:type="dxa"/>
        </w:trPr>
        <w:tc>
          <w:tcPr>
            <w:tcW w:w="0" w:type="auto"/>
            <w:vAlign w:val="center"/>
            <w:hideMark/>
          </w:tcPr>
          <w:p w14:paraId="695E21C4" w14:textId="77777777" w:rsidR="001D4B3D" w:rsidRPr="00AD6909" w:rsidRDefault="001D4B3D" w:rsidP="001D4B3D">
            <w:pPr>
              <w:rPr>
                <w:rFonts w:ascii="Arial" w:hAnsi="Arial" w:cs="Arial"/>
              </w:rPr>
            </w:pPr>
            <w:r w:rsidRPr="00AD6909">
              <w:rPr>
                <w:rFonts w:ascii="Arial" w:hAnsi="Arial" w:cs="Arial"/>
              </w:rPr>
              <w:t>Work-Life Balance (X</w:t>
            </w:r>
            <w:r w:rsidRPr="00AD6909">
              <w:rPr>
                <w:rFonts w:ascii="Cambria Math" w:hAnsi="Cambria Math" w:cs="Cambria Math"/>
              </w:rPr>
              <w:t>₂</w:t>
            </w:r>
            <w:r w:rsidRPr="00AD6909">
              <w:rPr>
                <w:rFonts w:ascii="Arial" w:hAnsi="Arial" w:cs="Arial"/>
              </w:rPr>
              <w:t>)</w:t>
            </w:r>
          </w:p>
        </w:tc>
        <w:tc>
          <w:tcPr>
            <w:tcW w:w="0" w:type="auto"/>
            <w:vAlign w:val="center"/>
            <w:hideMark/>
          </w:tcPr>
          <w:p w14:paraId="5B425C54" w14:textId="77777777" w:rsidR="001D4B3D" w:rsidRPr="00AD6909" w:rsidRDefault="001D4B3D" w:rsidP="001D4B3D">
            <w:pPr>
              <w:rPr>
                <w:rFonts w:ascii="Arial" w:hAnsi="Arial" w:cs="Arial"/>
              </w:rPr>
            </w:pPr>
            <w:r w:rsidRPr="00AD6909">
              <w:rPr>
                <w:rFonts w:ascii="Arial" w:hAnsi="Arial" w:cs="Arial"/>
              </w:rPr>
              <w:t>The dynamic interaction between work and personal life that includes both interference and enhancement. Balance reflects not only the absence of conflict but also synergy. (Fisher et al., 2009)</w:t>
            </w:r>
          </w:p>
        </w:tc>
        <w:tc>
          <w:tcPr>
            <w:tcW w:w="0" w:type="auto"/>
            <w:vAlign w:val="center"/>
            <w:hideMark/>
          </w:tcPr>
          <w:p w14:paraId="1BDCF396" w14:textId="77777777" w:rsidR="001D4B3D" w:rsidRPr="00AD6909" w:rsidRDefault="001D4B3D" w:rsidP="001D4B3D">
            <w:pPr>
              <w:rPr>
                <w:rFonts w:ascii="Arial" w:hAnsi="Arial" w:cs="Arial"/>
              </w:rPr>
            </w:pPr>
            <w:r w:rsidRPr="00AD6909">
              <w:rPr>
                <w:rFonts w:ascii="Arial" w:hAnsi="Arial" w:cs="Arial"/>
              </w:rPr>
              <w:t>WIPL: 5 items (1–5), PLIW: 6 items (6–11), PLEOW: 3 items (12–14), WEPL: 3 items (15–17) (Fisher et al., 2009)</w:t>
            </w:r>
          </w:p>
        </w:tc>
        <w:tc>
          <w:tcPr>
            <w:tcW w:w="0" w:type="auto"/>
            <w:vAlign w:val="center"/>
            <w:hideMark/>
          </w:tcPr>
          <w:p w14:paraId="067978A5" w14:textId="77777777" w:rsidR="001D4B3D" w:rsidRPr="00AD6909" w:rsidRDefault="001D4B3D" w:rsidP="001D4B3D">
            <w:pPr>
              <w:rPr>
                <w:rFonts w:ascii="Arial" w:hAnsi="Arial" w:cs="Arial"/>
              </w:rPr>
            </w:pPr>
            <w:r w:rsidRPr="00AD6909">
              <w:rPr>
                <w:rFonts w:ascii="Arial" w:hAnsi="Arial" w:cs="Arial"/>
              </w:rPr>
              <w:t>Likert 1–5</w:t>
            </w:r>
          </w:p>
        </w:tc>
      </w:tr>
      <w:tr w:rsidR="001D4B3D" w:rsidRPr="00AD6909" w14:paraId="77225C6F" w14:textId="77777777" w:rsidTr="00BC37D3">
        <w:trPr>
          <w:tblCellSpacing w:w="15" w:type="dxa"/>
        </w:trPr>
        <w:tc>
          <w:tcPr>
            <w:tcW w:w="0" w:type="auto"/>
            <w:vAlign w:val="center"/>
            <w:hideMark/>
          </w:tcPr>
          <w:p w14:paraId="4F0EC03C" w14:textId="77777777" w:rsidR="001D4B3D" w:rsidRPr="00AD6909" w:rsidRDefault="001D4B3D" w:rsidP="001D4B3D">
            <w:pPr>
              <w:rPr>
                <w:rFonts w:ascii="Arial" w:hAnsi="Arial" w:cs="Arial"/>
              </w:rPr>
            </w:pPr>
            <w:r w:rsidRPr="00AD6909">
              <w:rPr>
                <w:rFonts w:ascii="Arial" w:hAnsi="Arial" w:cs="Arial"/>
              </w:rPr>
              <w:t>Organizational Support (M)</w:t>
            </w:r>
          </w:p>
        </w:tc>
        <w:tc>
          <w:tcPr>
            <w:tcW w:w="0" w:type="auto"/>
            <w:vAlign w:val="center"/>
            <w:hideMark/>
          </w:tcPr>
          <w:p w14:paraId="03F19E89" w14:textId="77777777" w:rsidR="001D4B3D" w:rsidRPr="00AD6909" w:rsidRDefault="001D4B3D" w:rsidP="001D4B3D">
            <w:pPr>
              <w:rPr>
                <w:rFonts w:ascii="Arial" w:hAnsi="Arial" w:cs="Arial"/>
              </w:rPr>
            </w:pPr>
            <w:r w:rsidRPr="00AD6909">
              <w:rPr>
                <w:rFonts w:ascii="Arial" w:hAnsi="Arial" w:cs="Arial"/>
              </w:rPr>
              <w:t>Employees’ general belief that the organization values their contributions and cares about their well-being. (Eisenberger et al., 2020)</w:t>
            </w:r>
          </w:p>
        </w:tc>
        <w:tc>
          <w:tcPr>
            <w:tcW w:w="0" w:type="auto"/>
            <w:vAlign w:val="center"/>
            <w:hideMark/>
          </w:tcPr>
          <w:p w14:paraId="675B8DFD" w14:textId="77777777" w:rsidR="001D4B3D" w:rsidRPr="00AD6909" w:rsidRDefault="001D4B3D" w:rsidP="001D4B3D">
            <w:pPr>
              <w:rPr>
                <w:rFonts w:ascii="Arial" w:hAnsi="Arial" w:cs="Arial"/>
              </w:rPr>
            </w:pPr>
            <w:r w:rsidRPr="00AD6909">
              <w:rPr>
                <w:rFonts w:ascii="Arial" w:hAnsi="Arial" w:cs="Arial"/>
              </w:rPr>
              <w:t>Valuing contributions: 4 items (1,2,7,10), Caring about well-being: 6 items (3,4,5,6,8,9) (Eisenberger et al., 2020)</w:t>
            </w:r>
          </w:p>
        </w:tc>
        <w:tc>
          <w:tcPr>
            <w:tcW w:w="0" w:type="auto"/>
            <w:vAlign w:val="center"/>
            <w:hideMark/>
          </w:tcPr>
          <w:p w14:paraId="3E6300CC" w14:textId="77777777" w:rsidR="001D4B3D" w:rsidRPr="00AD6909" w:rsidRDefault="001D4B3D" w:rsidP="001D4B3D">
            <w:pPr>
              <w:rPr>
                <w:rFonts w:ascii="Arial" w:hAnsi="Arial" w:cs="Arial"/>
              </w:rPr>
            </w:pPr>
            <w:r w:rsidRPr="00AD6909">
              <w:rPr>
                <w:rFonts w:ascii="Arial" w:hAnsi="Arial" w:cs="Arial"/>
              </w:rPr>
              <w:t>Likert 1–5</w:t>
            </w:r>
          </w:p>
        </w:tc>
      </w:tr>
      <w:tr w:rsidR="001D4B3D" w:rsidRPr="00AD6909" w14:paraId="688CF96D" w14:textId="77777777" w:rsidTr="00BC37D3">
        <w:trPr>
          <w:tblCellSpacing w:w="15" w:type="dxa"/>
        </w:trPr>
        <w:tc>
          <w:tcPr>
            <w:tcW w:w="0" w:type="auto"/>
            <w:vAlign w:val="center"/>
            <w:hideMark/>
          </w:tcPr>
          <w:p w14:paraId="7C4115B7" w14:textId="77777777" w:rsidR="001D4B3D" w:rsidRPr="00AD6909" w:rsidRDefault="001D4B3D" w:rsidP="001D4B3D">
            <w:pPr>
              <w:rPr>
                <w:rFonts w:ascii="Arial" w:hAnsi="Arial" w:cs="Arial"/>
              </w:rPr>
            </w:pPr>
            <w:r w:rsidRPr="00AD6909">
              <w:rPr>
                <w:rFonts w:ascii="Arial" w:hAnsi="Arial" w:cs="Arial"/>
              </w:rPr>
              <w:t>Turnover Intention (Y)</w:t>
            </w:r>
          </w:p>
        </w:tc>
        <w:tc>
          <w:tcPr>
            <w:tcW w:w="0" w:type="auto"/>
            <w:vAlign w:val="center"/>
            <w:hideMark/>
          </w:tcPr>
          <w:p w14:paraId="67EB165F" w14:textId="77777777" w:rsidR="001D4B3D" w:rsidRPr="00AD6909" w:rsidRDefault="001D4B3D" w:rsidP="001D4B3D">
            <w:pPr>
              <w:rPr>
                <w:rFonts w:ascii="Arial" w:hAnsi="Arial" w:cs="Arial"/>
              </w:rPr>
            </w:pPr>
            <w:r w:rsidRPr="00AD6909">
              <w:rPr>
                <w:rFonts w:ascii="Arial" w:hAnsi="Arial" w:cs="Arial"/>
              </w:rPr>
              <w:t>Employee thoughts or intentions to leave their current job and seek alternative employment elsewhere. (</w:t>
            </w:r>
            <w:proofErr w:type="spellStart"/>
            <w:r w:rsidRPr="00AD6909">
              <w:rPr>
                <w:rFonts w:ascii="Arial" w:hAnsi="Arial" w:cs="Arial"/>
              </w:rPr>
              <w:t>Jaharuddin</w:t>
            </w:r>
            <w:proofErr w:type="spellEnd"/>
            <w:r w:rsidRPr="00AD6909">
              <w:rPr>
                <w:rFonts w:ascii="Arial" w:hAnsi="Arial" w:cs="Arial"/>
              </w:rPr>
              <w:t xml:space="preserve"> &amp; </w:t>
            </w:r>
            <w:proofErr w:type="spellStart"/>
            <w:r w:rsidRPr="00AD6909">
              <w:rPr>
                <w:rFonts w:ascii="Arial" w:hAnsi="Arial" w:cs="Arial"/>
              </w:rPr>
              <w:t>Zainol</w:t>
            </w:r>
            <w:proofErr w:type="spellEnd"/>
            <w:r w:rsidRPr="00AD6909">
              <w:rPr>
                <w:rFonts w:ascii="Arial" w:hAnsi="Arial" w:cs="Arial"/>
              </w:rPr>
              <w:t>, 2019)</w:t>
            </w:r>
          </w:p>
        </w:tc>
        <w:tc>
          <w:tcPr>
            <w:tcW w:w="0" w:type="auto"/>
            <w:vAlign w:val="center"/>
            <w:hideMark/>
          </w:tcPr>
          <w:p w14:paraId="40C63552" w14:textId="77777777" w:rsidR="001D4B3D" w:rsidRPr="00AD6909" w:rsidRDefault="001D4B3D" w:rsidP="001D4B3D">
            <w:pPr>
              <w:rPr>
                <w:rFonts w:ascii="Arial" w:hAnsi="Arial" w:cs="Arial"/>
              </w:rPr>
            </w:pPr>
            <w:r w:rsidRPr="00AD6909">
              <w:rPr>
                <w:rFonts w:ascii="Arial" w:hAnsi="Arial" w:cs="Arial"/>
              </w:rPr>
              <w:t>Thinking of quitting: 1 item (1), Job search: 1 item (3), Intention to quit: 1 item (2) (</w:t>
            </w:r>
            <w:proofErr w:type="spellStart"/>
            <w:r w:rsidRPr="00AD6909">
              <w:rPr>
                <w:rFonts w:ascii="Arial" w:hAnsi="Arial" w:cs="Arial"/>
              </w:rPr>
              <w:t>Jaharuddin</w:t>
            </w:r>
            <w:proofErr w:type="spellEnd"/>
            <w:r w:rsidRPr="00AD6909">
              <w:rPr>
                <w:rFonts w:ascii="Arial" w:hAnsi="Arial" w:cs="Arial"/>
              </w:rPr>
              <w:t xml:space="preserve"> &amp; </w:t>
            </w:r>
            <w:proofErr w:type="spellStart"/>
            <w:r w:rsidRPr="00AD6909">
              <w:rPr>
                <w:rFonts w:ascii="Arial" w:hAnsi="Arial" w:cs="Arial"/>
              </w:rPr>
              <w:t>Zainol</w:t>
            </w:r>
            <w:proofErr w:type="spellEnd"/>
            <w:r w:rsidRPr="00AD6909">
              <w:rPr>
                <w:rFonts w:ascii="Arial" w:hAnsi="Arial" w:cs="Arial"/>
              </w:rPr>
              <w:t>, 2019)</w:t>
            </w:r>
          </w:p>
        </w:tc>
        <w:tc>
          <w:tcPr>
            <w:tcW w:w="0" w:type="auto"/>
            <w:vAlign w:val="center"/>
            <w:hideMark/>
          </w:tcPr>
          <w:p w14:paraId="0EF85978" w14:textId="77777777" w:rsidR="001D4B3D" w:rsidRPr="00AD6909" w:rsidRDefault="001D4B3D" w:rsidP="001D4B3D">
            <w:pPr>
              <w:rPr>
                <w:rFonts w:ascii="Arial" w:hAnsi="Arial" w:cs="Arial"/>
              </w:rPr>
            </w:pPr>
            <w:r w:rsidRPr="00AD6909">
              <w:rPr>
                <w:rFonts w:ascii="Arial" w:hAnsi="Arial" w:cs="Arial"/>
              </w:rPr>
              <w:t>Likert 1–5</w:t>
            </w:r>
          </w:p>
        </w:tc>
      </w:tr>
    </w:tbl>
    <w:p w14:paraId="0349CA94" w14:textId="77777777" w:rsidR="000710D3" w:rsidRPr="000710D3" w:rsidRDefault="000710D3" w:rsidP="000710D3">
      <w:pPr>
        <w:pStyle w:val="Body"/>
        <w:rPr>
          <w:rFonts w:ascii="Arial" w:hAnsi="Arial" w:cs="Arial"/>
          <w:b/>
        </w:rPr>
      </w:pPr>
      <w:r w:rsidRPr="000710D3">
        <w:rPr>
          <w:rFonts w:ascii="Arial" w:hAnsi="Arial" w:cs="Arial"/>
          <w:b/>
        </w:rPr>
        <w:t>2.4 Sampling</w:t>
      </w:r>
    </w:p>
    <w:p w14:paraId="40ED4C88" w14:textId="77777777" w:rsidR="00AD6909" w:rsidRDefault="000710D3" w:rsidP="000710D3">
      <w:pPr>
        <w:pStyle w:val="Body"/>
        <w:spacing w:after="0"/>
        <w:rPr>
          <w:rFonts w:ascii="Arial" w:hAnsi="Arial" w:cs="Arial"/>
        </w:rPr>
      </w:pPr>
      <w:r w:rsidRPr="000710D3">
        <w:rPr>
          <w:rFonts w:ascii="Arial" w:hAnsi="Arial" w:cs="Arial"/>
        </w:rPr>
        <w:t>This study utilized a subset of the population as the sample. Proper sampling is critical to ensuring the validity and reliability of the findings (Sekaran &amp; Bougie, 2016). To ensure proportional representation, the number of employee respondents per department is as follows:</w:t>
      </w:r>
    </w:p>
    <w:p w14:paraId="6A9DE329" w14:textId="77777777" w:rsidR="00AE0734" w:rsidRDefault="00AE0734" w:rsidP="000710D3">
      <w:pPr>
        <w:pStyle w:val="Body"/>
        <w:spacing w:after="0"/>
        <w:rPr>
          <w:rFonts w:ascii="Arial" w:hAnsi="Arial" w:cs="Arial"/>
        </w:rPr>
      </w:pPr>
    </w:p>
    <w:p w14:paraId="46208000" w14:textId="77777777" w:rsidR="00AE0734" w:rsidRDefault="00AE0734" w:rsidP="000710D3">
      <w:pPr>
        <w:pStyle w:val="Body"/>
        <w:spacing w:after="0"/>
        <w:rPr>
          <w:rFonts w:ascii="Arial" w:hAnsi="Arial" w:cs="Arial"/>
        </w:rPr>
      </w:pPr>
    </w:p>
    <w:p w14:paraId="67DB4D40" w14:textId="77777777" w:rsidR="00AE0734" w:rsidRDefault="00AE0734" w:rsidP="000710D3">
      <w:pPr>
        <w:pStyle w:val="Body"/>
        <w:spacing w:after="0"/>
        <w:rPr>
          <w:rFonts w:ascii="Arial" w:hAnsi="Arial" w:cs="Arial"/>
        </w:rPr>
      </w:pPr>
    </w:p>
    <w:p w14:paraId="632F7481" w14:textId="77777777" w:rsidR="00AE0734" w:rsidRDefault="00AE0734" w:rsidP="000710D3">
      <w:pPr>
        <w:pStyle w:val="Body"/>
        <w:spacing w:after="0"/>
        <w:rPr>
          <w:rFonts w:ascii="Arial" w:hAnsi="Arial" w:cs="Arial"/>
        </w:rPr>
      </w:pPr>
    </w:p>
    <w:p w14:paraId="2E95540D" w14:textId="77777777" w:rsidR="00AE0734" w:rsidRDefault="00AE0734" w:rsidP="000710D3">
      <w:pPr>
        <w:pStyle w:val="Body"/>
        <w:spacing w:after="0"/>
        <w:rPr>
          <w:rFonts w:ascii="Arial" w:hAnsi="Arial" w:cs="Arial"/>
        </w:rPr>
      </w:pPr>
    </w:p>
    <w:p w14:paraId="31C652BC" w14:textId="77777777" w:rsidR="00661315" w:rsidRPr="00661315" w:rsidRDefault="00661315" w:rsidP="00661315">
      <w:pPr>
        <w:pStyle w:val="Body"/>
        <w:spacing w:after="0"/>
        <w:jc w:val="center"/>
        <w:rPr>
          <w:rFonts w:ascii="Arial" w:hAnsi="Arial" w:cs="Arial"/>
          <w:b/>
        </w:rPr>
      </w:pPr>
      <w:r w:rsidRPr="00661315">
        <w:rPr>
          <w:rFonts w:ascii="Arial" w:hAnsi="Arial" w:cs="Arial"/>
          <w:b/>
        </w:rPr>
        <w:lastRenderedPageBreak/>
        <w:t>Table 2 Sample Allocation by Department</w:t>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0710D3" w:rsidRPr="00AD6909" w14:paraId="4452644B" w14:textId="77777777" w:rsidTr="00AD6909">
        <w:tc>
          <w:tcPr>
            <w:tcW w:w="2500" w:type="pct"/>
            <w:tcBorders>
              <w:top w:val="single" w:sz="4" w:space="0" w:color="auto"/>
              <w:bottom w:val="single" w:sz="4" w:space="0" w:color="auto"/>
            </w:tcBorders>
            <w:vAlign w:val="center"/>
          </w:tcPr>
          <w:p w14:paraId="2060D23C" w14:textId="423ACE7A" w:rsidR="000710D3" w:rsidRPr="00AD6909" w:rsidRDefault="000710D3" w:rsidP="007F6AEF">
            <w:pPr>
              <w:pStyle w:val="NormalWeb"/>
              <w:jc w:val="center"/>
              <w:rPr>
                <w:rFonts w:ascii="Arial" w:hAnsi="Arial" w:cs="Arial"/>
                <w:i/>
                <w:iCs/>
                <w:color w:val="000000" w:themeColor="text1"/>
                <w:sz w:val="20"/>
                <w:szCs w:val="20"/>
              </w:rPr>
            </w:pPr>
            <w:r w:rsidRPr="00AD6909">
              <w:rPr>
                <w:rFonts w:ascii="Arial" w:hAnsi="Arial" w:cs="Arial"/>
                <w:b/>
                <w:bCs/>
                <w:color w:val="000000" w:themeColor="text1"/>
                <w:sz w:val="20"/>
                <w:szCs w:val="20"/>
              </w:rPr>
              <w:t>Department</w:t>
            </w:r>
          </w:p>
        </w:tc>
        <w:tc>
          <w:tcPr>
            <w:tcW w:w="2500" w:type="pct"/>
            <w:tcBorders>
              <w:top w:val="single" w:sz="4" w:space="0" w:color="auto"/>
              <w:bottom w:val="single" w:sz="4" w:space="0" w:color="auto"/>
            </w:tcBorders>
            <w:vAlign w:val="center"/>
          </w:tcPr>
          <w:p w14:paraId="3D6E1CC4" w14:textId="77777777" w:rsidR="000710D3" w:rsidRPr="00AD6909" w:rsidRDefault="000710D3" w:rsidP="007F6AEF">
            <w:pPr>
              <w:pStyle w:val="NormalWeb"/>
              <w:jc w:val="center"/>
              <w:rPr>
                <w:rFonts w:ascii="Arial" w:hAnsi="Arial" w:cs="Arial"/>
                <w:b/>
                <w:iCs/>
                <w:color w:val="000000" w:themeColor="text1"/>
                <w:sz w:val="20"/>
                <w:szCs w:val="20"/>
              </w:rPr>
            </w:pPr>
            <w:r w:rsidRPr="00AD6909">
              <w:rPr>
                <w:rFonts w:ascii="Arial" w:hAnsi="Arial" w:cs="Arial"/>
                <w:b/>
                <w:iCs/>
                <w:color w:val="000000" w:themeColor="text1"/>
                <w:sz w:val="20"/>
                <w:szCs w:val="20"/>
              </w:rPr>
              <w:t>Sample Size</w:t>
            </w:r>
          </w:p>
        </w:tc>
      </w:tr>
      <w:tr w:rsidR="000710D3" w:rsidRPr="00AD6909" w14:paraId="35CFAACA" w14:textId="77777777" w:rsidTr="00AD6909">
        <w:tc>
          <w:tcPr>
            <w:tcW w:w="2500" w:type="pct"/>
            <w:tcBorders>
              <w:top w:val="single" w:sz="4" w:space="0" w:color="auto"/>
            </w:tcBorders>
            <w:vAlign w:val="center"/>
          </w:tcPr>
          <w:p w14:paraId="27DE69F7" w14:textId="77777777" w:rsidR="000710D3" w:rsidRPr="00AD6909" w:rsidRDefault="000710D3" w:rsidP="007F6AEF">
            <w:pPr>
              <w:pStyle w:val="NormalWeb"/>
              <w:rPr>
                <w:rFonts w:ascii="Arial" w:hAnsi="Arial" w:cs="Arial"/>
                <w:b/>
                <w:bCs/>
                <w:color w:val="000000" w:themeColor="text1"/>
                <w:sz w:val="20"/>
                <w:szCs w:val="20"/>
              </w:rPr>
            </w:pPr>
            <w:r w:rsidRPr="00AD6909">
              <w:rPr>
                <w:rFonts w:ascii="Arial" w:hAnsi="Arial" w:cs="Arial"/>
                <w:color w:val="000000" w:themeColor="text1"/>
                <w:sz w:val="20"/>
                <w:szCs w:val="20"/>
              </w:rPr>
              <w:t>Front Office</w:t>
            </w:r>
          </w:p>
        </w:tc>
        <w:tc>
          <w:tcPr>
            <w:tcW w:w="2500" w:type="pct"/>
            <w:tcBorders>
              <w:top w:val="single" w:sz="4" w:space="0" w:color="auto"/>
            </w:tcBorders>
            <w:vAlign w:val="center"/>
          </w:tcPr>
          <w:p w14:paraId="1A93DE9B"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16</w:t>
            </w:r>
          </w:p>
        </w:tc>
      </w:tr>
      <w:tr w:rsidR="000710D3" w:rsidRPr="00AD6909" w14:paraId="3DDF54C7" w14:textId="77777777" w:rsidTr="00AD6909">
        <w:tc>
          <w:tcPr>
            <w:tcW w:w="2500" w:type="pct"/>
            <w:vAlign w:val="center"/>
          </w:tcPr>
          <w:p w14:paraId="7AD7CFFC"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Housekeeping</w:t>
            </w:r>
          </w:p>
        </w:tc>
        <w:tc>
          <w:tcPr>
            <w:tcW w:w="2500" w:type="pct"/>
            <w:vAlign w:val="center"/>
          </w:tcPr>
          <w:p w14:paraId="4452F720" w14:textId="77777777" w:rsidR="000710D3" w:rsidRPr="00AD6909" w:rsidRDefault="000710D3" w:rsidP="007F6AEF">
            <w:pPr>
              <w:pStyle w:val="NormalWeb"/>
              <w:jc w:val="center"/>
              <w:rPr>
                <w:rFonts w:ascii="Arial" w:hAnsi="Arial" w:cs="Arial"/>
                <w:color w:val="000000" w:themeColor="text1"/>
                <w:sz w:val="20"/>
                <w:szCs w:val="20"/>
              </w:rPr>
            </w:pPr>
            <w:r w:rsidRPr="00AD6909">
              <w:rPr>
                <w:rFonts w:ascii="Arial" w:hAnsi="Arial" w:cs="Arial"/>
                <w:color w:val="000000" w:themeColor="text1"/>
                <w:sz w:val="20"/>
                <w:szCs w:val="20"/>
              </w:rPr>
              <w:t>23</w:t>
            </w:r>
          </w:p>
        </w:tc>
      </w:tr>
      <w:tr w:rsidR="000710D3" w:rsidRPr="00AD6909" w14:paraId="227B364C" w14:textId="77777777" w:rsidTr="00AD6909">
        <w:tc>
          <w:tcPr>
            <w:tcW w:w="2500" w:type="pct"/>
            <w:vAlign w:val="center"/>
          </w:tcPr>
          <w:p w14:paraId="3BC41B14"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Food &amp; Beverage Service</w:t>
            </w:r>
          </w:p>
        </w:tc>
        <w:tc>
          <w:tcPr>
            <w:tcW w:w="2500" w:type="pct"/>
            <w:vAlign w:val="center"/>
          </w:tcPr>
          <w:p w14:paraId="6D4F9E5D"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15</w:t>
            </w:r>
          </w:p>
        </w:tc>
      </w:tr>
      <w:tr w:rsidR="000710D3" w:rsidRPr="00AD6909" w14:paraId="26320BEC" w14:textId="77777777" w:rsidTr="00AD6909">
        <w:tc>
          <w:tcPr>
            <w:tcW w:w="2500" w:type="pct"/>
            <w:vAlign w:val="center"/>
          </w:tcPr>
          <w:p w14:paraId="6BDEB349"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Food &amp; Beverage Kitchen</w:t>
            </w:r>
          </w:p>
        </w:tc>
        <w:tc>
          <w:tcPr>
            <w:tcW w:w="2500" w:type="pct"/>
            <w:vAlign w:val="center"/>
          </w:tcPr>
          <w:p w14:paraId="5990E1C4"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20</w:t>
            </w:r>
          </w:p>
        </w:tc>
      </w:tr>
      <w:tr w:rsidR="000710D3" w:rsidRPr="00AD6909" w14:paraId="2F7C1D06" w14:textId="77777777" w:rsidTr="00AD6909">
        <w:tc>
          <w:tcPr>
            <w:tcW w:w="2500" w:type="pct"/>
            <w:vAlign w:val="center"/>
          </w:tcPr>
          <w:p w14:paraId="69002FE7"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General Manager</w:t>
            </w:r>
          </w:p>
        </w:tc>
        <w:tc>
          <w:tcPr>
            <w:tcW w:w="2500" w:type="pct"/>
            <w:vAlign w:val="center"/>
          </w:tcPr>
          <w:p w14:paraId="473AA296"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2</w:t>
            </w:r>
          </w:p>
        </w:tc>
      </w:tr>
      <w:tr w:rsidR="000710D3" w:rsidRPr="00AD6909" w14:paraId="79FF2C6B" w14:textId="77777777" w:rsidTr="00AD6909">
        <w:tc>
          <w:tcPr>
            <w:tcW w:w="2500" w:type="pct"/>
            <w:vAlign w:val="center"/>
          </w:tcPr>
          <w:p w14:paraId="4772426D"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Security</w:t>
            </w:r>
          </w:p>
        </w:tc>
        <w:tc>
          <w:tcPr>
            <w:tcW w:w="2500" w:type="pct"/>
            <w:vAlign w:val="center"/>
          </w:tcPr>
          <w:p w14:paraId="056B21DF"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13</w:t>
            </w:r>
          </w:p>
        </w:tc>
      </w:tr>
      <w:tr w:rsidR="000710D3" w:rsidRPr="00AD6909" w14:paraId="73083ADD" w14:textId="77777777" w:rsidTr="00AD6909">
        <w:tc>
          <w:tcPr>
            <w:tcW w:w="2500" w:type="pct"/>
            <w:vAlign w:val="center"/>
          </w:tcPr>
          <w:p w14:paraId="4D57FEDB"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Finance</w:t>
            </w:r>
          </w:p>
        </w:tc>
        <w:tc>
          <w:tcPr>
            <w:tcW w:w="2500" w:type="pct"/>
            <w:vAlign w:val="center"/>
          </w:tcPr>
          <w:p w14:paraId="43D8E64F"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8</w:t>
            </w:r>
          </w:p>
        </w:tc>
      </w:tr>
      <w:tr w:rsidR="000710D3" w:rsidRPr="00AD6909" w14:paraId="6857CA3A" w14:textId="77777777" w:rsidTr="00AD6909">
        <w:tc>
          <w:tcPr>
            <w:tcW w:w="2500" w:type="pct"/>
            <w:vAlign w:val="center"/>
          </w:tcPr>
          <w:p w14:paraId="1DC72C25"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Human Resources</w:t>
            </w:r>
          </w:p>
        </w:tc>
        <w:tc>
          <w:tcPr>
            <w:tcW w:w="2500" w:type="pct"/>
            <w:vAlign w:val="center"/>
          </w:tcPr>
          <w:p w14:paraId="7CF544A8"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2</w:t>
            </w:r>
          </w:p>
        </w:tc>
      </w:tr>
      <w:tr w:rsidR="000710D3" w:rsidRPr="00AD6909" w14:paraId="07CB5387" w14:textId="77777777" w:rsidTr="00AD6909">
        <w:tc>
          <w:tcPr>
            <w:tcW w:w="2500" w:type="pct"/>
            <w:vAlign w:val="center"/>
          </w:tcPr>
          <w:p w14:paraId="0AF6142D" w14:textId="77777777" w:rsidR="000710D3" w:rsidRPr="00AD6909" w:rsidRDefault="000710D3" w:rsidP="007F6AEF">
            <w:pPr>
              <w:pStyle w:val="NormalWeb"/>
              <w:rPr>
                <w:rFonts w:ascii="Arial" w:hAnsi="Arial" w:cs="Arial"/>
                <w:color w:val="000000" w:themeColor="text1"/>
                <w:sz w:val="20"/>
                <w:szCs w:val="20"/>
              </w:rPr>
            </w:pPr>
            <w:r w:rsidRPr="00AD6909">
              <w:rPr>
                <w:rFonts w:ascii="Arial" w:hAnsi="Arial" w:cs="Arial"/>
                <w:color w:val="000000" w:themeColor="text1"/>
                <w:sz w:val="20"/>
                <w:szCs w:val="20"/>
              </w:rPr>
              <w:t>Sales &amp; Marketing</w:t>
            </w:r>
          </w:p>
        </w:tc>
        <w:tc>
          <w:tcPr>
            <w:tcW w:w="2500" w:type="pct"/>
            <w:vAlign w:val="center"/>
          </w:tcPr>
          <w:p w14:paraId="1D70B48D"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10</w:t>
            </w:r>
          </w:p>
        </w:tc>
      </w:tr>
      <w:tr w:rsidR="000710D3" w:rsidRPr="00AD6909" w14:paraId="7DB257AF" w14:textId="77777777" w:rsidTr="00AD6909">
        <w:tc>
          <w:tcPr>
            <w:tcW w:w="2500" w:type="pct"/>
            <w:tcBorders>
              <w:bottom w:val="single" w:sz="4" w:space="0" w:color="auto"/>
            </w:tcBorders>
            <w:vAlign w:val="center"/>
          </w:tcPr>
          <w:p w14:paraId="1E500E67" w14:textId="77777777" w:rsidR="000710D3" w:rsidRPr="00AD6909" w:rsidRDefault="000710D3" w:rsidP="007F6AEF">
            <w:pPr>
              <w:pStyle w:val="NormalWeb"/>
              <w:rPr>
                <w:rFonts w:ascii="Arial" w:hAnsi="Arial" w:cs="Arial"/>
                <w:color w:val="000000" w:themeColor="text1"/>
                <w:sz w:val="20"/>
                <w:szCs w:val="20"/>
              </w:rPr>
            </w:pPr>
            <w:proofErr w:type="spellStart"/>
            <w:r w:rsidRPr="00AD6909">
              <w:rPr>
                <w:rFonts w:ascii="Arial" w:hAnsi="Arial" w:cs="Arial"/>
                <w:iCs/>
                <w:color w:val="000000" w:themeColor="text1"/>
                <w:sz w:val="20"/>
                <w:szCs w:val="20"/>
              </w:rPr>
              <w:t>Enginering</w:t>
            </w:r>
            <w:proofErr w:type="spellEnd"/>
          </w:p>
        </w:tc>
        <w:tc>
          <w:tcPr>
            <w:tcW w:w="2500" w:type="pct"/>
            <w:tcBorders>
              <w:bottom w:val="single" w:sz="4" w:space="0" w:color="auto"/>
            </w:tcBorders>
            <w:vAlign w:val="center"/>
          </w:tcPr>
          <w:p w14:paraId="00454D47" w14:textId="77777777" w:rsidR="000710D3" w:rsidRPr="00AD6909" w:rsidRDefault="000710D3" w:rsidP="007F6AEF">
            <w:pPr>
              <w:pStyle w:val="NormalWeb"/>
              <w:jc w:val="center"/>
              <w:rPr>
                <w:rFonts w:ascii="Arial" w:hAnsi="Arial" w:cs="Arial"/>
                <w:bCs/>
                <w:color w:val="000000" w:themeColor="text1"/>
                <w:sz w:val="20"/>
                <w:szCs w:val="20"/>
              </w:rPr>
            </w:pPr>
            <w:r w:rsidRPr="00AD6909">
              <w:rPr>
                <w:rFonts w:ascii="Arial" w:hAnsi="Arial" w:cs="Arial"/>
                <w:bCs/>
                <w:color w:val="000000" w:themeColor="text1"/>
                <w:sz w:val="20"/>
                <w:szCs w:val="20"/>
              </w:rPr>
              <w:t>11</w:t>
            </w:r>
          </w:p>
        </w:tc>
      </w:tr>
      <w:tr w:rsidR="000710D3" w:rsidRPr="00AD6909" w14:paraId="46EB8010" w14:textId="77777777" w:rsidTr="00AD6909">
        <w:tc>
          <w:tcPr>
            <w:tcW w:w="2500" w:type="pct"/>
            <w:tcBorders>
              <w:top w:val="single" w:sz="4" w:space="0" w:color="auto"/>
              <w:bottom w:val="single" w:sz="4" w:space="0" w:color="auto"/>
            </w:tcBorders>
            <w:vAlign w:val="center"/>
          </w:tcPr>
          <w:p w14:paraId="3DDACBF0" w14:textId="77777777" w:rsidR="000710D3" w:rsidRPr="00AD6909" w:rsidRDefault="000710D3" w:rsidP="007F6AEF">
            <w:pPr>
              <w:pStyle w:val="NormalWeb"/>
              <w:jc w:val="center"/>
              <w:rPr>
                <w:rFonts w:ascii="Arial" w:hAnsi="Arial" w:cs="Arial"/>
                <w:b/>
                <w:iCs/>
                <w:color w:val="000000" w:themeColor="text1"/>
                <w:sz w:val="20"/>
                <w:szCs w:val="20"/>
              </w:rPr>
            </w:pPr>
            <w:r w:rsidRPr="00AD6909">
              <w:rPr>
                <w:rFonts w:ascii="Arial" w:hAnsi="Arial" w:cs="Arial"/>
                <w:b/>
                <w:iCs/>
                <w:color w:val="000000" w:themeColor="text1"/>
                <w:sz w:val="20"/>
                <w:szCs w:val="20"/>
              </w:rPr>
              <w:t>Total</w:t>
            </w:r>
          </w:p>
        </w:tc>
        <w:tc>
          <w:tcPr>
            <w:tcW w:w="2500" w:type="pct"/>
            <w:tcBorders>
              <w:top w:val="single" w:sz="4" w:space="0" w:color="auto"/>
              <w:bottom w:val="single" w:sz="4" w:space="0" w:color="auto"/>
            </w:tcBorders>
            <w:vAlign w:val="center"/>
          </w:tcPr>
          <w:p w14:paraId="0DCE85B1" w14:textId="77777777" w:rsidR="000710D3" w:rsidRPr="00AD6909" w:rsidRDefault="000710D3" w:rsidP="007F6AEF">
            <w:pPr>
              <w:pStyle w:val="NormalWeb"/>
              <w:jc w:val="center"/>
              <w:rPr>
                <w:rFonts w:ascii="Arial" w:hAnsi="Arial" w:cs="Arial"/>
                <w:b/>
                <w:bCs/>
                <w:color w:val="000000" w:themeColor="text1"/>
                <w:sz w:val="20"/>
                <w:szCs w:val="20"/>
              </w:rPr>
            </w:pPr>
            <w:r w:rsidRPr="00AD6909">
              <w:rPr>
                <w:rFonts w:ascii="Arial" w:hAnsi="Arial" w:cs="Arial"/>
                <w:b/>
                <w:bCs/>
                <w:color w:val="000000" w:themeColor="text1"/>
                <w:sz w:val="20"/>
                <w:szCs w:val="20"/>
              </w:rPr>
              <w:t>120</w:t>
            </w:r>
          </w:p>
        </w:tc>
      </w:tr>
    </w:tbl>
    <w:p w14:paraId="539CB875" w14:textId="77777777" w:rsidR="000710D3" w:rsidRPr="000710D3" w:rsidRDefault="000710D3" w:rsidP="000710D3">
      <w:pPr>
        <w:pStyle w:val="Body"/>
        <w:rPr>
          <w:rFonts w:ascii="Arial" w:hAnsi="Arial" w:cs="Arial"/>
          <w:b/>
        </w:rPr>
      </w:pPr>
      <w:r w:rsidRPr="000710D3">
        <w:rPr>
          <w:rFonts w:ascii="Arial" w:hAnsi="Arial" w:cs="Arial"/>
          <w:b/>
        </w:rPr>
        <w:t>2.5 Data Analysis Method</w:t>
      </w:r>
    </w:p>
    <w:p w14:paraId="3E5D47C1" w14:textId="77777777" w:rsidR="000710D3" w:rsidRDefault="000710D3" w:rsidP="000710D3">
      <w:pPr>
        <w:pStyle w:val="Body"/>
        <w:rPr>
          <w:rFonts w:ascii="Arial" w:hAnsi="Arial" w:cs="Arial"/>
        </w:rPr>
      </w:pPr>
      <w:r w:rsidRPr="000710D3">
        <w:rPr>
          <w:rFonts w:ascii="Arial" w:hAnsi="Arial" w:cs="Arial"/>
        </w:rPr>
        <w:t>This study employs a quantitative approach with two main types of analysis: descriptive analysis and causal analysis using Structural Equation Modeling (SEM) with a Partial Least Squares (PLS-SEM) approach. This method is selected to examine both the direct and moderating effects of workload and work-life balance on turnover intention, including the role of perceived organizational support as a moderator.</w:t>
      </w:r>
    </w:p>
    <w:p w14:paraId="1B969C7E" w14:textId="77777777" w:rsidR="000710D3" w:rsidRDefault="000710D3" w:rsidP="000710D3">
      <w:pPr>
        <w:pStyle w:val="Body"/>
        <w:rPr>
          <w:rFonts w:ascii="Arial" w:hAnsi="Arial" w:cs="Arial"/>
        </w:rPr>
      </w:pPr>
      <w:r w:rsidRPr="000710D3">
        <w:rPr>
          <w:rFonts w:ascii="Arial" w:hAnsi="Arial" w:cs="Arial"/>
        </w:rPr>
        <w:t>1. Measurement Model Evaluation (Outer Model)</w:t>
      </w:r>
    </w:p>
    <w:p w14:paraId="7BFE5E65" w14:textId="77777777" w:rsidR="000710D3" w:rsidRDefault="000710D3" w:rsidP="000710D3">
      <w:pPr>
        <w:pStyle w:val="Body"/>
        <w:rPr>
          <w:rFonts w:ascii="Arial" w:hAnsi="Arial" w:cs="Arial"/>
        </w:rPr>
      </w:pPr>
      <w:r w:rsidRPr="000710D3">
        <w:rPr>
          <w:rFonts w:ascii="Arial" w:hAnsi="Arial" w:cs="Arial"/>
        </w:rPr>
        <w:t>The outer model assesses:</w:t>
      </w:r>
      <w:r>
        <w:rPr>
          <w:rFonts w:ascii="Arial" w:hAnsi="Arial" w:cs="Arial"/>
        </w:rPr>
        <w:t xml:space="preserve"> </w:t>
      </w:r>
      <w:r w:rsidRPr="000710D3">
        <w:rPr>
          <w:rFonts w:ascii="Arial" w:hAnsi="Arial" w:cs="Arial"/>
        </w:rPr>
        <w:t>Indicator reliability</w:t>
      </w:r>
      <w:r>
        <w:rPr>
          <w:rFonts w:ascii="Arial" w:hAnsi="Arial" w:cs="Arial"/>
        </w:rPr>
        <w:t xml:space="preserve"> </w:t>
      </w:r>
      <w:r w:rsidRPr="000710D3">
        <w:rPr>
          <w:rFonts w:ascii="Arial" w:hAnsi="Arial" w:cs="Arial"/>
        </w:rPr>
        <w:t>Convergent validity (Average Variance Extracted or AVE ≥ 0.</w:t>
      </w:r>
      <w:r w:rsidR="00643D00">
        <w:rPr>
          <w:rFonts w:ascii="Arial" w:hAnsi="Arial" w:cs="Arial"/>
        </w:rPr>
        <w:t>7</w:t>
      </w:r>
      <w:r w:rsidRPr="000710D3">
        <w:rPr>
          <w:rFonts w:ascii="Arial" w:hAnsi="Arial" w:cs="Arial"/>
        </w:rPr>
        <w:t>)</w:t>
      </w:r>
      <w:r>
        <w:rPr>
          <w:rFonts w:ascii="Arial" w:hAnsi="Arial" w:cs="Arial"/>
        </w:rPr>
        <w:t xml:space="preserve">, </w:t>
      </w:r>
      <w:r w:rsidRPr="000710D3">
        <w:rPr>
          <w:rFonts w:ascii="Arial" w:hAnsi="Arial" w:cs="Arial"/>
        </w:rPr>
        <w:t>Discriminant validity (Fornell-Larcker criterion)</w:t>
      </w:r>
      <w:r>
        <w:rPr>
          <w:rFonts w:ascii="Arial" w:hAnsi="Arial" w:cs="Arial"/>
        </w:rPr>
        <w:t xml:space="preserve"> and </w:t>
      </w:r>
      <w:r w:rsidRPr="000710D3">
        <w:rPr>
          <w:rFonts w:ascii="Arial" w:hAnsi="Arial" w:cs="Arial"/>
        </w:rPr>
        <w:t>Internal consistency (Cronbach’s Alpha and Composite Reliability ≥ 0.7)</w:t>
      </w:r>
      <w:r>
        <w:rPr>
          <w:rFonts w:ascii="Arial" w:hAnsi="Arial" w:cs="Arial"/>
        </w:rPr>
        <w:t xml:space="preserve"> </w:t>
      </w:r>
      <w:r w:rsidRPr="000710D3">
        <w:rPr>
          <w:rFonts w:ascii="Arial" w:hAnsi="Arial" w:cs="Arial"/>
        </w:rPr>
        <w:t>(Hair et al., 2019)</w:t>
      </w:r>
    </w:p>
    <w:p w14:paraId="6878339D" w14:textId="77777777" w:rsidR="000710D3" w:rsidRDefault="000710D3" w:rsidP="000710D3">
      <w:pPr>
        <w:pStyle w:val="Body"/>
        <w:rPr>
          <w:rFonts w:ascii="Arial" w:hAnsi="Arial" w:cs="Arial"/>
        </w:rPr>
      </w:pPr>
      <w:r w:rsidRPr="000710D3">
        <w:rPr>
          <w:rFonts w:ascii="Arial" w:hAnsi="Arial" w:cs="Arial"/>
        </w:rPr>
        <w:t>2. Structural Model Evaluation (Inner Model)</w:t>
      </w:r>
    </w:p>
    <w:p w14:paraId="6660EFAA" w14:textId="77777777" w:rsidR="000710D3" w:rsidRPr="000710D3" w:rsidRDefault="000710D3" w:rsidP="000710D3">
      <w:pPr>
        <w:pStyle w:val="Body"/>
        <w:rPr>
          <w:rFonts w:ascii="Arial" w:hAnsi="Arial" w:cs="Arial"/>
        </w:rPr>
      </w:pPr>
      <w:r w:rsidRPr="000710D3">
        <w:rPr>
          <w:rFonts w:ascii="Arial" w:hAnsi="Arial" w:cs="Arial"/>
        </w:rPr>
        <w:t>This includes:</w:t>
      </w:r>
      <w:r>
        <w:rPr>
          <w:rFonts w:ascii="Arial" w:hAnsi="Arial" w:cs="Arial"/>
        </w:rPr>
        <w:t xml:space="preserve"> </w:t>
      </w:r>
      <w:r w:rsidRPr="000710D3">
        <w:rPr>
          <w:rFonts w:ascii="Arial" w:hAnsi="Arial" w:cs="Arial"/>
        </w:rPr>
        <w:t>Coefficient of Determination (R²): Values greater than 0.25 are considered acceptable (Hair et al., 2019).</w:t>
      </w:r>
      <w:r>
        <w:rPr>
          <w:rFonts w:ascii="Arial" w:hAnsi="Arial" w:cs="Arial"/>
        </w:rPr>
        <w:t xml:space="preserve"> </w:t>
      </w:r>
      <w:r w:rsidRPr="000710D3">
        <w:rPr>
          <w:rFonts w:ascii="Arial" w:hAnsi="Arial" w:cs="Arial"/>
        </w:rPr>
        <w:t>Path Coefficient (β) and Significance: Bootstrapping with 5,000 subsamples is used to test the significance. A p-value &lt; 0.05 indicates a significant effect.</w:t>
      </w:r>
      <w:r>
        <w:rPr>
          <w:rFonts w:ascii="Arial" w:hAnsi="Arial" w:cs="Arial"/>
        </w:rPr>
        <w:t xml:space="preserve"> </w:t>
      </w:r>
      <w:r w:rsidRPr="000710D3">
        <w:rPr>
          <w:rFonts w:ascii="Arial" w:hAnsi="Arial" w:cs="Arial"/>
        </w:rPr>
        <w:t>Moderation Testing: The indicator product approach is used to test interaction effects. If the interaction term (X*M) is significant (p &lt; 0.05), then perceived organizational support is confirmed as a moderator.</w:t>
      </w:r>
    </w:p>
    <w:p w14:paraId="2FD74099" w14:textId="77777777" w:rsidR="000710D3" w:rsidRDefault="000710D3" w:rsidP="000710D3">
      <w:pPr>
        <w:pStyle w:val="Body"/>
        <w:rPr>
          <w:rFonts w:ascii="Arial" w:hAnsi="Arial" w:cs="Arial"/>
        </w:rPr>
      </w:pPr>
      <w:r w:rsidRPr="000710D3">
        <w:rPr>
          <w:rFonts w:ascii="Arial" w:hAnsi="Arial" w:cs="Arial"/>
        </w:rPr>
        <w:t>3. Hypothesis Testing</w:t>
      </w:r>
    </w:p>
    <w:p w14:paraId="6FD60060" w14:textId="77777777" w:rsidR="000710D3" w:rsidRPr="000710D3" w:rsidRDefault="000710D3" w:rsidP="000710D3">
      <w:pPr>
        <w:pStyle w:val="Body"/>
        <w:rPr>
          <w:rFonts w:ascii="Arial" w:hAnsi="Arial" w:cs="Arial"/>
        </w:rPr>
      </w:pPr>
      <w:r w:rsidRPr="000710D3">
        <w:rPr>
          <w:rFonts w:ascii="Arial" w:hAnsi="Arial" w:cs="Arial"/>
        </w:rPr>
        <w:t>If t-statistic &gt; 1.96, then H</w:t>
      </w:r>
      <w:r w:rsidRPr="000710D3">
        <w:rPr>
          <w:rFonts w:ascii="Cambria Math" w:hAnsi="Cambria Math" w:cs="Cambria Math"/>
        </w:rPr>
        <w:t>₀</w:t>
      </w:r>
      <w:r w:rsidRPr="000710D3">
        <w:rPr>
          <w:rFonts w:ascii="Arial" w:hAnsi="Arial" w:cs="Arial"/>
        </w:rPr>
        <w:t xml:space="preserve"> is rejected and H</w:t>
      </w:r>
      <w:r w:rsidRPr="000710D3">
        <w:rPr>
          <w:rFonts w:ascii="Cambria Math" w:hAnsi="Cambria Math" w:cs="Cambria Math"/>
        </w:rPr>
        <w:t>₁</w:t>
      </w:r>
      <w:r w:rsidRPr="000710D3">
        <w:rPr>
          <w:rFonts w:ascii="Arial" w:hAnsi="Arial" w:cs="Arial"/>
        </w:rPr>
        <w:t xml:space="preserve"> is supported.</w:t>
      </w:r>
      <w:r>
        <w:rPr>
          <w:rFonts w:ascii="Arial" w:hAnsi="Arial" w:cs="Arial"/>
        </w:rPr>
        <w:t xml:space="preserve"> </w:t>
      </w:r>
      <w:r w:rsidRPr="000710D3">
        <w:rPr>
          <w:rFonts w:ascii="Arial" w:hAnsi="Arial" w:cs="Arial"/>
        </w:rPr>
        <w:t>If t-statistic ≤ 1.96, then H</w:t>
      </w:r>
      <w:r w:rsidRPr="000710D3">
        <w:rPr>
          <w:rFonts w:ascii="Cambria Math" w:hAnsi="Cambria Math" w:cs="Cambria Math"/>
        </w:rPr>
        <w:t>₀</w:t>
      </w:r>
      <w:r w:rsidRPr="000710D3">
        <w:rPr>
          <w:rFonts w:ascii="Arial" w:hAnsi="Arial" w:cs="Arial"/>
        </w:rPr>
        <w:t xml:space="preserve"> is accepted and H</w:t>
      </w:r>
      <w:r w:rsidRPr="000710D3">
        <w:rPr>
          <w:rFonts w:ascii="Cambria Math" w:hAnsi="Cambria Math" w:cs="Cambria Math"/>
        </w:rPr>
        <w:t>₁</w:t>
      </w:r>
      <w:r w:rsidRPr="000710D3">
        <w:rPr>
          <w:rFonts w:ascii="Arial" w:hAnsi="Arial" w:cs="Arial"/>
        </w:rPr>
        <w:t xml:space="preserve"> is not supported.</w:t>
      </w:r>
      <w:r>
        <w:rPr>
          <w:rFonts w:ascii="Arial" w:hAnsi="Arial" w:cs="Arial"/>
        </w:rPr>
        <w:t xml:space="preserve"> </w:t>
      </w:r>
      <w:r w:rsidRPr="000710D3">
        <w:rPr>
          <w:rFonts w:ascii="Arial" w:hAnsi="Arial" w:cs="Arial"/>
        </w:rPr>
        <w:t>Hypotheses Overview:</w:t>
      </w:r>
    </w:p>
    <w:p w14:paraId="7FD9580F" w14:textId="77777777" w:rsidR="000710D3" w:rsidRDefault="000710D3" w:rsidP="000710D3">
      <w:pPr>
        <w:pStyle w:val="Body"/>
        <w:rPr>
          <w:rFonts w:ascii="Arial" w:hAnsi="Arial" w:cs="Arial"/>
        </w:rPr>
      </w:pPr>
      <w:r w:rsidRPr="000710D3">
        <w:rPr>
          <w:rFonts w:ascii="Arial" w:hAnsi="Arial" w:cs="Arial"/>
        </w:rPr>
        <w:t>Direct Effects:</w:t>
      </w:r>
      <w:r>
        <w:rPr>
          <w:rFonts w:ascii="Arial" w:hAnsi="Arial" w:cs="Arial"/>
        </w:rPr>
        <w:t xml:space="preserve"> </w:t>
      </w:r>
      <w:r w:rsidRPr="000710D3">
        <w:rPr>
          <w:rFonts w:ascii="Arial" w:hAnsi="Arial" w:cs="Arial"/>
        </w:rPr>
        <w:t>H1: Workload (X</w:t>
      </w:r>
      <w:r w:rsidRPr="000710D3">
        <w:rPr>
          <w:rFonts w:ascii="Cambria Math" w:hAnsi="Cambria Math" w:cs="Cambria Math"/>
        </w:rPr>
        <w:t>₁</w:t>
      </w:r>
      <w:r w:rsidRPr="000710D3">
        <w:rPr>
          <w:rFonts w:ascii="Arial" w:hAnsi="Arial" w:cs="Arial"/>
        </w:rPr>
        <w:t>) → Turnover Intention (Y)</w:t>
      </w:r>
      <w:r>
        <w:rPr>
          <w:rFonts w:ascii="Arial" w:hAnsi="Arial" w:cs="Arial"/>
        </w:rPr>
        <w:t xml:space="preserve">. </w:t>
      </w:r>
      <w:r w:rsidRPr="000710D3">
        <w:rPr>
          <w:rFonts w:ascii="Arial" w:hAnsi="Arial" w:cs="Arial"/>
        </w:rPr>
        <w:t>H2: Work-Life Balance (X</w:t>
      </w:r>
      <w:r w:rsidRPr="000710D3">
        <w:rPr>
          <w:rFonts w:ascii="Cambria Math" w:hAnsi="Cambria Math" w:cs="Cambria Math"/>
        </w:rPr>
        <w:t>₂</w:t>
      </w:r>
      <w:r w:rsidRPr="000710D3">
        <w:rPr>
          <w:rFonts w:ascii="Arial" w:hAnsi="Arial" w:cs="Arial"/>
        </w:rPr>
        <w:t>) → Turnover Intention (Y)</w:t>
      </w:r>
    </w:p>
    <w:p w14:paraId="50143AF3" w14:textId="77777777" w:rsidR="00790ADA" w:rsidRPr="00FB3A86" w:rsidRDefault="000710D3" w:rsidP="006953DC">
      <w:pPr>
        <w:pStyle w:val="Body"/>
        <w:rPr>
          <w:rFonts w:ascii="Arial" w:hAnsi="Arial" w:cs="Arial"/>
        </w:rPr>
      </w:pPr>
      <w:r w:rsidRPr="000710D3">
        <w:rPr>
          <w:rFonts w:ascii="Arial" w:hAnsi="Arial" w:cs="Arial"/>
        </w:rPr>
        <w:t>Moderating Effects:</w:t>
      </w:r>
      <w:r>
        <w:rPr>
          <w:rFonts w:ascii="Arial" w:hAnsi="Arial" w:cs="Arial"/>
        </w:rPr>
        <w:t xml:space="preserve"> </w:t>
      </w:r>
      <w:r w:rsidRPr="000710D3">
        <w:rPr>
          <w:rFonts w:ascii="Arial" w:hAnsi="Arial" w:cs="Arial"/>
        </w:rPr>
        <w:t>H3: Workload × Organizational Support (X</w:t>
      </w:r>
      <w:r w:rsidRPr="000710D3">
        <w:rPr>
          <w:rFonts w:ascii="Cambria Math" w:hAnsi="Cambria Math" w:cs="Cambria Math"/>
        </w:rPr>
        <w:t>₁</w:t>
      </w:r>
      <w:r w:rsidRPr="000710D3">
        <w:rPr>
          <w:rFonts w:ascii="Arial" w:hAnsi="Arial" w:cs="Arial"/>
        </w:rPr>
        <w:t>*M) → Turnover Intention (Y)</w:t>
      </w:r>
      <w:r>
        <w:rPr>
          <w:rFonts w:ascii="Arial" w:hAnsi="Arial" w:cs="Arial"/>
        </w:rPr>
        <w:t xml:space="preserve">. </w:t>
      </w:r>
      <w:r w:rsidRPr="000710D3">
        <w:rPr>
          <w:rFonts w:ascii="Arial" w:hAnsi="Arial" w:cs="Arial"/>
        </w:rPr>
        <w:t>H4: Work-Life Balance × Organizational Support (X</w:t>
      </w:r>
      <w:r w:rsidRPr="000710D3">
        <w:rPr>
          <w:rFonts w:ascii="Cambria Math" w:hAnsi="Cambria Math" w:cs="Cambria Math"/>
        </w:rPr>
        <w:t>₂</w:t>
      </w:r>
      <w:r w:rsidRPr="000710D3">
        <w:rPr>
          <w:rFonts w:ascii="Arial" w:hAnsi="Arial" w:cs="Arial"/>
        </w:rPr>
        <w:t>*M) → Turnover Intention (Y)</w:t>
      </w:r>
      <w:r>
        <w:rPr>
          <w:rFonts w:ascii="Arial" w:hAnsi="Arial" w:cs="Arial"/>
        </w:rPr>
        <w:t>.</w:t>
      </w:r>
    </w:p>
    <w:p w14:paraId="33264DBA" w14:textId="77777777" w:rsidR="00F90238" w:rsidRDefault="00F90238" w:rsidP="00441B6F">
      <w:pPr>
        <w:pStyle w:val="Head1"/>
        <w:spacing w:after="0"/>
        <w:jc w:val="both"/>
        <w:rPr>
          <w:rFonts w:ascii="Arial" w:hAnsi="Arial" w:cs="Arial"/>
        </w:rPr>
      </w:pPr>
    </w:p>
    <w:p w14:paraId="5F809D0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415FCAC" w14:textId="77777777" w:rsidR="007F6AEF" w:rsidRPr="007F6AEF" w:rsidRDefault="007F6AEF" w:rsidP="007F6AEF">
      <w:pPr>
        <w:pStyle w:val="Body"/>
        <w:rPr>
          <w:rFonts w:ascii="Arial" w:hAnsi="Arial" w:cs="Arial"/>
          <w:b/>
        </w:rPr>
      </w:pPr>
      <w:r w:rsidRPr="007F6AEF">
        <w:rPr>
          <w:rFonts w:ascii="Arial" w:hAnsi="Arial" w:cs="Arial"/>
          <w:b/>
        </w:rPr>
        <w:t>3.1 Results</w:t>
      </w:r>
    </w:p>
    <w:p w14:paraId="3A8B437A" w14:textId="77777777" w:rsidR="007F6AEF" w:rsidRPr="007F6AEF" w:rsidRDefault="007F6AEF" w:rsidP="007F6AEF">
      <w:pPr>
        <w:pStyle w:val="Body"/>
        <w:rPr>
          <w:rFonts w:ascii="Arial" w:hAnsi="Arial" w:cs="Arial"/>
        </w:rPr>
      </w:pPr>
      <w:r w:rsidRPr="007F6AEF">
        <w:rPr>
          <w:rFonts w:ascii="Arial" w:hAnsi="Arial" w:cs="Arial"/>
        </w:rPr>
        <w:lastRenderedPageBreak/>
        <w:t>This study employed both descriptive analysis and Structural Equation Modeling using Partial Least Squares (PLS-SEM). The evaluation followed three main phases: assessment of the measurement model (outer model), validation of the structural model (inner model), and hypothesis testing.</w:t>
      </w:r>
    </w:p>
    <w:p w14:paraId="0BA875DE" w14:textId="77777777" w:rsidR="007F6AEF" w:rsidRPr="007F6AEF" w:rsidRDefault="007F6AEF" w:rsidP="007F6AEF">
      <w:pPr>
        <w:pStyle w:val="Body"/>
        <w:rPr>
          <w:rFonts w:ascii="Arial" w:hAnsi="Arial" w:cs="Arial"/>
        </w:rPr>
      </w:pPr>
      <w:r w:rsidRPr="007F6AEF">
        <w:rPr>
          <w:rFonts w:ascii="Arial" w:hAnsi="Arial" w:cs="Arial"/>
        </w:rPr>
        <w:t>1. Convergent Validity Test</w:t>
      </w:r>
    </w:p>
    <w:p w14:paraId="58BE7141" w14:textId="77777777" w:rsidR="007F6AEF" w:rsidRDefault="007F6AEF" w:rsidP="007F6AEF">
      <w:pPr>
        <w:pStyle w:val="Body"/>
        <w:rPr>
          <w:rFonts w:ascii="Arial" w:hAnsi="Arial" w:cs="Arial"/>
        </w:rPr>
      </w:pPr>
      <w:r w:rsidRPr="007F6AEF">
        <w:rPr>
          <w:rFonts w:ascii="Arial" w:hAnsi="Arial" w:cs="Arial"/>
        </w:rPr>
        <w:t>Convergent validity refers to the degree to which indicators of a construct correlate with the construct itself, typically measured by the loading factor. A loading value is considered high and acceptable when it exceeds 0.70. In early-stage research, a loading factor between 0.50 and 0.60 can still be accepted. If certain items show low validity, it may be due to poorly constructed statements that cause ambiguity. The researcher decided to remove invalid indicators and recalculate the model. The image below presents the recalculated PLS-SEM model:</w:t>
      </w:r>
    </w:p>
    <w:p w14:paraId="1D0BBFE1" w14:textId="77777777" w:rsidR="00AD6909" w:rsidRPr="009819A8" w:rsidRDefault="009819A8" w:rsidP="009819A8">
      <w:pPr>
        <w:pStyle w:val="Body"/>
        <w:jc w:val="center"/>
        <w:rPr>
          <w:rFonts w:ascii="Arial" w:hAnsi="Arial" w:cs="Arial"/>
        </w:rPr>
      </w:pPr>
      <w:r>
        <w:rPr>
          <w:rFonts w:ascii="Arial" w:hAnsi="Arial" w:cs="Arial"/>
          <w:noProof/>
        </w:rPr>
        <w:drawing>
          <wp:inline distT="0" distB="0" distL="0" distR="0" wp14:anchorId="5ECADFAB" wp14:editId="27F39E4E">
            <wp:extent cx="5212080" cy="286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8-02 at 16.24.22.png"/>
                    <pic:cNvPicPr/>
                  </pic:nvPicPr>
                  <pic:blipFill>
                    <a:blip r:embed="rId14" cstate="print">
                      <a:biLevel thresh="75000"/>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5212080" cy="2869565"/>
                    </a:xfrm>
                    <a:prstGeom prst="rect">
                      <a:avLst/>
                    </a:prstGeom>
                  </pic:spPr>
                </pic:pic>
              </a:graphicData>
            </a:graphic>
          </wp:inline>
        </w:drawing>
      </w:r>
      <w:r w:rsidR="007242ED">
        <w:rPr>
          <w:rFonts w:ascii="Arial" w:hAnsi="Arial" w:cs="Arial"/>
          <w:b/>
        </w:rPr>
        <w:t>Picture</w:t>
      </w:r>
      <w:r w:rsidR="00AD6909" w:rsidRPr="00AD6909">
        <w:rPr>
          <w:rFonts w:ascii="Arial" w:hAnsi="Arial" w:cs="Arial"/>
          <w:b/>
        </w:rPr>
        <w:t xml:space="preserve"> </w:t>
      </w:r>
      <w:proofErr w:type="gramStart"/>
      <w:r w:rsidR="00AD6909" w:rsidRPr="00AD6909">
        <w:rPr>
          <w:rFonts w:ascii="Arial" w:hAnsi="Arial" w:cs="Arial"/>
          <w:b/>
        </w:rPr>
        <w:t>1  PLS</w:t>
      </w:r>
      <w:proofErr w:type="gramEnd"/>
      <w:r w:rsidR="007242ED">
        <w:rPr>
          <w:rFonts w:ascii="Arial" w:hAnsi="Arial" w:cs="Arial"/>
          <w:b/>
        </w:rPr>
        <w:t xml:space="preserve"> Model</w:t>
      </w:r>
    </w:p>
    <w:p w14:paraId="66CCD87A" w14:textId="77777777" w:rsidR="007F6AEF" w:rsidRPr="007F6AEF" w:rsidRDefault="007F6AEF" w:rsidP="007F6AEF">
      <w:pPr>
        <w:pStyle w:val="Body"/>
        <w:rPr>
          <w:rFonts w:ascii="Arial" w:hAnsi="Arial" w:cs="Arial"/>
        </w:rPr>
      </w:pPr>
      <w:r w:rsidRPr="007F6AEF">
        <w:rPr>
          <w:rFonts w:ascii="Arial" w:hAnsi="Arial" w:cs="Arial"/>
        </w:rPr>
        <w:t>Based on the recalculated results, all indicator items now have loading factors ≥ 0.7. Additionally, the AVE values in Table 4.9 increased to meet the acceptable threshold of ≥ 0.50 across all variables after removing non-compliant items. Thus, all remaining indicators are deemed valid.</w:t>
      </w:r>
    </w:p>
    <w:p w14:paraId="5B99B3EF" w14:textId="77777777" w:rsidR="007F6AEF" w:rsidRPr="007F6AEF" w:rsidRDefault="007F6AEF" w:rsidP="007F6AEF">
      <w:pPr>
        <w:pStyle w:val="Body"/>
        <w:rPr>
          <w:rFonts w:ascii="Arial" w:hAnsi="Arial" w:cs="Arial"/>
        </w:rPr>
      </w:pPr>
      <w:r w:rsidRPr="007F6AEF">
        <w:rPr>
          <w:rFonts w:ascii="Arial" w:hAnsi="Arial" w:cs="Arial"/>
        </w:rPr>
        <w:t>2. Discriminant Validity Test</w:t>
      </w:r>
    </w:p>
    <w:p w14:paraId="3298BC14" w14:textId="77777777" w:rsidR="007F6AEF" w:rsidRDefault="007F6AEF" w:rsidP="007F6AEF">
      <w:pPr>
        <w:pStyle w:val="Body"/>
        <w:spacing w:after="0"/>
        <w:rPr>
          <w:rFonts w:ascii="Arial" w:hAnsi="Arial" w:cs="Arial"/>
        </w:rPr>
      </w:pPr>
      <w:r w:rsidRPr="007F6AEF">
        <w:rPr>
          <w:rFonts w:ascii="Arial" w:hAnsi="Arial" w:cs="Arial"/>
        </w:rPr>
        <w:t>Discriminant validity was evaluated using the Fornell-Larcker Criterion, which compares the square root of the AVE for each construct with its correlations with other constructs. If the square root of AVE is greater than its correlations with other constructs, the indicators are considered valid in measuring their respective latent variables (Hair et al., 2019).</w:t>
      </w:r>
    </w:p>
    <w:p w14:paraId="28742675" w14:textId="77777777" w:rsidR="00AE0734" w:rsidRDefault="00AE0734" w:rsidP="007F6AEF">
      <w:pPr>
        <w:pStyle w:val="Body"/>
        <w:spacing w:after="0"/>
        <w:rPr>
          <w:rFonts w:ascii="Arial" w:hAnsi="Arial" w:cs="Arial"/>
        </w:rPr>
      </w:pPr>
    </w:p>
    <w:p w14:paraId="0AF40C28" w14:textId="77777777" w:rsidR="00AE0734" w:rsidRDefault="00AE0734" w:rsidP="007F6AEF">
      <w:pPr>
        <w:pStyle w:val="Body"/>
        <w:spacing w:after="0"/>
        <w:rPr>
          <w:rFonts w:ascii="Arial" w:hAnsi="Arial" w:cs="Arial"/>
        </w:rPr>
      </w:pPr>
    </w:p>
    <w:p w14:paraId="4F83101B" w14:textId="77777777" w:rsidR="00AE0734" w:rsidRDefault="00AE0734" w:rsidP="007F6AEF">
      <w:pPr>
        <w:pStyle w:val="Body"/>
        <w:spacing w:after="0"/>
        <w:rPr>
          <w:rFonts w:ascii="Arial" w:hAnsi="Arial" w:cs="Arial"/>
        </w:rPr>
      </w:pPr>
    </w:p>
    <w:p w14:paraId="720DB0C6" w14:textId="77777777" w:rsidR="00AE0734" w:rsidRDefault="00AE0734" w:rsidP="007F6AEF">
      <w:pPr>
        <w:pStyle w:val="Body"/>
        <w:spacing w:after="0"/>
        <w:rPr>
          <w:rFonts w:ascii="Arial" w:hAnsi="Arial" w:cs="Arial"/>
        </w:rPr>
      </w:pPr>
    </w:p>
    <w:p w14:paraId="12439B63" w14:textId="77777777" w:rsidR="00AE0734" w:rsidRDefault="00AE0734" w:rsidP="007F6AEF">
      <w:pPr>
        <w:pStyle w:val="Body"/>
        <w:spacing w:after="0"/>
        <w:rPr>
          <w:rFonts w:ascii="Arial" w:hAnsi="Arial" w:cs="Arial"/>
        </w:rPr>
      </w:pPr>
    </w:p>
    <w:p w14:paraId="46ACD764" w14:textId="77777777" w:rsidR="00AE0734" w:rsidRDefault="00AE0734" w:rsidP="007F6AEF">
      <w:pPr>
        <w:pStyle w:val="Body"/>
        <w:spacing w:after="0"/>
        <w:rPr>
          <w:rFonts w:ascii="Arial" w:hAnsi="Arial" w:cs="Arial"/>
        </w:rPr>
      </w:pPr>
    </w:p>
    <w:p w14:paraId="6FCFFA88" w14:textId="77777777" w:rsidR="00AE0734" w:rsidRDefault="00AE0734" w:rsidP="007F6AEF">
      <w:pPr>
        <w:pStyle w:val="Body"/>
        <w:spacing w:after="0"/>
        <w:rPr>
          <w:rFonts w:ascii="Arial" w:hAnsi="Arial" w:cs="Arial"/>
        </w:rPr>
      </w:pPr>
    </w:p>
    <w:p w14:paraId="18CB2021" w14:textId="77777777" w:rsidR="00AD6909" w:rsidRPr="00AD6909" w:rsidRDefault="00AD6909" w:rsidP="00AD6909">
      <w:pPr>
        <w:pStyle w:val="Body"/>
        <w:spacing w:after="0"/>
        <w:jc w:val="center"/>
        <w:rPr>
          <w:rFonts w:ascii="Arial" w:hAnsi="Arial" w:cs="Arial"/>
          <w:b/>
        </w:rPr>
      </w:pPr>
      <w:r w:rsidRPr="00AD6909">
        <w:rPr>
          <w:rFonts w:ascii="Arial" w:hAnsi="Arial" w:cs="Arial"/>
          <w:b/>
        </w:rPr>
        <w:t>Tab</w:t>
      </w:r>
      <w:r w:rsidR="00EE69CB">
        <w:rPr>
          <w:rFonts w:ascii="Arial" w:hAnsi="Arial" w:cs="Arial"/>
          <w:b/>
        </w:rPr>
        <w:t>le</w:t>
      </w:r>
      <w:r w:rsidRPr="00AD6909">
        <w:rPr>
          <w:rFonts w:ascii="Arial" w:hAnsi="Arial" w:cs="Arial"/>
          <w:b/>
        </w:rPr>
        <w:t xml:space="preserve"> </w:t>
      </w:r>
      <w:r>
        <w:rPr>
          <w:rFonts w:ascii="Arial" w:hAnsi="Arial" w:cs="Arial"/>
          <w:b/>
        </w:rPr>
        <w:t>3</w:t>
      </w:r>
      <w:r w:rsidRPr="00AD6909">
        <w:rPr>
          <w:rFonts w:ascii="Arial" w:hAnsi="Arial" w:cs="Arial"/>
          <w:b/>
        </w:rPr>
        <w:t xml:space="preserve"> Fornell-Larcker Criterion</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81"/>
        <w:gridCol w:w="972"/>
        <w:gridCol w:w="2067"/>
        <w:gridCol w:w="1561"/>
        <w:gridCol w:w="1617"/>
      </w:tblGrid>
      <w:tr w:rsidR="007F6AEF" w:rsidRPr="00AD6909" w14:paraId="18F8F8B2" w14:textId="77777777" w:rsidTr="00AE0734">
        <w:trPr>
          <w:tblHeader/>
          <w:tblCellSpacing w:w="15" w:type="dxa"/>
        </w:trPr>
        <w:tc>
          <w:tcPr>
            <w:tcW w:w="0" w:type="auto"/>
            <w:tcBorders>
              <w:top w:val="nil"/>
              <w:bottom w:val="single" w:sz="4" w:space="0" w:color="auto"/>
            </w:tcBorders>
            <w:vAlign w:val="center"/>
            <w:hideMark/>
          </w:tcPr>
          <w:p w14:paraId="439C5B0B" w14:textId="77777777" w:rsidR="007F6AEF" w:rsidRPr="00AD6909" w:rsidRDefault="007F6AEF" w:rsidP="007F6AEF">
            <w:pPr>
              <w:rPr>
                <w:rFonts w:ascii="Arial" w:hAnsi="Arial" w:cs="Arial"/>
                <w:lang w:val="en-ID"/>
              </w:rPr>
            </w:pPr>
          </w:p>
        </w:tc>
        <w:tc>
          <w:tcPr>
            <w:tcW w:w="0" w:type="auto"/>
            <w:tcBorders>
              <w:top w:val="nil"/>
              <w:bottom w:val="single" w:sz="4" w:space="0" w:color="auto"/>
            </w:tcBorders>
            <w:vAlign w:val="center"/>
            <w:hideMark/>
          </w:tcPr>
          <w:p w14:paraId="605D92A8"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Workload</w:t>
            </w:r>
          </w:p>
        </w:tc>
        <w:tc>
          <w:tcPr>
            <w:tcW w:w="0" w:type="auto"/>
            <w:tcBorders>
              <w:top w:val="nil"/>
              <w:bottom w:val="single" w:sz="4" w:space="0" w:color="auto"/>
            </w:tcBorders>
            <w:vAlign w:val="center"/>
            <w:hideMark/>
          </w:tcPr>
          <w:p w14:paraId="00D012D3"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Organizational Support</w:t>
            </w:r>
          </w:p>
        </w:tc>
        <w:tc>
          <w:tcPr>
            <w:tcW w:w="0" w:type="auto"/>
            <w:tcBorders>
              <w:top w:val="nil"/>
              <w:bottom w:val="single" w:sz="4" w:space="0" w:color="auto"/>
            </w:tcBorders>
            <w:vAlign w:val="center"/>
            <w:hideMark/>
          </w:tcPr>
          <w:p w14:paraId="496EC952"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Work-Life Balance</w:t>
            </w:r>
          </w:p>
        </w:tc>
        <w:tc>
          <w:tcPr>
            <w:tcW w:w="0" w:type="auto"/>
            <w:tcBorders>
              <w:top w:val="nil"/>
              <w:bottom w:val="single" w:sz="4" w:space="0" w:color="auto"/>
            </w:tcBorders>
            <w:vAlign w:val="center"/>
            <w:hideMark/>
          </w:tcPr>
          <w:p w14:paraId="3A2E301F" w14:textId="77777777" w:rsidR="007F6AEF" w:rsidRPr="00AD6909" w:rsidRDefault="007F6AEF" w:rsidP="007F6AEF">
            <w:pPr>
              <w:jc w:val="center"/>
              <w:rPr>
                <w:rFonts w:ascii="Arial" w:hAnsi="Arial" w:cs="Arial"/>
                <w:b/>
                <w:bCs/>
                <w:lang w:val="en-ID"/>
              </w:rPr>
            </w:pPr>
            <w:r w:rsidRPr="00AD6909">
              <w:rPr>
                <w:rFonts w:ascii="Arial" w:hAnsi="Arial" w:cs="Arial"/>
                <w:b/>
                <w:bCs/>
                <w:lang w:val="en-ID"/>
              </w:rPr>
              <w:t>Turnover Intention</w:t>
            </w:r>
          </w:p>
        </w:tc>
      </w:tr>
      <w:tr w:rsidR="007F6AEF" w:rsidRPr="00AD6909" w14:paraId="5949958E" w14:textId="77777777" w:rsidTr="007F6AEF">
        <w:trPr>
          <w:tblCellSpacing w:w="15" w:type="dxa"/>
        </w:trPr>
        <w:tc>
          <w:tcPr>
            <w:tcW w:w="0" w:type="auto"/>
            <w:vAlign w:val="center"/>
            <w:hideMark/>
          </w:tcPr>
          <w:p w14:paraId="22697991" w14:textId="77777777" w:rsidR="007F6AEF" w:rsidRPr="00AD6909" w:rsidRDefault="007F6AEF" w:rsidP="007F6AEF">
            <w:pPr>
              <w:rPr>
                <w:rFonts w:ascii="Arial" w:hAnsi="Arial" w:cs="Arial"/>
                <w:lang w:val="en-ID"/>
              </w:rPr>
            </w:pPr>
            <w:r w:rsidRPr="00AD6909">
              <w:rPr>
                <w:rFonts w:ascii="Arial" w:hAnsi="Arial" w:cs="Arial"/>
                <w:b/>
                <w:bCs/>
                <w:lang w:val="en-ID"/>
              </w:rPr>
              <w:t>Workload</w:t>
            </w:r>
          </w:p>
        </w:tc>
        <w:tc>
          <w:tcPr>
            <w:tcW w:w="0" w:type="auto"/>
            <w:vAlign w:val="center"/>
            <w:hideMark/>
          </w:tcPr>
          <w:p w14:paraId="43696C4B" w14:textId="77777777" w:rsidR="007F6AEF" w:rsidRPr="00AD6909" w:rsidRDefault="007F6AEF" w:rsidP="00AD6909">
            <w:pPr>
              <w:jc w:val="center"/>
              <w:rPr>
                <w:rFonts w:ascii="Arial" w:hAnsi="Arial" w:cs="Arial"/>
                <w:b/>
                <w:lang w:val="en-ID"/>
              </w:rPr>
            </w:pPr>
            <w:r w:rsidRPr="00AD6909">
              <w:rPr>
                <w:rFonts w:ascii="Arial" w:hAnsi="Arial" w:cs="Arial"/>
                <w:b/>
                <w:lang w:val="en-ID"/>
              </w:rPr>
              <w:t>0.749</w:t>
            </w:r>
          </w:p>
        </w:tc>
        <w:tc>
          <w:tcPr>
            <w:tcW w:w="0" w:type="auto"/>
            <w:vAlign w:val="center"/>
            <w:hideMark/>
          </w:tcPr>
          <w:p w14:paraId="3E6C5110" w14:textId="77777777" w:rsidR="007F6AEF" w:rsidRPr="00AD6909" w:rsidRDefault="007F6AEF" w:rsidP="00AD6909">
            <w:pPr>
              <w:jc w:val="center"/>
              <w:rPr>
                <w:rFonts w:ascii="Arial" w:hAnsi="Arial" w:cs="Arial"/>
                <w:lang w:val="en-ID"/>
              </w:rPr>
            </w:pPr>
          </w:p>
        </w:tc>
        <w:tc>
          <w:tcPr>
            <w:tcW w:w="0" w:type="auto"/>
            <w:vAlign w:val="center"/>
            <w:hideMark/>
          </w:tcPr>
          <w:p w14:paraId="5C6EA828" w14:textId="77777777" w:rsidR="007F6AEF" w:rsidRPr="00AD6909" w:rsidRDefault="007F6AEF" w:rsidP="00AD6909">
            <w:pPr>
              <w:jc w:val="center"/>
              <w:rPr>
                <w:rFonts w:ascii="Arial" w:hAnsi="Arial" w:cs="Arial"/>
                <w:lang w:val="en-ID"/>
              </w:rPr>
            </w:pPr>
          </w:p>
        </w:tc>
        <w:tc>
          <w:tcPr>
            <w:tcW w:w="0" w:type="auto"/>
            <w:vAlign w:val="center"/>
            <w:hideMark/>
          </w:tcPr>
          <w:p w14:paraId="1C35DC1A" w14:textId="77777777" w:rsidR="007F6AEF" w:rsidRPr="00AD6909" w:rsidRDefault="007F6AEF" w:rsidP="00AD6909">
            <w:pPr>
              <w:jc w:val="center"/>
              <w:rPr>
                <w:rFonts w:ascii="Arial" w:hAnsi="Arial" w:cs="Arial"/>
                <w:lang w:val="en-ID"/>
              </w:rPr>
            </w:pPr>
          </w:p>
        </w:tc>
      </w:tr>
      <w:tr w:rsidR="007F6AEF" w:rsidRPr="00AD6909" w14:paraId="7DED7586" w14:textId="77777777" w:rsidTr="007F6AEF">
        <w:trPr>
          <w:tblCellSpacing w:w="15" w:type="dxa"/>
        </w:trPr>
        <w:tc>
          <w:tcPr>
            <w:tcW w:w="0" w:type="auto"/>
            <w:vAlign w:val="center"/>
            <w:hideMark/>
          </w:tcPr>
          <w:p w14:paraId="76FB46B1" w14:textId="77777777" w:rsidR="007F6AEF" w:rsidRPr="00AD6909" w:rsidRDefault="007F6AEF" w:rsidP="007F6AEF">
            <w:pPr>
              <w:rPr>
                <w:rFonts w:ascii="Arial" w:hAnsi="Arial" w:cs="Arial"/>
                <w:lang w:val="en-ID"/>
              </w:rPr>
            </w:pPr>
            <w:r w:rsidRPr="00AD6909">
              <w:rPr>
                <w:rFonts w:ascii="Arial" w:hAnsi="Arial" w:cs="Arial"/>
                <w:b/>
                <w:bCs/>
                <w:lang w:val="en-ID"/>
              </w:rPr>
              <w:t>Organizational Support</w:t>
            </w:r>
          </w:p>
        </w:tc>
        <w:tc>
          <w:tcPr>
            <w:tcW w:w="0" w:type="auto"/>
            <w:vAlign w:val="center"/>
            <w:hideMark/>
          </w:tcPr>
          <w:p w14:paraId="20D3F9E6" w14:textId="77777777" w:rsidR="007F6AEF" w:rsidRPr="00AD6909" w:rsidRDefault="007F6AEF" w:rsidP="00AD6909">
            <w:pPr>
              <w:jc w:val="center"/>
              <w:rPr>
                <w:rFonts w:ascii="Arial" w:hAnsi="Arial" w:cs="Arial"/>
                <w:lang w:val="en-ID"/>
              </w:rPr>
            </w:pPr>
            <w:r w:rsidRPr="00AD6909">
              <w:rPr>
                <w:rFonts w:ascii="Arial" w:hAnsi="Arial" w:cs="Arial"/>
                <w:lang w:val="en-ID"/>
              </w:rPr>
              <w:t>0.628</w:t>
            </w:r>
          </w:p>
        </w:tc>
        <w:tc>
          <w:tcPr>
            <w:tcW w:w="0" w:type="auto"/>
            <w:vAlign w:val="center"/>
            <w:hideMark/>
          </w:tcPr>
          <w:p w14:paraId="7F26C14C" w14:textId="77777777" w:rsidR="007F6AEF" w:rsidRPr="00AD6909" w:rsidRDefault="007F6AEF" w:rsidP="00AD6909">
            <w:pPr>
              <w:jc w:val="center"/>
              <w:rPr>
                <w:rFonts w:ascii="Arial" w:hAnsi="Arial" w:cs="Arial"/>
                <w:b/>
                <w:lang w:val="en-ID"/>
              </w:rPr>
            </w:pPr>
            <w:r w:rsidRPr="00AD6909">
              <w:rPr>
                <w:rFonts w:ascii="Arial" w:hAnsi="Arial" w:cs="Arial"/>
                <w:b/>
                <w:lang w:val="en-ID"/>
              </w:rPr>
              <w:t>0.744</w:t>
            </w:r>
          </w:p>
        </w:tc>
        <w:tc>
          <w:tcPr>
            <w:tcW w:w="0" w:type="auto"/>
            <w:vAlign w:val="center"/>
            <w:hideMark/>
          </w:tcPr>
          <w:p w14:paraId="0CD26B29" w14:textId="77777777" w:rsidR="007F6AEF" w:rsidRPr="00AD6909" w:rsidRDefault="007F6AEF" w:rsidP="00AD6909">
            <w:pPr>
              <w:jc w:val="center"/>
              <w:rPr>
                <w:rFonts w:ascii="Arial" w:hAnsi="Arial" w:cs="Arial"/>
                <w:lang w:val="en-ID"/>
              </w:rPr>
            </w:pPr>
          </w:p>
        </w:tc>
        <w:tc>
          <w:tcPr>
            <w:tcW w:w="0" w:type="auto"/>
            <w:vAlign w:val="center"/>
            <w:hideMark/>
          </w:tcPr>
          <w:p w14:paraId="7F65C2C1" w14:textId="77777777" w:rsidR="007F6AEF" w:rsidRPr="00AD6909" w:rsidRDefault="007F6AEF" w:rsidP="00AD6909">
            <w:pPr>
              <w:jc w:val="center"/>
              <w:rPr>
                <w:rFonts w:ascii="Arial" w:hAnsi="Arial" w:cs="Arial"/>
                <w:lang w:val="en-ID"/>
              </w:rPr>
            </w:pPr>
          </w:p>
        </w:tc>
      </w:tr>
      <w:tr w:rsidR="007F6AEF" w:rsidRPr="00AD6909" w14:paraId="401A92B1" w14:textId="77777777" w:rsidTr="007F6AEF">
        <w:trPr>
          <w:tblCellSpacing w:w="15" w:type="dxa"/>
        </w:trPr>
        <w:tc>
          <w:tcPr>
            <w:tcW w:w="0" w:type="auto"/>
            <w:vAlign w:val="center"/>
            <w:hideMark/>
          </w:tcPr>
          <w:p w14:paraId="19C288FF" w14:textId="77777777" w:rsidR="007F6AEF" w:rsidRPr="00AD6909" w:rsidRDefault="007F6AEF" w:rsidP="007F6AEF">
            <w:pPr>
              <w:rPr>
                <w:rFonts w:ascii="Arial" w:hAnsi="Arial" w:cs="Arial"/>
                <w:lang w:val="en-ID"/>
              </w:rPr>
            </w:pPr>
            <w:r w:rsidRPr="00AD6909">
              <w:rPr>
                <w:rFonts w:ascii="Arial" w:hAnsi="Arial" w:cs="Arial"/>
                <w:b/>
                <w:bCs/>
                <w:lang w:val="en-ID"/>
              </w:rPr>
              <w:t>Work-Life Balance</w:t>
            </w:r>
          </w:p>
        </w:tc>
        <w:tc>
          <w:tcPr>
            <w:tcW w:w="0" w:type="auto"/>
            <w:vAlign w:val="center"/>
            <w:hideMark/>
          </w:tcPr>
          <w:p w14:paraId="570E6717" w14:textId="77777777" w:rsidR="007F6AEF" w:rsidRPr="00AD6909" w:rsidRDefault="007F6AEF" w:rsidP="00AD6909">
            <w:pPr>
              <w:jc w:val="center"/>
              <w:rPr>
                <w:rFonts w:ascii="Arial" w:hAnsi="Arial" w:cs="Arial"/>
                <w:lang w:val="en-ID"/>
              </w:rPr>
            </w:pPr>
            <w:r w:rsidRPr="00AD6909">
              <w:rPr>
                <w:rFonts w:ascii="Arial" w:hAnsi="Arial" w:cs="Arial"/>
                <w:lang w:val="en-ID"/>
              </w:rPr>
              <w:t>0.325</w:t>
            </w:r>
          </w:p>
        </w:tc>
        <w:tc>
          <w:tcPr>
            <w:tcW w:w="0" w:type="auto"/>
            <w:vAlign w:val="center"/>
            <w:hideMark/>
          </w:tcPr>
          <w:p w14:paraId="5E95CFFF" w14:textId="77777777" w:rsidR="007F6AEF" w:rsidRPr="00AD6909" w:rsidRDefault="007F6AEF" w:rsidP="00AD6909">
            <w:pPr>
              <w:jc w:val="center"/>
              <w:rPr>
                <w:rFonts w:ascii="Arial" w:hAnsi="Arial" w:cs="Arial"/>
                <w:lang w:val="en-ID"/>
              </w:rPr>
            </w:pPr>
            <w:r w:rsidRPr="00AD6909">
              <w:rPr>
                <w:rFonts w:ascii="Arial" w:hAnsi="Arial" w:cs="Arial"/>
                <w:lang w:val="en-ID"/>
              </w:rPr>
              <w:t>0.411</w:t>
            </w:r>
          </w:p>
        </w:tc>
        <w:tc>
          <w:tcPr>
            <w:tcW w:w="0" w:type="auto"/>
            <w:vAlign w:val="center"/>
            <w:hideMark/>
          </w:tcPr>
          <w:p w14:paraId="34594008" w14:textId="77777777" w:rsidR="007F6AEF" w:rsidRPr="00AD6909" w:rsidRDefault="007F6AEF" w:rsidP="00AD6909">
            <w:pPr>
              <w:jc w:val="center"/>
              <w:rPr>
                <w:rFonts w:ascii="Arial" w:hAnsi="Arial" w:cs="Arial"/>
                <w:b/>
                <w:lang w:val="en-ID"/>
              </w:rPr>
            </w:pPr>
            <w:r w:rsidRPr="00AD6909">
              <w:rPr>
                <w:rFonts w:ascii="Arial" w:hAnsi="Arial" w:cs="Arial"/>
                <w:b/>
                <w:lang w:val="en-ID"/>
              </w:rPr>
              <w:t>0.796</w:t>
            </w:r>
          </w:p>
        </w:tc>
        <w:tc>
          <w:tcPr>
            <w:tcW w:w="0" w:type="auto"/>
            <w:vAlign w:val="center"/>
            <w:hideMark/>
          </w:tcPr>
          <w:p w14:paraId="5EFA36F1" w14:textId="77777777" w:rsidR="007F6AEF" w:rsidRPr="00AD6909" w:rsidRDefault="007F6AEF" w:rsidP="00AD6909">
            <w:pPr>
              <w:jc w:val="center"/>
              <w:rPr>
                <w:rFonts w:ascii="Arial" w:hAnsi="Arial" w:cs="Arial"/>
                <w:lang w:val="en-ID"/>
              </w:rPr>
            </w:pPr>
          </w:p>
        </w:tc>
      </w:tr>
      <w:tr w:rsidR="007F6AEF" w:rsidRPr="00AD6909" w14:paraId="05D5D99B" w14:textId="77777777" w:rsidTr="007F6AEF">
        <w:trPr>
          <w:tblCellSpacing w:w="15" w:type="dxa"/>
        </w:trPr>
        <w:tc>
          <w:tcPr>
            <w:tcW w:w="0" w:type="auto"/>
            <w:vAlign w:val="center"/>
            <w:hideMark/>
          </w:tcPr>
          <w:p w14:paraId="567A73A8" w14:textId="77777777" w:rsidR="007F6AEF" w:rsidRPr="00AD6909" w:rsidRDefault="007F6AEF" w:rsidP="007F6AEF">
            <w:pPr>
              <w:rPr>
                <w:rFonts w:ascii="Arial" w:hAnsi="Arial" w:cs="Arial"/>
                <w:lang w:val="en-ID"/>
              </w:rPr>
            </w:pPr>
            <w:r w:rsidRPr="00AD6909">
              <w:rPr>
                <w:rFonts w:ascii="Arial" w:hAnsi="Arial" w:cs="Arial"/>
                <w:b/>
                <w:bCs/>
                <w:lang w:val="en-ID"/>
              </w:rPr>
              <w:t>Turnover Intention</w:t>
            </w:r>
          </w:p>
        </w:tc>
        <w:tc>
          <w:tcPr>
            <w:tcW w:w="0" w:type="auto"/>
            <w:vAlign w:val="center"/>
            <w:hideMark/>
          </w:tcPr>
          <w:p w14:paraId="32B3C854" w14:textId="77777777" w:rsidR="007F6AEF" w:rsidRPr="00AD6909" w:rsidRDefault="007F6AEF" w:rsidP="00AD6909">
            <w:pPr>
              <w:jc w:val="center"/>
              <w:rPr>
                <w:rFonts w:ascii="Arial" w:hAnsi="Arial" w:cs="Arial"/>
                <w:lang w:val="en-ID"/>
              </w:rPr>
            </w:pPr>
            <w:r w:rsidRPr="00AD6909">
              <w:rPr>
                <w:rFonts w:ascii="Arial" w:hAnsi="Arial" w:cs="Arial"/>
                <w:lang w:val="en-ID"/>
              </w:rPr>
              <w:t>0.434</w:t>
            </w:r>
          </w:p>
        </w:tc>
        <w:tc>
          <w:tcPr>
            <w:tcW w:w="0" w:type="auto"/>
            <w:vAlign w:val="center"/>
            <w:hideMark/>
          </w:tcPr>
          <w:p w14:paraId="3618FF41" w14:textId="77777777" w:rsidR="007F6AEF" w:rsidRPr="00AD6909" w:rsidRDefault="007F6AEF" w:rsidP="00AD6909">
            <w:pPr>
              <w:jc w:val="center"/>
              <w:rPr>
                <w:rFonts w:ascii="Arial" w:hAnsi="Arial" w:cs="Arial"/>
                <w:lang w:val="en-ID"/>
              </w:rPr>
            </w:pPr>
            <w:r w:rsidRPr="00AD6909">
              <w:rPr>
                <w:rFonts w:ascii="Arial" w:hAnsi="Arial" w:cs="Arial"/>
                <w:lang w:val="en-ID"/>
              </w:rPr>
              <w:t>0.689</w:t>
            </w:r>
          </w:p>
        </w:tc>
        <w:tc>
          <w:tcPr>
            <w:tcW w:w="0" w:type="auto"/>
            <w:vAlign w:val="center"/>
            <w:hideMark/>
          </w:tcPr>
          <w:p w14:paraId="7805380D" w14:textId="77777777" w:rsidR="007F6AEF" w:rsidRPr="00AD6909" w:rsidRDefault="007F6AEF" w:rsidP="00AD6909">
            <w:pPr>
              <w:jc w:val="center"/>
              <w:rPr>
                <w:rFonts w:ascii="Arial" w:hAnsi="Arial" w:cs="Arial"/>
                <w:lang w:val="en-ID"/>
              </w:rPr>
            </w:pPr>
            <w:r w:rsidRPr="00AD6909">
              <w:rPr>
                <w:rFonts w:ascii="Arial" w:hAnsi="Arial" w:cs="Arial"/>
                <w:lang w:val="en-ID"/>
              </w:rPr>
              <w:t>0.697</w:t>
            </w:r>
          </w:p>
        </w:tc>
        <w:tc>
          <w:tcPr>
            <w:tcW w:w="0" w:type="auto"/>
            <w:vAlign w:val="center"/>
            <w:hideMark/>
          </w:tcPr>
          <w:p w14:paraId="7B4449F3" w14:textId="77777777" w:rsidR="007F6AEF" w:rsidRPr="00AD6909" w:rsidRDefault="007F6AEF" w:rsidP="00AD6909">
            <w:pPr>
              <w:jc w:val="center"/>
              <w:rPr>
                <w:rFonts w:ascii="Arial" w:hAnsi="Arial" w:cs="Arial"/>
                <w:b/>
                <w:lang w:val="en-ID"/>
              </w:rPr>
            </w:pPr>
            <w:r w:rsidRPr="00AD6909">
              <w:rPr>
                <w:rFonts w:ascii="Arial" w:hAnsi="Arial" w:cs="Arial"/>
                <w:b/>
                <w:lang w:val="en-ID"/>
              </w:rPr>
              <w:t>0.771</w:t>
            </w:r>
          </w:p>
        </w:tc>
      </w:tr>
    </w:tbl>
    <w:p w14:paraId="7809B931" w14:textId="77777777" w:rsidR="007F6AEF" w:rsidRDefault="007F6AEF" w:rsidP="007F6AEF">
      <w:pPr>
        <w:pStyle w:val="Body"/>
        <w:spacing w:after="0"/>
        <w:rPr>
          <w:rFonts w:ascii="Arial" w:hAnsi="Arial" w:cs="Arial"/>
        </w:rPr>
      </w:pPr>
    </w:p>
    <w:p w14:paraId="28127B3F" w14:textId="77777777" w:rsidR="007F6AEF" w:rsidRPr="007F6AEF" w:rsidRDefault="007F6AEF" w:rsidP="007F6AEF">
      <w:pPr>
        <w:pStyle w:val="Body"/>
        <w:rPr>
          <w:rFonts w:ascii="Arial" w:hAnsi="Arial" w:cs="Arial"/>
        </w:rPr>
      </w:pPr>
      <w:r w:rsidRPr="007F6AEF">
        <w:rPr>
          <w:rFonts w:ascii="Arial" w:hAnsi="Arial" w:cs="Arial"/>
        </w:rPr>
        <w:t>The table shows that the square root of the AVE for each variable (Workload, Work-Life Balance, Turnover Intention, and Organizational Support) is greater than its correlation with other variables. This indicates that each indicator can effectively predict the intended latent construct (Hair et al., 2019).</w:t>
      </w:r>
    </w:p>
    <w:p w14:paraId="680EEFD5" w14:textId="77777777" w:rsidR="007F6AEF" w:rsidRPr="007F6AEF" w:rsidRDefault="007F6AEF" w:rsidP="007F6AEF">
      <w:pPr>
        <w:pStyle w:val="Body"/>
        <w:rPr>
          <w:rFonts w:ascii="Arial" w:hAnsi="Arial" w:cs="Arial"/>
        </w:rPr>
      </w:pPr>
      <w:r w:rsidRPr="007F6AEF">
        <w:rPr>
          <w:rFonts w:ascii="Arial" w:hAnsi="Arial" w:cs="Arial"/>
        </w:rPr>
        <w:t>3. Reliability Test</w:t>
      </w:r>
    </w:p>
    <w:p w14:paraId="2013B751" w14:textId="77777777" w:rsidR="007F6AEF" w:rsidRDefault="007F6AEF" w:rsidP="007F6AEF">
      <w:pPr>
        <w:pStyle w:val="Body"/>
        <w:spacing w:after="0"/>
        <w:rPr>
          <w:rFonts w:ascii="Arial" w:hAnsi="Arial" w:cs="Arial"/>
        </w:rPr>
      </w:pPr>
      <w:r w:rsidRPr="007F6AEF">
        <w:rPr>
          <w:rFonts w:ascii="Arial" w:hAnsi="Arial" w:cs="Arial"/>
        </w:rPr>
        <w:t>Reliability was assessed using Cronbach’s Alpha and Composite Reliability. Constructs are considered reliable when Cronbach's Alpha ≥ 0.70. A value of 0.60 is also acceptable as a lower threshold for exploratory research. If the values reach or exceed 0.70, the instrument is considered reliable in measuring the intended variable (Hair et al., 2019).</w:t>
      </w:r>
    </w:p>
    <w:p w14:paraId="2F6C5859" w14:textId="77777777" w:rsidR="007F6AEF" w:rsidRPr="00306AE7" w:rsidRDefault="00306AE7" w:rsidP="0068662C">
      <w:pPr>
        <w:pStyle w:val="Body"/>
        <w:spacing w:after="0"/>
        <w:jc w:val="left"/>
        <w:rPr>
          <w:rFonts w:ascii="Arial" w:hAnsi="Arial" w:cs="Arial"/>
          <w:b/>
        </w:rPr>
      </w:pPr>
      <w:r w:rsidRPr="00306AE7">
        <w:rPr>
          <w:rFonts w:ascii="Arial" w:hAnsi="Arial" w:cs="Arial"/>
          <w:b/>
        </w:rPr>
        <w:t>Table 4 Reliability Test Results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77"/>
        <w:gridCol w:w="1764"/>
        <w:gridCol w:w="2109"/>
      </w:tblGrid>
      <w:tr w:rsidR="007F6AEF" w:rsidRPr="00777F3D" w14:paraId="7F1F7705" w14:textId="77777777" w:rsidTr="00777F3D">
        <w:trPr>
          <w:tblHeader/>
          <w:tblCellSpacing w:w="15" w:type="dxa"/>
        </w:trPr>
        <w:tc>
          <w:tcPr>
            <w:tcW w:w="0" w:type="auto"/>
            <w:tcBorders>
              <w:top w:val="nil"/>
              <w:bottom w:val="single" w:sz="4" w:space="0" w:color="auto"/>
            </w:tcBorders>
            <w:vAlign w:val="center"/>
            <w:hideMark/>
          </w:tcPr>
          <w:p w14:paraId="6A861177" w14:textId="77777777" w:rsidR="007F6AEF" w:rsidRPr="00777F3D" w:rsidRDefault="007F6AEF" w:rsidP="007F6AEF">
            <w:pPr>
              <w:jc w:val="center"/>
              <w:rPr>
                <w:rFonts w:ascii="Arial" w:hAnsi="Arial" w:cs="Arial"/>
                <w:b/>
                <w:bCs/>
                <w:szCs w:val="24"/>
                <w:lang w:val="en-ID"/>
              </w:rPr>
            </w:pPr>
            <w:r w:rsidRPr="00777F3D">
              <w:rPr>
                <w:rFonts w:ascii="Arial" w:hAnsi="Arial" w:cs="Arial"/>
                <w:b/>
                <w:bCs/>
                <w:szCs w:val="24"/>
                <w:lang w:val="en-ID"/>
              </w:rPr>
              <w:t>Variable</w:t>
            </w:r>
          </w:p>
        </w:tc>
        <w:tc>
          <w:tcPr>
            <w:tcW w:w="0" w:type="auto"/>
            <w:tcBorders>
              <w:top w:val="nil"/>
              <w:bottom w:val="single" w:sz="4" w:space="0" w:color="auto"/>
            </w:tcBorders>
            <w:vAlign w:val="center"/>
            <w:hideMark/>
          </w:tcPr>
          <w:p w14:paraId="3458F8D8" w14:textId="77777777" w:rsidR="007F6AEF" w:rsidRPr="00777F3D" w:rsidRDefault="007F6AEF" w:rsidP="007F6AEF">
            <w:pPr>
              <w:jc w:val="center"/>
              <w:rPr>
                <w:rFonts w:ascii="Arial" w:hAnsi="Arial" w:cs="Arial"/>
                <w:b/>
                <w:bCs/>
                <w:szCs w:val="24"/>
                <w:lang w:val="en-ID"/>
              </w:rPr>
            </w:pPr>
            <w:r w:rsidRPr="00777F3D">
              <w:rPr>
                <w:rFonts w:ascii="Arial" w:hAnsi="Arial" w:cs="Arial"/>
                <w:b/>
                <w:bCs/>
                <w:szCs w:val="24"/>
                <w:lang w:val="en-ID"/>
              </w:rPr>
              <w:t>Cronbach's Alpha</w:t>
            </w:r>
          </w:p>
        </w:tc>
        <w:tc>
          <w:tcPr>
            <w:tcW w:w="0" w:type="auto"/>
            <w:tcBorders>
              <w:top w:val="nil"/>
              <w:bottom w:val="single" w:sz="4" w:space="0" w:color="auto"/>
            </w:tcBorders>
            <w:vAlign w:val="center"/>
            <w:hideMark/>
          </w:tcPr>
          <w:p w14:paraId="544F3E8D" w14:textId="77777777" w:rsidR="007F6AEF" w:rsidRPr="00777F3D" w:rsidRDefault="007F6AEF" w:rsidP="007F6AEF">
            <w:pPr>
              <w:jc w:val="center"/>
              <w:rPr>
                <w:rFonts w:ascii="Arial" w:hAnsi="Arial" w:cs="Arial"/>
                <w:b/>
                <w:bCs/>
                <w:szCs w:val="24"/>
                <w:lang w:val="en-ID"/>
              </w:rPr>
            </w:pPr>
            <w:r w:rsidRPr="00777F3D">
              <w:rPr>
                <w:rFonts w:ascii="Arial" w:hAnsi="Arial" w:cs="Arial"/>
                <w:b/>
                <w:bCs/>
                <w:szCs w:val="24"/>
                <w:lang w:val="en-ID"/>
              </w:rPr>
              <w:t>Composite Reliability</w:t>
            </w:r>
          </w:p>
        </w:tc>
      </w:tr>
      <w:tr w:rsidR="007F6AEF" w:rsidRPr="00777F3D" w14:paraId="47CC412F" w14:textId="77777777" w:rsidTr="007F6AEF">
        <w:trPr>
          <w:tblCellSpacing w:w="15" w:type="dxa"/>
        </w:trPr>
        <w:tc>
          <w:tcPr>
            <w:tcW w:w="0" w:type="auto"/>
            <w:vAlign w:val="center"/>
            <w:hideMark/>
          </w:tcPr>
          <w:p w14:paraId="7525E5D0" w14:textId="77777777" w:rsidR="007F6AEF" w:rsidRPr="00777F3D" w:rsidRDefault="007F6AEF" w:rsidP="007F6AEF">
            <w:pPr>
              <w:rPr>
                <w:rFonts w:ascii="Arial" w:hAnsi="Arial" w:cs="Arial"/>
                <w:szCs w:val="24"/>
                <w:lang w:val="en-ID"/>
              </w:rPr>
            </w:pPr>
            <w:r w:rsidRPr="00777F3D">
              <w:rPr>
                <w:rFonts w:ascii="Arial" w:hAnsi="Arial" w:cs="Arial"/>
                <w:szCs w:val="24"/>
                <w:lang w:val="en-ID"/>
              </w:rPr>
              <w:t>Workload (X1)</w:t>
            </w:r>
          </w:p>
        </w:tc>
        <w:tc>
          <w:tcPr>
            <w:tcW w:w="0" w:type="auto"/>
            <w:vAlign w:val="center"/>
            <w:hideMark/>
          </w:tcPr>
          <w:p w14:paraId="49EE4516"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0.610</w:t>
            </w:r>
          </w:p>
        </w:tc>
        <w:tc>
          <w:tcPr>
            <w:tcW w:w="0" w:type="auto"/>
            <w:vAlign w:val="center"/>
            <w:hideMark/>
          </w:tcPr>
          <w:p w14:paraId="54DD45D1"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0.793</w:t>
            </w:r>
          </w:p>
        </w:tc>
      </w:tr>
      <w:tr w:rsidR="007F6AEF" w:rsidRPr="00777F3D" w14:paraId="4C16807D" w14:textId="77777777" w:rsidTr="007F6AEF">
        <w:trPr>
          <w:tblCellSpacing w:w="15" w:type="dxa"/>
        </w:trPr>
        <w:tc>
          <w:tcPr>
            <w:tcW w:w="0" w:type="auto"/>
            <w:vAlign w:val="center"/>
            <w:hideMark/>
          </w:tcPr>
          <w:p w14:paraId="01ED9540" w14:textId="77777777" w:rsidR="007F6AEF" w:rsidRPr="00777F3D" w:rsidRDefault="007F6AEF" w:rsidP="007F6AEF">
            <w:pPr>
              <w:rPr>
                <w:rFonts w:ascii="Arial" w:hAnsi="Arial" w:cs="Arial"/>
                <w:szCs w:val="24"/>
                <w:lang w:val="en-ID"/>
              </w:rPr>
            </w:pPr>
            <w:r w:rsidRPr="00777F3D">
              <w:rPr>
                <w:rFonts w:ascii="Arial" w:hAnsi="Arial" w:cs="Arial"/>
                <w:szCs w:val="24"/>
                <w:lang w:val="en-ID"/>
              </w:rPr>
              <w:t>Organizational Support (M)</w:t>
            </w:r>
          </w:p>
        </w:tc>
        <w:tc>
          <w:tcPr>
            <w:tcW w:w="0" w:type="auto"/>
            <w:vAlign w:val="center"/>
            <w:hideMark/>
          </w:tcPr>
          <w:p w14:paraId="12835E51"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0.742</w:t>
            </w:r>
          </w:p>
        </w:tc>
        <w:tc>
          <w:tcPr>
            <w:tcW w:w="0" w:type="auto"/>
            <w:vAlign w:val="center"/>
            <w:hideMark/>
          </w:tcPr>
          <w:p w14:paraId="54C60765"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0.832</w:t>
            </w:r>
          </w:p>
        </w:tc>
      </w:tr>
      <w:tr w:rsidR="007F6AEF" w:rsidRPr="00777F3D" w14:paraId="55319831" w14:textId="77777777" w:rsidTr="007F6AEF">
        <w:trPr>
          <w:tblCellSpacing w:w="15" w:type="dxa"/>
        </w:trPr>
        <w:tc>
          <w:tcPr>
            <w:tcW w:w="0" w:type="auto"/>
            <w:vAlign w:val="center"/>
            <w:hideMark/>
          </w:tcPr>
          <w:p w14:paraId="164C0A3D" w14:textId="77777777" w:rsidR="007F6AEF" w:rsidRPr="00777F3D" w:rsidRDefault="007F6AEF" w:rsidP="007F6AEF">
            <w:pPr>
              <w:rPr>
                <w:rFonts w:ascii="Arial" w:hAnsi="Arial" w:cs="Arial"/>
                <w:szCs w:val="24"/>
                <w:lang w:val="en-ID"/>
              </w:rPr>
            </w:pPr>
            <w:r w:rsidRPr="00777F3D">
              <w:rPr>
                <w:rFonts w:ascii="Arial" w:hAnsi="Arial" w:cs="Arial"/>
                <w:szCs w:val="24"/>
                <w:lang w:val="en-ID"/>
              </w:rPr>
              <w:t>Work-Life Balance (X2)</w:t>
            </w:r>
          </w:p>
        </w:tc>
        <w:tc>
          <w:tcPr>
            <w:tcW w:w="0" w:type="auto"/>
            <w:vAlign w:val="center"/>
            <w:hideMark/>
          </w:tcPr>
          <w:p w14:paraId="7E317CEE"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0.721</w:t>
            </w:r>
          </w:p>
        </w:tc>
        <w:tc>
          <w:tcPr>
            <w:tcW w:w="0" w:type="auto"/>
            <w:vAlign w:val="center"/>
            <w:hideMark/>
          </w:tcPr>
          <w:p w14:paraId="4B92AE32"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0.838</w:t>
            </w:r>
          </w:p>
        </w:tc>
      </w:tr>
      <w:tr w:rsidR="007F6AEF" w:rsidRPr="00777F3D" w14:paraId="7BFE0EB2" w14:textId="77777777" w:rsidTr="007F6AEF">
        <w:trPr>
          <w:tblCellSpacing w:w="15" w:type="dxa"/>
        </w:trPr>
        <w:tc>
          <w:tcPr>
            <w:tcW w:w="0" w:type="auto"/>
            <w:vAlign w:val="center"/>
            <w:hideMark/>
          </w:tcPr>
          <w:p w14:paraId="6AA87C72" w14:textId="77777777" w:rsidR="007F6AEF" w:rsidRPr="00777F3D" w:rsidRDefault="007F6AEF" w:rsidP="007F6AEF">
            <w:pPr>
              <w:rPr>
                <w:rFonts w:ascii="Arial" w:hAnsi="Arial" w:cs="Arial"/>
                <w:szCs w:val="24"/>
                <w:lang w:val="en-ID"/>
              </w:rPr>
            </w:pPr>
            <w:r w:rsidRPr="00777F3D">
              <w:rPr>
                <w:rFonts w:ascii="Arial" w:hAnsi="Arial" w:cs="Arial"/>
                <w:szCs w:val="24"/>
                <w:lang w:val="en-ID"/>
              </w:rPr>
              <w:t>Turnover Intention (Y)</w:t>
            </w:r>
          </w:p>
        </w:tc>
        <w:tc>
          <w:tcPr>
            <w:tcW w:w="0" w:type="auto"/>
            <w:vAlign w:val="center"/>
            <w:hideMark/>
          </w:tcPr>
          <w:p w14:paraId="5CBB09CA"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0.658</w:t>
            </w:r>
          </w:p>
        </w:tc>
        <w:tc>
          <w:tcPr>
            <w:tcW w:w="0" w:type="auto"/>
            <w:vAlign w:val="center"/>
            <w:hideMark/>
          </w:tcPr>
          <w:p w14:paraId="0E736533" w14:textId="77777777" w:rsidR="007F6AEF" w:rsidRPr="00777F3D" w:rsidRDefault="007F6AEF" w:rsidP="00777F3D">
            <w:pPr>
              <w:jc w:val="center"/>
              <w:rPr>
                <w:rFonts w:ascii="Arial" w:hAnsi="Arial" w:cs="Arial"/>
                <w:szCs w:val="24"/>
                <w:lang w:val="en-ID"/>
              </w:rPr>
            </w:pPr>
            <w:r w:rsidRPr="00777F3D">
              <w:rPr>
                <w:rFonts w:ascii="Arial" w:hAnsi="Arial" w:cs="Arial"/>
                <w:szCs w:val="24"/>
                <w:lang w:val="en-ID"/>
              </w:rPr>
              <w:t>0.814</w:t>
            </w:r>
          </w:p>
        </w:tc>
      </w:tr>
    </w:tbl>
    <w:p w14:paraId="5C86B334" w14:textId="77777777" w:rsidR="007F6AEF" w:rsidRDefault="007F6AEF" w:rsidP="00441B6F">
      <w:pPr>
        <w:pStyle w:val="Body"/>
        <w:spacing w:after="0"/>
        <w:rPr>
          <w:rFonts w:ascii="Arial" w:hAnsi="Arial" w:cs="Arial"/>
        </w:rPr>
      </w:pPr>
    </w:p>
    <w:p w14:paraId="3695CB80" w14:textId="77777777" w:rsidR="007F6AEF" w:rsidRPr="007F6AEF" w:rsidRDefault="007F6AEF" w:rsidP="007F6AEF">
      <w:pPr>
        <w:pStyle w:val="Body"/>
        <w:rPr>
          <w:rFonts w:ascii="Arial" w:hAnsi="Arial" w:cs="Arial"/>
        </w:rPr>
      </w:pPr>
      <w:r w:rsidRPr="007F6AEF">
        <w:rPr>
          <w:rFonts w:ascii="Arial" w:hAnsi="Arial" w:cs="Arial"/>
        </w:rPr>
        <w:t>As shown, all variables have composite reliability values exceeding 0.70, indicating that the constructs are reliable. Additionally, Cronbach’s Alpha values for each latent variable are all above 0.60, confirming acceptable internal consistency.</w:t>
      </w:r>
    </w:p>
    <w:p w14:paraId="2BACBFC6" w14:textId="77777777" w:rsidR="007F6AEF" w:rsidRPr="007F6AEF" w:rsidRDefault="007F6AEF" w:rsidP="007F6AEF">
      <w:pPr>
        <w:pStyle w:val="Body"/>
        <w:rPr>
          <w:rFonts w:ascii="Arial" w:hAnsi="Arial" w:cs="Arial"/>
        </w:rPr>
      </w:pPr>
      <w:r w:rsidRPr="007F6AEF">
        <w:rPr>
          <w:rFonts w:ascii="Arial" w:hAnsi="Arial" w:cs="Arial"/>
        </w:rPr>
        <w:t>4. Coefficient of Determination (R²)</w:t>
      </w:r>
    </w:p>
    <w:p w14:paraId="1D45D357" w14:textId="77777777" w:rsidR="007F6AEF" w:rsidRDefault="007F6AEF" w:rsidP="007F6AEF">
      <w:pPr>
        <w:pStyle w:val="Body"/>
        <w:spacing w:after="0"/>
        <w:rPr>
          <w:rFonts w:ascii="Arial" w:hAnsi="Arial" w:cs="Arial"/>
        </w:rPr>
      </w:pPr>
      <w:r w:rsidRPr="007F6AEF">
        <w:rPr>
          <w:rFonts w:ascii="Arial" w:hAnsi="Arial" w:cs="Arial"/>
        </w:rPr>
        <w:t>PLS evaluates the inner model using the R² value, which indicates the proportion of variance in the dependent variable explained by the independent variables. According to Hair, R² values of 0.75, 0.50, and 0.25 represent substantial, moderate, and weak explanatory power, respectively.</w:t>
      </w:r>
    </w:p>
    <w:p w14:paraId="1AC9843A" w14:textId="77777777" w:rsidR="007F6AEF" w:rsidRPr="0068662C" w:rsidRDefault="0068662C" w:rsidP="0068662C">
      <w:pPr>
        <w:pStyle w:val="Body"/>
        <w:spacing w:after="0"/>
        <w:jc w:val="left"/>
        <w:rPr>
          <w:rFonts w:ascii="Arial" w:hAnsi="Arial" w:cs="Arial"/>
          <w:b/>
        </w:rPr>
      </w:pPr>
      <w:r w:rsidRPr="0068662C">
        <w:rPr>
          <w:rFonts w:ascii="Arial" w:hAnsi="Arial" w:cs="Arial"/>
          <w:b/>
        </w:rPr>
        <w:t>Table 5 R-Square values</w:t>
      </w:r>
      <w:r>
        <w:rPr>
          <w:rFonts w:ascii="Arial" w:hAnsi="Arial" w:cs="Arial"/>
          <w:b/>
        </w:rPr>
        <w:t xml:space="preserve"> (R</w:t>
      </w:r>
      <w:r w:rsidRPr="0068662C">
        <w:rPr>
          <w:rFonts w:ascii="Arial" w:hAnsi="Arial" w:cs="Arial"/>
          <w:b/>
          <w:vertAlign w:val="superscript"/>
        </w:rPr>
        <w:t>2</w:t>
      </w:r>
      <w:r>
        <w:rPr>
          <w:rFonts w:ascii="Arial" w:hAnsi="Arial" w:cs="Arial"/>
          <w:b/>
        </w:rPr>
        <w: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99"/>
        <w:gridCol w:w="561"/>
        <w:gridCol w:w="1198"/>
      </w:tblGrid>
      <w:tr w:rsidR="007F6AEF" w:rsidRPr="0068662C" w14:paraId="26AC6038" w14:textId="77777777" w:rsidTr="0068662C">
        <w:trPr>
          <w:tblHeader/>
          <w:tblCellSpacing w:w="15" w:type="dxa"/>
        </w:trPr>
        <w:tc>
          <w:tcPr>
            <w:tcW w:w="0" w:type="auto"/>
            <w:tcBorders>
              <w:top w:val="nil"/>
              <w:bottom w:val="single" w:sz="4" w:space="0" w:color="auto"/>
            </w:tcBorders>
            <w:vAlign w:val="center"/>
            <w:hideMark/>
          </w:tcPr>
          <w:p w14:paraId="3FE273D2"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Variable</w:t>
            </w:r>
          </w:p>
        </w:tc>
        <w:tc>
          <w:tcPr>
            <w:tcW w:w="0" w:type="auto"/>
            <w:tcBorders>
              <w:top w:val="nil"/>
              <w:bottom w:val="single" w:sz="4" w:space="0" w:color="auto"/>
            </w:tcBorders>
            <w:vAlign w:val="center"/>
            <w:hideMark/>
          </w:tcPr>
          <w:p w14:paraId="6D821574"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R²</w:t>
            </w:r>
          </w:p>
        </w:tc>
        <w:tc>
          <w:tcPr>
            <w:tcW w:w="0" w:type="auto"/>
            <w:tcBorders>
              <w:top w:val="nil"/>
              <w:bottom w:val="single" w:sz="4" w:space="0" w:color="auto"/>
            </w:tcBorders>
            <w:vAlign w:val="center"/>
            <w:hideMark/>
          </w:tcPr>
          <w:p w14:paraId="327DFF00"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Adjusted R²</w:t>
            </w:r>
          </w:p>
        </w:tc>
      </w:tr>
      <w:tr w:rsidR="007F6AEF" w:rsidRPr="0068662C" w14:paraId="63BF5C44" w14:textId="77777777" w:rsidTr="007F6AEF">
        <w:trPr>
          <w:tblCellSpacing w:w="15" w:type="dxa"/>
        </w:trPr>
        <w:tc>
          <w:tcPr>
            <w:tcW w:w="0" w:type="auto"/>
            <w:vAlign w:val="center"/>
            <w:hideMark/>
          </w:tcPr>
          <w:p w14:paraId="3DF4072E" w14:textId="77777777" w:rsidR="007F6AEF" w:rsidRPr="0068662C" w:rsidRDefault="007F6AEF" w:rsidP="007F6AEF">
            <w:pPr>
              <w:rPr>
                <w:rFonts w:ascii="Arial" w:hAnsi="Arial" w:cs="Arial"/>
                <w:lang w:val="en-ID"/>
              </w:rPr>
            </w:pPr>
            <w:r w:rsidRPr="0068662C">
              <w:rPr>
                <w:rFonts w:ascii="Arial" w:hAnsi="Arial" w:cs="Arial"/>
                <w:lang w:val="en-ID"/>
              </w:rPr>
              <w:t>Turnover Intention</w:t>
            </w:r>
          </w:p>
        </w:tc>
        <w:tc>
          <w:tcPr>
            <w:tcW w:w="0" w:type="auto"/>
            <w:vAlign w:val="center"/>
            <w:hideMark/>
          </w:tcPr>
          <w:p w14:paraId="55C44A73" w14:textId="77777777" w:rsidR="007F6AEF" w:rsidRPr="0068662C" w:rsidRDefault="007F6AEF" w:rsidP="007F6AEF">
            <w:pPr>
              <w:rPr>
                <w:rFonts w:ascii="Arial" w:hAnsi="Arial" w:cs="Arial"/>
                <w:lang w:val="en-ID"/>
              </w:rPr>
            </w:pPr>
            <w:r w:rsidRPr="0068662C">
              <w:rPr>
                <w:rFonts w:ascii="Arial" w:hAnsi="Arial" w:cs="Arial"/>
                <w:lang w:val="en-ID"/>
              </w:rPr>
              <w:t>0.718</w:t>
            </w:r>
          </w:p>
        </w:tc>
        <w:tc>
          <w:tcPr>
            <w:tcW w:w="0" w:type="auto"/>
            <w:vAlign w:val="center"/>
            <w:hideMark/>
          </w:tcPr>
          <w:p w14:paraId="6668F657" w14:textId="77777777" w:rsidR="007F6AEF" w:rsidRPr="0068662C" w:rsidRDefault="007F6AEF" w:rsidP="007F6AEF">
            <w:pPr>
              <w:rPr>
                <w:rFonts w:ascii="Arial" w:hAnsi="Arial" w:cs="Arial"/>
                <w:lang w:val="en-ID"/>
              </w:rPr>
            </w:pPr>
            <w:r w:rsidRPr="0068662C">
              <w:rPr>
                <w:rFonts w:ascii="Arial" w:hAnsi="Arial" w:cs="Arial"/>
                <w:lang w:val="en-ID"/>
              </w:rPr>
              <w:t>0.706</w:t>
            </w:r>
          </w:p>
        </w:tc>
      </w:tr>
    </w:tbl>
    <w:p w14:paraId="3F4395CA" w14:textId="77777777" w:rsidR="007F6AEF" w:rsidRDefault="007F6AEF" w:rsidP="007F6AEF">
      <w:pPr>
        <w:pStyle w:val="Body"/>
        <w:spacing w:after="0"/>
        <w:rPr>
          <w:rFonts w:ascii="Arial" w:hAnsi="Arial" w:cs="Arial"/>
        </w:rPr>
      </w:pPr>
    </w:p>
    <w:p w14:paraId="1ED62E3E" w14:textId="77777777" w:rsidR="007F6AEF" w:rsidRPr="007F6AEF" w:rsidRDefault="007F6AEF" w:rsidP="007F6AEF">
      <w:pPr>
        <w:pStyle w:val="Body"/>
        <w:rPr>
          <w:rFonts w:ascii="Arial" w:hAnsi="Arial" w:cs="Arial"/>
        </w:rPr>
      </w:pPr>
      <w:r w:rsidRPr="007F6AEF">
        <w:rPr>
          <w:rFonts w:ascii="Arial" w:hAnsi="Arial" w:cs="Arial"/>
        </w:rPr>
        <w:t>The R² value indicates that Workload and Work-Life Balance together explain 71.8% of the variance in Turnover Intention, with the remaining 28.2% influenced by other variables not included in this study. Thus, the model has a moderate to substantial explanatory power.</w:t>
      </w:r>
    </w:p>
    <w:p w14:paraId="19B8BB6B" w14:textId="77777777" w:rsidR="007F6AEF" w:rsidRPr="007F6AEF" w:rsidRDefault="007F6AEF" w:rsidP="007F6AEF">
      <w:pPr>
        <w:pStyle w:val="Body"/>
        <w:rPr>
          <w:rFonts w:ascii="Arial" w:hAnsi="Arial" w:cs="Arial"/>
        </w:rPr>
      </w:pPr>
      <w:r w:rsidRPr="007F6AEF">
        <w:rPr>
          <w:rFonts w:ascii="Arial" w:hAnsi="Arial" w:cs="Arial"/>
        </w:rPr>
        <w:t>5. Path Coefficients (β) and Significance Testing</w:t>
      </w:r>
    </w:p>
    <w:p w14:paraId="5EFAC8DE" w14:textId="77777777" w:rsidR="007F6AEF" w:rsidRDefault="007F6AEF" w:rsidP="007F6AEF">
      <w:pPr>
        <w:pStyle w:val="Body"/>
        <w:spacing w:after="0"/>
        <w:rPr>
          <w:rFonts w:ascii="Arial" w:hAnsi="Arial" w:cs="Arial"/>
        </w:rPr>
      </w:pPr>
      <w:r w:rsidRPr="007F6AEF">
        <w:rPr>
          <w:rFonts w:ascii="Arial" w:hAnsi="Arial" w:cs="Arial"/>
        </w:rPr>
        <w:lastRenderedPageBreak/>
        <w:t>Path coefficient testing aims to determine the significance of relationships between variables. A p-value &lt; 0.05 indicates a statistically significant relationship. Bootstrapping in PLS-SEM produced the following results:</w:t>
      </w:r>
    </w:p>
    <w:p w14:paraId="55F8D40C" w14:textId="77777777" w:rsidR="0068662C" w:rsidRPr="0068662C" w:rsidRDefault="0068662C" w:rsidP="0068662C">
      <w:pPr>
        <w:pStyle w:val="Body"/>
        <w:spacing w:after="0"/>
        <w:jc w:val="center"/>
        <w:rPr>
          <w:rFonts w:ascii="Arial" w:hAnsi="Arial" w:cs="Arial"/>
          <w:b/>
        </w:rPr>
      </w:pPr>
      <w:r>
        <w:rPr>
          <w:rFonts w:ascii="Arial" w:hAnsi="Arial" w:cs="Arial"/>
          <w:b/>
        </w:rPr>
        <w:t xml:space="preserve">Table 6 </w:t>
      </w:r>
      <w:proofErr w:type="spellStart"/>
      <w:r w:rsidRPr="0068662C">
        <w:rPr>
          <w:rFonts w:ascii="Arial" w:hAnsi="Arial" w:cs="Arial"/>
          <w:b/>
        </w:rPr>
        <w:t>Bootsrapping</w:t>
      </w:r>
      <w:proofErr w:type="spellEnd"/>
      <w:r>
        <w:rPr>
          <w:rFonts w:ascii="Arial" w:hAnsi="Arial" w:cs="Arial"/>
          <w:b/>
        </w:rPr>
        <w:t xml:space="preserve"> Test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654"/>
        <w:gridCol w:w="1526"/>
        <w:gridCol w:w="1071"/>
        <w:gridCol w:w="722"/>
        <w:gridCol w:w="1325"/>
      </w:tblGrid>
      <w:tr w:rsidR="007F6AEF" w:rsidRPr="0068662C" w14:paraId="74BA1298" w14:textId="77777777" w:rsidTr="0068662C">
        <w:trPr>
          <w:tblHeader/>
          <w:tblCellSpacing w:w="15" w:type="dxa"/>
        </w:trPr>
        <w:tc>
          <w:tcPr>
            <w:tcW w:w="0" w:type="auto"/>
            <w:tcBorders>
              <w:top w:val="nil"/>
              <w:bottom w:val="single" w:sz="4" w:space="0" w:color="auto"/>
            </w:tcBorders>
            <w:vAlign w:val="center"/>
            <w:hideMark/>
          </w:tcPr>
          <w:p w14:paraId="45EBC3AD"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Relationship</w:t>
            </w:r>
          </w:p>
        </w:tc>
        <w:tc>
          <w:tcPr>
            <w:tcW w:w="0" w:type="auto"/>
            <w:tcBorders>
              <w:top w:val="nil"/>
              <w:bottom w:val="single" w:sz="4" w:space="0" w:color="auto"/>
            </w:tcBorders>
            <w:vAlign w:val="center"/>
            <w:hideMark/>
          </w:tcPr>
          <w:p w14:paraId="00BE8C3C"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Original Sample (O)</w:t>
            </w:r>
          </w:p>
        </w:tc>
        <w:tc>
          <w:tcPr>
            <w:tcW w:w="0" w:type="auto"/>
            <w:tcBorders>
              <w:top w:val="nil"/>
              <w:bottom w:val="single" w:sz="4" w:space="0" w:color="auto"/>
            </w:tcBorders>
            <w:vAlign w:val="center"/>
            <w:hideMark/>
          </w:tcPr>
          <w:p w14:paraId="291678BE"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T-Statistics</w:t>
            </w:r>
          </w:p>
        </w:tc>
        <w:tc>
          <w:tcPr>
            <w:tcW w:w="0" w:type="auto"/>
            <w:tcBorders>
              <w:top w:val="nil"/>
              <w:bottom w:val="single" w:sz="4" w:space="0" w:color="auto"/>
            </w:tcBorders>
            <w:vAlign w:val="center"/>
            <w:hideMark/>
          </w:tcPr>
          <w:p w14:paraId="5E22EB89"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P-Value</w:t>
            </w:r>
          </w:p>
        </w:tc>
        <w:tc>
          <w:tcPr>
            <w:tcW w:w="0" w:type="auto"/>
            <w:tcBorders>
              <w:top w:val="nil"/>
              <w:bottom w:val="single" w:sz="4" w:space="0" w:color="auto"/>
            </w:tcBorders>
            <w:vAlign w:val="center"/>
            <w:hideMark/>
          </w:tcPr>
          <w:p w14:paraId="7CB2DC4B" w14:textId="77777777" w:rsidR="007F6AEF" w:rsidRPr="0068662C" w:rsidRDefault="007F6AEF" w:rsidP="007F6AEF">
            <w:pPr>
              <w:jc w:val="center"/>
              <w:rPr>
                <w:rFonts w:ascii="Arial" w:hAnsi="Arial" w:cs="Arial"/>
                <w:b/>
                <w:bCs/>
                <w:szCs w:val="24"/>
                <w:lang w:val="en-ID"/>
              </w:rPr>
            </w:pPr>
            <w:r w:rsidRPr="0068662C">
              <w:rPr>
                <w:rFonts w:ascii="Arial" w:hAnsi="Arial" w:cs="Arial"/>
                <w:b/>
                <w:bCs/>
                <w:szCs w:val="24"/>
                <w:lang w:val="en-ID"/>
              </w:rPr>
              <w:t>Significance</w:t>
            </w:r>
          </w:p>
        </w:tc>
      </w:tr>
      <w:tr w:rsidR="007F6AEF" w:rsidRPr="0068662C" w14:paraId="7421F28C" w14:textId="77777777" w:rsidTr="007F6AEF">
        <w:trPr>
          <w:tblCellSpacing w:w="15" w:type="dxa"/>
        </w:trPr>
        <w:tc>
          <w:tcPr>
            <w:tcW w:w="0" w:type="auto"/>
            <w:vAlign w:val="center"/>
            <w:hideMark/>
          </w:tcPr>
          <w:p w14:paraId="21683A0C" w14:textId="77777777" w:rsidR="007F6AEF" w:rsidRPr="0068662C" w:rsidRDefault="007F6AEF" w:rsidP="007F6AEF">
            <w:pPr>
              <w:rPr>
                <w:rFonts w:ascii="Arial" w:hAnsi="Arial" w:cs="Arial"/>
                <w:szCs w:val="24"/>
                <w:lang w:val="en-ID"/>
              </w:rPr>
            </w:pPr>
            <w:r w:rsidRPr="0068662C">
              <w:rPr>
                <w:rFonts w:ascii="Arial" w:hAnsi="Arial" w:cs="Arial"/>
                <w:szCs w:val="24"/>
                <w:lang w:val="en-ID"/>
              </w:rPr>
              <w:t>Workload → Turnover Intention</w:t>
            </w:r>
          </w:p>
        </w:tc>
        <w:tc>
          <w:tcPr>
            <w:tcW w:w="0" w:type="auto"/>
            <w:vAlign w:val="center"/>
            <w:hideMark/>
          </w:tcPr>
          <w:p w14:paraId="36879655"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-0.116</w:t>
            </w:r>
          </w:p>
        </w:tc>
        <w:tc>
          <w:tcPr>
            <w:tcW w:w="0" w:type="auto"/>
            <w:vAlign w:val="center"/>
            <w:hideMark/>
          </w:tcPr>
          <w:p w14:paraId="0A9F08A8"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1.750</w:t>
            </w:r>
          </w:p>
        </w:tc>
        <w:tc>
          <w:tcPr>
            <w:tcW w:w="0" w:type="auto"/>
            <w:vAlign w:val="center"/>
            <w:hideMark/>
          </w:tcPr>
          <w:p w14:paraId="121BDD57"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0.080</w:t>
            </w:r>
          </w:p>
        </w:tc>
        <w:tc>
          <w:tcPr>
            <w:tcW w:w="0" w:type="auto"/>
            <w:vAlign w:val="center"/>
            <w:hideMark/>
          </w:tcPr>
          <w:p w14:paraId="520710F2" w14:textId="77777777" w:rsidR="007F6AEF" w:rsidRPr="0068662C" w:rsidRDefault="007F6AEF" w:rsidP="000F581B">
            <w:pPr>
              <w:rPr>
                <w:rFonts w:ascii="Arial" w:hAnsi="Arial" w:cs="Arial"/>
                <w:szCs w:val="24"/>
                <w:lang w:val="en-ID"/>
              </w:rPr>
            </w:pPr>
            <w:r w:rsidRPr="0068662C">
              <w:rPr>
                <w:rFonts w:ascii="Arial" w:hAnsi="Arial" w:cs="Arial"/>
                <w:szCs w:val="24"/>
                <w:lang w:val="en-ID"/>
              </w:rPr>
              <w:t>Not Significant</w:t>
            </w:r>
          </w:p>
        </w:tc>
      </w:tr>
      <w:tr w:rsidR="007F6AEF" w:rsidRPr="0068662C" w14:paraId="3809A897" w14:textId="77777777" w:rsidTr="007F6AEF">
        <w:trPr>
          <w:tblCellSpacing w:w="15" w:type="dxa"/>
        </w:trPr>
        <w:tc>
          <w:tcPr>
            <w:tcW w:w="0" w:type="auto"/>
            <w:vAlign w:val="center"/>
            <w:hideMark/>
          </w:tcPr>
          <w:p w14:paraId="5562CE82" w14:textId="77777777" w:rsidR="007F6AEF" w:rsidRPr="0068662C" w:rsidRDefault="007F6AEF" w:rsidP="007F6AEF">
            <w:pPr>
              <w:rPr>
                <w:rFonts w:ascii="Arial" w:hAnsi="Arial" w:cs="Arial"/>
                <w:szCs w:val="24"/>
                <w:lang w:val="en-ID"/>
              </w:rPr>
            </w:pPr>
            <w:r w:rsidRPr="0068662C">
              <w:rPr>
                <w:rFonts w:ascii="Arial" w:hAnsi="Arial" w:cs="Arial"/>
                <w:szCs w:val="24"/>
                <w:lang w:val="en-ID"/>
              </w:rPr>
              <w:t>Work-Life Balance → Turnover Intention</w:t>
            </w:r>
          </w:p>
        </w:tc>
        <w:tc>
          <w:tcPr>
            <w:tcW w:w="0" w:type="auto"/>
            <w:vAlign w:val="center"/>
            <w:hideMark/>
          </w:tcPr>
          <w:p w14:paraId="4A992F90"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0.490</w:t>
            </w:r>
          </w:p>
        </w:tc>
        <w:tc>
          <w:tcPr>
            <w:tcW w:w="0" w:type="auto"/>
            <w:vAlign w:val="center"/>
            <w:hideMark/>
          </w:tcPr>
          <w:p w14:paraId="71C27516"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4.925</w:t>
            </w:r>
          </w:p>
        </w:tc>
        <w:tc>
          <w:tcPr>
            <w:tcW w:w="0" w:type="auto"/>
            <w:vAlign w:val="center"/>
            <w:hideMark/>
          </w:tcPr>
          <w:p w14:paraId="4C12BBA9"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0.000</w:t>
            </w:r>
          </w:p>
        </w:tc>
        <w:tc>
          <w:tcPr>
            <w:tcW w:w="0" w:type="auto"/>
            <w:vAlign w:val="center"/>
            <w:hideMark/>
          </w:tcPr>
          <w:p w14:paraId="05B6272D" w14:textId="77777777" w:rsidR="007F6AEF" w:rsidRPr="0068662C" w:rsidRDefault="007F6AEF" w:rsidP="000F581B">
            <w:pPr>
              <w:rPr>
                <w:rFonts w:ascii="Arial" w:hAnsi="Arial" w:cs="Arial"/>
                <w:szCs w:val="24"/>
                <w:lang w:val="en-ID"/>
              </w:rPr>
            </w:pPr>
            <w:r w:rsidRPr="0068662C">
              <w:rPr>
                <w:rFonts w:ascii="Arial" w:hAnsi="Arial" w:cs="Arial"/>
                <w:szCs w:val="24"/>
                <w:lang w:val="en-ID"/>
              </w:rPr>
              <w:t>Significant</w:t>
            </w:r>
          </w:p>
        </w:tc>
      </w:tr>
      <w:tr w:rsidR="007F6AEF" w:rsidRPr="0068662C" w14:paraId="0D87A11B" w14:textId="77777777" w:rsidTr="007F6AEF">
        <w:trPr>
          <w:tblCellSpacing w:w="15" w:type="dxa"/>
        </w:trPr>
        <w:tc>
          <w:tcPr>
            <w:tcW w:w="0" w:type="auto"/>
            <w:vAlign w:val="center"/>
            <w:hideMark/>
          </w:tcPr>
          <w:p w14:paraId="65956805" w14:textId="77777777" w:rsidR="007F6AEF" w:rsidRPr="0068662C" w:rsidRDefault="007F6AEF" w:rsidP="007F6AEF">
            <w:pPr>
              <w:rPr>
                <w:rFonts w:ascii="Arial" w:hAnsi="Arial" w:cs="Arial"/>
                <w:szCs w:val="24"/>
                <w:lang w:val="en-ID"/>
              </w:rPr>
            </w:pPr>
            <w:r w:rsidRPr="0068662C">
              <w:rPr>
                <w:rFonts w:ascii="Arial" w:hAnsi="Arial" w:cs="Arial"/>
                <w:szCs w:val="24"/>
                <w:lang w:val="en-ID"/>
              </w:rPr>
              <w:t>Org. Support x Workload → Turnover Intention</w:t>
            </w:r>
          </w:p>
        </w:tc>
        <w:tc>
          <w:tcPr>
            <w:tcW w:w="0" w:type="auto"/>
            <w:vAlign w:val="center"/>
            <w:hideMark/>
          </w:tcPr>
          <w:p w14:paraId="2FC46661"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0.093</w:t>
            </w:r>
          </w:p>
        </w:tc>
        <w:tc>
          <w:tcPr>
            <w:tcW w:w="0" w:type="auto"/>
            <w:vAlign w:val="center"/>
            <w:hideMark/>
          </w:tcPr>
          <w:p w14:paraId="1C98538F"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0.964</w:t>
            </w:r>
          </w:p>
        </w:tc>
        <w:tc>
          <w:tcPr>
            <w:tcW w:w="0" w:type="auto"/>
            <w:vAlign w:val="center"/>
            <w:hideMark/>
          </w:tcPr>
          <w:p w14:paraId="1ACA50E5"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0.335</w:t>
            </w:r>
          </w:p>
        </w:tc>
        <w:tc>
          <w:tcPr>
            <w:tcW w:w="0" w:type="auto"/>
            <w:vAlign w:val="center"/>
            <w:hideMark/>
          </w:tcPr>
          <w:p w14:paraId="5E8E20A7" w14:textId="77777777" w:rsidR="007F6AEF" w:rsidRPr="0068662C" w:rsidRDefault="007F6AEF" w:rsidP="000F581B">
            <w:pPr>
              <w:rPr>
                <w:rFonts w:ascii="Arial" w:hAnsi="Arial" w:cs="Arial"/>
                <w:szCs w:val="24"/>
                <w:lang w:val="en-ID"/>
              </w:rPr>
            </w:pPr>
            <w:r w:rsidRPr="0068662C">
              <w:rPr>
                <w:rFonts w:ascii="Arial" w:hAnsi="Arial" w:cs="Arial"/>
                <w:szCs w:val="24"/>
                <w:lang w:val="en-ID"/>
              </w:rPr>
              <w:t>Not Significant</w:t>
            </w:r>
          </w:p>
        </w:tc>
      </w:tr>
      <w:tr w:rsidR="007F6AEF" w:rsidRPr="0068662C" w14:paraId="1644B835" w14:textId="77777777" w:rsidTr="007F6AEF">
        <w:trPr>
          <w:tblCellSpacing w:w="15" w:type="dxa"/>
        </w:trPr>
        <w:tc>
          <w:tcPr>
            <w:tcW w:w="0" w:type="auto"/>
            <w:vAlign w:val="center"/>
            <w:hideMark/>
          </w:tcPr>
          <w:p w14:paraId="273C34A5" w14:textId="77777777" w:rsidR="007F6AEF" w:rsidRPr="0068662C" w:rsidRDefault="007F6AEF" w:rsidP="007F6AEF">
            <w:pPr>
              <w:rPr>
                <w:rFonts w:ascii="Arial" w:hAnsi="Arial" w:cs="Arial"/>
                <w:szCs w:val="24"/>
                <w:lang w:val="en-ID"/>
              </w:rPr>
            </w:pPr>
            <w:r w:rsidRPr="0068662C">
              <w:rPr>
                <w:rFonts w:ascii="Arial" w:hAnsi="Arial" w:cs="Arial"/>
                <w:szCs w:val="24"/>
                <w:lang w:val="en-ID"/>
              </w:rPr>
              <w:t>Org. Support x Work-Life Balance → Turnover Intention</w:t>
            </w:r>
          </w:p>
        </w:tc>
        <w:tc>
          <w:tcPr>
            <w:tcW w:w="0" w:type="auto"/>
            <w:vAlign w:val="center"/>
            <w:hideMark/>
          </w:tcPr>
          <w:p w14:paraId="4BBC5B62"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-0.194</w:t>
            </w:r>
          </w:p>
        </w:tc>
        <w:tc>
          <w:tcPr>
            <w:tcW w:w="0" w:type="auto"/>
            <w:vAlign w:val="center"/>
            <w:hideMark/>
          </w:tcPr>
          <w:p w14:paraId="140A9658"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2.170</w:t>
            </w:r>
          </w:p>
        </w:tc>
        <w:tc>
          <w:tcPr>
            <w:tcW w:w="0" w:type="auto"/>
            <w:vAlign w:val="center"/>
            <w:hideMark/>
          </w:tcPr>
          <w:p w14:paraId="75367C57" w14:textId="77777777" w:rsidR="007F6AEF" w:rsidRPr="0068662C" w:rsidRDefault="007F6AEF" w:rsidP="0068662C">
            <w:pPr>
              <w:jc w:val="center"/>
              <w:rPr>
                <w:rFonts w:ascii="Arial" w:hAnsi="Arial" w:cs="Arial"/>
                <w:szCs w:val="24"/>
                <w:lang w:val="en-ID"/>
              </w:rPr>
            </w:pPr>
            <w:r w:rsidRPr="0068662C">
              <w:rPr>
                <w:rFonts w:ascii="Arial" w:hAnsi="Arial" w:cs="Arial"/>
                <w:szCs w:val="24"/>
                <w:lang w:val="en-ID"/>
              </w:rPr>
              <w:t>0.030</w:t>
            </w:r>
          </w:p>
        </w:tc>
        <w:tc>
          <w:tcPr>
            <w:tcW w:w="0" w:type="auto"/>
            <w:vAlign w:val="center"/>
            <w:hideMark/>
          </w:tcPr>
          <w:p w14:paraId="464D15A8" w14:textId="77777777" w:rsidR="007F6AEF" w:rsidRPr="0068662C" w:rsidRDefault="007F6AEF" w:rsidP="000F581B">
            <w:pPr>
              <w:rPr>
                <w:rFonts w:ascii="Arial" w:hAnsi="Arial" w:cs="Arial"/>
                <w:szCs w:val="24"/>
                <w:lang w:val="en-ID"/>
              </w:rPr>
            </w:pPr>
            <w:r w:rsidRPr="0068662C">
              <w:rPr>
                <w:rFonts w:ascii="Arial" w:hAnsi="Arial" w:cs="Arial"/>
                <w:szCs w:val="24"/>
                <w:lang w:val="en-ID"/>
              </w:rPr>
              <w:t>Significant</w:t>
            </w:r>
          </w:p>
        </w:tc>
      </w:tr>
    </w:tbl>
    <w:p w14:paraId="655B8B7D" w14:textId="77777777" w:rsidR="007F6AEF" w:rsidRDefault="007F6AEF" w:rsidP="007F6AEF">
      <w:pPr>
        <w:pStyle w:val="Body"/>
        <w:spacing w:after="0"/>
        <w:rPr>
          <w:rFonts w:ascii="Arial" w:hAnsi="Arial" w:cs="Arial"/>
        </w:rPr>
      </w:pPr>
    </w:p>
    <w:p w14:paraId="04032A22" w14:textId="77777777" w:rsidR="007F6AEF" w:rsidRPr="007F6AEF" w:rsidRDefault="007F6AEF" w:rsidP="007F6AEF">
      <w:pPr>
        <w:pStyle w:val="Body"/>
        <w:rPr>
          <w:rFonts w:ascii="Arial" w:hAnsi="Arial" w:cs="Arial"/>
        </w:rPr>
      </w:pPr>
      <w:r w:rsidRPr="007F6AEF">
        <w:rPr>
          <w:rFonts w:ascii="Arial" w:hAnsi="Arial" w:cs="Arial"/>
        </w:rPr>
        <w:t>Interpretation:</w:t>
      </w:r>
    </w:p>
    <w:p w14:paraId="0874072A" w14:textId="77777777" w:rsidR="007F6AEF" w:rsidRDefault="007F6AEF" w:rsidP="007F6AEF">
      <w:pPr>
        <w:pStyle w:val="Body"/>
        <w:rPr>
          <w:rFonts w:ascii="Arial" w:hAnsi="Arial" w:cs="Arial"/>
        </w:rPr>
      </w:pPr>
      <w:r w:rsidRPr="007F6AEF">
        <w:rPr>
          <w:rFonts w:ascii="Arial" w:hAnsi="Arial" w:cs="Arial"/>
        </w:rPr>
        <w:t>a) Workload has a negative effect (-0.116) on Turnover Intention, but the effect is not significant (p = 0.080 &gt; 0.05).</w:t>
      </w:r>
    </w:p>
    <w:p w14:paraId="66437B32" w14:textId="77777777" w:rsidR="007F6AEF" w:rsidRPr="007F6AEF" w:rsidRDefault="007F6AEF" w:rsidP="007F6AEF">
      <w:pPr>
        <w:pStyle w:val="Body"/>
        <w:rPr>
          <w:rFonts w:ascii="Arial" w:hAnsi="Arial" w:cs="Arial"/>
        </w:rPr>
      </w:pPr>
      <w:r w:rsidRPr="007F6AEF">
        <w:rPr>
          <w:rFonts w:ascii="Arial" w:hAnsi="Arial" w:cs="Arial"/>
        </w:rPr>
        <w:t>b) Work-Life Balance has a significant positive effect (0.490) on Turnover Intention (p = 0.000 &lt; 0.05), indicating that higher perceived balance is associated with a higher intent to leave.</w:t>
      </w:r>
    </w:p>
    <w:p w14:paraId="45DA1C0F" w14:textId="77777777" w:rsidR="007F6AEF" w:rsidRPr="007F6AEF" w:rsidRDefault="007F6AEF" w:rsidP="007F6AEF">
      <w:pPr>
        <w:pStyle w:val="Body"/>
        <w:rPr>
          <w:rFonts w:ascii="Arial" w:hAnsi="Arial" w:cs="Arial"/>
        </w:rPr>
      </w:pPr>
      <w:r w:rsidRPr="007F6AEF">
        <w:rPr>
          <w:rFonts w:ascii="Arial" w:hAnsi="Arial" w:cs="Arial"/>
        </w:rPr>
        <w:t>6. Moderation Effect Test</w:t>
      </w:r>
    </w:p>
    <w:p w14:paraId="5B733EB1" w14:textId="77777777" w:rsidR="007F6AEF" w:rsidRPr="007F6AEF" w:rsidRDefault="007F6AEF" w:rsidP="007F6AEF">
      <w:pPr>
        <w:pStyle w:val="Body"/>
        <w:rPr>
          <w:rFonts w:ascii="Arial" w:hAnsi="Arial" w:cs="Arial"/>
        </w:rPr>
      </w:pPr>
      <w:r w:rsidRPr="007F6AEF">
        <w:rPr>
          <w:rFonts w:ascii="Arial" w:hAnsi="Arial" w:cs="Arial"/>
        </w:rPr>
        <w:t>a) Organizational Support × Workload → Turnover Intention: β = 0.093 (positive), p = 0.335 &gt; 0.05 → Not significant.</w:t>
      </w:r>
      <w:r>
        <w:rPr>
          <w:rFonts w:ascii="Arial" w:hAnsi="Arial" w:cs="Arial"/>
        </w:rPr>
        <w:t xml:space="preserve"> </w:t>
      </w:r>
      <w:r w:rsidRPr="007F6AEF">
        <w:rPr>
          <w:rFonts w:ascii="Arial" w:hAnsi="Arial" w:cs="Arial"/>
        </w:rPr>
        <w:t>→ Organizational Support does not significantly moderate the relationship between Workload and Turnover Intention.</w:t>
      </w:r>
    </w:p>
    <w:p w14:paraId="6F3904EF" w14:textId="77777777" w:rsidR="007F6AEF" w:rsidRPr="007F6AEF" w:rsidRDefault="007F6AEF" w:rsidP="007F6AEF">
      <w:pPr>
        <w:pStyle w:val="Body"/>
        <w:rPr>
          <w:rFonts w:ascii="Arial" w:hAnsi="Arial" w:cs="Arial"/>
        </w:rPr>
      </w:pPr>
      <w:r w:rsidRPr="007F6AEF">
        <w:rPr>
          <w:rFonts w:ascii="Arial" w:hAnsi="Arial" w:cs="Arial"/>
        </w:rPr>
        <w:t>b) Organizational Support × Work-Life Balance → Turnover Intention: β = -0.194 (negative), p = 0.030 &lt; 0.05 → Significant.</w:t>
      </w:r>
      <w:r>
        <w:rPr>
          <w:rFonts w:ascii="Arial" w:hAnsi="Arial" w:cs="Arial"/>
        </w:rPr>
        <w:t xml:space="preserve"> </w:t>
      </w:r>
      <w:r w:rsidRPr="007F6AEF">
        <w:rPr>
          <w:rFonts w:ascii="Arial" w:hAnsi="Arial" w:cs="Arial"/>
        </w:rPr>
        <w:t>→ Organizational Support significantly moderates the effect of Work-Life Balance on Turnover Intention in a negative direction. As perceived organizational support increases, the positive effect of work-life balance on turnover intention weakens. Although work-life balance still reduces turnover intention, this effect is less pronounced when support is high.</w:t>
      </w:r>
    </w:p>
    <w:p w14:paraId="797F2F98" w14:textId="77777777" w:rsidR="007F6AEF" w:rsidRPr="007F6AEF" w:rsidRDefault="007F6AEF" w:rsidP="007F6AEF">
      <w:pPr>
        <w:pStyle w:val="Body"/>
        <w:rPr>
          <w:rFonts w:ascii="Arial" w:hAnsi="Arial" w:cs="Arial"/>
        </w:rPr>
      </w:pPr>
      <w:r w:rsidRPr="007F6AEF">
        <w:rPr>
          <w:rFonts w:ascii="Arial" w:hAnsi="Arial" w:cs="Arial"/>
        </w:rPr>
        <w:t>7. Hypothesis Testing Summary</w:t>
      </w:r>
    </w:p>
    <w:p w14:paraId="1F51D447" w14:textId="77777777" w:rsidR="0068662C" w:rsidRDefault="007F6AEF" w:rsidP="007F6AEF">
      <w:pPr>
        <w:pStyle w:val="Body"/>
        <w:spacing w:after="0"/>
        <w:rPr>
          <w:rFonts w:ascii="Arial" w:hAnsi="Arial" w:cs="Arial"/>
        </w:rPr>
      </w:pPr>
      <w:r w:rsidRPr="007F6AEF">
        <w:rPr>
          <w:rFonts w:ascii="Arial" w:hAnsi="Arial" w:cs="Arial"/>
        </w:rPr>
        <w:t>If the t-statistic ≥ 1.96 and p-value &lt; 0.05, the hypothesis is accepted (Ha); otherwise, it is rejected.</w:t>
      </w:r>
    </w:p>
    <w:p w14:paraId="21497D97" w14:textId="77777777" w:rsidR="0068662C" w:rsidRPr="0068662C" w:rsidRDefault="0068662C" w:rsidP="0068662C">
      <w:pPr>
        <w:pStyle w:val="Body"/>
        <w:spacing w:after="0"/>
        <w:jc w:val="center"/>
        <w:rPr>
          <w:rFonts w:ascii="Arial" w:hAnsi="Arial" w:cs="Arial"/>
          <w:b/>
        </w:rPr>
      </w:pPr>
      <w:r>
        <w:rPr>
          <w:rFonts w:ascii="Arial" w:hAnsi="Arial" w:cs="Arial"/>
          <w:b/>
        </w:rPr>
        <w:t>Tab</w:t>
      </w:r>
      <w:r w:rsidR="00EE69CB">
        <w:rPr>
          <w:rFonts w:ascii="Arial" w:hAnsi="Arial" w:cs="Arial"/>
          <w:b/>
        </w:rPr>
        <w:t>le</w:t>
      </w:r>
      <w:r>
        <w:rPr>
          <w:rFonts w:ascii="Arial" w:hAnsi="Arial" w:cs="Arial"/>
          <w:b/>
        </w:rPr>
        <w:t xml:space="preserve"> 7 </w:t>
      </w:r>
      <w:r w:rsidRPr="0068662C">
        <w:rPr>
          <w:rFonts w:ascii="Arial" w:hAnsi="Arial" w:cs="Arial"/>
          <w:b/>
        </w:rPr>
        <w:t>Path Coefficients and Hypothesis Testing</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594"/>
        <w:gridCol w:w="1027"/>
        <w:gridCol w:w="794"/>
        <w:gridCol w:w="1365"/>
      </w:tblGrid>
      <w:tr w:rsidR="007F6AEF" w:rsidRPr="0068662C" w14:paraId="2225D309" w14:textId="77777777" w:rsidTr="0068662C">
        <w:trPr>
          <w:tblHeader/>
          <w:tblCellSpacing w:w="15" w:type="dxa"/>
        </w:trPr>
        <w:tc>
          <w:tcPr>
            <w:tcW w:w="0" w:type="auto"/>
            <w:tcBorders>
              <w:top w:val="nil"/>
              <w:bottom w:val="single" w:sz="4" w:space="0" w:color="auto"/>
            </w:tcBorders>
            <w:vAlign w:val="center"/>
            <w:hideMark/>
          </w:tcPr>
          <w:p w14:paraId="1B63BC82"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Hypothesis</w:t>
            </w:r>
          </w:p>
        </w:tc>
        <w:tc>
          <w:tcPr>
            <w:tcW w:w="0" w:type="auto"/>
            <w:tcBorders>
              <w:top w:val="nil"/>
              <w:bottom w:val="single" w:sz="4" w:space="0" w:color="auto"/>
            </w:tcBorders>
            <w:vAlign w:val="center"/>
            <w:hideMark/>
          </w:tcPr>
          <w:p w14:paraId="5C4398F9"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T-Statistic</w:t>
            </w:r>
          </w:p>
        </w:tc>
        <w:tc>
          <w:tcPr>
            <w:tcW w:w="0" w:type="auto"/>
            <w:tcBorders>
              <w:top w:val="nil"/>
              <w:bottom w:val="single" w:sz="4" w:space="0" w:color="auto"/>
            </w:tcBorders>
            <w:vAlign w:val="center"/>
            <w:hideMark/>
          </w:tcPr>
          <w:p w14:paraId="285068D1"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P-Value</w:t>
            </w:r>
          </w:p>
        </w:tc>
        <w:tc>
          <w:tcPr>
            <w:tcW w:w="0" w:type="auto"/>
            <w:tcBorders>
              <w:top w:val="nil"/>
              <w:bottom w:val="single" w:sz="4" w:space="0" w:color="auto"/>
            </w:tcBorders>
            <w:vAlign w:val="center"/>
            <w:hideMark/>
          </w:tcPr>
          <w:p w14:paraId="2FD1E408" w14:textId="77777777" w:rsidR="007F6AEF" w:rsidRPr="0068662C" w:rsidRDefault="007F6AEF" w:rsidP="007F6AEF">
            <w:pPr>
              <w:jc w:val="center"/>
              <w:rPr>
                <w:rFonts w:ascii="Arial" w:hAnsi="Arial" w:cs="Arial"/>
                <w:b/>
                <w:bCs/>
                <w:lang w:val="en-ID"/>
              </w:rPr>
            </w:pPr>
            <w:r w:rsidRPr="0068662C">
              <w:rPr>
                <w:rFonts w:ascii="Arial" w:hAnsi="Arial" w:cs="Arial"/>
                <w:b/>
                <w:bCs/>
                <w:lang w:val="en-ID"/>
              </w:rPr>
              <w:t>Conclusion</w:t>
            </w:r>
          </w:p>
        </w:tc>
      </w:tr>
      <w:tr w:rsidR="007F6AEF" w:rsidRPr="0068662C" w14:paraId="4B3175F3" w14:textId="77777777" w:rsidTr="007F6AEF">
        <w:trPr>
          <w:tblCellSpacing w:w="15" w:type="dxa"/>
        </w:trPr>
        <w:tc>
          <w:tcPr>
            <w:tcW w:w="0" w:type="auto"/>
            <w:vAlign w:val="center"/>
            <w:hideMark/>
          </w:tcPr>
          <w:p w14:paraId="201DC8BA" w14:textId="77777777" w:rsidR="007F6AEF" w:rsidRPr="0068662C" w:rsidRDefault="007F6AEF" w:rsidP="007F6AEF">
            <w:pPr>
              <w:rPr>
                <w:rFonts w:ascii="Arial" w:hAnsi="Arial" w:cs="Arial"/>
                <w:lang w:val="en-ID"/>
              </w:rPr>
            </w:pPr>
            <w:r w:rsidRPr="0068662C">
              <w:rPr>
                <w:rFonts w:ascii="Arial" w:hAnsi="Arial" w:cs="Arial"/>
                <w:lang w:val="en-ID"/>
              </w:rPr>
              <w:t>H1: Workload → Turnover Intention</w:t>
            </w:r>
          </w:p>
        </w:tc>
        <w:tc>
          <w:tcPr>
            <w:tcW w:w="0" w:type="auto"/>
            <w:vAlign w:val="center"/>
            <w:hideMark/>
          </w:tcPr>
          <w:p w14:paraId="31AA53D9" w14:textId="77777777" w:rsidR="007F6AEF" w:rsidRPr="0068662C" w:rsidRDefault="007F6AEF" w:rsidP="007F6AEF">
            <w:pPr>
              <w:rPr>
                <w:rFonts w:ascii="Arial" w:hAnsi="Arial" w:cs="Arial"/>
                <w:lang w:val="en-ID"/>
              </w:rPr>
            </w:pPr>
            <w:r w:rsidRPr="0068662C">
              <w:rPr>
                <w:rFonts w:ascii="Arial" w:hAnsi="Arial" w:cs="Arial"/>
                <w:lang w:val="en-ID"/>
              </w:rPr>
              <w:t>1.800</w:t>
            </w:r>
          </w:p>
        </w:tc>
        <w:tc>
          <w:tcPr>
            <w:tcW w:w="0" w:type="auto"/>
            <w:vAlign w:val="center"/>
            <w:hideMark/>
          </w:tcPr>
          <w:p w14:paraId="6E5F8239" w14:textId="77777777" w:rsidR="007F6AEF" w:rsidRPr="0068662C" w:rsidRDefault="007F6AEF" w:rsidP="007F6AEF">
            <w:pPr>
              <w:rPr>
                <w:rFonts w:ascii="Arial" w:hAnsi="Arial" w:cs="Arial"/>
                <w:lang w:val="en-ID"/>
              </w:rPr>
            </w:pPr>
            <w:r w:rsidRPr="0068662C">
              <w:rPr>
                <w:rFonts w:ascii="Arial" w:hAnsi="Arial" w:cs="Arial"/>
                <w:lang w:val="en-ID"/>
              </w:rPr>
              <w:t>0.080</w:t>
            </w:r>
          </w:p>
        </w:tc>
        <w:tc>
          <w:tcPr>
            <w:tcW w:w="0" w:type="auto"/>
            <w:vAlign w:val="center"/>
            <w:hideMark/>
          </w:tcPr>
          <w:p w14:paraId="6113AF1A" w14:textId="77777777" w:rsidR="007F6AEF" w:rsidRPr="0068662C" w:rsidRDefault="007F6AEF" w:rsidP="007F6AEF">
            <w:pPr>
              <w:rPr>
                <w:rFonts w:ascii="Arial" w:hAnsi="Arial" w:cs="Arial"/>
                <w:lang w:val="en-ID"/>
              </w:rPr>
            </w:pPr>
            <w:r w:rsidRPr="0068662C">
              <w:rPr>
                <w:rFonts w:ascii="Arial" w:hAnsi="Arial" w:cs="Arial"/>
                <w:lang w:val="en-ID"/>
              </w:rPr>
              <w:t>Not Supported</w:t>
            </w:r>
          </w:p>
        </w:tc>
      </w:tr>
      <w:tr w:rsidR="007F6AEF" w:rsidRPr="0068662C" w14:paraId="4735260D" w14:textId="77777777" w:rsidTr="007F6AEF">
        <w:trPr>
          <w:tblCellSpacing w:w="15" w:type="dxa"/>
        </w:trPr>
        <w:tc>
          <w:tcPr>
            <w:tcW w:w="0" w:type="auto"/>
            <w:vAlign w:val="center"/>
            <w:hideMark/>
          </w:tcPr>
          <w:p w14:paraId="4386CEA2" w14:textId="77777777" w:rsidR="007F6AEF" w:rsidRPr="0068662C" w:rsidRDefault="007F6AEF" w:rsidP="007F6AEF">
            <w:pPr>
              <w:rPr>
                <w:rFonts w:ascii="Arial" w:hAnsi="Arial" w:cs="Arial"/>
                <w:lang w:val="en-ID"/>
              </w:rPr>
            </w:pPr>
            <w:r w:rsidRPr="0068662C">
              <w:rPr>
                <w:rFonts w:ascii="Arial" w:hAnsi="Arial" w:cs="Arial"/>
                <w:lang w:val="en-ID"/>
              </w:rPr>
              <w:t>H2: Work-Life Balance → Turnover Intention</w:t>
            </w:r>
          </w:p>
        </w:tc>
        <w:tc>
          <w:tcPr>
            <w:tcW w:w="0" w:type="auto"/>
            <w:vAlign w:val="center"/>
            <w:hideMark/>
          </w:tcPr>
          <w:p w14:paraId="25B1F126" w14:textId="77777777" w:rsidR="007F6AEF" w:rsidRPr="0068662C" w:rsidRDefault="007F6AEF" w:rsidP="007F6AEF">
            <w:pPr>
              <w:rPr>
                <w:rFonts w:ascii="Arial" w:hAnsi="Arial" w:cs="Arial"/>
                <w:lang w:val="en-ID"/>
              </w:rPr>
            </w:pPr>
            <w:r w:rsidRPr="0068662C">
              <w:rPr>
                <w:rFonts w:ascii="Arial" w:hAnsi="Arial" w:cs="Arial"/>
                <w:lang w:val="en-ID"/>
              </w:rPr>
              <w:t>4.897</w:t>
            </w:r>
          </w:p>
        </w:tc>
        <w:tc>
          <w:tcPr>
            <w:tcW w:w="0" w:type="auto"/>
            <w:vAlign w:val="center"/>
            <w:hideMark/>
          </w:tcPr>
          <w:p w14:paraId="367CFF8B" w14:textId="77777777" w:rsidR="007F6AEF" w:rsidRPr="0068662C" w:rsidRDefault="007F6AEF" w:rsidP="007F6AEF">
            <w:pPr>
              <w:rPr>
                <w:rFonts w:ascii="Arial" w:hAnsi="Arial" w:cs="Arial"/>
                <w:lang w:val="en-ID"/>
              </w:rPr>
            </w:pPr>
            <w:r w:rsidRPr="0068662C">
              <w:rPr>
                <w:rFonts w:ascii="Arial" w:hAnsi="Arial" w:cs="Arial"/>
                <w:lang w:val="en-ID"/>
              </w:rPr>
              <w:t>0.000</w:t>
            </w:r>
          </w:p>
        </w:tc>
        <w:tc>
          <w:tcPr>
            <w:tcW w:w="0" w:type="auto"/>
            <w:vAlign w:val="center"/>
            <w:hideMark/>
          </w:tcPr>
          <w:p w14:paraId="74644EEF" w14:textId="77777777" w:rsidR="007F6AEF" w:rsidRPr="0068662C" w:rsidRDefault="007F6AEF" w:rsidP="007F6AEF">
            <w:pPr>
              <w:rPr>
                <w:rFonts w:ascii="Arial" w:hAnsi="Arial" w:cs="Arial"/>
                <w:lang w:val="en-ID"/>
              </w:rPr>
            </w:pPr>
            <w:r w:rsidRPr="0068662C">
              <w:rPr>
                <w:rFonts w:ascii="Arial" w:hAnsi="Arial" w:cs="Arial"/>
                <w:lang w:val="en-ID"/>
              </w:rPr>
              <w:t>Supported</w:t>
            </w:r>
          </w:p>
        </w:tc>
      </w:tr>
      <w:tr w:rsidR="007F6AEF" w:rsidRPr="0068662C" w14:paraId="000C8372" w14:textId="77777777" w:rsidTr="007F6AEF">
        <w:trPr>
          <w:tblCellSpacing w:w="15" w:type="dxa"/>
        </w:trPr>
        <w:tc>
          <w:tcPr>
            <w:tcW w:w="0" w:type="auto"/>
            <w:vAlign w:val="center"/>
            <w:hideMark/>
          </w:tcPr>
          <w:p w14:paraId="5D01AB0B" w14:textId="77777777" w:rsidR="007F6AEF" w:rsidRPr="0068662C" w:rsidRDefault="007F6AEF" w:rsidP="007F6AEF">
            <w:pPr>
              <w:rPr>
                <w:rFonts w:ascii="Arial" w:hAnsi="Arial" w:cs="Arial"/>
                <w:lang w:val="en-ID"/>
              </w:rPr>
            </w:pPr>
            <w:r w:rsidRPr="0068662C">
              <w:rPr>
                <w:rFonts w:ascii="Arial" w:hAnsi="Arial" w:cs="Arial"/>
                <w:lang w:val="en-ID"/>
              </w:rPr>
              <w:t>H3: Org. Support × Workload → Turnover Intention</w:t>
            </w:r>
          </w:p>
        </w:tc>
        <w:tc>
          <w:tcPr>
            <w:tcW w:w="0" w:type="auto"/>
            <w:vAlign w:val="center"/>
            <w:hideMark/>
          </w:tcPr>
          <w:p w14:paraId="240BBB89" w14:textId="77777777" w:rsidR="007F6AEF" w:rsidRPr="0068662C" w:rsidRDefault="007F6AEF" w:rsidP="007F6AEF">
            <w:pPr>
              <w:rPr>
                <w:rFonts w:ascii="Arial" w:hAnsi="Arial" w:cs="Arial"/>
                <w:lang w:val="en-ID"/>
              </w:rPr>
            </w:pPr>
            <w:r w:rsidRPr="0068662C">
              <w:rPr>
                <w:rFonts w:ascii="Arial" w:hAnsi="Arial" w:cs="Arial"/>
                <w:lang w:val="en-ID"/>
              </w:rPr>
              <w:t>0.895</w:t>
            </w:r>
          </w:p>
        </w:tc>
        <w:tc>
          <w:tcPr>
            <w:tcW w:w="0" w:type="auto"/>
            <w:vAlign w:val="center"/>
            <w:hideMark/>
          </w:tcPr>
          <w:p w14:paraId="712637E1" w14:textId="77777777" w:rsidR="007F6AEF" w:rsidRPr="0068662C" w:rsidRDefault="007F6AEF" w:rsidP="007F6AEF">
            <w:pPr>
              <w:rPr>
                <w:rFonts w:ascii="Arial" w:hAnsi="Arial" w:cs="Arial"/>
                <w:lang w:val="en-ID"/>
              </w:rPr>
            </w:pPr>
            <w:r w:rsidRPr="0068662C">
              <w:rPr>
                <w:rFonts w:ascii="Arial" w:hAnsi="Arial" w:cs="Arial"/>
                <w:lang w:val="en-ID"/>
              </w:rPr>
              <w:t>0.372</w:t>
            </w:r>
          </w:p>
        </w:tc>
        <w:tc>
          <w:tcPr>
            <w:tcW w:w="0" w:type="auto"/>
            <w:vAlign w:val="center"/>
            <w:hideMark/>
          </w:tcPr>
          <w:p w14:paraId="623AAD05" w14:textId="77777777" w:rsidR="007F6AEF" w:rsidRPr="0068662C" w:rsidRDefault="007F6AEF" w:rsidP="007F6AEF">
            <w:pPr>
              <w:rPr>
                <w:rFonts w:ascii="Arial" w:hAnsi="Arial" w:cs="Arial"/>
                <w:lang w:val="en-ID"/>
              </w:rPr>
            </w:pPr>
            <w:r w:rsidRPr="0068662C">
              <w:rPr>
                <w:rFonts w:ascii="Arial" w:hAnsi="Arial" w:cs="Arial"/>
                <w:lang w:val="en-ID"/>
              </w:rPr>
              <w:t>Not Supported</w:t>
            </w:r>
          </w:p>
        </w:tc>
      </w:tr>
      <w:tr w:rsidR="007F6AEF" w:rsidRPr="0068662C" w14:paraId="5115B792" w14:textId="77777777" w:rsidTr="007F6AEF">
        <w:trPr>
          <w:tblCellSpacing w:w="15" w:type="dxa"/>
        </w:trPr>
        <w:tc>
          <w:tcPr>
            <w:tcW w:w="0" w:type="auto"/>
            <w:vAlign w:val="center"/>
            <w:hideMark/>
          </w:tcPr>
          <w:p w14:paraId="7B1B4BBB" w14:textId="77777777" w:rsidR="007F6AEF" w:rsidRPr="0068662C" w:rsidRDefault="007F6AEF" w:rsidP="007F6AEF">
            <w:pPr>
              <w:rPr>
                <w:rFonts w:ascii="Arial" w:hAnsi="Arial" w:cs="Arial"/>
                <w:lang w:val="en-ID"/>
              </w:rPr>
            </w:pPr>
            <w:r w:rsidRPr="0068662C">
              <w:rPr>
                <w:rFonts w:ascii="Arial" w:hAnsi="Arial" w:cs="Arial"/>
                <w:lang w:val="en-ID"/>
              </w:rPr>
              <w:t>H4: Org. Support × WLB → Turnover Intention</w:t>
            </w:r>
          </w:p>
        </w:tc>
        <w:tc>
          <w:tcPr>
            <w:tcW w:w="0" w:type="auto"/>
            <w:vAlign w:val="center"/>
            <w:hideMark/>
          </w:tcPr>
          <w:p w14:paraId="6135424A" w14:textId="77777777" w:rsidR="007F6AEF" w:rsidRPr="0068662C" w:rsidRDefault="007F6AEF" w:rsidP="007F6AEF">
            <w:pPr>
              <w:rPr>
                <w:rFonts w:ascii="Arial" w:hAnsi="Arial" w:cs="Arial"/>
                <w:lang w:val="en-ID"/>
              </w:rPr>
            </w:pPr>
            <w:r w:rsidRPr="0068662C">
              <w:rPr>
                <w:rFonts w:ascii="Arial" w:hAnsi="Arial" w:cs="Arial"/>
                <w:lang w:val="en-ID"/>
              </w:rPr>
              <w:t>2.164</w:t>
            </w:r>
          </w:p>
        </w:tc>
        <w:tc>
          <w:tcPr>
            <w:tcW w:w="0" w:type="auto"/>
            <w:vAlign w:val="center"/>
            <w:hideMark/>
          </w:tcPr>
          <w:p w14:paraId="533CF403" w14:textId="77777777" w:rsidR="007F6AEF" w:rsidRPr="0068662C" w:rsidRDefault="007F6AEF" w:rsidP="007F6AEF">
            <w:pPr>
              <w:rPr>
                <w:rFonts w:ascii="Arial" w:hAnsi="Arial" w:cs="Arial"/>
                <w:lang w:val="en-ID"/>
              </w:rPr>
            </w:pPr>
            <w:r w:rsidRPr="0068662C">
              <w:rPr>
                <w:rFonts w:ascii="Arial" w:hAnsi="Arial" w:cs="Arial"/>
                <w:lang w:val="en-ID"/>
              </w:rPr>
              <w:t>0.032</w:t>
            </w:r>
          </w:p>
        </w:tc>
        <w:tc>
          <w:tcPr>
            <w:tcW w:w="0" w:type="auto"/>
            <w:vAlign w:val="center"/>
            <w:hideMark/>
          </w:tcPr>
          <w:p w14:paraId="6469FCD7" w14:textId="77777777" w:rsidR="007F6AEF" w:rsidRPr="0068662C" w:rsidRDefault="007F6AEF" w:rsidP="007F6AEF">
            <w:pPr>
              <w:rPr>
                <w:rFonts w:ascii="Arial" w:hAnsi="Arial" w:cs="Arial"/>
                <w:lang w:val="en-ID"/>
              </w:rPr>
            </w:pPr>
            <w:r w:rsidRPr="0068662C">
              <w:rPr>
                <w:rFonts w:ascii="Arial" w:hAnsi="Arial" w:cs="Arial"/>
                <w:lang w:val="en-ID"/>
              </w:rPr>
              <w:t>Supported</w:t>
            </w:r>
          </w:p>
        </w:tc>
      </w:tr>
    </w:tbl>
    <w:p w14:paraId="4930325B" w14:textId="77777777" w:rsidR="007F6AEF" w:rsidRDefault="007F6AEF" w:rsidP="007F6AEF">
      <w:pPr>
        <w:pStyle w:val="Body"/>
        <w:spacing w:after="0"/>
        <w:rPr>
          <w:rFonts w:ascii="Arial" w:hAnsi="Arial" w:cs="Arial"/>
        </w:rPr>
      </w:pPr>
    </w:p>
    <w:p w14:paraId="5908B07D" w14:textId="77777777" w:rsidR="007F6AEF" w:rsidRPr="007F6AEF" w:rsidRDefault="007F6AEF" w:rsidP="007F6AEF">
      <w:pPr>
        <w:pStyle w:val="Body"/>
        <w:rPr>
          <w:rFonts w:ascii="Arial" w:hAnsi="Arial" w:cs="Arial"/>
        </w:rPr>
      </w:pPr>
      <w:r w:rsidRPr="007F6AEF">
        <w:rPr>
          <w:rFonts w:ascii="Arial" w:hAnsi="Arial" w:cs="Arial"/>
        </w:rPr>
        <w:t>H1: Workload has a negative but not statistically significant effect on Turnover Intention.</w:t>
      </w:r>
    </w:p>
    <w:p w14:paraId="3D6786AC" w14:textId="77777777" w:rsidR="007F6AEF" w:rsidRPr="007F6AEF" w:rsidRDefault="007F6AEF" w:rsidP="007F6AEF">
      <w:pPr>
        <w:pStyle w:val="Body"/>
        <w:rPr>
          <w:rFonts w:ascii="Arial" w:hAnsi="Arial" w:cs="Arial"/>
        </w:rPr>
      </w:pPr>
      <w:r w:rsidRPr="007F6AEF">
        <w:rPr>
          <w:rFonts w:ascii="Arial" w:hAnsi="Arial" w:cs="Arial"/>
        </w:rPr>
        <w:t>H2: Work-Life Balance significantly and positively affects Turnover Intention.</w:t>
      </w:r>
    </w:p>
    <w:p w14:paraId="47A65777" w14:textId="77777777" w:rsidR="007F6AEF" w:rsidRDefault="007F6AEF" w:rsidP="007F6AEF">
      <w:pPr>
        <w:pStyle w:val="Body"/>
        <w:rPr>
          <w:rFonts w:ascii="Arial" w:hAnsi="Arial" w:cs="Arial"/>
        </w:rPr>
      </w:pPr>
      <w:r w:rsidRPr="007F6AEF">
        <w:rPr>
          <w:rFonts w:ascii="Arial" w:hAnsi="Arial" w:cs="Arial"/>
        </w:rPr>
        <w:lastRenderedPageBreak/>
        <w:t>H3: Organizational Support does not significantly moderate the relationship between Workload and Turnover Intention.</w:t>
      </w:r>
    </w:p>
    <w:p w14:paraId="5376480C" w14:textId="77777777" w:rsidR="00790ADA" w:rsidRPr="00FB3A86" w:rsidRDefault="007F6AEF" w:rsidP="007F6AEF">
      <w:pPr>
        <w:pStyle w:val="Body"/>
        <w:rPr>
          <w:rFonts w:ascii="Arial" w:hAnsi="Arial" w:cs="Arial"/>
        </w:rPr>
      </w:pPr>
      <w:r w:rsidRPr="007F6AEF">
        <w:rPr>
          <w:rFonts w:ascii="Arial" w:hAnsi="Arial" w:cs="Arial"/>
        </w:rPr>
        <w:t>H4: Organizational Support significantly moderates the relationship between Work-Life</w:t>
      </w:r>
      <w:r>
        <w:rPr>
          <w:rFonts w:ascii="Arial" w:hAnsi="Arial" w:cs="Arial"/>
        </w:rPr>
        <w:t xml:space="preserve"> </w:t>
      </w:r>
      <w:r w:rsidRPr="007F6AEF">
        <w:rPr>
          <w:rFonts w:ascii="Arial" w:hAnsi="Arial" w:cs="Arial"/>
        </w:rPr>
        <w:t>Balance and Turnover Intention in a negative direction.</w:t>
      </w:r>
      <w:r w:rsidR="00C30A0F" w:rsidRPr="00FB3A86">
        <w:rPr>
          <w:rFonts w:ascii="Arial" w:hAnsi="Arial" w:cs="Arial"/>
        </w:rPr>
        <w:t xml:space="preserve"> </w:t>
      </w:r>
    </w:p>
    <w:p w14:paraId="7BB6C9B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64D3F6" w14:textId="77777777" w:rsidR="00790ADA" w:rsidRPr="00FB3A86" w:rsidRDefault="00790ADA" w:rsidP="00441B6F">
      <w:pPr>
        <w:pStyle w:val="ConcHead"/>
        <w:spacing w:after="0"/>
        <w:jc w:val="both"/>
        <w:rPr>
          <w:rFonts w:ascii="Arial" w:hAnsi="Arial" w:cs="Arial"/>
        </w:rPr>
      </w:pPr>
    </w:p>
    <w:p w14:paraId="6D2448A0" w14:textId="77777777" w:rsidR="00703517" w:rsidRPr="00703517" w:rsidRDefault="00703517" w:rsidP="00703517">
      <w:pPr>
        <w:pStyle w:val="Body"/>
        <w:rPr>
          <w:rFonts w:ascii="Arial" w:hAnsi="Arial" w:cs="Arial"/>
        </w:rPr>
      </w:pPr>
      <w:r w:rsidRPr="00703517">
        <w:rPr>
          <w:rFonts w:ascii="Arial" w:hAnsi="Arial" w:cs="Arial"/>
        </w:rPr>
        <w:t>This study aims to examine the influence of workload and work-life balance on employee turnover intention at Swiss-</w:t>
      </w:r>
      <w:proofErr w:type="spellStart"/>
      <w:r w:rsidRPr="00703517">
        <w:rPr>
          <w:rFonts w:ascii="Arial" w:hAnsi="Arial" w:cs="Arial"/>
        </w:rPr>
        <w:t>Belhotel</w:t>
      </w:r>
      <w:proofErr w:type="spellEnd"/>
      <w:r w:rsidRPr="00703517">
        <w:rPr>
          <w:rFonts w:ascii="Arial" w:hAnsi="Arial" w:cs="Arial"/>
        </w:rPr>
        <w:t xml:space="preserve"> Lampung, with perceived organizational support as a moderating variable. Based on the research findings and analysis, several conclusions can be </w:t>
      </w:r>
      <w:proofErr w:type="spellStart"/>
      <w:proofErr w:type="gramStart"/>
      <w:r w:rsidRPr="00703517">
        <w:rPr>
          <w:rFonts w:ascii="Arial" w:hAnsi="Arial" w:cs="Arial"/>
        </w:rPr>
        <w:t>drawn</w:t>
      </w:r>
      <w:r w:rsidR="00BC37D3">
        <w:rPr>
          <w:rFonts w:ascii="Arial" w:hAnsi="Arial" w:cs="Arial"/>
        </w:rPr>
        <w:t>.</w:t>
      </w:r>
      <w:r w:rsidRPr="00703517">
        <w:rPr>
          <w:rFonts w:ascii="Arial" w:hAnsi="Arial" w:cs="Arial"/>
        </w:rPr>
        <w:t>The</w:t>
      </w:r>
      <w:proofErr w:type="spellEnd"/>
      <w:proofErr w:type="gramEnd"/>
      <w:r w:rsidRPr="00703517">
        <w:rPr>
          <w:rFonts w:ascii="Arial" w:hAnsi="Arial" w:cs="Arial"/>
        </w:rPr>
        <w:t xml:space="preserve"> results indicate that workload does not have a significant effect on employee turnover intention at Swiss-</w:t>
      </w:r>
      <w:proofErr w:type="spellStart"/>
      <w:r w:rsidRPr="00703517">
        <w:rPr>
          <w:rFonts w:ascii="Arial" w:hAnsi="Arial" w:cs="Arial"/>
        </w:rPr>
        <w:t>Belhotel</w:t>
      </w:r>
      <w:proofErr w:type="spellEnd"/>
      <w:r w:rsidRPr="00703517">
        <w:rPr>
          <w:rFonts w:ascii="Arial" w:hAnsi="Arial" w:cs="Arial"/>
        </w:rPr>
        <w:t xml:space="preserve"> Lampung. Although high workload is theoretically associated with an increased desire to leave one’s job, in the context of this hotel, workload is not perceived as a dominant factor influencing employees’ intention to resign.</w:t>
      </w:r>
      <w:r w:rsidR="00BC37D3">
        <w:rPr>
          <w:rFonts w:ascii="Arial" w:hAnsi="Arial" w:cs="Arial"/>
        </w:rPr>
        <w:t xml:space="preserve"> </w:t>
      </w:r>
      <w:r w:rsidRPr="00703517">
        <w:rPr>
          <w:rFonts w:ascii="Arial" w:hAnsi="Arial" w:cs="Arial"/>
        </w:rPr>
        <w:t>The findings reveal that work-life balance has a positive and significant effect on turnover intention. This suggests that the higher the perceived work-life balance, the greater the likelihood that employees will consider leaving the organization. This may reflect an underlying mismatch between personal values and job expectations, despite the perception of balance.</w:t>
      </w:r>
    </w:p>
    <w:p w14:paraId="24030E2C" w14:textId="77777777" w:rsidR="00BC37D3" w:rsidRDefault="00703517" w:rsidP="00BC37D3">
      <w:pPr>
        <w:pStyle w:val="Body"/>
        <w:rPr>
          <w:rFonts w:ascii="Arial" w:hAnsi="Arial" w:cs="Arial"/>
        </w:rPr>
      </w:pPr>
      <w:r w:rsidRPr="00703517">
        <w:rPr>
          <w:rFonts w:ascii="Arial" w:hAnsi="Arial" w:cs="Arial"/>
        </w:rPr>
        <w:t>Organizational support does not significantly moderate the relationship between workload and turnover intention. Although the direction of the interaction suggests a slight reinforcement—meaning that perceived organizational support slightly strengthens the effect of workload on turnover intention—this effect is not statistically significant. This implies that employees may not perceive organizational support as sufficient or relevant when dealing with high levels of job demands.</w:t>
      </w:r>
      <w:r w:rsidR="00BC37D3">
        <w:rPr>
          <w:rFonts w:ascii="Arial" w:hAnsi="Arial" w:cs="Arial"/>
        </w:rPr>
        <w:t xml:space="preserve"> </w:t>
      </w:r>
      <w:r w:rsidRPr="00703517">
        <w:rPr>
          <w:rFonts w:ascii="Arial" w:hAnsi="Arial" w:cs="Arial"/>
        </w:rPr>
        <w:t>The study shows that organizational support significantly moderates the effect of work-life balance on turnover intention, with a negative interaction effect. This means that the higher the perceived organizational support, the weaker the influence of work-life balance on turnover intention. This finding suggests that organizational support may serve as a substitute for work-life balance in retaining employees and enhancing their loyalty to the organization.</w:t>
      </w:r>
    </w:p>
    <w:p w14:paraId="09039EB9" w14:textId="77777777" w:rsidR="008773BF" w:rsidRPr="008773BF" w:rsidRDefault="008773BF" w:rsidP="008773BF">
      <w:pPr>
        <w:spacing w:after="200" w:line="276" w:lineRule="auto"/>
        <w:jc w:val="both"/>
        <w:outlineLvl w:val="0"/>
        <w:rPr>
          <w:rFonts w:ascii="Arial" w:eastAsiaTheme="minorEastAsia" w:hAnsi="Arial" w:cs="Arial"/>
          <w:sz w:val="22"/>
          <w:szCs w:val="22"/>
          <w:lang w:val="en-GB" w:eastAsia="en-GB"/>
        </w:rPr>
      </w:pPr>
      <w:r w:rsidRPr="008773BF">
        <w:rPr>
          <w:rFonts w:ascii="Arial" w:eastAsiaTheme="minorEastAsia" w:hAnsi="Arial" w:cs="Arial"/>
          <w:b/>
          <w:bCs/>
          <w:sz w:val="22"/>
          <w:szCs w:val="22"/>
          <w:lang w:val="en-GB" w:eastAsia="en-GB"/>
        </w:rPr>
        <w:t>COMPETING INTERESTS DISCLAIMER:</w:t>
      </w:r>
    </w:p>
    <w:p w14:paraId="6AECD0BB" w14:textId="77777777" w:rsidR="008773BF" w:rsidRPr="008773BF" w:rsidRDefault="008773BF" w:rsidP="008773BF">
      <w:pPr>
        <w:spacing w:after="200" w:line="276" w:lineRule="auto"/>
        <w:rPr>
          <w:rFonts w:asciiTheme="minorHAnsi" w:eastAsiaTheme="minorEastAsia" w:hAnsiTheme="minorHAnsi" w:cstheme="minorBidi"/>
          <w:sz w:val="22"/>
          <w:szCs w:val="22"/>
          <w:lang w:val="en-GB" w:eastAsia="en-GB"/>
        </w:rPr>
      </w:pPr>
      <w:r w:rsidRPr="008773B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A10989C" w14:textId="77777777" w:rsidR="008773BF" w:rsidRPr="008773BF" w:rsidRDefault="008773BF" w:rsidP="008773BF">
      <w:pPr>
        <w:spacing w:after="200" w:line="276" w:lineRule="auto"/>
        <w:rPr>
          <w:rFonts w:asciiTheme="minorHAnsi" w:eastAsiaTheme="minorEastAsia" w:hAnsiTheme="minorHAnsi" w:cstheme="minorBidi"/>
          <w:sz w:val="22"/>
          <w:szCs w:val="22"/>
          <w:lang w:val="en-GB" w:eastAsia="en-GB"/>
        </w:rPr>
      </w:pPr>
    </w:p>
    <w:p w14:paraId="09BB6A1F" w14:textId="4738188D" w:rsidR="008773BF" w:rsidRDefault="008773BF" w:rsidP="008773BF">
      <w:pPr>
        <w:spacing w:after="200" w:line="276" w:lineRule="auto"/>
        <w:rPr>
          <w:rFonts w:asciiTheme="minorHAnsi" w:eastAsiaTheme="minorEastAsia" w:hAnsiTheme="minorHAnsi" w:cstheme="minorBidi"/>
          <w:sz w:val="22"/>
          <w:szCs w:val="22"/>
          <w:lang w:val="en-GB" w:eastAsia="en-GB"/>
        </w:rPr>
      </w:pPr>
    </w:p>
    <w:p w14:paraId="24438521" w14:textId="77777777" w:rsidR="00B01FCD" w:rsidRDefault="00B01FCD" w:rsidP="00441B6F">
      <w:pPr>
        <w:pStyle w:val="ReferHead"/>
        <w:spacing w:after="0"/>
        <w:jc w:val="both"/>
        <w:rPr>
          <w:rFonts w:ascii="Arial" w:hAnsi="Arial" w:cs="Arial"/>
        </w:rPr>
      </w:pPr>
      <w:bookmarkStart w:id="0" w:name="_GoBack"/>
      <w:bookmarkEnd w:id="0"/>
      <w:r w:rsidRPr="00FB3A86">
        <w:rPr>
          <w:rFonts w:ascii="Arial" w:hAnsi="Arial" w:cs="Arial"/>
        </w:rPr>
        <w:t>References</w:t>
      </w:r>
    </w:p>
    <w:p w14:paraId="4D56FFFB" w14:textId="77777777" w:rsidR="00790ADA" w:rsidRPr="00FB3A86" w:rsidRDefault="00790ADA" w:rsidP="00441B6F">
      <w:pPr>
        <w:pStyle w:val="ReferHead"/>
        <w:spacing w:after="0"/>
        <w:jc w:val="both"/>
        <w:rPr>
          <w:rFonts w:ascii="Arial" w:hAnsi="Arial" w:cs="Arial"/>
        </w:rPr>
      </w:pPr>
    </w:p>
    <w:p w14:paraId="1DA7147B" w14:textId="77777777" w:rsidR="00921C65" w:rsidRDefault="00921C65" w:rsidP="009E1886">
      <w:pPr>
        <w:pStyle w:val="Body"/>
        <w:spacing w:after="0"/>
        <w:ind w:left="720" w:hanging="720"/>
        <w:rPr>
          <w:rFonts w:ascii="Arial" w:hAnsi="Arial" w:cs="Arial"/>
        </w:rPr>
      </w:pPr>
      <w:r w:rsidRPr="009E4DA6">
        <w:rPr>
          <w:rFonts w:ascii="Arial" w:hAnsi="Arial" w:cs="Arial"/>
        </w:rPr>
        <w:t>Allen, T. D., &amp; French, K. A. (2023). Work</w:t>
      </w:r>
      <w:r w:rsidRPr="009E4DA6">
        <w:rPr>
          <w:rFonts w:ascii="Cambria Math" w:hAnsi="Cambria Math" w:cs="Cambria Math"/>
        </w:rPr>
        <w:t>‐</w:t>
      </w:r>
      <w:r w:rsidRPr="009E4DA6">
        <w:rPr>
          <w:rFonts w:ascii="Arial" w:hAnsi="Arial" w:cs="Arial"/>
        </w:rPr>
        <w:t xml:space="preserve">family research: A review and next steps. Personnel Psychology, 76(2), 437–471. </w:t>
      </w:r>
      <w:hyperlink r:id="rId16" w:history="1">
        <w:r w:rsidRPr="0011691D">
          <w:rPr>
            <w:rStyle w:val="Hyperlink"/>
            <w:rFonts w:ascii="Arial" w:hAnsi="Arial" w:cs="Arial"/>
          </w:rPr>
          <w:t>https://doi.org/10.1111/peps.12573</w:t>
        </w:r>
      </w:hyperlink>
    </w:p>
    <w:p w14:paraId="2DC9736C" w14:textId="77777777" w:rsidR="00921C65" w:rsidRDefault="00921C65" w:rsidP="009E1886">
      <w:pPr>
        <w:pStyle w:val="Body"/>
        <w:spacing w:after="0"/>
        <w:ind w:left="720" w:hanging="720"/>
        <w:rPr>
          <w:rFonts w:ascii="Arial" w:hAnsi="Arial" w:cs="Arial"/>
        </w:rPr>
      </w:pPr>
      <w:r w:rsidRPr="00B86B98">
        <w:rPr>
          <w:rFonts w:ascii="Arial" w:hAnsi="Arial" w:cs="Arial"/>
        </w:rPr>
        <w:t xml:space="preserve">Bakker, A. B., &amp; Demerouti, E. (2017). Job demands–resources theory: Taking stock and looking forward. Journal of Occupational Health Psychology, 22(3), 273–285. </w:t>
      </w:r>
      <w:hyperlink r:id="rId17" w:history="1">
        <w:r w:rsidRPr="0011691D">
          <w:rPr>
            <w:rStyle w:val="Hyperlink"/>
            <w:rFonts w:ascii="Arial" w:hAnsi="Arial" w:cs="Arial"/>
          </w:rPr>
          <w:t>https://doi.org/10.1037/ocp0000056</w:t>
        </w:r>
      </w:hyperlink>
    </w:p>
    <w:p w14:paraId="245DCDAD" w14:textId="77777777" w:rsidR="00921C65" w:rsidRDefault="00921C65" w:rsidP="009E1886">
      <w:pPr>
        <w:pStyle w:val="Body"/>
        <w:spacing w:after="0"/>
        <w:ind w:left="720" w:hanging="720"/>
        <w:rPr>
          <w:rFonts w:ascii="Arial" w:hAnsi="Arial" w:cs="Arial"/>
        </w:rPr>
      </w:pPr>
      <w:r w:rsidRPr="00B86B98">
        <w:rPr>
          <w:rFonts w:ascii="Arial" w:hAnsi="Arial" w:cs="Arial"/>
        </w:rPr>
        <w:lastRenderedPageBreak/>
        <w:t xml:space="preserve">Bruce Tracey, J. (2014). A review of human resources management research. International Journal of Contemporary Hospitality Management, 26(5), 679–705. </w:t>
      </w:r>
      <w:hyperlink r:id="rId18" w:history="1">
        <w:r w:rsidRPr="0011691D">
          <w:rPr>
            <w:rStyle w:val="Hyperlink"/>
            <w:rFonts w:ascii="Arial" w:hAnsi="Arial" w:cs="Arial"/>
          </w:rPr>
          <w:t>https://doi.org/10.1108/IJCHM-02-2014-0056</w:t>
        </w:r>
      </w:hyperlink>
    </w:p>
    <w:p w14:paraId="3DA83EB7" w14:textId="77777777" w:rsidR="00921C65" w:rsidRDefault="00921C65" w:rsidP="009E1886">
      <w:pPr>
        <w:pStyle w:val="Body"/>
        <w:spacing w:after="0"/>
        <w:ind w:left="720" w:hanging="720"/>
        <w:rPr>
          <w:rFonts w:ascii="Arial" w:hAnsi="Arial" w:cs="Arial"/>
        </w:rPr>
      </w:pPr>
      <w:r w:rsidRPr="00B86B98">
        <w:rPr>
          <w:rFonts w:ascii="Arial" w:hAnsi="Arial" w:cs="Arial"/>
        </w:rPr>
        <w:t xml:space="preserve">Buller, P. F., &amp; McEvoy, G. M. (2012). Strategy, human resource management and performance: Sharpening line of sight. Human Resource Management Review, 22(1), 43–56. </w:t>
      </w:r>
      <w:hyperlink r:id="rId19" w:history="1">
        <w:r w:rsidRPr="0011691D">
          <w:rPr>
            <w:rStyle w:val="Hyperlink"/>
            <w:rFonts w:ascii="Arial" w:hAnsi="Arial" w:cs="Arial"/>
          </w:rPr>
          <w:t>https://doi.org/10.1016/j.hrmr.2011.11.002</w:t>
        </w:r>
      </w:hyperlink>
    </w:p>
    <w:p w14:paraId="7A7AB64A" w14:textId="77777777" w:rsidR="00921C65" w:rsidRDefault="00921C65" w:rsidP="009E1886">
      <w:pPr>
        <w:pStyle w:val="Body"/>
        <w:spacing w:after="0"/>
        <w:ind w:left="720" w:hanging="720"/>
        <w:rPr>
          <w:rFonts w:ascii="Arial" w:hAnsi="Arial" w:cs="Arial"/>
        </w:rPr>
      </w:pPr>
      <w:r w:rsidRPr="00921C65">
        <w:rPr>
          <w:rFonts w:ascii="Arial" w:hAnsi="Arial" w:cs="Arial"/>
        </w:rPr>
        <w:t xml:space="preserve">Eisenberger, R., Rhoades </w:t>
      </w:r>
      <w:proofErr w:type="spellStart"/>
      <w:r w:rsidRPr="00921C65">
        <w:rPr>
          <w:rFonts w:ascii="Arial" w:hAnsi="Arial" w:cs="Arial"/>
        </w:rPr>
        <w:t>Shanock</w:t>
      </w:r>
      <w:proofErr w:type="spellEnd"/>
      <w:r w:rsidRPr="00921C65">
        <w:rPr>
          <w:rFonts w:ascii="Arial" w:hAnsi="Arial" w:cs="Arial"/>
        </w:rPr>
        <w:t xml:space="preserve">, L., &amp; Wen, X. (2020). Perceived Organizational Support: Why Caring About Employees Counts. Annual Review of Organizational Psychology and Organizational Behavior, 7(1), 101–124. </w:t>
      </w:r>
      <w:hyperlink r:id="rId20" w:history="1">
        <w:r w:rsidRPr="0011691D">
          <w:rPr>
            <w:rStyle w:val="Hyperlink"/>
            <w:rFonts w:ascii="Arial" w:hAnsi="Arial" w:cs="Arial"/>
          </w:rPr>
          <w:t>https://doi.org/10.1146/annurev-orgpsych-012119-044917</w:t>
        </w:r>
      </w:hyperlink>
    </w:p>
    <w:p w14:paraId="50B01D7B" w14:textId="77777777" w:rsidR="00921C65" w:rsidRDefault="00921C65" w:rsidP="009E1886">
      <w:pPr>
        <w:pStyle w:val="Body"/>
        <w:spacing w:after="0"/>
        <w:ind w:left="720" w:hanging="720"/>
        <w:rPr>
          <w:rFonts w:ascii="Arial" w:hAnsi="Arial" w:cs="Arial"/>
        </w:rPr>
      </w:pPr>
      <w:r w:rsidRPr="00921C65">
        <w:rPr>
          <w:rFonts w:ascii="Arial" w:hAnsi="Arial" w:cs="Arial"/>
        </w:rPr>
        <w:t xml:space="preserve">Fisher, G. G., Bulger, C. A., &amp; Smith, C. S. (2009). Beyond work and family: A measure of work/nonwork interference and enhancement. Journal of Occupational Health Psychology, 14(4), 441–456. </w:t>
      </w:r>
      <w:hyperlink r:id="rId21" w:history="1">
        <w:r w:rsidRPr="0011691D">
          <w:rPr>
            <w:rStyle w:val="Hyperlink"/>
            <w:rFonts w:ascii="Arial" w:hAnsi="Arial" w:cs="Arial"/>
          </w:rPr>
          <w:t>https://doi.org/10.1037/a0016737</w:t>
        </w:r>
      </w:hyperlink>
    </w:p>
    <w:p w14:paraId="0F67E768" w14:textId="77777777" w:rsidR="00921C65" w:rsidRPr="00FB3A86" w:rsidRDefault="00921C65" w:rsidP="009E1886">
      <w:pPr>
        <w:pStyle w:val="Body"/>
        <w:spacing w:after="0"/>
        <w:ind w:left="720" w:hanging="720"/>
        <w:rPr>
          <w:rFonts w:ascii="Arial" w:hAnsi="Arial" w:cs="Arial"/>
        </w:rPr>
      </w:pPr>
      <w:r w:rsidRPr="009E1886">
        <w:rPr>
          <w:rFonts w:ascii="Arial" w:hAnsi="Arial" w:cs="Arial"/>
        </w:rPr>
        <w:t>Hair, J. F., Risher, J. J., Sarstedt, M., &amp; Ringle, C. M. (2019). When to use and how to report the results of PLS-SEM. European business review, 31(1), 2-24.</w:t>
      </w:r>
    </w:p>
    <w:p w14:paraId="20252D97" w14:textId="77777777" w:rsidR="00921C65" w:rsidRDefault="00921C65" w:rsidP="009E1886">
      <w:pPr>
        <w:pStyle w:val="Body"/>
        <w:spacing w:after="0"/>
        <w:ind w:left="720" w:hanging="720"/>
        <w:rPr>
          <w:rFonts w:ascii="Arial" w:hAnsi="Arial" w:cs="Arial"/>
        </w:rPr>
      </w:pPr>
      <w:proofErr w:type="spellStart"/>
      <w:r w:rsidRPr="00B86B98">
        <w:rPr>
          <w:rFonts w:ascii="Arial" w:hAnsi="Arial" w:cs="Arial"/>
        </w:rPr>
        <w:t>Im</w:t>
      </w:r>
      <w:proofErr w:type="spellEnd"/>
      <w:r w:rsidRPr="00B86B98">
        <w:rPr>
          <w:rFonts w:ascii="Arial" w:hAnsi="Arial" w:cs="Arial"/>
        </w:rPr>
        <w:t xml:space="preserve">, J., Kim, J., &amp; </w:t>
      </w:r>
      <w:proofErr w:type="spellStart"/>
      <w:r w:rsidRPr="00B86B98">
        <w:rPr>
          <w:rFonts w:ascii="Arial" w:hAnsi="Arial" w:cs="Arial"/>
        </w:rPr>
        <w:t>Choeh</w:t>
      </w:r>
      <w:proofErr w:type="spellEnd"/>
      <w:r w:rsidRPr="00B86B98">
        <w:rPr>
          <w:rFonts w:ascii="Arial" w:hAnsi="Arial" w:cs="Arial"/>
        </w:rPr>
        <w:t xml:space="preserve">, J. Y. (2021). COVID-19, social distancing, and risk-averse actions of hospitality and tourism consumers: A case of South Korea. Journal of Destination Marketing &amp; Management, 20, 100566. </w:t>
      </w:r>
      <w:hyperlink r:id="rId22" w:history="1">
        <w:r w:rsidRPr="0011691D">
          <w:rPr>
            <w:rStyle w:val="Hyperlink"/>
            <w:rFonts w:ascii="Arial" w:hAnsi="Arial" w:cs="Arial"/>
          </w:rPr>
          <w:t>https://doi.org/10.1016/j.jdmm.2021.100566</w:t>
        </w:r>
      </w:hyperlink>
    </w:p>
    <w:p w14:paraId="4D52C528" w14:textId="77777777" w:rsidR="00921C65" w:rsidRDefault="00921C65" w:rsidP="00921C65">
      <w:pPr>
        <w:pStyle w:val="Body"/>
        <w:spacing w:after="0"/>
        <w:ind w:left="720" w:hanging="720"/>
        <w:rPr>
          <w:rFonts w:ascii="Arial" w:hAnsi="Arial" w:cs="Arial"/>
        </w:rPr>
      </w:pPr>
      <w:proofErr w:type="spellStart"/>
      <w:r w:rsidRPr="00921C65">
        <w:rPr>
          <w:rFonts w:ascii="Arial" w:hAnsi="Arial" w:cs="Arial"/>
        </w:rPr>
        <w:t>Jaharuddin</w:t>
      </w:r>
      <w:proofErr w:type="spellEnd"/>
      <w:r w:rsidRPr="00921C65">
        <w:rPr>
          <w:rFonts w:ascii="Arial" w:hAnsi="Arial" w:cs="Arial"/>
        </w:rPr>
        <w:t xml:space="preserve">, N. S., &amp; Zainol, L. N. (2019). The Impact of Work-Life Balance on Job Engagement and Turnover Intention. The South East Asian Journal of Management, 13(1). </w:t>
      </w:r>
      <w:hyperlink r:id="rId23" w:history="1">
        <w:r w:rsidRPr="0011691D">
          <w:rPr>
            <w:rStyle w:val="Hyperlink"/>
            <w:rFonts w:ascii="Arial" w:hAnsi="Arial" w:cs="Arial"/>
          </w:rPr>
          <w:t>https://doi.org/10.21002/seam.v13i1.10912</w:t>
        </w:r>
      </w:hyperlink>
    </w:p>
    <w:p w14:paraId="7B627E6C" w14:textId="77777777" w:rsidR="00921C65" w:rsidRDefault="00921C65" w:rsidP="009E1886">
      <w:pPr>
        <w:pStyle w:val="Body"/>
        <w:spacing w:after="0"/>
        <w:ind w:left="720" w:hanging="720"/>
        <w:rPr>
          <w:rFonts w:ascii="Arial" w:hAnsi="Arial" w:cs="Arial"/>
        </w:rPr>
      </w:pPr>
      <w:r w:rsidRPr="009E1886">
        <w:rPr>
          <w:rFonts w:ascii="Arial" w:hAnsi="Arial" w:cs="Arial"/>
        </w:rPr>
        <w:t>Malhotra, R. (2016). Empirical research in software engineering: concepts, analysis, and applications. CRC press.</w:t>
      </w:r>
    </w:p>
    <w:p w14:paraId="0C98EED9"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Maslach, C., &amp; Leiter, M. P. (2017). Understanding Burnout. In The Handbook of Stress and Health (pp. 36–56). Wiley. </w:t>
      </w:r>
      <w:hyperlink r:id="rId24" w:history="1">
        <w:r w:rsidRPr="0011691D">
          <w:rPr>
            <w:rStyle w:val="Hyperlink"/>
            <w:rFonts w:ascii="Arial" w:hAnsi="Arial" w:cs="Arial"/>
          </w:rPr>
          <w:t>https://doi.org/10.1002/9781118993811.ch3</w:t>
        </w:r>
      </w:hyperlink>
    </w:p>
    <w:p w14:paraId="620FA6D0"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Park, J., &amp; Min, H. (Kelly). (2020). Turnover intention in the hospitality industry: A meta-analysis. International Journal of Hospitality Management, 90, 102599. </w:t>
      </w:r>
      <w:hyperlink r:id="rId25" w:history="1">
        <w:r w:rsidRPr="0011691D">
          <w:rPr>
            <w:rStyle w:val="Hyperlink"/>
            <w:rFonts w:ascii="Arial" w:hAnsi="Arial" w:cs="Arial"/>
          </w:rPr>
          <w:t>https://doi.org/10.1016/j.ijhm.2020.102599</w:t>
        </w:r>
      </w:hyperlink>
    </w:p>
    <w:p w14:paraId="0D7F6B4F"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Rhoades, L., &amp; Eisenberger, R. (2002). Perceived organizational support: A review of the literature. Journal of Applied Psychology, 87(4), 698–714. </w:t>
      </w:r>
      <w:hyperlink r:id="rId26" w:history="1">
        <w:r w:rsidRPr="0011691D">
          <w:rPr>
            <w:rStyle w:val="Hyperlink"/>
            <w:rFonts w:ascii="Arial" w:hAnsi="Arial" w:cs="Arial"/>
          </w:rPr>
          <w:t>https://doi.org/10.1037/0021-9010.87.4.698</w:t>
        </w:r>
      </w:hyperlink>
    </w:p>
    <w:p w14:paraId="6C445ED5" w14:textId="77777777" w:rsidR="00921C65" w:rsidRDefault="00921C65" w:rsidP="009E1886">
      <w:pPr>
        <w:pStyle w:val="Body"/>
        <w:spacing w:after="0"/>
        <w:ind w:left="720" w:hanging="720"/>
        <w:rPr>
          <w:rFonts w:ascii="Arial" w:hAnsi="Arial" w:cs="Arial"/>
        </w:rPr>
      </w:pPr>
      <w:r w:rsidRPr="002F3882">
        <w:rPr>
          <w:rFonts w:ascii="Arial" w:hAnsi="Arial" w:cs="Arial"/>
        </w:rPr>
        <w:t>Sekaran, U., &amp; Bougie, R. (2016). Research Methods for Business (Seventh). John Wiley &amp; Sons Ltd.</w:t>
      </w:r>
    </w:p>
    <w:p w14:paraId="15F706DF" w14:textId="77777777" w:rsidR="00921C65" w:rsidRDefault="00921C65" w:rsidP="009E1886">
      <w:pPr>
        <w:pStyle w:val="Body"/>
        <w:spacing w:after="0"/>
        <w:ind w:left="720" w:hanging="720"/>
        <w:rPr>
          <w:rFonts w:ascii="Arial" w:hAnsi="Arial" w:cs="Arial"/>
        </w:rPr>
      </w:pPr>
      <w:r w:rsidRPr="00921C65">
        <w:rPr>
          <w:rFonts w:ascii="Arial" w:hAnsi="Arial" w:cs="Arial"/>
        </w:rPr>
        <w:t xml:space="preserve">Smith, K. J., Haight, T. D., Emerson, D. J., Mauldin, S., &amp; Wood, B. G. (2020). Resilience as a coping strategy for reducing departure intentions of accounting students. Accounting Education, 29(1), 77–108. </w:t>
      </w:r>
      <w:hyperlink r:id="rId27" w:history="1">
        <w:r w:rsidRPr="0011691D">
          <w:rPr>
            <w:rStyle w:val="Hyperlink"/>
            <w:rFonts w:ascii="Arial" w:hAnsi="Arial" w:cs="Arial"/>
          </w:rPr>
          <w:t>https://doi.org/10.1080/09639284.2019.1700140</w:t>
        </w:r>
      </w:hyperlink>
    </w:p>
    <w:p w14:paraId="40CF454B" w14:textId="77777777" w:rsidR="00921C65" w:rsidRDefault="00921C65" w:rsidP="009E1886">
      <w:pPr>
        <w:pStyle w:val="Body"/>
        <w:spacing w:after="0"/>
        <w:ind w:left="720" w:hanging="720"/>
        <w:rPr>
          <w:rFonts w:ascii="Arial" w:hAnsi="Arial" w:cs="Arial"/>
        </w:rPr>
      </w:pPr>
      <w:r w:rsidRPr="009E4DA6">
        <w:rPr>
          <w:rFonts w:ascii="Arial" w:hAnsi="Arial" w:cs="Arial"/>
        </w:rPr>
        <w:t xml:space="preserve">Wen, T. B., Theresa, C. F. H., Kelana, B. W. Y., Othman, R., &amp; Syed, O. R. (2019). Leadership Styles in Influencing Employees’ Job Performances. International Journal of Academic Research in Business and Social Sciences, 9(9). </w:t>
      </w:r>
      <w:hyperlink r:id="rId28" w:history="1">
        <w:r w:rsidRPr="0011691D">
          <w:rPr>
            <w:rStyle w:val="Hyperlink"/>
            <w:rFonts w:ascii="Arial" w:hAnsi="Arial" w:cs="Arial"/>
          </w:rPr>
          <w:t>https://doi.org/10.6007/IJARBSS/v9-i9/6269</w:t>
        </w:r>
      </w:hyperlink>
    </w:p>
    <w:p w14:paraId="6AA2357F" w14:textId="77777777" w:rsidR="00921C65" w:rsidRDefault="00921C65" w:rsidP="00921C65">
      <w:pPr>
        <w:pStyle w:val="Body"/>
        <w:spacing w:after="0"/>
        <w:ind w:left="720" w:hanging="720"/>
        <w:rPr>
          <w:rFonts w:ascii="Arial" w:hAnsi="Arial" w:cs="Arial"/>
        </w:rPr>
      </w:pPr>
    </w:p>
    <w:p w14:paraId="6BEB2E83" w14:textId="77777777" w:rsidR="00A16CCB" w:rsidRDefault="00B01FCD" w:rsidP="00441B6F">
      <w:pPr>
        <w:pStyle w:val="Appendix"/>
        <w:spacing w:after="0"/>
        <w:jc w:val="both"/>
        <w:rPr>
          <w:rFonts w:ascii="Arial" w:hAnsi="Arial" w:cs="Arial"/>
        </w:rPr>
      </w:pPr>
      <w:r w:rsidRPr="00FB3A86">
        <w:rPr>
          <w:rFonts w:ascii="Arial" w:hAnsi="Arial" w:cs="Arial"/>
        </w:rPr>
        <w:t>APPENDIX</w:t>
      </w:r>
    </w:p>
    <w:p w14:paraId="38644E94" w14:textId="77777777" w:rsidR="009D4A78" w:rsidRDefault="00A16CCB" w:rsidP="009D4A78">
      <w:pPr>
        <w:pStyle w:val="Appendix"/>
        <w:spacing w:after="0"/>
        <w:jc w:val="both"/>
        <w:rPr>
          <w:rFonts w:ascii="Arial" w:hAnsi="Arial" w:cs="Arial"/>
        </w:rPr>
      </w:pPr>
      <w:r>
        <w:rPr>
          <w:rFonts w:ascii="Arial" w:hAnsi="Arial" w:cs="Arial"/>
        </w:rPr>
        <w:t>Workload</w:t>
      </w:r>
      <w:r w:rsidR="00D02AD3">
        <w:rPr>
          <w:rFonts w:ascii="Arial" w:hAnsi="Arial" w:cs="Arial"/>
        </w:rPr>
        <w:t xml:space="preserve"> </w:t>
      </w:r>
      <w:r w:rsidR="00D02AD3" w:rsidRPr="00D02AD3">
        <w:rPr>
          <w:rFonts w:ascii="Arial" w:hAnsi="Arial" w:cs="Arial"/>
        </w:rPr>
        <w:t>(</w:t>
      </w:r>
      <w:r w:rsidR="00D02AD3">
        <w:rPr>
          <w:rFonts w:ascii="Arial" w:hAnsi="Arial" w:cs="Arial"/>
          <w:caps w:val="0"/>
        </w:rPr>
        <w:t>S</w:t>
      </w:r>
      <w:r w:rsidR="00D02AD3" w:rsidRPr="00D02AD3">
        <w:rPr>
          <w:rFonts w:ascii="Arial" w:hAnsi="Arial" w:cs="Arial"/>
          <w:caps w:val="0"/>
        </w:rPr>
        <w:t xml:space="preserve">mith et al., </w:t>
      </w:r>
      <w:r w:rsidR="00D02AD3" w:rsidRPr="00D02AD3">
        <w:rPr>
          <w:rFonts w:ascii="Arial" w:hAnsi="Arial" w:cs="Arial"/>
        </w:rPr>
        <w:t>2020)</w:t>
      </w:r>
    </w:p>
    <w:p w14:paraId="7B274852" w14:textId="77777777" w:rsidR="009D4A78" w:rsidRDefault="00013EF7" w:rsidP="00921C65">
      <w:pPr>
        <w:pStyle w:val="Appendix"/>
        <w:numPr>
          <w:ilvl w:val="0"/>
          <w:numId w:val="39"/>
        </w:numPr>
        <w:spacing w:after="0"/>
        <w:ind w:left="0" w:firstLine="0"/>
        <w:jc w:val="both"/>
        <w:rPr>
          <w:rFonts w:ascii="Arial" w:hAnsi="Arial" w:cs="Arial"/>
        </w:rPr>
      </w:pPr>
      <w:r>
        <w:rPr>
          <w:rFonts w:ascii="Arial" w:hAnsi="Arial" w:cs="Arial"/>
          <w:b w:val="0"/>
          <w:caps w:val="0"/>
        </w:rPr>
        <w:t xml:space="preserve"> </w:t>
      </w:r>
      <w:r w:rsidR="001129B1" w:rsidRPr="001129B1">
        <w:rPr>
          <w:rFonts w:ascii="Arial" w:hAnsi="Arial" w:cs="Arial"/>
          <w:b w:val="0"/>
          <w:caps w:val="0"/>
        </w:rPr>
        <w:t xml:space="preserve">I have more work than </w:t>
      </w:r>
      <w:proofErr w:type="spellStart"/>
      <w:r w:rsidR="001129B1" w:rsidRPr="001129B1">
        <w:rPr>
          <w:rFonts w:ascii="Arial" w:hAnsi="Arial" w:cs="Arial"/>
          <w:b w:val="0"/>
          <w:caps w:val="0"/>
        </w:rPr>
        <w:t>i</w:t>
      </w:r>
      <w:proofErr w:type="spellEnd"/>
      <w:r w:rsidR="001129B1" w:rsidRPr="001129B1">
        <w:rPr>
          <w:rFonts w:ascii="Arial" w:hAnsi="Arial" w:cs="Arial"/>
          <w:b w:val="0"/>
          <w:caps w:val="0"/>
        </w:rPr>
        <w:t xml:space="preserve"> can complete during my working hours</w:t>
      </w:r>
      <w:r w:rsidR="001129B1" w:rsidRPr="001129B1">
        <w:rPr>
          <w:rFonts w:ascii="Arial" w:hAnsi="Arial" w:cs="Arial"/>
          <w:b w:val="0"/>
        </w:rPr>
        <w:t>.</w:t>
      </w:r>
    </w:p>
    <w:p w14:paraId="2D0E79B6" w14:textId="77777777" w:rsidR="009D4A78" w:rsidRDefault="001129B1" w:rsidP="009D4A78">
      <w:pPr>
        <w:pStyle w:val="Appendix"/>
        <w:numPr>
          <w:ilvl w:val="0"/>
          <w:numId w:val="39"/>
        </w:numPr>
        <w:spacing w:after="0"/>
        <w:jc w:val="both"/>
        <w:rPr>
          <w:rFonts w:ascii="Arial" w:hAnsi="Arial" w:cs="Arial"/>
        </w:rPr>
      </w:pPr>
      <w:r w:rsidRPr="001129B1">
        <w:rPr>
          <w:rFonts w:ascii="Arial" w:hAnsi="Arial" w:cs="Arial"/>
          <w:b w:val="0"/>
          <w:caps w:val="0"/>
        </w:rPr>
        <w:t xml:space="preserve">I often feel that </w:t>
      </w:r>
      <w:proofErr w:type="spellStart"/>
      <w:r w:rsidRPr="001129B1">
        <w:rPr>
          <w:rFonts w:ascii="Arial" w:hAnsi="Arial" w:cs="Arial"/>
          <w:b w:val="0"/>
          <w:caps w:val="0"/>
        </w:rPr>
        <w:t>i</w:t>
      </w:r>
      <w:proofErr w:type="spellEnd"/>
      <w:r w:rsidRPr="001129B1">
        <w:rPr>
          <w:rFonts w:ascii="Arial" w:hAnsi="Arial" w:cs="Arial"/>
          <w:b w:val="0"/>
          <w:caps w:val="0"/>
        </w:rPr>
        <w:t xml:space="preserve"> don't have enough time to finish all my tasks at the hotel.</w:t>
      </w:r>
    </w:p>
    <w:p w14:paraId="1F6001C7" w14:textId="77777777" w:rsidR="009D4A78" w:rsidRDefault="001129B1" w:rsidP="009D4A78">
      <w:pPr>
        <w:pStyle w:val="Appendix"/>
        <w:numPr>
          <w:ilvl w:val="0"/>
          <w:numId w:val="39"/>
        </w:numPr>
        <w:spacing w:after="0"/>
        <w:jc w:val="both"/>
        <w:rPr>
          <w:rFonts w:ascii="Arial" w:hAnsi="Arial" w:cs="Arial"/>
        </w:rPr>
      </w:pPr>
      <w:r w:rsidRPr="001129B1">
        <w:rPr>
          <w:rFonts w:ascii="Arial" w:hAnsi="Arial" w:cs="Arial"/>
          <w:b w:val="0"/>
          <w:caps w:val="0"/>
        </w:rPr>
        <w:t>My work piles up, making it difficult for me to complete it calmly.</w:t>
      </w:r>
    </w:p>
    <w:p w14:paraId="4130EDC9" w14:textId="77777777" w:rsidR="001129B1" w:rsidRPr="009D4A78" w:rsidRDefault="001129B1" w:rsidP="009D4A78">
      <w:pPr>
        <w:pStyle w:val="Appendix"/>
        <w:numPr>
          <w:ilvl w:val="0"/>
          <w:numId w:val="39"/>
        </w:numPr>
        <w:spacing w:after="0"/>
        <w:jc w:val="both"/>
        <w:rPr>
          <w:rFonts w:ascii="Arial" w:hAnsi="Arial" w:cs="Arial"/>
        </w:rPr>
      </w:pPr>
      <w:r w:rsidRPr="001129B1">
        <w:rPr>
          <w:rFonts w:ascii="Arial" w:hAnsi="Arial" w:cs="Arial"/>
          <w:b w:val="0"/>
          <w:caps w:val="0"/>
        </w:rPr>
        <w:t xml:space="preserve">I feel overwhelmed by the amount of responsibility </w:t>
      </w:r>
      <w:proofErr w:type="spellStart"/>
      <w:r w:rsidRPr="001129B1">
        <w:rPr>
          <w:rFonts w:ascii="Arial" w:hAnsi="Arial" w:cs="Arial"/>
          <w:b w:val="0"/>
          <w:caps w:val="0"/>
        </w:rPr>
        <w:t>i</w:t>
      </w:r>
      <w:proofErr w:type="spellEnd"/>
      <w:r w:rsidRPr="001129B1">
        <w:rPr>
          <w:rFonts w:ascii="Arial" w:hAnsi="Arial" w:cs="Arial"/>
          <w:b w:val="0"/>
          <w:caps w:val="0"/>
        </w:rPr>
        <w:t xml:space="preserve"> have in a single workday.</w:t>
      </w:r>
    </w:p>
    <w:p w14:paraId="0D1EFE3B" w14:textId="77777777" w:rsidR="00A16CCB" w:rsidRDefault="00A16CCB" w:rsidP="00A16CCB">
      <w:pPr>
        <w:rPr>
          <w:rFonts w:ascii="Arial" w:hAnsi="Arial" w:cs="Arial"/>
          <w:b/>
          <w:sz w:val="22"/>
          <w:szCs w:val="22"/>
        </w:rPr>
      </w:pPr>
      <w:r w:rsidRPr="00A16CCB">
        <w:rPr>
          <w:rFonts w:ascii="Arial" w:hAnsi="Arial" w:cs="Arial"/>
          <w:b/>
          <w:sz w:val="22"/>
          <w:szCs w:val="22"/>
        </w:rPr>
        <w:t>WORK-LIFE BALANCE</w:t>
      </w:r>
      <w:r w:rsidR="00D02AD3">
        <w:rPr>
          <w:rFonts w:ascii="Arial" w:hAnsi="Arial" w:cs="Arial"/>
          <w:b/>
          <w:sz w:val="22"/>
          <w:szCs w:val="22"/>
        </w:rPr>
        <w:t xml:space="preserve"> (</w:t>
      </w:r>
      <w:r w:rsidR="00D02AD3" w:rsidRPr="00D02AD3">
        <w:rPr>
          <w:rFonts w:ascii="Arial" w:hAnsi="Arial" w:cs="Arial"/>
          <w:b/>
          <w:sz w:val="22"/>
          <w:szCs w:val="22"/>
        </w:rPr>
        <w:t>Fisher et al., 2009</w:t>
      </w:r>
      <w:r w:rsidR="00D02AD3">
        <w:rPr>
          <w:rFonts w:ascii="Arial" w:hAnsi="Arial" w:cs="Arial"/>
          <w:b/>
          <w:sz w:val="22"/>
          <w:szCs w:val="22"/>
        </w:rPr>
        <w:t>)</w:t>
      </w:r>
    </w:p>
    <w:p w14:paraId="790BD879"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come home from work too tired to do things I would like to do.</w:t>
      </w:r>
    </w:p>
    <w:p w14:paraId="567C9F41"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 xml:space="preserve">My job makes it difficult to maintain the kind of personal life I would like. </w:t>
      </w:r>
    </w:p>
    <w:p w14:paraId="05F65FDA"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lastRenderedPageBreak/>
        <w:t>I often neglect my personal needs because of the demands of my work.</w:t>
      </w:r>
    </w:p>
    <w:p w14:paraId="57C7DC80"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suffers because of my work.</w:t>
      </w:r>
    </w:p>
    <w:p w14:paraId="2962FE15"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have to miss out on important personal activities due to the amount of time</w:t>
      </w:r>
      <w:r>
        <w:rPr>
          <w:rFonts w:ascii="Arial" w:hAnsi="Arial" w:cs="Arial"/>
          <w:sz w:val="22"/>
          <w:szCs w:val="22"/>
        </w:rPr>
        <w:t xml:space="preserve"> </w:t>
      </w:r>
      <w:r w:rsidRPr="00F95E3D">
        <w:rPr>
          <w:rFonts w:ascii="Arial" w:hAnsi="Arial" w:cs="Arial"/>
          <w:sz w:val="22"/>
          <w:szCs w:val="22"/>
        </w:rPr>
        <w:t>I spend doing work.</w:t>
      </w:r>
    </w:p>
    <w:p w14:paraId="55BA2E77"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drains me of the energy I need to do my job.</w:t>
      </w:r>
    </w:p>
    <w:p w14:paraId="629565F8"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work suffers because of everything going on in my personal life.</w:t>
      </w:r>
    </w:p>
    <w:p w14:paraId="1875B3A9"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would devote more time to work if it weren’t for everything I have going</w:t>
      </w:r>
      <w:r>
        <w:rPr>
          <w:rFonts w:ascii="Arial" w:hAnsi="Arial" w:cs="Arial"/>
          <w:sz w:val="22"/>
          <w:szCs w:val="22"/>
        </w:rPr>
        <w:t xml:space="preserve"> </w:t>
      </w:r>
      <w:r w:rsidRPr="00F95E3D">
        <w:rPr>
          <w:rFonts w:ascii="Arial" w:hAnsi="Arial" w:cs="Arial"/>
          <w:sz w:val="22"/>
          <w:szCs w:val="22"/>
        </w:rPr>
        <w:t>on in my personal life.</w:t>
      </w:r>
    </w:p>
    <w:p w14:paraId="767A28B1"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am too tired to be effective at work because of things I have going on in</w:t>
      </w:r>
      <w:r>
        <w:rPr>
          <w:rFonts w:ascii="Arial" w:hAnsi="Arial" w:cs="Arial"/>
          <w:sz w:val="22"/>
          <w:szCs w:val="22"/>
        </w:rPr>
        <w:t xml:space="preserve"> </w:t>
      </w:r>
      <w:r w:rsidRPr="00F95E3D">
        <w:rPr>
          <w:rFonts w:ascii="Arial" w:hAnsi="Arial" w:cs="Arial"/>
          <w:sz w:val="22"/>
          <w:szCs w:val="22"/>
        </w:rPr>
        <w:t>my personal life.</w:t>
      </w:r>
    </w:p>
    <w:p w14:paraId="47780763"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When I’m at work, I worry about things I need to do outside work.</w:t>
      </w:r>
    </w:p>
    <w:p w14:paraId="62C028D2"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have difficulty getting my work done because I am preoccupied with</w:t>
      </w:r>
      <w:r>
        <w:rPr>
          <w:rFonts w:ascii="Arial" w:hAnsi="Arial" w:cs="Arial"/>
          <w:sz w:val="22"/>
          <w:szCs w:val="22"/>
        </w:rPr>
        <w:t xml:space="preserve"> </w:t>
      </w:r>
      <w:r w:rsidRPr="00F95E3D">
        <w:rPr>
          <w:rFonts w:ascii="Arial" w:hAnsi="Arial" w:cs="Arial"/>
          <w:sz w:val="22"/>
          <w:szCs w:val="22"/>
        </w:rPr>
        <w:t>personal matters at work.</w:t>
      </w:r>
    </w:p>
    <w:p w14:paraId="00EAE18D"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job gives me energy to pursue activities outside of work that are</w:t>
      </w:r>
      <w:r>
        <w:rPr>
          <w:rFonts w:ascii="Arial" w:hAnsi="Arial" w:cs="Arial"/>
          <w:sz w:val="22"/>
          <w:szCs w:val="22"/>
        </w:rPr>
        <w:t xml:space="preserve"> </w:t>
      </w:r>
      <w:r w:rsidRPr="00F95E3D">
        <w:rPr>
          <w:rFonts w:ascii="Arial" w:hAnsi="Arial" w:cs="Arial"/>
          <w:sz w:val="22"/>
          <w:szCs w:val="22"/>
        </w:rPr>
        <w:t>important</w:t>
      </w:r>
      <w:r>
        <w:rPr>
          <w:rFonts w:ascii="Arial" w:hAnsi="Arial" w:cs="Arial"/>
          <w:sz w:val="22"/>
          <w:szCs w:val="22"/>
        </w:rPr>
        <w:t xml:space="preserve"> </w:t>
      </w:r>
      <w:r w:rsidRPr="00F95E3D">
        <w:rPr>
          <w:rFonts w:ascii="Arial" w:hAnsi="Arial" w:cs="Arial"/>
          <w:sz w:val="22"/>
          <w:szCs w:val="22"/>
        </w:rPr>
        <w:t>to me.</w:t>
      </w:r>
    </w:p>
    <w:p w14:paraId="4DDB88DB"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Because of my job, I am in a better mood at home.</w:t>
      </w:r>
    </w:p>
    <w:p w14:paraId="7A1E20F5"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The things I do at work help me deal with personal and practical issues at</w:t>
      </w:r>
      <w:r>
        <w:rPr>
          <w:rFonts w:ascii="Arial" w:hAnsi="Arial" w:cs="Arial"/>
          <w:sz w:val="22"/>
          <w:szCs w:val="22"/>
        </w:rPr>
        <w:t xml:space="preserve"> </w:t>
      </w:r>
      <w:r w:rsidRPr="00F95E3D">
        <w:rPr>
          <w:rFonts w:ascii="Arial" w:hAnsi="Arial" w:cs="Arial"/>
          <w:sz w:val="22"/>
          <w:szCs w:val="22"/>
        </w:rPr>
        <w:t>home.</w:t>
      </w:r>
    </w:p>
    <w:p w14:paraId="70E355C8"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I am in a better mood at work because of everything I have going for me in</w:t>
      </w:r>
      <w:r>
        <w:rPr>
          <w:rFonts w:ascii="Arial" w:hAnsi="Arial" w:cs="Arial"/>
          <w:sz w:val="22"/>
          <w:szCs w:val="22"/>
        </w:rPr>
        <w:t xml:space="preserve"> </w:t>
      </w:r>
      <w:r w:rsidRPr="00F95E3D">
        <w:rPr>
          <w:rFonts w:ascii="Arial" w:hAnsi="Arial" w:cs="Arial"/>
          <w:sz w:val="22"/>
          <w:szCs w:val="22"/>
        </w:rPr>
        <w:t>my personal life.</w:t>
      </w:r>
    </w:p>
    <w:p w14:paraId="5C5EC062"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gives me the energy to do my job.</w:t>
      </w:r>
    </w:p>
    <w:p w14:paraId="3A074AA4" w14:textId="77777777" w:rsidR="00F95E3D" w:rsidRPr="00F95E3D" w:rsidRDefault="00F95E3D" w:rsidP="00F95E3D">
      <w:pPr>
        <w:pStyle w:val="ListParagraph"/>
        <w:numPr>
          <w:ilvl w:val="0"/>
          <w:numId w:val="35"/>
        </w:numPr>
        <w:rPr>
          <w:rFonts w:ascii="Arial" w:hAnsi="Arial" w:cs="Arial"/>
          <w:sz w:val="22"/>
          <w:szCs w:val="22"/>
        </w:rPr>
      </w:pPr>
      <w:r w:rsidRPr="00F95E3D">
        <w:rPr>
          <w:rFonts w:ascii="Arial" w:hAnsi="Arial" w:cs="Arial"/>
          <w:sz w:val="22"/>
          <w:szCs w:val="22"/>
        </w:rPr>
        <w:t>My personal life helps me relax and feel ready for the next day’s work.</w:t>
      </w:r>
    </w:p>
    <w:p w14:paraId="44C743A7" w14:textId="77777777" w:rsidR="00A16CCB" w:rsidRPr="00A16CCB" w:rsidRDefault="00A16CCB" w:rsidP="00A16CCB">
      <w:pPr>
        <w:rPr>
          <w:rFonts w:ascii="Arial" w:hAnsi="Arial" w:cs="Arial"/>
          <w:b/>
          <w:sz w:val="22"/>
          <w:szCs w:val="22"/>
        </w:rPr>
      </w:pPr>
      <w:r>
        <w:rPr>
          <w:rFonts w:ascii="Arial" w:hAnsi="Arial" w:cs="Arial"/>
          <w:b/>
          <w:sz w:val="22"/>
          <w:szCs w:val="22"/>
        </w:rPr>
        <w:t>Organizational Support</w:t>
      </w:r>
      <w:r w:rsidR="00180370">
        <w:rPr>
          <w:rFonts w:ascii="Arial" w:hAnsi="Arial" w:cs="Arial"/>
          <w:b/>
          <w:sz w:val="22"/>
          <w:szCs w:val="22"/>
        </w:rPr>
        <w:t xml:space="preserve"> (</w:t>
      </w:r>
      <w:r w:rsidR="00180370" w:rsidRPr="00180370">
        <w:rPr>
          <w:rFonts w:ascii="Arial" w:hAnsi="Arial" w:cs="Arial"/>
          <w:b/>
          <w:sz w:val="22"/>
          <w:szCs w:val="22"/>
        </w:rPr>
        <w:t>Eisenberger et al., 2020</w:t>
      </w:r>
      <w:r w:rsidR="00180370">
        <w:rPr>
          <w:rFonts w:ascii="Arial" w:hAnsi="Arial" w:cs="Arial"/>
          <w:b/>
          <w:sz w:val="22"/>
          <w:szCs w:val="22"/>
        </w:rPr>
        <w:t>)</w:t>
      </w:r>
    </w:p>
    <w:p w14:paraId="2B7B41D9"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values my contribution to its well-being.</w:t>
      </w:r>
    </w:p>
    <w:p w14:paraId="3299F60D"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strongly considers my goals and values.</w:t>
      </w:r>
    </w:p>
    <w:p w14:paraId="578130DB"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Help is available from the organization when I have a problem.</w:t>
      </w:r>
    </w:p>
    <w:p w14:paraId="123C1D20"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really cares about my well-being.</w:t>
      </w:r>
    </w:p>
    <w:p w14:paraId="273606C1"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wishes to give me the best possible job for which I am qualified.</w:t>
      </w:r>
    </w:p>
    <w:p w14:paraId="5EADE172"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cares about my general satisfaction at work.</w:t>
      </w:r>
    </w:p>
    <w:p w14:paraId="4FAEA941"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takes pride in my accomplishments at work.</w:t>
      </w:r>
    </w:p>
    <w:p w14:paraId="7AA01074"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would forgive an honest mistake on my part.</w:t>
      </w:r>
    </w:p>
    <w:p w14:paraId="69A43D48" w14:textId="77777777" w:rsidR="00A16CCB" w:rsidRP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is willing to extend itself to help me perform my job to the best of my ability.</w:t>
      </w:r>
    </w:p>
    <w:p w14:paraId="5CCFD8D5" w14:textId="77777777" w:rsidR="00A16CCB" w:rsidRDefault="00A16CCB" w:rsidP="00A16CCB">
      <w:pPr>
        <w:pStyle w:val="ListParagraph"/>
        <w:numPr>
          <w:ilvl w:val="0"/>
          <w:numId w:val="34"/>
        </w:numPr>
        <w:rPr>
          <w:rFonts w:ascii="Arial" w:hAnsi="Arial" w:cs="Arial"/>
          <w:sz w:val="22"/>
          <w:szCs w:val="22"/>
        </w:rPr>
      </w:pPr>
      <w:r w:rsidRPr="00A16CCB">
        <w:rPr>
          <w:rFonts w:ascii="Arial" w:hAnsi="Arial" w:cs="Arial"/>
          <w:sz w:val="22"/>
          <w:szCs w:val="22"/>
        </w:rPr>
        <w:t>The organization cares about my opinions.</w:t>
      </w:r>
    </w:p>
    <w:p w14:paraId="2CBE4FE0" w14:textId="77777777" w:rsidR="00FE7254" w:rsidRPr="00FE7254" w:rsidRDefault="00FE7254" w:rsidP="00FE7254">
      <w:pPr>
        <w:rPr>
          <w:rFonts w:ascii="Arial" w:hAnsi="Arial" w:cs="Arial"/>
          <w:b/>
          <w:sz w:val="22"/>
          <w:szCs w:val="22"/>
        </w:rPr>
      </w:pPr>
      <w:r w:rsidRPr="00FE7254">
        <w:rPr>
          <w:rFonts w:ascii="Arial" w:hAnsi="Arial" w:cs="Arial"/>
          <w:b/>
          <w:sz w:val="22"/>
          <w:szCs w:val="22"/>
        </w:rPr>
        <w:t>Turnover Intention</w:t>
      </w:r>
      <w:r w:rsidR="00180370">
        <w:rPr>
          <w:rFonts w:ascii="Arial" w:hAnsi="Arial" w:cs="Arial"/>
          <w:b/>
          <w:sz w:val="22"/>
          <w:szCs w:val="22"/>
        </w:rPr>
        <w:t xml:space="preserve"> (</w:t>
      </w:r>
      <w:proofErr w:type="spellStart"/>
      <w:r w:rsidR="00180370" w:rsidRPr="00180370">
        <w:rPr>
          <w:rFonts w:ascii="Arial" w:hAnsi="Arial" w:cs="Arial"/>
          <w:b/>
          <w:sz w:val="22"/>
          <w:szCs w:val="22"/>
        </w:rPr>
        <w:t>Jaharuddin</w:t>
      </w:r>
      <w:proofErr w:type="spellEnd"/>
      <w:r w:rsidR="00180370" w:rsidRPr="00180370">
        <w:rPr>
          <w:rFonts w:ascii="Arial" w:hAnsi="Arial" w:cs="Arial"/>
          <w:b/>
          <w:sz w:val="22"/>
          <w:szCs w:val="22"/>
        </w:rPr>
        <w:t xml:space="preserve"> &amp; </w:t>
      </w:r>
      <w:proofErr w:type="spellStart"/>
      <w:r w:rsidR="00180370" w:rsidRPr="00180370">
        <w:rPr>
          <w:rFonts w:ascii="Arial" w:hAnsi="Arial" w:cs="Arial"/>
          <w:b/>
          <w:sz w:val="22"/>
          <w:szCs w:val="22"/>
        </w:rPr>
        <w:t>Zainol</w:t>
      </w:r>
      <w:proofErr w:type="spellEnd"/>
      <w:r w:rsidR="00180370" w:rsidRPr="00180370">
        <w:rPr>
          <w:rFonts w:ascii="Arial" w:hAnsi="Arial" w:cs="Arial"/>
          <w:b/>
          <w:sz w:val="22"/>
          <w:szCs w:val="22"/>
        </w:rPr>
        <w:t>, 2019</w:t>
      </w:r>
      <w:r w:rsidR="00180370">
        <w:rPr>
          <w:rFonts w:ascii="Arial" w:hAnsi="Arial" w:cs="Arial"/>
          <w:b/>
          <w:sz w:val="22"/>
          <w:szCs w:val="22"/>
        </w:rPr>
        <w:t>)</w:t>
      </w:r>
    </w:p>
    <w:p w14:paraId="1C0B1ED1" w14:textId="77777777" w:rsidR="00FE7254" w:rsidRPr="00FE7254" w:rsidRDefault="00FE7254" w:rsidP="00FE7254">
      <w:pPr>
        <w:pStyle w:val="ListParagraph"/>
        <w:numPr>
          <w:ilvl w:val="0"/>
          <w:numId w:val="37"/>
        </w:numPr>
        <w:rPr>
          <w:rFonts w:ascii="Arial" w:hAnsi="Arial" w:cs="Arial"/>
          <w:sz w:val="22"/>
          <w:szCs w:val="22"/>
        </w:rPr>
      </w:pPr>
      <w:r w:rsidRPr="00FE7254">
        <w:rPr>
          <w:rFonts w:ascii="Arial" w:hAnsi="Arial" w:cs="Arial"/>
          <w:sz w:val="22"/>
          <w:szCs w:val="22"/>
        </w:rPr>
        <w:t>I want to quit my job at this organi</w:t>
      </w:r>
      <w:r w:rsidR="00013EF7">
        <w:rPr>
          <w:rFonts w:ascii="Arial" w:hAnsi="Arial" w:cs="Arial"/>
          <w:sz w:val="22"/>
          <w:szCs w:val="22"/>
        </w:rPr>
        <w:t>z</w:t>
      </w:r>
      <w:r w:rsidRPr="00FE7254">
        <w:rPr>
          <w:rFonts w:ascii="Arial" w:hAnsi="Arial" w:cs="Arial"/>
          <w:sz w:val="22"/>
          <w:szCs w:val="22"/>
        </w:rPr>
        <w:t>ation.</w:t>
      </w:r>
    </w:p>
    <w:p w14:paraId="71A9F49D" w14:textId="77777777" w:rsidR="00FE7254" w:rsidRPr="00FE7254" w:rsidRDefault="00FE7254" w:rsidP="00FE7254">
      <w:pPr>
        <w:pStyle w:val="ListParagraph"/>
        <w:numPr>
          <w:ilvl w:val="0"/>
          <w:numId w:val="37"/>
        </w:numPr>
        <w:rPr>
          <w:rFonts w:ascii="Arial" w:hAnsi="Arial" w:cs="Arial"/>
          <w:sz w:val="22"/>
          <w:szCs w:val="22"/>
        </w:rPr>
      </w:pPr>
      <w:r w:rsidRPr="00FE7254">
        <w:rPr>
          <w:rFonts w:ascii="Arial" w:hAnsi="Arial" w:cs="Arial"/>
          <w:sz w:val="22"/>
          <w:szCs w:val="22"/>
        </w:rPr>
        <w:t>I am actively seeking employment elsewhere.</w:t>
      </w:r>
    </w:p>
    <w:p w14:paraId="201A302F" w14:textId="77777777" w:rsidR="00FE7254" w:rsidRPr="00FE7254" w:rsidRDefault="00FE7254" w:rsidP="00FE7254">
      <w:pPr>
        <w:pStyle w:val="ListParagraph"/>
        <w:numPr>
          <w:ilvl w:val="0"/>
          <w:numId w:val="37"/>
        </w:numPr>
        <w:rPr>
          <w:rFonts w:ascii="Arial" w:hAnsi="Arial" w:cs="Arial"/>
          <w:sz w:val="22"/>
          <w:szCs w:val="22"/>
        </w:rPr>
      </w:pPr>
      <w:r w:rsidRPr="00FE7254">
        <w:rPr>
          <w:rFonts w:ascii="Arial" w:hAnsi="Arial" w:cs="Arial"/>
          <w:sz w:val="22"/>
          <w:szCs w:val="22"/>
        </w:rPr>
        <w:t>If an opportunity to work at another organi</w:t>
      </w:r>
      <w:r w:rsidR="00013EF7">
        <w:rPr>
          <w:rFonts w:ascii="Arial" w:hAnsi="Arial" w:cs="Arial"/>
          <w:sz w:val="22"/>
          <w:szCs w:val="22"/>
        </w:rPr>
        <w:t>z</w:t>
      </w:r>
      <w:r w:rsidRPr="00FE7254">
        <w:rPr>
          <w:rFonts w:ascii="Arial" w:hAnsi="Arial" w:cs="Arial"/>
          <w:sz w:val="22"/>
          <w:szCs w:val="22"/>
        </w:rPr>
        <w:t>ation was available, I would leave</w:t>
      </w:r>
      <w:r>
        <w:rPr>
          <w:rFonts w:ascii="Arial" w:hAnsi="Arial" w:cs="Arial"/>
          <w:sz w:val="22"/>
          <w:szCs w:val="22"/>
        </w:rPr>
        <w:t xml:space="preserve"> </w:t>
      </w:r>
      <w:r w:rsidRPr="00FE7254">
        <w:rPr>
          <w:rFonts w:ascii="Arial" w:hAnsi="Arial" w:cs="Arial"/>
          <w:sz w:val="22"/>
          <w:szCs w:val="22"/>
        </w:rPr>
        <w:t>my current organi</w:t>
      </w:r>
      <w:r w:rsidR="00013EF7">
        <w:rPr>
          <w:rFonts w:ascii="Arial" w:hAnsi="Arial" w:cs="Arial"/>
          <w:sz w:val="22"/>
          <w:szCs w:val="22"/>
        </w:rPr>
        <w:t>z</w:t>
      </w:r>
      <w:r w:rsidRPr="00FE7254">
        <w:rPr>
          <w:rFonts w:ascii="Arial" w:hAnsi="Arial" w:cs="Arial"/>
          <w:sz w:val="22"/>
          <w:szCs w:val="22"/>
        </w:rPr>
        <w:t>ation.</w:t>
      </w:r>
    </w:p>
    <w:p w14:paraId="27B74C60" w14:textId="77777777" w:rsidR="00FE7254" w:rsidRPr="00FE7254" w:rsidRDefault="00FE7254" w:rsidP="00FE7254">
      <w:pPr>
        <w:rPr>
          <w:rFonts w:ascii="Arial" w:hAnsi="Arial" w:cs="Arial"/>
          <w:sz w:val="22"/>
          <w:szCs w:val="22"/>
        </w:rPr>
        <w:sectPr w:rsidR="00FE7254" w:rsidRPr="00FE7254" w:rsidSect="007158B3">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3DF9B56C" w14:textId="77777777" w:rsidR="00B01FCD" w:rsidRPr="00FB3A86" w:rsidRDefault="00B01FCD" w:rsidP="00441B6F">
      <w:pPr>
        <w:pStyle w:val="Appendix"/>
        <w:spacing w:after="0"/>
        <w:jc w:val="both"/>
        <w:rPr>
          <w:rFonts w:ascii="Arial" w:hAnsi="Arial" w:cs="Arial"/>
          <w:b w:val="0"/>
        </w:rPr>
      </w:pPr>
    </w:p>
    <w:sectPr w:rsidR="00B01FCD" w:rsidRPr="00FB3A86" w:rsidSect="007158B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21E9C" w14:textId="77777777" w:rsidR="00DA3B35" w:rsidRDefault="00DA3B35" w:rsidP="00C37E61">
      <w:r>
        <w:separator/>
      </w:r>
    </w:p>
  </w:endnote>
  <w:endnote w:type="continuationSeparator" w:id="0">
    <w:p w14:paraId="6B6C0DF9" w14:textId="77777777" w:rsidR="00DA3B35" w:rsidRDefault="00DA3B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8A" w14:textId="77777777" w:rsidR="001D5B53" w:rsidRDefault="001D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A46D" w14:textId="77777777" w:rsidR="001D5B53" w:rsidRDefault="001D5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0630" w14:textId="4E38B7CB" w:rsidR="007F6AEF" w:rsidRPr="007158B3" w:rsidRDefault="007F6AEF" w:rsidP="007158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F480" w14:textId="77777777" w:rsidR="007F6AEF" w:rsidRPr="00C37E61" w:rsidRDefault="007F6AE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4C942" w14:textId="77777777" w:rsidR="00DA3B35" w:rsidRDefault="00DA3B35" w:rsidP="00C37E61">
      <w:r>
        <w:separator/>
      </w:r>
    </w:p>
  </w:footnote>
  <w:footnote w:type="continuationSeparator" w:id="0">
    <w:p w14:paraId="032253FA" w14:textId="77777777" w:rsidR="00DA3B35" w:rsidRDefault="00DA3B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BBD2" w14:textId="6D94F934" w:rsidR="001D5B53" w:rsidRDefault="001D5B53">
    <w:pPr>
      <w:pStyle w:val="Header"/>
    </w:pPr>
    <w:r>
      <w:rPr>
        <w:noProof/>
      </w:rPr>
      <w:pict w14:anchorId="5FAC3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F704" w14:textId="78CAE0C9" w:rsidR="001D5B53" w:rsidRDefault="001D5B53">
    <w:pPr>
      <w:pStyle w:val="Header"/>
    </w:pPr>
    <w:r>
      <w:rPr>
        <w:noProof/>
      </w:rPr>
      <w:pict w14:anchorId="17CB9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7C27" w14:textId="628531E9" w:rsidR="007F6AEF" w:rsidRPr="00296529" w:rsidRDefault="001D5B53" w:rsidP="00296529">
    <w:pPr>
      <w:ind w:left="2160"/>
      <w:jc w:val="center"/>
      <w:rPr>
        <w:rFonts w:ascii="Times New Roman" w:eastAsia="Calibri" w:hAnsi="Times New Roman"/>
        <w:i/>
        <w:sz w:val="18"/>
        <w:szCs w:val="22"/>
      </w:rPr>
    </w:pPr>
    <w:r>
      <w:rPr>
        <w:noProof/>
      </w:rPr>
      <w:pict w14:anchorId="0BB96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7EC474" w14:textId="77777777" w:rsidR="007F6AEF" w:rsidRPr="00296529" w:rsidRDefault="007F6AE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1435947" w14:textId="77777777" w:rsidR="007F6AEF" w:rsidRPr="00296529" w:rsidRDefault="007F6AE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C4C90B" w14:textId="77777777" w:rsidR="007F6AEF" w:rsidRPr="00296529" w:rsidRDefault="007F6AE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617314" w14:textId="77777777" w:rsidR="007F6AEF" w:rsidRDefault="007F6AE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889610" w14:textId="77777777" w:rsidR="007F6AEF" w:rsidRDefault="007F6AE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F1CED0" w14:textId="77777777" w:rsidR="007F6AEF" w:rsidRDefault="007F6AE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26FE" w14:textId="00283CF6" w:rsidR="001D5B53" w:rsidRDefault="001D5B53">
    <w:pPr>
      <w:pStyle w:val="Header"/>
    </w:pPr>
    <w:r>
      <w:rPr>
        <w:noProof/>
      </w:rPr>
      <w:pict w14:anchorId="09CF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55A5" w14:textId="39323ED0" w:rsidR="001D5B53" w:rsidRDefault="001D5B53">
    <w:pPr>
      <w:pStyle w:val="Header"/>
    </w:pPr>
    <w:r>
      <w:rPr>
        <w:noProof/>
      </w:rPr>
      <w:pict w14:anchorId="5DE1C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37F5" w14:textId="55E884E1" w:rsidR="001D5B53" w:rsidRDefault="001D5B53">
    <w:pPr>
      <w:pStyle w:val="Header"/>
    </w:pPr>
    <w:r>
      <w:rPr>
        <w:noProof/>
      </w:rPr>
      <w:pict w14:anchorId="087D9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40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5F0284"/>
    <w:multiLevelType w:val="hybridMultilevel"/>
    <w:tmpl w:val="4C445052"/>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C664B"/>
    <w:multiLevelType w:val="hybridMultilevel"/>
    <w:tmpl w:val="3372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D66230"/>
    <w:multiLevelType w:val="hybridMultilevel"/>
    <w:tmpl w:val="1C5C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A3158FF"/>
    <w:multiLevelType w:val="hybridMultilevel"/>
    <w:tmpl w:val="F8C07952"/>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FBB32A0"/>
    <w:multiLevelType w:val="hybridMultilevel"/>
    <w:tmpl w:val="C34CCB10"/>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C97084A"/>
    <w:multiLevelType w:val="hybridMultilevel"/>
    <w:tmpl w:val="C34CCB10"/>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D61FF"/>
    <w:multiLevelType w:val="hybridMultilevel"/>
    <w:tmpl w:val="3C3EA1E0"/>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55E0805"/>
    <w:multiLevelType w:val="hybridMultilevel"/>
    <w:tmpl w:val="8E6654EC"/>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51047A4"/>
    <w:multiLevelType w:val="hybridMultilevel"/>
    <w:tmpl w:val="51CA1AEE"/>
    <w:lvl w:ilvl="0" w:tplc="816EF3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6"/>
  </w:num>
  <w:num w:numId="9">
    <w:abstractNumId w:val="34"/>
  </w:num>
  <w:num w:numId="10">
    <w:abstractNumId w:val="2"/>
  </w:num>
  <w:num w:numId="11">
    <w:abstractNumId w:val="26"/>
  </w:num>
  <w:num w:numId="12">
    <w:abstractNumId w:val="3"/>
  </w:num>
  <w:num w:numId="13">
    <w:abstractNumId w:val="24"/>
  </w:num>
  <w:num w:numId="14">
    <w:abstractNumId w:val="11"/>
  </w:num>
  <w:num w:numId="15">
    <w:abstractNumId w:val="29"/>
  </w:num>
  <w:num w:numId="16">
    <w:abstractNumId w:val="5"/>
  </w:num>
  <w:num w:numId="17">
    <w:abstractNumId w:val="30"/>
  </w:num>
  <w:num w:numId="18">
    <w:abstractNumId w:val="18"/>
  </w:num>
  <w:num w:numId="19">
    <w:abstractNumId w:val="37"/>
  </w:num>
  <w:num w:numId="20">
    <w:abstractNumId w:val="14"/>
  </w:num>
  <w:num w:numId="21">
    <w:abstractNumId w:val="12"/>
  </w:num>
  <w:num w:numId="22">
    <w:abstractNumId w:val="17"/>
  </w:num>
  <w:num w:numId="23">
    <w:abstractNumId w:val="27"/>
  </w:num>
  <w:num w:numId="24">
    <w:abstractNumId w:val="35"/>
  </w:num>
  <w:num w:numId="25">
    <w:abstractNumId w:val="4"/>
  </w:num>
  <w:num w:numId="26">
    <w:abstractNumId w:val="23"/>
  </w:num>
  <w:num w:numId="27">
    <w:abstractNumId w:val="28"/>
  </w:num>
  <w:num w:numId="28">
    <w:abstractNumId w:val="36"/>
  </w:num>
  <w:num w:numId="29">
    <w:abstractNumId w:val="33"/>
  </w:num>
  <w:num w:numId="30">
    <w:abstractNumId w:val="13"/>
  </w:num>
  <w:num w:numId="31">
    <w:abstractNumId w:val="8"/>
  </w:num>
  <w:num w:numId="32">
    <w:abstractNumId w:val="10"/>
  </w:num>
  <w:num w:numId="33">
    <w:abstractNumId w:val="22"/>
  </w:num>
  <w:num w:numId="34">
    <w:abstractNumId w:val="19"/>
  </w:num>
  <w:num w:numId="35">
    <w:abstractNumId w:val="7"/>
  </w:num>
  <w:num w:numId="36">
    <w:abstractNumId w:val="21"/>
  </w:num>
  <w:num w:numId="37">
    <w:abstractNumId w:val="25"/>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80B"/>
    <w:rsid w:val="00013EF7"/>
    <w:rsid w:val="00030174"/>
    <w:rsid w:val="0004579C"/>
    <w:rsid w:val="000710D3"/>
    <w:rsid w:val="000A47FA"/>
    <w:rsid w:val="000A65D3"/>
    <w:rsid w:val="000A75C8"/>
    <w:rsid w:val="000B1D99"/>
    <w:rsid w:val="000B1E33"/>
    <w:rsid w:val="000B74FC"/>
    <w:rsid w:val="000D689F"/>
    <w:rsid w:val="000E7B7B"/>
    <w:rsid w:val="000E7D62"/>
    <w:rsid w:val="000F581B"/>
    <w:rsid w:val="00103357"/>
    <w:rsid w:val="001129B1"/>
    <w:rsid w:val="00123C9F"/>
    <w:rsid w:val="00126190"/>
    <w:rsid w:val="00130F17"/>
    <w:rsid w:val="001320BF"/>
    <w:rsid w:val="00163BC4"/>
    <w:rsid w:val="00173084"/>
    <w:rsid w:val="00180370"/>
    <w:rsid w:val="001805BF"/>
    <w:rsid w:val="00190781"/>
    <w:rsid w:val="00191062"/>
    <w:rsid w:val="00192B72"/>
    <w:rsid w:val="001A29D8"/>
    <w:rsid w:val="001A5CAA"/>
    <w:rsid w:val="001B0427"/>
    <w:rsid w:val="001D3A51"/>
    <w:rsid w:val="001D4B3D"/>
    <w:rsid w:val="001D5B53"/>
    <w:rsid w:val="001E10D2"/>
    <w:rsid w:val="001E25B4"/>
    <w:rsid w:val="001E44FE"/>
    <w:rsid w:val="00200595"/>
    <w:rsid w:val="00204835"/>
    <w:rsid w:val="00231920"/>
    <w:rsid w:val="0023195C"/>
    <w:rsid w:val="0024282C"/>
    <w:rsid w:val="002460DC"/>
    <w:rsid w:val="00250985"/>
    <w:rsid w:val="002556F6"/>
    <w:rsid w:val="002763B6"/>
    <w:rsid w:val="00283105"/>
    <w:rsid w:val="00284C4C"/>
    <w:rsid w:val="00287E68"/>
    <w:rsid w:val="00296529"/>
    <w:rsid w:val="002B27FB"/>
    <w:rsid w:val="002B685A"/>
    <w:rsid w:val="002C57D2"/>
    <w:rsid w:val="002E0D56"/>
    <w:rsid w:val="002F0CE1"/>
    <w:rsid w:val="002F3882"/>
    <w:rsid w:val="002F38D0"/>
    <w:rsid w:val="00306AE7"/>
    <w:rsid w:val="00315186"/>
    <w:rsid w:val="0033343E"/>
    <w:rsid w:val="003512C2"/>
    <w:rsid w:val="00371FB6"/>
    <w:rsid w:val="003763C1"/>
    <w:rsid w:val="00376BBE"/>
    <w:rsid w:val="0039224F"/>
    <w:rsid w:val="003A43A4"/>
    <w:rsid w:val="003A6C93"/>
    <w:rsid w:val="003A7E18"/>
    <w:rsid w:val="003C4C86"/>
    <w:rsid w:val="003C6258"/>
    <w:rsid w:val="003E2904"/>
    <w:rsid w:val="00401927"/>
    <w:rsid w:val="0041027F"/>
    <w:rsid w:val="00410D81"/>
    <w:rsid w:val="00411AE5"/>
    <w:rsid w:val="00412475"/>
    <w:rsid w:val="00423789"/>
    <w:rsid w:val="00440F43"/>
    <w:rsid w:val="00441B6F"/>
    <w:rsid w:val="00446221"/>
    <w:rsid w:val="00450E62"/>
    <w:rsid w:val="004539DB"/>
    <w:rsid w:val="00471A80"/>
    <w:rsid w:val="00482934"/>
    <w:rsid w:val="004C7F14"/>
    <w:rsid w:val="004D305E"/>
    <w:rsid w:val="004D4277"/>
    <w:rsid w:val="00502516"/>
    <w:rsid w:val="00505F06"/>
    <w:rsid w:val="00506828"/>
    <w:rsid w:val="0053056E"/>
    <w:rsid w:val="00554FDA"/>
    <w:rsid w:val="00581DD5"/>
    <w:rsid w:val="005C784C"/>
    <w:rsid w:val="005D17F6"/>
    <w:rsid w:val="005E5539"/>
    <w:rsid w:val="00602BF5"/>
    <w:rsid w:val="00617FDD"/>
    <w:rsid w:val="0062762E"/>
    <w:rsid w:val="00633614"/>
    <w:rsid w:val="00633F68"/>
    <w:rsid w:val="00636EB2"/>
    <w:rsid w:val="006375B8"/>
    <w:rsid w:val="00643D00"/>
    <w:rsid w:val="00661315"/>
    <w:rsid w:val="0066510A"/>
    <w:rsid w:val="00673F9F"/>
    <w:rsid w:val="0068662C"/>
    <w:rsid w:val="00686953"/>
    <w:rsid w:val="00687DEA"/>
    <w:rsid w:val="00687E67"/>
    <w:rsid w:val="00690139"/>
    <w:rsid w:val="006953DC"/>
    <w:rsid w:val="006967F7"/>
    <w:rsid w:val="006A250C"/>
    <w:rsid w:val="006B21D3"/>
    <w:rsid w:val="006B57D0"/>
    <w:rsid w:val="006D30FF"/>
    <w:rsid w:val="006D6940"/>
    <w:rsid w:val="006F11EC"/>
    <w:rsid w:val="0070082C"/>
    <w:rsid w:val="00703517"/>
    <w:rsid w:val="007158B3"/>
    <w:rsid w:val="007242ED"/>
    <w:rsid w:val="007369E6"/>
    <w:rsid w:val="00746E59"/>
    <w:rsid w:val="00754C9A"/>
    <w:rsid w:val="0075599A"/>
    <w:rsid w:val="00761D52"/>
    <w:rsid w:val="0077749E"/>
    <w:rsid w:val="00777F3D"/>
    <w:rsid w:val="00790ADA"/>
    <w:rsid w:val="007D2288"/>
    <w:rsid w:val="007E088F"/>
    <w:rsid w:val="007E78BD"/>
    <w:rsid w:val="007F6AEF"/>
    <w:rsid w:val="007F7B32"/>
    <w:rsid w:val="00803096"/>
    <w:rsid w:val="00804BC2"/>
    <w:rsid w:val="00814260"/>
    <w:rsid w:val="0081431A"/>
    <w:rsid w:val="0083216F"/>
    <w:rsid w:val="00860000"/>
    <w:rsid w:val="00863BD3"/>
    <w:rsid w:val="008641ED"/>
    <w:rsid w:val="00866D66"/>
    <w:rsid w:val="008671C6"/>
    <w:rsid w:val="00875803"/>
    <w:rsid w:val="008773BF"/>
    <w:rsid w:val="008B459E"/>
    <w:rsid w:val="008E13AE"/>
    <w:rsid w:val="008E1506"/>
    <w:rsid w:val="008E710C"/>
    <w:rsid w:val="008F69D6"/>
    <w:rsid w:val="00902823"/>
    <w:rsid w:val="00915CA6"/>
    <w:rsid w:val="00921C65"/>
    <w:rsid w:val="00927834"/>
    <w:rsid w:val="009500A6"/>
    <w:rsid w:val="00957C18"/>
    <w:rsid w:val="009659BA"/>
    <w:rsid w:val="009819A8"/>
    <w:rsid w:val="00983040"/>
    <w:rsid w:val="009B3FB9"/>
    <w:rsid w:val="009C2465"/>
    <w:rsid w:val="009D35A0"/>
    <w:rsid w:val="009D4A78"/>
    <w:rsid w:val="009D7EB7"/>
    <w:rsid w:val="009E048A"/>
    <w:rsid w:val="009E08E9"/>
    <w:rsid w:val="009E1886"/>
    <w:rsid w:val="009E3DB9"/>
    <w:rsid w:val="009E4DA6"/>
    <w:rsid w:val="009E6E35"/>
    <w:rsid w:val="009F0EDA"/>
    <w:rsid w:val="00A03B96"/>
    <w:rsid w:val="00A041FF"/>
    <w:rsid w:val="00A05B19"/>
    <w:rsid w:val="00A1134E"/>
    <w:rsid w:val="00A1189B"/>
    <w:rsid w:val="00A16CCB"/>
    <w:rsid w:val="00A24E7E"/>
    <w:rsid w:val="00A258C3"/>
    <w:rsid w:val="00A347C0"/>
    <w:rsid w:val="00A51431"/>
    <w:rsid w:val="00A539AD"/>
    <w:rsid w:val="00A57560"/>
    <w:rsid w:val="00A66458"/>
    <w:rsid w:val="00A94063"/>
    <w:rsid w:val="00AA6219"/>
    <w:rsid w:val="00AA74E0"/>
    <w:rsid w:val="00AB703F"/>
    <w:rsid w:val="00AC52D5"/>
    <w:rsid w:val="00AC6BB8"/>
    <w:rsid w:val="00AD6909"/>
    <w:rsid w:val="00AE008F"/>
    <w:rsid w:val="00AE0734"/>
    <w:rsid w:val="00AF1E2C"/>
    <w:rsid w:val="00B01FCD"/>
    <w:rsid w:val="00B1776C"/>
    <w:rsid w:val="00B52583"/>
    <w:rsid w:val="00B52896"/>
    <w:rsid w:val="00B86B98"/>
    <w:rsid w:val="00B95236"/>
    <w:rsid w:val="00B96BD9"/>
    <w:rsid w:val="00BA1B01"/>
    <w:rsid w:val="00BA2641"/>
    <w:rsid w:val="00BB37AA"/>
    <w:rsid w:val="00BC37D3"/>
    <w:rsid w:val="00BC53A0"/>
    <w:rsid w:val="00BE62AD"/>
    <w:rsid w:val="00BF121F"/>
    <w:rsid w:val="00BF1F80"/>
    <w:rsid w:val="00C166EF"/>
    <w:rsid w:val="00C17EB0"/>
    <w:rsid w:val="00C27F5F"/>
    <w:rsid w:val="00C30A0F"/>
    <w:rsid w:val="00C37E61"/>
    <w:rsid w:val="00C524FD"/>
    <w:rsid w:val="00C70F1B"/>
    <w:rsid w:val="00C71A47"/>
    <w:rsid w:val="00C7464C"/>
    <w:rsid w:val="00C85588"/>
    <w:rsid w:val="00CD6755"/>
    <w:rsid w:val="00CD6856"/>
    <w:rsid w:val="00CE0089"/>
    <w:rsid w:val="00CE793C"/>
    <w:rsid w:val="00CF193C"/>
    <w:rsid w:val="00D02AD3"/>
    <w:rsid w:val="00D173F1"/>
    <w:rsid w:val="00D45B0D"/>
    <w:rsid w:val="00D74CB0"/>
    <w:rsid w:val="00D8295D"/>
    <w:rsid w:val="00DA3B35"/>
    <w:rsid w:val="00DC2A65"/>
    <w:rsid w:val="00DE15F0"/>
    <w:rsid w:val="00DE5663"/>
    <w:rsid w:val="00DE78AA"/>
    <w:rsid w:val="00E053D0"/>
    <w:rsid w:val="00E15994"/>
    <w:rsid w:val="00E201E9"/>
    <w:rsid w:val="00E241A0"/>
    <w:rsid w:val="00E3114E"/>
    <w:rsid w:val="00E31A70"/>
    <w:rsid w:val="00E35B02"/>
    <w:rsid w:val="00E66496"/>
    <w:rsid w:val="00E664A4"/>
    <w:rsid w:val="00E66B35"/>
    <w:rsid w:val="00E66E10"/>
    <w:rsid w:val="00E769F6"/>
    <w:rsid w:val="00E8407C"/>
    <w:rsid w:val="00E84F3C"/>
    <w:rsid w:val="00EA012C"/>
    <w:rsid w:val="00EB0B45"/>
    <w:rsid w:val="00EC6A55"/>
    <w:rsid w:val="00ED0288"/>
    <w:rsid w:val="00EE3419"/>
    <w:rsid w:val="00EE52CB"/>
    <w:rsid w:val="00EE69CB"/>
    <w:rsid w:val="00EF581D"/>
    <w:rsid w:val="00EF7FD8"/>
    <w:rsid w:val="00F06F59"/>
    <w:rsid w:val="00F17988"/>
    <w:rsid w:val="00F469F0"/>
    <w:rsid w:val="00F52700"/>
    <w:rsid w:val="00F53273"/>
    <w:rsid w:val="00F755E4"/>
    <w:rsid w:val="00F77D02"/>
    <w:rsid w:val="00F90238"/>
    <w:rsid w:val="00F95E3D"/>
    <w:rsid w:val="00FB3A86"/>
    <w:rsid w:val="00FC4375"/>
    <w:rsid w:val="00FD36C8"/>
    <w:rsid w:val="00FE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FF52F2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710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7F6A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E664A4"/>
    <w:rPr>
      <w:b/>
      <w:bCs/>
    </w:rPr>
  </w:style>
  <w:style w:type="character" w:customStyle="1" w:styleId="Heading3Char">
    <w:name w:val="Heading 3 Char"/>
    <w:basedOn w:val="DefaultParagraphFont"/>
    <w:link w:val="Heading3"/>
    <w:semiHidden/>
    <w:rsid w:val="000710D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710D3"/>
    <w:pPr>
      <w:spacing w:before="100" w:beforeAutospacing="1" w:after="100" w:afterAutospacing="1"/>
    </w:pPr>
    <w:rPr>
      <w:rFonts w:ascii="Times New Roman" w:hAnsi="Times New Roman"/>
      <w:sz w:val="24"/>
      <w:szCs w:val="24"/>
      <w:lang w:val="en-ID"/>
    </w:rPr>
  </w:style>
  <w:style w:type="character" w:customStyle="1" w:styleId="Heading4Char">
    <w:name w:val="Heading 4 Char"/>
    <w:basedOn w:val="DefaultParagraphFont"/>
    <w:link w:val="Heading4"/>
    <w:semiHidden/>
    <w:rsid w:val="007F6AEF"/>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A1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74181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02881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619241">
      <w:bodyDiv w:val="1"/>
      <w:marLeft w:val="0"/>
      <w:marRight w:val="0"/>
      <w:marTop w:val="0"/>
      <w:marBottom w:val="0"/>
      <w:divBdr>
        <w:top w:val="none" w:sz="0" w:space="0" w:color="auto"/>
        <w:left w:val="none" w:sz="0" w:space="0" w:color="auto"/>
        <w:bottom w:val="none" w:sz="0" w:space="0" w:color="auto"/>
        <w:right w:val="none" w:sz="0" w:space="0" w:color="auto"/>
      </w:divBdr>
    </w:div>
    <w:div w:id="347408049">
      <w:bodyDiv w:val="1"/>
      <w:marLeft w:val="0"/>
      <w:marRight w:val="0"/>
      <w:marTop w:val="0"/>
      <w:marBottom w:val="0"/>
      <w:divBdr>
        <w:top w:val="none" w:sz="0" w:space="0" w:color="auto"/>
        <w:left w:val="none" w:sz="0" w:space="0" w:color="auto"/>
        <w:bottom w:val="none" w:sz="0" w:space="0" w:color="auto"/>
        <w:right w:val="none" w:sz="0" w:space="0" w:color="auto"/>
      </w:divBdr>
    </w:div>
    <w:div w:id="4593016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706193">
      <w:bodyDiv w:val="1"/>
      <w:marLeft w:val="0"/>
      <w:marRight w:val="0"/>
      <w:marTop w:val="0"/>
      <w:marBottom w:val="0"/>
      <w:divBdr>
        <w:top w:val="none" w:sz="0" w:space="0" w:color="auto"/>
        <w:left w:val="none" w:sz="0" w:space="0" w:color="auto"/>
        <w:bottom w:val="none" w:sz="0" w:space="0" w:color="auto"/>
        <w:right w:val="none" w:sz="0" w:space="0" w:color="auto"/>
      </w:divBdr>
    </w:div>
    <w:div w:id="725882011">
      <w:bodyDiv w:val="1"/>
      <w:marLeft w:val="0"/>
      <w:marRight w:val="0"/>
      <w:marTop w:val="0"/>
      <w:marBottom w:val="0"/>
      <w:divBdr>
        <w:top w:val="none" w:sz="0" w:space="0" w:color="auto"/>
        <w:left w:val="none" w:sz="0" w:space="0" w:color="auto"/>
        <w:bottom w:val="none" w:sz="0" w:space="0" w:color="auto"/>
        <w:right w:val="none" w:sz="0" w:space="0" w:color="auto"/>
      </w:divBdr>
    </w:div>
    <w:div w:id="791825016">
      <w:bodyDiv w:val="1"/>
      <w:marLeft w:val="0"/>
      <w:marRight w:val="0"/>
      <w:marTop w:val="0"/>
      <w:marBottom w:val="0"/>
      <w:divBdr>
        <w:top w:val="none" w:sz="0" w:space="0" w:color="auto"/>
        <w:left w:val="none" w:sz="0" w:space="0" w:color="auto"/>
        <w:bottom w:val="none" w:sz="0" w:space="0" w:color="auto"/>
        <w:right w:val="none" w:sz="0" w:space="0" w:color="auto"/>
      </w:divBdr>
    </w:div>
    <w:div w:id="839151856">
      <w:bodyDiv w:val="1"/>
      <w:marLeft w:val="0"/>
      <w:marRight w:val="0"/>
      <w:marTop w:val="0"/>
      <w:marBottom w:val="0"/>
      <w:divBdr>
        <w:top w:val="none" w:sz="0" w:space="0" w:color="auto"/>
        <w:left w:val="none" w:sz="0" w:space="0" w:color="auto"/>
        <w:bottom w:val="none" w:sz="0" w:space="0" w:color="auto"/>
        <w:right w:val="none" w:sz="0" w:space="0" w:color="auto"/>
      </w:divBdr>
    </w:div>
    <w:div w:id="842864269">
      <w:bodyDiv w:val="1"/>
      <w:marLeft w:val="0"/>
      <w:marRight w:val="0"/>
      <w:marTop w:val="0"/>
      <w:marBottom w:val="0"/>
      <w:divBdr>
        <w:top w:val="none" w:sz="0" w:space="0" w:color="auto"/>
        <w:left w:val="none" w:sz="0" w:space="0" w:color="auto"/>
        <w:bottom w:val="none" w:sz="0" w:space="0" w:color="auto"/>
        <w:right w:val="none" w:sz="0" w:space="0" w:color="auto"/>
      </w:divBdr>
    </w:div>
    <w:div w:id="910316350">
      <w:bodyDiv w:val="1"/>
      <w:marLeft w:val="0"/>
      <w:marRight w:val="0"/>
      <w:marTop w:val="0"/>
      <w:marBottom w:val="0"/>
      <w:divBdr>
        <w:top w:val="none" w:sz="0" w:space="0" w:color="auto"/>
        <w:left w:val="none" w:sz="0" w:space="0" w:color="auto"/>
        <w:bottom w:val="none" w:sz="0" w:space="0" w:color="auto"/>
        <w:right w:val="none" w:sz="0" w:space="0" w:color="auto"/>
      </w:divBdr>
    </w:div>
    <w:div w:id="9745327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8748522">
      <w:bodyDiv w:val="1"/>
      <w:marLeft w:val="0"/>
      <w:marRight w:val="0"/>
      <w:marTop w:val="0"/>
      <w:marBottom w:val="0"/>
      <w:divBdr>
        <w:top w:val="none" w:sz="0" w:space="0" w:color="auto"/>
        <w:left w:val="none" w:sz="0" w:space="0" w:color="auto"/>
        <w:bottom w:val="none" w:sz="0" w:space="0" w:color="auto"/>
        <w:right w:val="none" w:sz="0" w:space="0" w:color="auto"/>
      </w:divBdr>
    </w:div>
    <w:div w:id="1429765813">
      <w:bodyDiv w:val="1"/>
      <w:marLeft w:val="0"/>
      <w:marRight w:val="0"/>
      <w:marTop w:val="0"/>
      <w:marBottom w:val="0"/>
      <w:divBdr>
        <w:top w:val="none" w:sz="0" w:space="0" w:color="auto"/>
        <w:left w:val="none" w:sz="0" w:space="0" w:color="auto"/>
        <w:bottom w:val="none" w:sz="0" w:space="0" w:color="auto"/>
        <w:right w:val="none" w:sz="0" w:space="0" w:color="auto"/>
      </w:divBdr>
    </w:div>
    <w:div w:id="1520074380">
      <w:bodyDiv w:val="1"/>
      <w:marLeft w:val="0"/>
      <w:marRight w:val="0"/>
      <w:marTop w:val="0"/>
      <w:marBottom w:val="0"/>
      <w:divBdr>
        <w:top w:val="none" w:sz="0" w:space="0" w:color="auto"/>
        <w:left w:val="none" w:sz="0" w:space="0" w:color="auto"/>
        <w:bottom w:val="none" w:sz="0" w:space="0" w:color="auto"/>
        <w:right w:val="none" w:sz="0" w:space="0" w:color="auto"/>
      </w:divBdr>
    </w:div>
    <w:div w:id="1641500078">
      <w:bodyDiv w:val="1"/>
      <w:marLeft w:val="0"/>
      <w:marRight w:val="0"/>
      <w:marTop w:val="0"/>
      <w:marBottom w:val="0"/>
      <w:divBdr>
        <w:top w:val="none" w:sz="0" w:space="0" w:color="auto"/>
        <w:left w:val="none" w:sz="0" w:space="0" w:color="auto"/>
        <w:bottom w:val="none" w:sz="0" w:space="0" w:color="auto"/>
        <w:right w:val="none" w:sz="0" w:space="0" w:color="auto"/>
      </w:divBdr>
    </w:div>
    <w:div w:id="17351545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0302875">
      <w:bodyDiv w:val="1"/>
      <w:marLeft w:val="0"/>
      <w:marRight w:val="0"/>
      <w:marTop w:val="0"/>
      <w:marBottom w:val="0"/>
      <w:divBdr>
        <w:top w:val="none" w:sz="0" w:space="0" w:color="auto"/>
        <w:left w:val="none" w:sz="0" w:space="0" w:color="auto"/>
        <w:bottom w:val="none" w:sz="0" w:space="0" w:color="auto"/>
        <w:right w:val="none" w:sz="0" w:space="0" w:color="auto"/>
      </w:divBdr>
    </w:div>
    <w:div w:id="21226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08/IJCHM-02-2014-0056" TargetMode="External"/><Relationship Id="rId26" Type="http://schemas.openxmlformats.org/officeDocument/2006/relationships/hyperlink" Target="https://doi.org/10.1037/0021-9010.87.4.698" TargetMode="External"/><Relationship Id="rId3" Type="http://schemas.openxmlformats.org/officeDocument/2006/relationships/styles" Target="styles.xml"/><Relationship Id="rId21" Type="http://schemas.openxmlformats.org/officeDocument/2006/relationships/hyperlink" Target="https://doi.org/10.1037/a001673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37/ocp0000056" TargetMode="External"/><Relationship Id="rId25" Type="http://schemas.openxmlformats.org/officeDocument/2006/relationships/hyperlink" Target="https://doi.org/10.1016/j.ijhm.2020.10259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peps.12573" TargetMode="External"/><Relationship Id="rId20" Type="http://schemas.openxmlformats.org/officeDocument/2006/relationships/hyperlink" Target="https://doi.org/10.1146/annurev-orgpsych-012119-04491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2/9781118993811.ch3" TargetMode="External"/><Relationship Id="rId32" Type="http://schemas.openxmlformats.org/officeDocument/2006/relationships/header" Target="header6.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doi.org/10.21002/seam.v13i1.10912" TargetMode="External"/><Relationship Id="rId28" Type="http://schemas.openxmlformats.org/officeDocument/2006/relationships/hyperlink" Target="https://doi.org/10.6007/IJARBSS/v9-i9/6269" TargetMode="External"/><Relationship Id="rId10" Type="http://schemas.openxmlformats.org/officeDocument/2006/relationships/footer" Target="footer1.xml"/><Relationship Id="rId19" Type="http://schemas.openxmlformats.org/officeDocument/2006/relationships/hyperlink" Target="https://doi.org/10.1016/j.hrmr.2011.11.00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dmm.2021.100566" TargetMode="External"/><Relationship Id="rId27" Type="http://schemas.openxmlformats.org/officeDocument/2006/relationships/hyperlink" Target="https://doi.org/10.1080/09639284.2019.1700140"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0ADC-DEF9-4DEA-9484-513E57AC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183</TotalTime>
  <Pages>11</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69</cp:revision>
  <cp:lastPrinted>1999-07-06T11:00:00Z</cp:lastPrinted>
  <dcterms:created xsi:type="dcterms:W3CDTF">2014-10-25T14:34:00Z</dcterms:created>
  <dcterms:modified xsi:type="dcterms:W3CDTF">2025-08-04T12:40:00Z</dcterms:modified>
</cp:coreProperties>
</file>