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8092" w14:textId="5524B987" w:rsidR="00D04062" w:rsidRPr="006F5F7E" w:rsidRDefault="00CC1525" w:rsidP="00CC1525">
      <w:pPr>
        <w:spacing w:line="240" w:lineRule="auto"/>
        <w:contextualSpacing/>
        <w:jc w:val="center"/>
        <w:rPr>
          <w:rFonts w:asciiTheme="majorBidi" w:hAnsiTheme="majorBidi" w:cstheme="majorBidi"/>
          <w:b/>
          <w:bCs/>
          <w:sz w:val="20"/>
          <w:szCs w:val="20"/>
        </w:rPr>
      </w:pPr>
      <w:r w:rsidRPr="006F5F7E">
        <w:rPr>
          <w:rFonts w:asciiTheme="majorBidi" w:hAnsiTheme="majorBidi" w:cstheme="majorBidi"/>
          <w:b/>
          <w:bCs/>
          <w:sz w:val="20"/>
          <w:szCs w:val="20"/>
        </w:rPr>
        <w:t>Profitability and the Ownership</w:t>
      </w:r>
      <w:r w:rsidR="0006696A" w:rsidRPr="006F5F7E">
        <w:rPr>
          <w:rFonts w:asciiTheme="majorBidi" w:hAnsiTheme="majorBidi" w:cstheme="majorBidi"/>
          <w:b/>
          <w:bCs/>
          <w:sz w:val="20"/>
          <w:szCs w:val="20"/>
        </w:rPr>
        <w:t xml:space="preserve"> structure</w:t>
      </w:r>
      <w:r w:rsidRPr="006F5F7E">
        <w:rPr>
          <w:rFonts w:asciiTheme="majorBidi" w:hAnsiTheme="majorBidi" w:cstheme="majorBidi"/>
          <w:b/>
          <w:bCs/>
          <w:sz w:val="20"/>
          <w:szCs w:val="20"/>
        </w:rPr>
        <w:t>–Dividend Nexus: Quantile Evidence from Listed Deposit Money Banks in Nigeria</w:t>
      </w:r>
    </w:p>
    <w:p w14:paraId="0CD85EF6" w14:textId="77777777" w:rsidR="007D0E8D" w:rsidRPr="006F5F7E" w:rsidRDefault="007D0E8D" w:rsidP="00CC1525">
      <w:pPr>
        <w:spacing w:line="240" w:lineRule="auto"/>
        <w:contextualSpacing/>
        <w:jc w:val="center"/>
        <w:rPr>
          <w:rFonts w:asciiTheme="majorBidi" w:hAnsiTheme="majorBidi" w:cstheme="majorBidi"/>
          <w:b/>
          <w:bCs/>
          <w:sz w:val="20"/>
          <w:szCs w:val="20"/>
        </w:rPr>
      </w:pPr>
    </w:p>
    <w:p w14:paraId="4AEF809B" w14:textId="77777777" w:rsidR="00D04062" w:rsidRPr="006F5F7E" w:rsidRDefault="00D04062">
      <w:pPr>
        <w:spacing w:line="240" w:lineRule="auto"/>
        <w:contextualSpacing/>
        <w:jc w:val="center"/>
        <w:rPr>
          <w:rFonts w:asciiTheme="majorBidi" w:eastAsia="Times New Roman" w:hAnsiTheme="majorBidi" w:cstheme="majorBidi"/>
          <w:bCs/>
          <w:sz w:val="20"/>
          <w:szCs w:val="20"/>
          <w:lang w:val="en-GB"/>
        </w:rPr>
      </w:pPr>
    </w:p>
    <w:p w14:paraId="4AEF809C" w14:textId="77777777" w:rsidR="00D04062" w:rsidRPr="006F5F7E" w:rsidRDefault="00D04062">
      <w:pPr>
        <w:spacing w:line="240" w:lineRule="auto"/>
        <w:contextualSpacing/>
        <w:jc w:val="center"/>
        <w:rPr>
          <w:rFonts w:asciiTheme="majorBidi" w:eastAsia="Times New Roman" w:hAnsiTheme="majorBidi" w:cstheme="majorBidi"/>
          <w:bCs/>
          <w:sz w:val="20"/>
          <w:szCs w:val="20"/>
          <w:lang w:val="en-GB"/>
        </w:rPr>
      </w:pPr>
    </w:p>
    <w:p w14:paraId="4AEF809D" w14:textId="77777777" w:rsidR="00D04062" w:rsidRPr="006F5F7E" w:rsidRDefault="00833548">
      <w:pPr>
        <w:spacing w:line="240" w:lineRule="auto"/>
        <w:contextualSpacing/>
        <w:jc w:val="center"/>
        <w:rPr>
          <w:rFonts w:asciiTheme="majorBidi" w:eastAsia="Times New Roman" w:hAnsiTheme="majorBidi" w:cstheme="majorBidi"/>
          <w:bCs/>
          <w:sz w:val="20"/>
          <w:szCs w:val="20"/>
          <w:lang w:val="en-GB"/>
        </w:rPr>
      </w:pPr>
      <w:r w:rsidRPr="006F5F7E">
        <w:rPr>
          <w:rFonts w:asciiTheme="majorBidi" w:eastAsia="Times New Roman" w:hAnsiTheme="majorBidi" w:cstheme="majorBidi"/>
          <w:bCs/>
          <w:sz w:val="20"/>
          <w:szCs w:val="20"/>
          <w:lang w:val="en-GB"/>
        </w:rPr>
        <w:t xml:space="preserve">Abstract </w:t>
      </w:r>
    </w:p>
    <w:p w14:paraId="79E65733" w14:textId="715CED50" w:rsidR="005402D2" w:rsidRPr="006F5F7E" w:rsidRDefault="00487143" w:rsidP="00487143">
      <w:pPr>
        <w:spacing w:line="240" w:lineRule="auto"/>
        <w:contextualSpacing/>
        <w:jc w:val="both"/>
        <w:rPr>
          <w:rFonts w:asciiTheme="majorBidi" w:eastAsia="Times New Roman" w:hAnsiTheme="majorBidi" w:cstheme="majorBidi"/>
          <w:bCs/>
          <w:i/>
          <w:iCs/>
          <w:sz w:val="20"/>
          <w:szCs w:val="20"/>
        </w:rPr>
      </w:pPr>
      <w:r w:rsidRPr="00487143">
        <w:rPr>
          <w:rFonts w:asciiTheme="majorBidi" w:eastAsia="Times New Roman" w:hAnsiTheme="majorBidi" w:cstheme="majorBidi"/>
          <w:bCs/>
          <w:i/>
          <w:iCs/>
          <w:sz w:val="20"/>
          <w:szCs w:val="20"/>
        </w:rPr>
        <w:t xml:space="preserve">This study investigates the influence of ownership structure on dividend payout policy, with profitability as a moderating factor, among listed deposit money banks (DMBs) in Nigeria from 2012 to 2023. Grounded in agency and signalling theories, it examines how managerial, institutional, and foreign ownership affect dividend payout ratios (DPO), and how profitability interacts with these ownership forms to shape dividend behaviour. The novelty of the study lies in its application of quantile regression to the dividend literature in an emerging market context, providing a distributional analysis that extends beyond mean-based models. It also introduces a moderation framework that reveals how profitability conditions the ownership–dividend nexus across varying payout levels. Using both cross-sectional quantile regression and fixed effects panel quantile regression at the 25th, 50th, and 75th quantiles, the study captures heterogeneity and firm-specific dynamics. Foreign ownership consistently increases DPO, institutional ownership exhibits a negative effect, and managerial ownership is positively associated at lower quantiles. Profitability’s direct effect is significant only in the cross-sectional model. Its interaction with foreign ownership reveals a dampening effect </w:t>
      </w:r>
      <w:bookmarkStart w:id="0" w:name="_GoBack"/>
      <w:bookmarkEnd w:id="0"/>
      <w:r w:rsidRPr="00487143">
        <w:rPr>
          <w:rFonts w:asciiTheme="majorBidi" w:eastAsia="Times New Roman" w:hAnsiTheme="majorBidi" w:cstheme="majorBidi"/>
          <w:bCs/>
          <w:i/>
          <w:iCs/>
          <w:sz w:val="20"/>
          <w:szCs w:val="20"/>
        </w:rPr>
        <w:t>on dividend payouts. Control variables behave as expected. The study advances corporate finance literature by introducing a novel methodological lens and offering context-specific evidence from Sub-Saharan Africa’s banking sector</w:t>
      </w:r>
      <w:r w:rsidR="00F05748" w:rsidRPr="006F5F7E">
        <w:rPr>
          <w:rFonts w:asciiTheme="majorBidi" w:eastAsia="Times New Roman" w:hAnsiTheme="majorBidi" w:cstheme="majorBidi"/>
          <w:bCs/>
          <w:i/>
          <w:iCs/>
          <w:sz w:val="20"/>
          <w:szCs w:val="20"/>
        </w:rPr>
        <w:t>.</w:t>
      </w:r>
    </w:p>
    <w:p w14:paraId="76919631" w14:textId="77777777" w:rsidR="007C5C31" w:rsidRPr="006F5F7E" w:rsidRDefault="007C5C31" w:rsidP="005402D2">
      <w:pPr>
        <w:spacing w:line="240" w:lineRule="auto"/>
        <w:contextualSpacing/>
        <w:jc w:val="both"/>
        <w:rPr>
          <w:rFonts w:asciiTheme="majorBidi" w:eastAsia="Times New Roman" w:hAnsiTheme="majorBidi" w:cstheme="majorBidi"/>
          <w:b/>
          <w:bCs/>
          <w:i/>
          <w:iCs/>
          <w:sz w:val="20"/>
          <w:szCs w:val="20"/>
        </w:rPr>
      </w:pPr>
    </w:p>
    <w:p w14:paraId="14AC3099" w14:textId="4A3BBEDA" w:rsidR="005402D2" w:rsidRPr="006F5F7E" w:rsidRDefault="005402D2" w:rsidP="005402D2">
      <w:pPr>
        <w:spacing w:line="240" w:lineRule="auto"/>
        <w:contextualSpacing/>
        <w:jc w:val="both"/>
        <w:rPr>
          <w:rFonts w:asciiTheme="majorBidi" w:eastAsia="Times New Roman" w:hAnsiTheme="majorBidi" w:cstheme="majorBidi"/>
          <w:bCs/>
          <w:sz w:val="20"/>
          <w:szCs w:val="20"/>
        </w:rPr>
      </w:pPr>
      <w:r w:rsidRPr="006F5F7E">
        <w:rPr>
          <w:rFonts w:asciiTheme="majorBidi" w:eastAsia="Times New Roman" w:hAnsiTheme="majorBidi" w:cstheme="majorBidi"/>
          <w:b/>
          <w:bCs/>
          <w:sz w:val="20"/>
          <w:szCs w:val="20"/>
        </w:rPr>
        <w:t>Keywords:</w:t>
      </w:r>
      <w:r w:rsidRPr="006F5F7E">
        <w:rPr>
          <w:rFonts w:asciiTheme="majorBidi" w:eastAsia="Times New Roman" w:hAnsiTheme="majorBidi" w:cstheme="majorBidi"/>
          <w:bCs/>
          <w:sz w:val="20"/>
          <w:szCs w:val="20"/>
        </w:rPr>
        <w:t xml:space="preserve"> Dividend Policy, Ownership Structure, Profitability, Quantile Regression, Corporate Governance, </w:t>
      </w:r>
    </w:p>
    <w:p w14:paraId="4AEF809F" w14:textId="58364CCD" w:rsidR="00D04062" w:rsidRPr="006F5F7E" w:rsidRDefault="00D04062" w:rsidP="0034427F">
      <w:pPr>
        <w:spacing w:line="240" w:lineRule="auto"/>
        <w:contextualSpacing/>
        <w:jc w:val="both"/>
        <w:rPr>
          <w:rFonts w:asciiTheme="majorBidi" w:eastAsia="Times New Roman" w:hAnsiTheme="majorBidi" w:cstheme="majorBidi"/>
          <w:i/>
          <w:sz w:val="20"/>
          <w:szCs w:val="20"/>
        </w:rPr>
      </w:pPr>
    </w:p>
    <w:p w14:paraId="4AEF80A4" w14:textId="77777777" w:rsidR="00D04062" w:rsidRPr="006F5F7E" w:rsidRDefault="00833548">
      <w:pPr>
        <w:pStyle w:val="Heading2"/>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1. Introduction</w:t>
      </w:r>
    </w:p>
    <w:p w14:paraId="22CF9417" w14:textId="77777777" w:rsidR="00F941F3" w:rsidRPr="006F5F7E" w:rsidRDefault="00F941F3" w:rsidP="00F941F3">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Dividend policy constitutes a critical decision within corporate finance, especially in highly regulated sectors like banking (Azeem et al., 2023). For banks, dividends function not only as a mechanism for shareholder value distribution but also as a signal of financial strength and managerial confidence (Alhalabi et al., 2023; </w:t>
      </w:r>
      <w:proofErr w:type="spellStart"/>
      <w:r w:rsidRPr="006F5F7E">
        <w:rPr>
          <w:rFonts w:asciiTheme="majorBidi" w:hAnsiTheme="majorBidi" w:cstheme="majorBidi"/>
          <w:sz w:val="20"/>
          <w:szCs w:val="20"/>
        </w:rPr>
        <w:t>Arhinful</w:t>
      </w:r>
      <w:proofErr w:type="spellEnd"/>
      <w:r w:rsidRPr="006F5F7E">
        <w:rPr>
          <w:rFonts w:asciiTheme="majorBidi" w:hAnsiTheme="majorBidi" w:cstheme="majorBidi"/>
          <w:sz w:val="20"/>
          <w:szCs w:val="20"/>
        </w:rPr>
        <w:t xml:space="preserve"> et al., 2025). Dividend distributions are frequently perceived by investors as indicators of firm performance and stability (Munir et al., 2024), a perception particularly salient in emerging economies such as Nigeria, where dividends provide tangible evidence of success amidst macroeconomic volatility and capital market inefficiencies. Banking sector dividend decisions are further complicated by regulatory capital mandates, systemic risk concerns, and the strategic imperative for earnings retention to fund growth (Bechter, 2024). Consequently, dividend payouts reflect strategic trade-offs involving agency issues, market signalling, and regulatory compliance.</w:t>
      </w:r>
    </w:p>
    <w:p w14:paraId="10710E53" w14:textId="77777777" w:rsidR="00F941F3" w:rsidRPr="006F5F7E" w:rsidRDefault="00F941F3" w:rsidP="00F941F3">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The theoretical underpinnings of dividend policy prominently feature agency theory and signalling theory. Agency theory (Jensen and Meckling, 1976) suggests dividends mitigate conflicts by reducing free cash flow available to managers, thereby curtailing discretionary spending and potential expropriation. Within this framework, firm ownership structure critically influences dividend behaviour. Managerial ownership may align insider and shareholder interests, reducing agency costs (Tayeh et al., 2023), while institutional and foreign ownership may exert external monitoring pressure, encouraging higher payouts to satisfy return-seeking shareholders (Al-Matari, 2025). Signalling theory posits that dividend announcements convey private information about future earnings prospects (Nworie et al., 2024). Consequently, profitability, often measured by Return on Assets (ROA), is a central determinant, reflecting both the capacity to pay dividends and managerial confidence in sustained earnings (</w:t>
      </w:r>
      <w:proofErr w:type="spellStart"/>
      <w:r w:rsidRPr="006F5F7E">
        <w:rPr>
          <w:rFonts w:asciiTheme="majorBidi" w:hAnsiTheme="majorBidi" w:cstheme="majorBidi"/>
          <w:sz w:val="20"/>
          <w:szCs w:val="20"/>
        </w:rPr>
        <w:t>Dewasiri</w:t>
      </w:r>
      <w:proofErr w:type="spellEnd"/>
      <w:r w:rsidRPr="006F5F7E">
        <w:rPr>
          <w:rFonts w:asciiTheme="majorBidi" w:hAnsiTheme="majorBidi" w:cstheme="majorBidi"/>
          <w:sz w:val="20"/>
          <w:szCs w:val="20"/>
        </w:rPr>
        <w:t xml:space="preserve"> et al., 2019).</w:t>
      </w:r>
    </w:p>
    <w:p w14:paraId="5C3F4311" w14:textId="77777777" w:rsidR="00F941F3" w:rsidRPr="006F5F7E" w:rsidRDefault="00F941F3" w:rsidP="00F941F3">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Profitability plays a dual role: as a direct determinant of dividend capacity and as a potential moderator of the ownership-dividend relationship. However, this moderating role is complex and likely heterogeneous across firms with differing dividend profiles. Traditional econometric models, such as Ordinary Least Squares (OLS) and fixed effects regressions, typically estimate average effects assuming homogeneity. This approach may obscure variations in how profitability influences dividend policy across the payout distribution. This study therefore </w:t>
      </w:r>
      <w:r w:rsidRPr="006F5F7E">
        <w:rPr>
          <w:rFonts w:asciiTheme="majorBidi" w:hAnsiTheme="majorBidi" w:cstheme="majorBidi"/>
          <w:sz w:val="20"/>
          <w:szCs w:val="20"/>
        </w:rPr>
        <w:lastRenderedPageBreak/>
        <w:t>employs quantile regression, enabling the estimation of relationships across the entire spectrum of dividend payouts, thus providing a more nuanced understanding of firm behaviour. This methodology is particularly suited to the Nigerian banking context, characterised by skewed and heterogeneous dividend payout ratios.</w:t>
      </w:r>
    </w:p>
    <w:p w14:paraId="01FCD6DF" w14:textId="7ECA2142" w:rsidR="00F941F3" w:rsidRPr="006F5F7E" w:rsidRDefault="00F941F3" w:rsidP="00F941F3">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The Nigerian banking sector offers a compelling empirical setting. Significant transformations in ownership structure, regulatory oversight, and governance practices followed the 2004</w:t>
      </w:r>
      <w:r w:rsidR="00BE12EB" w:rsidRPr="006F5F7E">
        <w:rPr>
          <w:rFonts w:asciiTheme="majorBidi" w:hAnsiTheme="majorBidi" w:cstheme="majorBidi"/>
          <w:sz w:val="20"/>
          <w:szCs w:val="20"/>
        </w:rPr>
        <w:t>-</w:t>
      </w:r>
      <w:r w:rsidRPr="006F5F7E">
        <w:rPr>
          <w:rFonts w:asciiTheme="majorBidi" w:hAnsiTheme="majorBidi" w:cstheme="majorBidi"/>
          <w:sz w:val="20"/>
          <w:szCs w:val="20"/>
        </w:rPr>
        <w:t>2005 banking consolidation and post-2008 financial crisis reforms. Concentrated ownership is common, with large institutional and foreign investors playing dominant roles. Despite regulatory efforts to enhance transparency and capital adequacy, dividend payout patterns remain inconsistent across the sector. Discrepancies exist between banks paying high, stable dividends and those maintaining conservative or no payouts despite profitability, influenced by ownership incentives, regulatory compliance, and profitability levels. Existing empirical studies on Nigerian dividend policy have predominantly used linear models, insufficiently exploring how profitability interacts with ownership structure across varying payout intensities.</w:t>
      </w:r>
    </w:p>
    <w:p w14:paraId="33B19D4C" w14:textId="5F5B1901" w:rsidR="00F941F3" w:rsidRPr="006F5F7E" w:rsidRDefault="00114541" w:rsidP="00114541">
      <w:pPr>
        <w:spacing w:line="360" w:lineRule="auto"/>
        <w:contextualSpacing/>
        <w:jc w:val="both"/>
        <w:rPr>
          <w:rFonts w:asciiTheme="majorBidi" w:hAnsiTheme="majorBidi" w:cstheme="majorBidi"/>
          <w:sz w:val="20"/>
          <w:szCs w:val="20"/>
        </w:rPr>
      </w:pPr>
      <w:r w:rsidRPr="00114541">
        <w:rPr>
          <w:rFonts w:asciiTheme="majorBidi" w:hAnsiTheme="majorBidi" w:cstheme="majorBidi"/>
          <w:sz w:val="20"/>
          <w:szCs w:val="20"/>
        </w:rPr>
        <w:t>This study addresses a methodological and empirical gap in the dividend policy literature by investigating how profitability moderates the ownership</w:t>
      </w:r>
      <w:r w:rsidR="001E56C2">
        <w:rPr>
          <w:rFonts w:asciiTheme="majorBidi" w:hAnsiTheme="majorBidi" w:cstheme="majorBidi"/>
          <w:sz w:val="20"/>
          <w:szCs w:val="20"/>
        </w:rPr>
        <w:t>-</w:t>
      </w:r>
      <w:r w:rsidRPr="00114541">
        <w:rPr>
          <w:rFonts w:asciiTheme="majorBidi" w:hAnsiTheme="majorBidi" w:cstheme="majorBidi"/>
          <w:sz w:val="20"/>
          <w:szCs w:val="20"/>
        </w:rPr>
        <w:t>dividend relationship among listed Nigerian deposit money banks using quantile regression. By focusing on the distributional effects of managerial, institutional, and foreign ownership on dividend payouts, the study reveals how these relationships vary across low, median, and high dividend-paying firms. This novel application of quantile regression introduces a methodological advancement in the context of Nigeria’s banking sector, offering insights that go beyond traditional mean-based approaches. The study also contributes theoretically by extending agency and signalling theories to reflect the regulatory and institutional complexities of emerging markets. By examining the interactive role of profitability, it enhances our understanding of dividend behaviour under varying governance structures. These contributions support both scholarly inquiry and policy discourse, particularly in the areas of investor protection, dividend regulation, and strategic financial management within the banking industry</w:t>
      </w:r>
      <w:r w:rsidR="00F941F3" w:rsidRPr="006F5F7E">
        <w:rPr>
          <w:rFonts w:asciiTheme="majorBidi" w:hAnsiTheme="majorBidi" w:cstheme="majorBidi"/>
          <w:sz w:val="20"/>
          <w:szCs w:val="20"/>
        </w:rPr>
        <w:t>.</w:t>
      </w:r>
    </w:p>
    <w:p w14:paraId="4AEF80AF" w14:textId="0047D989" w:rsidR="00D04062" w:rsidRPr="006F5F7E" w:rsidRDefault="00F941F3" w:rsidP="00472EC8">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The paper proceeds as follows. </w:t>
      </w:r>
      <w:r w:rsidR="00472EC8" w:rsidRPr="006F5F7E">
        <w:rPr>
          <w:rFonts w:asciiTheme="majorBidi" w:hAnsiTheme="majorBidi" w:cstheme="majorBidi"/>
          <w:sz w:val="20"/>
          <w:szCs w:val="20"/>
        </w:rPr>
        <w:t>Section 2 reviews literature on ownership, profitability, and dividends. Section 3 details the methodology, data, variables, and econometric model, justifying quantile regression. Section 4 presents and discusses empirical results, including descriptive statistics and quantile regression interpretations. Section 5 concludes, summarising findings, implications, recommendations, limitations, and future research directions</w:t>
      </w:r>
      <w:r w:rsidRPr="006F5F7E">
        <w:rPr>
          <w:rFonts w:asciiTheme="majorBidi" w:hAnsiTheme="majorBidi" w:cstheme="majorBidi"/>
          <w:sz w:val="20"/>
          <w:szCs w:val="20"/>
        </w:rPr>
        <w:t>.</w:t>
      </w:r>
    </w:p>
    <w:p w14:paraId="4AEF80B0" w14:textId="77777777" w:rsidR="00D04062" w:rsidRPr="006F5F7E" w:rsidRDefault="00833548" w:rsidP="006D6E46">
      <w:pPr>
        <w:pStyle w:val="Heading2"/>
        <w:spacing w:line="360" w:lineRule="auto"/>
        <w:contextualSpacing/>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2. Literature Review</w:t>
      </w:r>
    </w:p>
    <w:p w14:paraId="4AEF80B1" w14:textId="1F6066B6" w:rsidR="00D04062" w:rsidRPr="006F5F7E" w:rsidRDefault="00833548" w:rsidP="006D6E46">
      <w:pPr>
        <w:pStyle w:val="Heading2"/>
        <w:spacing w:line="360" w:lineRule="auto"/>
        <w:contextualSpacing/>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2.</w:t>
      </w:r>
      <w:r w:rsidR="00425C3D" w:rsidRPr="006F5F7E">
        <w:rPr>
          <w:rFonts w:asciiTheme="majorBidi" w:hAnsiTheme="majorBidi" w:cstheme="majorBidi"/>
          <w:b/>
          <w:bCs/>
          <w:color w:val="auto"/>
          <w:sz w:val="20"/>
          <w:szCs w:val="20"/>
        </w:rPr>
        <w:t>1</w:t>
      </w:r>
      <w:r w:rsidRPr="006F5F7E">
        <w:rPr>
          <w:rFonts w:asciiTheme="majorBidi" w:hAnsiTheme="majorBidi" w:cstheme="majorBidi"/>
          <w:b/>
          <w:bCs/>
          <w:color w:val="auto"/>
          <w:sz w:val="20"/>
          <w:szCs w:val="20"/>
        </w:rPr>
        <w:t xml:space="preserve"> Theoretical Framework</w:t>
      </w:r>
    </w:p>
    <w:p w14:paraId="0D7EBC2D" w14:textId="2048EDFA" w:rsidR="00927EE5" w:rsidRPr="006F5F7E" w:rsidRDefault="00927EE5" w:rsidP="00D50B07">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This study is grounded in agency and signalling theories, which offer a conceptual lens through which to understand the incentives and constraints shaping dividend decisions in Nigerian deposit money banks. Jensen and Meckling (1976) formalised agency theory, building on Berle and Means (1932), to explain conflicts arising from the separation of ownership and control. In firms where managers hold little equity and ownership is dispersed, managers may underinvest in dividends and instead pursue projects that increase their private control benefits (La Porta et al., 2000; Faccio et al., 2001; Fama &amp; French, 2001). Dividend payouts, therefore, operate as a governance tool to reduce agency costs by limiting funds available for discretionary use. Ownership structure is integral to this function. Empirical studies show that managerial ownership can align managerial and shareholder interests, mitigating agency problems (Vijayakumaran, 2020; Nel et al., 2024; Lubis et al., 2025). However, when managerial ownership becomes excessive, entrenchment may occur, weakening the responsiveness to shareholder pressure for dividends (</w:t>
      </w:r>
      <w:r w:rsidR="00BC67E2" w:rsidRPr="006F5F7E">
        <w:rPr>
          <w:rFonts w:asciiTheme="majorBidi" w:hAnsiTheme="majorBidi" w:cstheme="majorBidi"/>
          <w:sz w:val="20"/>
          <w:szCs w:val="20"/>
        </w:rPr>
        <w:t xml:space="preserve">Alshdaifat et al., 2025; </w:t>
      </w:r>
      <w:r w:rsidR="00D50B07" w:rsidRPr="006F5F7E">
        <w:rPr>
          <w:rFonts w:asciiTheme="majorBidi" w:hAnsiTheme="majorBidi" w:cstheme="majorBidi"/>
          <w:sz w:val="20"/>
          <w:szCs w:val="20"/>
        </w:rPr>
        <w:t>Tawfik et al., 2024</w:t>
      </w:r>
      <w:r w:rsidRPr="006F5F7E">
        <w:rPr>
          <w:rFonts w:asciiTheme="majorBidi" w:hAnsiTheme="majorBidi" w:cstheme="majorBidi"/>
          <w:sz w:val="20"/>
          <w:szCs w:val="20"/>
        </w:rPr>
        <w:t>).</w:t>
      </w:r>
    </w:p>
    <w:p w14:paraId="5205D427" w14:textId="2E0BFFE4" w:rsidR="00927EE5" w:rsidRPr="006F5F7E" w:rsidRDefault="00927EE5" w:rsidP="00EB3308">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lastRenderedPageBreak/>
        <w:t>Institutional ownership is argued to exert a monitoring effect that disciplines managerial behaviour (Hong &amp; Linh, 2022). In emerging markets, such as Nigeria, institutional investors have been shown to encourage firms to pay dividends to uphold reputational and liquidity standards (Yahaya, 2025). In weak governance environments, dividends function as mechanisms to control managerial expropriation (Danni &amp; Qi, 2024</w:t>
      </w:r>
      <w:r w:rsidR="00B5119D" w:rsidRPr="006F5F7E">
        <w:rPr>
          <w:rFonts w:asciiTheme="majorBidi" w:hAnsiTheme="majorBidi" w:cstheme="majorBidi"/>
          <w:sz w:val="20"/>
          <w:szCs w:val="20"/>
        </w:rPr>
        <w:t>;</w:t>
      </w:r>
      <w:r w:rsidR="00930C7F" w:rsidRPr="006F5F7E">
        <w:rPr>
          <w:rFonts w:asciiTheme="majorBidi" w:hAnsiTheme="majorBidi" w:cstheme="majorBidi"/>
          <w:sz w:val="20"/>
          <w:szCs w:val="20"/>
        </w:rPr>
        <w:t xml:space="preserve"> </w:t>
      </w:r>
      <w:r w:rsidR="00B5119D" w:rsidRPr="006F5F7E">
        <w:rPr>
          <w:rFonts w:asciiTheme="majorBidi" w:hAnsiTheme="majorBidi" w:cstheme="majorBidi"/>
          <w:sz w:val="20"/>
          <w:szCs w:val="20"/>
        </w:rPr>
        <w:t>Tran, 2024</w:t>
      </w:r>
      <w:r w:rsidRPr="006F5F7E">
        <w:rPr>
          <w:rFonts w:asciiTheme="majorBidi" w:hAnsiTheme="majorBidi" w:cstheme="majorBidi"/>
          <w:sz w:val="20"/>
          <w:szCs w:val="20"/>
        </w:rPr>
        <w:t xml:space="preserve">). </w:t>
      </w:r>
    </w:p>
    <w:p w14:paraId="52CB09F5" w14:textId="77777777" w:rsidR="00A404C0" w:rsidRPr="006F5F7E" w:rsidRDefault="00927EE5" w:rsidP="00DE5D24">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The signalling theory complements this perspective by explaining how dividends are used to convey private information about future earnings. Initially proposed by Bhattacharya (1979) and extended by Miller and Rock (1985), this theory holds that dividends act as credible signals in environments characterised by information asymmetry and limited reliability of earnings reports (</w:t>
      </w:r>
      <w:r w:rsidR="00CC388E" w:rsidRPr="006F5F7E">
        <w:rPr>
          <w:rFonts w:asciiTheme="majorBidi" w:hAnsiTheme="majorBidi" w:cstheme="majorBidi"/>
          <w:sz w:val="20"/>
          <w:szCs w:val="20"/>
        </w:rPr>
        <w:t>AlGhazali</w:t>
      </w:r>
      <w:r w:rsidR="001E6985" w:rsidRPr="006F5F7E">
        <w:rPr>
          <w:rFonts w:asciiTheme="majorBidi" w:hAnsiTheme="majorBidi" w:cstheme="majorBidi"/>
          <w:sz w:val="20"/>
          <w:szCs w:val="20"/>
        </w:rPr>
        <w:t xml:space="preserve"> et al., 2024; </w:t>
      </w:r>
      <w:r w:rsidR="00FE4FC4" w:rsidRPr="006F5F7E">
        <w:rPr>
          <w:rFonts w:asciiTheme="majorBidi" w:hAnsiTheme="majorBidi" w:cstheme="majorBidi"/>
          <w:sz w:val="20"/>
          <w:szCs w:val="20"/>
        </w:rPr>
        <w:t>Sinha &amp; Kumar, 2024</w:t>
      </w:r>
      <w:r w:rsidR="001E6985" w:rsidRPr="006F5F7E">
        <w:rPr>
          <w:rFonts w:asciiTheme="majorBidi" w:hAnsiTheme="majorBidi" w:cstheme="majorBidi"/>
          <w:sz w:val="20"/>
          <w:szCs w:val="20"/>
        </w:rPr>
        <w:t xml:space="preserve">). </w:t>
      </w:r>
    </w:p>
    <w:p w14:paraId="4AEF80B5" w14:textId="1697A614" w:rsidR="00D04062" w:rsidRPr="006F5F7E" w:rsidRDefault="00927EE5" w:rsidP="00DE5D24">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In Nigeria, where delays in financial reporting are common, dividend announcements play a central role in investor decision-making. The effectiveness of these signals is influenced by ownership structure, as institutional and foreign investors are more likely to interpret dividends as reliable indicators of firm value and management competence</w:t>
      </w:r>
      <w:r w:rsidR="008A3568" w:rsidRPr="006F5F7E">
        <w:rPr>
          <w:rFonts w:asciiTheme="majorBidi" w:hAnsiTheme="majorBidi" w:cstheme="majorBidi"/>
          <w:sz w:val="20"/>
          <w:szCs w:val="20"/>
        </w:rPr>
        <w:t>.</w:t>
      </w:r>
      <w:r w:rsidR="00DE5D24" w:rsidRPr="006F5F7E">
        <w:rPr>
          <w:rFonts w:asciiTheme="majorBidi" w:hAnsiTheme="majorBidi" w:cstheme="majorBidi"/>
          <w:sz w:val="20"/>
          <w:szCs w:val="20"/>
        </w:rPr>
        <w:t xml:space="preserve"> </w:t>
      </w:r>
      <w:r w:rsidRPr="006F5F7E">
        <w:rPr>
          <w:rFonts w:asciiTheme="majorBidi" w:hAnsiTheme="majorBidi" w:cstheme="majorBidi"/>
          <w:sz w:val="20"/>
          <w:szCs w:val="20"/>
        </w:rPr>
        <w:t>Together, these theories suggest that dividend policy is shaped not only by earnings or board discretion but also by the interaction between ownership structure and profitability. Agency theory accounts for variations in governance-driven incentives, while signalling theory underscores the informational role of dividends. Profitability moderates these relationships, influencing how ownership affects dividend policy under differing earnings conditions. This integrated framework enables a more nuanced understanding of dividend decisions, particularly within the regulatory and governance complexities of the Nigerian banking sector</w:t>
      </w:r>
      <w:r w:rsidR="00833548" w:rsidRPr="006F5F7E">
        <w:rPr>
          <w:rFonts w:asciiTheme="majorBidi" w:hAnsiTheme="majorBidi" w:cstheme="majorBidi"/>
          <w:sz w:val="20"/>
          <w:szCs w:val="20"/>
        </w:rPr>
        <w:t>.</w:t>
      </w:r>
    </w:p>
    <w:p w14:paraId="681A3277" w14:textId="535778F4" w:rsidR="00820975" w:rsidRPr="006F5F7E" w:rsidRDefault="00820975" w:rsidP="001263E3">
      <w:pPr>
        <w:pStyle w:val="Heading2"/>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2.</w:t>
      </w:r>
      <w:r w:rsidR="00425C3D" w:rsidRPr="006F5F7E">
        <w:rPr>
          <w:rFonts w:asciiTheme="majorBidi" w:hAnsiTheme="majorBidi" w:cstheme="majorBidi"/>
          <w:b/>
          <w:bCs/>
          <w:color w:val="auto"/>
          <w:sz w:val="20"/>
          <w:szCs w:val="20"/>
        </w:rPr>
        <w:t>2</w:t>
      </w:r>
      <w:r w:rsidRPr="006F5F7E">
        <w:rPr>
          <w:rFonts w:asciiTheme="majorBidi" w:hAnsiTheme="majorBidi" w:cstheme="majorBidi"/>
          <w:b/>
          <w:bCs/>
          <w:color w:val="auto"/>
          <w:sz w:val="20"/>
          <w:szCs w:val="20"/>
        </w:rPr>
        <w:t xml:space="preserve"> Empirical Review and Hypotheses Development</w:t>
      </w:r>
    </w:p>
    <w:p w14:paraId="500F0068" w14:textId="1E6EC2D1" w:rsidR="00820975" w:rsidRPr="006F5F7E" w:rsidRDefault="00820975" w:rsidP="006D6E46">
      <w:pPr>
        <w:spacing w:line="360" w:lineRule="auto"/>
        <w:contextualSpacing/>
        <w:jc w:val="both"/>
        <w:rPr>
          <w:rFonts w:asciiTheme="majorBidi" w:eastAsia="DengXian Light" w:hAnsiTheme="majorBidi" w:cstheme="majorBidi"/>
          <w:sz w:val="20"/>
          <w:szCs w:val="20"/>
        </w:rPr>
      </w:pPr>
      <w:r w:rsidRPr="006F5F7E">
        <w:rPr>
          <w:rFonts w:asciiTheme="majorBidi" w:eastAsia="DengXian Light" w:hAnsiTheme="majorBidi" w:cstheme="majorBidi"/>
          <w:sz w:val="20"/>
          <w:szCs w:val="20"/>
        </w:rPr>
        <w:t>A significant body of literature has explored the determinants of dividend policy, particularly in relation to ownership structure and profitability. However, findings have varied considerably across contexts, ownership categories, and methodological approaches. This section synthesises the empirical findings relevant to this study and develops hypotheses in line with theoretical expectations, while recognising gaps in the literature.</w:t>
      </w:r>
    </w:p>
    <w:p w14:paraId="6A8F7550" w14:textId="77777777" w:rsidR="00820975" w:rsidRPr="006F5F7E" w:rsidRDefault="00820975" w:rsidP="007536D0">
      <w:pPr>
        <w:pStyle w:val="Heading3"/>
        <w:rPr>
          <w:rFonts w:asciiTheme="majorBidi" w:hAnsiTheme="majorBidi" w:cstheme="majorBidi"/>
          <w:b/>
          <w:bCs/>
          <w:color w:val="auto"/>
          <w:sz w:val="22"/>
          <w:szCs w:val="22"/>
        </w:rPr>
      </w:pPr>
      <w:r w:rsidRPr="006F5F7E">
        <w:rPr>
          <w:rFonts w:asciiTheme="majorBidi" w:hAnsiTheme="majorBidi" w:cstheme="majorBidi"/>
          <w:b/>
          <w:bCs/>
          <w:color w:val="auto"/>
          <w:sz w:val="22"/>
          <w:szCs w:val="22"/>
        </w:rPr>
        <w:t>2.3.1 Managerial Ownership and Dividend Policy</w:t>
      </w:r>
    </w:p>
    <w:p w14:paraId="1C946E9B" w14:textId="3468F493" w:rsidR="00820975" w:rsidRPr="006F5F7E" w:rsidRDefault="00F362E5" w:rsidP="00F362E5">
      <w:pPr>
        <w:spacing w:line="360" w:lineRule="auto"/>
        <w:contextualSpacing/>
        <w:jc w:val="both"/>
        <w:rPr>
          <w:rFonts w:asciiTheme="majorBidi" w:eastAsia="DengXian Light" w:hAnsiTheme="majorBidi" w:cstheme="majorBidi"/>
          <w:sz w:val="20"/>
          <w:szCs w:val="20"/>
        </w:rPr>
      </w:pPr>
      <w:r w:rsidRPr="006F5F7E">
        <w:rPr>
          <w:rFonts w:asciiTheme="majorBidi" w:eastAsia="DengXian Light" w:hAnsiTheme="majorBidi" w:cstheme="majorBidi"/>
          <w:sz w:val="20"/>
          <w:szCs w:val="20"/>
        </w:rPr>
        <w:t xml:space="preserve">Managerial ownership refers to the proportion of a company’s shares held by its executives and board members. According to agency theory (Jensen &amp; Meckling, 1976), when managers are shareholders, they may align their interests with those of other shareholders, potentially supporting dividend payments. However, empirical findings are mixed. Yahaya (2025) found a positive and significant effect of board ownership on dividend payouts in Nigerian non-financial firms, suggesting dividends are used as a signalling and self-benefiting mechanism. Conversely, Ismail and Anridho (2024) and Akilla et al. (2024) reported a negative or insignificant effect of managerial ownership on dividend policy in Indonesian SOEs and Nigerian banks, respectively. These findings support the entrenchment hypothesis (Morck et al., 1988), which posits that beyond a certain ownership threshold, managers prefer to retain earnings to pursue personal projects, thereby reducing dividend payouts. In regulated environments like banking, dividend decisions may be influenced more by prudential norms than ownership structure. Therefore, the relationship between managerial ownership and dividend policy remains </w:t>
      </w:r>
      <w:r w:rsidR="00EB5516" w:rsidRPr="006F5F7E">
        <w:rPr>
          <w:rFonts w:asciiTheme="majorBidi" w:eastAsia="DengXian Light" w:hAnsiTheme="majorBidi" w:cstheme="majorBidi"/>
          <w:sz w:val="20"/>
          <w:szCs w:val="20"/>
        </w:rPr>
        <w:t>context specific</w:t>
      </w:r>
      <w:r w:rsidR="00820975" w:rsidRPr="006F5F7E">
        <w:rPr>
          <w:rFonts w:asciiTheme="majorBidi" w:eastAsia="DengXian Light" w:hAnsiTheme="majorBidi" w:cstheme="majorBidi"/>
          <w:sz w:val="20"/>
          <w:szCs w:val="20"/>
        </w:rPr>
        <w:t>.</w:t>
      </w:r>
    </w:p>
    <w:p w14:paraId="05640368" w14:textId="77777777" w:rsidR="00820975" w:rsidRPr="006F5F7E" w:rsidRDefault="00820975" w:rsidP="006D6E46">
      <w:pPr>
        <w:spacing w:line="360" w:lineRule="auto"/>
        <w:contextualSpacing/>
        <w:jc w:val="both"/>
        <w:rPr>
          <w:rFonts w:asciiTheme="majorBidi" w:eastAsia="DengXian Light" w:hAnsiTheme="majorBidi" w:cstheme="majorBidi"/>
          <w:i/>
          <w:iCs/>
          <w:sz w:val="20"/>
          <w:szCs w:val="20"/>
        </w:rPr>
      </w:pPr>
      <w:r w:rsidRPr="006F5F7E">
        <w:rPr>
          <w:rFonts w:asciiTheme="majorBidi" w:eastAsia="DengXian Light" w:hAnsiTheme="majorBidi" w:cstheme="majorBidi"/>
          <w:i/>
          <w:iCs/>
          <w:sz w:val="20"/>
          <w:szCs w:val="20"/>
        </w:rPr>
        <w:t>Hypothesis 1 (H1): Managerial ownership is negatively associated with dividend payout ratios of listed deposit money banks in Nigeria.</w:t>
      </w:r>
    </w:p>
    <w:p w14:paraId="68E3711D" w14:textId="77777777" w:rsidR="00820975" w:rsidRPr="006F5F7E" w:rsidRDefault="00820975" w:rsidP="00963501">
      <w:pPr>
        <w:pStyle w:val="Heading3"/>
        <w:rPr>
          <w:rFonts w:asciiTheme="majorBidi" w:hAnsiTheme="majorBidi" w:cstheme="majorBidi"/>
          <w:b/>
          <w:bCs/>
          <w:color w:val="auto"/>
          <w:sz w:val="22"/>
          <w:szCs w:val="22"/>
        </w:rPr>
      </w:pPr>
      <w:r w:rsidRPr="006F5F7E">
        <w:rPr>
          <w:rFonts w:asciiTheme="majorBidi" w:hAnsiTheme="majorBidi" w:cstheme="majorBidi"/>
          <w:b/>
          <w:bCs/>
          <w:color w:val="auto"/>
          <w:sz w:val="22"/>
          <w:szCs w:val="22"/>
        </w:rPr>
        <w:t>2.3.2 Institutional Ownership and Dividend Policy</w:t>
      </w:r>
    </w:p>
    <w:p w14:paraId="5224BC52" w14:textId="77777777" w:rsidR="00963501" w:rsidRPr="00963501" w:rsidRDefault="00963501" w:rsidP="00963501">
      <w:pPr>
        <w:spacing w:line="360" w:lineRule="auto"/>
        <w:contextualSpacing/>
        <w:jc w:val="both"/>
        <w:rPr>
          <w:rFonts w:asciiTheme="majorBidi" w:eastAsia="DengXian Light" w:hAnsiTheme="majorBidi" w:cstheme="majorBidi"/>
          <w:sz w:val="20"/>
          <w:szCs w:val="20"/>
        </w:rPr>
      </w:pPr>
      <w:r w:rsidRPr="00963501">
        <w:rPr>
          <w:rFonts w:asciiTheme="majorBidi" w:eastAsia="DengXian Light" w:hAnsiTheme="majorBidi" w:cstheme="majorBidi"/>
          <w:sz w:val="20"/>
          <w:szCs w:val="20"/>
        </w:rPr>
        <w:t xml:space="preserve">Institutional ownership (IO) plays a pivotal role in shaping dividend policy, particularly in the banking sector where strategic monitoring by institutional investors may mitigate agency conflicts and influence payout decisions. </w:t>
      </w:r>
      <w:r w:rsidRPr="00963501">
        <w:rPr>
          <w:rFonts w:asciiTheme="majorBidi" w:eastAsia="DengXian Light" w:hAnsiTheme="majorBidi" w:cstheme="majorBidi"/>
          <w:sz w:val="20"/>
          <w:szCs w:val="20"/>
        </w:rPr>
        <w:lastRenderedPageBreak/>
        <w:t>Theoretically, institutional investors are presumed to favour dividend policies that ensure transparency and reduce managerial discretion over free cash flows (Jensen, 1986). However, empirical findings across emerging markets have shown nuanced outcomes.</w:t>
      </w:r>
    </w:p>
    <w:p w14:paraId="7877588C" w14:textId="1179AB43" w:rsidR="00820975" w:rsidRPr="006F5F7E" w:rsidRDefault="00963501" w:rsidP="00D35C87">
      <w:pPr>
        <w:spacing w:line="360" w:lineRule="auto"/>
        <w:contextualSpacing/>
        <w:jc w:val="both"/>
        <w:rPr>
          <w:rFonts w:asciiTheme="majorBidi" w:eastAsia="DengXian Light" w:hAnsiTheme="majorBidi" w:cstheme="majorBidi"/>
          <w:sz w:val="20"/>
          <w:szCs w:val="20"/>
        </w:rPr>
      </w:pPr>
      <w:r w:rsidRPr="00963501">
        <w:rPr>
          <w:rFonts w:asciiTheme="majorBidi" w:eastAsia="DengXian Light" w:hAnsiTheme="majorBidi" w:cstheme="majorBidi"/>
          <w:sz w:val="20"/>
          <w:szCs w:val="20"/>
        </w:rPr>
        <w:t xml:space="preserve">In the context of Nigeria, Akpadaka et al. (2024) reported a significant positive association between institutional ownership and dividend payout among listed </w:t>
      </w:r>
      <w:r w:rsidR="00584059" w:rsidRPr="006F5F7E">
        <w:rPr>
          <w:rFonts w:asciiTheme="majorBidi" w:eastAsia="DengXian Light" w:hAnsiTheme="majorBidi" w:cstheme="majorBidi"/>
          <w:sz w:val="20"/>
          <w:szCs w:val="20"/>
        </w:rPr>
        <w:t>manufacturing firms on the N</w:t>
      </w:r>
      <w:r w:rsidR="00826470" w:rsidRPr="006F5F7E">
        <w:rPr>
          <w:rFonts w:asciiTheme="majorBidi" w:eastAsia="DengXian Light" w:hAnsiTheme="majorBidi" w:cstheme="majorBidi"/>
          <w:sz w:val="20"/>
          <w:szCs w:val="20"/>
        </w:rPr>
        <w:t>igeria</w:t>
      </w:r>
      <w:r w:rsidR="00E74485" w:rsidRPr="006F5F7E">
        <w:rPr>
          <w:rFonts w:asciiTheme="majorBidi" w:eastAsia="DengXian Light" w:hAnsiTheme="majorBidi" w:cstheme="majorBidi"/>
          <w:sz w:val="20"/>
          <w:szCs w:val="20"/>
        </w:rPr>
        <w:t>n Exchange</w:t>
      </w:r>
      <w:r w:rsidRPr="00963501">
        <w:rPr>
          <w:rFonts w:asciiTheme="majorBidi" w:eastAsia="DengXian Light" w:hAnsiTheme="majorBidi" w:cstheme="majorBidi"/>
          <w:sz w:val="20"/>
          <w:szCs w:val="20"/>
        </w:rPr>
        <w:t>. The authors argue that institutional investors, by virtue of their voting rights and monitoring capabilities, encourage higher dividends as a mechanism for mitigating agency costs. Similarly, Yahaya et al. (202</w:t>
      </w:r>
      <w:r w:rsidR="00CA1CA2" w:rsidRPr="006F5F7E">
        <w:rPr>
          <w:rFonts w:asciiTheme="majorBidi" w:eastAsia="DengXian Light" w:hAnsiTheme="majorBidi" w:cstheme="majorBidi"/>
          <w:sz w:val="20"/>
          <w:szCs w:val="20"/>
        </w:rPr>
        <w:t>5b</w:t>
      </w:r>
      <w:r w:rsidRPr="00963501">
        <w:rPr>
          <w:rFonts w:asciiTheme="majorBidi" w:eastAsia="DengXian Light" w:hAnsiTheme="majorBidi" w:cstheme="majorBidi"/>
          <w:sz w:val="20"/>
          <w:szCs w:val="20"/>
        </w:rPr>
        <w:t>) supported the view that institutional investors demand consistent dividend payments to reduce the likelihood of expropriation by insiders. Conversely, in some cases, institutional investors may align with entrenched management, leading to a neutral or even negative influence on dividend policy</w:t>
      </w:r>
      <w:r w:rsidR="00A44055" w:rsidRPr="006F5F7E">
        <w:rPr>
          <w:rFonts w:asciiTheme="majorBidi" w:eastAsia="DengXian Light" w:hAnsiTheme="majorBidi" w:cstheme="majorBidi"/>
          <w:sz w:val="20"/>
          <w:szCs w:val="20"/>
        </w:rPr>
        <w:t xml:space="preserve"> (</w:t>
      </w:r>
      <w:r w:rsidR="003E334D" w:rsidRPr="006F5F7E">
        <w:rPr>
          <w:rFonts w:asciiTheme="majorBidi" w:hAnsiTheme="majorBidi" w:cstheme="majorBidi"/>
          <w:sz w:val="20"/>
          <w:szCs w:val="20"/>
        </w:rPr>
        <w:t>Tayachi et al</w:t>
      </w:r>
      <w:r w:rsidRPr="00963501">
        <w:rPr>
          <w:rFonts w:asciiTheme="majorBidi" w:eastAsia="DengXian Light" w:hAnsiTheme="majorBidi" w:cstheme="majorBidi"/>
          <w:sz w:val="20"/>
          <w:szCs w:val="20"/>
        </w:rPr>
        <w:t>.</w:t>
      </w:r>
      <w:r w:rsidR="003E334D" w:rsidRPr="006F5F7E">
        <w:rPr>
          <w:rFonts w:asciiTheme="majorBidi" w:eastAsia="DengXian Light" w:hAnsiTheme="majorBidi" w:cstheme="majorBidi"/>
          <w:sz w:val="20"/>
          <w:szCs w:val="20"/>
        </w:rPr>
        <w:t>,</w:t>
      </w:r>
      <w:r w:rsidR="000608F4" w:rsidRPr="006F5F7E">
        <w:rPr>
          <w:rFonts w:asciiTheme="majorBidi" w:eastAsia="DengXian Light" w:hAnsiTheme="majorBidi" w:cstheme="majorBidi"/>
          <w:sz w:val="20"/>
          <w:szCs w:val="20"/>
        </w:rPr>
        <w:t xml:space="preserve"> 2021</w:t>
      </w:r>
      <w:r w:rsidR="0006013F" w:rsidRPr="006F5F7E">
        <w:rPr>
          <w:rFonts w:asciiTheme="majorBidi" w:eastAsia="DengXian Light" w:hAnsiTheme="majorBidi" w:cstheme="majorBidi"/>
          <w:sz w:val="20"/>
          <w:szCs w:val="20"/>
        </w:rPr>
        <w:t xml:space="preserve">; </w:t>
      </w:r>
      <w:r w:rsidR="0006013F" w:rsidRPr="006F5F7E">
        <w:rPr>
          <w:rFonts w:asciiTheme="majorBidi" w:hAnsiTheme="majorBidi" w:cstheme="majorBidi"/>
          <w:sz w:val="20"/>
          <w:szCs w:val="20"/>
        </w:rPr>
        <w:t>Wijaya, 2023</w:t>
      </w:r>
      <w:r w:rsidR="00C22FC3" w:rsidRPr="006F5F7E">
        <w:rPr>
          <w:rFonts w:asciiTheme="majorBidi" w:eastAsia="DengXian Light" w:hAnsiTheme="majorBidi" w:cstheme="majorBidi"/>
          <w:sz w:val="20"/>
          <w:szCs w:val="20"/>
        </w:rPr>
        <w:t>)</w:t>
      </w:r>
      <w:r w:rsidR="0006013F" w:rsidRPr="006F5F7E">
        <w:rPr>
          <w:rFonts w:asciiTheme="majorBidi" w:eastAsia="DengXian Light" w:hAnsiTheme="majorBidi" w:cstheme="majorBidi"/>
          <w:sz w:val="20"/>
          <w:szCs w:val="20"/>
        </w:rPr>
        <w:t>.</w:t>
      </w:r>
      <w:r w:rsidR="00D35C87" w:rsidRPr="006F5F7E">
        <w:rPr>
          <w:rFonts w:asciiTheme="majorBidi" w:eastAsia="DengXian Light" w:hAnsiTheme="majorBidi" w:cstheme="majorBidi"/>
          <w:sz w:val="20"/>
          <w:szCs w:val="20"/>
        </w:rPr>
        <w:t xml:space="preserve"> </w:t>
      </w:r>
      <w:r w:rsidRPr="00963501">
        <w:rPr>
          <w:rFonts w:asciiTheme="majorBidi" w:eastAsia="DengXian Light" w:hAnsiTheme="majorBidi" w:cstheme="majorBidi"/>
          <w:sz w:val="20"/>
          <w:szCs w:val="20"/>
        </w:rPr>
        <w:t>These findings underscore the dual agency perspective where institutional investors can either function as active monitors or as passive allies to management depending on their investment horizon and strategic interest.</w:t>
      </w:r>
    </w:p>
    <w:p w14:paraId="158CEC19" w14:textId="3022D170" w:rsidR="00820975" w:rsidRPr="006F5F7E" w:rsidRDefault="000F4D36" w:rsidP="006D6E46">
      <w:pPr>
        <w:spacing w:line="360" w:lineRule="auto"/>
        <w:contextualSpacing/>
        <w:jc w:val="both"/>
        <w:rPr>
          <w:rFonts w:asciiTheme="majorBidi" w:eastAsia="DengXian Light" w:hAnsiTheme="majorBidi" w:cstheme="majorBidi"/>
          <w:i/>
          <w:iCs/>
          <w:sz w:val="20"/>
          <w:szCs w:val="20"/>
        </w:rPr>
      </w:pPr>
      <w:r w:rsidRPr="006F5F7E">
        <w:rPr>
          <w:rFonts w:asciiTheme="majorBidi" w:eastAsia="DengXian Light" w:hAnsiTheme="majorBidi" w:cstheme="majorBidi"/>
          <w:b/>
          <w:bCs/>
          <w:i/>
          <w:iCs/>
          <w:sz w:val="20"/>
          <w:szCs w:val="20"/>
        </w:rPr>
        <w:t>H2</w:t>
      </w:r>
      <w:r w:rsidR="00820975" w:rsidRPr="006F5F7E">
        <w:rPr>
          <w:rFonts w:asciiTheme="majorBidi" w:eastAsia="DengXian Light" w:hAnsiTheme="majorBidi" w:cstheme="majorBidi"/>
          <w:b/>
          <w:bCs/>
          <w:i/>
          <w:iCs/>
          <w:sz w:val="20"/>
          <w:szCs w:val="20"/>
        </w:rPr>
        <w:t>:</w:t>
      </w:r>
      <w:r w:rsidR="00820975" w:rsidRPr="006F5F7E">
        <w:rPr>
          <w:rFonts w:asciiTheme="majorBidi" w:eastAsia="DengXian Light" w:hAnsiTheme="majorBidi" w:cstheme="majorBidi"/>
          <w:i/>
          <w:iCs/>
          <w:sz w:val="20"/>
          <w:szCs w:val="20"/>
        </w:rPr>
        <w:t xml:space="preserve"> Institutional ownership is positively associated with dividend payout ratios of listed deposit money banks in Nigeria.</w:t>
      </w:r>
    </w:p>
    <w:p w14:paraId="5A4A2AA9" w14:textId="77777777" w:rsidR="00820975" w:rsidRPr="006F5F7E" w:rsidRDefault="00820975" w:rsidP="007A47C2">
      <w:pPr>
        <w:pStyle w:val="Heading3"/>
        <w:rPr>
          <w:rFonts w:asciiTheme="majorBidi" w:hAnsiTheme="majorBidi" w:cstheme="majorBidi"/>
          <w:b/>
          <w:bCs/>
          <w:sz w:val="20"/>
          <w:szCs w:val="20"/>
        </w:rPr>
      </w:pPr>
      <w:r w:rsidRPr="006F5F7E">
        <w:rPr>
          <w:rFonts w:asciiTheme="majorBidi" w:hAnsiTheme="majorBidi" w:cstheme="majorBidi"/>
          <w:b/>
          <w:bCs/>
          <w:color w:val="auto"/>
          <w:sz w:val="20"/>
          <w:szCs w:val="20"/>
        </w:rPr>
        <w:t>2.3.3 Foreign Ownership and Dividend Policy</w:t>
      </w:r>
    </w:p>
    <w:p w14:paraId="41C98F7D" w14:textId="77777777" w:rsidR="007A47C2" w:rsidRPr="007A47C2" w:rsidRDefault="007A47C2" w:rsidP="007A47C2">
      <w:pPr>
        <w:spacing w:line="360" w:lineRule="auto"/>
        <w:contextualSpacing/>
        <w:jc w:val="both"/>
        <w:rPr>
          <w:rFonts w:asciiTheme="majorBidi" w:eastAsia="DengXian Light" w:hAnsiTheme="majorBidi" w:cstheme="majorBidi"/>
          <w:sz w:val="20"/>
          <w:szCs w:val="20"/>
        </w:rPr>
      </w:pPr>
      <w:r w:rsidRPr="007A47C2">
        <w:rPr>
          <w:rFonts w:asciiTheme="majorBidi" w:eastAsia="DengXian Light" w:hAnsiTheme="majorBidi" w:cstheme="majorBidi"/>
          <w:sz w:val="20"/>
          <w:szCs w:val="20"/>
        </w:rPr>
        <w:t>Foreign ownership has emerged as a significant determinant of dividend policy, particularly in emerging markets where governance mechanisms are often underdeveloped. Foreign investors are typically more risk-averse and demand transparent financial practices, especially in jurisdictions characterised by weak legal enforcement and high information asymmetry. In such settings, dividends serve as an effective tool to mitigate agency conflicts and reduce the risk of expropriation by insiders (Duqi, 2020; Loncan, 2020). Moreover, regular dividend payments facilitate income repatriation, making the host market more attractive to foreign capital.</w:t>
      </w:r>
    </w:p>
    <w:p w14:paraId="6C927584" w14:textId="77777777" w:rsidR="007A47C2" w:rsidRPr="007A47C2" w:rsidRDefault="007A47C2" w:rsidP="007A47C2">
      <w:pPr>
        <w:spacing w:line="360" w:lineRule="auto"/>
        <w:contextualSpacing/>
        <w:jc w:val="both"/>
        <w:rPr>
          <w:rFonts w:asciiTheme="majorBidi" w:eastAsia="DengXian Light" w:hAnsiTheme="majorBidi" w:cstheme="majorBidi"/>
          <w:sz w:val="20"/>
          <w:szCs w:val="20"/>
        </w:rPr>
      </w:pPr>
      <w:r w:rsidRPr="007A47C2">
        <w:rPr>
          <w:rFonts w:asciiTheme="majorBidi" w:eastAsia="DengXian Light" w:hAnsiTheme="majorBidi" w:cstheme="majorBidi"/>
          <w:sz w:val="20"/>
          <w:szCs w:val="20"/>
        </w:rPr>
        <w:t>Empirical studies have provided substantial support for this argument. In Nigeria and other comparable economies, foreign ownership has been found to positively influence dividend payouts, aligning with both the agency theory and signalling theory (Idris, 2023; Aslam et al., 2023). These investors often demand consistent and substantial dividends as reassurance of managerial discipline and firm performance. However, contrasting evidence exists. For instance, Bataineh (2020), examining Jordanian industrial and service firms, found a negative relationship between foreign ownership and dividend payments, suggesting that in some contexts, foreign investors may prioritise capital gains or reinvestment strategies over immediate returns.</w:t>
      </w:r>
    </w:p>
    <w:p w14:paraId="1FD62BD7" w14:textId="6CB9448C" w:rsidR="00820975" w:rsidRPr="006F5F7E" w:rsidRDefault="00820975" w:rsidP="006D6E46">
      <w:pPr>
        <w:spacing w:line="360" w:lineRule="auto"/>
        <w:contextualSpacing/>
        <w:jc w:val="both"/>
        <w:rPr>
          <w:rFonts w:asciiTheme="majorBidi" w:eastAsia="DengXian Light" w:hAnsiTheme="majorBidi" w:cstheme="majorBidi"/>
          <w:i/>
          <w:iCs/>
          <w:sz w:val="20"/>
          <w:szCs w:val="20"/>
        </w:rPr>
      </w:pPr>
      <w:r w:rsidRPr="006F5F7E">
        <w:rPr>
          <w:rFonts w:asciiTheme="majorBidi" w:eastAsia="DengXian Light" w:hAnsiTheme="majorBidi" w:cstheme="majorBidi"/>
          <w:b/>
          <w:bCs/>
          <w:i/>
          <w:iCs/>
          <w:sz w:val="20"/>
          <w:szCs w:val="20"/>
        </w:rPr>
        <w:t>H</w:t>
      </w:r>
      <w:r w:rsidR="000F4D36" w:rsidRPr="006F5F7E">
        <w:rPr>
          <w:rFonts w:asciiTheme="majorBidi" w:eastAsia="DengXian Light" w:hAnsiTheme="majorBidi" w:cstheme="majorBidi"/>
          <w:b/>
          <w:bCs/>
          <w:i/>
          <w:iCs/>
          <w:sz w:val="20"/>
          <w:szCs w:val="20"/>
        </w:rPr>
        <w:t>3</w:t>
      </w:r>
      <w:r w:rsidRPr="006F5F7E">
        <w:rPr>
          <w:rFonts w:asciiTheme="majorBidi" w:eastAsia="DengXian Light" w:hAnsiTheme="majorBidi" w:cstheme="majorBidi"/>
          <w:i/>
          <w:iCs/>
          <w:sz w:val="20"/>
          <w:szCs w:val="20"/>
        </w:rPr>
        <w:t>: Foreign ownership is positively associated with dividend payout ratios of listed deposit money banks in Nigeria.</w:t>
      </w:r>
    </w:p>
    <w:p w14:paraId="765C91D9" w14:textId="77777777" w:rsidR="00820975" w:rsidRPr="006F5F7E" w:rsidRDefault="00820975" w:rsidP="00B92188">
      <w:pPr>
        <w:pStyle w:val="Heading3"/>
        <w:rPr>
          <w:rFonts w:asciiTheme="majorBidi" w:hAnsiTheme="majorBidi" w:cstheme="majorBidi"/>
          <w:b/>
          <w:bCs/>
          <w:sz w:val="20"/>
          <w:szCs w:val="20"/>
        </w:rPr>
      </w:pPr>
      <w:r w:rsidRPr="006F5F7E">
        <w:rPr>
          <w:rFonts w:asciiTheme="majorBidi" w:hAnsiTheme="majorBidi" w:cstheme="majorBidi"/>
          <w:b/>
          <w:bCs/>
          <w:sz w:val="20"/>
          <w:szCs w:val="20"/>
        </w:rPr>
        <w:t>2.3.4 Profitability and Dividend Policy</w:t>
      </w:r>
    </w:p>
    <w:p w14:paraId="58541B41" w14:textId="43AFFE45" w:rsidR="00820975" w:rsidRPr="006F5F7E" w:rsidRDefault="003F0AF9" w:rsidP="003F0AF9">
      <w:pPr>
        <w:spacing w:line="360" w:lineRule="auto"/>
        <w:contextualSpacing/>
        <w:jc w:val="both"/>
        <w:rPr>
          <w:rFonts w:asciiTheme="majorBidi" w:eastAsia="DengXian Light" w:hAnsiTheme="majorBidi" w:cstheme="majorBidi"/>
          <w:sz w:val="20"/>
          <w:szCs w:val="20"/>
        </w:rPr>
      </w:pPr>
      <w:r w:rsidRPr="006F5F7E">
        <w:rPr>
          <w:rFonts w:asciiTheme="majorBidi" w:eastAsia="DengXian Light" w:hAnsiTheme="majorBidi" w:cstheme="majorBidi"/>
          <w:sz w:val="20"/>
          <w:szCs w:val="20"/>
        </w:rPr>
        <w:t>Profitability is widely regarded as a key driver of dividend policy, as profitable firms have greater capacity to distribute dividends. Empirical evidence supports a positive relationship between profitability and dividend payout. Januarsi and Sanusi (2024) found that free cash flow enhances the link between profitability and dividend policy. Similarly, Susilo et al. (2021) reported a significant positive effect of profitability, proxied by ROA, on dividend payments in Indonesian manufacturing firms. Supporting this view in an African context, Akpadaka et al. (2024) observed a strong positive association between ROA and dividend payout among South African manufacturing firms. These findings align with the signalling and pecking order theories, suggesting that higher profitability signals financial strength and encourages greater dividend distribution</w:t>
      </w:r>
      <w:r w:rsidR="00820975" w:rsidRPr="006F5F7E">
        <w:rPr>
          <w:rFonts w:asciiTheme="majorBidi" w:eastAsia="DengXian Light" w:hAnsiTheme="majorBidi" w:cstheme="majorBidi"/>
          <w:sz w:val="20"/>
          <w:szCs w:val="20"/>
        </w:rPr>
        <w:t>.</w:t>
      </w:r>
    </w:p>
    <w:p w14:paraId="2DA67C55" w14:textId="43EFDFA4" w:rsidR="00820975" w:rsidRPr="006F5F7E" w:rsidRDefault="00820975" w:rsidP="006D6E46">
      <w:pPr>
        <w:spacing w:line="360" w:lineRule="auto"/>
        <w:contextualSpacing/>
        <w:jc w:val="both"/>
        <w:rPr>
          <w:rFonts w:asciiTheme="majorBidi" w:eastAsia="DengXian Light" w:hAnsiTheme="majorBidi" w:cstheme="majorBidi"/>
          <w:sz w:val="20"/>
          <w:szCs w:val="20"/>
        </w:rPr>
      </w:pPr>
      <w:r w:rsidRPr="006F5F7E">
        <w:rPr>
          <w:rFonts w:asciiTheme="majorBidi" w:eastAsia="DengXian Light" w:hAnsiTheme="majorBidi" w:cstheme="majorBidi"/>
          <w:b/>
          <w:bCs/>
          <w:i/>
          <w:iCs/>
          <w:sz w:val="20"/>
          <w:szCs w:val="20"/>
        </w:rPr>
        <w:lastRenderedPageBreak/>
        <w:t>H4</w:t>
      </w:r>
      <w:r w:rsidRPr="006F5F7E">
        <w:rPr>
          <w:rFonts w:asciiTheme="majorBidi" w:eastAsia="DengXian Light" w:hAnsiTheme="majorBidi" w:cstheme="majorBidi"/>
          <w:i/>
          <w:iCs/>
          <w:sz w:val="20"/>
          <w:szCs w:val="20"/>
        </w:rPr>
        <w:t>: Profitability (ROA) is positively associated with dividend payout ratios of listed deposit money banks in</w:t>
      </w:r>
      <w:r w:rsidRPr="006F5F7E">
        <w:rPr>
          <w:rFonts w:asciiTheme="majorBidi" w:eastAsia="DengXian Light" w:hAnsiTheme="majorBidi" w:cstheme="majorBidi"/>
          <w:sz w:val="20"/>
          <w:szCs w:val="20"/>
        </w:rPr>
        <w:t xml:space="preserve"> Nigeria.</w:t>
      </w:r>
    </w:p>
    <w:p w14:paraId="66FC9C0C" w14:textId="2BD6865E" w:rsidR="00820975" w:rsidRPr="006F5F7E" w:rsidRDefault="00820975" w:rsidP="00854435">
      <w:pPr>
        <w:pStyle w:val="Heading3"/>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2.3.5 Profitability as a Moderator of the Ownership</w:t>
      </w:r>
      <w:r w:rsidR="00CF762D" w:rsidRPr="006F5F7E">
        <w:rPr>
          <w:rFonts w:asciiTheme="majorBidi" w:hAnsiTheme="majorBidi" w:cstheme="majorBidi"/>
          <w:b/>
          <w:bCs/>
          <w:color w:val="auto"/>
          <w:sz w:val="20"/>
          <w:szCs w:val="20"/>
        </w:rPr>
        <w:t>-</w:t>
      </w:r>
      <w:r w:rsidRPr="006F5F7E">
        <w:rPr>
          <w:rFonts w:asciiTheme="majorBidi" w:hAnsiTheme="majorBidi" w:cstheme="majorBidi"/>
          <w:b/>
          <w:bCs/>
          <w:color w:val="auto"/>
          <w:sz w:val="20"/>
          <w:szCs w:val="20"/>
        </w:rPr>
        <w:t>Dividend Policy Relationship</w:t>
      </w:r>
    </w:p>
    <w:p w14:paraId="6D3059DD" w14:textId="31675BD5" w:rsidR="00F26A3D" w:rsidRPr="00F26A3D" w:rsidRDefault="00F26A3D" w:rsidP="00F26A3D">
      <w:pPr>
        <w:spacing w:line="360" w:lineRule="auto"/>
        <w:contextualSpacing/>
        <w:jc w:val="both"/>
        <w:rPr>
          <w:rFonts w:asciiTheme="majorBidi" w:eastAsia="DengXian Light" w:hAnsiTheme="majorBidi" w:cstheme="majorBidi"/>
          <w:sz w:val="20"/>
          <w:szCs w:val="20"/>
        </w:rPr>
      </w:pPr>
      <w:r w:rsidRPr="00F26A3D">
        <w:rPr>
          <w:rFonts w:asciiTheme="majorBidi" w:eastAsia="DengXian Light" w:hAnsiTheme="majorBidi" w:cstheme="majorBidi"/>
          <w:sz w:val="20"/>
          <w:szCs w:val="20"/>
        </w:rPr>
        <w:t>Profitability plays a crucial role not only as a direct determinant of dividend policy but also as a moderating variable that influences how ownership structure affects dividend payout decisions. The agency theory suggests that different forms of ownership exert varying degrees of control over dividend policies. However, this control is conditional on the firm’s internal capacity to generate profits. When firms are highly profitable, the ownership structure may have a diminished effect on dividend payout decisions, as sufficient resources are available to satisfy both investment and dividend interests. Conversely, in periods of low profitability, ownership dynamics become more critical in shaping dividend behaviour.</w:t>
      </w:r>
    </w:p>
    <w:p w14:paraId="03FB6A08" w14:textId="419A3EEE" w:rsidR="00820975" w:rsidRPr="006F5F7E" w:rsidRDefault="00F26A3D" w:rsidP="00F26A3D">
      <w:pPr>
        <w:spacing w:line="360" w:lineRule="auto"/>
        <w:contextualSpacing/>
        <w:jc w:val="both"/>
        <w:rPr>
          <w:rFonts w:asciiTheme="majorBidi" w:eastAsia="DengXian Light" w:hAnsiTheme="majorBidi" w:cstheme="majorBidi"/>
          <w:sz w:val="20"/>
          <w:szCs w:val="20"/>
        </w:rPr>
      </w:pPr>
      <w:r w:rsidRPr="00F26A3D">
        <w:rPr>
          <w:rFonts w:asciiTheme="majorBidi" w:eastAsia="DengXian Light" w:hAnsiTheme="majorBidi" w:cstheme="majorBidi"/>
          <w:sz w:val="20"/>
          <w:szCs w:val="20"/>
        </w:rPr>
        <w:t>Empirical evidence supports this moderating role. Karim et al. (2025) demonstrated that profitability moderated the effect of firm growth on dividend policy in Indonesian infrastructure companies. Similarly, Akpadaka et al. (2024</w:t>
      </w:r>
      <w:r w:rsidRPr="006F5F7E">
        <w:rPr>
          <w:rFonts w:asciiTheme="majorBidi" w:eastAsia="DengXian Light" w:hAnsiTheme="majorBidi" w:cstheme="majorBidi"/>
          <w:sz w:val="20"/>
          <w:szCs w:val="20"/>
        </w:rPr>
        <w:t>b</w:t>
      </w:r>
      <w:r w:rsidRPr="00F26A3D">
        <w:rPr>
          <w:rFonts w:asciiTheme="majorBidi" w:eastAsia="DengXian Light" w:hAnsiTheme="majorBidi" w:cstheme="majorBidi"/>
          <w:sz w:val="20"/>
          <w:szCs w:val="20"/>
        </w:rPr>
        <w:t>) found that profitability significantly moderated the leverage–dividend relationship in Nigerian and South African manufacturing firms. These studies reinforce the theoretical proposition that profitability can condition the effect of ownership structure on dividend decisions</w:t>
      </w:r>
      <w:r w:rsidR="00820975" w:rsidRPr="006F5F7E">
        <w:rPr>
          <w:rFonts w:asciiTheme="majorBidi" w:eastAsia="DengXian Light" w:hAnsiTheme="majorBidi" w:cstheme="majorBidi"/>
          <w:sz w:val="20"/>
          <w:szCs w:val="20"/>
        </w:rPr>
        <w:t>.</w:t>
      </w:r>
    </w:p>
    <w:p w14:paraId="5F1F5712" w14:textId="53C224F5" w:rsidR="00820975" w:rsidRPr="006F5F7E" w:rsidRDefault="00820975" w:rsidP="006D6E46">
      <w:pPr>
        <w:spacing w:line="360" w:lineRule="auto"/>
        <w:contextualSpacing/>
        <w:jc w:val="both"/>
        <w:rPr>
          <w:rFonts w:asciiTheme="majorBidi" w:eastAsia="DengXian Light" w:hAnsiTheme="majorBidi" w:cstheme="majorBidi"/>
          <w:i/>
          <w:iCs/>
          <w:sz w:val="20"/>
          <w:szCs w:val="20"/>
        </w:rPr>
      </w:pPr>
      <w:r w:rsidRPr="006F5F7E">
        <w:rPr>
          <w:rFonts w:asciiTheme="majorBidi" w:eastAsia="DengXian Light" w:hAnsiTheme="majorBidi" w:cstheme="majorBidi"/>
          <w:i/>
          <w:iCs/>
          <w:sz w:val="20"/>
          <w:szCs w:val="20"/>
        </w:rPr>
        <w:t>H5: Profitability moderates the relationship between ownership structure and dividend payout ratios of listed deposit money banks in Nigeria.</w:t>
      </w:r>
    </w:p>
    <w:p w14:paraId="4AEF80CC" w14:textId="77777777" w:rsidR="00D04062" w:rsidRPr="006F5F7E" w:rsidRDefault="00833548" w:rsidP="006D6E46">
      <w:pPr>
        <w:pStyle w:val="Heading2"/>
        <w:spacing w:line="360" w:lineRule="auto"/>
        <w:contextualSpacing/>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3. Methodology</w:t>
      </w:r>
    </w:p>
    <w:p w14:paraId="4AEF80CD" w14:textId="77777777" w:rsidR="00D04062" w:rsidRPr="006F5F7E" w:rsidRDefault="00833548" w:rsidP="006D6E46">
      <w:pPr>
        <w:pStyle w:val="Heading3"/>
        <w:spacing w:line="360" w:lineRule="auto"/>
        <w:contextualSpacing/>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3.1 Research Design and Sample</w:t>
      </w:r>
    </w:p>
    <w:p w14:paraId="1DE43ED4" w14:textId="4125B55A" w:rsidR="00CD20AF" w:rsidRPr="006F5F7E" w:rsidRDefault="00C8249F" w:rsidP="00B94BC8">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This study employs an ex post facto research design under the positivist paradigm, suitable for analysing causal and moderating relationships using historical data without manipulating independent variables. The design aligns with the study’s objective of examining the influence of ownership structure and profitability on dividend policy in Nigerian Deposit Money Banks (DMBs) over a t</w:t>
      </w:r>
      <w:r w:rsidR="0020016D" w:rsidRPr="006F5F7E">
        <w:rPr>
          <w:rFonts w:asciiTheme="majorBidi" w:hAnsiTheme="majorBidi" w:cstheme="majorBidi"/>
          <w:sz w:val="20"/>
          <w:szCs w:val="20"/>
        </w:rPr>
        <w:t>welve</w:t>
      </w:r>
      <w:r w:rsidRPr="006F5F7E">
        <w:rPr>
          <w:rFonts w:asciiTheme="majorBidi" w:hAnsiTheme="majorBidi" w:cstheme="majorBidi"/>
          <w:sz w:val="20"/>
          <w:szCs w:val="20"/>
        </w:rPr>
        <w:t>-year period (201</w:t>
      </w:r>
      <w:r w:rsidR="0020016D" w:rsidRPr="006F5F7E">
        <w:rPr>
          <w:rFonts w:asciiTheme="majorBidi" w:hAnsiTheme="majorBidi" w:cstheme="majorBidi"/>
          <w:sz w:val="20"/>
          <w:szCs w:val="20"/>
        </w:rPr>
        <w:t>2</w:t>
      </w:r>
      <w:r w:rsidRPr="006F5F7E">
        <w:rPr>
          <w:rFonts w:asciiTheme="majorBidi" w:hAnsiTheme="majorBidi" w:cstheme="majorBidi"/>
          <w:sz w:val="20"/>
          <w:szCs w:val="20"/>
        </w:rPr>
        <w:t>–2023), a timeframe shaped by post-crisis reforms</w:t>
      </w:r>
      <w:r w:rsidR="00B94BC8" w:rsidRPr="006F5F7E">
        <w:rPr>
          <w:rFonts w:asciiTheme="majorBidi" w:hAnsiTheme="majorBidi" w:cstheme="majorBidi"/>
          <w:sz w:val="20"/>
          <w:szCs w:val="20"/>
        </w:rPr>
        <w:t xml:space="preserve"> and</w:t>
      </w:r>
      <w:r w:rsidRPr="006F5F7E">
        <w:rPr>
          <w:rFonts w:asciiTheme="majorBidi" w:hAnsiTheme="majorBidi" w:cstheme="majorBidi"/>
          <w:sz w:val="20"/>
          <w:szCs w:val="20"/>
        </w:rPr>
        <w:t xml:space="preserve"> Basel III regulations</w:t>
      </w:r>
      <w:r w:rsidR="00755B15" w:rsidRPr="006F5F7E">
        <w:rPr>
          <w:rFonts w:asciiTheme="majorBidi" w:hAnsiTheme="majorBidi" w:cstheme="majorBidi"/>
          <w:sz w:val="20"/>
          <w:szCs w:val="20"/>
        </w:rPr>
        <w:t xml:space="preserve">. </w:t>
      </w:r>
      <w:r w:rsidRPr="006F5F7E">
        <w:rPr>
          <w:rFonts w:asciiTheme="majorBidi" w:hAnsiTheme="majorBidi" w:cstheme="majorBidi"/>
          <w:sz w:val="20"/>
          <w:szCs w:val="20"/>
        </w:rPr>
        <w:t>The study population includes 15 DMBs listed on the Nigerian Exchange Group as of 2023. Using purposive sampling, 12 banks with complete financial disclosures were selected, while 3 were excluded due to missing data. The final sample comprises 144 firm-year observations. Secondary data were extracted from audited annual financial statements</w:t>
      </w:r>
      <w:r w:rsidR="00B94BC8" w:rsidRPr="006F5F7E">
        <w:rPr>
          <w:rFonts w:asciiTheme="majorBidi" w:hAnsiTheme="majorBidi" w:cstheme="majorBidi"/>
          <w:sz w:val="20"/>
          <w:szCs w:val="20"/>
        </w:rPr>
        <w:t>.</w:t>
      </w:r>
    </w:p>
    <w:p w14:paraId="205E7780" w14:textId="0BD6840A" w:rsidR="00E71166" w:rsidRPr="006F5F7E" w:rsidRDefault="00E71166" w:rsidP="00E71166">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Table 1 presents the operational definitions and measurement metrics for all variables used in this study. These variables include the dependent variable (dividend payout ratio), key independent variables (ownership structure proxies), the moderating variable (profitability), and control variables. Each variable is carefully defined and measured in accordance with prior literature and data availability from annual financial statements.</w:t>
      </w:r>
    </w:p>
    <w:p w14:paraId="2045AE98" w14:textId="77777777" w:rsidR="00CD20AF" w:rsidRPr="006F5F7E" w:rsidRDefault="00CD20AF" w:rsidP="006D6E46">
      <w:pPr>
        <w:spacing w:line="360" w:lineRule="auto"/>
        <w:contextualSpacing/>
        <w:jc w:val="both"/>
        <w:rPr>
          <w:rFonts w:asciiTheme="majorBidi" w:hAnsiTheme="majorBidi" w:cstheme="majorBidi"/>
          <w:sz w:val="20"/>
          <w:szCs w:val="20"/>
        </w:rPr>
      </w:pPr>
    </w:p>
    <w:p w14:paraId="71319994" w14:textId="77777777" w:rsidR="00F6438D" w:rsidRPr="006F5F7E" w:rsidRDefault="00F6438D" w:rsidP="006D6E46">
      <w:pPr>
        <w:spacing w:line="360" w:lineRule="auto"/>
        <w:contextualSpacing/>
        <w:jc w:val="both"/>
        <w:rPr>
          <w:rFonts w:asciiTheme="majorBidi" w:hAnsiTheme="majorBidi" w:cstheme="majorBidi"/>
          <w:b/>
          <w:bCs/>
          <w:sz w:val="20"/>
          <w:szCs w:val="20"/>
        </w:rPr>
      </w:pPr>
      <w:r w:rsidRPr="006F5F7E">
        <w:rPr>
          <w:rFonts w:asciiTheme="majorBidi" w:hAnsiTheme="majorBidi" w:cstheme="majorBidi"/>
          <w:b/>
          <w:bCs/>
          <w:sz w:val="20"/>
          <w:szCs w:val="20"/>
        </w:rPr>
        <w:t xml:space="preserve">Table 1: </w:t>
      </w:r>
      <w:r w:rsidRPr="006F5F7E">
        <w:rPr>
          <w:rFonts w:asciiTheme="majorBidi" w:hAnsiTheme="majorBidi" w:cstheme="majorBidi"/>
          <w:sz w:val="20"/>
          <w:szCs w:val="20"/>
        </w:rPr>
        <w:t>Definition and Measurement of Variables</w:t>
      </w:r>
    </w:p>
    <w:tbl>
      <w:tblPr>
        <w:tblStyle w:val="PlainTable21"/>
        <w:tblW w:w="0" w:type="auto"/>
        <w:tblBorders>
          <w:top w:val="none" w:sz="0" w:space="0" w:color="auto"/>
          <w:bottom w:val="none" w:sz="0" w:space="0" w:color="auto"/>
        </w:tblBorders>
        <w:tblLook w:val="04A0" w:firstRow="1" w:lastRow="0" w:firstColumn="1" w:lastColumn="0" w:noHBand="0" w:noVBand="1"/>
      </w:tblPr>
      <w:tblGrid>
        <w:gridCol w:w="1672"/>
        <w:gridCol w:w="861"/>
        <w:gridCol w:w="3321"/>
        <w:gridCol w:w="3172"/>
      </w:tblGrid>
      <w:tr w:rsidR="003C36A6" w:rsidRPr="006F5F7E" w14:paraId="7C7A154F" w14:textId="77777777" w:rsidTr="00F643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16DDACDE" w14:textId="77777777" w:rsidR="00F6438D" w:rsidRPr="006F5F7E" w:rsidRDefault="00F6438D" w:rsidP="006D6E46">
            <w:pPr>
              <w:spacing w:after="160"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Variable</w:t>
            </w:r>
          </w:p>
        </w:tc>
        <w:tc>
          <w:tcPr>
            <w:tcW w:w="0" w:type="auto"/>
            <w:tcBorders>
              <w:top w:val="single" w:sz="4" w:space="0" w:color="auto"/>
              <w:bottom w:val="single" w:sz="4" w:space="0" w:color="auto"/>
            </w:tcBorders>
            <w:hideMark/>
          </w:tcPr>
          <w:p w14:paraId="513D7BEA" w14:textId="77777777" w:rsidR="00F6438D" w:rsidRPr="006F5F7E" w:rsidRDefault="00F6438D" w:rsidP="006D6E46">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Symbol</w:t>
            </w:r>
          </w:p>
        </w:tc>
        <w:tc>
          <w:tcPr>
            <w:tcW w:w="0" w:type="auto"/>
            <w:tcBorders>
              <w:top w:val="single" w:sz="4" w:space="0" w:color="auto"/>
              <w:bottom w:val="single" w:sz="4" w:space="0" w:color="auto"/>
            </w:tcBorders>
            <w:hideMark/>
          </w:tcPr>
          <w:p w14:paraId="3EC7B3D9" w14:textId="77777777" w:rsidR="00F6438D" w:rsidRPr="006F5F7E" w:rsidRDefault="00F6438D" w:rsidP="006D6E46">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Description</w:t>
            </w:r>
          </w:p>
        </w:tc>
        <w:tc>
          <w:tcPr>
            <w:tcW w:w="0" w:type="auto"/>
            <w:tcBorders>
              <w:top w:val="single" w:sz="4" w:space="0" w:color="auto"/>
              <w:bottom w:val="single" w:sz="4" w:space="0" w:color="auto"/>
            </w:tcBorders>
            <w:hideMark/>
          </w:tcPr>
          <w:p w14:paraId="0E4B5EA2" w14:textId="77777777" w:rsidR="00F6438D" w:rsidRPr="006F5F7E" w:rsidRDefault="00F6438D" w:rsidP="006D6E46">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Measurement</w:t>
            </w:r>
          </w:p>
        </w:tc>
      </w:tr>
      <w:tr w:rsidR="003C36A6" w:rsidRPr="006F5F7E" w14:paraId="761BE19D" w14:textId="77777777" w:rsidTr="00F6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72907B32" w14:textId="77777777" w:rsidR="00F6438D" w:rsidRPr="006F5F7E" w:rsidRDefault="00F6438D" w:rsidP="006D6E46">
            <w:pPr>
              <w:spacing w:after="160" w:line="360" w:lineRule="auto"/>
              <w:contextualSpacing/>
              <w:jc w:val="both"/>
              <w:rPr>
                <w:rFonts w:asciiTheme="majorBidi" w:hAnsiTheme="majorBidi" w:cstheme="majorBidi"/>
                <w:b w:val="0"/>
                <w:bCs w:val="0"/>
                <w:sz w:val="20"/>
                <w:szCs w:val="20"/>
              </w:rPr>
            </w:pPr>
            <w:r w:rsidRPr="006F5F7E">
              <w:rPr>
                <w:rFonts w:asciiTheme="majorBidi" w:hAnsiTheme="majorBidi" w:cstheme="majorBidi"/>
                <w:b w:val="0"/>
                <w:bCs w:val="0"/>
                <w:sz w:val="20"/>
                <w:szCs w:val="20"/>
              </w:rPr>
              <w:t>Dividend Payout Ratio</w:t>
            </w:r>
          </w:p>
        </w:tc>
        <w:tc>
          <w:tcPr>
            <w:tcW w:w="0" w:type="auto"/>
            <w:tcBorders>
              <w:top w:val="single" w:sz="4" w:space="0" w:color="auto"/>
            </w:tcBorders>
            <w:hideMark/>
          </w:tcPr>
          <w:p w14:paraId="2BD324FA"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DPO</w:t>
            </w:r>
          </w:p>
        </w:tc>
        <w:tc>
          <w:tcPr>
            <w:tcW w:w="0" w:type="auto"/>
            <w:tcBorders>
              <w:top w:val="single" w:sz="4" w:space="0" w:color="auto"/>
            </w:tcBorders>
            <w:hideMark/>
          </w:tcPr>
          <w:p w14:paraId="5E3E4F61"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Proportion of net earnings distributed as dividends</w:t>
            </w:r>
          </w:p>
        </w:tc>
        <w:tc>
          <w:tcPr>
            <w:tcW w:w="0" w:type="auto"/>
            <w:tcBorders>
              <w:top w:val="single" w:sz="4" w:space="0" w:color="auto"/>
            </w:tcBorders>
            <w:hideMark/>
          </w:tcPr>
          <w:p w14:paraId="17781DCC"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Dividends per Share (DPS) ÷ Earnings per Share (EPS)</w:t>
            </w:r>
          </w:p>
        </w:tc>
      </w:tr>
      <w:tr w:rsidR="00F6438D" w:rsidRPr="006F5F7E" w14:paraId="763AC02E" w14:textId="77777777" w:rsidTr="00F6438D">
        <w:tc>
          <w:tcPr>
            <w:cnfStyle w:val="001000000000" w:firstRow="0" w:lastRow="0" w:firstColumn="1" w:lastColumn="0" w:oddVBand="0" w:evenVBand="0" w:oddHBand="0" w:evenHBand="0" w:firstRowFirstColumn="0" w:firstRowLastColumn="0" w:lastRowFirstColumn="0" w:lastRowLastColumn="0"/>
            <w:tcW w:w="0" w:type="auto"/>
            <w:hideMark/>
          </w:tcPr>
          <w:p w14:paraId="26AB4151" w14:textId="77777777" w:rsidR="00F6438D" w:rsidRPr="006F5F7E" w:rsidRDefault="00F6438D" w:rsidP="006D6E46">
            <w:pPr>
              <w:spacing w:after="160" w:line="360" w:lineRule="auto"/>
              <w:contextualSpacing/>
              <w:jc w:val="both"/>
              <w:rPr>
                <w:rFonts w:asciiTheme="majorBidi" w:hAnsiTheme="majorBidi" w:cstheme="majorBidi"/>
                <w:b w:val="0"/>
                <w:bCs w:val="0"/>
                <w:sz w:val="20"/>
                <w:szCs w:val="20"/>
              </w:rPr>
            </w:pPr>
            <w:r w:rsidRPr="006F5F7E">
              <w:rPr>
                <w:rFonts w:asciiTheme="majorBidi" w:hAnsiTheme="majorBidi" w:cstheme="majorBidi"/>
                <w:b w:val="0"/>
                <w:bCs w:val="0"/>
                <w:sz w:val="20"/>
                <w:szCs w:val="20"/>
              </w:rPr>
              <w:t>Managerial Ownership</w:t>
            </w:r>
          </w:p>
        </w:tc>
        <w:tc>
          <w:tcPr>
            <w:tcW w:w="0" w:type="auto"/>
            <w:hideMark/>
          </w:tcPr>
          <w:p w14:paraId="12F58EE1" w14:textId="77777777"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MGO</w:t>
            </w:r>
          </w:p>
        </w:tc>
        <w:tc>
          <w:tcPr>
            <w:tcW w:w="0" w:type="auto"/>
            <w:hideMark/>
          </w:tcPr>
          <w:p w14:paraId="71770808" w14:textId="77777777"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Percentage of shares held by directors and executive managers</w:t>
            </w:r>
          </w:p>
        </w:tc>
        <w:tc>
          <w:tcPr>
            <w:tcW w:w="0" w:type="auto"/>
            <w:hideMark/>
          </w:tcPr>
          <w:p w14:paraId="7E7C00E1" w14:textId="77777777"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Managerial shareholding ÷ Total shares outstanding</w:t>
            </w:r>
          </w:p>
        </w:tc>
      </w:tr>
      <w:tr w:rsidR="00F6438D" w:rsidRPr="006F5F7E" w14:paraId="4D792266" w14:textId="77777777" w:rsidTr="00F6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EB9C12" w14:textId="77777777" w:rsidR="00F6438D" w:rsidRPr="006F5F7E" w:rsidRDefault="00F6438D" w:rsidP="006D6E46">
            <w:pPr>
              <w:spacing w:after="160" w:line="360" w:lineRule="auto"/>
              <w:contextualSpacing/>
              <w:jc w:val="both"/>
              <w:rPr>
                <w:rFonts w:asciiTheme="majorBidi" w:hAnsiTheme="majorBidi" w:cstheme="majorBidi"/>
                <w:b w:val="0"/>
                <w:bCs w:val="0"/>
                <w:sz w:val="20"/>
                <w:szCs w:val="20"/>
              </w:rPr>
            </w:pPr>
            <w:r w:rsidRPr="006F5F7E">
              <w:rPr>
                <w:rFonts w:asciiTheme="majorBidi" w:hAnsiTheme="majorBidi" w:cstheme="majorBidi"/>
                <w:b w:val="0"/>
                <w:bCs w:val="0"/>
                <w:sz w:val="20"/>
                <w:szCs w:val="20"/>
              </w:rPr>
              <w:lastRenderedPageBreak/>
              <w:t>Institutional Ownership</w:t>
            </w:r>
          </w:p>
        </w:tc>
        <w:tc>
          <w:tcPr>
            <w:tcW w:w="0" w:type="auto"/>
            <w:hideMark/>
          </w:tcPr>
          <w:p w14:paraId="57CF4604" w14:textId="2E5D0D0C"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I</w:t>
            </w:r>
            <w:r w:rsidR="004D61DA" w:rsidRPr="006F5F7E">
              <w:rPr>
                <w:rFonts w:asciiTheme="majorBidi" w:hAnsiTheme="majorBidi" w:cstheme="majorBidi"/>
                <w:sz w:val="20"/>
                <w:szCs w:val="20"/>
              </w:rPr>
              <w:t>NST</w:t>
            </w:r>
          </w:p>
        </w:tc>
        <w:tc>
          <w:tcPr>
            <w:tcW w:w="0" w:type="auto"/>
            <w:hideMark/>
          </w:tcPr>
          <w:p w14:paraId="45BDDB5F"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Percentage of shares held by institutional investors</w:t>
            </w:r>
          </w:p>
        </w:tc>
        <w:tc>
          <w:tcPr>
            <w:tcW w:w="0" w:type="auto"/>
            <w:hideMark/>
          </w:tcPr>
          <w:p w14:paraId="1F95B623"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Institutional shareholding ÷ Total shares outstanding</w:t>
            </w:r>
          </w:p>
        </w:tc>
      </w:tr>
      <w:tr w:rsidR="00F6438D" w:rsidRPr="006F5F7E" w14:paraId="29B370A2" w14:textId="77777777" w:rsidTr="00F6438D">
        <w:tc>
          <w:tcPr>
            <w:cnfStyle w:val="001000000000" w:firstRow="0" w:lastRow="0" w:firstColumn="1" w:lastColumn="0" w:oddVBand="0" w:evenVBand="0" w:oddHBand="0" w:evenHBand="0" w:firstRowFirstColumn="0" w:firstRowLastColumn="0" w:lastRowFirstColumn="0" w:lastRowLastColumn="0"/>
            <w:tcW w:w="0" w:type="auto"/>
            <w:hideMark/>
          </w:tcPr>
          <w:p w14:paraId="3B297A0C" w14:textId="77777777" w:rsidR="00F6438D" w:rsidRPr="006F5F7E" w:rsidRDefault="00F6438D" w:rsidP="006D6E46">
            <w:pPr>
              <w:spacing w:after="160" w:line="360" w:lineRule="auto"/>
              <w:contextualSpacing/>
              <w:jc w:val="both"/>
              <w:rPr>
                <w:rFonts w:asciiTheme="majorBidi" w:hAnsiTheme="majorBidi" w:cstheme="majorBidi"/>
                <w:b w:val="0"/>
                <w:bCs w:val="0"/>
                <w:sz w:val="20"/>
                <w:szCs w:val="20"/>
              </w:rPr>
            </w:pPr>
            <w:r w:rsidRPr="006F5F7E">
              <w:rPr>
                <w:rFonts w:asciiTheme="majorBidi" w:hAnsiTheme="majorBidi" w:cstheme="majorBidi"/>
                <w:b w:val="0"/>
                <w:bCs w:val="0"/>
                <w:sz w:val="20"/>
                <w:szCs w:val="20"/>
              </w:rPr>
              <w:t>Foreign Ownership</w:t>
            </w:r>
          </w:p>
        </w:tc>
        <w:tc>
          <w:tcPr>
            <w:tcW w:w="0" w:type="auto"/>
            <w:hideMark/>
          </w:tcPr>
          <w:p w14:paraId="413BF3C7" w14:textId="42CA4E1D"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F</w:t>
            </w:r>
            <w:r w:rsidR="004D61DA" w:rsidRPr="006F5F7E">
              <w:rPr>
                <w:rFonts w:asciiTheme="majorBidi" w:hAnsiTheme="majorBidi" w:cstheme="majorBidi"/>
                <w:sz w:val="20"/>
                <w:szCs w:val="20"/>
              </w:rPr>
              <w:t>R</w:t>
            </w:r>
            <w:r w:rsidRPr="006F5F7E">
              <w:rPr>
                <w:rFonts w:asciiTheme="majorBidi" w:hAnsiTheme="majorBidi" w:cstheme="majorBidi"/>
                <w:sz w:val="20"/>
                <w:szCs w:val="20"/>
              </w:rPr>
              <w:t>O</w:t>
            </w:r>
          </w:p>
        </w:tc>
        <w:tc>
          <w:tcPr>
            <w:tcW w:w="0" w:type="auto"/>
            <w:hideMark/>
          </w:tcPr>
          <w:p w14:paraId="3403F5D5" w14:textId="77777777"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Percentage of shares held by foreign individuals or entities</w:t>
            </w:r>
          </w:p>
        </w:tc>
        <w:tc>
          <w:tcPr>
            <w:tcW w:w="0" w:type="auto"/>
            <w:hideMark/>
          </w:tcPr>
          <w:p w14:paraId="16FAAC5F" w14:textId="77777777"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Foreign shareholding ÷ Total shares outstanding</w:t>
            </w:r>
          </w:p>
        </w:tc>
      </w:tr>
      <w:tr w:rsidR="00F6438D" w:rsidRPr="006F5F7E" w14:paraId="677EEE80" w14:textId="77777777" w:rsidTr="00F6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F4D290" w14:textId="77777777" w:rsidR="00F6438D" w:rsidRPr="006F5F7E" w:rsidRDefault="00F6438D" w:rsidP="006D6E46">
            <w:pPr>
              <w:spacing w:after="160" w:line="360" w:lineRule="auto"/>
              <w:contextualSpacing/>
              <w:jc w:val="both"/>
              <w:rPr>
                <w:rFonts w:asciiTheme="majorBidi" w:hAnsiTheme="majorBidi" w:cstheme="majorBidi"/>
                <w:b w:val="0"/>
                <w:bCs w:val="0"/>
                <w:sz w:val="20"/>
                <w:szCs w:val="20"/>
              </w:rPr>
            </w:pPr>
            <w:r w:rsidRPr="006F5F7E">
              <w:rPr>
                <w:rFonts w:asciiTheme="majorBidi" w:hAnsiTheme="majorBidi" w:cstheme="majorBidi"/>
                <w:b w:val="0"/>
                <w:bCs w:val="0"/>
                <w:sz w:val="20"/>
                <w:szCs w:val="20"/>
              </w:rPr>
              <w:t>Profitability</w:t>
            </w:r>
          </w:p>
        </w:tc>
        <w:tc>
          <w:tcPr>
            <w:tcW w:w="0" w:type="auto"/>
            <w:hideMark/>
          </w:tcPr>
          <w:p w14:paraId="423EC4BD"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ROA</w:t>
            </w:r>
          </w:p>
        </w:tc>
        <w:tc>
          <w:tcPr>
            <w:tcW w:w="0" w:type="auto"/>
            <w:hideMark/>
          </w:tcPr>
          <w:p w14:paraId="7D0E6C1C"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A firm’s ability to generate earnings from its assets</w:t>
            </w:r>
          </w:p>
        </w:tc>
        <w:tc>
          <w:tcPr>
            <w:tcW w:w="0" w:type="auto"/>
            <w:hideMark/>
          </w:tcPr>
          <w:p w14:paraId="2D566C21"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Net Income ÷ Total Assets</w:t>
            </w:r>
          </w:p>
        </w:tc>
      </w:tr>
      <w:tr w:rsidR="00F6438D" w:rsidRPr="006F5F7E" w14:paraId="06C98DE6" w14:textId="77777777" w:rsidTr="00F6438D">
        <w:tc>
          <w:tcPr>
            <w:cnfStyle w:val="001000000000" w:firstRow="0" w:lastRow="0" w:firstColumn="1" w:lastColumn="0" w:oddVBand="0" w:evenVBand="0" w:oddHBand="0" w:evenHBand="0" w:firstRowFirstColumn="0" w:firstRowLastColumn="0" w:lastRowFirstColumn="0" w:lastRowLastColumn="0"/>
            <w:tcW w:w="0" w:type="auto"/>
            <w:hideMark/>
          </w:tcPr>
          <w:p w14:paraId="0B908D67" w14:textId="77777777" w:rsidR="00F6438D" w:rsidRPr="006F5F7E" w:rsidRDefault="00F6438D" w:rsidP="006D6E46">
            <w:pPr>
              <w:spacing w:after="160" w:line="360" w:lineRule="auto"/>
              <w:contextualSpacing/>
              <w:jc w:val="both"/>
              <w:rPr>
                <w:rFonts w:asciiTheme="majorBidi" w:hAnsiTheme="majorBidi" w:cstheme="majorBidi"/>
                <w:b w:val="0"/>
                <w:bCs w:val="0"/>
                <w:sz w:val="20"/>
                <w:szCs w:val="20"/>
              </w:rPr>
            </w:pPr>
            <w:r w:rsidRPr="006F5F7E">
              <w:rPr>
                <w:rFonts w:asciiTheme="majorBidi" w:hAnsiTheme="majorBidi" w:cstheme="majorBidi"/>
                <w:b w:val="0"/>
                <w:bCs w:val="0"/>
                <w:sz w:val="20"/>
                <w:szCs w:val="20"/>
              </w:rPr>
              <w:t>Firm Size</w:t>
            </w:r>
          </w:p>
        </w:tc>
        <w:tc>
          <w:tcPr>
            <w:tcW w:w="0" w:type="auto"/>
            <w:hideMark/>
          </w:tcPr>
          <w:p w14:paraId="438D6748" w14:textId="77777777"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6F5F7E">
              <w:rPr>
                <w:rFonts w:asciiTheme="majorBidi" w:hAnsiTheme="majorBidi" w:cstheme="majorBidi"/>
                <w:sz w:val="20"/>
                <w:szCs w:val="20"/>
              </w:rPr>
              <w:t>FSize</w:t>
            </w:r>
            <w:proofErr w:type="spellEnd"/>
          </w:p>
        </w:tc>
        <w:tc>
          <w:tcPr>
            <w:tcW w:w="0" w:type="auto"/>
            <w:hideMark/>
          </w:tcPr>
          <w:p w14:paraId="22C01E35" w14:textId="77777777"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Scale of the firm’s total asset base</w:t>
            </w:r>
          </w:p>
        </w:tc>
        <w:tc>
          <w:tcPr>
            <w:tcW w:w="0" w:type="auto"/>
            <w:hideMark/>
          </w:tcPr>
          <w:p w14:paraId="3F53A40E" w14:textId="77777777"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Natural logarithm of Total Assets (</w:t>
            </w:r>
            <w:proofErr w:type="gramStart"/>
            <w:r w:rsidRPr="006F5F7E">
              <w:rPr>
                <w:rFonts w:asciiTheme="majorBidi" w:hAnsiTheme="majorBidi" w:cstheme="majorBidi"/>
                <w:sz w:val="20"/>
                <w:szCs w:val="20"/>
              </w:rPr>
              <w:t>ln(</w:t>
            </w:r>
            <w:proofErr w:type="gramEnd"/>
            <w:r w:rsidRPr="006F5F7E">
              <w:rPr>
                <w:rFonts w:asciiTheme="majorBidi" w:hAnsiTheme="majorBidi" w:cstheme="majorBidi"/>
                <w:sz w:val="20"/>
                <w:szCs w:val="20"/>
              </w:rPr>
              <w:t>Total Assets))</w:t>
            </w:r>
          </w:p>
        </w:tc>
      </w:tr>
      <w:tr w:rsidR="003C36A6" w:rsidRPr="006F5F7E" w14:paraId="30CD0CA5" w14:textId="77777777" w:rsidTr="00F6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7D5557BD" w14:textId="77777777" w:rsidR="00F6438D" w:rsidRPr="006F5F7E" w:rsidRDefault="00F6438D" w:rsidP="006D6E46">
            <w:pPr>
              <w:spacing w:after="160" w:line="360" w:lineRule="auto"/>
              <w:contextualSpacing/>
              <w:jc w:val="both"/>
              <w:rPr>
                <w:rFonts w:asciiTheme="majorBidi" w:hAnsiTheme="majorBidi" w:cstheme="majorBidi"/>
                <w:b w:val="0"/>
                <w:bCs w:val="0"/>
                <w:sz w:val="20"/>
                <w:szCs w:val="20"/>
              </w:rPr>
            </w:pPr>
            <w:r w:rsidRPr="006F5F7E">
              <w:rPr>
                <w:rFonts w:asciiTheme="majorBidi" w:hAnsiTheme="majorBidi" w:cstheme="majorBidi"/>
                <w:b w:val="0"/>
                <w:bCs w:val="0"/>
                <w:sz w:val="20"/>
                <w:szCs w:val="20"/>
              </w:rPr>
              <w:t>Growth</w:t>
            </w:r>
          </w:p>
        </w:tc>
        <w:tc>
          <w:tcPr>
            <w:tcW w:w="0" w:type="auto"/>
            <w:tcBorders>
              <w:bottom w:val="single" w:sz="4" w:space="0" w:color="auto"/>
            </w:tcBorders>
            <w:hideMark/>
          </w:tcPr>
          <w:p w14:paraId="4E13EDC9" w14:textId="2E360AE3" w:rsidR="00F6438D" w:rsidRPr="006F5F7E" w:rsidRDefault="00DC1569"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GRT</w:t>
            </w:r>
          </w:p>
        </w:tc>
        <w:tc>
          <w:tcPr>
            <w:tcW w:w="0" w:type="auto"/>
            <w:tcBorders>
              <w:bottom w:val="single" w:sz="4" w:space="0" w:color="auto"/>
            </w:tcBorders>
            <w:hideMark/>
          </w:tcPr>
          <w:p w14:paraId="6D96293C"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Annual increase in the firm’s asset base</w:t>
            </w:r>
          </w:p>
        </w:tc>
        <w:tc>
          <w:tcPr>
            <w:tcW w:w="0" w:type="auto"/>
            <w:tcBorders>
              <w:bottom w:val="single" w:sz="4" w:space="0" w:color="auto"/>
            </w:tcBorders>
            <w:hideMark/>
          </w:tcPr>
          <w:p w14:paraId="34B8CE3F"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Percentage change in Total Assets from year t–1 to year t</w:t>
            </w:r>
          </w:p>
        </w:tc>
      </w:tr>
    </w:tbl>
    <w:p w14:paraId="4AEF8105" w14:textId="77B52B98" w:rsidR="00D04062" w:rsidRPr="006F5F7E" w:rsidRDefault="00511DE5" w:rsidP="006E12E6">
      <w:pPr>
        <w:spacing w:line="360" w:lineRule="auto"/>
        <w:contextualSpacing/>
        <w:jc w:val="both"/>
        <w:rPr>
          <w:rFonts w:asciiTheme="majorBidi" w:hAnsiTheme="majorBidi" w:cstheme="majorBidi"/>
          <w:sz w:val="20"/>
          <w:szCs w:val="20"/>
          <w:lang w:val="en-GB"/>
        </w:rPr>
      </w:pPr>
      <w:r w:rsidRPr="006F5F7E">
        <w:rPr>
          <w:rFonts w:asciiTheme="majorBidi" w:hAnsiTheme="majorBidi" w:cstheme="majorBidi"/>
          <w:sz w:val="20"/>
          <w:szCs w:val="20"/>
        </w:rPr>
        <w:t xml:space="preserve">Source: </w:t>
      </w:r>
      <w:r w:rsidR="00C319DE" w:rsidRPr="006F5F7E">
        <w:rPr>
          <w:rFonts w:asciiTheme="majorBidi" w:hAnsiTheme="majorBidi" w:cstheme="majorBidi"/>
          <w:sz w:val="20"/>
          <w:szCs w:val="20"/>
        </w:rPr>
        <w:t>Authors'</w:t>
      </w:r>
      <w:r w:rsidRPr="006F5F7E">
        <w:rPr>
          <w:rFonts w:asciiTheme="majorBidi" w:hAnsiTheme="majorBidi" w:cstheme="majorBidi"/>
          <w:sz w:val="20"/>
          <w:szCs w:val="20"/>
        </w:rPr>
        <w:t xml:space="preserve"> compilation </w:t>
      </w:r>
    </w:p>
    <w:p w14:paraId="4AEF8106" w14:textId="77777777" w:rsidR="00D04062" w:rsidRPr="006F5F7E" w:rsidRDefault="00833548" w:rsidP="006D6E46">
      <w:pPr>
        <w:pStyle w:val="Heading3"/>
        <w:spacing w:line="360" w:lineRule="auto"/>
        <w:contextualSpacing/>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3.2 Estimation Techniques and Model Specification</w:t>
      </w:r>
    </w:p>
    <w:p w14:paraId="3874E8A6" w14:textId="77777777" w:rsidR="00C0086A" w:rsidRPr="00C0086A" w:rsidRDefault="00C0086A" w:rsidP="00C0086A">
      <w:pPr>
        <w:spacing w:line="360" w:lineRule="auto"/>
        <w:contextualSpacing/>
        <w:jc w:val="both"/>
        <w:rPr>
          <w:rFonts w:asciiTheme="majorBidi" w:hAnsiTheme="majorBidi" w:cstheme="majorBidi"/>
          <w:sz w:val="20"/>
          <w:szCs w:val="20"/>
        </w:rPr>
      </w:pPr>
      <w:r w:rsidRPr="00C0086A">
        <w:rPr>
          <w:rFonts w:asciiTheme="majorBidi" w:hAnsiTheme="majorBidi" w:cstheme="majorBidi"/>
          <w:sz w:val="20"/>
          <w:szCs w:val="20"/>
        </w:rPr>
        <w:t>This study employs quantile regression (QR) to examine how ownership structure and profitability influence the dividend payout ratio (DPO) across different points in its conditional distribution. Unlike mean-based models such as ordinary least squares (OLS), QR estimates the effects at the 25th, 50th, and 75th percentiles, thus capturing heterogeneity that average-level models often obscure. This approach is particularly relevant to Nigerian deposit money banks (DMBs), where DPOs vary considerably due to institutional structures, ownership patterns, and earnings volatility.</w:t>
      </w:r>
    </w:p>
    <w:p w14:paraId="780E01FE" w14:textId="77777777" w:rsidR="00C0086A" w:rsidRPr="00C0086A" w:rsidRDefault="00C0086A" w:rsidP="00C0086A">
      <w:pPr>
        <w:spacing w:line="360" w:lineRule="auto"/>
        <w:contextualSpacing/>
        <w:jc w:val="both"/>
        <w:rPr>
          <w:rFonts w:asciiTheme="majorBidi" w:hAnsiTheme="majorBidi" w:cstheme="majorBidi"/>
          <w:sz w:val="20"/>
          <w:szCs w:val="20"/>
        </w:rPr>
      </w:pPr>
      <w:r w:rsidRPr="00C0086A">
        <w:rPr>
          <w:rFonts w:asciiTheme="majorBidi" w:hAnsiTheme="majorBidi" w:cstheme="majorBidi"/>
          <w:sz w:val="20"/>
          <w:szCs w:val="20"/>
        </w:rPr>
        <w:t>Model 1 specifies a cross-sectional QR that incorporates moderation effects. It evaluates the influence of managerial ownership (MGO), institutional ownership (INST), and foreign ownership (FRO) on DPO, as conditioned by return on assets (ROA). Interaction terms between ROA and each ownership variable are included. Firm size (log of total assets) and firm growth (annual change in total assets) serve as control variables. Estimation is conducted using Stata’s qreg command with bootstrapped standard errors.</w:t>
      </w:r>
    </w:p>
    <w:p w14:paraId="0BA15A8C" w14:textId="6D98E87D" w:rsidR="00023C25" w:rsidRPr="006F5F7E" w:rsidRDefault="00C0086A" w:rsidP="00C0086A">
      <w:pPr>
        <w:spacing w:line="360" w:lineRule="auto"/>
        <w:contextualSpacing/>
        <w:jc w:val="both"/>
        <w:rPr>
          <w:rFonts w:asciiTheme="majorBidi" w:hAnsiTheme="majorBidi" w:cstheme="majorBidi"/>
          <w:sz w:val="20"/>
          <w:szCs w:val="20"/>
        </w:rPr>
      </w:pPr>
      <w:r w:rsidRPr="00C0086A">
        <w:rPr>
          <w:rFonts w:asciiTheme="majorBidi" w:hAnsiTheme="majorBidi" w:cstheme="majorBidi"/>
          <w:sz w:val="20"/>
          <w:szCs w:val="20"/>
        </w:rPr>
        <w:t>Model 2 adopts a panel quantile regression with fixed effects (PQR) using the xtqreg command. This specification accounts for time-invariant unobserved heterogeneity, enabling within-firm analysis over the ten-year period. While Model 1 captures between-firm variations, Model 2 identifies dynamic shifts in payout behaviour within individual banks. The estimation model is expressed as follows</w:t>
      </w:r>
      <w:r w:rsidR="002011B9" w:rsidRPr="006F5F7E">
        <w:rPr>
          <w:rFonts w:asciiTheme="majorBidi" w:hAnsiTheme="majorBidi" w:cstheme="majorBidi"/>
          <w:sz w:val="20"/>
          <w:szCs w:val="20"/>
        </w:rPr>
        <w:t>:</w:t>
      </w:r>
    </w:p>
    <w:p w14:paraId="10D8368E" w14:textId="7A71041F" w:rsidR="00152812" w:rsidRPr="006F5F7E" w:rsidRDefault="00152812" w:rsidP="00C249F7">
      <w:pPr>
        <w:spacing w:line="360" w:lineRule="auto"/>
        <w:contextualSpacing/>
        <w:jc w:val="both"/>
        <w:rPr>
          <w:rFonts w:asciiTheme="majorBidi" w:hAnsiTheme="majorBidi" w:cstheme="majorBidi"/>
          <w:sz w:val="20"/>
          <w:szCs w:val="20"/>
        </w:rPr>
      </w:pPr>
      <w:r w:rsidRPr="006F5F7E">
        <w:rPr>
          <w:rFonts w:asciiTheme="majorBidi" w:hAnsiTheme="majorBidi" w:cstheme="majorBidi"/>
          <w:i/>
          <w:iCs/>
          <w:sz w:val="20"/>
          <w:szCs w:val="20"/>
        </w:rPr>
        <w:t>Qτ(DPO</w:t>
      </w:r>
      <w:r w:rsidRPr="006F5F7E">
        <w:rPr>
          <w:rFonts w:asciiTheme="majorBidi" w:hAnsiTheme="majorBidi" w:cstheme="majorBidi"/>
          <w:i/>
          <w:iCs/>
          <w:sz w:val="20"/>
          <w:szCs w:val="20"/>
          <w:vertAlign w:val="subscript"/>
        </w:rPr>
        <w:t>it</w:t>
      </w:r>
      <w:r w:rsidRPr="006F5F7E">
        <w:rPr>
          <w:rFonts w:asciiTheme="majorBidi" w:hAnsiTheme="majorBidi" w:cstheme="majorBidi"/>
          <w:i/>
          <w:iCs/>
          <w:sz w:val="20"/>
          <w:szCs w:val="20"/>
        </w:rPr>
        <w:t>) = β</w:t>
      </w:r>
      <w:r w:rsidRPr="006F5F7E">
        <w:rPr>
          <w:rFonts w:asciiTheme="majorBidi" w:hAnsiTheme="majorBidi" w:cstheme="majorBidi"/>
          <w:i/>
          <w:iCs/>
          <w:sz w:val="20"/>
          <w:szCs w:val="20"/>
          <w:vertAlign w:val="subscript"/>
        </w:rPr>
        <w:t>0</w:t>
      </w:r>
      <w:r w:rsidRPr="006F5F7E">
        <w:rPr>
          <w:rFonts w:asciiTheme="majorBidi" w:hAnsiTheme="majorBidi" w:cstheme="majorBidi"/>
          <w:i/>
          <w:iCs/>
          <w:sz w:val="20"/>
          <w:szCs w:val="20"/>
        </w:rPr>
        <w:t>(τ) + β</w:t>
      </w:r>
      <w:r w:rsidRPr="006F5F7E">
        <w:rPr>
          <w:rFonts w:asciiTheme="majorBidi" w:hAnsiTheme="majorBidi" w:cstheme="majorBidi"/>
          <w:i/>
          <w:iCs/>
          <w:sz w:val="20"/>
          <w:szCs w:val="20"/>
          <w:vertAlign w:val="subscript"/>
        </w:rPr>
        <w:t>1</w:t>
      </w:r>
      <w:r w:rsidRPr="006F5F7E">
        <w:rPr>
          <w:rFonts w:asciiTheme="majorBidi" w:hAnsiTheme="majorBidi" w:cstheme="majorBidi"/>
          <w:i/>
          <w:iCs/>
          <w:sz w:val="20"/>
          <w:szCs w:val="20"/>
        </w:rPr>
        <w:t>(τ)MGO</w:t>
      </w:r>
      <w:r w:rsidRPr="006F5F7E">
        <w:rPr>
          <w:rFonts w:asciiTheme="majorBidi" w:hAnsiTheme="majorBidi" w:cstheme="majorBidi"/>
          <w:i/>
          <w:iCs/>
          <w:sz w:val="20"/>
          <w:szCs w:val="20"/>
          <w:vertAlign w:val="subscript"/>
        </w:rPr>
        <w:t>it</w:t>
      </w:r>
      <w:r w:rsidRPr="006F5F7E">
        <w:rPr>
          <w:rFonts w:asciiTheme="majorBidi" w:hAnsiTheme="majorBidi" w:cstheme="majorBidi"/>
          <w:i/>
          <w:iCs/>
          <w:sz w:val="20"/>
          <w:szCs w:val="20"/>
        </w:rPr>
        <w:t xml:space="preserve"> + β</w:t>
      </w:r>
      <w:r w:rsidRPr="006F5F7E">
        <w:rPr>
          <w:rFonts w:asciiTheme="majorBidi" w:hAnsiTheme="majorBidi" w:cstheme="majorBidi"/>
          <w:i/>
          <w:iCs/>
          <w:sz w:val="20"/>
          <w:szCs w:val="20"/>
          <w:vertAlign w:val="subscript"/>
        </w:rPr>
        <w:t>2</w:t>
      </w:r>
      <w:r w:rsidRPr="006F5F7E">
        <w:rPr>
          <w:rFonts w:asciiTheme="majorBidi" w:hAnsiTheme="majorBidi" w:cstheme="majorBidi"/>
          <w:i/>
          <w:iCs/>
          <w:sz w:val="20"/>
          <w:szCs w:val="20"/>
        </w:rPr>
        <w:t>(τ)I</w:t>
      </w:r>
      <w:r w:rsidR="00F67C54" w:rsidRPr="006F5F7E">
        <w:rPr>
          <w:rFonts w:asciiTheme="majorBidi" w:hAnsiTheme="majorBidi" w:cstheme="majorBidi"/>
          <w:i/>
          <w:iCs/>
          <w:sz w:val="20"/>
          <w:szCs w:val="20"/>
        </w:rPr>
        <w:t>NST</w:t>
      </w:r>
      <w:r w:rsidRPr="006F5F7E">
        <w:rPr>
          <w:rFonts w:asciiTheme="majorBidi" w:hAnsiTheme="majorBidi" w:cstheme="majorBidi"/>
          <w:i/>
          <w:iCs/>
          <w:sz w:val="20"/>
          <w:szCs w:val="20"/>
          <w:vertAlign w:val="subscript"/>
        </w:rPr>
        <w:t xml:space="preserve">it </w:t>
      </w:r>
      <w:r w:rsidRPr="006F5F7E">
        <w:rPr>
          <w:rFonts w:asciiTheme="majorBidi" w:hAnsiTheme="majorBidi" w:cstheme="majorBidi"/>
          <w:i/>
          <w:iCs/>
          <w:sz w:val="20"/>
          <w:szCs w:val="20"/>
        </w:rPr>
        <w:t>+ β</w:t>
      </w:r>
      <w:r w:rsidRPr="006F5F7E">
        <w:rPr>
          <w:rFonts w:asciiTheme="majorBidi" w:hAnsiTheme="majorBidi" w:cstheme="majorBidi"/>
          <w:i/>
          <w:iCs/>
          <w:sz w:val="20"/>
          <w:szCs w:val="20"/>
          <w:vertAlign w:val="subscript"/>
        </w:rPr>
        <w:t>3</w:t>
      </w:r>
      <w:r w:rsidRPr="006F5F7E">
        <w:rPr>
          <w:rFonts w:asciiTheme="majorBidi" w:hAnsiTheme="majorBidi" w:cstheme="majorBidi"/>
          <w:i/>
          <w:iCs/>
          <w:sz w:val="20"/>
          <w:szCs w:val="20"/>
        </w:rPr>
        <w:t>(τ)F</w:t>
      </w:r>
      <w:r w:rsidR="000C77C1" w:rsidRPr="006F5F7E">
        <w:rPr>
          <w:rFonts w:asciiTheme="majorBidi" w:hAnsiTheme="majorBidi" w:cstheme="majorBidi"/>
          <w:i/>
          <w:iCs/>
          <w:sz w:val="20"/>
          <w:szCs w:val="20"/>
        </w:rPr>
        <w:t>R</w:t>
      </w:r>
      <w:r w:rsidRPr="006F5F7E">
        <w:rPr>
          <w:rFonts w:asciiTheme="majorBidi" w:hAnsiTheme="majorBidi" w:cstheme="majorBidi"/>
          <w:i/>
          <w:iCs/>
          <w:sz w:val="20"/>
          <w:szCs w:val="20"/>
        </w:rPr>
        <w:t>O</w:t>
      </w:r>
      <w:r w:rsidRPr="006F5F7E">
        <w:rPr>
          <w:rFonts w:asciiTheme="majorBidi" w:hAnsiTheme="majorBidi" w:cstheme="majorBidi"/>
          <w:i/>
          <w:iCs/>
          <w:sz w:val="20"/>
          <w:szCs w:val="20"/>
          <w:vertAlign w:val="subscript"/>
        </w:rPr>
        <w:t>it</w:t>
      </w:r>
      <w:r w:rsidRPr="006F5F7E">
        <w:rPr>
          <w:rFonts w:asciiTheme="majorBidi" w:hAnsiTheme="majorBidi" w:cstheme="majorBidi"/>
          <w:i/>
          <w:iCs/>
          <w:sz w:val="20"/>
          <w:szCs w:val="20"/>
        </w:rPr>
        <w:t xml:space="preserve"> + β</w:t>
      </w:r>
      <w:r w:rsidRPr="006F5F7E">
        <w:rPr>
          <w:rFonts w:asciiTheme="majorBidi" w:hAnsiTheme="majorBidi" w:cstheme="majorBidi"/>
          <w:i/>
          <w:iCs/>
          <w:sz w:val="20"/>
          <w:szCs w:val="20"/>
          <w:vertAlign w:val="subscript"/>
        </w:rPr>
        <w:t>4</w:t>
      </w:r>
      <w:r w:rsidRPr="006F5F7E">
        <w:rPr>
          <w:rFonts w:asciiTheme="majorBidi" w:hAnsiTheme="majorBidi" w:cstheme="majorBidi"/>
          <w:i/>
          <w:iCs/>
          <w:sz w:val="20"/>
          <w:szCs w:val="20"/>
        </w:rPr>
        <w:t>(τ)ROA</w:t>
      </w:r>
      <w:r w:rsidRPr="006F5F7E">
        <w:rPr>
          <w:rFonts w:asciiTheme="majorBidi" w:hAnsiTheme="majorBidi" w:cstheme="majorBidi"/>
          <w:i/>
          <w:iCs/>
          <w:sz w:val="20"/>
          <w:szCs w:val="20"/>
          <w:vertAlign w:val="subscript"/>
        </w:rPr>
        <w:t>it</w:t>
      </w:r>
      <w:r w:rsidRPr="006F5F7E">
        <w:rPr>
          <w:rFonts w:asciiTheme="majorBidi" w:hAnsiTheme="majorBidi" w:cstheme="majorBidi"/>
          <w:i/>
          <w:iCs/>
          <w:sz w:val="20"/>
          <w:szCs w:val="20"/>
        </w:rPr>
        <w:t xml:space="preserve"> + β</w:t>
      </w:r>
      <w:r w:rsidRPr="006F5F7E">
        <w:rPr>
          <w:rFonts w:asciiTheme="majorBidi" w:hAnsiTheme="majorBidi" w:cstheme="majorBidi"/>
          <w:i/>
          <w:iCs/>
          <w:sz w:val="20"/>
          <w:szCs w:val="20"/>
          <w:vertAlign w:val="subscript"/>
        </w:rPr>
        <w:t>5</w:t>
      </w:r>
      <w:r w:rsidRPr="006F5F7E">
        <w:rPr>
          <w:rFonts w:asciiTheme="majorBidi" w:hAnsiTheme="majorBidi" w:cstheme="majorBidi"/>
          <w:i/>
          <w:iCs/>
          <w:sz w:val="20"/>
          <w:szCs w:val="20"/>
        </w:rPr>
        <w:t>(τ)(MGO×</w:t>
      </w:r>
      <w:proofErr w:type="gramStart"/>
      <w:r w:rsidRPr="006F5F7E">
        <w:rPr>
          <w:rFonts w:asciiTheme="majorBidi" w:hAnsiTheme="majorBidi" w:cstheme="majorBidi"/>
          <w:i/>
          <w:iCs/>
          <w:sz w:val="20"/>
          <w:szCs w:val="20"/>
        </w:rPr>
        <w:t>ROA)</w:t>
      </w:r>
      <w:r w:rsidRPr="006F5F7E">
        <w:rPr>
          <w:rFonts w:asciiTheme="majorBidi" w:hAnsiTheme="majorBidi" w:cstheme="majorBidi"/>
          <w:i/>
          <w:iCs/>
          <w:sz w:val="20"/>
          <w:szCs w:val="20"/>
          <w:vertAlign w:val="subscript"/>
        </w:rPr>
        <w:t>it</w:t>
      </w:r>
      <w:proofErr w:type="gramEnd"/>
      <w:r w:rsidRPr="006F5F7E">
        <w:rPr>
          <w:rFonts w:asciiTheme="majorBidi" w:hAnsiTheme="majorBidi" w:cstheme="majorBidi"/>
          <w:i/>
          <w:iCs/>
          <w:sz w:val="20"/>
          <w:szCs w:val="20"/>
        </w:rPr>
        <w:t xml:space="preserve"> + β</w:t>
      </w:r>
      <w:r w:rsidRPr="006F5F7E">
        <w:rPr>
          <w:rFonts w:asciiTheme="majorBidi" w:hAnsiTheme="majorBidi" w:cstheme="majorBidi"/>
          <w:i/>
          <w:iCs/>
          <w:sz w:val="20"/>
          <w:szCs w:val="20"/>
          <w:vertAlign w:val="subscript"/>
        </w:rPr>
        <w:t>6</w:t>
      </w:r>
      <w:r w:rsidRPr="006F5F7E">
        <w:rPr>
          <w:rFonts w:asciiTheme="majorBidi" w:hAnsiTheme="majorBidi" w:cstheme="majorBidi"/>
          <w:i/>
          <w:iCs/>
          <w:sz w:val="20"/>
          <w:szCs w:val="20"/>
        </w:rPr>
        <w:t>(τ)(I</w:t>
      </w:r>
      <w:r w:rsidR="00F67C54" w:rsidRPr="006F5F7E">
        <w:rPr>
          <w:rFonts w:asciiTheme="majorBidi" w:hAnsiTheme="majorBidi" w:cstheme="majorBidi"/>
          <w:i/>
          <w:iCs/>
          <w:sz w:val="20"/>
          <w:szCs w:val="20"/>
        </w:rPr>
        <w:t>NST</w:t>
      </w:r>
      <w:r w:rsidRPr="006F5F7E">
        <w:rPr>
          <w:rFonts w:asciiTheme="majorBidi" w:hAnsiTheme="majorBidi" w:cstheme="majorBidi"/>
          <w:i/>
          <w:iCs/>
          <w:sz w:val="20"/>
          <w:szCs w:val="20"/>
        </w:rPr>
        <w:t>×ROA)</w:t>
      </w:r>
      <w:r w:rsidRPr="006F5F7E">
        <w:rPr>
          <w:rFonts w:asciiTheme="majorBidi" w:hAnsiTheme="majorBidi" w:cstheme="majorBidi"/>
          <w:i/>
          <w:iCs/>
          <w:sz w:val="20"/>
          <w:szCs w:val="20"/>
          <w:vertAlign w:val="subscript"/>
        </w:rPr>
        <w:t>it</w:t>
      </w:r>
      <w:r w:rsidRPr="006F5F7E">
        <w:rPr>
          <w:rFonts w:asciiTheme="majorBidi" w:hAnsiTheme="majorBidi" w:cstheme="majorBidi"/>
          <w:i/>
          <w:iCs/>
          <w:sz w:val="20"/>
          <w:szCs w:val="20"/>
        </w:rPr>
        <w:t xml:space="preserve"> + β</w:t>
      </w:r>
      <w:r w:rsidRPr="006F5F7E">
        <w:rPr>
          <w:rFonts w:asciiTheme="majorBidi" w:hAnsiTheme="majorBidi" w:cstheme="majorBidi"/>
          <w:i/>
          <w:iCs/>
          <w:sz w:val="20"/>
          <w:szCs w:val="20"/>
          <w:vertAlign w:val="subscript"/>
        </w:rPr>
        <w:t>7</w:t>
      </w:r>
      <w:r w:rsidRPr="006F5F7E">
        <w:rPr>
          <w:rFonts w:asciiTheme="majorBidi" w:hAnsiTheme="majorBidi" w:cstheme="majorBidi"/>
          <w:i/>
          <w:iCs/>
          <w:sz w:val="20"/>
          <w:szCs w:val="20"/>
        </w:rPr>
        <w:t>(τ)(F</w:t>
      </w:r>
      <w:r w:rsidR="000C77C1" w:rsidRPr="006F5F7E">
        <w:rPr>
          <w:rFonts w:asciiTheme="majorBidi" w:hAnsiTheme="majorBidi" w:cstheme="majorBidi"/>
          <w:i/>
          <w:iCs/>
          <w:sz w:val="20"/>
          <w:szCs w:val="20"/>
        </w:rPr>
        <w:t>R</w:t>
      </w:r>
      <w:r w:rsidRPr="006F5F7E">
        <w:rPr>
          <w:rFonts w:asciiTheme="majorBidi" w:hAnsiTheme="majorBidi" w:cstheme="majorBidi"/>
          <w:i/>
          <w:iCs/>
          <w:sz w:val="20"/>
          <w:szCs w:val="20"/>
        </w:rPr>
        <w:t>O×ROA)</w:t>
      </w:r>
      <w:r w:rsidRPr="006F5F7E">
        <w:rPr>
          <w:rFonts w:asciiTheme="majorBidi" w:hAnsiTheme="majorBidi" w:cstheme="majorBidi"/>
          <w:i/>
          <w:iCs/>
          <w:sz w:val="20"/>
          <w:szCs w:val="20"/>
          <w:vertAlign w:val="subscript"/>
        </w:rPr>
        <w:t>it</w:t>
      </w:r>
      <w:r w:rsidRPr="006F5F7E">
        <w:rPr>
          <w:rFonts w:asciiTheme="majorBidi" w:hAnsiTheme="majorBidi" w:cstheme="majorBidi"/>
          <w:i/>
          <w:iCs/>
          <w:sz w:val="20"/>
          <w:szCs w:val="20"/>
        </w:rPr>
        <w:t xml:space="preserve"> + β</w:t>
      </w:r>
      <w:r w:rsidRPr="006F5F7E">
        <w:rPr>
          <w:rFonts w:asciiTheme="majorBidi" w:hAnsiTheme="majorBidi" w:cstheme="majorBidi"/>
          <w:i/>
          <w:iCs/>
          <w:sz w:val="20"/>
          <w:szCs w:val="20"/>
          <w:vertAlign w:val="subscript"/>
        </w:rPr>
        <w:t>8</w:t>
      </w:r>
      <w:r w:rsidRPr="006F5F7E">
        <w:rPr>
          <w:rFonts w:asciiTheme="majorBidi" w:hAnsiTheme="majorBidi" w:cstheme="majorBidi"/>
          <w:i/>
          <w:iCs/>
          <w:sz w:val="20"/>
          <w:szCs w:val="20"/>
        </w:rPr>
        <w:t>(τ)Controls</w:t>
      </w:r>
      <w:r w:rsidRPr="006F5F7E">
        <w:rPr>
          <w:rFonts w:asciiTheme="majorBidi" w:hAnsiTheme="majorBidi" w:cstheme="majorBidi"/>
          <w:i/>
          <w:iCs/>
          <w:sz w:val="20"/>
          <w:szCs w:val="20"/>
          <w:vertAlign w:val="subscript"/>
        </w:rPr>
        <w:t>it</w:t>
      </w:r>
      <w:r w:rsidRPr="006F5F7E">
        <w:rPr>
          <w:rFonts w:asciiTheme="majorBidi" w:hAnsiTheme="majorBidi" w:cstheme="majorBidi"/>
          <w:i/>
          <w:iCs/>
          <w:sz w:val="20"/>
          <w:szCs w:val="20"/>
        </w:rPr>
        <w:t xml:space="preserve"> + ε</w:t>
      </w:r>
      <w:r w:rsidRPr="006F5F7E">
        <w:rPr>
          <w:rFonts w:asciiTheme="majorBidi" w:hAnsiTheme="majorBidi" w:cstheme="majorBidi"/>
          <w:i/>
          <w:iCs/>
          <w:sz w:val="20"/>
          <w:szCs w:val="20"/>
          <w:vertAlign w:val="subscript"/>
        </w:rPr>
        <w:t>it</w:t>
      </w:r>
      <w:r w:rsidRPr="006F5F7E">
        <w:rPr>
          <w:rFonts w:asciiTheme="majorBidi" w:hAnsiTheme="majorBidi" w:cstheme="majorBidi"/>
          <w:i/>
          <w:iCs/>
          <w:sz w:val="20"/>
          <w:szCs w:val="20"/>
        </w:rPr>
        <w:t>(τ)</w:t>
      </w:r>
      <w:r w:rsidR="00D855A9" w:rsidRPr="006F5F7E">
        <w:rPr>
          <w:rFonts w:asciiTheme="majorBidi" w:hAnsiTheme="majorBidi" w:cstheme="majorBidi"/>
          <w:i/>
          <w:iCs/>
          <w:sz w:val="20"/>
          <w:szCs w:val="20"/>
        </w:rPr>
        <w:tab/>
      </w:r>
      <w:r w:rsidR="00D855A9" w:rsidRPr="006F5F7E">
        <w:rPr>
          <w:rFonts w:asciiTheme="majorBidi" w:hAnsiTheme="majorBidi" w:cstheme="majorBidi"/>
          <w:i/>
          <w:iCs/>
          <w:sz w:val="20"/>
          <w:szCs w:val="20"/>
        </w:rPr>
        <w:tab/>
      </w:r>
      <w:r w:rsidR="00D855A9" w:rsidRPr="006F5F7E">
        <w:rPr>
          <w:rFonts w:asciiTheme="majorBidi" w:hAnsiTheme="majorBidi" w:cstheme="majorBidi"/>
          <w:i/>
          <w:iCs/>
          <w:sz w:val="20"/>
          <w:szCs w:val="20"/>
        </w:rPr>
        <w:tab/>
      </w:r>
      <w:r w:rsidR="00D855A9" w:rsidRPr="006F5F7E">
        <w:rPr>
          <w:rFonts w:asciiTheme="majorBidi" w:hAnsiTheme="majorBidi" w:cstheme="majorBidi"/>
          <w:i/>
          <w:iCs/>
          <w:sz w:val="20"/>
          <w:szCs w:val="20"/>
        </w:rPr>
        <w:tab/>
        <w:t>(</w:t>
      </w:r>
      <w:r w:rsidR="002011B9" w:rsidRPr="006F5F7E">
        <w:rPr>
          <w:rFonts w:asciiTheme="majorBidi" w:hAnsiTheme="majorBidi" w:cstheme="majorBidi"/>
          <w:i/>
          <w:iCs/>
          <w:sz w:val="20"/>
          <w:szCs w:val="20"/>
        </w:rPr>
        <w:t>1</w:t>
      </w:r>
      <w:r w:rsidR="00D855A9" w:rsidRPr="006F5F7E">
        <w:rPr>
          <w:rFonts w:asciiTheme="majorBidi" w:hAnsiTheme="majorBidi" w:cstheme="majorBidi"/>
          <w:i/>
          <w:iCs/>
          <w:sz w:val="20"/>
          <w:szCs w:val="20"/>
        </w:rPr>
        <w:t>)</w:t>
      </w:r>
      <w:r w:rsidRPr="006F5F7E">
        <w:rPr>
          <w:rFonts w:asciiTheme="majorBidi" w:hAnsiTheme="majorBidi" w:cstheme="majorBidi"/>
          <w:i/>
          <w:iCs/>
          <w:sz w:val="20"/>
          <w:szCs w:val="20"/>
        </w:rPr>
        <w:br/>
      </w:r>
      <w:r w:rsidR="00BB7D99" w:rsidRPr="006F5F7E">
        <w:rPr>
          <w:rFonts w:asciiTheme="majorBidi" w:hAnsiTheme="majorBidi" w:cstheme="majorBidi"/>
          <w:sz w:val="20"/>
          <w:szCs w:val="20"/>
        </w:rPr>
        <w:t>where Qτ(DPO</w:t>
      </w:r>
      <w:r w:rsidR="00BB7D99" w:rsidRPr="006F5F7E">
        <w:rPr>
          <w:rFonts w:asciiTheme="majorBidi" w:hAnsiTheme="majorBidi" w:cstheme="majorBidi"/>
          <w:sz w:val="20"/>
          <w:szCs w:val="20"/>
          <w:vertAlign w:val="subscript"/>
        </w:rPr>
        <w:t>it</w:t>
      </w:r>
      <w:r w:rsidR="00BB7D99" w:rsidRPr="006F5F7E">
        <w:rPr>
          <w:rFonts w:asciiTheme="majorBidi" w:hAnsiTheme="majorBidi" w:cstheme="majorBidi"/>
          <w:sz w:val="20"/>
          <w:szCs w:val="20"/>
        </w:rPr>
        <w:t xml:space="preserve">) denotes the τ-th conditional quantile of the dividend payout ratio for firm </w:t>
      </w:r>
      <w:r w:rsidR="00BB7D99" w:rsidRPr="006F5F7E">
        <w:rPr>
          <w:rFonts w:asciiTheme="majorBidi" w:hAnsiTheme="majorBidi" w:cstheme="majorBidi"/>
          <w:i/>
          <w:iCs/>
          <w:sz w:val="20"/>
          <w:szCs w:val="20"/>
        </w:rPr>
        <w:t>i</w:t>
      </w:r>
      <w:r w:rsidR="00BB7D99" w:rsidRPr="006F5F7E">
        <w:rPr>
          <w:rFonts w:asciiTheme="majorBidi" w:hAnsiTheme="majorBidi" w:cstheme="majorBidi"/>
          <w:sz w:val="20"/>
          <w:szCs w:val="20"/>
        </w:rPr>
        <w:t xml:space="preserve"> in year </w:t>
      </w:r>
      <w:r w:rsidR="00BB7D99" w:rsidRPr="006F5F7E">
        <w:rPr>
          <w:rFonts w:asciiTheme="majorBidi" w:hAnsiTheme="majorBidi" w:cstheme="majorBidi"/>
          <w:i/>
          <w:iCs/>
          <w:sz w:val="20"/>
          <w:szCs w:val="20"/>
        </w:rPr>
        <w:t>t</w:t>
      </w:r>
      <w:r w:rsidR="00BB7D99" w:rsidRPr="006F5F7E">
        <w:rPr>
          <w:rFonts w:asciiTheme="majorBidi" w:hAnsiTheme="majorBidi" w:cstheme="majorBidi"/>
          <w:sz w:val="20"/>
          <w:szCs w:val="20"/>
        </w:rPr>
        <w:t>. All explanatory variables are as previously defined. The interaction terms capture the moderating effect of profitability on the relationship between ownership structure and dividend decisions across the conditional distribution of DPO</w:t>
      </w:r>
      <w:r w:rsidRPr="006F5F7E">
        <w:rPr>
          <w:rFonts w:asciiTheme="majorBidi" w:hAnsiTheme="majorBidi" w:cstheme="majorBidi"/>
          <w:sz w:val="20"/>
          <w:szCs w:val="20"/>
        </w:rPr>
        <w:t>.</w:t>
      </w:r>
    </w:p>
    <w:p w14:paraId="51B19983" w14:textId="1CAB0A4B" w:rsidR="00152812" w:rsidRPr="006F5F7E" w:rsidRDefault="00152812" w:rsidP="006D6E46">
      <w:pPr>
        <w:pStyle w:val="Heading2"/>
        <w:spacing w:line="360" w:lineRule="auto"/>
        <w:contextualSpacing/>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3.</w:t>
      </w:r>
      <w:r w:rsidR="00C249F7" w:rsidRPr="006F5F7E">
        <w:rPr>
          <w:rFonts w:asciiTheme="majorBidi" w:hAnsiTheme="majorBidi" w:cstheme="majorBidi"/>
          <w:b/>
          <w:bCs/>
          <w:color w:val="auto"/>
          <w:sz w:val="20"/>
          <w:szCs w:val="20"/>
        </w:rPr>
        <w:t>3</w:t>
      </w:r>
      <w:r w:rsidRPr="006F5F7E">
        <w:rPr>
          <w:rFonts w:asciiTheme="majorBidi" w:hAnsiTheme="majorBidi" w:cstheme="majorBidi"/>
          <w:b/>
          <w:bCs/>
          <w:color w:val="auto"/>
          <w:sz w:val="20"/>
          <w:szCs w:val="20"/>
        </w:rPr>
        <w:t xml:space="preserve"> </w:t>
      </w:r>
      <w:r w:rsidR="00AC5E83" w:rsidRPr="006F5F7E">
        <w:rPr>
          <w:rFonts w:asciiTheme="majorBidi" w:hAnsiTheme="majorBidi" w:cstheme="majorBidi"/>
          <w:b/>
          <w:bCs/>
          <w:color w:val="auto"/>
          <w:sz w:val="20"/>
          <w:szCs w:val="20"/>
        </w:rPr>
        <w:t>Estimation Pro</w:t>
      </w:r>
      <w:r w:rsidR="00B371EB" w:rsidRPr="006F5F7E">
        <w:rPr>
          <w:rFonts w:asciiTheme="majorBidi" w:hAnsiTheme="majorBidi" w:cstheme="majorBidi"/>
          <w:b/>
          <w:bCs/>
          <w:color w:val="auto"/>
          <w:sz w:val="20"/>
          <w:szCs w:val="20"/>
        </w:rPr>
        <w:t xml:space="preserve">cedure and </w:t>
      </w:r>
      <w:r w:rsidRPr="006F5F7E">
        <w:rPr>
          <w:rFonts w:asciiTheme="majorBidi" w:hAnsiTheme="majorBidi" w:cstheme="majorBidi"/>
          <w:b/>
          <w:bCs/>
          <w:color w:val="auto"/>
          <w:sz w:val="20"/>
          <w:szCs w:val="20"/>
        </w:rPr>
        <w:t>Robustness Checks</w:t>
      </w:r>
    </w:p>
    <w:p w14:paraId="4AEF8120" w14:textId="1E994D74" w:rsidR="008D1B24" w:rsidRPr="006F5F7E" w:rsidRDefault="00AC6F15" w:rsidP="006C4355">
      <w:pPr>
        <w:spacing w:line="360" w:lineRule="auto"/>
        <w:contextualSpacing/>
        <w:jc w:val="both"/>
        <w:rPr>
          <w:rFonts w:asciiTheme="majorBidi" w:hAnsiTheme="majorBidi" w:cstheme="majorBidi"/>
          <w:sz w:val="20"/>
          <w:szCs w:val="20"/>
        </w:rPr>
      </w:pPr>
      <w:r w:rsidRPr="00AC6F15">
        <w:rPr>
          <w:rFonts w:asciiTheme="majorBidi" w:hAnsiTheme="majorBidi" w:cstheme="majorBidi"/>
          <w:sz w:val="20"/>
          <w:szCs w:val="20"/>
        </w:rPr>
        <w:t>This study adopts a two-tier estimation approach to ensure empirical robustness. Model 1 uses cross-sectional quantile regression at the 25th, 50th, and 75th percentiles of DPO to examine how ownership and profitability affect dividend decisions across payout levels. Interaction terms between ROA and ownership variables assess conditional effects. Standard errors are bootstrapped using 500 replications via the bsqreg command to address non-normality and heteroskedasticity.</w:t>
      </w:r>
      <w:r w:rsidR="006C4355" w:rsidRPr="006F5F7E">
        <w:rPr>
          <w:rFonts w:asciiTheme="majorBidi" w:hAnsiTheme="majorBidi" w:cstheme="majorBidi"/>
          <w:sz w:val="20"/>
          <w:szCs w:val="20"/>
        </w:rPr>
        <w:t xml:space="preserve"> </w:t>
      </w:r>
      <w:r w:rsidRPr="00AC6F15">
        <w:rPr>
          <w:rFonts w:asciiTheme="majorBidi" w:hAnsiTheme="majorBidi" w:cstheme="majorBidi"/>
          <w:sz w:val="20"/>
          <w:szCs w:val="20"/>
        </w:rPr>
        <w:t xml:space="preserve">Model 2 applies fixed effects panel quantile regression (xtqreg) to control for time-invariant firm-specific factors, allowing identification of within-firm changes in response to shifts in </w:t>
      </w:r>
      <w:r w:rsidRPr="00AC6F15">
        <w:rPr>
          <w:rFonts w:asciiTheme="majorBidi" w:hAnsiTheme="majorBidi" w:cstheme="majorBidi"/>
          <w:sz w:val="20"/>
          <w:szCs w:val="20"/>
        </w:rPr>
        <w:lastRenderedPageBreak/>
        <w:t>ownership and profitability. Estimating both models at the same quantiles permits coefficient comparison.</w:t>
      </w:r>
      <w:r w:rsidR="006C4355" w:rsidRPr="006F5F7E">
        <w:rPr>
          <w:rFonts w:asciiTheme="majorBidi" w:hAnsiTheme="majorBidi" w:cstheme="majorBidi"/>
          <w:sz w:val="20"/>
          <w:szCs w:val="20"/>
        </w:rPr>
        <w:t xml:space="preserve"> </w:t>
      </w:r>
      <w:r w:rsidRPr="00AC6F15">
        <w:rPr>
          <w:rFonts w:asciiTheme="majorBidi" w:hAnsiTheme="majorBidi" w:cstheme="majorBidi"/>
          <w:sz w:val="20"/>
          <w:szCs w:val="20"/>
        </w:rPr>
        <w:t>Diagnostic checks confirmed model validity. VIF results indicated no multicollinearity. The Breusch–Pagan/Cook–Weisberg test supported robust estimation. Wald tests confirmed joint significance at each quantile. All estimations were conducted in Stata 19.5. The combined use of cross-sectional and panel models strengthens the credibility and internal validity of the findings</w:t>
      </w:r>
      <w:r w:rsidR="00567BA0" w:rsidRPr="006F5F7E">
        <w:rPr>
          <w:rFonts w:asciiTheme="majorBidi" w:hAnsiTheme="majorBidi" w:cstheme="majorBidi"/>
          <w:sz w:val="20"/>
          <w:szCs w:val="20"/>
        </w:rPr>
        <w:t>.</w:t>
      </w:r>
    </w:p>
    <w:p w14:paraId="4AEF8121" w14:textId="77777777" w:rsidR="00D04062" w:rsidRPr="006F5F7E" w:rsidRDefault="00833548" w:rsidP="00A81DF6">
      <w:pPr>
        <w:spacing w:line="360" w:lineRule="auto"/>
        <w:contextualSpacing/>
        <w:rPr>
          <w:rFonts w:asciiTheme="majorBidi" w:hAnsiTheme="majorBidi" w:cstheme="majorBidi"/>
          <w:sz w:val="20"/>
          <w:szCs w:val="20"/>
        </w:rPr>
      </w:pPr>
      <w:r w:rsidRPr="006F5F7E">
        <w:rPr>
          <w:rFonts w:asciiTheme="majorBidi" w:hAnsiTheme="majorBidi" w:cstheme="majorBidi"/>
          <w:b/>
          <w:bCs/>
          <w:sz w:val="20"/>
          <w:szCs w:val="20"/>
        </w:rPr>
        <w:t>4. Results and Discussion</w:t>
      </w:r>
    </w:p>
    <w:p w14:paraId="19B99530" w14:textId="71E3CA56" w:rsidR="00035204" w:rsidRPr="006F5F7E" w:rsidRDefault="00035204" w:rsidP="006D6015">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This section presents the empirical findings from the study, structured around descriptive analysis, correlation diagnostics, and model estimation outputs. The estimation follows a twofold strategy: (1) cross-sectional </w:t>
      </w:r>
      <w:r w:rsidR="002C7B12" w:rsidRPr="006F5F7E">
        <w:rPr>
          <w:rFonts w:asciiTheme="majorBidi" w:hAnsiTheme="majorBidi" w:cstheme="majorBidi"/>
          <w:sz w:val="20"/>
          <w:szCs w:val="20"/>
        </w:rPr>
        <w:t xml:space="preserve">bootstrapped moderated </w:t>
      </w:r>
      <w:r w:rsidRPr="006F5F7E">
        <w:rPr>
          <w:rFonts w:asciiTheme="majorBidi" w:hAnsiTheme="majorBidi" w:cstheme="majorBidi"/>
          <w:sz w:val="20"/>
          <w:szCs w:val="20"/>
        </w:rPr>
        <w:t>quantile regressions (</w:t>
      </w:r>
      <w:r w:rsidR="002C7B12" w:rsidRPr="006F5F7E">
        <w:rPr>
          <w:rFonts w:asciiTheme="majorBidi" w:hAnsiTheme="majorBidi" w:cstheme="majorBidi"/>
          <w:sz w:val="20"/>
          <w:szCs w:val="20"/>
        </w:rPr>
        <w:t>B</w:t>
      </w:r>
      <w:r w:rsidRPr="006F5F7E">
        <w:rPr>
          <w:rFonts w:asciiTheme="majorBidi" w:hAnsiTheme="majorBidi" w:cstheme="majorBidi"/>
          <w:sz w:val="20"/>
          <w:szCs w:val="20"/>
        </w:rPr>
        <w:t xml:space="preserve">MQ25, </w:t>
      </w:r>
      <w:r w:rsidR="002C7B12" w:rsidRPr="006F5F7E">
        <w:rPr>
          <w:rFonts w:asciiTheme="majorBidi" w:hAnsiTheme="majorBidi" w:cstheme="majorBidi"/>
          <w:sz w:val="20"/>
          <w:szCs w:val="20"/>
        </w:rPr>
        <w:t>B</w:t>
      </w:r>
      <w:r w:rsidRPr="006F5F7E">
        <w:rPr>
          <w:rFonts w:asciiTheme="majorBidi" w:hAnsiTheme="majorBidi" w:cstheme="majorBidi"/>
          <w:sz w:val="20"/>
          <w:szCs w:val="20"/>
        </w:rPr>
        <w:t xml:space="preserve">MQ50, </w:t>
      </w:r>
      <w:r w:rsidR="002C7B12" w:rsidRPr="006F5F7E">
        <w:rPr>
          <w:rFonts w:asciiTheme="majorBidi" w:hAnsiTheme="majorBidi" w:cstheme="majorBidi"/>
          <w:sz w:val="20"/>
          <w:szCs w:val="20"/>
        </w:rPr>
        <w:t>B</w:t>
      </w:r>
      <w:r w:rsidRPr="006F5F7E">
        <w:rPr>
          <w:rFonts w:asciiTheme="majorBidi" w:hAnsiTheme="majorBidi" w:cstheme="majorBidi"/>
          <w:sz w:val="20"/>
          <w:szCs w:val="20"/>
        </w:rPr>
        <w:t>MQ75)</w:t>
      </w:r>
      <w:r w:rsidR="00BC455E" w:rsidRPr="006F5F7E">
        <w:rPr>
          <w:rFonts w:asciiTheme="majorBidi" w:hAnsiTheme="majorBidi" w:cstheme="majorBidi"/>
          <w:sz w:val="20"/>
          <w:szCs w:val="20"/>
        </w:rPr>
        <w:t xml:space="preserve"> using </w:t>
      </w:r>
      <w:r w:rsidR="00BC455E" w:rsidRPr="006F5F7E">
        <w:rPr>
          <w:rFonts w:asciiTheme="majorBidi" w:hAnsiTheme="majorBidi" w:cstheme="majorBidi"/>
          <w:i/>
          <w:iCs/>
          <w:sz w:val="20"/>
          <w:szCs w:val="20"/>
        </w:rPr>
        <w:t>bsqreg</w:t>
      </w:r>
      <w:r w:rsidRPr="006F5F7E">
        <w:rPr>
          <w:rFonts w:asciiTheme="majorBidi" w:hAnsiTheme="majorBidi" w:cstheme="majorBidi"/>
          <w:sz w:val="20"/>
          <w:szCs w:val="20"/>
        </w:rPr>
        <w:t xml:space="preserve">, and (2) panel quantile regression with fixed effects (PQR25, PQR50, PQR75), using </w:t>
      </w:r>
      <w:r w:rsidRPr="006F5F7E">
        <w:rPr>
          <w:rFonts w:asciiTheme="majorBidi" w:hAnsiTheme="majorBidi" w:cstheme="majorBidi"/>
          <w:i/>
          <w:iCs/>
          <w:sz w:val="20"/>
          <w:szCs w:val="20"/>
        </w:rPr>
        <w:t>xtqreg</w:t>
      </w:r>
      <w:r w:rsidRPr="006F5F7E">
        <w:rPr>
          <w:rFonts w:asciiTheme="majorBidi" w:hAnsiTheme="majorBidi" w:cstheme="majorBidi"/>
          <w:sz w:val="20"/>
          <w:szCs w:val="20"/>
        </w:rPr>
        <w:t>. The results offer nuanced insights into how firm-specific factors influence dividend payout decisions across the conditional distribution of dividend policy, thereby addressing prior methodological limitations and context-specific gaps in Sub-Saharan financial markets.</w:t>
      </w:r>
    </w:p>
    <w:p w14:paraId="7F9D101A" w14:textId="77777777" w:rsidR="00035204" w:rsidRPr="006F5F7E" w:rsidRDefault="00035204" w:rsidP="00035204">
      <w:pPr>
        <w:pStyle w:val="Heading3"/>
        <w:spacing w:line="360" w:lineRule="auto"/>
        <w:contextualSpacing/>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4.1 Descriptive Statistics</w:t>
      </w:r>
    </w:p>
    <w:p w14:paraId="5467F7F3" w14:textId="77777777" w:rsidR="00963C0C" w:rsidRPr="006F5F7E" w:rsidRDefault="00963C0C" w:rsidP="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b/>
          <w:bCs/>
          <w:kern w:val="0"/>
          <w:sz w:val="20"/>
          <w:szCs w:val="20"/>
        </w:rPr>
        <w:t xml:space="preserve">Table 2: Descriptive Statistics </w:t>
      </w:r>
    </w:p>
    <w:tbl>
      <w:tblPr>
        <w:tblW w:w="0" w:type="auto"/>
        <w:tblLayout w:type="fixed"/>
        <w:tblLook w:val="0000" w:firstRow="0" w:lastRow="0" w:firstColumn="0" w:lastColumn="0" w:noHBand="0" w:noVBand="0"/>
      </w:tblPr>
      <w:tblGrid>
        <w:gridCol w:w="2508"/>
        <w:gridCol w:w="800"/>
        <w:gridCol w:w="1400"/>
        <w:gridCol w:w="1400"/>
        <w:gridCol w:w="1400"/>
        <w:gridCol w:w="1400"/>
      </w:tblGrid>
      <w:tr w:rsidR="00963C0C" w:rsidRPr="006F5F7E" w14:paraId="01D3738B" w14:textId="77777777">
        <w:tc>
          <w:tcPr>
            <w:tcW w:w="2508" w:type="dxa"/>
            <w:tcBorders>
              <w:top w:val="single" w:sz="4" w:space="0" w:color="auto"/>
              <w:left w:val="nil"/>
              <w:bottom w:val="single" w:sz="10" w:space="0" w:color="auto"/>
              <w:right w:val="nil"/>
            </w:tcBorders>
          </w:tcPr>
          <w:p w14:paraId="33A00F4D" w14:textId="77777777" w:rsidR="00963C0C" w:rsidRPr="006F5F7E" w:rsidRDefault="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Variable</w:t>
            </w:r>
          </w:p>
        </w:tc>
        <w:tc>
          <w:tcPr>
            <w:tcW w:w="800" w:type="dxa"/>
            <w:tcBorders>
              <w:top w:val="single" w:sz="4" w:space="0" w:color="auto"/>
              <w:left w:val="nil"/>
              <w:bottom w:val="single" w:sz="10" w:space="0" w:color="auto"/>
              <w:right w:val="nil"/>
            </w:tcBorders>
          </w:tcPr>
          <w:p w14:paraId="1E77D7A3"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w:t>
            </w:r>
            <w:proofErr w:type="spellStart"/>
            <w:r w:rsidRPr="006F5F7E">
              <w:rPr>
                <w:rFonts w:asciiTheme="majorBidi" w:hAnsiTheme="majorBidi" w:cstheme="majorBidi"/>
                <w:kern w:val="0"/>
                <w:sz w:val="20"/>
                <w:szCs w:val="20"/>
              </w:rPr>
              <w:t>Obs</w:t>
            </w:r>
            <w:proofErr w:type="spellEnd"/>
          </w:p>
        </w:tc>
        <w:tc>
          <w:tcPr>
            <w:tcW w:w="1400" w:type="dxa"/>
            <w:tcBorders>
              <w:top w:val="single" w:sz="4" w:space="0" w:color="auto"/>
              <w:left w:val="nil"/>
              <w:bottom w:val="single" w:sz="10" w:space="0" w:color="auto"/>
              <w:right w:val="nil"/>
            </w:tcBorders>
          </w:tcPr>
          <w:p w14:paraId="769859CF"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Mean</w:t>
            </w:r>
          </w:p>
        </w:tc>
        <w:tc>
          <w:tcPr>
            <w:tcW w:w="1400" w:type="dxa"/>
            <w:tcBorders>
              <w:top w:val="single" w:sz="4" w:space="0" w:color="auto"/>
              <w:left w:val="nil"/>
              <w:bottom w:val="single" w:sz="10" w:space="0" w:color="auto"/>
              <w:right w:val="nil"/>
            </w:tcBorders>
          </w:tcPr>
          <w:p w14:paraId="4DBA52FC"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Std. Dev.</w:t>
            </w:r>
          </w:p>
        </w:tc>
        <w:tc>
          <w:tcPr>
            <w:tcW w:w="1400" w:type="dxa"/>
            <w:tcBorders>
              <w:top w:val="single" w:sz="4" w:space="0" w:color="auto"/>
              <w:left w:val="nil"/>
              <w:bottom w:val="single" w:sz="10" w:space="0" w:color="auto"/>
              <w:right w:val="nil"/>
            </w:tcBorders>
          </w:tcPr>
          <w:p w14:paraId="000E5FE6"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Min</w:t>
            </w:r>
          </w:p>
        </w:tc>
        <w:tc>
          <w:tcPr>
            <w:tcW w:w="1400" w:type="dxa"/>
            <w:tcBorders>
              <w:top w:val="single" w:sz="4" w:space="0" w:color="auto"/>
              <w:left w:val="nil"/>
              <w:bottom w:val="single" w:sz="10" w:space="0" w:color="auto"/>
              <w:right w:val="nil"/>
            </w:tcBorders>
          </w:tcPr>
          <w:p w14:paraId="42819F92"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Max</w:t>
            </w:r>
          </w:p>
        </w:tc>
      </w:tr>
      <w:tr w:rsidR="00963C0C" w:rsidRPr="006F5F7E" w14:paraId="3AD19ADE" w14:textId="77777777">
        <w:tc>
          <w:tcPr>
            <w:tcW w:w="2508" w:type="dxa"/>
            <w:tcBorders>
              <w:top w:val="nil"/>
              <w:left w:val="nil"/>
              <w:bottom w:val="nil"/>
              <w:right w:val="nil"/>
            </w:tcBorders>
          </w:tcPr>
          <w:p w14:paraId="280451E5" w14:textId="77777777" w:rsidR="00963C0C" w:rsidRPr="006F5F7E" w:rsidRDefault="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DPO</w:t>
            </w:r>
          </w:p>
        </w:tc>
        <w:tc>
          <w:tcPr>
            <w:tcW w:w="800" w:type="dxa"/>
            <w:tcBorders>
              <w:top w:val="nil"/>
              <w:left w:val="nil"/>
              <w:bottom w:val="nil"/>
              <w:right w:val="nil"/>
            </w:tcBorders>
          </w:tcPr>
          <w:p w14:paraId="48C69316"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144</w:t>
            </w:r>
          </w:p>
        </w:tc>
        <w:tc>
          <w:tcPr>
            <w:tcW w:w="1400" w:type="dxa"/>
            <w:tcBorders>
              <w:top w:val="nil"/>
              <w:left w:val="nil"/>
              <w:bottom w:val="nil"/>
              <w:right w:val="nil"/>
            </w:tcBorders>
          </w:tcPr>
          <w:p w14:paraId="05059C1F"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23.519</w:t>
            </w:r>
          </w:p>
        </w:tc>
        <w:tc>
          <w:tcPr>
            <w:tcW w:w="1400" w:type="dxa"/>
            <w:tcBorders>
              <w:top w:val="nil"/>
              <w:left w:val="nil"/>
              <w:bottom w:val="nil"/>
              <w:right w:val="nil"/>
            </w:tcBorders>
          </w:tcPr>
          <w:p w14:paraId="4342FEAB"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19.346</w:t>
            </w:r>
          </w:p>
        </w:tc>
        <w:tc>
          <w:tcPr>
            <w:tcW w:w="1400" w:type="dxa"/>
            <w:tcBorders>
              <w:top w:val="nil"/>
              <w:left w:val="nil"/>
              <w:bottom w:val="nil"/>
              <w:right w:val="nil"/>
            </w:tcBorders>
          </w:tcPr>
          <w:p w14:paraId="7C30C2CE"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w:t>
            </w:r>
          </w:p>
        </w:tc>
        <w:tc>
          <w:tcPr>
            <w:tcW w:w="1400" w:type="dxa"/>
            <w:tcBorders>
              <w:top w:val="nil"/>
              <w:left w:val="nil"/>
              <w:bottom w:val="nil"/>
              <w:right w:val="nil"/>
            </w:tcBorders>
          </w:tcPr>
          <w:p w14:paraId="75AE4D1F"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84.853</w:t>
            </w:r>
          </w:p>
        </w:tc>
      </w:tr>
      <w:tr w:rsidR="00963C0C" w:rsidRPr="006F5F7E" w14:paraId="0FB019E3" w14:textId="77777777">
        <w:tc>
          <w:tcPr>
            <w:tcW w:w="2508" w:type="dxa"/>
            <w:tcBorders>
              <w:top w:val="nil"/>
              <w:left w:val="nil"/>
              <w:bottom w:val="nil"/>
              <w:right w:val="nil"/>
            </w:tcBorders>
          </w:tcPr>
          <w:p w14:paraId="162F1330" w14:textId="77777777" w:rsidR="00963C0C" w:rsidRPr="006F5F7E" w:rsidRDefault="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MGO</w:t>
            </w:r>
          </w:p>
        </w:tc>
        <w:tc>
          <w:tcPr>
            <w:tcW w:w="800" w:type="dxa"/>
            <w:tcBorders>
              <w:top w:val="nil"/>
              <w:left w:val="nil"/>
              <w:bottom w:val="nil"/>
              <w:right w:val="nil"/>
            </w:tcBorders>
          </w:tcPr>
          <w:p w14:paraId="26FFD86E"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144</w:t>
            </w:r>
          </w:p>
        </w:tc>
        <w:tc>
          <w:tcPr>
            <w:tcW w:w="1400" w:type="dxa"/>
            <w:tcBorders>
              <w:top w:val="nil"/>
              <w:left w:val="nil"/>
              <w:bottom w:val="nil"/>
              <w:right w:val="nil"/>
            </w:tcBorders>
          </w:tcPr>
          <w:p w14:paraId="401EAC15"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13.042</w:t>
            </w:r>
          </w:p>
        </w:tc>
        <w:tc>
          <w:tcPr>
            <w:tcW w:w="1400" w:type="dxa"/>
            <w:tcBorders>
              <w:top w:val="nil"/>
              <w:left w:val="nil"/>
              <w:bottom w:val="nil"/>
              <w:right w:val="nil"/>
            </w:tcBorders>
          </w:tcPr>
          <w:p w14:paraId="73BC7D57"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14.548</w:t>
            </w:r>
          </w:p>
        </w:tc>
        <w:tc>
          <w:tcPr>
            <w:tcW w:w="1400" w:type="dxa"/>
            <w:tcBorders>
              <w:top w:val="nil"/>
              <w:left w:val="nil"/>
              <w:bottom w:val="nil"/>
              <w:right w:val="nil"/>
            </w:tcBorders>
          </w:tcPr>
          <w:p w14:paraId="21215909"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5.5</w:t>
            </w:r>
          </w:p>
        </w:tc>
        <w:tc>
          <w:tcPr>
            <w:tcW w:w="1400" w:type="dxa"/>
            <w:tcBorders>
              <w:top w:val="nil"/>
              <w:left w:val="nil"/>
              <w:bottom w:val="nil"/>
              <w:right w:val="nil"/>
            </w:tcBorders>
          </w:tcPr>
          <w:p w14:paraId="17616D70"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79.961</w:t>
            </w:r>
          </w:p>
        </w:tc>
      </w:tr>
      <w:tr w:rsidR="00963C0C" w:rsidRPr="006F5F7E" w14:paraId="1E5241CA" w14:textId="77777777">
        <w:tc>
          <w:tcPr>
            <w:tcW w:w="2508" w:type="dxa"/>
            <w:tcBorders>
              <w:top w:val="nil"/>
              <w:left w:val="nil"/>
              <w:bottom w:val="nil"/>
              <w:right w:val="nil"/>
            </w:tcBorders>
          </w:tcPr>
          <w:p w14:paraId="71DDD5C8" w14:textId="77777777" w:rsidR="00963C0C" w:rsidRPr="006F5F7E" w:rsidRDefault="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INST</w:t>
            </w:r>
          </w:p>
        </w:tc>
        <w:tc>
          <w:tcPr>
            <w:tcW w:w="800" w:type="dxa"/>
            <w:tcBorders>
              <w:top w:val="nil"/>
              <w:left w:val="nil"/>
              <w:bottom w:val="nil"/>
              <w:right w:val="nil"/>
            </w:tcBorders>
          </w:tcPr>
          <w:p w14:paraId="665F3BF6"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144</w:t>
            </w:r>
          </w:p>
        </w:tc>
        <w:tc>
          <w:tcPr>
            <w:tcW w:w="1400" w:type="dxa"/>
            <w:tcBorders>
              <w:top w:val="nil"/>
              <w:left w:val="nil"/>
              <w:bottom w:val="nil"/>
              <w:right w:val="nil"/>
            </w:tcBorders>
          </w:tcPr>
          <w:p w14:paraId="6E8C3231"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36.799</w:t>
            </w:r>
          </w:p>
        </w:tc>
        <w:tc>
          <w:tcPr>
            <w:tcW w:w="1400" w:type="dxa"/>
            <w:tcBorders>
              <w:top w:val="nil"/>
              <w:left w:val="nil"/>
              <w:bottom w:val="nil"/>
              <w:right w:val="nil"/>
            </w:tcBorders>
          </w:tcPr>
          <w:p w14:paraId="136E7C3D"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17.91</w:t>
            </w:r>
          </w:p>
        </w:tc>
        <w:tc>
          <w:tcPr>
            <w:tcW w:w="1400" w:type="dxa"/>
            <w:tcBorders>
              <w:top w:val="nil"/>
              <w:left w:val="nil"/>
              <w:bottom w:val="nil"/>
              <w:right w:val="nil"/>
            </w:tcBorders>
          </w:tcPr>
          <w:p w14:paraId="10A0DC25"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25</w:t>
            </w:r>
          </w:p>
        </w:tc>
        <w:tc>
          <w:tcPr>
            <w:tcW w:w="1400" w:type="dxa"/>
            <w:tcBorders>
              <w:top w:val="nil"/>
              <w:left w:val="nil"/>
              <w:bottom w:val="nil"/>
              <w:right w:val="nil"/>
            </w:tcBorders>
          </w:tcPr>
          <w:p w14:paraId="062A42D3"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91</w:t>
            </w:r>
          </w:p>
        </w:tc>
      </w:tr>
      <w:tr w:rsidR="00963C0C" w:rsidRPr="006F5F7E" w14:paraId="1F3B63CD" w14:textId="77777777">
        <w:tc>
          <w:tcPr>
            <w:tcW w:w="2508" w:type="dxa"/>
            <w:tcBorders>
              <w:top w:val="nil"/>
              <w:left w:val="nil"/>
              <w:bottom w:val="nil"/>
              <w:right w:val="nil"/>
            </w:tcBorders>
          </w:tcPr>
          <w:p w14:paraId="54B2B182" w14:textId="77777777" w:rsidR="00963C0C" w:rsidRPr="006F5F7E" w:rsidRDefault="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FRO</w:t>
            </w:r>
          </w:p>
        </w:tc>
        <w:tc>
          <w:tcPr>
            <w:tcW w:w="800" w:type="dxa"/>
            <w:tcBorders>
              <w:top w:val="nil"/>
              <w:left w:val="nil"/>
              <w:bottom w:val="nil"/>
              <w:right w:val="nil"/>
            </w:tcBorders>
          </w:tcPr>
          <w:p w14:paraId="66509ADF"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144</w:t>
            </w:r>
          </w:p>
        </w:tc>
        <w:tc>
          <w:tcPr>
            <w:tcW w:w="1400" w:type="dxa"/>
            <w:tcBorders>
              <w:top w:val="nil"/>
              <w:left w:val="nil"/>
              <w:bottom w:val="nil"/>
              <w:right w:val="nil"/>
            </w:tcBorders>
          </w:tcPr>
          <w:p w14:paraId="3D524443"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5.193</w:t>
            </w:r>
          </w:p>
        </w:tc>
        <w:tc>
          <w:tcPr>
            <w:tcW w:w="1400" w:type="dxa"/>
            <w:tcBorders>
              <w:top w:val="nil"/>
              <w:left w:val="nil"/>
              <w:bottom w:val="nil"/>
              <w:right w:val="nil"/>
            </w:tcBorders>
          </w:tcPr>
          <w:p w14:paraId="1811A3B8"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18</w:t>
            </w:r>
          </w:p>
        </w:tc>
        <w:tc>
          <w:tcPr>
            <w:tcW w:w="1400" w:type="dxa"/>
            <w:tcBorders>
              <w:top w:val="nil"/>
              <w:left w:val="nil"/>
              <w:bottom w:val="nil"/>
              <w:right w:val="nil"/>
            </w:tcBorders>
          </w:tcPr>
          <w:p w14:paraId="77C29A77"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w:t>
            </w:r>
          </w:p>
        </w:tc>
        <w:tc>
          <w:tcPr>
            <w:tcW w:w="1400" w:type="dxa"/>
            <w:tcBorders>
              <w:top w:val="nil"/>
              <w:left w:val="nil"/>
              <w:bottom w:val="nil"/>
              <w:right w:val="nil"/>
            </w:tcBorders>
          </w:tcPr>
          <w:p w14:paraId="7FACB226"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67.55</w:t>
            </w:r>
          </w:p>
        </w:tc>
      </w:tr>
      <w:tr w:rsidR="00963C0C" w:rsidRPr="006F5F7E" w14:paraId="07A657BB" w14:textId="77777777">
        <w:tc>
          <w:tcPr>
            <w:tcW w:w="2508" w:type="dxa"/>
            <w:tcBorders>
              <w:top w:val="nil"/>
              <w:left w:val="nil"/>
              <w:bottom w:val="nil"/>
              <w:right w:val="nil"/>
            </w:tcBorders>
          </w:tcPr>
          <w:p w14:paraId="44707D06" w14:textId="77777777" w:rsidR="00963C0C" w:rsidRPr="006F5F7E" w:rsidRDefault="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ROA</w:t>
            </w:r>
          </w:p>
        </w:tc>
        <w:tc>
          <w:tcPr>
            <w:tcW w:w="800" w:type="dxa"/>
            <w:tcBorders>
              <w:top w:val="nil"/>
              <w:left w:val="nil"/>
              <w:bottom w:val="nil"/>
              <w:right w:val="nil"/>
            </w:tcBorders>
          </w:tcPr>
          <w:p w14:paraId="2A7928F2"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144</w:t>
            </w:r>
          </w:p>
        </w:tc>
        <w:tc>
          <w:tcPr>
            <w:tcW w:w="1400" w:type="dxa"/>
            <w:tcBorders>
              <w:top w:val="nil"/>
              <w:left w:val="nil"/>
              <w:bottom w:val="nil"/>
              <w:right w:val="nil"/>
            </w:tcBorders>
          </w:tcPr>
          <w:p w14:paraId="0524969F"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1.744</w:t>
            </w:r>
          </w:p>
        </w:tc>
        <w:tc>
          <w:tcPr>
            <w:tcW w:w="1400" w:type="dxa"/>
            <w:tcBorders>
              <w:top w:val="nil"/>
              <w:left w:val="nil"/>
              <w:bottom w:val="nil"/>
              <w:right w:val="nil"/>
            </w:tcBorders>
          </w:tcPr>
          <w:p w14:paraId="67B308E8"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1.69</w:t>
            </w:r>
          </w:p>
        </w:tc>
        <w:tc>
          <w:tcPr>
            <w:tcW w:w="1400" w:type="dxa"/>
            <w:tcBorders>
              <w:top w:val="nil"/>
              <w:left w:val="nil"/>
              <w:bottom w:val="nil"/>
              <w:right w:val="nil"/>
            </w:tcBorders>
          </w:tcPr>
          <w:p w14:paraId="5A69A07E"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-9.532</w:t>
            </w:r>
          </w:p>
        </w:tc>
        <w:tc>
          <w:tcPr>
            <w:tcW w:w="1400" w:type="dxa"/>
            <w:tcBorders>
              <w:top w:val="nil"/>
              <w:left w:val="nil"/>
              <w:bottom w:val="nil"/>
              <w:right w:val="nil"/>
            </w:tcBorders>
          </w:tcPr>
          <w:p w14:paraId="213EF76A"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5.617</w:t>
            </w:r>
          </w:p>
        </w:tc>
      </w:tr>
      <w:tr w:rsidR="00963C0C" w:rsidRPr="006F5F7E" w14:paraId="0B156129" w14:textId="77777777">
        <w:tc>
          <w:tcPr>
            <w:tcW w:w="2508" w:type="dxa"/>
            <w:tcBorders>
              <w:top w:val="nil"/>
              <w:left w:val="nil"/>
              <w:bottom w:val="nil"/>
              <w:right w:val="nil"/>
            </w:tcBorders>
          </w:tcPr>
          <w:p w14:paraId="13805995" w14:textId="77777777" w:rsidR="00963C0C" w:rsidRPr="006F5F7E" w:rsidRDefault="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w:t>
            </w:r>
            <w:proofErr w:type="spellStart"/>
            <w:r w:rsidRPr="006F5F7E">
              <w:rPr>
                <w:rFonts w:asciiTheme="majorBidi" w:hAnsiTheme="majorBidi" w:cstheme="majorBidi"/>
                <w:kern w:val="0"/>
                <w:sz w:val="20"/>
                <w:szCs w:val="20"/>
              </w:rPr>
              <w:t>Fsize</w:t>
            </w:r>
            <w:proofErr w:type="spellEnd"/>
          </w:p>
        </w:tc>
        <w:tc>
          <w:tcPr>
            <w:tcW w:w="800" w:type="dxa"/>
            <w:tcBorders>
              <w:top w:val="nil"/>
              <w:left w:val="nil"/>
              <w:bottom w:val="nil"/>
              <w:right w:val="nil"/>
            </w:tcBorders>
          </w:tcPr>
          <w:p w14:paraId="3DF968E5"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144</w:t>
            </w:r>
          </w:p>
        </w:tc>
        <w:tc>
          <w:tcPr>
            <w:tcW w:w="1400" w:type="dxa"/>
            <w:tcBorders>
              <w:top w:val="nil"/>
              <w:left w:val="nil"/>
              <w:bottom w:val="nil"/>
              <w:right w:val="nil"/>
            </w:tcBorders>
          </w:tcPr>
          <w:p w14:paraId="2439E2C6"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17.658</w:t>
            </w:r>
          </w:p>
        </w:tc>
        <w:tc>
          <w:tcPr>
            <w:tcW w:w="1400" w:type="dxa"/>
            <w:tcBorders>
              <w:top w:val="nil"/>
              <w:left w:val="nil"/>
              <w:bottom w:val="nil"/>
              <w:right w:val="nil"/>
            </w:tcBorders>
          </w:tcPr>
          <w:p w14:paraId="5BBD87A4"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.812</w:t>
            </w:r>
          </w:p>
        </w:tc>
        <w:tc>
          <w:tcPr>
            <w:tcW w:w="1400" w:type="dxa"/>
            <w:tcBorders>
              <w:top w:val="nil"/>
              <w:left w:val="nil"/>
              <w:bottom w:val="nil"/>
              <w:right w:val="nil"/>
            </w:tcBorders>
          </w:tcPr>
          <w:p w14:paraId="110983E2"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15.869</w:t>
            </w:r>
          </w:p>
        </w:tc>
        <w:tc>
          <w:tcPr>
            <w:tcW w:w="1400" w:type="dxa"/>
            <w:tcBorders>
              <w:top w:val="nil"/>
              <w:left w:val="nil"/>
              <w:bottom w:val="nil"/>
              <w:right w:val="nil"/>
            </w:tcBorders>
          </w:tcPr>
          <w:p w14:paraId="35153EC2"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19.496</w:t>
            </w:r>
          </w:p>
        </w:tc>
      </w:tr>
      <w:tr w:rsidR="00963C0C" w:rsidRPr="006F5F7E" w14:paraId="5D73DDA9" w14:textId="77777777">
        <w:tc>
          <w:tcPr>
            <w:tcW w:w="2508" w:type="dxa"/>
            <w:tcBorders>
              <w:top w:val="nil"/>
              <w:left w:val="nil"/>
              <w:bottom w:val="nil"/>
              <w:right w:val="nil"/>
            </w:tcBorders>
          </w:tcPr>
          <w:p w14:paraId="4E3D1CB6" w14:textId="111FE1D3" w:rsidR="00963C0C" w:rsidRPr="006F5F7E" w:rsidRDefault="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w:t>
            </w:r>
            <w:r w:rsidR="00DC1569" w:rsidRPr="006F5F7E">
              <w:rPr>
                <w:rFonts w:asciiTheme="majorBidi" w:hAnsiTheme="majorBidi" w:cstheme="majorBidi"/>
                <w:kern w:val="0"/>
                <w:sz w:val="20"/>
                <w:szCs w:val="20"/>
              </w:rPr>
              <w:t>GRT</w:t>
            </w:r>
          </w:p>
        </w:tc>
        <w:tc>
          <w:tcPr>
            <w:tcW w:w="800" w:type="dxa"/>
            <w:tcBorders>
              <w:top w:val="nil"/>
              <w:left w:val="nil"/>
              <w:bottom w:val="nil"/>
              <w:right w:val="nil"/>
            </w:tcBorders>
          </w:tcPr>
          <w:p w14:paraId="19836283"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144</w:t>
            </w:r>
          </w:p>
        </w:tc>
        <w:tc>
          <w:tcPr>
            <w:tcW w:w="1400" w:type="dxa"/>
            <w:tcBorders>
              <w:top w:val="nil"/>
              <w:left w:val="nil"/>
              <w:bottom w:val="nil"/>
              <w:right w:val="nil"/>
            </w:tcBorders>
          </w:tcPr>
          <w:p w14:paraId="606700BF"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12.253</w:t>
            </w:r>
          </w:p>
        </w:tc>
        <w:tc>
          <w:tcPr>
            <w:tcW w:w="1400" w:type="dxa"/>
            <w:tcBorders>
              <w:top w:val="nil"/>
              <w:left w:val="nil"/>
              <w:bottom w:val="nil"/>
              <w:right w:val="nil"/>
            </w:tcBorders>
          </w:tcPr>
          <w:p w14:paraId="6A949253"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26.269</w:t>
            </w:r>
          </w:p>
        </w:tc>
        <w:tc>
          <w:tcPr>
            <w:tcW w:w="1400" w:type="dxa"/>
            <w:tcBorders>
              <w:top w:val="nil"/>
              <w:left w:val="nil"/>
              <w:bottom w:val="nil"/>
              <w:right w:val="nil"/>
            </w:tcBorders>
          </w:tcPr>
          <w:p w14:paraId="60BE6C6B"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-193.6</w:t>
            </w:r>
          </w:p>
        </w:tc>
        <w:tc>
          <w:tcPr>
            <w:tcW w:w="1400" w:type="dxa"/>
            <w:tcBorders>
              <w:top w:val="nil"/>
              <w:left w:val="nil"/>
              <w:bottom w:val="nil"/>
              <w:right w:val="nil"/>
            </w:tcBorders>
          </w:tcPr>
          <w:p w14:paraId="04521ECA"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92</w:t>
            </w:r>
          </w:p>
        </w:tc>
      </w:tr>
    </w:tbl>
    <w:p w14:paraId="20907780" w14:textId="52851B71" w:rsidR="00EA4D94" w:rsidRPr="006F5F7E" w:rsidRDefault="00963C0C" w:rsidP="00963C0C">
      <w:pPr>
        <w:widowControl w:val="0"/>
        <w:autoSpaceDE w:val="0"/>
        <w:autoSpaceDN w:val="0"/>
        <w:adjustRightInd w:val="0"/>
        <w:spacing w:after="0" w:line="240" w:lineRule="auto"/>
        <w:rPr>
          <w:rFonts w:asciiTheme="majorBidi" w:hAnsiTheme="majorBidi" w:cstheme="majorBidi"/>
          <w:sz w:val="20"/>
          <w:szCs w:val="20"/>
        </w:rPr>
      </w:pPr>
      <w:r w:rsidRPr="006F5F7E">
        <w:rPr>
          <w:rFonts w:asciiTheme="majorBidi" w:hAnsiTheme="majorBidi" w:cstheme="majorBidi"/>
          <w:b/>
          <w:bCs/>
          <w:kern w:val="0"/>
          <w:sz w:val="20"/>
          <w:szCs w:val="20"/>
        </w:rPr>
        <w:t xml:space="preserve">Source: </w:t>
      </w:r>
      <w:r w:rsidR="004D027D" w:rsidRPr="006F5F7E">
        <w:rPr>
          <w:rFonts w:asciiTheme="majorBidi" w:hAnsiTheme="majorBidi" w:cstheme="majorBidi"/>
          <w:kern w:val="0"/>
          <w:sz w:val="20"/>
          <w:szCs w:val="20"/>
        </w:rPr>
        <w:t xml:space="preserve">Processed data through </w:t>
      </w:r>
      <w:proofErr w:type="spellStart"/>
      <w:r w:rsidR="004D027D" w:rsidRPr="006F5F7E">
        <w:rPr>
          <w:rFonts w:asciiTheme="majorBidi" w:hAnsiTheme="majorBidi" w:cstheme="majorBidi"/>
          <w:kern w:val="0"/>
          <w:sz w:val="20"/>
          <w:szCs w:val="20"/>
        </w:rPr>
        <w:t>StataNow</w:t>
      </w:r>
      <w:proofErr w:type="spellEnd"/>
      <w:r w:rsidR="00DF59B7" w:rsidRPr="006F5F7E">
        <w:rPr>
          <w:rFonts w:asciiTheme="majorBidi" w:hAnsiTheme="majorBidi" w:cstheme="majorBidi"/>
          <w:kern w:val="0"/>
          <w:sz w:val="20"/>
          <w:szCs w:val="20"/>
        </w:rPr>
        <w:t xml:space="preserve"> 19.5 by authors</w:t>
      </w:r>
      <w:r w:rsidR="00D471F8" w:rsidRPr="006F5F7E">
        <w:rPr>
          <w:rFonts w:asciiTheme="majorBidi" w:hAnsiTheme="majorBidi" w:cstheme="majorBidi"/>
          <w:kern w:val="0"/>
          <w:sz w:val="20"/>
          <w:szCs w:val="20"/>
        </w:rPr>
        <w:t xml:space="preserve"> (2025)</w:t>
      </w:r>
      <w:r w:rsidR="004D027D" w:rsidRPr="006F5F7E">
        <w:rPr>
          <w:rFonts w:asciiTheme="majorBidi" w:hAnsiTheme="majorBidi" w:cstheme="majorBidi"/>
          <w:kern w:val="0"/>
          <w:sz w:val="20"/>
          <w:szCs w:val="20"/>
        </w:rPr>
        <w:t xml:space="preserve"> </w:t>
      </w:r>
      <w:r w:rsidRPr="006F5F7E">
        <w:rPr>
          <w:rFonts w:asciiTheme="majorBidi" w:hAnsiTheme="majorBidi" w:cstheme="majorBidi"/>
          <w:b/>
          <w:bCs/>
          <w:kern w:val="0"/>
          <w:sz w:val="20"/>
          <w:szCs w:val="20"/>
        </w:rPr>
        <w:br/>
      </w:r>
    </w:p>
    <w:p w14:paraId="012686B5" w14:textId="6ADD9B3E" w:rsidR="00035204" w:rsidRPr="006F5F7E" w:rsidRDefault="00035204" w:rsidP="00A816A9">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Table </w:t>
      </w:r>
      <w:r w:rsidR="00D471F8" w:rsidRPr="006F5F7E">
        <w:rPr>
          <w:rFonts w:asciiTheme="majorBidi" w:hAnsiTheme="majorBidi" w:cstheme="majorBidi"/>
          <w:sz w:val="20"/>
          <w:szCs w:val="20"/>
        </w:rPr>
        <w:t>2</w:t>
      </w:r>
      <w:r w:rsidRPr="006F5F7E">
        <w:rPr>
          <w:rFonts w:asciiTheme="majorBidi" w:hAnsiTheme="majorBidi" w:cstheme="majorBidi"/>
          <w:sz w:val="20"/>
          <w:szCs w:val="20"/>
        </w:rPr>
        <w:t xml:space="preserve"> summarises the key features of the variables used in the regression models. The mean dividend payout ratio (DPO) is 23.52%, with a standard deviation of 19.35%, indicating moderate dispersion among banks’ payout behaviours. Managerial ownership (MGO) averages 13.04% with a minimum threshold set at 5.5% to eliminate near-zero distortions. Institutional ownership (INST) also displays a wide distribution (mean = 36.80%; std. dev. = 17.91%) with a floor of 25%, reflecting substantial </w:t>
      </w:r>
      <w:r w:rsidR="00A25D69" w:rsidRPr="006F5F7E">
        <w:rPr>
          <w:rFonts w:asciiTheme="majorBidi" w:hAnsiTheme="majorBidi" w:cstheme="majorBidi"/>
          <w:sz w:val="20"/>
          <w:szCs w:val="20"/>
        </w:rPr>
        <w:t>block-holder</w:t>
      </w:r>
      <w:r w:rsidRPr="006F5F7E">
        <w:rPr>
          <w:rFonts w:asciiTheme="majorBidi" w:hAnsiTheme="majorBidi" w:cstheme="majorBidi"/>
          <w:sz w:val="20"/>
          <w:szCs w:val="20"/>
        </w:rPr>
        <w:t xml:space="preserve"> influence in the sample.</w:t>
      </w:r>
      <w:r w:rsidR="008B4EEA" w:rsidRPr="006F5F7E">
        <w:rPr>
          <w:rFonts w:asciiTheme="majorBidi" w:hAnsiTheme="majorBidi" w:cstheme="majorBidi"/>
          <w:sz w:val="20"/>
          <w:szCs w:val="20"/>
        </w:rPr>
        <w:t xml:space="preserve"> </w:t>
      </w:r>
      <w:r w:rsidRPr="006F5F7E">
        <w:rPr>
          <w:rFonts w:asciiTheme="majorBidi" w:hAnsiTheme="majorBidi" w:cstheme="majorBidi"/>
          <w:sz w:val="20"/>
          <w:szCs w:val="20"/>
        </w:rPr>
        <w:t xml:space="preserve">Foreign ownership (FRO) has a mean of 5.19% but exhibits significant variation (std. dev. = 18.00%), suggesting a skewed distribution with some banks hosting substantial foreign investors. Return on assets (ROA), the moderating variable, ranges from -9.53% to 5.62% with an average of 1.74%, capturing divergent levels of profitability across firms. Firm size, proxied by the natural logarithm of total assets, is relatively stable (mean = 17.66), while </w:t>
      </w:r>
      <w:r w:rsidR="00DC1569" w:rsidRPr="006F5F7E">
        <w:rPr>
          <w:rFonts w:asciiTheme="majorBidi" w:hAnsiTheme="majorBidi" w:cstheme="majorBidi"/>
          <w:sz w:val="20"/>
          <w:szCs w:val="20"/>
        </w:rPr>
        <w:t>GRT</w:t>
      </w:r>
      <w:r w:rsidRPr="006F5F7E">
        <w:rPr>
          <w:rFonts w:asciiTheme="majorBidi" w:hAnsiTheme="majorBidi" w:cstheme="majorBidi"/>
          <w:sz w:val="20"/>
          <w:szCs w:val="20"/>
        </w:rPr>
        <w:t xml:space="preserve"> (percentage change in total assets) has a mean of 12.25% but is highly dispersed (std. dev. = 26.27), with some extreme negative values indicating contraction in certain banks.</w:t>
      </w:r>
      <w:r w:rsidR="00136FE6" w:rsidRPr="006F5F7E">
        <w:rPr>
          <w:rFonts w:asciiTheme="majorBidi" w:hAnsiTheme="majorBidi" w:cstheme="majorBidi"/>
          <w:sz w:val="20"/>
          <w:szCs w:val="20"/>
        </w:rPr>
        <w:t xml:space="preserve"> </w:t>
      </w:r>
      <w:r w:rsidRPr="006F5F7E">
        <w:rPr>
          <w:rFonts w:asciiTheme="majorBidi" w:hAnsiTheme="majorBidi" w:cstheme="majorBidi"/>
          <w:sz w:val="20"/>
          <w:szCs w:val="20"/>
        </w:rPr>
        <w:t>These patterns suggest the presence of heterogeneity in ownership structures, financial performance, and payout policies, justifying the use of quantile regression techniques to explore conditional effects across the distribution.</w:t>
      </w:r>
    </w:p>
    <w:p w14:paraId="3E0A7252" w14:textId="77777777" w:rsidR="00035204" w:rsidRPr="006F5F7E" w:rsidRDefault="00035204" w:rsidP="00035204">
      <w:pPr>
        <w:pStyle w:val="Heading3"/>
        <w:spacing w:line="360" w:lineRule="auto"/>
        <w:contextualSpacing/>
        <w:rPr>
          <w:rFonts w:asciiTheme="majorBidi" w:hAnsiTheme="majorBidi" w:cstheme="majorBidi"/>
          <w:b/>
          <w:bCs/>
          <w:sz w:val="20"/>
          <w:szCs w:val="20"/>
        </w:rPr>
      </w:pPr>
      <w:r w:rsidRPr="006F5F7E">
        <w:rPr>
          <w:rFonts w:asciiTheme="majorBidi" w:hAnsiTheme="majorBidi" w:cstheme="majorBidi"/>
          <w:b/>
          <w:bCs/>
          <w:sz w:val="20"/>
          <w:szCs w:val="20"/>
        </w:rPr>
        <w:t>4.2 Correlation Matrix</w:t>
      </w:r>
    </w:p>
    <w:p w14:paraId="4E0CFA4B" w14:textId="77777777" w:rsidR="00D471F8" w:rsidRPr="006F5F7E" w:rsidRDefault="00D471F8" w:rsidP="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b/>
          <w:bCs/>
          <w:kern w:val="0"/>
          <w:sz w:val="20"/>
          <w:szCs w:val="20"/>
        </w:rPr>
        <w:t xml:space="preserve">Table 3: Matrix of correlations </w:t>
      </w:r>
    </w:p>
    <w:tbl>
      <w:tblPr>
        <w:tblW w:w="8219" w:type="dxa"/>
        <w:tblLayout w:type="fixed"/>
        <w:tblLook w:val="0000" w:firstRow="0" w:lastRow="0" w:firstColumn="0" w:lastColumn="0" w:noHBand="0" w:noVBand="0"/>
      </w:tblPr>
      <w:tblGrid>
        <w:gridCol w:w="1018"/>
        <w:gridCol w:w="1028"/>
        <w:gridCol w:w="1028"/>
        <w:gridCol w:w="1028"/>
        <w:gridCol w:w="1028"/>
        <w:gridCol w:w="1028"/>
        <w:gridCol w:w="1028"/>
        <w:gridCol w:w="1033"/>
      </w:tblGrid>
      <w:tr w:rsidR="00D471F8" w:rsidRPr="006F5F7E" w14:paraId="520DB669" w14:textId="77777777" w:rsidTr="00D471F8">
        <w:trPr>
          <w:trHeight w:val="227"/>
        </w:trPr>
        <w:tc>
          <w:tcPr>
            <w:tcW w:w="1018" w:type="dxa"/>
            <w:tcBorders>
              <w:top w:val="single" w:sz="4" w:space="0" w:color="auto"/>
              <w:left w:val="nil"/>
              <w:bottom w:val="single" w:sz="10" w:space="0" w:color="auto"/>
              <w:right w:val="nil"/>
            </w:tcBorders>
          </w:tcPr>
          <w:p w14:paraId="62EAE689" w14:textId="77777777" w:rsidR="00D471F8" w:rsidRPr="006F5F7E" w:rsidRDefault="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Variables</w:t>
            </w:r>
          </w:p>
        </w:tc>
        <w:tc>
          <w:tcPr>
            <w:tcW w:w="1028" w:type="dxa"/>
            <w:tcBorders>
              <w:top w:val="single" w:sz="4" w:space="0" w:color="auto"/>
              <w:left w:val="nil"/>
              <w:bottom w:val="single" w:sz="10" w:space="0" w:color="auto"/>
              <w:right w:val="nil"/>
            </w:tcBorders>
          </w:tcPr>
          <w:p w14:paraId="689B070F"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(1)</w:t>
            </w:r>
          </w:p>
        </w:tc>
        <w:tc>
          <w:tcPr>
            <w:tcW w:w="1028" w:type="dxa"/>
            <w:tcBorders>
              <w:top w:val="single" w:sz="4" w:space="0" w:color="auto"/>
              <w:left w:val="nil"/>
              <w:bottom w:val="single" w:sz="10" w:space="0" w:color="auto"/>
              <w:right w:val="nil"/>
            </w:tcBorders>
          </w:tcPr>
          <w:p w14:paraId="1E6ABCDE"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(2)</w:t>
            </w:r>
          </w:p>
        </w:tc>
        <w:tc>
          <w:tcPr>
            <w:tcW w:w="1028" w:type="dxa"/>
            <w:tcBorders>
              <w:top w:val="single" w:sz="4" w:space="0" w:color="auto"/>
              <w:left w:val="nil"/>
              <w:bottom w:val="single" w:sz="10" w:space="0" w:color="auto"/>
              <w:right w:val="nil"/>
            </w:tcBorders>
          </w:tcPr>
          <w:p w14:paraId="7FDC5222"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(3)</w:t>
            </w:r>
          </w:p>
        </w:tc>
        <w:tc>
          <w:tcPr>
            <w:tcW w:w="1028" w:type="dxa"/>
            <w:tcBorders>
              <w:top w:val="single" w:sz="4" w:space="0" w:color="auto"/>
              <w:left w:val="nil"/>
              <w:bottom w:val="single" w:sz="10" w:space="0" w:color="auto"/>
              <w:right w:val="nil"/>
            </w:tcBorders>
          </w:tcPr>
          <w:p w14:paraId="4247D91D"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(4)</w:t>
            </w:r>
          </w:p>
        </w:tc>
        <w:tc>
          <w:tcPr>
            <w:tcW w:w="1028" w:type="dxa"/>
            <w:tcBorders>
              <w:top w:val="single" w:sz="4" w:space="0" w:color="auto"/>
              <w:left w:val="nil"/>
              <w:bottom w:val="single" w:sz="10" w:space="0" w:color="auto"/>
              <w:right w:val="nil"/>
            </w:tcBorders>
          </w:tcPr>
          <w:p w14:paraId="596103A0"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(5)</w:t>
            </w:r>
          </w:p>
        </w:tc>
        <w:tc>
          <w:tcPr>
            <w:tcW w:w="1028" w:type="dxa"/>
            <w:tcBorders>
              <w:top w:val="single" w:sz="4" w:space="0" w:color="auto"/>
              <w:left w:val="nil"/>
              <w:bottom w:val="single" w:sz="10" w:space="0" w:color="auto"/>
              <w:right w:val="nil"/>
            </w:tcBorders>
          </w:tcPr>
          <w:p w14:paraId="79D50603"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(6)</w:t>
            </w:r>
          </w:p>
        </w:tc>
        <w:tc>
          <w:tcPr>
            <w:tcW w:w="1033" w:type="dxa"/>
            <w:tcBorders>
              <w:top w:val="single" w:sz="4" w:space="0" w:color="auto"/>
              <w:left w:val="nil"/>
              <w:bottom w:val="single" w:sz="10" w:space="0" w:color="auto"/>
              <w:right w:val="nil"/>
            </w:tcBorders>
          </w:tcPr>
          <w:p w14:paraId="7C5488B6"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(7)</w:t>
            </w:r>
          </w:p>
        </w:tc>
      </w:tr>
      <w:tr w:rsidR="00D471F8" w:rsidRPr="006F5F7E" w14:paraId="78AFF323" w14:textId="77777777" w:rsidTr="00D471F8">
        <w:trPr>
          <w:gridAfter w:val="6"/>
          <w:wAfter w:w="6173" w:type="dxa"/>
          <w:trHeight w:val="227"/>
        </w:trPr>
        <w:tc>
          <w:tcPr>
            <w:tcW w:w="1018" w:type="dxa"/>
            <w:tcBorders>
              <w:top w:val="nil"/>
              <w:left w:val="nil"/>
              <w:bottom w:val="nil"/>
              <w:right w:val="nil"/>
            </w:tcBorders>
          </w:tcPr>
          <w:p w14:paraId="731BC391" w14:textId="77777777" w:rsidR="00D471F8" w:rsidRPr="006F5F7E" w:rsidRDefault="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(1) DPO</w:t>
            </w:r>
          </w:p>
        </w:tc>
        <w:tc>
          <w:tcPr>
            <w:tcW w:w="1028" w:type="dxa"/>
            <w:tcBorders>
              <w:top w:val="nil"/>
              <w:left w:val="nil"/>
              <w:bottom w:val="nil"/>
              <w:right w:val="nil"/>
            </w:tcBorders>
          </w:tcPr>
          <w:p w14:paraId="0B2A8153"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1.000</w:t>
            </w:r>
          </w:p>
        </w:tc>
      </w:tr>
      <w:tr w:rsidR="00D471F8" w:rsidRPr="006F5F7E" w14:paraId="285AFE81" w14:textId="77777777" w:rsidTr="00D471F8">
        <w:trPr>
          <w:gridAfter w:val="5"/>
          <w:wAfter w:w="5145" w:type="dxa"/>
          <w:trHeight w:val="219"/>
        </w:trPr>
        <w:tc>
          <w:tcPr>
            <w:tcW w:w="1018" w:type="dxa"/>
            <w:tcBorders>
              <w:top w:val="nil"/>
              <w:left w:val="nil"/>
              <w:bottom w:val="nil"/>
              <w:right w:val="nil"/>
            </w:tcBorders>
          </w:tcPr>
          <w:p w14:paraId="110F8971" w14:textId="77777777" w:rsidR="00D471F8" w:rsidRPr="006F5F7E" w:rsidRDefault="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(2) MGO</w:t>
            </w:r>
          </w:p>
        </w:tc>
        <w:tc>
          <w:tcPr>
            <w:tcW w:w="1028" w:type="dxa"/>
            <w:tcBorders>
              <w:top w:val="nil"/>
              <w:left w:val="nil"/>
              <w:bottom w:val="nil"/>
              <w:right w:val="nil"/>
            </w:tcBorders>
          </w:tcPr>
          <w:p w14:paraId="1C18741E"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-0.232</w:t>
            </w:r>
          </w:p>
        </w:tc>
        <w:tc>
          <w:tcPr>
            <w:tcW w:w="1028" w:type="dxa"/>
            <w:tcBorders>
              <w:top w:val="nil"/>
              <w:left w:val="nil"/>
              <w:bottom w:val="nil"/>
              <w:right w:val="nil"/>
            </w:tcBorders>
          </w:tcPr>
          <w:p w14:paraId="712B61FC"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1.000</w:t>
            </w:r>
          </w:p>
        </w:tc>
      </w:tr>
      <w:tr w:rsidR="00D471F8" w:rsidRPr="006F5F7E" w14:paraId="5B4DA6EE" w14:textId="77777777" w:rsidTr="00D471F8">
        <w:trPr>
          <w:gridAfter w:val="4"/>
          <w:wAfter w:w="4117" w:type="dxa"/>
          <w:trHeight w:val="227"/>
        </w:trPr>
        <w:tc>
          <w:tcPr>
            <w:tcW w:w="1018" w:type="dxa"/>
            <w:tcBorders>
              <w:top w:val="nil"/>
              <w:left w:val="nil"/>
              <w:bottom w:val="nil"/>
              <w:right w:val="nil"/>
            </w:tcBorders>
          </w:tcPr>
          <w:p w14:paraId="45E25B60" w14:textId="77777777" w:rsidR="00D471F8" w:rsidRPr="006F5F7E" w:rsidRDefault="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(3) INST</w:t>
            </w:r>
          </w:p>
        </w:tc>
        <w:tc>
          <w:tcPr>
            <w:tcW w:w="1028" w:type="dxa"/>
            <w:tcBorders>
              <w:top w:val="nil"/>
              <w:left w:val="nil"/>
              <w:bottom w:val="nil"/>
              <w:right w:val="nil"/>
            </w:tcBorders>
          </w:tcPr>
          <w:p w14:paraId="17D85AC7"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-0.240</w:t>
            </w:r>
          </w:p>
        </w:tc>
        <w:tc>
          <w:tcPr>
            <w:tcW w:w="1028" w:type="dxa"/>
            <w:tcBorders>
              <w:top w:val="nil"/>
              <w:left w:val="nil"/>
              <w:bottom w:val="nil"/>
              <w:right w:val="nil"/>
            </w:tcBorders>
          </w:tcPr>
          <w:p w14:paraId="621F4328"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0.040</w:t>
            </w:r>
          </w:p>
        </w:tc>
        <w:tc>
          <w:tcPr>
            <w:tcW w:w="1028" w:type="dxa"/>
            <w:tcBorders>
              <w:top w:val="nil"/>
              <w:left w:val="nil"/>
              <w:bottom w:val="nil"/>
              <w:right w:val="nil"/>
            </w:tcBorders>
          </w:tcPr>
          <w:p w14:paraId="64603E94"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1.000</w:t>
            </w:r>
          </w:p>
        </w:tc>
      </w:tr>
      <w:tr w:rsidR="00D471F8" w:rsidRPr="006F5F7E" w14:paraId="30608097" w14:textId="77777777" w:rsidTr="00D471F8">
        <w:trPr>
          <w:gridAfter w:val="3"/>
          <w:wAfter w:w="3089" w:type="dxa"/>
          <w:trHeight w:val="219"/>
        </w:trPr>
        <w:tc>
          <w:tcPr>
            <w:tcW w:w="1018" w:type="dxa"/>
            <w:tcBorders>
              <w:top w:val="nil"/>
              <w:left w:val="nil"/>
              <w:bottom w:val="nil"/>
              <w:right w:val="nil"/>
            </w:tcBorders>
          </w:tcPr>
          <w:p w14:paraId="4D09D945" w14:textId="77777777" w:rsidR="00D471F8" w:rsidRPr="006F5F7E" w:rsidRDefault="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lastRenderedPageBreak/>
              <w:t xml:space="preserve"> (4) FRO</w:t>
            </w:r>
          </w:p>
        </w:tc>
        <w:tc>
          <w:tcPr>
            <w:tcW w:w="1028" w:type="dxa"/>
            <w:tcBorders>
              <w:top w:val="nil"/>
              <w:left w:val="nil"/>
              <w:bottom w:val="nil"/>
              <w:right w:val="nil"/>
            </w:tcBorders>
          </w:tcPr>
          <w:p w14:paraId="0DE0F99F"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0.343</w:t>
            </w:r>
          </w:p>
        </w:tc>
        <w:tc>
          <w:tcPr>
            <w:tcW w:w="1028" w:type="dxa"/>
            <w:tcBorders>
              <w:top w:val="nil"/>
              <w:left w:val="nil"/>
              <w:bottom w:val="nil"/>
              <w:right w:val="nil"/>
            </w:tcBorders>
          </w:tcPr>
          <w:p w14:paraId="0AD4FC2B"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-0.136</w:t>
            </w:r>
          </w:p>
        </w:tc>
        <w:tc>
          <w:tcPr>
            <w:tcW w:w="1028" w:type="dxa"/>
            <w:tcBorders>
              <w:top w:val="nil"/>
              <w:left w:val="nil"/>
              <w:bottom w:val="nil"/>
              <w:right w:val="nil"/>
            </w:tcBorders>
          </w:tcPr>
          <w:p w14:paraId="27DAA1F7"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0.291</w:t>
            </w:r>
          </w:p>
        </w:tc>
        <w:tc>
          <w:tcPr>
            <w:tcW w:w="1028" w:type="dxa"/>
            <w:tcBorders>
              <w:top w:val="nil"/>
              <w:left w:val="nil"/>
              <w:bottom w:val="nil"/>
              <w:right w:val="nil"/>
            </w:tcBorders>
          </w:tcPr>
          <w:p w14:paraId="098437E2"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1.000</w:t>
            </w:r>
          </w:p>
        </w:tc>
      </w:tr>
      <w:tr w:rsidR="00D471F8" w:rsidRPr="006F5F7E" w14:paraId="1B9FF6F8" w14:textId="77777777" w:rsidTr="00D471F8">
        <w:trPr>
          <w:gridAfter w:val="2"/>
          <w:wAfter w:w="2061" w:type="dxa"/>
          <w:trHeight w:val="227"/>
        </w:trPr>
        <w:tc>
          <w:tcPr>
            <w:tcW w:w="1018" w:type="dxa"/>
            <w:tcBorders>
              <w:top w:val="nil"/>
              <w:left w:val="nil"/>
              <w:bottom w:val="nil"/>
              <w:right w:val="nil"/>
            </w:tcBorders>
          </w:tcPr>
          <w:p w14:paraId="0131F022" w14:textId="77777777" w:rsidR="00D471F8" w:rsidRPr="006F5F7E" w:rsidRDefault="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(5) ROA</w:t>
            </w:r>
          </w:p>
        </w:tc>
        <w:tc>
          <w:tcPr>
            <w:tcW w:w="1028" w:type="dxa"/>
            <w:tcBorders>
              <w:top w:val="nil"/>
              <w:left w:val="nil"/>
              <w:bottom w:val="nil"/>
              <w:right w:val="nil"/>
            </w:tcBorders>
          </w:tcPr>
          <w:p w14:paraId="73D60291"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0.373</w:t>
            </w:r>
          </w:p>
        </w:tc>
        <w:tc>
          <w:tcPr>
            <w:tcW w:w="1028" w:type="dxa"/>
            <w:tcBorders>
              <w:top w:val="nil"/>
              <w:left w:val="nil"/>
              <w:bottom w:val="nil"/>
              <w:right w:val="nil"/>
            </w:tcBorders>
          </w:tcPr>
          <w:p w14:paraId="742D7A0C"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-0.388</w:t>
            </w:r>
          </w:p>
        </w:tc>
        <w:tc>
          <w:tcPr>
            <w:tcW w:w="1028" w:type="dxa"/>
            <w:tcBorders>
              <w:top w:val="nil"/>
              <w:left w:val="nil"/>
              <w:bottom w:val="nil"/>
              <w:right w:val="nil"/>
            </w:tcBorders>
          </w:tcPr>
          <w:p w14:paraId="0FB01007"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-0.123</w:t>
            </w:r>
          </w:p>
        </w:tc>
        <w:tc>
          <w:tcPr>
            <w:tcW w:w="1028" w:type="dxa"/>
            <w:tcBorders>
              <w:top w:val="nil"/>
              <w:left w:val="nil"/>
              <w:bottom w:val="nil"/>
              <w:right w:val="nil"/>
            </w:tcBorders>
          </w:tcPr>
          <w:p w14:paraId="7063A525"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0.213</w:t>
            </w:r>
          </w:p>
        </w:tc>
        <w:tc>
          <w:tcPr>
            <w:tcW w:w="1028" w:type="dxa"/>
            <w:tcBorders>
              <w:top w:val="nil"/>
              <w:left w:val="nil"/>
              <w:bottom w:val="nil"/>
              <w:right w:val="nil"/>
            </w:tcBorders>
          </w:tcPr>
          <w:p w14:paraId="39C37D05"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1.000</w:t>
            </w:r>
          </w:p>
        </w:tc>
      </w:tr>
      <w:tr w:rsidR="00D471F8" w:rsidRPr="006F5F7E" w14:paraId="2D48E1B7" w14:textId="77777777" w:rsidTr="00D471F8">
        <w:trPr>
          <w:gridAfter w:val="1"/>
          <w:wAfter w:w="1033" w:type="dxa"/>
          <w:trHeight w:val="227"/>
        </w:trPr>
        <w:tc>
          <w:tcPr>
            <w:tcW w:w="1018" w:type="dxa"/>
            <w:tcBorders>
              <w:top w:val="nil"/>
              <w:left w:val="nil"/>
              <w:bottom w:val="nil"/>
              <w:right w:val="nil"/>
            </w:tcBorders>
          </w:tcPr>
          <w:p w14:paraId="62D24CE0" w14:textId="77777777" w:rsidR="00D471F8" w:rsidRPr="006F5F7E" w:rsidRDefault="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(6) </w:t>
            </w:r>
            <w:proofErr w:type="spellStart"/>
            <w:r w:rsidRPr="006F5F7E">
              <w:rPr>
                <w:rFonts w:asciiTheme="majorBidi" w:hAnsiTheme="majorBidi" w:cstheme="majorBidi"/>
                <w:kern w:val="0"/>
                <w:sz w:val="20"/>
                <w:szCs w:val="20"/>
              </w:rPr>
              <w:t>Fsize</w:t>
            </w:r>
            <w:proofErr w:type="spellEnd"/>
          </w:p>
        </w:tc>
        <w:tc>
          <w:tcPr>
            <w:tcW w:w="1028" w:type="dxa"/>
            <w:tcBorders>
              <w:top w:val="nil"/>
              <w:left w:val="nil"/>
              <w:bottom w:val="nil"/>
              <w:right w:val="nil"/>
            </w:tcBorders>
          </w:tcPr>
          <w:p w14:paraId="38DC23D6"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0.345</w:t>
            </w:r>
          </w:p>
        </w:tc>
        <w:tc>
          <w:tcPr>
            <w:tcW w:w="1028" w:type="dxa"/>
            <w:tcBorders>
              <w:top w:val="nil"/>
              <w:left w:val="nil"/>
              <w:bottom w:val="nil"/>
              <w:right w:val="nil"/>
            </w:tcBorders>
          </w:tcPr>
          <w:p w14:paraId="7057A93F"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-0.429</w:t>
            </w:r>
          </w:p>
        </w:tc>
        <w:tc>
          <w:tcPr>
            <w:tcW w:w="1028" w:type="dxa"/>
            <w:tcBorders>
              <w:top w:val="nil"/>
              <w:left w:val="nil"/>
              <w:bottom w:val="nil"/>
              <w:right w:val="nil"/>
            </w:tcBorders>
          </w:tcPr>
          <w:p w14:paraId="6E04D44A"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-0.313</w:t>
            </w:r>
          </w:p>
        </w:tc>
        <w:tc>
          <w:tcPr>
            <w:tcW w:w="1028" w:type="dxa"/>
            <w:tcBorders>
              <w:top w:val="nil"/>
              <w:left w:val="nil"/>
              <w:bottom w:val="nil"/>
              <w:right w:val="nil"/>
            </w:tcBorders>
          </w:tcPr>
          <w:p w14:paraId="4A510535"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-0.180</w:t>
            </w:r>
          </w:p>
        </w:tc>
        <w:tc>
          <w:tcPr>
            <w:tcW w:w="1028" w:type="dxa"/>
            <w:tcBorders>
              <w:top w:val="nil"/>
              <w:left w:val="nil"/>
              <w:bottom w:val="nil"/>
              <w:right w:val="nil"/>
            </w:tcBorders>
          </w:tcPr>
          <w:p w14:paraId="21419281"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0.295</w:t>
            </w:r>
          </w:p>
        </w:tc>
        <w:tc>
          <w:tcPr>
            <w:tcW w:w="1028" w:type="dxa"/>
            <w:tcBorders>
              <w:top w:val="nil"/>
              <w:left w:val="nil"/>
              <w:bottom w:val="nil"/>
              <w:right w:val="nil"/>
            </w:tcBorders>
          </w:tcPr>
          <w:p w14:paraId="6B9E26F1"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1.000</w:t>
            </w:r>
          </w:p>
        </w:tc>
      </w:tr>
      <w:tr w:rsidR="00D471F8" w:rsidRPr="006F5F7E" w14:paraId="585B3835" w14:textId="77777777" w:rsidTr="00D471F8">
        <w:trPr>
          <w:trHeight w:val="449"/>
        </w:trPr>
        <w:tc>
          <w:tcPr>
            <w:tcW w:w="1018" w:type="dxa"/>
            <w:tcBorders>
              <w:top w:val="nil"/>
              <w:left w:val="nil"/>
              <w:bottom w:val="nil"/>
              <w:right w:val="nil"/>
            </w:tcBorders>
          </w:tcPr>
          <w:p w14:paraId="6007EE30" w14:textId="6527BA4E" w:rsidR="00D471F8" w:rsidRPr="006F5F7E" w:rsidRDefault="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(7) </w:t>
            </w:r>
            <w:r w:rsidR="00DC1569" w:rsidRPr="006F5F7E">
              <w:rPr>
                <w:rFonts w:asciiTheme="majorBidi" w:hAnsiTheme="majorBidi" w:cstheme="majorBidi"/>
                <w:kern w:val="0"/>
                <w:sz w:val="20"/>
                <w:szCs w:val="20"/>
              </w:rPr>
              <w:t>GRT</w:t>
            </w:r>
          </w:p>
        </w:tc>
        <w:tc>
          <w:tcPr>
            <w:tcW w:w="1028" w:type="dxa"/>
            <w:tcBorders>
              <w:top w:val="nil"/>
              <w:left w:val="nil"/>
              <w:bottom w:val="nil"/>
              <w:right w:val="nil"/>
            </w:tcBorders>
          </w:tcPr>
          <w:p w14:paraId="2B4996EF"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-0.027</w:t>
            </w:r>
          </w:p>
        </w:tc>
        <w:tc>
          <w:tcPr>
            <w:tcW w:w="1028" w:type="dxa"/>
            <w:tcBorders>
              <w:top w:val="nil"/>
              <w:left w:val="nil"/>
              <w:bottom w:val="nil"/>
              <w:right w:val="nil"/>
            </w:tcBorders>
          </w:tcPr>
          <w:p w14:paraId="41300D17"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-0.040</w:t>
            </w:r>
          </w:p>
        </w:tc>
        <w:tc>
          <w:tcPr>
            <w:tcW w:w="1028" w:type="dxa"/>
            <w:tcBorders>
              <w:top w:val="nil"/>
              <w:left w:val="nil"/>
              <w:bottom w:val="nil"/>
              <w:right w:val="nil"/>
            </w:tcBorders>
          </w:tcPr>
          <w:p w14:paraId="6B730305"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-0.219</w:t>
            </w:r>
          </w:p>
        </w:tc>
        <w:tc>
          <w:tcPr>
            <w:tcW w:w="1028" w:type="dxa"/>
            <w:tcBorders>
              <w:top w:val="nil"/>
              <w:left w:val="nil"/>
              <w:bottom w:val="nil"/>
              <w:right w:val="nil"/>
            </w:tcBorders>
          </w:tcPr>
          <w:p w14:paraId="3647C496"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-0.039</w:t>
            </w:r>
          </w:p>
        </w:tc>
        <w:tc>
          <w:tcPr>
            <w:tcW w:w="1028" w:type="dxa"/>
            <w:tcBorders>
              <w:top w:val="nil"/>
              <w:left w:val="nil"/>
              <w:bottom w:val="nil"/>
              <w:right w:val="nil"/>
            </w:tcBorders>
          </w:tcPr>
          <w:p w14:paraId="7A4D8C60"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0.125</w:t>
            </w:r>
          </w:p>
        </w:tc>
        <w:tc>
          <w:tcPr>
            <w:tcW w:w="1028" w:type="dxa"/>
            <w:tcBorders>
              <w:top w:val="nil"/>
              <w:left w:val="nil"/>
              <w:bottom w:val="nil"/>
              <w:right w:val="nil"/>
            </w:tcBorders>
          </w:tcPr>
          <w:p w14:paraId="0C0F2F92"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-0.081</w:t>
            </w:r>
          </w:p>
        </w:tc>
        <w:tc>
          <w:tcPr>
            <w:tcW w:w="1033" w:type="dxa"/>
            <w:tcBorders>
              <w:top w:val="nil"/>
              <w:left w:val="nil"/>
              <w:bottom w:val="nil"/>
              <w:right w:val="nil"/>
            </w:tcBorders>
          </w:tcPr>
          <w:p w14:paraId="3DA0AEB5"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1.000</w:t>
            </w:r>
          </w:p>
        </w:tc>
      </w:tr>
    </w:tbl>
    <w:p w14:paraId="5A60C907" w14:textId="4171CC31" w:rsidR="00D471F8" w:rsidRPr="006F5F7E" w:rsidRDefault="00EC489B" w:rsidP="00EC489B">
      <w:pPr>
        <w:rPr>
          <w:rFonts w:asciiTheme="majorBidi" w:hAnsiTheme="majorBidi" w:cstheme="majorBidi"/>
          <w:sz w:val="20"/>
          <w:szCs w:val="20"/>
        </w:rPr>
      </w:pPr>
      <w:r w:rsidRPr="006F5F7E">
        <w:rPr>
          <w:rFonts w:asciiTheme="majorBidi" w:hAnsiTheme="majorBidi" w:cstheme="majorBidi"/>
          <w:b/>
          <w:bCs/>
          <w:kern w:val="0"/>
          <w:sz w:val="20"/>
          <w:szCs w:val="20"/>
        </w:rPr>
        <w:t xml:space="preserve">Source: </w:t>
      </w:r>
      <w:r w:rsidRPr="006F5F7E">
        <w:rPr>
          <w:rFonts w:asciiTheme="majorBidi" w:hAnsiTheme="majorBidi" w:cstheme="majorBidi"/>
          <w:kern w:val="0"/>
          <w:sz w:val="20"/>
          <w:szCs w:val="20"/>
        </w:rPr>
        <w:t xml:space="preserve">Processed data through </w:t>
      </w:r>
      <w:proofErr w:type="spellStart"/>
      <w:r w:rsidRPr="006F5F7E">
        <w:rPr>
          <w:rFonts w:asciiTheme="majorBidi" w:hAnsiTheme="majorBidi" w:cstheme="majorBidi"/>
          <w:kern w:val="0"/>
          <w:sz w:val="20"/>
          <w:szCs w:val="20"/>
        </w:rPr>
        <w:t>StataNow</w:t>
      </w:r>
      <w:proofErr w:type="spellEnd"/>
      <w:r w:rsidRPr="006F5F7E">
        <w:rPr>
          <w:rFonts w:asciiTheme="majorBidi" w:hAnsiTheme="majorBidi" w:cstheme="majorBidi"/>
          <w:kern w:val="0"/>
          <w:sz w:val="20"/>
          <w:szCs w:val="20"/>
        </w:rPr>
        <w:t xml:space="preserve"> 19.5 by authors (2025) </w:t>
      </w:r>
    </w:p>
    <w:p w14:paraId="0ED46BB6" w14:textId="28763876" w:rsidR="00035204" w:rsidRPr="006F5F7E" w:rsidRDefault="00035204" w:rsidP="00FF2FDB">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Table </w:t>
      </w:r>
      <w:r w:rsidR="00D471F8" w:rsidRPr="006F5F7E">
        <w:rPr>
          <w:rFonts w:asciiTheme="majorBidi" w:hAnsiTheme="majorBidi" w:cstheme="majorBidi"/>
          <w:sz w:val="20"/>
          <w:szCs w:val="20"/>
        </w:rPr>
        <w:t>3</w:t>
      </w:r>
      <w:r w:rsidRPr="006F5F7E">
        <w:rPr>
          <w:rFonts w:asciiTheme="majorBidi" w:hAnsiTheme="majorBidi" w:cstheme="majorBidi"/>
          <w:sz w:val="20"/>
          <w:szCs w:val="20"/>
        </w:rPr>
        <w:t xml:space="preserve"> presents the Pearson correlation matrix. The dividend payout ratio (DPO) is positively associated with foreign ownership (r = 0.343), return on assets (r = 0.373), and firm size (r = 0.345), suggesting that more profitable, larger banks with foreign investors are likely to distribute higher dividends. In contrast, DPO is negatively correlated with managerial ownership (r = -0.232) and institutional ownership (r = -0.240), consistent with theoretical arguments that entrenched managers and institutional </w:t>
      </w:r>
      <w:r w:rsidR="004F6CA5" w:rsidRPr="006F5F7E">
        <w:rPr>
          <w:rFonts w:asciiTheme="majorBidi" w:hAnsiTheme="majorBidi" w:cstheme="majorBidi"/>
          <w:sz w:val="20"/>
          <w:szCs w:val="20"/>
        </w:rPr>
        <w:t>block-holders</w:t>
      </w:r>
      <w:r w:rsidRPr="006F5F7E">
        <w:rPr>
          <w:rFonts w:asciiTheme="majorBidi" w:hAnsiTheme="majorBidi" w:cstheme="majorBidi"/>
          <w:sz w:val="20"/>
          <w:szCs w:val="20"/>
        </w:rPr>
        <w:t xml:space="preserve"> may favour earnings retention.</w:t>
      </w:r>
      <w:r w:rsidR="004F6CA5" w:rsidRPr="006F5F7E">
        <w:rPr>
          <w:rFonts w:asciiTheme="majorBidi" w:hAnsiTheme="majorBidi" w:cstheme="majorBidi"/>
          <w:sz w:val="20"/>
          <w:szCs w:val="20"/>
        </w:rPr>
        <w:t xml:space="preserve"> </w:t>
      </w:r>
      <w:r w:rsidRPr="006F5F7E">
        <w:rPr>
          <w:rFonts w:asciiTheme="majorBidi" w:hAnsiTheme="majorBidi" w:cstheme="majorBidi"/>
          <w:sz w:val="20"/>
          <w:szCs w:val="20"/>
        </w:rPr>
        <w:t>Multicollinearity appears minimal, as inter-variable correlations among predictors remain modest. Notably, the highest correlation between any two independent variables is between ROA and Fsize (r = 0.295), far below critical multicollinearity thresholds. This is corroborated by subsequent variance inflation factor (VIF) diagnostics.</w:t>
      </w:r>
      <w:r w:rsidR="004F6CA5" w:rsidRPr="006F5F7E">
        <w:rPr>
          <w:rFonts w:asciiTheme="majorBidi" w:hAnsiTheme="majorBidi" w:cstheme="majorBidi"/>
          <w:sz w:val="20"/>
          <w:szCs w:val="20"/>
        </w:rPr>
        <w:t xml:space="preserve"> </w:t>
      </w:r>
      <w:r w:rsidRPr="006F5F7E">
        <w:rPr>
          <w:rFonts w:asciiTheme="majorBidi" w:hAnsiTheme="majorBidi" w:cstheme="majorBidi"/>
          <w:sz w:val="20"/>
          <w:szCs w:val="20"/>
        </w:rPr>
        <w:t>The negative correlation between ROA and MGO (r = -0.388) hints at a potential agency conflict in less profitable firms, while ROA’s positive association with DPO reinforces its role as a key driver of payout policy.</w:t>
      </w:r>
    </w:p>
    <w:p w14:paraId="0634D959" w14:textId="77777777" w:rsidR="00035204" w:rsidRPr="006F5F7E" w:rsidRDefault="00035204" w:rsidP="00035204">
      <w:pPr>
        <w:pStyle w:val="Heading3"/>
        <w:spacing w:line="360" w:lineRule="auto"/>
        <w:contextualSpacing/>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4.3 Diagnostic Tests</w:t>
      </w:r>
    </w:p>
    <w:p w14:paraId="04AF589A" w14:textId="2B0FE21A" w:rsidR="00035204" w:rsidRPr="006F5F7E" w:rsidRDefault="00035204" w:rsidP="00FF2FDB">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Pre-estimation diagnostics were conducted to assess multicollinearity and heteroskedasticity, which could bias standard errors and undermine inference quality in regression models.</w:t>
      </w:r>
      <w:r w:rsidR="004F6CA5" w:rsidRPr="006F5F7E">
        <w:rPr>
          <w:rFonts w:asciiTheme="majorBidi" w:hAnsiTheme="majorBidi" w:cstheme="majorBidi"/>
          <w:sz w:val="20"/>
          <w:szCs w:val="20"/>
        </w:rPr>
        <w:t xml:space="preserve"> </w:t>
      </w:r>
      <w:r w:rsidRPr="006F5F7E">
        <w:rPr>
          <w:rFonts w:asciiTheme="majorBidi" w:hAnsiTheme="majorBidi" w:cstheme="majorBidi"/>
          <w:sz w:val="20"/>
          <w:szCs w:val="20"/>
        </w:rPr>
        <w:t>The Variance Inflation Factor (VIF) test indicates no multicollinearity concerns, with all VIF values well below the critical threshold of 10. The highest VIF observed is 1.54 for firm size, and the mean VIF is 1.32, confirming that the explanatory variables are not excessively correlated.</w:t>
      </w:r>
      <w:r w:rsidR="004F6CA5" w:rsidRPr="006F5F7E">
        <w:rPr>
          <w:rFonts w:asciiTheme="majorBidi" w:hAnsiTheme="majorBidi" w:cstheme="majorBidi"/>
          <w:sz w:val="20"/>
          <w:szCs w:val="20"/>
        </w:rPr>
        <w:t xml:space="preserve"> </w:t>
      </w:r>
      <w:r w:rsidRPr="006F5F7E">
        <w:rPr>
          <w:rFonts w:asciiTheme="majorBidi" w:hAnsiTheme="majorBidi" w:cstheme="majorBidi"/>
          <w:sz w:val="20"/>
          <w:szCs w:val="20"/>
        </w:rPr>
        <w:t>The Breusch–Pagan/Cook–Weisberg test for heteroskedasticity returned a chi-squared statistic of 1.43 (p = 0.2317), suggesting that the null hypothesis of constant variance cannot be rejected. This implies that classical homoskedasticity assumptions hold under OLS. Nevertheless, given the non-normal distribution and potential conditional heteroskedasticity in financial data, quantile regression techniques are still appropriate and theoretically justified for further analysis.</w:t>
      </w:r>
    </w:p>
    <w:p w14:paraId="4AEF81C8" w14:textId="651356E4" w:rsidR="00D04062" w:rsidRPr="006F5F7E" w:rsidRDefault="00833548" w:rsidP="009E26E6">
      <w:pPr>
        <w:pStyle w:val="Heading3"/>
        <w:numPr>
          <w:ilvl w:val="1"/>
          <w:numId w:val="33"/>
        </w:numPr>
        <w:spacing w:line="360" w:lineRule="auto"/>
        <w:contextualSpacing/>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Regression Results and Discussion</w:t>
      </w:r>
    </w:p>
    <w:p w14:paraId="1AB53452" w14:textId="4ACD25DE" w:rsidR="00F9059C" w:rsidRPr="006F5F7E" w:rsidRDefault="00F9059C" w:rsidP="003851CC">
      <w:pPr>
        <w:spacing w:before="100" w:beforeAutospacing="1" w:after="100" w:afterAutospacing="1" w:line="360" w:lineRule="auto"/>
        <w:contextualSpacing/>
        <w:jc w:val="both"/>
        <w:rPr>
          <w:rFonts w:ascii="Times New Roman" w:eastAsia="Times New Roman" w:hAnsi="Times New Roman" w:cs="Times New Roman"/>
          <w:kern w:val="0"/>
          <w:sz w:val="20"/>
          <w:szCs w:val="20"/>
          <w14:ligatures w14:val="none"/>
        </w:rPr>
      </w:pPr>
      <w:r w:rsidRPr="006F5F7E">
        <w:rPr>
          <w:rFonts w:ascii="Times New Roman" w:eastAsia="Times New Roman" w:hAnsi="Times New Roman" w:cs="Times New Roman"/>
          <w:kern w:val="0"/>
          <w:sz w:val="20"/>
          <w:szCs w:val="20"/>
          <w14:ligatures w14:val="none"/>
        </w:rPr>
        <w:t>This section presents and interprets the results of the quantile regression models</w:t>
      </w:r>
      <w:r w:rsidR="00AF1929" w:rsidRPr="006F5F7E">
        <w:rPr>
          <w:rFonts w:ascii="Times New Roman" w:eastAsia="Times New Roman" w:hAnsi="Times New Roman" w:cs="Times New Roman"/>
          <w:kern w:val="0"/>
          <w:sz w:val="20"/>
          <w:szCs w:val="20"/>
          <w14:ligatures w14:val="none"/>
        </w:rPr>
        <w:t xml:space="preserve"> as show</w:t>
      </w:r>
      <w:r w:rsidR="001C0792" w:rsidRPr="006F5F7E">
        <w:rPr>
          <w:rFonts w:ascii="Times New Roman" w:eastAsia="Times New Roman" w:hAnsi="Times New Roman" w:cs="Times New Roman"/>
          <w:kern w:val="0"/>
          <w:sz w:val="20"/>
          <w:szCs w:val="20"/>
          <w14:ligatures w14:val="none"/>
        </w:rPr>
        <w:t>n in Table 4</w:t>
      </w:r>
      <w:r w:rsidRPr="006F5F7E">
        <w:rPr>
          <w:rFonts w:ascii="Times New Roman" w:eastAsia="Times New Roman" w:hAnsi="Times New Roman" w:cs="Times New Roman"/>
          <w:kern w:val="0"/>
          <w:sz w:val="20"/>
          <w:szCs w:val="20"/>
          <w14:ligatures w14:val="none"/>
        </w:rPr>
        <w:t>, focusing on the role of ownership structure and profitability in shaping dividend payout behaviour. Results are discussed by variable group, aligned with hypotheses H1–H5, and reflect the outcomes from both Model 1 and Model 2.</w:t>
      </w:r>
    </w:p>
    <w:p w14:paraId="78F500B1" w14:textId="23E09AD6" w:rsidR="00B7651F" w:rsidRPr="006F5F7E" w:rsidRDefault="009308F1" w:rsidP="009E26E6">
      <w:pPr>
        <w:spacing w:line="240" w:lineRule="auto"/>
        <w:contextualSpacing/>
        <w:rPr>
          <w:rFonts w:asciiTheme="majorBidi" w:hAnsiTheme="majorBidi" w:cstheme="majorBidi"/>
          <w:sz w:val="20"/>
          <w:szCs w:val="20"/>
        </w:rPr>
      </w:pPr>
      <w:r w:rsidRPr="006F5F7E">
        <w:rPr>
          <w:rFonts w:asciiTheme="majorBidi" w:hAnsiTheme="majorBidi" w:cstheme="majorBidi"/>
          <w:b/>
          <w:bCs/>
          <w:sz w:val="20"/>
          <w:szCs w:val="20"/>
        </w:rPr>
        <w:t>Table 4:</w:t>
      </w:r>
      <w:r w:rsidRPr="006F5F7E">
        <w:rPr>
          <w:rFonts w:asciiTheme="majorBidi" w:hAnsiTheme="majorBidi" w:cstheme="majorBidi"/>
          <w:sz w:val="20"/>
          <w:szCs w:val="20"/>
        </w:rPr>
        <w:t xml:space="preserve"> Quantile Regression </w:t>
      </w:r>
      <w:r w:rsidR="003C36A6" w:rsidRPr="006F5F7E">
        <w:rPr>
          <w:rFonts w:asciiTheme="majorBidi" w:hAnsiTheme="majorBidi" w:cstheme="majorBidi"/>
          <w:sz w:val="20"/>
          <w:szCs w:val="20"/>
        </w:rPr>
        <w:t>Results</w:t>
      </w:r>
      <w:r w:rsidR="009E26E6" w:rsidRPr="006F5F7E">
        <w:rPr>
          <w:rFonts w:asciiTheme="majorBidi" w:hAnsiTheme="majorBidi" w:cstheme="majorBidi"/>
          <w:sz w:val="20"/>
          <w:szCs w:val="20"/>
        </w:rPr>
        <w:t xml:space="preserve"> (Models 1 and 2)</w:t>
      </w:r>
    </w:p>
    <w:tbl>
      <w:tblPr>
        <w:tblStyle w:val="TableGrid"/>
        <w:tblW w:w="0" w:type="auto"/>
        <w:tblLook w:val="04A0" w:firstRow="1" w:lastRow="0" w:firstColumn="1" w:lastColumn="0" w:noHBand="0" w:noVBand="1"/>
      </w:tblPr>
      <w:tblGrid>
        <w:gridCol w:w="1234"/>
        <w:gridCol w:w="1234"/>
        <w:gridCol w:w="1234"/>
        <w:gridCol w:w="1234"/>
        <w:gridCol w:w="1234"/>
        <w:gridCol w:w="1234"/>
        <w:gridCol w:w="1234"/>
      </w:tblGrid>
      <w:tr w:rsidR="00B7651F" w:rsidRPr="006F5F7E" w14:paraId="58C8B4E7" w14:textId="77777777">
        <w:tc>
          <w:tcPr>
            <w:tcW w:w="1234" w:type="dxa"/>
          </w:tcPr>
          <w:p w14:paraId="6A28890C" w14:textId="77777777" w:rsidR="00B7651F" w:rsidRPr="006F5F7E" w:rsidRDefault="00B7651F">
            <w:pPr>
              <w:rPr>
                <w:rFonts w:asciiTheme="majorBidi" w:hAnsiTheme="majorBidi" w:cstheme="majorBidi"/>
                <w:sz w:val="20"/>
                <w:szCs w:val="20"/>
              </w:rPr>
            </w:pPr>
          </w:p>
        </w:tc>
        <w:tc>
          <w:tcPr>
            <w:tcW w:w="3702" w:type="dxa"/>
            <w:gridSpan w:val="3"/>
          </w:tcPr>
          <w:p w14:paraId="301E9037" w14:textId="77777777" w:rsidR="00B7651F" w:rsidRPr="006F5F7E" w:rsidRDefault="00B7651F">
            <w:pPr>
              <w:jc w:val="center"/>
              <w:rPr>
                <w:rFonts w:asciiTheme="majorBidi" w:hAnsiTheme="majorBidi" w:cstheme="majorBidi"/>
                <w:b/>
                <w:bCs/>
                <w:sz w:val="20"/>
                <w:szCs w:val="20"/>
              </w:rPr>
            </w:pPr>
            <w:r w:rsidRPr="006F5F7E">
              <w:rPr>
                <w:rFonts w:asciiTheme="majorBidi" w:hAnsiTheme="majorBidi" w:cstheme="majorBidi"/>
                <w:b/>
                <w:bCs/>
                <w:sz w:val="20"/>
                <w:szCs w:val="20"/>
              </w:rPr>
              <w:t>Model 1(τ = 0.25, 0.50, 0.75)</w:t>
            </w:r>
          </w:p>
        </w:tc>
        <w:tc>
          <w:tcPr>
            <w:tcW w:w="3702" w:type="dxa"/>
            <w:gridSpan w:val="3"/>
          </w:tcPr>
          <w:p w14:paraId="1F8F5551" w14:textId="77777777" w:rsidR="00B7651F" w:rsidRPr="006F5F7E" w:rsidRDefault="00B7651F">
            <w:pPr>
              <w:jc w:val="center"/>
              <w:rPr>
                <w:rFonts w:asciiTheme="majorBidi" w:hAnsiTheme="majorBidi" w:cstheme="majorBidi"/>
                <w:b/>
                <w:bCs/>
                <w:sz w:val="20"/>
                <w:szCs w:val="20"/>
              </w:rPr>
            </w:pPr>
            <w:r w:rsidRPr="006F5F7E">
              <w:rPr>
                <w:rFonts w:asciiTheme="majorBidi" w:hAnsiTheme="majorBidi" w:cstheme="majorBidi"/>
                <w:b/>
                <w:bCs/>
                <w:sz w:val="20"/>
                <w:szCs w:val="20"/>
              </w:rPr>
              <w:t>Model 2(τ = 0.25, 0.50, 0.75)</w:t>
            </w:r>
          </w:p>
        </w:tc>
      </w:tr>
      <w:tr w:rsidR="00B7651F" w:rsidRPr="006F5F7E" w14:paraId="15C94093" w14:textId="77777777">
        <w:tc>
          <w:tcPr>
            <w:tcW w:w="1234" w:type="dxa"/>
          </w:tcPr>
          <w:p w14:paraId="26D0EFC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Variable</w:t>
            </w:r>
          </w:p>
        </w:tc>
        <w:tc>
          <w:tcPr>
            <w:tcW w:w="1234" w:type="dxa"/>
          </w:tcPr>
          <w:p w14:paraId="388AF09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(BMQ25)</w:t>
            </w:r>
          </w:p>
        </w:tc>
        <w:tc>
          <w:tcPr>
            <w:tcW w:w="1234" w:type="dxa"/>
          </w:tcPr>
          <w:p w14:paraId="453DC300"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(BMQ50)</w:t>
            </w:r>
          </w:p>
        </w:tc>
        <w:tc>
          <w:tcPr>
            <w:tcW w:w="1234" w:type="dxa"/>
          </w:tcPr>
          <w:p w14:paraId="6D6EBC86"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(BMQ75)</w:t>
            </w:r>
          </w:p>
        </w:tc>
        <w:tc>
          <w:tcPr>
            <w:tcW w:w="1234" w:type="dxa"/>
          </w:tcPr>
          <w:p w14:paraId="4C43659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(PQR25)</w:t>
            </w:r>
          </w:p>
        </w:tc>
        <w:tc>
          <w:tcPr>
            <w:tcW w:w="1234" w:type="dxa"/>
          </w:tcPr>
          <w:p w14:paraId="509DA7C6"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(PQR50)</w:t>
            </w:r>
          </w:p>
        </w:tc>
        <w:tc>
          <w:tcPr>
            <w:tcW w:w="1234" w:type="dxa"/>
          </w:tcPr>
          <w:p w14:paraId="4B3A472C"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(PQR75)</w:t>
            </w:r>
          </w:p>
        </w:tc>
      </w:tr>
      <w:tr w:rsidR="00B7651F" w:rsidRPr="006F5F7E" w14:paraId="616BEF03" w14:textId="77777777">
        <w:tc>
          <w:tcPr>
            <w:tcW w:w="1234" w:type="dxa"/>
          </w:tcPr>
          <w:p w14:paraId="64BEF5DB"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MGO</w:t>
            </w:r>
          </w:p>
        </w:tc>
        <w:tc>
          <w:tcPr>
            <w:tcW w:w="1234" w:type="dxa"/>
          </w:tcPr>
          <w:p w14:paraId="0CEAC41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0.097</w:t>
            </w:r>
            <w:r w:rsidRPr="006F5F7E">
              <w:rPr>
                <w:rFonts w:asciiTheme="majorBidi" w:hAnsiTheme="majorBidi" w:cstheme="majorBidi"/>
                <w:sz w:val="20"/>
                <w:szCs w:val="20"/>
              </w:rPr>
              <w:br/>
              <w:t>(0.068)</w:t>
            </w:r>
          </w:p>
        </w:tc>
        <w:tc>
          <w:tcPr>
            <w:tcW w:w="1234" w:type="dxa"/>
          </w:tcPr>
          <w:p w14:paraId="2570EDDD"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0.073</w:t>
            </w:r>
            <w:r w:rsidRPr="006F5F7E">
              <w:rPr>
                <w:rFonts w:asciiTheme="majorBidi" w:hAnsiTheme="majorBidi" w:cstheme="majorBidi"/>
                <w:sz w:val="20"/>
                <w:szCs w:val="20"/>
              </w:rPr>
              <w:br/>
              <w:t>(0.131)</w:t>
            </w:r>
          </w:p>
        </w:tc>
        <w:tc>
          <w:tcPr>
            <w:tcW w:w="1234" w:type="dxa"/>
          </w:tcPr>
          <w:p w14:paraId="7861EC68"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0.141</w:t>
            </w:r>
            <w:r w:rsidRPr="006F5F7E">
              <w:rPr>
                <w:rFonts w:asciiTheme="majorBidi" w:hAnsiTheme="majorBidi" w:cstheme="majorBidi"/>
                <w:sz w:val="20"/>
                <w:szCs w:val="20"/>
              </w:rPr>
              <w:br/>
              <w:t>(0.175)</w:t>
            </w:r>
          </w:p>
        </w:tc>
        <w:tc>
          <w:tcPr>
            <w:tcW w:w="1234" w:type="dxa"/>
          </w:tcPr>
          <w:p w14:paraId="5FB749A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0.225 **</w:t>
            </w:r>
            <w:r w:rsidRPr="006F5F7E">
              <w:rPr>
                <w:rFonts w:asciiTheme="majorBidi" w:hAnsiTheme="majorBidi" w:cstheme="majorBidi"/>
                <w:sz w:val="20"/>
                <w:szCs w:val="20"/>
              </w:rPr>
              <w:br/>
              <w:t>(0.099)</w:t>
            </w:r>
          </w:p>
        </w:tc>
        <w:tc>
          <w:tcPr>
            <w:tcW w:w="1234" w:type="dxa"/>
          </w:tcPr>
          <w:p w14:paraId="1591F09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0.178 **</w:t>
            </w:r>
            <w:r w:rsidRPr="006F5F7E">
              <w:rPr>
                <w:rFonts w:asciiTheme="majorBidi" w:hAnsiTheme="majorBidi" w:cstheme="majorBidi"/>
                <w:sz w:val="20"/>
                <w:szCs w:val="20"/>
              </w:rPr>
              <w:br/>
              <w:t>(0.087)</w:t>
            </w:r>
          </w:p>
        </w:tc>
        <w:tc>
          <w:tcPr>
            <w:tcW w:w="1234" w:type="dxa"/>
          </w:tcPr>
          <w:p w14:paraId="1AC70DD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0.050</w:t>
            </w:r>
            <w:r w:rsidRPr="006F5F7E">
              <w:rPr>
                <w:rFonts w:asciiTheme="majorBidi" w:hAnsiTheme="majorBidi" w:cstheme="majorBidi"/>
                <w:sz w:val="20"/>
                <w:szCs w:val="20"/>
              </w:rPr>
              <w:br/>
              <w:t>(0.142)</w:t>
            </w:r>
          </w:p>
        </w:tc>
      </w:tr>
      <w:tr w:rsidR="00B7651F" w:rsidRPr="006F5F7E" w14:paraId="4C913B72" w14:textId="77777777">
        <w:tc>
          <w:tcPr>
            <w:tcW w:w="1234" w:type="dxa"/>
          </w:tcPr>
          <w:p w14:paraId="04BD3F7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INST</w:t>
            </w:r>
          </w:p>
        </w:tc>
        <w:tc>
          <w:tcPr>
            <w:tcW w:w="1234" w:type="dxa"/>
          </w:tcPr>
          <w:p w14:paraId="6B38E8A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-0.336 ***</w:t>
            </w:r>
            <w:r w:rsidRPr="006F5F7E">
              <w:rPr>
                <w:rFonts w:asciiTheme="majorBidi" w:hAnsiTheme="majorBidi" w:cstheme="majorBidi"/>
                <w:sz w:val="20"/>
                <w:szCs w:val="20"/>
              </w:rPr>
              <w:br/>
              <w:t>(0.064)</w:t>
            </w:r>
          </w:p>
        </w:tc>
        <w:tc>
          <w:tcPr>
            <w:tcW w:w="1234" w:type="dxa"/>
          </w:tcPr>
          <w:p w14:paraId="014378B7"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-0.348 ***</w:t>
            </w:r>
            <w:r w:rsidRPr="006F5F7E">
              <w:rPr>
                <w:rFonts w:asciiTheme="majorBidi" w:hAnsiTheme="majorBidi" w:cstheme="majorBidi"/>
                <w:sz w:val="20"/>
                <w:szCs w:val="20"/>
              </w:rPr>
              <w:br/>
              <w:t>(0.102)</w:t>
            </w:r>
          </w:p>
        </w:tc>
        <w:tc>
          <w:tcPr>
            <w:tcW w:w="1234" w:type="dxa"/>
          </w:tcPr>
          <w:p w14:paraId="147AB0C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-0.464 ***</w:t>
            </w:r>
            <w:r w:rsidRPr="006F5F7E">
              <w:rPr>
                <w:rFonts w:asciiTheme="majorBidi" w:hAnsiTheme="majorBidi" w:cstheme="majorBidi"/>
                <w:sz w:val="20"/>
                <w:szCs w:val="20"/>
              </w:rPr>
              <w:br/>
              <w:t>(0.169)</w:t>
            </w:r>
          </w:p>
        </w:tc>
        <w:tc>
          <w:tcPr>
            <w:tcW w:w="1234" w:type="dxa"/>
          </w:tcPr>
          <w:p w14:paraId="41DC1018"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-0.155</w:t>
            </w:r>
            <w:r w:rsidRPr="006F5F7E">
              <w:rPr>
                <w:rFonts w:asciiTheme="majorBidi" w:hAnsiTheme="majorBidi" w:cstheme="majorBidi"/>
                <w:sz w:val="20"/>
                <w:szCs w:val="20"/>
              </w:rPr>
              <w:br/>
              <w:t>(0.125)</w:t>
            </w:r>
          </w:p>
        </w:tc>
        <w:tc>
          <w:tcPr>
            <w:tcW w:w="1234" w:type="dxa"/>
          </w:tcPr>
          <w:p w14:paraId="3262333C"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-0.153</w:t>
            </w:r>
            <w:r w:rsidRPr="006F5F7E">
              <w:rPr>
                <w:rFonts w:asciiTheme="majorBidi" w:hAnsiTheme="majorBidi" w:cstheme="majorBidi"/>
                <w:sz w:val="20"/>
                <w:szCs w:val="20"/>
              </w:rPr>
              <w:br/>
              <w:t>(0.108)</w:t>
            </w:r>
          </w:p>
        </w:tc>
        <w:tc>
          <w:tcPr>
            <w:tcW w:w="1234" w:type="dxa"/>
          </w:tcPr>
          <w:p w14:paraId="7C54641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-0.148</w:t>
            </w:r>
            <w:r w:rsidRPr="006F5F7E">
              <w:rPr>
                <w:rFonts w:asciiTheme="majorBidi" w:hAnsiTheme="majorBidi" w:cstheme="majorBidi"/>
                <w:sz w:val="20"/>
                <w:szCs w:val="20"/>
              </w:rPr>
              <w:br/>
              <w:t>(0.178)</w:t>
            </w:r>
          </w:p>
        </w:tc>
      </w:tr>
      <w:tr w:rsidR="00B7651F" w:rsidRPr="006F5F7E" w14:paraId="674BD3B4" w14:textId="77777777">
        <w:tc>
          <w:tcPr>
            <w:tcW w:w="1234" w:type="dxa"/>
          </w:tcPr>
          <w:p w14:paraId="7AA263F2"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FRO</w:t>
            </w:r>
          </w:p>
        </w:tc>
        <w:tc>
          <w:tcPr>
            <w:tcW w:w="1234" w:type="dxa"/>
          </w:tcPr>
          <w:p w14:paraId="42E12B75"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1.876 ***</w:t>
            </w:r>
            <w:r w:rsidRPr="006F5F7E">
              <w:rPr>
                <w:rFonts w:asciiTheme="majorBidi" w:hAnsiTheme="majorBidi" w:cstheme="majorBidi"/>
                <w:sz w:val="20"/>
                <w:szCs w:val="20"/>
              </w:rPr>
              <w:br/>
              <w:t>(0.506)</w:t>
            </w:r>
          </w:p>
        </w:tc>
        <w:tc>
          <w:tcPr>
            <w:tcW w:w="1234" w:type="dxa"/>
          </w:tcPr>
          <w:p w14:paraId="534CFAC0"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1.756 ***</w:t>
            </w:r>
            <w:r w:rsidRPr="006F5F7E">
              <w:rPr>
                <w:rFonts w:asciiTheme="majorBidi" w:hAnsiTheme="majorBidi" w:cstheme="majorBidi"/>
                <w:sz w:val="20"/>
                <w:szCs w:val="20"/>
              </w:rPr>
              <w:br/>
              <w:t>(0.133)</w:t>
            </w:r>
          </w:p>
        </w:tc>
        <w:tc>
          <w:tcPr>
            <w:tcW w:w="1234" w:type="dxa"/>
          </w:tcPr>
          <w:p w14:paraId="4B3C6A05"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1.680 *</w:t>
            </w:r>
            <w:r w:rsidRPr="006F5F7E">
              <w:rPr>
                <w:rFonts w:asciiTheme="majorBidi" w:hAnsiTheme="majorBidi" w:cstheme="majorBidi"/>
                <w:sz w:val="20"/>
                <w:szCs w:val="20"/>
              </w:rPr>
              <w:br/>
              <w:t>(0.168)</w:t>
            </w:r>
          </w:p>
        </w:tc>
        <w:tc>
          <w:tcPr>
            <w:tcW w:w="1234" w:type="dxa"/>
          </w:tcPr>
          <w:p w14:paraId="67BC2C96"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1.454 ***</w:t>
            </w:r>
            <w:r w:rsidRPr="006F5F7E">
              <w:rPr>
                <w:rFonts w:asciiTheme="majorBidi" w:hAnsiTheme="majorBidi" w:cstheme="majorBidi"/>
                <w:sz w:val="20"/>
                <w:szCs w:val="20"/>
              </w:rPr>
              <w:br/>
              <w:t>(0.226)</w:t>
            </w:r>
          </w:p>
        </w:tc>
        <w:tc>
          <w:tcPr>
            <w:tcW w:w="1234" w:type="dxa"/>
          </w:tcPr>
          <w:p w14:paraId="3907707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1.452 ***</w:t>
            </w:r>
            <w:r w:rsidRPr="006F5F7E">
              <w:rPr>
                <w:rFonts w:asciiTheme="majorBidi" w:hAnsiTheme="majorBidi" w:cstheme="majorBidi"/>
                <w:sz w:val="20"/>
                <w:szCs w:val="20"/>
              </w:rPr>
              <w:br/>
              <w:t>(0.196)</w:t>
            </w:r>
          </w:p>
        </w:tc>
        <w:tc>
          <w:tcPr>
            <w:tcW w:w="1234" w:type="dxa"/>
          </w:tcPr>
          <w:p w14:paraId="6D72C711"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1.444 ***</w:t>
            </w:r>
            <w:r w:rsidRPr="006F5F7E">
              <w:rPr>
                <w:rFonts w:asciiTheme="majorBidi" w:hAnsiTheme="majorBidi" w:cstheme="majorBidi"/>
                <w:sz w:val="20"/>
                <w:szCs w:val="20"/>
              </w:rPr>
              <w:br/>
              <w:t>(0.321)</w:t>
            </w:r>
          </w:p>
        </w:tc>
      </w:tr>
      <w:tr w:rsidR="00B7651F" w:rsidRPr="006F5F7E" w14:paraId="5CCDD812" w14:textId="77777777">
        <w:tc>
          <w:tcPr>
            <w:tcW w:w="1234" w:type="dxa"/>
          </w:tcPr>
          <w:p w14:paraId="63059C65"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ROA</w:t>
            </w:r>
          </w:p>
        </w:tc>
        <w:tc>
          <w:tcPr>
            <w:tcW w:w="1234" w:type="dxa"/>
          </w:tcPr>
          <w:p w14:paraId="694DC021"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3.539 ***</w:t>
            </w:r>
            <w:r w:rsidRPr="006F5F7E">
              <w:rPr>
                <w:rFonts w:asciiTheme="majorBidi" w:hAnsiTheme="majorBidi" w:cstheme="majorBidi"/>
                <w:sz w:val="20"/>
                <w:szCs w:val="20"/>
              </w:rPr>
              <w:br/>
              <w:t>(1.153)</w:t>
            </w:r>
          </w:p>
        </w:tc>
        <w:tc>
          <w:tcPr>
            <w:tcW w:w="1234" w:type="dxa"/>
          </w:tcPr>
          <w:p w14:paraId="66D0B257"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3.721 *</w:t>
            </w:r>
            <w:r w:rsidRPr="006F5F7E">
              <w:rPr>
                <w:rFonts w:asciiTheme="majorBidi" w:hAnsiTheme="majorBidi" w:cstheme="majorBidi"/>
                <w:sz w:val="20"/>
                <w:szCs w:val="20"/>
              </w:rPr>
              <w:br/>
              <w:t>(2.239)</w:t>
            </w:r>
          </w:p>
        </w:tc>
        <w:tc>
          <w:tcPr>
            <w:tcW w:w="1234" w:type="dxa"/>
          </w:tcPr>
          <w:p w14:paraId="6F569336"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4.264 *</w:t>
            </w:r>
            <w:r w:rsidRPr="006F5F7E">
              <w:rPr>
                <w:rFonts w:asciiTheme="majorBidi" w:hAnsiTheme="majorBidi" w:cstheme="majorBidi"/>
                <w:sz w:val="20"/>
                <w:szCs w:val="20"/>
              </w:rPr>
              <w:br/>
              <w:t>(2.523)</w:t>
            </w:r>
          </w:p>
        </w:tc>
        <w:tc>
          <w:tcPr>
            <w:tcW w:w="1234" w:type="dxa"/>
          </w:tcPr>
          <w:p w14:paraId="675A7620"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-1.513</w:t>
            </w:r>
            <w:r w:rsidRPr="006F5F7E">
              <w:rPr>
                <w:rFonts w:asciiTheme="majorBidi" w:hAnsiTheme="majorBidi" w:cstheme="majorBidi"/>
                <w:sz w:val="20"/>
                <w:szCs w:val="20"/>
              </w:rPr>
              <w:br/>
              <w:t>(2.070)</w:t>
            </w:r>
          </w:p>
        </w:tc>
        <w:tc>
          <w:tcPr>
            <w:tcW w:w="1234" w:type="dxa"/>
          </w:tcPr>
          <w:p w14:paraId="14729F0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-2.024</w:t>
            </w:r>
            <w:r w:rsidRPr="006F5F7E">
              <w:rPr>
                <w:rFonts w:asciiTheme="majorBidi" w:hAnsiTheme="majorBidi" w:cstheme="majorBidi"/>
                <w:sz w:val="20"/>
                <w:szCs w:val="20"/>
              </w:rPr>
              <w:br/>
              <w:t>(1.799)</w:t>
            </w:r>
          </w:p>
        </w:tc>
        <w:tc>
          <w:tcPr>
            <w:tcW w:w="1234" w:type="dxa"/>
          </w:tcPr>
          <w:p w14:paraId="0C4C0E50"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-3.407</w:t>
            </w:r>
            <w:r w:rsidRPr="006F5F7E">
              <w:rPr>
                <w:rFonts w:asciiTheme="majorBidi" w:hAnsiTheme="majorBidi" w:cstheme="majorBidi"/>
                <w:sz w:val="20"/>
                <w:szCs w:val="20"/>
              </w:rPr>
              <w:br/>
              <w:t>(2.948)</w:t>
            </w:r>
          </w:p>
        </w:tc>
      </w:tr>
      <w:tr w:rsidR="00B7651F" w:rsidRPr="006F5F7E" w14:paraId="6BDD1DE7" w14:textId="77777777">
        <w:tc>
          <w:tcPr>
            <w:tcW w:w="1234" w:type="dxa"/>
          </w:tcPr>
          <w:p w14:paraId="5FE70F8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MGO_ROA</w:t>
            </w:r>
          </w:p>
        </w:tc>
        <w:tc>
          <w:tcPr>
            <w:tcW w:w="1234" w:type="dxa"/>
          </w:tcPr>
          <w:p w14:paraId="3E4C1BA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-0.101 ***</w:t>
            </w:r>
            <w:r w:rsidRPr="006F5F7E">
              <w:rPr>
                <w:rFonts w:asciiTheme="majorBidi" w:hAnsiTheme="majorBidi" w:cstheme="majorBidi"/>
                <w:sz w:val="20"/>
                <w:szCs w:val="20"/>
              </w:rPr>
              <w:br/>
              <w:t>(0.024)</w:t>
            </w:r>
          </w:p>
        </w:tc>
        <w:tc>
          <w:tcPr>
            <w:tcW w:w="1234" w:type="dxa"/>
          </w:tcPr>
          <w:p w14:paraId="08CD3BB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-0.071</w:t>
            </w:r>
            <w:r w:rsidRPr="006F5F7E">
              <w:rPr>
                <w:rFonts w:asciiTheme="majorBidi" w:hAnsiTheme="majorBidi" w:cstheme="majorBidi"/>
                <w:sz w:val="20"/>
                <w:szCs w:val="20"/>
              </w:rPr>
              <w:br/>
              <w:t>(0.091)</w:t>
            </w:r>
          </w:p>
        </w:tc>
        <w:tc>
          <w:tcPr>
            <w:tcW w:w="1234" w:type="dxa"/>
          </w:tcPr>
          <w:p w14:paraId="4479C7B5"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-0.099</w:t>
            </w:r>
            <w:r w:rsidRPr="006F5F7E">
              <w:rPr>
                <w:rFonts w:asciiTheme="majorBidi" w:hAnsiTheme="majorBidi" w:cstheme="majorBidi"/>
                <w:sz w:val="20"/>
                <w:szCs w:val="20"/>
              </w:rPr>
              <w:br/>
              <w:t>(0.083)</w:t>
            </w:r>
          </w:p>
        </w:tc>
        <w:tc>
          <w:tcPr>
            <w:tcW w:w="1234" w:type="dxa"/>
          </w:tcPr>
          <w:p w14:paraId="0EEF42D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-0.011</w:t>
            </w:r>
            <w:r w:rsidRPr="006F5F7E">
              <w:rPr>
                <w:rFonts w:asciiTheme="majorBidi" w:hAnsiTheme="majorBidi" w:cstheme="majorBidi"/>
                <w:sz w:val="20"/>
                <w:szCs w:val="20"/>
              </w:rPr>
              <w:br/>
              <w:t>(0.035)</w:t>
            </w:r>
          </w:p>
        </w:tc>
        <w:tc>
          <w:tcPr>
            <w:tcW w:w="1234" w:type="dxa"/>
          </w:tcPr>
          <w:p w14:paraId="0BE52FDE"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-0.006</w:t>
            </w:r>
            <w:r w:rsidRPr="006F5F7E">
              <w:rPr>
                <w:rFonts w:asciiTheme="majorBidi" w:hAnsiTheme="majorBidi" w:cstheme="majorBidi"/>
                <w:sz w:val="20"/>
                <w:szCs w:val="20"/>
              </w:rPr>
              <w:br/>
              <w:t>(0.030)</w:t>
            </w:r>
          </w:p>
        </w:tc>
        <w:tc>
          <w:tcPr>
            <w:tcW w:w="1234" w:type="dxa"/>
          </w:tcPr>
          <w:p w14:paraId="726A1CBB"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0.008</w:t>
            </w:r>
            <w:r w:rsidRPr="006F5F7E">
              <w:rPr>
                <w:rFonts w:asciiTheme="majorBidi" w:hAnsiTheme="majorBidi" w:cstheme="majorBidi"/>
                <w:sz w:val="20"/>
                <w:szCs w:val="20"/>
              </w:rPr>
              <w:br/>
              <w:t>(0.050)</w:t>
            </w:r>
          </w:p>
        </w:tc>
      </w:tr>
      <w:tr w:rsidR="00B7651F" w:rsidRPr="006F5F7E" w14:paraId="25C9E41A" w14:textId="77777777">
        <w:tc>
          <w:tcPr>
            <w:tcW w:w="1234" w:type="dxa"/>
          </w:tcPr>
          <w:p w14:paraId="1CD11D62"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lastRenderedPageBreak/>
              <w:t>FRO_ROA</w:t>
            </w:r>
          </w:p>
        </w:tc>
        <w:tc>
          <w:tcPr>
            <w:tcW w:w="1234" w:type="dxa"/>
          </w:tcPr>
          <w:p w14:paraId="1D60F2D3"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-0.486 ***</w:t>
            </w:r>
            <w:r w:rsidRPr="006F5F7E">
              <w:rPr>
                <w:rFonts w:asciiTheme="majorBidi" w:hAnsiTheme="majorBidi" w:cstheme="majorBidi"/>
                <w:sz w:val="20"/>
                <w:szCs w:val="20"/>
              </w:rPr>
              <w:br/>
              <w:t>(0.148)</w:t>
            </w:r>
          </w:p>
        </w:tc>
        <w:tc>
          <w:tcPr>
            <w:tcW w:w="1234" w:type="dxa"/>
          </w:tcPr>
          <w:p w14:paraId="2B50414D"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-0.423 ***</w:t>
            </w:r>
            <w:r w:rsidRPr="006F5F7E">
              <w:rPr>
                <w:rFonts w:asciiTheme="majorBidi" w:hAnsiTheme="majorBidi" w:cstheme="majorBidi"/>
                <w:sz w:val="20"/>
                <w:szCs w:val="20"/>
              </w:rPr>
              <w:br/>
              <w:t>(0.070)</w:t>
            </w:r>
          </w:p>
        </w:tc>
        <w:tc>
          <w:tcPr>
            <w:tcW w:w="1234" w:type="dxa"/>
          </w:tcPr>
          <w:p w14:paraId="40E5E6BD"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-0.453 **</w:t>
            </w:r>
            <w:r w:rsidRPr="006F5F7E">
              <w:rPr>
                <w:rFonts w:asciiTheme="majorBidi" w:hAnsiTheme="majorBidi" w:cstheme="majorBidi"/>
                <w:sz w:val="20"/>
                <w:szCs w:val="20"/>
              </w:rPr>
              <w:br/>
              <w:t>(0.142)</w:t>
            </w:r>
          </w:p>
        </w:tc>
        <w:tc>
          <w:tcPr>
            <w:tcW w:w="1234" w:type="dxa"/>
          </w:tcPr>
          <w:p w14:paraId="4ED1AA3D"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-0.420 ***</w:t>
            </w:r>
            <w:r w:rsidRPr="006F5F7E">
              <w:rPr>
                <w:rFonts w:asciiTheme="majorBidi" w:hAnsiTheme="majorBidi" w:cstheme="majorBidi"/>
                <w:sz w:val="20"/>
                <w:szCs w:val="20"/>
              </w:rPr>
              <w:br/>
              <w:t>(0.081)</w:t>
            </w:r>
          </w:p>
        </w:tc>
        <w:tc>
          <w:tcPr>
            <w:tcW w:w="1234" w:type="dxa"/>
          </w:tcPr>
          <w:p w14:paraId="5C7CCE3C"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-0.408 ***</w:t>
            </w:r>
            <w:r w:rsidRPr="006F5F7E">
              <w:rPr>
                <w:rFonts w:asciiTheme="majorBidi" w:hAnsiTheme="majorBidi" w:cstheme="majorBidi"/>
                <w:sz w:val="20"/>
                <w:szCs w:val="20"/>
              </w:rPr>
              <w:br/>
              <w:t>(0.070)</w:t>
            </w:r>
          </w:p>
        </w:tc>
        <w:tc>
          <w:tcPr>
            <w:tcW w:w="1234" w:type="dxa"/>
          </w:tcPr>
          <w:p w14:paraId="3B00B91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-0.376 ***</w:t>
            </w:r>
            <w:r w:rsidRPr="006F5F7E">
              <w:rPr>
                <w:rFonts w:asciiTheme="majorBidi" w:hAnsiTheme="majorBidi" w:cstheme="majorBidi"/>
                <w:sz w:val="20"/>
                <w:szCs w:val="20"/>
              </w:rPr>
              <w:br/>
              <w:t>(0.116)</w:t>
            </w:r>
          </w:p>
        </w:tc>
      </w:tr>
      <w:tr w:rsidR="00B7651F" w:rsidRPr="006F5F7E" w14:paraId="4E2A1A01" w14:textId="77777777">
        <w:tc>
          <w:tcPr>
            <w:tcW w:w="1234" w:type="dxa"/>
          </w:tcPr>
          <w:p w14:paraId="4D408220"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INST_ROA</w:t>
            </w:r>
          </w:p>
        </w:tc>
        <w:tc>
          <w:tcPr>
            <w:tcW w:w="1234" w:type="dxa"/>
          </w:tcPr>
          <w:p w14:paraId="3ECCE6C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6.124 *</w:t>
            </w:r>
            <w:r w:rsidRPr="006F5F7E">
              <w:rPr>
                <w:rFonts w:asciiTheme="majorBidi" w:hAnsiTheme="majorBidi" w:cstheme="majorBidi"/>
                <w:sz w:val="20"/>
                <w:szCs w:val="20"/>
              </w:rPr>
              <w:br/>
              <w:t>(3.408)</w:t>
            </w:r>
          </w:p>
        </w:tc>
        <w:tc>
          <w:tcPr>
            <w:tcW w:w="1234" w:type="dxa"/>
          </w:tcPr>
          <w:p w14:paraId="55BF5D3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2.559</w:t>
            </w:r>
            <w:r w:rsidRPr="006F5F7E">
              <w:rPr>
                <w:rFonts w:asciiTheme="majorBidi" w:hAnsiTheme="majorBidi" w:cstheme="majorBidi"/>
                <w:sz w:val="20"/>
                <w:szCs w:val="20"/>
              </w:rPr>
              <w:br/>
              <w:t>(4.504)</w:t>
            </w:r>
          </w:p>
        </w:tc>
        <w:tc>
          <w:tcPr>
            <w:tcW w:w="1234" w:type="dxa"/>
          </w:tcPr>
          <w:p w14:paraId="29686598"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6.956</w:t>
            </w:r>
            <w:r w:rsidRPr="006F5F7E">
              <w:rPr>
                <w:rFonts w:asciiTheme="majorBidi" w:hAnsiTheme="majorBidi" w:cstheme="majorBidi"/>
                <w:sz w:val="20"/>
                <w:szCs w:val="20"/>
              </w:rPr>
              <w:br/>
              <w:t>(8.029)</w:t>
            </w:r>
          </w:p>
        </w:tc>
        <w:tc>
          <w:tcPr>
            <w:tcW w:w="1234" w:type="dxa"/>
          </w:tcPr>
          <w:p w14:paraId="250E44CC"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5.066</w:t>
            </w:r>
            <w:r w:rsidRPr="006F5F7E">
              <w:rPr>
                <w:rFonts w:asciiTheme="majorBidi" w:hAnsiTheme="majorBidi" w:cstheme="majorBidi"/>
                <w:sz w:val="20"/>
                <w:szCs w:val="20"/>
              </w:rPr>
              <w:br/>
              <w:t>(3.460)</w:t>
            </w:r>
          </w:p>
        </w:tc>
        <w:tc>
          <w:tcPr>
            <w:tcW w:w="1234" w:type="dxa"/>
          </w:tcPr>
          <w:p w14:paraId="2F721203"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5.020 *</w:t>
            </w:r>
            <w:r w:rsidRPr="006F5F7E">
              <w:rPr>
                <w:rFonts w:asciiTheme="majorBidi" w:hAnsiTheme="majorBidi" w:cstheme="majorBidi"/>
                <w:sz w:val="20"/>
                <w:szCs w:val="20"/>
              </w:rPr>
              <w:br/>
              <w:t>(2.989)</w:t>
            </w:r>
          </w:p>
        </w:tc>
        <w:tc>
          <w:tcPr>
            <w:tcW w:w="1234" w:type="dxa"/>
          </w:tcPr>
          <w:p w14:paraId="4629D701"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4.896</w:t>
            </w:r>
            <w:r w:rsidRPr="006F5F7E">
              <w:rPr>
                <w:rFonts w:asciiTheme="majorBidi" w:hAnsiTheme="majorBidi" w:cstheme="majorBidi"/>
                <w:sz w:val="20"/>
                <w:szCs w:val="20"/>
              </w:rPr>
              <w:br/>
              <w:t>(4.905)</w:t>
            </w:r>
          </w:p>
        </w:tc>
      </w:tr>
      <w:tr w:rsidR="00B7651F" w:rsidRPr="006F5F7E" w14:paraId="58BF635C" w14:textId="77777777">
        <w:tc>
          <w:tcPr>
            <w:tcW w:w="1234" w:type="dxa"/>
          </w:tcPr>
          <w:p w14:paraId="40346DA2"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Fsize</w:t>
            </w:r>
          </w:p>
        </w:tc>
        <w:tc>
          <w:tcPr>
            <w:tcW w:w="1234" w:type="dxa"/>
          </w:tcPr>
          <w:p w14:paraId="365EAE7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5.507 ***</w:t>
            </w:r>
            <w:r w:rsidRPr="006F5F7E">
              <w:rPr>
                <w:rFonts w:asciiTheme="majorBidi" w:hAnsiTheme="majorBidi" w:cstheme="majorBidi"/>
                <w:sz w:val="20"/>
                <w:szCs w:val="20"/>
              </w:rPr>
              <w:br/>
              <w:t>(1.016)</w:t>
            </w:r>
          </w:p>
        </w:tc>
        <w:tc>
          <w:tcPr>
            <w:tcW w:w="1234" w:type="dxa"/>
          </w:tcPr>
          <w:p w14:paraId="6957605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8.467 ***</w:t>
            </w:r>
            <w:r w:rsidRPr="006F5F7E">
              <w:rPr>
                <w:rFonts w:asciiTheme="majorBidi" w:hAnsiTheme="majorBidi" w:cstheme="majorBidi"/>
                <w:sz w:val="20"/>
                <w:szCs w:val="20"/>
              </w:rPr>
              <w:br/>
              <w:t>(2.937)</w:t>
            </w:r>
          </w:p>
        </w:tc>
        <w:tc>
          <w:tcPr>
            <w:tcW w:w="1234" w:type="dxa"/>
          </w:tcPr>
          <w:p w14:paraId="5818FA3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3.840</w:t>
            </w:r>
            <w:r w:rsidRPr="006F5F7E">
              <w:rPr>
                <w:rFonts w:asciiTheme="majorBidi" w:hAnsiTheme="majorBidi" w:cstheme="majorBidi"/>
                <w:sz w:val="20"/>
                <w:szCs w:val="20"/>
              </w:rPr>
              <w:br/>
              <w:t>(3.613)</w:t>
            </w:r>
          </w:p>
        </w:tc>
        <w:tc>
          <w:tcPr>
            <w:tcW w:w="1234" w:type="dxa"/>
          </w:tcPr>
          <w:p w14:paraId="514525A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4.237</w:t>
            </w:r>
            <w:r w:rsidRPr="006F5F7E">
              <w:rPr>
                <w:rFonts w:asciiTheme="majorBidi" w:hAnsiTheme="majorBidi" w:cstheme="majorBidi"/>
                <w:sz w:val="20"/>
                <w:szCs w:val="20"/>
              </w:rPr>
              <w:br/>
              <w:t>(3.021)</w:t>
            </w:r>
          </w:p>
        </w:tc>
        <w:tc>
          <w:tcPr>
            <w:tcW w:w="1234" w:type="dxa"/>
          </w:tcPr>
          <w:p w14:paraId="64C1EDD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2.844</w:t>
            </w:r>
            <w:r w:rsidRPr="006F5F7E">
              <w:rPr>
                <w:rFonts w:asciiTheme="majorBidi" w:hAnsiTheme="majorBidi" w:cstheme="majorBidi"/>
                <w:sz w:val="20"/>
                <w:szCs w:val="20"/>
              </w:rPr>
              <w:br/>
              <w:t>(2.653)</w:t>
            </w:r>
          </w:p>
        </w:tc>
        <w:tc>
          <w:tcPr>
            <w:tcW w:w="1234" w:type="dxa"/>
          </w:tcPr>
          <w:p w14:paraId="7ECEA5E6"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-0.922</w:t>
            </w:r>
            <w:r w:rsidRPr="006F5F7E">
              <w:rPr>
                <w:rFonts w:asciiTheme="majorBidi" w:hAnsiTheme="majorBidi" w:cstheme="majorBidi"/>
                <w:sz w:val="20"/>
                <w:szCs w:val="20"/>
              </w:rPr>
              <w:br/>
              <w:t>(4.336)</w:t>
            </w:r>
          </w:p>
        </w:tc>
      </w:tr>
      <w:tr w:rsidR="00B7651F" w:rsidRPr="006F5F7E" w14:paraId="193061EA" w14:textId="77777777">
        <w:tc>
          <w:tcPr>
            <w:tcW w:w="1234" w:type="dxa"/>
          </w:tcPr>
          <w:p w14:paraId="4153B589"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GROWTH</w:t>
            </w:r>
          </w:p>
        </w:tc>
        <w:tc>
          <w:tcPr>
            <w:tcW w:w="1234" w:type="dxa"/>
          </w:tcPr>
          <w:p w14:paraId="43681EF0"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-0.008</w:t>
            </w:r>
            <w:r w:rsidRPr="006F5F7E">
              <w:rPr>
                <w:rFonts w:asciiTheme="majorBidi" w:hAnsiTheme="majorBidi" w:cstheme="majorBidi"/>
                <w:sz w:val="20"/>
                <w:szCs w:val="20"/>
              </w:rPr>
              <w:br/>
              <w:t>(0.031)</w:t>
            </w:r>
          </w:p>
        </w:tc>
        <w:tc>
          <w:tcPr>
            <w:tcW w:w="1234" w:type="dxa"/>
          </w:tcPr>
          <w:p w14:paraId="0C77B2A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-0.037</w:t>
            </w:r>
            <w:r w:rsidRPr="006F5F7E">
              <w:rPr>
                <w:rFonts w:asciiTheme="majorBidi" w:hAnsiTheme="majorBidi" w:cstheme="majorBidi"/>
                <w:sz w:val="20"/>
                <w:szCs w:val="20"/>
              </w:rPr>
              <w:br/>
              <w:t>(0.092)</w:t>
            </w:r>
          </w:p>
        </w:tc>
        <w:tc>
          <w:tcPr>
            <w:tcW w:w="1234" w:type="dxa"/>
          </w:tcPr>
          <w:p w14:paraId="670EA0B7"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-0.145</w:t>
            </w:r>
            <w:r w:rsidRPr="006F5F7E">
              <w:rPr>
                <w:rFonts w:asciiTheme="majorBidi" w:hAnsiTheme="majorBidi" w:cstheme="majorBidi"/>
                <w:sz w:val="20"/>
                <w:szCs w:val="20"/>
              </w:rPr>
              <w:br/>
              <w:t>(0.101)</w:t>
            </w:r>
          </w:p>
        </w:tc>
        <w:tc>
          <w:tcPr>
            <w:tcW w:w="1234" w:type="dxa"/>
          </w:tcPr>
          <w:p w14:paraId="37386EB6"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-0.019</w:t>
            </w:r>
            <w:r w:rsidRPr="006F5F7E">
              <w:rPr>
                <w:rFonts w:asciiTheme="majorBidi" w:hAnsiTheme="majorBidi" w:cstheme="majorBidi"/>
                <w:sz w:val="20"/>
                <w:szCs w:val="20"/>
              </w:rPr>
              <w:br/>
              <w:t>(0.051)</w:t>
            </w:r>
          </w:p>
        </w:tc>
        <w:tc>
          <w:tcPr>
            <w:tcW w:w="1234" w:type="dxa"/>
          </w:tcPr>
          <w:p w14:paraId="0AFC1AFB"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-0.033</w:t>
            </w:r>
            <w:r w:rsidRPr="006F5F7E">
              <w:rPr>
                <w:rFonts w:asciiTheme="majorBidi" w:hAnsiTheme="majorBidi" w:cstheme="majorBidi"/>
                <w:sz w:val="20"/>
                <w:szCs w:val="20"/>
              </w:rPr>
              <w:br/>
              <w:t>(0.044)</w:t>
            </w:r>
          </w:p>
        </w:tc>
        <w:tc>
          <w:tcPr>
            <w:tcW w:w="1234" w:type="dxa"/>
          </w:tcPr>
          <w:p w14:paraId="04A3C10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-0.070</w:t>
            </w:r>
            <w:r w:rsidRPr="006F5F7E">
              <w:rPr>
                <w:rFonts w:asciiTheme="majorBidi" w:hAnsiTheme="majorBidi" w:cstheme="majorBidi"/>
                <w:sz w:val="20"/>
                <w:szCs w:val="20"/>
              </w:rPr>
              <w:br/>
              <w:t>(0.072)</w:t>
            </w:r>
          </w:p>
        </w:tc>
      </w:tr>
      <w:tr w:rsidR="00B7651F" w:rsidRPr="006F5F7E" w14:paraId="09C257B4" w14:textId="77777777">
        <w:tc>
          <w:tcPr>
            <w:tcW w:w="1234" w:type="dxa"/>
          </w:tcPr>
          <w:p w14:paraId="70290EF8"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Intercept</w:t>
            </w:r>
          </w:p>
        </w:tc>
        <w:tc>
          <w:tcPr>
            <w:tcW w:w="1234" w:type="dxa"/>
          </w:tcPr>
          <w:p w14:paraId="72302C70"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-80.715 ***</w:t>
            </w:r>
            <w:r w:rsidRPr="006F5F7E">
              <w:rPr>
                <w:rFonts w:asciiTheme="majorBidi" w:hAnsiTheme="majorBidi" w:cstheme="majorBidi"/>
                <w:sz w:val="20"/>
                <w:szCs w:val="20"/>
              </w:rPr>
              <w:br/>
              <w:t>(17.459)</w:t>
            </w:r>
          </w:p>
        </w:tc>
        <w:tc>
          <w:tcPr>
            <w:tcW w:w="1234" w:type="dxa"/>
          </w:tcPr>
          <w:p w14:paraId="3D25B7B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-125.749 **</w:t>
            </w:r>
            <w:r w:rsidRPr="006F5F7E">
              <w:rPr>
                <w:rFonts w:asciiTheme="majorBidi" w:hAnsiTheme="majorBidi" w:cstheme="majorBidi"/>
                <w:sz w:val="20"/>
                <w:szCs w:val="20"/>
              </w:rPr>
              <w:br/>
              <w:t>(52.360)</w:t>
            </w:r>
          </w:p>
        </w:tc>
        <w:tc>
          <w:tcPr>
            <w:tcW w:w="1234" w:type="dxa"/>
          </w:tcPr>
          <w:p w14:paraId="6B054755"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-32.152</w:t>
            </w:r>
            <w:r w:rsidRPr="006F5F7E">
              <w:rPr>
                <w:rFonts w:asciiTheme="majorBidi" w:hAnsiTheme="majorBidi" w:cstheme="majorBidi"/>
                <w:sz w:val="20"/>
                <w:szCs w:val="20"/>
              </w:rPr>
              <w:br/>
              <w:t>(68.164)</w:t>
            </w:r>
          </w:p>
        </w:tc>
        <w:tc>
          <w:tcPr>
            <w:tcW w:w="1234" w:type="dxa"/>
          </w:tcPr>
          <w:p w14:paraId="448E8B01" w14:textId="77777777" w:rsidR="00B7651F" w:rsidRPr="006F5F7E" w:rsidRDefault="00B7651F">
            <w:pPr>
              <w:rPr>
                <w:rFonts w:asciiTheme="majorBidi" w:hAnsiTheme="majorBidi" w:cstheme="majorBidi"/>
                <w:sz w:val="20"/>
                <w:szCs w:val="20"/>
              </w:rPr>
            </w:pPr>
          </w:p>
        </w:tc>
        <w:tc>
          <w:tcPr>
            <w:tcW w:w="1234" w:type="dxa"/>
          </w:tcPr>
          <w:p w14:paraId="2B777A69" w14:textId="77777777" w:rsidR="00B7651F" w:rsidRPr="006F5F7E" w:rsidRDefault="00B7651F">
            <w:pPr>
              <w:rPr>
                <w:rFonts w:asciiTheme="majorBidi" w:hAnsiTheme="majorBidi" w:cstheme="majorBidi"/>
                <w:sz w:val="20"/>
                <w:szCs w:val="20"/>
              </w:rPr>
            </w:pPr>
          </w:p>
        </w:tc>
        <w:tc>
          <w:tcPr>
            <w:tcW w:w="1234" w:type="dxa"/>
          </w:tcPr>
          <w:p w14:paraId="219FC7D7" w14:textId="77777777" w:rsidR="00B7651F" w:rsidRPr="006F5F7E" w:rsidRDefault="00B7651F">
            <w:pPr>
              <w:rPr>
                <w:rFonts w:asciiTheme="majorBidi" w:hAnsiTheme="majorBidi" w:cstheme="majorBidi"/>
                <w:sz w:val="20"/>
                <w:szCs w:val="20"/>
              </w:rPr>
            </w:pPr>
          </w:p>
        </w:tc>
      </w:tr>
    </w:tbl>
    <w:p w14:paraId="7FAB4AA3" w14:textId="77777777" w:rsidR="00B7651F" w:rsidRPr="006F5F7E" w:rsidRDefault="00B7651F" w:rsidP="00B7651F">
      <w:pPr>
        <w:rPr>
          <w:rFonts w:asciiTheme="majorBidi" w:hAnsiTheme="majorBidi" w:cstheme="majorBidi"/>
          <w:sz w:val="20"/>
          <w:szCs w:val="20"/>
        </w:rPr>
      </w:pPr>
      <w:r w:rsidRPr="006F5F7E">
        <w:rPr>
          <w:rFonts w:asciiTheme="majorBidi" w:hAnsiTheme="majorBidi" w:cstheme="majorBidi"/>
          <w:sz w:val="20"/>
          <w:szCs w:val="20"/>
        </w:rPr>
        <w:t>Note: Standard errors are in parentheses. *** p&lt;0.01, ** p&lt;0.05, * p&lt;0.1.</w:t>
      </w:r>
    </w:p>
    <w:p w14:paraId="1C749748" w14:textId="77777777" w:rsidR="00B7651F" w:rsidRPr="006F5F7E" w:rsidRDefault="00B7651F" w:rsidP="001B1920">
      <w:pPr>
        <w:spacing w:line="240" w:lineRule="auto"/>
        <w:contextualSpacing/>
        <w:rPr>
          <w:rFonts w:asciiTheme="majorBidi" w:hAnsiTheme="majorBidi" w:cstheme="majorBidi"/>
          <w:sz w:val="20"/>
          <w:szCs w:val="20"/>
        </w:rPr>
      </w:pPr>
    </w:p>
    <w:p w14:paraId="0D4EDCE1" w14:textId="77A5E129" w:rsidR="00C231B8" w:rsidRPr="006F5F7E" w:rsidRDefault="00C231B8" w:rsidP="00F17A05">
      <w:pPr>
        <w:pStyle w:val="Heading3"/>
        <w:rPr>
          <w:rFonts w:asciiTheme="majorBidi" w:hAnsiTheme="majorBidi" w:cstheme="majorBidi"/>
          <w:b/>
          <w:bCs/>
          <w:color w:val="auto"/>
          <w:sz w:val="24"/>
          <w:szCs w:val="24"/>
        </w:rPr>
      </w:pPr>
      <w:r w:rsidRPr="006F5F7E">
        <w:rPr>
          <w:rFonts w:asciiTheme="majorBidi" w:hAnsiTheme="majorBidi" w:cstheme="majorBidi"/>
          <w:b/>
          <w:bCs/>
          <w:color w:val="auto"/>
          <w:sz w:val="24"/>
          <w:szCs w:val="24"/>
        </w:rPr>
        <w:t xml:space="preserve">4.4.1 </w:t>
      </w:r>
      <w:proofErr w:type="gramStart"/>
      <w:r w:rsidR="00DC000A" w:rsidRPr="006F5F7E">
        <w:rPr>
          <w:rFonts w:asciiTheme="majorBidi" w:hAnsiTheme="majorBidi" w:cstheme="majorBidi"/>
          <w:b/>
          <w:bCs/>
          <w:color w:val="auto"/>
          <w:sz w:val="24"/>
          <w:szCs w:val="24"/>
        </w:rPr>
        <w:t>Owner</w:t>
      </w:r>
      <w:r w:rsidR="00201E1E" w:rsidRPr="006F5F7E">
        <w:rPr>
          <w:rFonts w:asciiTheme="majorBidi" w:hAnsiTheme="majorBidi" w:cstheme="majorBidi"/>
          <w:b/>
          <w:bCs/>
          <w:color w:val="auto"/>
          <w:sz w:val="24"/>
          <w:szCs w:val="24"/>
        </w:rPr>
        <w:t>ship  Structure</w:t>
      </w:r>
      <w:proofErr w:type="gramEnd"/>
      <w:r w:rsidR="00201E1E" w:rsidRPr="006F5F7E">
        <w:rPr>
          <w:rFonts w:asciiTheme="majorBidi" w:hAnsiTheme="majorBidi" w:cstheme="majorBidi"/>
          <w:b/>
          <w:bCs/>
          <w:color w:val="auto"/>
          <w:sz w:val="24"/>
          <w:szCs w:val="24"/>
        </w:rPr>
        <w:t xml:space="preserve"> </w:t>
      </w:r>
      <w:r w:rsidRPr="006F5F7E">
        <w:rPr>
          <w:rFonts w:asciiTheme="majorBidi" w:hAnsiTheme="majorBidi" w:cstheme="majorBidi"/>
          <w:b/>
          <w:bCs/>
          <w:color w:val="auto"/>
          <w:sz w:val="24"/>
          <w:szCs w:val="24"/>
        </w:rPr>
        <w:t xml:space="preserve"> and Dividend Payouts</w:t>
      </w:r>
    </w:p>
    <w:p w14:paraId="3D5A147E" w14:textId="77777777" w:rsidR="00BB7C2D" w:rsidRPr="006F5F7E" w:rsidRDefault="00882E2B" w:rsidP="00882E2B">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The analysis of ownership structure and dividend payout reveals nuanced relationships across quantiles and model specifications. Managerial ownership (MGO), contrary to Hypothesis 1 which anticipated an inverse relationship, exhibited a consistently positive influence on dividend payout ratios across all quantiles. Though statistically insignificant in the cross-sectional model (Model 1), the fixed effects model (Model 2) revealed significance at the 25th and 50th quantiles, suggesting that MGO may align managerial incentives with shareholder interests particularly among low and median dividend-paying banks. Institutional ownership (INST), expected under Hypothesis 2 to exert a positive influence, showed significant negative effects in Model 1 across all quantiles, but this association became statistically insignificant in Model 2. This indicates that the adverse effect may be attributed to between-firm variation rather than within-firm dynamics. </w:t>
      </w:r>
    </w:p>
    <w:p w14:paraId="7771EA8D" w14:textId="7827470E" w:rsidR="004E64B0" w:rsidRPr="006F5F7E" w:rsidRDefault="00882E2B" w:rsidP="00882E2B">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In contrast, foreign ownership (FRO) strongly supported Hypothesis 3 by exhibiting consistently positive and significant coefficients across all quantiles and models, reinforcing the role of foreign investors as advocates of regular dividends in markets characterised by weak governance. Regarding profitability (ROA), its effect was positive and significant in Model 1, aligning with signalling and free cash flow theories, but turned negative and insignificant in Model 2, suggesting the presence of unobserved heterogeneity. The moderating role of ROA (Hypothesis 5) yielded mixed results. The interaction between ROA and MGO showed a significant negative effect at the 25th quantile in Model 1, implying that profitability may reduce the incremental effect of MGO on payouts among lower-paying firms. The moderating effect of ROA on INST was weak and inconsistent, showing limited significance. </w:t>
      </w:r>
      <w:r w:rsidR="00D01059">
        <w:rPr>
          <w:rFonts w:asciiTheme="majorBidi" w:hAnsiTheme="majorBidi" w:cstheme="majorBidi"/>
          <w:sz w:val="20"/>
          <w:szCs w:val="20"/>
        </w:rPr>
        <w:t>Unexpectedly</w:t>
      </w:r>
      <w:r w:rsidRPr="006F5F7E">
        <w:rPr>
          <w:rFonts w:asciiTheme="majorBidi" w:hAnsiTheme="majorBidi" w:cstheme="majorBidi"/>
          <w:sz w:val="20"/>
          <w:szCs w:val="20"/>
        </w:rPr>
        <w:t>, ROA significantly and consistently weakened the positive relationship between FRO and dividend payouts across both models and all quantiles, suggesting that foreign investors may prioritise stable returns over performance-linked dividends.</w:t>
      </w:r>
    </w:p>
    <w:p w14:paraId="68400C58" w14:textId="77777777" w:rsidR="004E64B0" w:rsidRPr="006F5F7E" w:rsidRDefault="004E64B0" w:rsidP="004E64B0">
      <w:pPr>
        <w:spacing w:line="360" w:lineRule="auto"/>
        <w:contextualSpacing/>
        <w:jc w:val="both"/>
        <w:rPr>
          <w:rFonts w:asciiTheme="majorBidi" w:hAnsiTheme="majorBidi" w:cstheme="majorBidi"/>
          <w:sz w:val="20"/>
          <w:szCs w:val="20"/>
        </w:rPr>
      </w:pPr>
      <w:r w:rsidRPr="006F5F7E">
        <w:rPr>
          <w:rFonts w:asciiTheme="majorBidi" w:hAnsiTheme="majorBidi" w:cstheme="majorBidi"/>
          <w:b/>
          <w:bCs/>
          <w:sz w:val="20"/>
          <w:szCs w:val="20"/>
        </w:rPr>
        <w:t>4.5 Control Variables and Their Effects</w:t>
      </w:r>
    </w:p>
    <w:p w14:paraId="686BB65C" w14:textId="23333743" w:rsidR="0021579B" w:rsidRPr="006F5F7E" w:rsidRDefault="00A573AD" w:rsidP="00A573AD">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Firm size showed a positive and significant effect on dividend payouts in Model 1, especially at the 25th and 50th percentiles, indicating that larger banks are more likely to distribute dividends. However, this influence weakened in Model 2, becoming insignificant at the upper quantile, suggesting that size matters more for cross-sectional differences than for within-firm changes. Growth, proxied by asset expansion, consistently demonstrated a negative association with dividends across both models, though often statistically insignificant. This pattern supports life cycle and residual dividend theories, which argue that high-growth firms prioritise reinvestment over payouts. Overall, the control variables reinforce the idea that firm-specific characteristics significantly shape dividend policy, while profitability’s interaction with ownership structure adds further complexity to the dividend-setting behaviour of Nigerian banks</w:t>
      </w:r>
      <w:r w:rsidR="004E64B0" w:rsidRPr="006F5F7E">
        <w:rPr>
          <w:rFonts w:asciiTheme="majorBidi" w:hAnsiTheme="majorBidi" w:cstheme="majorBidi"/>
          <w:sz w:val="20"/>
          <w:szCs w:val="20"/>
        </w:rPr>
        <w:t>.</w:t>
      </w:r>
    </w:p>
    <w:p w14:paraId="5F3AEEFB" w14:textId="77777777" w:rsidR="001C1780" w:rsidRPr="006F5F7E" w:rsidRDefault="001C1780" w:rsidP="001C1780">
      <w:pPr>
        <w:pStyle w:val="Heading3"/>
        <w:rPr>
          <w:rFonts w:asciiTheme="majorBidi" w:hAnsiTheme="majorBidi" w:cstheme="majorBidi"/>
          <w:b/>
          <w:bCs/>
          <w:color w:val="auto"/>
          <w:sz w:val="20"/>
          <w:szCs w:val="20"/>
        </w:rPr>
      </w:pPr>
      <w:r w:rsidRPr="006F5F7E">
        <w:rPr>
          <w:rFonts w:asciiTheme="majorBidi" w:hAnsiTheme="majorBidi" w:cstheme="majorBidi"/>
          <w:b/>
          <w:bCs/>
          <w:color w:val="auto"/>
          <w:sz w:val="20"/>
          <w:szCs w:val="20"/>
        </w:rPr>
        <w:lastRenderedPageBreak/>
        <w:t>4.6 Robustness Assessment Using Panel Quantile Regression</w:t>
      </w:r>
    </w:p>
    <w:p w14:paraId="08DB7454" w14:textId="4E2B8920" w:rsidR="001C1780" w:rsidRPr="006F5F7E" w:rsidRDefault="00C22F94" w:rsidP="00C22F94">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This section presents the robustness of findings using fixed effects panel quantile regression (Model 2), which controls for unobserved firm-level heterogeneity. While results from Model 1 and Model 2 are broadly aligned, Model 2 refines key insights. Notably, foreign ownership maintains a strong, positive, and statistically significant effect on dividend payout across all quantiles, indicating persistent influence within firms over time. In contrast, the negative effect of institutional ownership observed in Model 1 becomes insignificant, suggesting that it may stem from cross-sectional variation rather than intra-firm dynamics. Similarly, profitability (ROA) loses significance and reverses direction, weakening its direct explanatory power under fixed effects. Importantly, the interaction between profitability and foreign ownership remains negatively significant in both models, confirming its robust moderating role. However, the moderation by managerial and institutional ownership weakens. These results underscore the importance of accounting for firm-specific factors in dividend policy research within emerging markets</w:t>
      </w:r>
      <w:r w:rsidR="001C1780" w:rsidRPr="006F5F7E">
        <w:rPr>
          <w:rFonts w:asciiTheme="majorBidi" w:hAnsiTheme="majorBidi" w:cstheme="majorBidi"/>
          <w:sz w:val="20"/>
          <w:szCs w:val="20"/>
        </w:rPr>
        <w:t>.</w:t>
      </w:r>
    </w:p>
    <w:p w14:paraId="171E91E6" w14:textId="77777777" w:rsidR="007262DF" w:rsidRPr="006F5F7E" w:rsidRDefault="007262DF" w:rsidP="009B4A79">
      <w:pPr>
        <w:pStyle w:val="Heading2"/>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5. Conclusion and Recommendations</w:t>
      </w:r>
    </w:p>
    <w:p w14:paraId="48403746" w14:textId="77777777" w:rsidR="004B1539" w:rsidRPr="006F5F7E" w:rsidRDefault="004B1539" w:rsidP="004B1539">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This section evaluates the robustness of the study’s key findings using the fixed effects panel quantile regression model (Model 2), which accounts for unobserved firm-specific characteristics that remain constant over time. Unlike Model 1, which captures broad cross-sectional associations, Model 2 provides insights into within-firm dynamics, thereby strengthening the credibility of the results.</w:t>
      </w:r>
    </w:p>
    <w:p w14:paraId="62955B8F" w14:textId="77777777" w:rsidR="004B1539" w:rsidRPr="006F5F7E" w:rsidRDefault="004B1539" w:rsidP="004B1539">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A major point of consistency across both models is the effect of foreign ownership on dividend payouts. Model 2 confirms that foreign ownership continues to exert a strong and statistically significant positive influence across all quantiles. This reinforces the conclusion that foreign investors play a consistent role in shaping dividend policy, likely due to their preference for transparency, predictable returns, and shareholder value in emerging markets. The persistence of this effect, even when firm-level fixed effects are controlled, highlights the robustness of the relationship.</w:t>
      </w:r>
    </w:p>
    <w:p w14:paraId="16E662B4" w14:textId="77777777" w:rsidR="004B1539" w:rsidRPr="006F5F7E" w:rsidRDefault="004B1539" w:rsidP="004B1539">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Conversely, the negative relationship between institutional ownership and dividend payout observed in Model 1 loses statistical significance in Model 2. This suggests that the earlier results may have been driven by differences between firms rather than by consistent within-firm patterns. The implication is that institutional investors’ influence on dividend policy may be context-dependent, possibly reflecting strategic reinvestment preferences rather than consistent pressure for cash distribution.</w:t>
      </w:r>
    </w:p>
    <w:p w14:paraId="1F65607F" w14:textId="77777777" w:rsidR="004B1539" w:rsidRPr="006F5F7E" w:rsidRDefault="004B1539" w:rsidP="004B1539">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Similarly, the direct impact of profitability (ROA) on dividend payouts, which was positive and significant in Model 1, disappears in Model 2. The coefficient not only becomes statistically insignificant but also reverses in sign, highlighting the importance of accounting for firm-specific effects. This shift implies that the initial positive association could be spurious, driven by between-firm variation rather than genuine within-firm dynamics.</w:t>
      </w:r>
    </w:p>
    <w:p w14:paraId="07EFC68D" w14:textId="64FB0DBA" w:rsidR="00B7651F" w:rsidRDefault="004B1539" w:rsidP="003D5809">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Interaction terms between profitability and ownership types provide further insight. Notably, the interaction between ROA and foreign ownership remains significantly negative across quantiles in both models. This finding confirms the robustness of the moderating role of profitability: higher profitability dampens the dividend-enhancing effect of foreign ownership. However, the moderating effects of profitability on managerial and institutional ownership weaken considerably in Model 2, with most coefficients becoming statistically insignificant. This suggests these interactions may be more variable across firms than stable over time within individual firms.</w:t>
      </w:r>
      <w:r w:rsidR="003D5809">
        <w:rPr>
          <w:rFonts w:asciiTheme="majorBidi" w:hAnsiTheme="majorBidi" w:cstheme="majorBidi"/>
          <w:sz w:val="20"/>
          <w:szCs w:val="20"/>
        </w:rPr>
        <w:t xml:space="preserve"> T</w:t>
      </w:r>
      <w:r w:rsidRPr="006F5F7E">
        <w:rPr>
          <w:rFonts w:asciiTheme="majorBidi" w:hAnsiTheme="majorBidi" w:cstheme="majorBidi"/>
          <w:sz w:val="20"/>
          <w:szCs w:val="20"/>
        </w:rPr>
        <w:t xml:space="preserve">he robustness checks confirm the stability of some core findings, especially those relating to foreign ownership and its interaction with profitability. At the same time, they reveal that certain relationships </w:t>
      </w:r>
      <w:r w:rsidRPr="006F5F7E">
        <w:rPr>
          <w:rFonts w:asciiTheme="majorBidi" w:hAnsiTheme="majorBidi" w:cstheme="majorBidi"/>
          <w:sz w:val="20"/>
          <w:szCs w:val="20"/>
        </w:rPr>
        <w:lastRenderedPageBreak/>
        <w:t>identified in cross-sectional analysis do not persist when firm-level fixed effects are introduced. This reinforces the methodological strength of panel quantile regression in isolating persistent influences on dividend policy.</w:t>
      </w:r>
    </w:p>
    <w:p w14:paraId="5AC0448C" w14:textId="7160D7C3" w:rsidR="003D5809" w:rsidRPr="006F5F7E" w:rsidRDefault="003D5809" w:rsidP="003D5809">
      <w:pPr>
        <w:spacing w:line="360" w:lineRule="auto"/>
        <w:contextualSpacing/>
        <w:jc w:val="both"/>
        <w:rPr>
          <w:rFonts w:asciiTheme="majorBidi" w:hAnsiTheme="majorBidi" w:cstheme="majorBidi"/>
          <w:sz w:val="20"/>
          <w:szCs w:val="20"/>
        </w:rPr>
      </w:pPr>
      <w:r w:rsidRPr="003D5809">
        <w:rPr>
          <w:rFonts w:asciiTheme="majorBidi" w:hAnsiTheme="majorBidi" w:cstheme="majorBidi"/>
          <w:sz w:val="20"/>
          <w:szCs w:val="20"/>
        </w:rPr>
        <w:t>Despite the methodological rigour of this study, some limitations remain. The analysis is restricted to listed deposit money banks in Nigeria, which may limit the generalisability of the findings to other sectors or SSA markets. Also, while quantile regression captures distributional heterogeneity, potential endogeneity between ownership structure and dividend decisions was not fully addressed. Future research may consider dynamic quantile models or apply instrumental variable techniques to account for such biases. Additionally, incorporating governance quality, ownership concentration, or macroeconomic instability as moderating factors could enrich understanding. Expanding the dataset to include unlisted or pan-African banks would further test the robustness and broader applicability of the findings.</w:t>
      </w:r>
    </w:p>
    <w:p w14:paraId="10397101" w14:textId="77777777" w:rsidR="00D403BC" w:rsidRPr="006F5F7E" w:rsidRDefault="00D403BC" w:rsidP="00D403BC">
      <w:pPr>
        <w:rPr>
          <w:rFonts w:asciiTheme="majorBidi" w:hAnsiTheme="majorBidi" w:cstheme="majorBidi"/>
          <w:sz w:val="20"/>
          <w:szCs w:val="20"/>
        </w:rPr>
      </w:pPr>
    </w:p>
    <w:p w14:paraId="4AEF8248" w14:textId="77777777" w:rsidR="00D04062" w:rsidRPr="006F5F7E" w:rsidRDefault="00833548">
      <w:pPr>
        <w:pStyle w:val="Heading2"/>
        <w:rPr>
          <w:rFonts w:asciiTheme="majorBidi" w:hAnsiTheme="majorBidi" w:cstheme="majorBidi"/>
          <w:b/>
          <w:bCs/>
          <w:sz w:val="20"/>
          <w:szCs w:val="20"/>
        </w:rPr>
      </w:pPr>
      <w:r w:rsidRPr="006F5F7E">
        <w:rPr>
          <w:rFonts w:asciiTheme="majorBidi" w:hAnsiTheme="majorBidi" w:cstheme="majorBidi"/>
          <w:b/>
          <w:bCs/>
          <w:sz w:val="20"/>
          <w:szCs w:val="20"/>
        </w:rPr>
        <w:t>References</w:t>
      </w:r>
    </w:p>
    <w:p w14:paraId="0BC44B3E" w14:textId="1AA7608B" w:rsidR="00951369" w:rsidRPr="006F5F7E" w:rsidRDefault="00951369" w:rsidP="00951369">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Akilla, A. E., Adeleke, E. O., Ogundele, O. S., &amp; Anisulowo, T. A. (2024). Ownership structure and dividend policy of selected deposit money banks in Nigeria. </w:t>
      </w:r>
      <w:r w:rsidRPr="006F5F7E">
        <w:rPr>
          <w:rFonts w:asciiTheme="majorBidi" w:hAnsiTheme="majorBidi" w:cstheme="majorBidi"/>
          <w:i/>
          <w:iCs/>
          <w:sz w:val="20"/>
          <w:szCs w:val="20"/>
        </w:rPr>
        <w:t>Adeleke University Journal of Business and Social Sciences, 4</w:t>
      </w:r>
      <w:r w:rsidRPr="006F5F7E">
        <w:rPr>
          <w:rFonts w:asciiTheme="majorBidi" w:hAnsiTheme="majorBidi" w:cstheme="majorBidi"/>
          <w:sz w:val="20"/>
          <w:szCs w:val="20"/>
        </w:rPr>
        <w:t>(2), 208–211.</w:t>
      </w:r>
    </w:p>
    <w:p w14:paraId="4F775360" w14:textId="34E81502" w:rsidR="003A07E8" w:rsidRPr="006F5F7E" w:rsidRDefault="003A07E8" w:rsidP="003A07E8">
      <w:pPr>
        <w:spacing w:line="360" w:lineRule="auto"/>
        <w:ind w:left="1077" w:hanging="720"/>
        <w:contextualSpacing/>
        <w:rPr>
          <w:rFonts w:asciiTheme="majorBidi" w:hAnsiTheme="majorBidi" w:cstheme="majorBidi"/>
          <w:sz w:val="20"/>
          <w:szCs w:val="20"/>
        </w:rPr>
      </w:pPr>
      <w:r w:rsidRPr="003A07E8">
        <w:rPr>
          <w:rFonts w:asciiTheme="majorBidi" w:hAnsiTheme="majorBidi" w:cstheme="majorBidi"/>
          <w:sz w:val="20"/>
          <w:szCs w:val="20"/>
        </w:rPr>
        <w:t xml:space="preserve">Akpadaka, O. S., Farouk, M. A., &amp; Dang, D. Y. (2024). How Do Profitability and Institutional Ownership Drive Value through Dividend Policy? Evidence from Nigeria. </w:t>
      </w:r>
      <w:r w:rsidRPr="003A07E8">
        <w:rPr>
          <w:rFonts w:asciiTheme="majorBidi" w:hAnsiTheme="majorBidi" w:cstheme="majorBidi"/>
          <w:i/>
          <w:iCs/>
          <w:sz w:val="20"/>
          <w:szCs w:val="20"/>
        </w:rPr>
        <w:t>Accounting and Finance Research</w:t>
      </w:r>
      <w:r w:rsidRPr="003A07E8">
        <w:rPr>
          <w:rFonts w:asciiTheme="majorBidi" w:hAnsiTheme="majorBidi" w:cstheme="majorBidi"/>
          <w:sz w:val="20"/>
          <w:szCs w:val="20"/>
        </w:rPr>
        <w:t xml:space="preserve">, </w:t>
      </w:r>
      <w:r w:rsidRPr="003A07E8">
        <w:rPr>
          <w:rFonts w:asciiTheme="majorBidi" w:hAnsiTheme="majorBidi" w:cstheme="majorBidi"/>
          <w:i/>
          <w:iCs/>
          <w:sz w:val="20"/>
          <w:szCs w:val="20"/>
        </w:rPr>
        <w:t>13</w:t>
      </w:r>
      <w:r w:rsidRPr="003A07E8">
        <w:rPr>
          <w:rFonts w:asciiTheme="majorBidi" w:hAnsiTheme="majorBidi" w:cstheme="majorBidi"/>
          <w:sz w:val="20"/>
          <w:szCs w:val="20"/>
        </w:rPr>
        <w:t xml:space="preserve">(2), 129. </w:t>
      </w:r>
      <w:hyperlink r:id="rId15" w:history="1">
        <w:r w:rsidR="00546494" w:rsidRPr="003A07E8">
          <w:rPr>
            <w:rStyle w:val="Hyperlink"/>
            <w:rFonts w:asciiTheme="majorBidi" w:hAnsiTheme="majorBidi" w:cstheme="majorBidi"/>
            <w:sz w:val="20"/>
            <w:szCs w:val="20"/>
          </w:rPr>
          <w:t>https://doi.org/10.5430/afr.v13n2p129</w:t>
        </w:r>
      </w:hyperlink>
      <w:r w:rsidR="00546494" w:rsidRPr="006F5F7E">
        <w:rPr>
          <w:rFonts w:asciiTheme="majorBidi" w:hAnsiTheme="majorBidi" w:cstheme="majorBidi"/>
          <w:sz w:val="20"/>
          <w:szCs w:val="20"/>
        </w:rPr>
        <w:t xml:space="preserve"> </w:t>
      </w:r>
    </w:p>
    <w:p w14:paraId="07D3A0E7" w14:textId="47E09ABA" w:rsidR="003A07E8" w:rsidRPr="006F5F7E" w:rsidRDefault="00397A90" w:rsidP="004D1070">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Akpadaka, O. S., Farouk, M. A., Dang, D. Y., &amp; Fodio, M. I. (2024</w:t>
      </w:r>
      <w:r w:rsidR="0053723C" w:rsidRPr="006F5F7E">
        <w:rPr>
          <w:rFonts w:asciiTheme="majorBidi" w:hAnsiTheme="majorBidi" w:cstheme="majorBidi"/>
          <w:sz w:val="20"/>
          <w:szCs w:val="20"/>
        </w:rPr>
        <w:t>b</w:t>
      </w:r>
      <w:r w:rsidRPr="006F5F7E">
        <w:rPr>
          <w:rFonts w:asciiTheme="majorBidi" w:hAnsiTheme="majorBidi" w:cstheme="majorBidi"/>
          <w:sz w:val="20"/>
          <w:szCs w:val="20"/>
        </w:rPr>
        <w:t xml:space="preserve">). Does profitability moderate the relationship between the leverage and dividend policy of manufacturing firms in Nigeria and South Africa? </w:t>
      </w:r>
      <w:r w:rsidRPr="006F5F7E">
        <w:rPr>
          <w:rFonts w:asciiTheme="majorBidi" w:hAnsiTheme="majorBidi" w:cstheme="majorBidi"/>
          <w:i/>
          <w:iCs/>
          <w:sz w:val="20"/>
          <w:szCs w:val="20"/>
        </w:rPr>
        <w:t>Journal of Risk and Financial Management, 17</w:t>
      </w:r>
      <w:r w:rsidRPr="006F5F7E">
        <w:rPr>
          <w:rFonts w:asciiTheme="majorBidi" w:hAnsiTheme="majorBidi" w:cstheme="majorBidi"/>
          <w:sz w:val="20"/>
          <w:szCs w:val="20"/>
        </w:rPr>
        <w:t xml:space="preserve">(12), 563. </w:t>
      </w:r>
      <w:hyperlink r:id="rId16" w:tgtFrame="_new" w:history="1">
        <w:r w:rsidRPr="006F5F7E">
          <w:rPr>
            <w:rStyle w:val="Hyperlink"/>
            <w:rFonts w:asciiTheme="majorBidi" w:hAnsiTheme="majorBidi" w:cstheme="majorBidi"/>
            <w:sz w:val="20"/>
            <w:szCs w:val="20"/>
          </w:rPr>
          <w:t>https://doi.org/10.3390/jrfm17120563</w:t>
        </w:r>
      </w:hyperlink>
    </w:p>
    <w:p w14:paraId="112F234E" w14:textId="67D5AFC0" w:rsidR="00CC388E" w:rsidRPr="006F5F7E" w:rsidRDefault="00CC388E" w:rsidP="00CC388E">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AlGhazali, A., Al-Yahyaee, K. H., Fairchild, R., &amp; Guney, Y. (2024). What do dividend changes reveal? Theory and evidence from a unique environment. </w:t>
      </w:r>
      <w:r w:rsidRPr="006F5F7E">
        <w:rPr>
          <w:rFonts w:asciiTheme="majorBidi" w:hAnsiTheme="majorBidi" w:cstheme="majorBidi"/>
          <w:i/>
          <w:iCs/>
          <w:sz w:val="20"/>
          <w:szCs w:val="20"/>
        </w:rPr>
        <w:t>Review of Quantitative Finance and Accounting</w:t>
      </w:r>
      <w:r w:rsidRPr="006F5F7E">
        <w:rPr>
          <w:rFonts w:asciiTheme="majorBidi" w:hAnsiTheme="majorBidi" w:cstheme="majorBidi"/>
          <w:sz w:val="20"/>
          <w:szCs w:val="20"/>
        </w:rPr>
        <w:t>, </w:t>
      </w:r>
      <w:r w:rsidRPr="006F5F7E">
        <w:rPr>
          <w:rFonts w:asciiTheme="majorBidi" w:hAnsiTheme="majorBidi" w:cstheme="majorBidi"/>
          <w:i/>
          <w:iCs/>
          <w:sz w:val="20"/>
          <w:szCs w:val="20"/>
        </w:rPr>
        <w:t>62</w:t>
      </w:r>
      <w:r w:rsidRPr="006F5F7E">
        <w:rPr>
          <w:rFonts w:asciiTheme="majorBidi" w:hAnsiTheme="majorBidi" w:cstheme="majorBidi"/>
          <w:sz w:val="20"/>
          <w:szCs w:val="20"/>
        </w:rPr>
        <w:t>(2), 499-552.</w:t>
      </w:r>
    </w:p>
    <w:p w14:paraId="479F986F" w14:textId="180BA113" w:rsidR="00223895" w:rsidRPr="006F5F7E" w:rsidRDefault="00223895" w:rsidP="00223895">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Alhalabi, T., Castro, V., &amp; Wood, J. (2023). Bank dividend payout policy and debt seniority: Evidence from US Banks. </w:t>
      </w:r>
      <w:r w:rsidRPr="006F5F7E">
        <w:rPr>
          <w:rFonts w:asciiTheme="majorBidi" w:hAnsiTheme="majorBidi" w:cstheme="majorBidi"/>
          <w:i/>
          <w:iCs/>
          <w:sz w:val="20"/>
          <w:szCs w:val="20"/>
        </w:rPr>
        <w:t>Financial Markets, Institutions and Instruments</w:t>
      </w:r>
      <w:r w:rsidRPr="006F5F7E">
        <w:rPr>
          <w:rFonts w:asciiTheme="majorBidi" w:hAnsiTheme="majorBidi" w:cstheme="majorBidi"/>
          <w:sz w:val="20"/>
          <w:szCs w:val="20"/>
        </w:rPr>
        <w:t>, 32(5), 285–340. </w:t>
      </w:r>
      <w:hyperlink r:id="rId17" w:tgtFrame="_blank" w:history="1">
        <w:r w:rsidRPr="006F5F7E">
          <w:rPr>
            <w:rStyle w:val="Hyperlink"/>
            <w:rFonts w:asciiTheme="majorBidi" w:hAnsiTheme="majorBidi" w:cstheme="majorBidi"/>
            <w:sz w:val="20"/>
            <w:szCs w:val="20"/>
          </w:rPr>
          <w:t>https://doi.org/10.1111/fmii.12183</w:t>
        </w:r>
      </w:hyperlink>
    </w:p>
    <w:p w14:paraId="50A7C5FF" w14:textId="37FCCA37"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Al-Matari, E. M. (2025). Ownership structure and earnings management: The role of environmental sustainability as moderator variable. A further analysis. Saudi evidence. </w:t>
      </w:r>
      <w:r w:rsidRPr="006F5F7E">
        <w:rPr>
          <w:rFonts w:asciiTheme="majorBidi" w:hAnsiTheme="majorBidi" w:cstheme="majorBidi"/>
          <w:i/>
          <w:iCs/>
          <w:sz w:val="20"/>
          <w:szCs w:val="20"/>
        </w:rPr>
        <w:t>Cogent Business &amp; Management</w:t>
      </w:r>
      <w:r w:rsidRPr="006F5F7E">
        <w:rPr>
          <w:rFonts w:asciiTheme="majorBidi" w:hAnsiTheme="majorBidi" w:cstheme="majorBidi"/>
          <w:sz w:val="20"/>
          <w:szCs w:val="20"/>
        </w:rPr>
        <w:t>, 12(1). </w:t>
      </w:r>
      <w:hyperlink r:id="rId18" w:tgtFrame="_blank" w:history="1">
        <w:r w:rsidRPr="006F5F7E">
          <w:rPr>
            <w:rStyle w:val="Hyperlink"/>
            <w:rFonts w:asciiTheme="majorBidi" w:hAnsiTheme="majorBidi" w:cstheme="majorBidi"/>
            <w:sz w:val="20"/>
            <w:szCs w:val="20"/>
          </w:rPr>
          <w:t>https://doi.org/10.1080/23311975.2025.2504131</w:t>
        </w:r>
      </w:hyperlink>
    </w:p>
    <w:p w14:paraId="451DC9CC" w14:textId="3E1F730D" w:rsidR="0010502F" w:rsidRPr="006F5F7E" w:rsidRDefault="0010502F" w:rsidP="0010502F">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Alshdaifat, S. M., Alharasis, E. E., Ab Aziz, N. H., Bataineh, I., &amp; Al Amosh, H. (2025). Governance in crisis: do different types of ownership influence firm performance in GCC countries amid Covid-19? </w:t>
      </w:r>
      <w:r w:rsidRPr="006F5F7E">
        <w:rPr>
          <w:rFonts w:asciiTheme="majorBidi" w:hAnsiTheme="majorBidi" w:cstheme="majorBidi"/>
          <w:i/>
          <w:iCs/>
          <w:sz w:val="20"/>
          <w:szCs w:val="20"/>
        </w:rPr>
        <w:t>Cogent Business &amp; Management</w:t>
      </w:r>
      <w:r w:rsidRPr="006F5F7E">
        <w:rPr>
          <w:rFonts w:asciiTheme="majorBidi" w:hAnsiTheme="majorBidi" w:cstheme="majorBidi"/>
          <w:sz w:val="20"/>
          <w:szCs w:val="20"/>
        </w:rPr>
        <w:t>, </w:t>
      </w:r>
      <w:r w:rsidRPr="006F5F7E">
        <w:rPr>
          <w:rFonts w:asciiTheme="majorBidi" w:hAnsiTheme="majorBidi" w:cstheme="majorBidi"/>
          <w:i/>
          <w:iCs/>
          <w:sz w:val="20"/>
          <w:szCs w:val="20"/>
        </w:rPr>
        <w:t>12</w:t>
      </w:r>
      <w:r w:rsidRPr="006F5F7E">
        <w:rPr>
          <w:rFonts w:asciiTheme="majorBidi" w:hAnsiTheme="majorBidi" w:cstheme="majorBidi"/>
          <w:sz w:val="20"/>
          <w:szCs w:val="20"/>
        </w:rPr>
        <w:t xml:space="preserve">(1). </w:t>
      </w:r>
      <w:hyperlink r:id="rId19" w:history="1">
        <w:r w:rsidR="008B0DE9" w:rsidRPr="006F5F7E">
          <w:rPr>
            <w:rStyle w:val="Hyperlink"/>
            <w:rFonts w:asciiTheme="majorBidi" w:hAnsiTheme="majorBidi" w:cstheme="majorBidi"/>
            <w:sz w:val="20"/>
            <w:szCs w:val="20"/>
          </w:rPr>
          <w:t>https://doi.org/10.1080/23311975.2025.2463576</w:t>
        </w:r>
      </w:hyperlink>
      <w:r w:rsidR="008B0DE9" w:rsidRPr="006F5F7E">
        <w:rPr>
          <w:rFonts w:asciiTheme="majorBidi" w:hAnsiTheme="majorBidi" w:cstheme="majorBidi"/>
          <w:sz w:val="20"/>
          <w:szCs w:val="20"/>
        </w:rPr>
        <w:t xml:space="preserve"> </w:t>
      </w:r>
    </w:p>
    <w:p w14:paraId="3C5075D4" w14:textId="77777777" w:rsidR="00223895" w:rsidRPr="006F5F7E" w:rsidRDefault="00223895" w:rsidP="00223895">
      <w:pPr>
        <w:spacing w:line="360" w:lineRule="auto"/>
        <w:ind w:left="1077" w:hanging="720"/>
        <w:contextualSpacing/>
      </w:pPr>
      <w:proofErr w:type="spellStart"/>
      <w:r w:rsidRPr="006F5F7E">
        <w:rPr>
          <w:rFonts w:asciiTheme="majorBidi" w:hAnsiTheme="majorBidi" w:cstheme="majorBidi"/>
          <w:sz w:val="20"/>
          <w:szCs w:val="20"/>
        </w:rPr>
        <w:t>Arhinful</w:t>
      </w:r>
      <w:proofErr w:type="spellEnd"/>
      <w:r w:rsidRPr="006F5F7E">
        <w:rPr>
          <w:rFonts w:asciiTheme="majorBidi" w:hAnsiTheme="majorBidi" w:cstheme="majorBidi"/>
          <w:sz w:val="20"/>
          <w:szCs w:val="20"/>
        </w:rPr>
        <w:t>, R., Obeng, H. A., Mensah, L., &amp; Mensah, C. C. (2025). Signaling Sustainability: The impact of sustainable finance on dividend policy among firms listed on the London Stock Exchange. </w:t>
      </w:r>
      <w:r w:rsidRPr="006F5F7E">
        <w:rPr>
          <w:rFonts w:asciiTheme="majorBidi" w:hAnsiTheme="majorBidi" w:cstheme="majorBidi"/>
          <w:i/>
          <w:iCs/>
          <w:sz w:val="20"/>
          <w:szCs w:val="20"/>
        </w:rPr>
        <w:t>Business Strategy and the Environment</w:t>
      </w:r>
      <w:r w:rsidRPr="006F5F7E">
        <w:rPr>
          <w:rFonts w:asciiTheme="majorBidi" w:hAnsiTheme="majorBidi" w:cstheme="majorBidi"/>
          <w:sz w:val="20"/>
          <w:szCs w:val="20"/>
        </w:rPr>
        <w:t>. Advance online publication. </w:t>
      </w:r>
      <w:hyperlink r:id="rId20" w:tgtFrame="_blank" w:history="1">
        <w:r w:rsidRPr="006F5F7E">
          <w:rPr>
            <w:rStyle w:val="Hyperlink"/>
            <w:rFonts w:asciiTheme="majorBidi" w:hAnsiTheme="majorBidi" w:cstheme="majorBidi"/>
            <w:sz w:val="20"/>
            <w:szCs w:val="20"/>
          </w:rPr>
          <w:t>https://doi.org/10.1002/bse.70020</w:t>
        </w:r>
      </w:hyperlink>
    </w:p>
    <w:p w14:paraId="2C173DBF" w14:textId="4814B3C7" w:rsidR="005229F1" w:rsidRPr="006F5F7E" w:rsidRDefault="005229F1" w:rsidP="005229F1">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lastRenderedPageBreak/>
        <w:t>Aslam, H., Masood, A., ul Hassan, N., &amp; Shahbaz Yaqub, M. (2023). Dividend Policy and Ownership Concentration: An Empirical Analysis of the Non-Financial Sector of Pakistan. </w:t>
      </w:r>
      <w:r w:rsidRPr="006F5F7E">
        <w:rPr>
          <w:rFonts w:asciiTheme="majorBidi" w:hAnsiTheme="majorBidi" w:cstheme="majorBidi"/>
          <w:i/>
          <w:iCs/>
          <w:sz w:val="20"/>
          <w:szCs w:val="20"/>
        </w:rPr>
        <w:t>Asian Finance Research Journal (AFRJ)</w:t>
      </w:r>
      <w:r w:rsidRPr="006F5F7E">
        <w:rPr>
          <w:rFonts w:asciiTheme="majorBidi" w:hAnsiTheme="majorBidi" w:cstheme="majorBidi"/>
          <w:sz w:val="20"/>
          <w:szCs w:val="20"/>
        </w:rPr>
        <w:t>, </w:t>
      </w:r>
      <w:r w:rsidRPr="006F5F7E">
        <w:rPr>
          <w:rFonts w:asciiTheme="majorBidi" w:hAnsiTheme="majorBidi" w:cstheme="majorBidi"/>
          <w:i/>
          <w:iCs/>
          <w:sz w:val="20"/>
          <w:szCs w:val="20"/>
        </w:rPr>
        <w:t>5</w:t>
      </w:r>
      <w:r w:rsidRPr="006F5F7E">
        <w:rPr>
          <w:rFonts w:asciiTheme="majorBidi" w:hAnsiTheme="majorBidi" w:cstheme="majorBidi"/>
          <w:sz w:val="20"/>
          <w:szCs w:val="20"/>
        </w:rPr>
        <w:t xml:space="preserve">(1). Retrieved from </w:t>
      </w:r>
      <w:hyperlink r:id="rId21" w:history="1">
        <w:r w:rsidR="0060345F" w:rsidRPr="006F5F7E">
          <w:rPr>
            <w:rStyle w:val="Hyperlink"/>
            <w:rFonts w:asciiTheme="majorBidi" w:hAnsiTheme="majorBidi" w:cstheme="majorBidi"/>
            <w:sz w:val="20"/>
            <w:szCs w:val="20"/>
          </w:rPr>
          <w:t>https://journals.uol.edu.pk/afrj/article/view/2934</w:t>
        </w:r>
      </w:hyperlink>
      <w:r w:rsidR="0060345F" w:rsidRPr="006F5F7E">
        <w:rPr>
          <w:rFonts w:asciiTheme="majorBidi" w:hAnsiTheme="majorBidi" w:cstheme="majorBidi"/>
          <w:sz w:val="20"/>
          <w:szCs w:val="20"/>
        </w:rPr>
        <w:t xml:space="preserve"> </w:t>
      </w:r>
    </w:p>
    <w:p w14:paraId="75C520AD" w14:textId="6C3702B8"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Azeem, M., Ahmad, N., Majid, S., Rehman, J. U., &amp; Nafees, B. (2023). Corporate governance, financial constraints, and dividend policy: Evidence from Pakistan. </w:t>
      </w:r>
      <w:r w:rsidRPr="006F5F7E">
        <w:rPr>
          <w:rFonts w:asciiTheme="majorBidi" w:hAnsiTheme="majorBidi" w:cstheme="majorBidi"/>
          <w:i/>
          <w:iCs/>
          <w:sz w:val="20"/>
          <w:szCs w:val="20"/>
        </w:rPr>
        <w:t>Cogent Economics &amp; Finance</w:t>
      </w:r>
      <w:r w:rsidRPr="006F5F7E">
        <w:rPr>
          <w:rFonts w:asciiTheme="majorBidi" w:hAnsiTheme="majorBidi" w:cstheme="majorBidi"/>
          <w:sz w:val="20"/>
          <w:szCs w:val="20"/>
        </w:rPr>
        <w:t>, 11(2), 2243709. </w:t>
      </w:r>
      <w:hyperlink r:id="rId22" w:tgtFrame="_blank" w:history="1">
        <w:r w:rsidRPr="006F5F7E">
          <w:rPr>
            <w:rStyle w:val="Hyperlink"/>
            <w:rFonts w:asciiTheme="majorBidi" w:hAnsiTheme="majorBidi" w:cstheme="majorBidi"/>
            <w:sz w:val="20"/>
            <w:szCs w:val="20"/>
          </w:rPr>
          <w:t>https://doi.org/10.1080/23322039.2023.2243709</w:t>
        </w:r>
      </w:hyperlink>
    </w:p>
    <w:p w14:paraId="1675F025" w14:textId="3CBFDEB1" w:rsidR="00590495" w:rsidRPr="006F5F7E" w:rsidRDefault="00590495" w:rsidP="00590495">
      <w:pPr>
        <w:spacing w:line="360" w:lineRule="auto"/>
        <w:ind w:left="1077" w:hanging="720"/>
        <w:contextualSpacing/>
        <w:rPr>
          <w:rFonts w:asciiTheme="majorBidi" w:hAnsiTheme="majorBidi" w:cstheme="majorBidi"/>
          <w:sz w:val="20"/>
          <w:szCs w:val="20"/>
        </w:rPr>
      </w:pPr>
      <w:r w:rsidRPr="00590495">
        <w:rPr>
          <w:rFonts w:asciiTheme="majorBidi" w:hAnsiTheme="majorBidi" w:cstheme="majorBidi"/>
          <w:sz w:val="20"/>
          <w:szCs w:val="20"/>
        </w:rPr>
        <w:t xml:space="preserve">Bataineh, H. (2020). The impact of ownership structure on dividend policy of listed firms in Jordan. </w:t>
      </w:r>
      <w:r w:rsidRPr="00590495">
        <w:rPr>
          <w:rFonts w:asciiTheme="majorBidi" w:hAnsiTheme="majorBidi" w:cstheme="majorBidi"/>
          <w:i/>
          <w:iCs/>
          <w:sz w:val="20"/>
          <w:szCs w:val="20"/>
        </w:rPr>
        <w:t>Cogent Business &amp; Management</w:t>
      </w:r>
      <w:r w:rsidRPr="00590495">
        <w:rPr>
          <w:rFonts w:asciiTheme="majorBidi" w:hAnsiTheme="majorBidi" w:cstheme="majorBidi"/>
          <w:sz w:val="20"/>
          <w:szCs w:val="20"/>
        </w:rPr>
        <w:t xml:space="preserve">, </w:t>
      </w:r>
      <w:r w:rsidRPr="00590495">
        <w:rPr>
          <w:rFonts w:asciiTheme="majorBidi" w:hAnsiTheme="majorBidi" w:cstheme="majorBidi"/>
          <w:i/>
          <w:iCs/>
          <w:sz w:val="20"/>
          <w:szCs w:val="20"/>
        </w:rPr>
        <w:t>8</w:t>
      </w:r>
      <w:r w:rsidRPr="00590495">
        <w:rPr>
          <w:rFonts w:asciiTheme="majorBidi" w:hAnsiTheme="majorBidi" w:cstheme="majorBidi"/>
          <w:sz w:val="20"/>
          <w:szCs w:val="20"/>
        </w:rPr>
        <w:t xml:space="preserve">(1). </w:t>
      </w:r>
      <w:hyperlink r:id="rId23" w:history="1">
        <w:r w:rsidRPr="00590495">
          <w:rPr>
            <w:rStyle w:val="Hyperlink"/>
            <w:rFonts w:asciiTheme="majorBidi" w:hAnsiTheme="majorBidi" w:cstheme="majorBidi"/>
            <w:sz w:val="20"/>
            <w:szCs w:val="20"/>
          </w:rPr>
          <w:t>https://doi.org/10.1080/23311975.2020.1863175</w:t>
        </w:r>
      </w:hyperlink>
      <w:r w:rsidRPr="006F5F7E">
        <w:rPr>
          <w:rFonts w:asciiTheme="majorBidi" w:hAnsiTheme="majorBidi" w:cstheme="majorBidi"/>
          <w:sz w:val="20"/>
          <w:szCs w:val="20"/>
        </w:rPr>
        <w:t xml:space="preserve"> </w:t>
      </w:r>
    </w:p>
    <w:p w14:paraId="268384CF" w14:textId="107F34BA"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Bechter, C. (2024). The Dynamics of Dividends and Profitability: Analyzing ratios and their impact on business strategies and risks of banks. </w:t>
      </w:r>
      <w:r w:rsidRPr="006F5F7E">
        <w:rPr>
          <w:rFonts w:asciiTheme="majorBidi" w:hAnsiTheme="majorBidi" w:cstheme="majorBidi"/>
          <w:i/>
          <w:iCs/>
          <w:sz w:val="20"/>
          <w:szCs w:val="20"/>
        </w:rPr>
        <w:t>European Journal of Management, Economics and Business</w:t>
      </w:r>
      <w:r w:rsidRPr="006F5F7E">
        <w:rPr>
          <w:rFonts w:asciiTheme="majorBidi" w:hAnsiTheme="majorBidi" w:cstheme="majorBidi"/>
          <w:sz w:val="20"/>
          <w:szCs w:val="20"/>
        </w:rPr>
        <w:t>, 1(3), 76–85. </w:t>
      </w:r>
      <w:hyperlink r:id="rId24" w:tgtFrame="_blank" w:history="1">
        <w:r w:rsidRPr="006F5F7E">
          <w:rPr>
            <w:rStyle w:val="Hyperlink"/>
            <w:rFonts w:asciiTheme="majorBidi" w:hAnsiTheme="majorBidi" w:cstheme="majorBidi"/>
            <w:sz w:val="20"/>
            <w:szCs w:val="20"/>
          </w:rPr>
          <w:t>https://doi.org/10.59324/ejmeb.2024.1(3).07</w:t>
        </w:r>
      </w:hyperlink>
    </w:p>
    <w:p w14:paraId="11256927" w14:textId="5ABCC3E1" w:rsidR="001E5C8E" w:rsidRPr="006F5F7E" w:rsidRDefault="001E5C8E" w:rsidP="00533ED6">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Berle, A. A., &amp; Means, G. C. (1991). </w:t>
      </w:r>
      <w:r w:rsidRPr="006F5F7E">
        <w:rPr>
          <w:rFonts w:asciiTheme="majorBidi" w:hAnsiTheme="majorBidi" w:cstheme="majorBidi"/>
          <w:i/>
          <w:iCs/>
          <w:sz w:val="20"/>
          <w:szCs w:val="20"/>
        </w:rPr>
        <w:t>The modern corporation and private property</w:t>
      </w:r>
      <w:r w:rsidRPr="006F5F7E">
        <w:rPr>
          <w:rFonts w:asciiTheme="majorBidi" w:hAnsiTheme="majorBidi" w:cstheme="majorBidi"/>
          <w:sz w:val="20"/>
          <w:szCs w:val="20"/>
        </w:rPr>
        <w:t xml:space="preserve">. Transaction Publishers. </w:t>
      </w:r>
    </w:p>
    <w:p w14:paraId="6600B1C4" w14:textId="77777777" w:rsidR="00D22766" w:rsidRPr="006F5F7E" w:rsidRDefault="00D22766" w:rsidP="00D22766">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Bhattacharya, S. (1979). Imperfect information, dividend policy, and “the bird in the hand” fallacy. </w:t>
      </w:r>
      <w:r w:rsidRPr="006F5F7E">
        <w:rPr>
          <w:rFonts w:asciiTheme="majorBidi" w:hAnsiTheme="majorBidi" w:cstheme="majorBidi"/>
          <w:i/>
          <w:iCs/>
          <w:sz w:val="20"/>
          <w:szCs w:val="20"/>
        </w:rPr>
        <w:t>The Bell Journal of Economics</w:t>
      </w:r>
      <w:r w:rsidRPr="006F5F7E">
        <w:rPr>
          <w:rFonts w:asciiTheme="majorBidi" w:hAnsiTheme="majorBidi" w:cstheme="majorBidi"/>
          <w:sz w:val="20"/>
          <w:szCs w:val="20"/>
        </w:rPr>
        <w:t xml:space="preserve">, </w:t>
      </w:r>
      <w:r w:rsidRPr="006F5F7E">
        <w:rPr>
          <w:rFonts w:asciiTheme="majorBidi" w:hAnsiTheme="majorBidi" w:cstheme="majorBidi"/>
          <w:i/>
          <w:iCs/>
          <w:sz w:val="20"/>
          <w:szCs w:val="20"/>
        </w:rPr>
        <w:t>10</w:t>
      </w:r>
      <w:r w:rsidRPr="006F5F7E">
        <w:rPr>
          <w:rFonts w:asciiTheme="majorBidi" w:hAnsiTheme="majorBidi" w:cstheme="majorBidi"/>
          <w:sz w:val="20"/>
          <w:szCs w:val="20"/>
        </w:rPr>
        <w:t>(1), 259–270. https://doi.org/10.2307/3003330</w:t>
      </w:r>
    </w:p>
    <w:p w14:paraId="4DB544FA" w14:textId="05EB9EF3" w:rsidR="00223895" w:rsidRPr="006F5F7E" w:rsidRDefault="00223895" w:rsidP="00223895">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Danni, W., &amp; Qi, Z. (2024). Analyzing the Influence of Dividend Policy on Corporate Value: A Financial Perspective with Haier as a Case Study. </w:t>
      </w:r>
      <w:r w:rsidRPr="006F5F7E">
        <w:rPr>
          <w:rFonts w:asciiTheme="majorBidi" w:hAnsiTheme="majorBidi" w:cstheme="majorBidi"/>
          <w:i/>
          <w:iCs/>
          <w:sz w:val="20"/>
          <w:szCs w:val="20"/>
        </w:rPr>
        <w:t>Journal of Accounting Business and Management (JABM)</w:t>
      </w:r>
      <w:r w:rsidRPr="006F5F7E">
        <w:rPr>
          <w:rFonts w:asciiTheme="majorBidi" w:hAnsiTheme="majorBidi" w:cstheme="majorBidi"/>
          <w:sz w:val="20"/>
          <w:szCs w:val="20"/>
        </w:rPr>
        <w:t>, 32(1), 199. </w:t>
      </w:r>
      <w:hyperlink r:id="rId25" w:tgtFrame="_blank" w:history="1">
        <w:r w:rsidRPr="006F5F7E">
          <w:rPr>
            <w:rStyle w:val="Hyperlink"/>
            <w:rFonts w:asciiTheme="majorBidi" w:hAnsiTheme="majorBidi" w:cstheme="majorBidi"/>
            <w:sz w:val="20"/>
            <w:szCs w:val="20"/>
          </w:rPr>
          <w:t>https://doi.org/10.31966/jabminternational.v32i1.1464</w:t>
        </w:r>
      </w:hyperlink>
    </w:p>
    <w:p w14:paraId="3E241871" w14:textId="418CD971"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Dewasiri, N. J., Koralalage, W. B. Y., Azeez, A. A., Jayarathne, P., Kuruppuarachchi, D., &amp; Weerasinghe, V. (2019). Determinants of dividend policy: Evidence from an emerging and developing market. </w:t>
      </w:r>
      <w:r w:rsidRPr="006F5F7E">
        <w:rPr>
          <w:rFonts w:asciiTheme="majorBidi" w:hAnsiTheme="majorBidi" w:cstheme="majorBidi"/>
          <w:i/>
          <w:iCs/>
          <w:sz w:val="20"/>
          <w:szCs w:val="20"/>
        </w:rPr>
        <w:t>Managerial Finance</w:t>
      </w:r>
      <w:r w:rsidRPr="006F5F7E">
        <w:rPr>
          <w:rFonts w:asciiTheme="majorBidi" w:hAnsiTheme="majorBidi" w:cstheme="majorBidi"/>
          <w:sz w:val="20"/>
          <w:szCs w:val="20"/>
        </w:rPr>
        <w:t>, 45(3), 413–429. </w:t>
      </w:r>
      <w:hyperlink r:id="rId26" w:tgtFrame="_blank" w:history="1">
        <w:r w:rsidRPr="006F5F7E">
          <w:rPr>
            <w:rStyle w:val="Hyperlink"/>
            <w:rFonts w:asciiTheme="majorBidi" w:hAnsiTheme="majorBidi" w:cstheme="majorBidi"/>
            <w:sz w:val="20"/>
            <w:szCs w:val="20"/>
          </w:rPr>
          <w:t>https://doi.org/10.1108/MF-09-2017-0331</w:t>
        </w:r>
      </w:hyperlink>
    </w:p>
    <w:p w14:paraId="6A846EF6" w14:textId="1E78D8CD" w:rsidR="00693ABC" w:rsidRPr="006F5F7E" w:rsidRDefault="00693ABC" w:rsidP="00693ABC">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Duqi, A., Jaafar, A., &amp; Warsame, M. H. (2020). Payout policy and ownership structure: the case of islamic and conventional banks. The British Accounting Review, 52(1), 100826. </w:t>
      </w:r>
      <w:hyperlink r:id="rId27" w:history="1">
        <w:r w:rsidRPr="006F5F7E">
          <w:rPr>
            <w:rStyle w:val="Hyperlink"/>
            <w:rFonts w:asciiTheme="majorBidi" w:hAnsiTheme="majorBidi" w:cstheme="majorBidi"/>
            <w:sz w:val="20"/>
            <w:szCs w:val="20"/>
          </w:rPr>
          <w:t>https://doi.org/10.1016/j.bar.2019.03.001</w:t>
        </w:r>
      </w:hyperlink>
      <w:r w:rsidRPr="006F5F7E">
        <w:rPr>
          <w:rFonts w:asciiTheme="majorBidi" w:hAnsiTheme="majorBidi" w:cstheme="majorBidi"/>
          <w:sz w:val="20"/>
          <w:szCs w:val="20"/>
        </w:rPr>
        <w:t xml:space="preserve"> </w:t>
      </w:r>
    </w:p>
    <w:p w14:paraId="0A503D6A" w14:textId="421AE398" w:rsidR="00893F8E" w:rsidRPr="006F5F7E" w:rsidRDefault="00893F8E" w:rsidP="00893F8E">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Faccio, M., Lang, L. H. P., &amp; Young, L. (2001). Dividends and expropriation. </w:t>
      </w:r>
      <w:r w:rsidRPr="006F5F7E">
        <w:rPr>
          <w:rFonts w:asciiTheme="majorBidi" w:hAnsiTheme="majorBidi" w:cstheme="majorBidi"/>
          <w:i/>
          <w:iCs/>
          <w:sz w:val="20"/>
          <w:szCs w:val="20"/>
        </w:rPr>
        <w:t>American economic review</w:t>
      </w:r>
      <w:r w:rsidRPr="006F5F7E">
        <w:rPr>
          <w:rFonts w:asciiTheme="majorBidi" w:hAnsiTheme="majorBidi" w:cstheme="majorBidi"/>
          <w:sz w:val="20"/>
          <w:szCs w:val="20"/>
        </w:rPr>
        <w:t>, </w:t>
      </w:r>
      <w:r w:rsidRPr="006F5F7E">
        <w:rPr>
          <w:rFonts w:asciiTheme="majorBidi" w:hAnsiTheme="majorBidi" w:cstheme="majorBidi"/>
          <w:i/>
          <w:iCs/>
          <w:sz w:val="20"/>
          <w:szCs w:val="20"/>
        </w:rPr>
        <w:t>91</w:t>
      </w:r>
      <w:r w:rsidRPr="006F5F7E">
        <w:rPr>
          <w:rFonts w:asciiTheme="majorBidi" w:hAnsiTheme="majorBidi" w:cstheme="majorBidi"/>
          <w:sz w:val="20"/>
          <w:szCs w:val="20"/>
        </w:rPr>
        <w:t xml:space="preserve">(1), 54-78. </w:t>
      </w:r>
    </w:p>
    <w:p w14:paraId="5A83106E" w14:textId="6CF03A01" w:rsidR="00223895" w:rsidRPr="006F5F7E" w:rsidRDefault="00223895" w:rsidP="00223895">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lang w:val="pt-BR"/>
        </w:rPr>
        <w:t xml:space="preserve">Fama, E. F., &amp; French, K. R. (2001). </w:t>
      </w:r>
      <w:r w:rsidRPr="006F5F7E">
        <w:rPr>
          <w:rFonts w:asciiTheme="majorBidi" w:hAnsiTheme="majorBidi" w:cstheme="majorBidi"/>
          <w:sz w:val="20"/>
          <w:szCs w:val="20"/>
        </w:rPr>
        <w:t>Disappearing dividends: Changing firm characteristics or lower propensity to pay? </w:t>
      </w:r>
      <w:r w:rsidRPr="006F5F7E">
        <w:rPr>
          <w:rFonts w:asciiTheme="majorBidi" w:hAnsiTheme="majorBidi" w:cstheme="majorBidi"/>
          <w:i/>
          <w:iCs/>
          <w:sz w:val="20"/>
          <w:szCs w:val="20"/>
        </w:rPr>
        <w:t>Journal of Financial Economics</w:t>
      </w:r>
      <w:r w:rsidRPr="006F5F7E">
        <w:rPr>
          <w:rFonts w:asciiTheme="majorBidi" w:hAnsiTheme="majorBidi" w:cstheme="majorBidi"/>
          <w:sz w:val="20"/>
          <w:szCs w:val="20"/>
        </w:rPr>
        <w:t>, 60(1), 3–43. </w:t>
      </w:r>
      <w:hyperlink r:id="rId28" w:tgtFrame="_blank" w:history="1">
        <w:r w:rsidRPr="006F5F7E">
          <w:rPr>
            <w:rStyle w:val="Hyperlink"/>
            <w:rFonts w:asciiTheme="majorBidi" w:hAnsiTheme="majorBidi" w:cstheme="majorBidi"/>
            <w:sz w:val="20"/>
            <w:szCs w:val="20"/>
          </w:rPr>
          <w:t>https://doi.org/10.1016/S0304-405X(01)00038-1</w:t>
        </w:r>
      </w:hyperlink>
    </w:p>
    <w:p w14:paraId="157360C4" w14:textId="098480E1"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Hong, N. T. H., &amp; Linh, T. K. (2022). Institutional investors, corporate governance and firm performance in an emerging market: Evidence from Vietnam. </w:t>
      </w:r>
      <w:r w:rsidRPr="006F5F7E">
        <w:rPr>
          <w:rFonts w:asciiTheme="majorBidi" w:hAnsiTheme="majorBidi" w:cstheme="majorBidi"/>
          <w:i/>
          <w:iCs/>
          <w:sz w:val="20"/>
          <w:szCs w:val="20"/>
        </w:rPr>
        <w:t>Cogent Economics &amp; Finance</w:t>
      </w:r>
      <w:r w:rsidRPr="006F5F7E">
        <w:rPr>
          <w:rFonts w:asciiTheme="majorBidi" w:hAnsiTheme="majorBidi" w:cstheme="majorBidi"/>
          <w:sz w:val="20"/>
          <w:szCs w:val="20"/>
        </w:rPr>
        <w:t>, 11(1), 2159735. </w:t>
      </w:r>
      <w:hyperlink r:id="rId29" w:tgtFrame="_blank" w:history="1">
        <w:r w:rsidRPr="006F5F7E">
          <w:rPr>
            <w:rStyle w:val="Hyperlink"/>
            <w:rFonts w:asciiTheme="majorBidi" w:hAnsiTheme="majorBidi" w:cstheme="majorBidi"/>
            <w:sz w:val="20"/>
            <w:szCs w:val="20"/>
          </w:rPr>
          <w:t>https://doi.org/10.1080/23322039.2022.2159735</w:t>
        </w:r>
      </w:hyperlink>
    </w:p>
    <w:p w14:paraId="64451CFA" w14:textId="2A530F0F" w:rsidR="005D5F5F" w:rsidRPr="006F5F7E" w:rsidRDefault="005D5F5F" w:rsidP="005D5F5F">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Idris, S. (2023). Foreign Ownership and Dividend Pay-Out of Listed Consumer Goods Firms in Nigeria: The Mediating Role of Profitability. </w:t>
      </w:r>
      <w:r w:rsidRPr="006F5F7E">
        <w:rPr>
          <w:rFonts w:asciiTheme="majorBidi" w:hAnsiTheme="majorBidi" w:cstheme="majorBidi"/>
          <w:i/>
          <w:iCs/>
          <w:sz w:val="20"/>
          <w:szCs w:val="20"/>
        </w:rPr>
        <w:t>African Banking and Finance Review Journal</w:t>
      </w:r>
      <w:r w:rsidRPr="006F5F7E">
        <w:rPr>
          <w:rFonts w:asciiTheme="majorBidi" w:hAnsiTheme="majorBidi" w:cstheme="majorBidi"/>
          <w:sz w:val="20"/>
          <w:szCs w:val="20"/>
        </w:rPr>
        <w:t>, </w:t>
      </w:r>
      <w:r w:rsidRPr="006F5F7E">
        <w:rPr>
          <w:rFonts w:asciiTheme="majorBidi" w:hAnsiTheme="majorBidi" w:cstheme="majorBidi"/>
          <w:i/>
          <w:iCs/>
          <w:sz w:val="20"/>
          <w:szCs w:val="20"/>
        </w:rPr>
        <w:t>6</w:t>
      </w:r>
      <w:r w:rsidRPr="006F5F7E">
        <w:rPr>
          <w:rFonts w:asciiTheme="majorBidi" w:hAnsiTheme="majorBidi" w:cstheme="majorBidi"/>
          <w:sz w:val="20"/>
          <w:szCs w:val="20"/>
        </w:rPr>
        <w:t>(6), 121-141.</w:t>
      </w:r>
    </w:p>
    <w:p w14:paraId="4C605A7E" w14:textId="11A5D12A" w:rsidR="009F6348" w:rsidRPr="006F5F7E" w:rsidRDefault="00236AFF" w:rsidP="00236AFF">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Ismail, A. F., &amp; Anridho, N. (2024). The managerial and government ownership effect on dividend policy: The moderating role of investment opportunities. </w:t>
      </w:r>
      <w:r w:rsidRPr="006F5F7E">
        <w:rPr>
          <w:rFonts w:asciiTheme="majorBidi" w:hAnsiTheme="majorBidi" w:cstheme="majorBidi"/>
          <w:i/>
          <w:iCs/>
          <w:sz w:val="20"/>
          <w:szCs w:val="20"/>
        </w:rPr>
        <w:t>Jurnal Dinamika Akuntansi, 16</w:t>
      </w:r>
      <w:r w:rsidRPr="006F5F7E">
        <w:rPr>
          <w:rFonts w:asciiTheme="majorBidi" w:hAnsiTheme="majorBidi" w:cstheme="majorBidi"/>
          <w:sz w:val="20"/>
          <w:szCs w:val="20"/>
        </w:rPr>
        <w:t xml:space="preserve">(2), 187–201. </w:t>
      </w:r>
      <w:hyperlink r:id="rId30" w:tgtFrame="_new" w:history="1">
        <w:r w:rsidRPr="006F5F7E">
          <w:rPr>
            <w:rStyle w:val="Hyperlink"/>
            <w:rFonts w:asciiTheme="majorBidi" w:hAnsiTheme="majorBidi" w:cstheme="majorBidi"/>
            <w:sz w:val="20"/>
            <w:szCs w:val="20"/>
          </w:rPr>
          <w:t>https://doi.org/10.15294/jda.v16i2.6560</w:t>
        </w:r>
      </w:hyperlink>
    </w:p>
    <w:p w14:paraId="02A29CB1" w14:textId="400650E4" w:rsidR="00794709" w:rsidRPr="006F5F7E" w:rsidRDefault="00794709" w:rsidP="00794709">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Januarsi, Y., &amp; Sanusi, F. (2024). Profitability and dividend policy: How does free cash flow explain this </w:t>
      </w:r>
      <w:proofErr w:type="gramStart"/>
      <w:r w:rsidRPr="006F5F7E">
        <w:rPr>
          <w:rFonts w:asciiTheme="majorBidi" w:hAnsiTheme="majorBidi" w:cstheme="majorBidi"/>
          <w:sz w:val="20"/>
          <w:szCs w:val="20"/>
        </w:rPr>
        <w:t>relationship?.</w:t>
      </w:r>
      <w:proofErr w:type="gramEnd"/>
      <w:r w:rsidRPr="006F5F7E">
        <w:rPr>
          <w:rFonts w:asciiTheme="majorBidi" w:hAnsiTheme="majorBidi" w:cstheme="majorBidi"/>
          <w:sz w:val="20"/>
          <w:szCs w:val="20"/>
        </w:rPr>
        <w:t> </w:t>
      </w:r>
      <w:r w:rsidRPr="006F5F7E">
        <w:rPr>
          <w:rFonts w:asciiTheme="majorBidi" w:hAnsiTheme="majorBidi" w:cstheme="majorBidi"/>
          <w:i/>
          <w:iCs/>
          <w:sz w:val="20"/>
          <w:szCs w:val="20"/>
        </w:rPr>
        <w:t>Jurnal Siasat Bisnis</w:t>
      </w:r>
      <w:r w:rsidRPr="006F5F7E">
        <w:rPr>
          <w:rFonts w:asciiTheme="majorBidi" w:hAnsiTheme="majorBidi" w:cstheme="majorBidi"/>
          <w:sz w:val="20"/>
          <w:szCs w:val="20"/>
        </w:rPr>
        <w:t>, 56-70.</w:t>
      </w:r>
    </w:p>
    <w:p w14:paraId="0653F5AE" w14:textId="293A1BB7"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lastRenderedPageBreak/>
        <w:t>Jensen, M. C., &amp; Meckling, W. H. (1976). Theory of the firm: Managerial behavior, agency costs and ownership structure. </w:t>
      </w:r>
      <w:r w:rsidRPr="006F5F7E">
        <w:rPr>
          <w:rFonts w:asciiTheme="majorBidi" w:hAnsiTheme="majorBidi" w:cstheme="majorBidi"/>
          <w:i/>
          <w:iCs/>
          <w:sz w:val="20"/>
          <w:szCs w:val="20"/>
        </w:rPr>
        <w:t>Journal of Financial Economics</w:t>
      </w:r>
      <w:r w:rsidRPr="006F5F7E">
        <w:rPr>
          <w:rFonts w:asciiTheme="majorBidi" w:hAnsiTheme="majorBidi" w:cstheme="majorBidi"/>
          <w:sz w:val="20"/>
          <w:szCs w:val="20"/>
        </w:rPr>
        <w:t>, 3(4), 305–360. </w:t>
      </w:r>
      <w:hyperlink r:id="rId31" w:tgtFrame="_blank" w:history="1">
        <w:r w:rsidRPr="006F5F7E">
          <w:rPr>
            <w:rStyle w:val="Hyperlink"/>
            <w:rFonts w:asciiTheme="majorBidi" w:hAnsiTheme="majorBidi" w:cstheme="majorBidi"/>
            <w:sz w:val="20"/>
            <w:szCs w:val="20"/>
          </w:rPr>
          <w:t>https://doi.org/10.1016/0304-405X(76)90026-X</w:t>
        </w:r>
      </w:hyperlink>
    </w:p>
    <w:p w14:paraId="7EFFFC34" w14:textId="5646A457" w:rsidR="003550F5" w:rsidRPr="006F5F7E" w:rsidRDefault="003550F5" w:rsidP="003550F5">
      <w:pPr>
        <w:spacing w:line="360" w:lineRule="auto"/>
        <w:ind w:left="1077" w:hanging="720"/>
        <w:contextualSpacing/>
        <w:rPr>
          <w:rFonts w:asciiTheme="majorBidi" w:hAnsiTheme="majorBidi" w:cstheme="majorBidi"/>
          <w:sz w:val="20"/>
          <w:szCs w:val="20"/>
        </w:rPr>
      </w:pPr>
      <w:r w:rsidRPr="003550F5">
        <w:rPr>
          <w:rFonts w:asciiTheme="majorBidi" w:hAnsiTheme="majorBidi" w:cstheme="majorBidi"/>
          <w:sz w:val="20"/>
          <w:szCs w:val="20"/>
        </w:rPr>
        <w:t>Karim</w:t>
      </w:r>
      <w:r w:rsidRPr="006F5F7E">
        <w:rPr>
          <w:rFonts w:asciiTheme="majorBidi" w:hAnsiTheme="majorBidi" w:cstheme="majorBidi"/>
          <w:sz w:val="20"/>
          <w:szCs w:val="20"/>
        </w:rPr>
        <w:t xml:space="preserve">, </w:t>
      </w:r>
      <w:r w:rsidRPr="003550F5">
        <w:rPr>
          <w:rFonts w:asciiTheme="majorBidi" w:hAnsiTheme="majorBidi" w:cstheme="majorBidi"/>
          <w:sz w:val="20"/>
          <w:szCs w:val="20"/>
        </w:rPr>
        <w:t>A</w:t>
      </w:r>
      <w:r w:rsidRPr="006F5F7E">
        <w:rPr>
          <w:rFonts w:asciiTheme="majorBidi" w:hAnsiTheme="majorBidi" w:cstheme="majorBidi"/>
          <w:sz w:val="20"/>
          <w:szCs w:val="20"/>
        </w:rPr>
        <w:t xml:space="preserve">. </w:t>
      </w:r>
      <w:r w:rsidRPr="003550F5">
        <w:rPr>
          <w:rFonts w:asciiTheme="majorBidi" w:hAnsiTheme="majorBidi" w:cstheme="majorBidi"/>
          <w:sz w:val="20"/>
          <w:szCs w:val="20"/>
        </w:rPr>
        <w:t>K</w:t>
      </w:r>
      <w:r w:rsidRPr="006F5F7E">
        <w:rPr>
          <w:rFonts w:asciiTheme="majorBidi" w:hAnsiTheme="majorBidi" w:cstheme="majorBidi"/>
          <w:sz w:val="20"/>
          <w:szCs w:val="20"/>
        </w:rPr>
        <w:t xml:space="preserve">. </w:t>
      </w:r>
      <w:r w:rsidRPr="003550F5">
        <w:rPr>
          <w:rFonts w:asciiTheme="majorBidi" w:hAnsiTheme="majorBidi" w:cstheme="majorBidi"/>
          <w:sz w:val="20"/>
          <w:szCs w:val="20"/>
        </w:rPr>
        <w:t>A</w:t>
      </w:r>
      <w:r w:rsidRPr="006F5F7E">
        <w:rPr>
          <w:rFonts w:asciiTheme="majorBidi" w:hAnsiTheme="majorBidi" w:cstheme="majorBidi"/>
          <w:sz w:val="20"/>
          <w:szCs w:val="20"/>
        </w:rPr>
        <w:t xml:space="preserve">., </w:t>
      </w:r>
      <w:r w:rsidRPr="003550F5">
        <w:rPr>
          <w:rFonts w:asciiTheme="majorBidi" w:hAnsiTheme="majorBidi" w:cstheme="majorBidi"/>
          <w:sz w:val="20"/>
          <w:szCs w:val="20"/>
        </w:rPr>
        <w:t>Young</w:t>
      </w:r>
      <w:r w:rsidRPr="006F5F7E">
        <w:rPr>
          <w:rFonts w:asciiTheme="majorBidi" w:hAnsiTheme="majorBidi" w:cstheme="majorBidi"/>
          <w:sz w:val="20"/>
          <w:szCs w:val="20"/>
        </w:rPr>
        <w:t xml:space="preserve">, </w:t>
      </w:r>
      <w:r w:rsidRPr="003550F5">
        <w:rPr>
          <w:rFonts w:asciiTheme="majorBidi" w:hAnsiTheme="majorBidi" w:cstheme="majorBidi"/>
          <w:sz w:val="20"/>
          <w:szCs w:val="20"/>
        </w:rPr>
        <w:t>F</w:t>
      </w:r>
      <w:r w:rsidRPr="006F5F7E">
        <w:rPr>
          <w:rFonts w:asciiTheme="majorBidi" w:hAnsiTheme="majorBidi" w:cstheme="majorBidi"/>
          <w:sz w:val="20"/>
          <w:szCs w:val="20"/>
        </w:rPr>
        <w:t xml:space="preserve">. </w:t>
      </w:r>
      <w:r w:rsidRPr="003550F5">
        <w:rPr>
          <w:rFonts w:asciiTheme="majorBidi" w:hAnsiTheme="majorBidi" w:cstheme="majorBidi"/>
          <w:sz w:val="20"/>
          <w:szCs w:val="20"/>
        </w:rPr>
        <w:t>C</w:t>
      </w:r>
      <w:r w:rsidRPr="006F5F7E">
        <w:rPr>
          <w:rFonts w:asciiTheme="majorBidi" w:hAnsiTheme="majorBidi" w:cstheme="majorBidi"/>
          <w:sz w:val="20"/>
          <w:szCs w:val="20"/>
        </w:rPr>
        <w:t xml:space="preserve">. </w:t>
      </w:r>
      <w:r w:rsidRPr="003550F5">
        <w:rPr>
          <w:rFonts w:asciiTheme="majorBidi" w:hAnsiTheme="majorBidi" w:cstheme="majorBidi"/>
          <w:sz w:val="20"/>
          <w:szCs w:val="20"/>
        </w:rPr>
        <w:t>Y</w:t>
      </w:r>
      <w:r w:rsidRPr="006F5F7E">
        <w:rPr>
          <w:rFonts w:asciiTheme="majorBidi" w:hAnsiTheme="majorBidi" w:cstheme="majorBidi"/>
          <w:sz w:val="20"/>
          <w:szCs w:val="20"/>
        </w:rPr>
        <w:t xml:space="preserve">. </w:t>
      </w:r>
      <w:r w:rsidRPr="003550F5">
        <w:rPr>
          <w:rFonts w:asciiTheme="majorBidi" w:hAnsiTheme="majorBidi" w:cstheme="majorBidi"/>
          <w:sz w:val="20"/>
          <w:szCs w:val="20"/>
        </w:rPr>
        <w:t>F</w:t>
      </w:r>
      <w:r w:rsidRPr="006F5F7E">
        <w:rPr>
          <w:rFonts w:asciiTheme="majorBidi" w:hAnsiTheme="majorBidi" w:cstheme="majorBidi"/>
          <w:sz w:val="20"/>
          <w:szCs w:val="20"/>
        </w:rPr>
        <w:t xml:space="preserve">. </w:t>
      </w:r>
      <w:r w:rsidRPr="003550F5">
        <w:rPr>
          <w:rFonts w:asciiTheme="majorBidi" w:hAnsiTheme="majorBidi" w:cstheme="majorBidi"/>
          <w:sz w:val="20"/>
          <w:szCs w:val="20"/>
        </w:rPr>
        <w:t>C</w:t>
      </w:r>
      <w:r w:rsidRPr="006F5F7E">
        <w:rPr>
          <w:rFonts w:asciiTheme="majorBidi" w:hAnsiTheme="majorBidi" w:cstheme="majorBidi"/>
          <w:sz w:val="20"/>
          <w:szCs w:val="20"/>
        </w:rPr>
        <w:t xml:space="preserve">., </w:t>
      </w:r>
      <w:r w:rsidRPr="003550F5">
        <w:rPr>
          <w:rFonts w:asciiTheme="majorBidi" w:hAnsiTheme="majorBidi" w:cstheme="majorBidi"/>
          <w:sz w:val="20"/>
          <w:szCs w:val="20"/>
        </w:rPr>
        <w:t>Purnamasari</w:t>
      </w:r>
      <w:r w:rsidRPr="006F5F7E">
        <w:rPr>
          <w:rFonts w:asciiTheme="majorBidi" w:hAnsiTheme="majorBidi" w:cstheme="majorBidi"/>
          <w:sz w:val="20"/>
          <w:szCs w:val="20"/>
        </w:rPr>
        <w:t xml:space="preserve">, </w:t>
      </w:r>
      <w:r w:rsidRPr="003550F5">
        <w:rPr>
          <w:rFonts w:asciiTheme="majorBidi" w:hAnsiTheme="majorBidi" w:cstheme="majorBidi"/>
          <w:sz w:val="20"/>
          <w:szCs w:val="20"/>
        </w:rPr>
        <w:t>Y</w:t>
      </w:r>
      <w:r w:rsidRPr="006F5F7E">
        <w:rPr>
          <w:rFonts w:asciiTheme="majorBidi" w:hAnsiTheme="majorBidi" w:cstheme="majorBidi"/>
          <w:sz w:val="20"/>
          <w:szCs w:val="20"/>
        </w:rPr>
        <w:t xml:space="preserve">. </w:t>
      </w:r>
      <w:r w:rsidRPr="003550F5">
        <w:rPr>
          <w:rFonts w:asciiTheme="majorBidi" w:hAnsiTheme="majorBidi" w:cstheme="majorBidi"/>
          <w:sz w:val="20"/>
          <w:szCs w:val="20"/>
        </w:rPr>
        <w:t>F</w:t>
      </w:r>
      <w:r w:rsidRPr="006F5F7E">
        <w:rPr>
          <w:rFonts w:asciiTheme="majorBidi" w:hAnsiTheme="majorBidi" w:cstheme="majorBidi"/>
          <w:sz w:val="20"/>
          <w:szCs w:val="20"/>
        </w:rPr>
        <w:t xml:space="preserve">. </w:t>
      </w:r>
      <w:r w:rsidRPr="003550F5">
        <w:rPr>
          <w:rFonts w:asciiTheme="majorBidi" w:hAnsiTheme="majorBidi" w:cstheme="majorBidi"/>
          <w:sz w:val="20"/>
          <w:szCs w:val="20"/>
        </w:rPr>
        <w:t>P</w:t>
      </w:r>
      <w:r w:rsidRPr="006F5F7E">
        <w:rPr>
          <w:rFonts w:asciiTheme="majorBidi" w:hAnsiTheme="majorBidi" w:cstheme="majorBidi"/>
          <w:sz w:val="20"/>
          <w:szCs w:val="20"/>
        </w:rPr>
        <w:t xml:space="preserve">. </w:t>
      </w:r>
      <w:r w:rsidRPr="003550F5">
        <w:rPr>
          <w:rFonts w:asciiTheme="majorBidi" w:hAnsiTheme="majorBidi" w:cstheme="majorBidi"/>
          <w:sz w:val="20"/>
          <w:szCs w:val="20"/>
        </w:rPr>
        <w:t>Y</w:t>
      </w:r>
      <w:r w:rsidRPr="006F5F7E">
        <w:rPr>
          <w:rFonts w:asciiTheme="majorBidi" w:hAnsiTheme="majorBidi" w:cstheme="majorBidi"/>
          <w:sz w:val="20"/>
          <w:szCs w:val="20"/>
        </w:rPr>
        <w:t xml:space="preserve">. </w:t>
      </w:r>
      <w:r w:rsidRPr="003550F5">
        <w:rPr>
          <w:rFonts w:asciiTheme="majorBidi" w:hAnsiTheme="majorBidi" w:cstheme="majorBidi"/>
          <w:sz w:val="20"/>
          <w:szCs w:val="20"/>
        </w:rPr>
        <w:t>F</w:t>
      </w:r>
      <w:r w:rsidRPr="006F5F7E">
        <w:rPr>
          <w:rFonts w:asciiTheme="majorBidi" w:hAnsiTheme="majorBidi" w:cstheme="majorBidi"/>
          <w:sz w:val="20"/>
          <w:szCs w:val="20"/>
        </w:rPr>
        <w:t xml:space="preserve">., </w:t>
      </w:r>
      <w:r w:rsidRPr="003550F5">
        <w:rPr>
          <w:rFonts w:asciiTheme="majorBidi" w:hAnsiTheme="majorBidi" w:cstheme="majorBidi"/>
          <w:sz w:val="20"/>
          <w:szCs w:val="20"/>
        </w:rPr>
        <w:t>Febrianto</w:t>
      </w:r>
      <w:r w:rsidRPr="006F5F7E">
        <w:rPr>
          <w:rFonts w:asciiTheme="majorBidi" w:hAnsiTheme="majorBidi" w:cstheme="majorBidi"/>
          <w:sz w:val="20"/>
          <w:szCs w:val="20"/>
        </w:rPr>
        <w:t xml:space="preserve">, </w:t>
      </w:r>
      <w:r w:rsidRPr="003550F5">
        <w:rPr>
          <w:rFonts w:asciiTheme="majorBidi" w:hAnsiTheme="majorBidi" w:cstheme="majorBidi"/>
          <w:sz w:val="20"/>
          <w:szCs w:val="20"/>
        </w:rPr>
        <w:t>H</w:t>
      </w:r>
      <w:r w:rsidRPr="006F5F7E">
        <w:rPr>
          <w:rFonts w:asciiTheme="majorBidi" w:hAnsiTheme="majorBidi" w:cstheme="majorBidi"/>
          <w:sz w:val="20"/>
          <w:szCs w:val="20"/>
        </w:rPr>
        <w:t xml:space="preserve">. </w:t>
      </w:r>
      <w:r w:rsidRPr="003550F5">
        <w:rPr>
          <w:rFonts w:asciiTheme="majorBidi" w:hAnsiTheme="majorBidi" w:cstheme="majorBidi"/>
          <w:sz w:val="20"/>
          <w:szCs w:val="20"/>
        </w:rPr>
        <w:t>G</w:t>
      </w:r>
      <w:r w:rsidRPr="006F5F7E">
        <w:rPr>
          <w:rFonts w:asciiTheme="majorBidi" w:hAnsiTheme="majorBidi" w:cstheme="majorBidi"/>
          <w:sz w:val="20"/>
          <w:szCs w:val="20"/>
        </w:rPr>
        <w:t xml:space="preserve">. </w:t>
      </w:r>
      <w:r w:rsidRPr="003550F5">
        <w:rPr>
          <w:rFonts w:asciiTheme="majorBidi" w:hAnsiTheme="majorBidi" w:cstheme="majorBidi"/>
          <w:sz w:val="20"/>
          <w:szCs w:val="20"/>
        </w:rPr>
        <w:t>F</w:t>
      </w:r>
      <w:r w:rsidRPr="006F5F7E">
        <w:rPr>
          <w:rFonts w:asciiTheme="majorBidi" w:hAnsiTheme="majorBidi" w:cstheme="majorBidi"/>
          <w:sz w:val="20"/>
          <w:szCs w:val="20"/>
        </w:rPr>
        <w:t xml:space="preserve">. </w:t>
      </w:r>
      <w:r w:rsidRPr="003550F5">
        <w:rPr>
          <w:rFonts w:asciiTheme="majorBidi" w:hAnsiTheme="majorBidi" w:cstheme="majorBidi"/>
          <w:sz w:val="20"/>
          <w:szCs w:val="20"/>
        </w:rPr>
        <w:t>H</w:t>
      </w:r>
      <w:r w:rsidRPr="006F5F7E">
        <w:rPr>
          <w:rFonts w:asciiTheme="majorBidi" w:hAnsiTheme="majorBidi" w:cstheme="majorBidi"/>
          <w:sz w:val="20"/>
          <w:szCs w:val="20"/>
        </w:rPr>
        <w:t xml:space="preserve">. </w:t>
      </w:r>
      <w:r w:rsidRPr="003550F5">
        <w:rPr>
          <w:rFonts w:asciiTheme="majorBidi" w:hAnsiTheme="majorBidi" w:cstheme="majorBidi"/>
          <w:sz w:val="20"/>
          <w:szCs w:val="20"/>
        </w:rPr>
        <w:t>G</w:t>
      </w:r>
      <w:r w:rsidRPr="006F5F7E">
        <w:rPr>
          <w:rFonts w:asciiTheme="majorBidi" w:hAnsiTheme="majorBidi" w:cstheme="majorBidi"/>
          <w:sz w:val="20"/>
          <w:szCs w:val="20"/>
        </w:rPr>
        <w:t xml:space="preserve">., </w:t>
      </w:r>
      <w:r w:rsidRPr="003550F5">
        <w:rPr>
          <w:rFonts w:asciiTheme="majorBidi" w:hAnsiTheme="majorBidi" w:cstheme="majorBidi"/>
          <w:sz w:val="20"/>
          <w:szCs w:val="20"/>
        </w:rPr>
        <w:t>Zatira</w:t>
      </w:r>
      <w:r w:rsidRPr="006F5F7E">
        <w:rPr>
          <w:rFonts w:asciiTheme="majorBidi" w:hAnsiTheme="majorBidi" w:cstheme="majorBidi"/>
          <w:sz w:val="20"/>
          <w:szCs w:val="20"/>
        </w:rPr>
        <w:t xml:space="preserve">, </w:t>
      </w:r>
      <w:r w:rsidRPr="003550F5">
        <w:rPr>
          <w:rFonts w:asciiTheme="majorBidi" w:hAnsiTheme="majorBidi" w:cstheme="majorBidi"/>
          <w:sz w:val="20"/>
          <w:szCs w:val="20"/>
        </w:rPr>
        <w:t>D</w:t>
      </w:r>
      <w:r w:rsidRPr="006F5F7E">
        <w:rPr>
          <w:rFonts w:asciiTheme="majorBidi" w:hAnsiTheme="majorBidi" w:cstheme="majorBidi"/>
          <w:sz w:val="20"/>
          <w:szCs w:val="20"/>
        </w:rPr>
        <w:t xml:space="preserve">. </w:t>
      </w:r>
      <w:r w:rsidRPr="003550F5">
        <w:rPr>
          <w:rFonts w:asciiTheme="majorBidi" w:hAnsiTheme="majorBidi" w:cstheme="majorBidi"/>
          <w:sz w:val="20"/>
          <w:szCs w:val="20"/>
        </w:rPr>
        <w:t>Z</w:t>
      </w:r>
      <w:r w:rsidRPr="006F5F7E">
        <w:rPr>
          <w:rFonts w:asciiTheme="majorBidi" w:hAnsiTheme="majorBidi" w:cstheme="majorBidi"/>
          <w:sz w:val="20"/>
          <w:szCs w:val="20"/>
        </w:rPr>
        <w:t xml:space="preserve">. </w:t>
      </w:r>
      <w:r w:rsidRPr="003550F5">
        <w:rPr>
          <w:rFonts w:asciiTheme="majorBidi" w:hAnsiTheme="majorBidi" w:cstheme="majorBidi"/>
          <w:sz w:val="20"/>
          <w:szCs w:val="20"/>
        </w:rPr>
        <w:t>D</w:t>
      </w:r>
      <w:r w:rsidRPr="006F5F7E">
        <w:rPr>
          <w:rFonts w:asciiTheme="majorBidi" w:hAnsiTheme="majorBidi" w:cstheme="majorBidi"/>
          <w:sz w:val="20"/>
          <w:szCs w:val="20"/>
        </w:rPr>
        <w:t xml:space="preserve">., &amp; </w:t>
      </w:r>
      <w:r w:rsidRPr="003550F5">
        <w:rPr>
          <w:rFonts w:asciiTheme="majorBidi" w:hAnsiTheme="majorBidi" w:cstheme="majorBidi"/>
          <w:sz w:val="20"/>
          <w:szCs w:val="20"/>
        </w:rPr>
        <w:t>Fitriana</w:t>
      </w:r>
      <w:r w:rsidRPr="006F5F7E">
        <w:rPr>
          <w:rFonts w:asciiTheme="majorBidi" w:hAnsiTheme="majorBidi" w:cstheme="majorBidi"/>
          <w:sz w:val="20"/>
          <w:szCs w:val="20"/>
        </w:rPr>
        <w:t xml:space="preserve">, </w:t>
      </w:r>
      <w:r w:rsidRPr="003550F5">
        <w:rPr>
          <w:rFonts w:asciiTheme="majorBidi" w:hAnsiTheme="majorBidi" w:cstheme="majorBidi"/>
          <w:sz w:val="20"/>
          <w:szCs w:val="20"/>
        </w:rPr>
        <w:t>A</w:t>
      </w:r>
      <w:r w:rsidRPr="006F5F7E">
        <w:rPr>
          <w:rFonts w:asciiTheme="majorBidi" w:hAnsiTheme="majorBidi" w:cstheme="majorBidi"/>
          <w:sz w:val="20"/>
          <w:szCs w:val="20"/>
        </w:rPr>
        <w:t xml:space="preserve">. </w:t>
      </w:r>
      <w:r w:rsidRPr="003550F5">
        <w:rPr>
          <w:rFonts w:asciiTheme="majorBidi" w:hAnsiTheme="majorBidi" w:cstheme="majorBidi"/>
          <w:sz w:val="20"/>
          <w:szCs w:val="20"/>
        </w:rPr>
        <w:t>I</w:t>
      </w:r>
      <w:r w:rsidRPr="006F5F7E">
        <w:rPr>
          <w:rFonts w:asciiTheme="majorBidi" w:hAnsiTheme="majorBidi" w:cstheme="majorBidi"/>
          <w:sz w:val="20"/>
          <w:szCs w:val="20"/>
        </w:rPr>
        <w:t xml:space="preserve">. </w:t>
      </w:r>
      <w:r w:rsidRPr="003550F5">
        <w:rPr>
          <w:rFonts w:asciiTheme="majorBidi" w:hAnsiTheme="majorBidi" w:cstheme="majorBidi"/>
          <w:sz w:val="20"/>
          <w:szCs w:val="20"/>
        </w:rPr>
        <w:t>F</w:t>
      </w:r>
      <w:r w:rsidRPr="006F5F7E">
        <w:rPr>
          <w:rFonts w:asciiTheme="majorBidi" w:hAnsiTheme="majorBidi" w:cstheme="majorBidi"/>
          <w:sz w:val="20"/>
          <w:szCs w:val="20"/>
        </w:rPr>
        <w:t xml:space="preserve">. A. </w:t>
      </w:r>
      <w:r w:rsidRPr="003550F5">
        <w:rPr>
          <w:rFonts w:asciiTheme="majorBidi" w:hAnsiTheme="majorBidi" w:cstheme="majorBidi"/>
          <w:sz w:val="20"/>
          <w:szCs w:val="20"/>
        </w:rPr>
        <w:t>I</w:t>
      </w:r>
      <w:r w:rsidRPr="006F5F7E">
        <w:rPr>
          <w:rFonts w:asciiTheme="majorBidi" w:hAnsiTheme="majorBidi" w:cstheme="majorBidi"/>
          <w:sz w:val="20"/>
          <w:szCs w:val="20"/>
        </w:rPr>
        <w:t xml:space="preserve">. (2025). </w:t>
      </w:r>
      <w:r w:rsidR="00AC0BD8" w:rsidRPr="006F5F7E">
        <w:rPr>
          <w:rFonts w:asciiTheme="majorBidi" w:hAnsiTheme="majorBidi" w:cstheme="majorBidi"/>
          <w:sz w:val="20"/>
          <w:szCs w:val="20"/>
        </w:rPr>
        <w:t xml:space="preserve">The Moderating Effect of Profitability </w:t>
      </w:r>
      <w:r w:rsidR="00F80208" w:rsidRPr="006F5F7E">
        <w:rPr>
          <w:rFonts w:asciiTheme="majorBidi" w:hAnsiTheme="majorBidi" w:cstheme="majorBidi"/>
          <w:sz w:val="20"/>
          <w:szCs w:val="20"/>
        </w:rPr>
        <w:t>on</w:t>
      </w:r>
      <w:r w:rsidR="00AC0BD8" w:rsidRPr="006F5F7E">
        <w:rPr>
          <w:rFonts w:asciiTheme="majorBidi" w:hAnsiTheme="majorBidi" w:cstheme="majorBidi"/>
          <w:sz w:val="20"/>
          <w:szCs w:val="20"/>
        </w:rPr>
        <w:t xml:space="preserve"> Dividend Policy </w:t>
      </w:r>
      <w:proofErr w:type="gramStart"/>
      <w:r w:rsidR="00AC0BD8" w:rsidRPr="006F5F7E">
        <w:rPr>
          <w:rFonts w:asciiTheme="majorBidi" w:hAnsiTheme="majorBidi" w:cstheme="majorBidi"/>
          <w:sz w:val="20"/>
          <w:szCs w:val="20"/>
        </w:rPr>
        <w:t>In</w:t>
      </w:r>
      <w:proofErr w:type="gramEnd"/>
      <w:r w:rsidR="00AC0BD8" w:rsidRPr="006F5F7E">
        <w:rPr>
          <w:rFonts w:asciiTheme="majorBidi" w:hAnsiTheme="majorBidi" w:cstheme="majorBidi"/>
          <w:sz w:val="20"/>
          <w:szCs w:val="20"/>
        </w:rPr>
        <w:t xml:space="preserve"> Indonesian Infrastructure Companies</w:t>
      </w:r>
      <w:r w:rsidRPr="006F5F7E">
        <w:rPr>
          <w:rFonts w:asciiTheme="majorBidi" w:hAnsiTheme="majorBidi" w:cstheme="majorBidi"/>
          <w:sz w:val="20"/>
          <w:szCs w:val="20"/>
        </w:rPr>
        <w:t xml:space="preserve">. </w:t>
      </w:r>
      <w:r w:rsidRPr="003550F5">
        <w:rPr>
          <w:rFonts w:asciiTheme="majorBidi" w:hAnsiTheme="majorBidi" w:cstheme="majorBidi"/>
          <w:i/>
          <w:iCs/>
          <w:sz w:val="20"/>
          <w:szCs w:val="20"/>
        </w:rPr>
        <w:t>JRAK</w:t>
      </w:r>
      <w:r w:rsidRPr="006F5F7E">
        <w:rPr>
          <w:rFonts w:asciiTheme="majorBidi" w:hAnsiTheme="majorBidi" w:cstheme="majorBidi"/>
          <w:sz w:val="20"/>
          <w:szCs w:val="20"/>
        </w:rPr>
        <w:t xml:space="preserve">, </w:t>
      </w:r>
      <w:r w:rsidRPr="006F5F7E">
        <w:rPr>
          <w:rFonts w:asciiTheme="majorBidi" w:hAnsiTheme="majorBidi" w:cstheme="majorBidi"/>
          <w:i/>
          <w:iCs/>
          <w:sz w:val="20"/>
          <w:szCs w:val="20"/>
        </w:rPr>
        <w:t>17</w:t>
      </w:r>
      <w:r w:rsidRPr="006F5F7E">
        <w:rPr>
          <w:rFonts w:asciiTheme="majorBidi" w:hAnsiTheme="majorBidi" w:cstheme="majorBidi"/>
          <w:sz w:val="20"/>
          <w:szCs w:val="20"/>
        </w:rPr>
        <w:t>(2), 159–174. Https://Doi.Org/10.23969/Jrak.V17i2.22566</w:t>
      </w:r>
    </w:p>
    <w:p w14:paraId="78BB191D" w14:textId="7A0BB55E" w:rsidR="00223895" w:rsidRPr="006F5F7E" w:rsidRDefault="00223895" w:rsidP="00223895">
      <w:pPr>
        <w:spacing w:line="360" w:lineRule="auto"/>
        <w:ind w:left="1077" w:hanging="720"/>
        <w:contextualSpacing/>
      </w:pPr>
      <w:r w:rsidRPr="00EC7449">
        <w:rPr>
          <w:rFonts w:asciiTheme="majorBidi" w:hAnsiTheme="majorBidi" w:cstheme="majorBidi"/>
          <w:sz w:val="20"/>
          <w:szCs w:val="20"/>
          <w:lang w:val="en-GB"/>
        </w:rPr>
        <w:t xml:space="preserve">La Porta, R., Lopez-de-Silanes, F., Shleifer, A., &amp; </w:t>
      </w:r>
      <w:proofErr w:type="spellStart"/>
      <w:r w:rsidRPr="00EC7449">
        <w:rPr>
          <w:rFonts w:asciiTheme="majorBidi" w:hAnsiTheme="majorBidi" w:cstheme="majorBidi"/>
          <w:sz w:val="20"/>
          <w:szCs w:val="20"/>
          <w:lang w:val="en-GB"/>
        </w:rPr>
        <w:t>Vishny</w:t>
      </w:r>
      <w:proofErr w:type="spellEnd"/>
      <w:r w:rsidRPr="00EC7449">
        <w:rPr>
          <w:rFonts w:asciiTheme="majorBidi" w:hAnsiTheme="majorBidi" w:cstheme="majorBidi"/>
          <w:sz w:val="20"/>
          <w:szCs w:val="20"/>
          <w:lang w:val="en-GB"/>
        </w:rPr>
        <w:t xml:space="preserve">, R. W. (2000). </w:t>
      </w:r>
      <w:r w:rsidRPr="006F5F7E">
        <w:rPr>
          <w:rFonts w:asciiTheme="majorBidi" w:hAnsiTheme="majorBidi" w:cstheme="majorBidi"/>
          <w:sz w:val="20"/>
          <w:szCs w:val="20"/>
        </w:rPr>
        <w:t>Agency problems and dividend policies around the world. </w:t>
      </w:r>
      <w:r w:rsidRPr="006F5F7E">
        <w:rPr>
          <w:rFonts w:asciiTheme="majorBidi" w:hAnsiTheme="majorBidi" w:cstheme="majorBidi"/>
          <w:i/>
          <w:iCs/>
          <w:sz w:val="20"/>
          <w:szCs w:val="20"/>
        </w:rPr>
        <w:t>Journal of Finance</w:t>
      </w:r>
      <w:r w:rsidRPr="006F5F7E">
        <w:rPr>
          <w:rFonts w:asciiTheme="majorBidi" w:hAnsiTheme="majorBidi" w:cstheme="majorBidi"/>
          <w:sz w:val="20"/>
          <w:szCs w:val="20"/>
        </w:rPr>
        <w:t>, 55(1), 1–33. </w:t>
      </w:r>
      <w:hyperlink r:id="rId32" w:tgtFrame="_blank" w:history="1">
        <w:r w:rsidRPr="00EC7449">
          <w:rPr>
            <w:rStyle w:val="Hyperlink"/>
            <w:rFonts w:asciiTheme="majorBidi" w:hAnsiTheme="majorBidi" w:cstheme="majorBidi"/>
            <w:sz w:val="20"/>
            <w:szCs w:val="20"/>
            <w:lang w:val="en-GB"/>
          </w:rPr>
          <w:t>https://doi.org/10.1111/0022-1082.00199</w:t>
        </w:r>
      </w:hyperlink>
    </w:p>
    <w:p w14:paraId="40757DAD" w14:textId="6DCA2BEF" w:rsidR="00734C0A" w:rsidRPr="006F5F7E" w:rsidRDefault="00734C0A" w:rsidP="00734C0A">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Loncan, T. (2020). Foreign institutional ownership and corporate cash holdings: evidence from emerging economies. International Review of Financial Analysis, 71, 101295. https://doi.org/10.1016/j.irfa.2018.12.003</w:t>
      </w:r>
    </w:p>
    <w:p w14:paraId="17631784" w14:textId="4E2F2AAA" w:rsidR="00223895" w:rsidRPr="006F5F7E" w:rsidRDefault="00223895" w:rsidP="00223895">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lang w:val="pt-BR"/>
        </w:rPr>
        <w:t xml:space="preserve">Lubis, R. K., Darmadi, S., Pratiwi, T. A., Windara, P. F., Lutvian, S., &amp; Firas, R. (2025). </w:t>
      </w:r>
      <w:r w:rsidRPr="006F5F7E">
        <w:rPr>
          <w:rFonts w:asciiTheme="majorBidi" w:hAnsiTheme="majorBidi" w:cstheme="majorBidi"/>
          <w:sz w:val="20"/>
          <w:szCs w:val="20"/>
        </w:rPr>
        <w:t>Managerial ownership as a corporate governance mechanism in shaping leverage decisions: Insights from Indonesia. </w:t>
      </w:r>
      <w:r w:rsidRPr="00EC7449">
        <w:rPr>
          <w:rFonts w:asciiTheme="majorBidi" w:hAnsiTheme="majorBidi" w:cstheme="majorBidi"/>
          <w:i/>
          <w:iCs/>
          <w:sz w:val="20"/>
          <w:szCs w:val="20"/>
          <w:lang w:val="en-GB"/>
        </w:rPr>
        <w:t>Cogent Business &amp; Management</w:t>
      </w:r>
      <w:r w:rsidRPr="00EC7449">
        <w:rPr>
          <w:rFonts w:asciiTheme="majorBidi" w:hAnsiTheme="majorBidi" w:cstheme="majorBidi"/>
          <w:sz w:val="20"/>
          <w:szCs w:val="20"/>
          <w:lang w:val="en-GB"/>
        </w:rPr>
        <w:t>, 12(1). </w:t>
      </w:r>
      <w:hyperlink r:id="rId33" w:tgtFrame="_blank" w:history="1">
        <w:r w:rsidRPr="00EC7449">
          <w:rPr>
            <w:rStyle w:val="Hyperlink"/>
            <w:rFonts w:asciiTheme="majorBidi" w:hAnsiTheme="majorBidi" w:cstheme="majorBidi"/>
            <w:sz w:val="20"/>
            <w:szCs w:val="20"/>
            <w:lang w:val="en-GB"/>
          </w:rPr>
          <w:t>https://doi.org/10.1080/23311975.2025.2473043</w:t>
        </w:r>
      </w:hyperlink>
    </w:p>
    <w:p w14:paraId="19BF31D3" w14:textId="32FB4264" w:rsidR="002521FB" w:rsidRPr="006F5F7E" w:rsidRDefault="00B0415E" w:rsidP="00B0415E">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Miller, M. H., &amp; Rock, K. (1985). Dividend policy under asymmetric information. </w:t>
      </w:r>
      <w:r w:rsidRPr="006F5F7E">
        <w:rPr>
          <w:rFonts w:asciiTheme="majorBidi" w:hAnsiTheme="majorBidi" w:cstheme="majorBidi"/>
          <w:i/>
          <w:iCs/>
          <w:sz w:val="20"/>
          <w:szCs w:val="20"/>
        </w:rPr>
        <w:t>The Journal of Finance</w:t>
      </w:r>
      <w:r w:rsidRPr="006F5F7E">
        <w:rPr>
          <w:rFonts w:asciiTheme="majorBidi" w:hAnsiTheme="majorBidi" w:cstheme="majorBidi"/>
          <w:sz w:val="20"/>
          <w:szCs w:val="20"/>
        </w:rPr>
        <w:t xml:space="preserve">, </w:t>
      </w:r>
      <w:r w:rsidRPr="006F5F7E">
        <w:rPr>
          <w:rFonts w:asciiTheme="majorBidi" w:hAnsiTheme="majorBidi" w:cstheme="majorBidi"/>
          <w:i/>
          <w:iCs/>
          <w:sz w:val="20"/>
          <w:szCs w:val="20"/>
        </w:rPr>
        <w:t>40</w:t>
      </w:r>
      <w:r w:rsidRPr="006F5F7E">
        <w:rPr>
          <w:rFonts w:asciiTheme="majorBidi" w:hAnsiTheme="majorBidi" w:cstheme="majorBidi"/>
          <w:sz w:val="20"/>
          <w:szCs w:val="20"/>
        </w:rPr>
        <w:t xml:space="preserve">(4), 1031–1051. </w:t>
      </w:r>
      <w:hyperlink r:id="rId34" w:history="1">
        <w:r w:rsidRPr="006F5F7E">
          <w:rPr>
            <w:rStyle w:val="Hyperlink"/>
            <w:rFonts w:asciiTheme="majorBidi" w:hAnsiTheme="majorBidi" w:cstheme="majorBidi"/>
            <w:sz w:val="20"/>
            <w:szCs w:val="20"/>
          </w:rPr>
          <w:t>https://doi.org/10.1111/j.1540-6261.1985.tb02362.x</w:t>
        </w:r>
      </w:hyperlink>
      <w:r w:rsidRPr="006F5F7E">
        <w:rPr>
          <w:rFonts w:asciiTheme="majorBidi" w:hAnsiTheme="majorBidi" w:cstheme="majorBidi"/>
          <w:sz w:val="20"/>
          <w:szCs w:val="20"/>
        </w:rPr>
        <w:t xml:space="preserve"> </w:t>
      </w:r>
    </w:p>
    <w:p w14:paraId="502AD024" w14:textId="727EA0E8" w:rsidR="00733ACC" w:rsidRPr="006F5F7E" w:rsidRDefault="00733ACC" w:rsidP="00733ACC">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Morck, R., Shleifer, A., &amp; Vishny, R. W. (1988). Management ownership and market valuation: An empirical analysis. </w:t>
      </w:r>
      <w:r w:rsidRPr="006F5F7E">
        <w:rPr>
          <w:rFonts w:asciiTheme="majorBidi" w:hAnsiTheme="majorBidi" w:cstheme="majorBidi"/>
          <w:i/>
          <w:iCs/>
          <w:sz w:val="20"/>
          <w:szCs w:val="20"/>
        </w:rPr>
        <w:t>Journal of Financial Economics, 20</w:t>
      </w:r>
      <w:r w:rsidRPr="006F5F7E">
        <w:rPr>
          <w:rFonts w:asciiTheme="majorBidi" w:hAnsiTheme="majorBidi" w:cstheme="majorBidi"/>
          <w:sz w:val="20"/>
          <w:szCs w:val="20"/>
        </w:rPr>
        <w:t>, 293–315. https://doi.org/10.1016/0304-405X(88)90048-7</w:t>
      </w:r>
    </w:p>
    <w:p w14:paraId="76D7216A" w14:textId="754B869B" w:rsidR="00223895" w:rsidRPr="006F5F7E" w:rsidRDefault="00223895" w:rsidP="00223895">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lang w:val="en-GB"/>
        </w:rPr>
        <w:t xml:space="preserve">Munir, Q., Akram, B., &amp; Abbas, S. A. (2024). </w:t>
      </w:r>
      <w:r w:rsidRPr="006F5F7E">
        <w:rPr>
          <w:rFonts w:asciiTheme="majorBidi" w:hAnsiTheme="majorBidi" w:cstheme="majorBidi"/>
          <w:sz w:val="20"/>
          <w:szCs w:val="20"/>
        </w:rPr>
        <w:t>Understanding stock price dynamics with dividend-related metrics and financial indicators in Pakistan's non-financial sectors. </w:t>
      </w:r>
      <w:r w:rsidRPr="006F5F7E">
        <w:rPr>
          <w:rFonts w:asciiTheme="majorBidi" w:hAnsiTheme="majorBidi" w:cstheme="majorBidi"/>
          <w:i/>
          <w:iCs/>
          <w:sz w:val="20"/>
          <w:szCs w:val="20"/>
        </w:rPr>
        <w:t>Journal of Business and Economic Options</w:t>
      </w:r>
      <w:r w:rsidRPr="006F5F7E">
        <w:rPr>
          <w:rFonts w:asciiTheme="majorBidi" w:hAnsiTheme="majorBidi" w:cstheme="majorBidi"/>
          <w:sz w:val="20"/>
          <w:szCs w:val="20"/>
        </w:rPr>
        <w:t>, 7(1), 1–9.</w:t>
      </w:r>
    </w:p>
    <w:p w14:paraId="3629CC9B" w14:textId="77777777" w:rsidR="00223895" w:rsidRPr="006F5F7E" w:rsidRDefault="00223895" w:rsidP="00223895">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Nel, G., </w:t>
      </w:r>
      <w:proofErr w:type="spellStart"/>
      <w:r w:rsidRPr="006F5F7E">
        <w:rPr>
          <w:rFonts w:asciiTheme="majorBidi" w:hAnsiTheme="majorBidi" w:cstheme="majorBidi"/>
          <w:sz w:val="20"/>
          <w:szCs w:val="20"/>
        </w:rPr>
        <w:t>Jachi</w:t>
      </w:r>
      <w:proofErr w:type="spellEnd"/>
      <w:r w:rsidRPr="006F5F7E">
        <w:rPr>
          <w:rFonts w:asciiTheme="majorBidi" w:hAnsiTheme="majorBidi" w:cstheme="majorBidi"/>
          <w:sz w:val="20"/>
          <w:szCs w:val="20"/>
        </w:rPr>
        <w:t>, M., &amp; Scholtz, H. (2024). The impact of institutional and managerial ownership on the pay-performance relationship: Evidence from JSE-listed firms. </w:t>
      </w:r>
      <w:r w:rsidRPr="006F5F7E">
        <w:rPr>
          <w:rFonts w:asciiTheme="majorBidi" w:hAnsiTheme="majorBidi" w:cstheme="majorBidi"/>
          <w:i/>
          <w:iCs/>
          <w:sz w:val="20"/>
          <w:szCs w:val="20"/>
        </w:rPr>
        <w:t>Journal of Management &amp; Governance</w:t>
      </w:r>
      <w:r w:rsidRPr="006F5F7E">
        <w:rPr>
          <w:rFonts w:asciiTheme="majorBidi" w:hAnsiTheme="majorBidi" w:cstheme="majorBidi"/>
          <w:sz w:val="20"/>
          <w:szCs w:val="20"/>
        </w:rPr>
        <w:t>. Advance online publication. </w:t>
      </w:r>
      <w:hyperlink r:id="rId35" w:tgtFrame="_blank" w:history="1">
        <w:r w:rsidRPr="006F5F7E">
          <w:rPr>
            <w:rStyle w:val="Hyperlink"/>
            <w:rFonts w:asciiTheme="majorBidi" w:hAnsiTheme="majorBidi" w:cstheme="majorBidi"/>
            <w:sz w:val="20"/>
            <w:szCs w:val="20"/>
          </w:rPr>
          <w:t>https://doi.org/10.1007/s10997-024-09725-9</w:t>
        </w:r>
      </w:hyperlink>
    </w:p>
    <w:p w14:paraId="7C9B1BC4" w14:textId="6280D3DB" w:rsidR="00223895" w:rsidRPr="006F5F7E" w:rsidRDefault="00223895" w:rsidP="00223895">
      <w:pPr>
        <w:spacing w:line="360" w:lineRule="auto"/>
        <w:ind w:left="1077" w:hanging="720"/>
        <w:contextualSpacing/>
        <w:rPr>
          <w:rFonts w:asciiTheme="majorBidi" w:hAnsiTheme="majorBidi" w:cstheme="majorBidi"/>
          <w:sz w:val="20"/>
          <w:szCs w:val="20"/>
        </w:rPr>
      </w:pPr>
      <w:proofErr w:type="spellStart"/>
      <w:r w:rsidRPr="006F5F7E">
        <w:rPr>
          <w:rFonts w:asciiTheme="majorBidi" w:hAnsiTheme="majorBidi" w:cstheme="majorBidi"/>
          <w:sz w:val="20"/>
          <w:szCs w:val="20"/>
          <w:lang w:val="fr-FR"/>
        </w:rPr>
        <w:t>Nworie</w:t>
      </w:r>
      <w:proofErr w:type="spellEnd"/>
      <w:r w:rsidRPr="006F5F7E">
        <w:rPr>
          <w:rFonts w:asciiTheme="majorBidi" w:hAnsiTheme="majorBidi" w:cstheme="majorBidi"/>
          <w:sz w:val="20"/>
          <w:szCs w:val="20"/>
          <w:lang w:val="fr-FR"/>
        </w:rPr>
        <w:t xml:space="preserve">, G. O., </w:t>
      </w:r>
      <w:proofErr w:type="spellStart"/>
      <w:r w:rsidRPr="006F5F7E">
        <w:rPr>
          <w:rFonts w:asciiTheme="majorBidi" w:hAnsiTheme="majorBidi" w:cstheme="majorBidi"/>
          <w:sz w:val="20"/>
          <w:szCs w:val="20"/>
          <w:lang w:val="fr-FR"/>
        </w:rPr>
        <w:t>Oduche</w:t>
      </w:r>
      <w:proofErr w:type="spellEnd"/>
      <w:r w:rsidRPr="006F5F7E">
        <w:rPr>
          <w:rFonts w:asciiTheme="majorBidi" w:hAnsiTheme="majorBidi" w:cstheme="majorBidi"/>
          <w:sz w:val="20"/>
          <w:szCs w:val="20"/>
          <w:lang w:val="fr-FR"/>
        </w:rPr>
        <w:t>, I. J., &amp; Cyril-</w:t>
      </w:r>
      <w:proofErr w:type="spellStart"/>
      <w:r w:rsidRPr="006F5F7E">
        <w:rPr>
          <w:rFonts w:asciiTheme="majorBidi" w:hAnsiTheme="majorBidi" w:cstheme="majorBidi"/>
          <w:sz w:val="20"/>
          <w:szCs w:val="20"/>
          <w:lang w:val="fr-FR"/>
        </w:rPr>
        <w:t>Nwuche</w:t>
      </w:r>
      <w:proofErr w:type="spellEnd"/>
      <w:r w:rsidRPr="006F5F7E">
        <w:rPr>
          <w:rFonts w:asciiTheme="majorBidi" w:hAnsiTheme="majorBidi" w:cstheme="majorBidi"/>
          <w:sz w:val="20"/>
          <w:szCs w:val="20"/>
          <w:lang w:val="fr-FR"/>
        </w:rPr>
        <w:t xml:space="preserve">, O. F. (2024). </w:t>
      </w:r>
      <w:r w:rsidRPr="006F5F7E">
        <w:rPr>
          <w:rFonts w:asciiTheme="majorBidi" w:hAnsiTheme="majorBidi" w:cstheme="majorBidi"/>
          <w:sz w:val="20"/>
          <w:szCs w:val="20"/>
        </w:rPr>
        <w:t>Signaling theory in action: How dividends affect shareholder investment decisions in Nigerian deposit money banks. </w:t>
      </w:r>
      <w:r w:rsidRPr="006F5F7E">
        <w:rPr>
          <w:rFonts w:asciiTheme="majorBidi" w:hAnsiTheme="majorBidi" w:cstheme="majorBidi"/>
          <w:i/>
          <w:iCs/>
          <w:sz w:val="20"/>
          <w:szCs w:val="20"/>
        </w:rPr>
        <w:t>Asian Journal of Economics, Business and Accounting</w:t>
      </w:r>
      <w:r w:rsidRPr="006F5F7E">
        <w:rPr>
          <w:rFonts w:asciiTheme="majorBidi" w:hAnsiTheme="majorBidi" w:cstheme="majorBidi"/>
          <w:sz w:val="20"/>
          <w:szCs w:val="20"/>
        </w:rPr>
        <w:t>, 24(7), 506</w:t>
      </w:r>
      <w:r w:rsidR="00425C3D" w:rsidRPr="006F5F7E">
        <w:rPr>
          <w:rFonts w:asciiTheme="majorBidi" w:hAnsiTheme="majorBidi" w:cstheme="majorBidi"/>
          <w:sz w:val="20"/>
          <w:szCs w:val="20"/>
        </w:rPr>
        <w:t>-</w:t>
      </w:r>
      <w:r w:rsidRPr="006F5F7E">
        <w:rPr>
          <w:rFonts w:asciiTheme="majorBidi" w:hAnsiTheme="majorBidi" w:cstheme="majorBidi"/>
          <w:sz w:val="20"/>
          <w:szCs w:val="20"/>
        </w:rPr>
        <w:t>515. </w:t>
      </w:r>
      <w:hyperlink r:id="rId36" w:tgtFrame="_blank" w:history="1">
        <w:r w:rsidRPr="006F5F7E">
          <w:rPr>
            <w:rStyle w:val="Hyperlink"/>
            <w:rFonts w:asciiTheme="majorBidi" w:hAnsiTheme="majorBidi" w:cstheme="majorBidi"/>
            <w:sz w:val="20"/>
            <w:szCs w:val="20"/>
          </w:rPr>
          <w:t>https://doi.org/10.9734/ajeba/2024/v24i71426</w:t>
        </w:r>
      </w:hyperlink>
    </w:p>
    <w:p w14:paraId="076AD2FD" w14:textId="4A1CBD39" w:rsidR="0050722E" w:rsidRPr="006F5F7E" w:rsidRDefault="0050722E" w:rsidP="0050722E">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Sinha, P., &amp; Kumar, A. (2024). Do dividends signal earnings quality in the emerging markets? Large sample evidence from India. </w:t>
      </w:r>
      <w:r w:rsidRPr="006F5F7E">
        <w:rPr>
          <w:rFonts w:asciiTheme="majorBidi" w:hAnsiTheme="majorBidi" w:cstheme="majorBidi"/>
          <w:i/>
          <w:iCs/>
          <w:sz w:val="20"/>
          <w:szCs w:val="20"/>
        </w:rPr>
        <w:t>International Journal of System Assurance Engineering and Management</w:t>
      </w:r>
      <w:r w:rsidRPr="006F5F7E">
        <w:rPr>
          <w:rFonts w:asciiTheme="majorBidi" w:hAnsiTheme="majorBidi" w:cstheme="majorBidi"/>
          <w:sz w:val="20"/>
          <w:szCs w:val="20"/>
        </w:rPr>
        <w:t>, 1-21.</w:t>
      </w:r>
    </w:p>
    <w:p w14:paraId="3F7104FE" w14:textId="65DD6FDC" w:rsidR="00CC4973" w:rsidRPr="006F5F7E" w:rsidRDefault="00CC4973" w:rsidP="00CC4973">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Susilo, B. W., Chandrarin, G., &amp; Asih, P. (2021). The effect of profitability on dividend policy and firm value: A case study of Indonesian manufacturing company. </w:t>
      </w:r>
      <w:r w:rsidRPr="006F5F7E">
        <w:rPr>
          <w:rFonts w:asciiTheme="majorBidi" w:hAnsiTheme="majorBidi" w:cstheme="majorBidi"/>
          <w:i/>
          <w:iCs/>
          <w:sz w:val="20"/>
          <w:szCs w:val="20"/>
        </w:rPr>
        <w:t>International Journal of Advances in Scientific Research and Engineering, 7</w:t>
      </w:r>
      <w:r w:rsidRPr="006F5F7E">
        <w:rPr>
          <w:rFonts w:asciiTheme="majorBidi" w:hAnsiTheme="majorBidi" w:cstheme="majorBidi"/>
          <w:sz w:val="20"/>
          <w:szCs w:val="20"/>
        </w:rPr>
        <w:t xml:space="preserve">(8), 70–76. </w:t>
      </w:r>
      <w:hyperlink r:id="rId37" w:tgtFrame="_new" w:history="1">
        <w:r w:rsidRPr="006F5F7E">
          <w:rPr>
            <w:rStyle w:val="Hyperlink"/>
            <w:rFonts w:asciiTheme="majorBidi" w:hAnsiTheme="majorBidi" w:cstheme="majorBidi"/>
            <w:sz w:val="20"/>
            <w:szCs w:val="20"/>
          </w:rPr>
          <w:t>https://doi.org/10.31695/ijasre.2021.34068</w:t>
        </w:r>
      </w:hyperlink>
    </w:p>
    <w:p w14:paraId="111D1A42" w14:textId="58AD657D" w:rsidR="008E52CD" w:rsidRPr="006F5F7E" w:rsidRDefault="008E52CD" w:rsidP="00AC7FBD">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Tawfik, O. I., Rashid, A. R. A., Elbaz, M. M., &amp; Madbouly, A. (2024). The effects of managerial entrenchments on the relationship between cash holdings and corporate financial objectives in </w:t>
      </w:r>
      <w:r w:rsidRPr="006F5F7E">
        <w:rPr>
          <w:rFonts w:asciiTheme="majorBidi" w:hAnsiTheme="majorBidi" w:cstheme="majorBidi"/>
          <w:sz w:val="20"/>
          <w:szCs w:val="20"/>
        </w:rPr>
        <w:lastRenderedPageBreak/>
        <w:t xml:space="preserve">GCC countries. </w:t>
      </w:r>
      <w:r w:rsidRPr="006F5F7E">
        <w:rPr>
          <w:rFonts w:asciiTheme="majorBidi" w:hAnsiTheme="majorBidi" w:cstheme="majorBidi"/>
          <w:i/>
          <w:iCs/>
          <w:sz w:val="20"/>
          <w:szCs w:val="20"/>
        </w:rPr>
        <w:t>Cogent Business &amp; Management</w:t>
      </w:r>
      <w:r w:rsidRPr="006F5F7E">
        <w:rPr>
          <w:rFonts w:asciiTheme="majorBidi" w:hAnsiTheme="majorBidi" w:cstheme="majorBidi"/>
          <w:sz w:val="20"/>
          <w:szCs w:val="20"/>
        </w:rPr>
        <w:t xml:space="preserve">, </w:t>
      </w:r>
      <w:r w:rsidRPr="006F5F7E">
        <w:rPr>
          <w:rFonts w:asciiTheme="majorBidi" w:hAnsiTheme="majorBidi" w:cstheme="majorBidi"/>
          <w:i/>
          <w:iCs/>
          <w:sz w:val="20"/>
          <w:szCs w:val="20"/>
        </w:rPr>
        <w:t>11</w:t>
      </w:r>
      <w:r w:rsidRPr="006F5F7E">
        <w:rPr>
          <w:rFonts w:asciiTheme="majorBidi" w:hAnsiTheme="majorBidi" w:cstheme="majorBidi"/>
          <w:sz w:val="20"/>
          <w:szCs w:val="20"/>
        </w:rPr>
        <w:t xml:space="preserve">(1). </w:t>
      </w:r>
      <w:hyperlink r:id="rId38" w:history="1">
        <w:r w:rsidR="00AC7FBD" w:rsidRPr="006F5F7E">
          <w:rPr>
            <w:rStyle w:val="Hyperlink"/>
            <w:rFonts w:asciiTheme="majorBidi" w:hAnsiTheme="majorBidi" w:cstheme="majorBidi"/>
            <w:sz w:val="20"/>
            <w:szCs w:val="20"/>
          </w:rPr>
          <w:t>https://doi.org/10.1080/23311975.2024.2396045</w:t>
        </w:r>
      </w:hyperlink>
      <w:r w:rsidR="00AC7FBD" w:rsidRPr="006F5F7E">
        <w:rPr>
          <w:rFonts w:asciiTheme="majorBidi" w:hAnsiTheme="majorBidi" w:cstheme="majorBidi"/>
          <w:sz w:val="20"/>
          <w:szCs w:val="20"/>
        </w:rPr>
        <w:t xml:space="preserve"> </w:t>
      </w:r>
    </w:p>
    <w:p w14:paraId="72FB4807" w14:textId="316BCE8D" w:rsidR="00337731" w:rsidRPr="006F5F7E" w:rsidRDefault="00337731" w:rsidP="00337731">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Tayachi, T., Hunjra, A. I., Jones, K., Mehmood, R., &amp; Al‐Faryan, M. A. S. (2021). How does ownership structure affect the financing and dividend decisions of </w:t>
      </w:r>
      <w:proofErr w:type="gramStart"/>
      <w:r w:rsidRPr="006F5F7E">
        <w:rPr>
          <w:rFonts w:asciiTheme="majorBidi" w:hAnsiTheme="majorBidi" w:cstheme="majorBidi"/>
          <w:sz w:val="20"/>
          <w:szCs w:val="20"/>
        </w:rPr>
        <w:t>firm?.</w:t>
      </w:r>
      <w:proofErr w:type="gramEnd"/>
      <w:r w:rsidRPr="006F5F7E">
        <w:rPr>
          <w:rFonts w:asciiTheme="majorBidi" w:hAnsiTheme="majorBidi" w:cstheme="majorBidi"/>
          <w:sz w:val="20"/>
          <w:szCs w:val="20"/>
        </w:rPr>
        <w:t xml:space="preserve"> Journal of Financial Reporting and Accounting, 21(3), 729-746. </w:t>
      </w:r>
      <w:hyperlink r:id="rId39" w:history="1">
        <w:r w:rsidR="00440904" w:rsidRPr="006F5F7E">
          <w:rPr>
            <w:rStyle w:val="Hyperlink"/>
            <w:rFonts w:asciiTheme="majorBidi" w:hAnsiTheme="majorBidi" w:cstheme="majorBidi"/>
            <w:sz w:val="20"/>
            <w:szCs w:val="20"/>
          </w:rPr>
          <w:t>https://doi.org/10.1108/jfra-09-2021-0291</w:t>
        </w:r>
      </w:hyperlink>
      <w:r w:rsidR="00440904" w:rsidRPr="006F5F7E">
        <w:rPr>
          <w:rFonts w:asciiTheme="majorBidi" w:hAnsiTheme="majorBidi" w:cstheme="majorBidi"/>
          <w:sz w:val="20"/>
          <w:szCs w:val="20"/>
        </w:rPr>
        <w:t xml:space="preserve"> </w:t>
      </w:r>
    </w:p>
    <w:p w14:paraId="791564EE" w14:textId="5D7DB538"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Tayeh, M., Mustafa, R., &amp; Bino, A. (2023). Ownership structure and agency costs: Evidence from the insurance industry in Jordan. </w:t>
      </w:r>
      <w:r w:rsidRPr="006F5F7E">
        <w:rPr>
          <w:rFonts w:asciiTheme="majorBidi" w:hAnsiTheme="majorBidi" w:cstheme="majorBidi"/>
          <w:i/>
          <w:iCs/>
          <w:sz w:val="20"/>
          <w:szCs w:val="20"/>
        </w:rPr>
        <w:t>Journal of Economics, Finance and Administrative Science</w:t>
      </w:r>
      <w:r w:rsidRPr="006F5F7E">
        <w:rPr>
          <w:rFonts w:asciiTheme="majorBidi" w:hAnsiTheme="majorBidi" w:cstheme="majorBidi"/>
          <w:sz w:val="20"/>
          <w:szCs w:val="20"/>
        </w:rPr>
        <w:t>, 28(56), 287–302. </w:t>
      </w:r>
      <w:hyperlink r:id="rId40" w:tgtFrame="_blank" w:history="1">
        <w:r w:rsidRPr="006F5F7E">
          <w:rPr>
            <w:rStyle w:val="Hyperlink"/>
            <w:rFonts w:asciiTheme="majorBidi" w:hAnsiTheme="majorBidi" w:cstheme="majorBidi"/>
            <w:sz w:val="20"/>
            <w:szCs w:val="20"/>
          </w:rPr>
          <w:t>https://doi.org/10.1108/JEFAS-12-2021-0257</w:t>
        </w:r>
      </w:hyperlink>
    </w:p>
    <w:p w14:paraId="00754F73" w14:textId="40E02A3C" w:rsidR="005A75D8" w:rsidRPr="006F5F7E" w:rsidRDefault="005A75D8" w:rsidP="005A75D8">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Tran, Q. T. (2024). Industry environment and dividend policy. In </w:t>
      </w:r>
      <w:r w:rsidRPr="006F5F7E">
        <w:rPr>
          <w:rFonts w:asciiTheme="majorBidi" w:hAnsiTheme="majorBidi" w:cstheme="majorBidi"/>
          <w:i/>
          <w:iCs/>
          <w:sz w:val="20"/>
          <w:szCs w:val="20"/>
        </w:rPr>
        <w:t>Emerald Publishing Limited eBooks</w:t>
      </w:r>
      <w:r w:rsidRPr="006F5F7E">
        <w:rPr>
          <w:rFonts w:asciiTheme="majorBidi" w:hAnsiTheme="majorBidi" w:cstheme="majorBidi"/>
          <w:sz w:val="20"/>
          <w:szCs w:val="20"/>
        </w:rPr>
        <w:t xml:space="preserve"> (pp. 57–66). </w:t>
      </w:r>
      <w:hyperlink r:id="rId41" w:history="1">
        <w:r w:rsidRPr="006F5F7E">
          <w:rPr>
            <w:rStyle w:val="Hyperlink"/>
            <w:rFonts w:asciiTheme="majorBidi" w:hAnsiTheme="majorBidi" w:cstheme="majorBidi"/>
            <w:sz w:val="20"/>
            <w:szCs w:val="20"/>
          </w:rPr>
          <w:t>https://doi.org/10.1108/978-1-83797-987-520241007</w:t>
        </w:r>
      </w:hyperlink>
      <w:r w:rsidRPr="006F5F7E">
        <w:rPr>
          <w:rFonts w:asciiTheme="majorBidi" w:hAnsiTheme="majorBidi" w:cstheme="majorBidi"/>
          <w:sz w:val="20"/>
          <w:szCs w:val="20"/>
        </w:rPr>
        <w:t xml:space="preserve"> </w:t>
      </w:r>
    </w:p>
    <w:p w14:paraId="44CDE723" w14:textId="5EDCCB7F"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Vijayakumaran, R. (2020). Impact of managerial ownership on investment and liquidity constraints: Evidence from Chinese listed companies. </w:t>
      </w:r>
      <w:r w:rsidRPr="006F5F7E">
        <w:rPr>
          <w:rFonts w:asciiTheme="majorBidi" w:hAnsiTheme="majorBidi" w:cstheme="majorBidi"/>
          <w:i/>
          <w:iCs/>
          <w:sz w:val="20"/>
          <w:szCs w:val="20"/>
        </w:rPr>
        <w:t>Research in International Business and Finance</w:t>
      </w:r>
      <w:r w:rsidRPr="006F5F7E">
        <w:rPr>
          <w:rFonts w:asciiTheme="majorBidi" w:hAnsiTheme="majorBidi" w:cstheme="majorBidi"/>
          <w:sz w:val="20"/>
          <w:szCs w:val="20"/>
        </w:rPr>
        <w:t>, 55, 101321. </w:t>
      </w:r>
      <w:hyperlink r:id="rId42" w:tgtFrame="_blank" w:history="1">
        <w:r w:rsidRPr="006F5F7E">
          <w:rPr>
            <w:rStyle w:val="Hyperlink"/>
            <w:rFonts w:asciiTheme="majorBidi" w:hAnsiTheme="majorBidi" w:cstheme="majorBidi"/>
            <w:sz w:val="20"/>
            <w:szCs w:val="20"/>
          </w:rPr>
          <w:t>https://doi.org/10.1016/j.ribaf.2020.101321</w:t>
        </w:r>
      </w:hyperlink>
    </w:p>
    <w:p w14:paraId="7DD6F510" w14:textId="59DE1E65" w:rsidR="009E72AA" w:rsidRPr="006F5F7E" w:rsidRDefault="009E72AA" w:rsidP="009E72AA">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Wijaya, H. (2023). Cash holdings, dividend payout, and corporate value: the role of institutional investors. Journal of Accounting and Strategic Finance, 5(2), 302-315. https://doi.org/10.33005/jasf.v5i2.307</w:t>
      </w:r>
    </w:p>
    <w:p w14:paraId="0110008F" w14:textId="77777777"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Yahaya, O. A. (2025). Institutional ownership and firm performance. </w:t>
      </w:r>
      <w:r w:rsidRPr="006F5F7E">
        <w:rPr>
          <w:rFonts w:asciiTheme="majorBidi" w:hAnsiTheme="majorBidi" w:cstheme="majorBidi"/>
          <w:i/>
          <w:iCs/>
          <w:sz w:val="20"/>
          <w:szCs w:val="20"/>
        </w:rPr>
        <w:t>SSRN Electronic Journal</w:t>
      </w:r>
      <w:r w:rsidRPr="006F5F7E">
        <w:rPr>
          <w:rFonts w:asciiTheme="majorBidi" w:hAnsiTheme="majorBidi" w:cstheme="majorBidi"/>
          <w:sz w:val="20"/>
          <w:szCs w:val="20"/>
        </w:rPr>
        <w:t>. </w:t>
      </w:r>
      <w:hyperlink r:id="rId43" w:tgtFrame="_blank" w:history="1">
        <w:r w:rsidRPr="006F5F7E">
          <w:rPr>
            <w:rStyle w:val="Hyperlink"/>
            <w:rFonts w:asciiTheme="majorBidi" w:hAnsiTheme="majorBidi" w:cstheme="majorBidi"/>
            <w:sz w:val="20"/>
            <w:szCs w:val="20"/>
          </w:rPr>
          <w:t>https://doi.org/10.2139/ssrn.5216573</w:t>
        </w:r>
      </w:hyperlink>
    </w:p>
    <w:p w14:paraId="29741055" w14:textId="62686ADE" w:rsidR="005931A6" w:rsidRDefault="005931A6" w:rsidP="005931A6">
      <w:pPr>
        <w:spacing w:line="360" w:lineRule="auto"/>
        <w:ind w:left="1077" w:hanging="720"/>
        <w:contextualSpacing/>
        <w:rPr>
          <w:rFonts w:asciiTheme="majorBidi" w:hAnsiTheme="majorBidi" w:cstheme="majorBidi"/>
          <w:sz w:val="20"/>
          <w:szCs w:val="20"/>
        </w:rPr>
      </w:pPr>
      <w:r w:rsidRPr="005931A6">
        <w:rPr>
          <w:rFonts w:asciiTheme="majorBidi" w:hAnsiTheme="majorBidi" w:cstheme="majorBidi"/>
          <w:sz w:val="20"/>
          <w:szCs w:val="20"/>
        </w:rPr>
        <w:t>Yahaya, O. A. (2025</w:t>
      </w:r>
      <w:r w:rsidR="00C72350" w:rsidRPr="006F5F7E">
        <w:rPr>
          <w:rFonts w:asciiTheme="majorBidi" w:hAnsiTheme="majorBidi" w:cstheme="majorBidi"/>
          <w:sz w:val="20"/>
          <w:szCs w:val="20"/>
        </w:rPr>
        <w:t>b</w:t>
      </w:r>
      <w:r w:rsidRPr="005931A6">
        <w:rPr>
          <w:rFonts w:asciiTheme="majorBidi" w:hAnsiTheme="majorBidi" w:cstheme="majorBidi"/>
          <w:sz w:val="20"/>
          <w:szCs w:val="20"/>
        </w:rPr>
        <w:t xml:space="preserve">). Could a board share ownership encourage a dividend payout policy? </w:t>
      </w:r>
      <w:r w:rsidRPr="005931A6">
        <w:rPr>
          <w:rFonts w:asciiTheme="majorBidi" w:hAnsiTheme="majorBidi" w:cstheme="majorBidi"/>
          <w:i/>
          <w:iCs/>
          <w:sz w:val="20"/>
          <w:szCs w:val="20"/>
        </w:rPr>
        <w:t>SSRN Electronic Journal</w:t>
      </w:r>
      <w:r w:rsidRPr="005931A6">
        <w:rPr>
          <w:rFonts w:asciiTheme="majorBidi" w:hAnsiTheme="majorBidi" w:cstheme="majorBidi"/>
          <w:sz w:val="20"/>
          <w:szCs w:val="20"/>
        </w:rPr>
        <w:t xml:space="preserve">. </w:t>
      </w:r>
      <w:hyperlink r:id="rId44" w:history="1">
        <w:r w:rsidR="00C72350" w:rsidRPr="005931A6">
          <w:rPr>
            <w:rStyle w:val="Hyperlink"/>
            <w:rFonts w:asciiTheme="majorBidi" w:hAnsiTheme="majorBidi" w:cstheme="majorBidi"/>
            <w:sz w:val="20"/>
            <w:szCs w:val="20"/>
          </w:rPr>
          <w:t>https://doi.org/10.2139/ssrn.5272049</w:t>
        </w:r>
      </w:hyperlink>
    </w:p>
    <w:p w14:paraId="4D39E043" w14:textId="77777777" w:rsidR="00C72350" w:rsidRPr="005931A6" w:rsidRDefault="00C72350" w:rsidP="005931A6">
      <w:pPr>
        <w:spacing w:line="360" w:lineRule="auto"/>
        <w:ind w:left="1077" w:hanging="720"/>
        <w:contextualSpacing/>
        <w:rPr>
          <w:rFonts w:asciiTheme="majorBidi" w:hAnsiTheme="majorBidi" w:cstheme="majorBidi"/>
          <w:sz w:val="20"/>
          <w:szCs w:val="20"/>
        </w:rPr>
      </w:pPr>
    </w:p>
    <w:p w14:paraId="658379F4" w14:textId="77777777" w:rsidR="005931A6" w:rsidRPr="00223895" w:rsidRDefault="005931A6" w:rsidP="00223895">
      <w:pPr>
        <w:spacing w:line="360" w:lineRule="auto"/>
        <w:ind w:left="1077" w:hanging="720"/>
        <w:contextualSpacing/>
        <w:rPr>
          <w:rFonts w:asciiTheme="majorBidi" w:hAnsiTheme="majorBidi" w:cstheme="majorBidi"/>
          <w:sz w:val="20"/>
          <w:szCs w:val="20"/>
        </w:rPr>
      </w:pPr>
    </w:p>
    <w:p w14:paraId="4AEF825D" w14:textId="5CE3FFA3" w:rsidR="00D04062" w:rsidRPr="003C36A6" w:rsidRDefault="00D04062" w:rsidP="00E400D3">
      <w:pPr>
        <w:spacing w:line="360" w:lineRule="auto"/>
        <w:ind w:left="1077" w:hanging="720"/>
        <w:contextualSpacing/>
        <w:rPr>
          <w:rFonts w:asciiTheme="majorBidi" w:hAnsiTheme="majorBidi" w:cstheme="majorBidi"/>
          <w:sz w:val="20"/>
          <w:szCs w:val="20"/>
        </w:rPr>
      </w:pPr>
    </w:p>
    <w:sectPr w:rsidR="00D04062" w:rsidRPr="003C36A6">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EE339" w14:textId="77777777" w:rsidR="00796826" w:rsidRDefault="00796826" w:rsidP="00F059E7">
      <w:pPr>
        <w:spacing w:after="0" w:line="240" w:lineRule="auto"/>
      </w:pPr>
      <w:r>
        <w:separator/>
      </w:r>
    </w:p>
  </w:endnote>
  <w:endnote w:type="continuationSeparator" w:id="0">
    <w:p w14:paraId="32993100" w14:textId="77777777" w:rsidR="00796826" w:rsidRDefault="00796826" w:rsidP="00F0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268C" w14:textId="77777777" w:rsidR="00F059E7" w:rsidRDefault="00F05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17123" w14:textId="77777777" w:rsidR="00F059E7" w:rsidRDefault="00F05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DAF4" w14:textId="77777777" w:rsidR="00F059E7" w:rsidRDefault="00F05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9583C" w14:textId="77777777" w:rsidR="00796826" w:rsidRDefault="00796826" w:rsidP="00F059E7">
      <w:pPr>
        <w:spacing w:after="0" w:line="240" w:lineRule="auto"/>
      </w:pPr>
      <w:r>
        <w:separator/>
      </w:r>
    </w:p>
  </w:footnote>
  <w:footnote w:type="continuationSeparator" w:id="0">
    <w:p w14:paraId="295FC7FD" w14:textId="77777777" w:rsidR="00796826" w:rsidRDefault="00796826" w:rsidP="00F0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9810" w14:textId="61A291C5" w:rsidR="00F059E7" w:rsidRDefault="00F059E7">
    <w:pPr>
      <w:pStyle w:val="Header"/>
    </w:pPr>
    <w:r>
      <w:rPr>
        <w:noProof/>
      </w:rPr>
      <w:pict w14:anchorId="5BA19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89907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56C3" w14:textId="5AE335A1" w:rsidR="00F059E7" w:rsidRDefault="00F059E7">
    <w:pPr>
      <w:pStyle w:val="Header"/>
    </w:pPr>
    <w:r>
      <w:rPr>
        <w:noProof/>
      </w:rPr>
      <w:pict w14:anchorId="0ADCF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89908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71205" w14:textId="41269F05" w:rsidR="00F059E7" w:rsidRDefault="00F059E7">
    <w:pPr>
      <w:pStyle w:val="Header"/>
    </w:pPr>
    <w:r>
      <w:rPr>
        <w:noProof/>
      </w:rPr>
      <w:pict w14:anchorId="22EB8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89907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78A56B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375ABF5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E77E4E4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3D5C54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3392CCC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6"/>
    <w:multiLevelType w:val="multilevel"/>
    <w:tmpl w:val="792276C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7"/>
    <w:multiLevelType w:val="multilevel"/>
    <w:tmpl w:val="3B7A0D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10E8022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41DC19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EB5CB02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27E614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F338658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multilevel"/>
    <w:tmpl w:val="0BDE9F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DF3EE618"/>
    <w:lvl w:ilvl="0">
      <w:start w:val="1"/>
      <w:numFmt w:val="decimal"/>
      <w:lvlText w:val="%1."/>
      <w:lvlJc w:val="left"/>
      <w:pPr>
        <w:tabs>
          <w:tab w:val="left" w:pos="360"/>
        </w:tabs>
        <w:ind w:left="36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 w15:restartNumberingAfterBreak="0">
    <w:nsid w:val="0000000F"/>
    <w:multiLevelType w:val="multilevel"/>
    <w:tmpl w:val="214E380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multilevel"/>
    <w:tmpl w:val="40520B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multilevel"/>
    <w:tmpl w:val="930CC7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multilevel"/>
    <w:tmpl w:val="C3D68D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3"/>
    <w:multiLevelType w:val="multilevel"/>
    <w:tmpl w:val="FD28984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4"/>
    <w:multiLevelType w:val="multilevel"/>
    <w:tmpl w:val="FBC8DF9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15"/>
    <w:multiLevelType w:val="multilevel"/>
    <w:tmpl w:val="28B2AE7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16"/>
    <w:multiLevelType w:val="multilevel"/>
    <w:tmpl w:val="C1265F1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15:restartNumberingAfterBreak="0">
    <w:nsid w:val="00000017"/>
    <w:multiLevelType w:val="multilevel"/>
    <w:tmpl w:val="4E347DD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0000018"/>
    <w:multiLevelType w:val="multilevel"/>
    <w:tmpl w:val="4E104DF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7E865E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A"/>
    <w:multiLevelType w:val="multilevel"/>
    <w:tmpl w:val="0068FEC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 w15:restartNumberingAfterBreak="0">
    <w:nsid w:val="0000001B"/>
    <w:multiLevelType w:val="multilevel"/>
    <w:tmpl w:val="F420F0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0000001C"/>
    <w:multiLevelType w:val="multilevel"/>
    <w:tmpl w:val="A808C1D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 w15:restartNumberingAfterBreak="0">
    <w:nsid w:val="07AE4FAE"/>
    <w:multiLevelType w:val="multilevel"/>
    <w:tmpl w:val="359E4DA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5976E43"/>
    <w:multiLevelType w:val="hybridMultilevel"/>
    <w:tmpl w:val="8BE40E5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35C747D3"/>
    <w:multiLevelType w:val="multilevel"/>
    <w:tmpl w:val="B16C06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37893D3E"/>
    <w:multiLevelType w:val="multilevel"/>
    <w:tmpl w:val="76761E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ADC39F3"/>
    <w:multiLevelType w:val="multilevel"/>
    <w:tmpl w:val="DDFC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043228"/>
    <w:multiLevelType w:val="multilevel"/>
    <w:tmpl w:val="B16C06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13"/>
  </w:num>
  <w:num w:numId="2">
    <w:abstractNumId w:val="21"/>
  </w:num>
  <w:num w:numId="3">
    <w:abstractNumId w:val="4"/>
  </w:num>
  <w:num w:numId="4">
    <w:abstractNumId w:val="30"/>
  </w:num>
  <w:num w:numId="5">
    <w:abstractNumId w:val="23"/>
  </w:num>
  <w:num w:numId="6">
    <w:abstractNumId w:val="17"/>
  </w:num>
  <w:num w:numId="7">
    <w:abstractNumId w:val="5"/>
  </w:num>
  <w:num w:numId="8">
    <w:abstractNumId w:val="12"/>
  </w:num>
  <w:num w:numId="9">
    <w:abstractNumId w:val="14"/>
  </w:num>
  <w:num w:numId="10">
    <w:abstractNumId w:val="25"/>
  </w:num>
  <w:num w:numId="11">
    <w:abstractNumId w:val="9"/>
  </w:num>
  <w:num w:numId="12">
    <w:abstractNumId w:val="3"/>
  </w:num>
  <w:num w:numId="13">
    <w:abstractNumId w:val="19"/>
  </w:num>
  <w:num w:numId="14">
    <w:abstractNumId w:val="15"/>
  </w:num>
  <w:num w:numId="15">
    <w:abstractNumId w:val="1"/>
  </w:num>
  <w:num w:numId="16">
    <w:abstractNumId w:val="24"/>
  </w:num>
  <w:num w:numId="17">
    <w:abstractNumId w:val="2"/>
  </w:num>
  <w:num w:numId="18">
    <w:abstractNumId w:val="20"/>
  </w:num>
  <w:num w:numId="19">
    <w:abstractNumId w:val="7"/>
  </w:num>
  <w:num w:numId="20">
    <w:abstractNumId w:val="26"/>
  </w:num>
  <w:num w:numId="21">
    <w:abstractNumId w:val="18"/>
  </w:num>
  <w:num w:numId="22">
    <w:abstractNumId w:val="11"/>
  </w:num>
  <w:num w:numId="23">
    <w:abstractNumId w:val="16"/>
  </w:num>
  <w:num w:numId="24">
    <w:abstractNumId w:val="10"/>
  </w:num>
  <w:num w:numId="25">
    <w:abstractNumId w:val="6"/>
  </w:num>
  <w:num w:numId="26">
    <w:abstractNumId w:val="27"/>
  </w:num>
  <w:num w:numId="27">
    <w:abstractNumId w:val="8"/>
  </w:num>
  <w:num w:numId="28">
    <w:abstractNumId w:val="0"/>
  </w:num>
  <w:num w:numId="29">
    <w:abstractNumId w:val="22"/>
  </w:num>
  <w:num w:numId="30">
    <w:abstractNumId w:val="32"/>
  </w:num>
  <w:num w:numId="31">
    <w:abstractNumId w:val="29"/>
  </w:num>
  <w:num w:numId="32">
    <w:abstractNumId w:val="2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62"/>
    <w:rsid w:val="000032AA"/>
    <w:rsid w:val="000045D5"/>
    <w:rsid w:val="00006BE1"/>
    <w:rsid w:val="00010846"/>
    <w:rsid w:val="000110FC"/>
    <w:rsid w:val="00011832"/>
    <w:rsid w:val="00023C25"/>
    <w:rsid w:val="00026F6B"/>
    <w:rsid w:val="000309F6"/>
    <w:rsid w:val="00033416"/>
    <w:rsid w:val="00035204"/>
    <w:rsid w:val="00047A23"/>
    <w:rsid w:val="0006013F"/>
    <w:rsid w:val="000608F4"/>
    <w:rsid w:val="00061B98"/>
    <w:rsid w:val="0006696A"/>
    <w:rsid w:val="00067FEC"/>
    <w:rsid w:val="00075BA8"/>
    <w:rsid w:val="0007684C"/>
    <w:rsid w:val="00077184"/>
    <w:rsid w:val="000835D5"/>
    <w:rsid w:val="000856F1"/>
    <w:rsid w:val="0009060D"/>
    <w:rsid w:val="00090D4B"/>
    <w:rsid w:val="000919A2"/>
    <w:rsid w:val="0009269B"/>
    <w:rsid w:val="000949AF"/>
    <w:rsid w:val="000A2054"/>
    <w:rsid w:val="000A314E"/>
    <w:rsid w:val="000A7F5F"/>
    <w:rsid w:val="000B06A4"/>
    <w:rsid w:val="000B0F48"/>
    <w:rsid w:val="000B4317"/>
    <w:rsid w:val="000B61B0"/>
    <w:rsid w:val="000B7406"/>
    <w:rsid w:val="000C076F"/>
    <w:rsid w:val="000C5498"/>
    <w:rsid w:val="000C77C1"/>
    <w:rsid w:val="000C7E43"/>
    <w:rsid w:val="000D025F"/>
    <w:rsid w:val="000D45DD"/>
    <w:rsid w:val="000D5FE1"/>
    <w:rsid w:val="000D75C4"/>
    <w:rsid w:val="000E27EA"/>
    <w:rsid w:val="000E614F"/>
    <w:rsid w:val="000F0303"/>
    <w:rsid w:val="000F2DC8"/>
    <w:rsid w:val="000F42A4"/>
    <w:rsid w:val="000F473C"/>
    <w:rsid w:val="000F4D36"/>
    <w:rsid w:val="000F51B2"/>
    <w:rsid w:val="000F726C"/>
    <w:rsid w:val="000F7573"/>
    <w:rsid w:val="00100D70"/>
    <w:rsid w:val="00100F68"/>
    <w:rsid w:val="0010502F"/>
    <w:rsid w:val="00105C5C"/>
    <w:rsid w:val="00105C8C"/>
    <w:rsid w:val="00107E32"/>
    <w:rsid w:val="00112FBF"/>
    <w:rsid w:val="00114541"/>
    <w:rsid w:val="00123FF6"/>
    <w:rsid w:val="001263E3"/>
    <w:rsid w:val="001264DE"/>
    <w:rsid w:val="00127A3B"/>
    <w:rsid w:val="001310AB"/>
    <w:rsid w:val="00136FE6"/>
    <w:rsid w:val="001411D3"/>
    <w:rsid w:val="0014410C"/>
    <w:rsid w:val="00150CE1"/>
    <w:rsid w:val="00152812"/>
    <w:rsid w:val="0016135C"/>
    <w:rsid w:val="00161369"/>
    <w:rsid w:val="001622C5"/>
    <w:rsid w:val="001638BA"/>
    <w:rsid w:val="00163CF7"/>
    <w:rsid w:val="00166C08"/>
    <w:rsid w:val="00170F43"/>
    <w:rsid w:val="00177B57"/>
    <w:rsid w:val="0018408B"/>
    <w:rsid w:val="0018529D"/>
    <w:rsid w:val="00191D90"/>
    <w:rsid w:val="001967D3"/>
    <w:rsid w:val="001A2355"/>
    <w:rsid w:val="001A2EB8"/>
    <w:rsid w:val="001A7EEF"/>
    <w:rsid w:val="001B0F1C"/>
    <w:rsid w:val="001B1920"/>
    <w:rsid w:val="001B19B6"/>
    <w:rsid w:val="001C0551"/>
    <w:rsid w:val="001C0792"/>
    <w:rsid w:val="001C0A28"/>
    <w:rsid w:val="001C1780"/>
    <w:rsid w:val="001C2D42"/>
    <w:rsid w:val="001C5B82"/>
    <w:rsid w:val="001C6037"/>
    <w:rsid w:val="001D02BA"/>
    <w:rsid w:val="001D09DF"/>
    <w:rsid w:val="001D2255"/>
    <w:rsid w:val="001D29CF"/>
    <w:rsid w:val="001D2AB5"/>
    <w:rsid w:val="001D2C05"/>
    <w:rsid w:val="001D6C1F"/>
    <w:rsid w:val="001E27B0"/>
    <w:rsid w:val="001E357C"/>
    <w:rsid w:val="001E41D2"/>
    <w:rsid w:val="001E56C2"/>
    <w:rsid w:val="001E58D4"/>
    <w:rsid w:val="001E5C8E"/>
    <w:rsid w:val="001E6985"/>
    <w:rsid w:val="001F241C"/>
    <w:rsid w:val="001F2F28"/>
    <w:rsid w:val="001F3384"/>
    <w:rsid w:val="0020016D"/>
    <w:rsid w:val="002011B9"/>
    <w:rsid w:val="00201E1E"/>
    <w:rsid w:val="00202ECC"/>
    <w:rsid w:val="00205198"/>
    <w:rsid w:val="00206ECD"/>
    <w:rsid w:val="00207AB0"/>
    <w:rsid w:val="0021384C"/>
    <w:rsid w:val="0021579B"/>
    <w:rsid w:val="00217A86"/>
    <w:rsid w:val="00223895"/>
    <w:rsid w:val="00226AB3"/>
    <w:rsid w:val="00236AFF"/>
    <w:rsid w:val="0024580D"/>
    <w:rsid w:val="0025090B"/>
    <w:rsid w:val="002515C9"/>
    <w:rsid w:val="002521FB"/>
    <w:rsid w:val="00254D22"/>
    <w:rsid w:val="00257F14"/>
    <w:rsid w:val="002610C2"/>
    <w:rsid w:val="00262094"/>
    <w:rsid w:val="0026654C"/>
    <w:rsid w:val="0027226E"/>
    <w:rsid w:val="00272DBA"/>
    <w:rsid w:val="002776EF"/>
    <w:rsid w:val="00281735"/>
    <w:rsid w:val="002838E9"/>
    <w:rsid w:val="002857AB"/>
    <w:rsid w:val="0029144C"/>
    <w:rsid w:val="00294156"/>
    <w:rsid w:val="00297173"/>
    <w:rsid w:val="002A0C7E"/>
    <w:rsid w:val="002A1368"/>
    <w:rsid w:val="002A1937"/>
    <w:rsid w:val="002A5F2B"/>
    <w:rsid w:val="002A68CC"/>
    <w:rsid w:val="002A7D26"/>
    <w:rsid w:val="002B340B"/>
    <w:rsid w:val="002B4EA9"/>
    <w:rsid w:val="002C7B12"/>
    <w:rsid w:val="002F0E64"/>
    <w:rsid w:val="002F5DED"/>
    <w:rsid w:val="003004F8"/>
    <w:rsid w:val="00300DB0"/>
    <w:rsid w:val="00303A5E"/>
    <w:rsid w:val="00303CA0"/>
    <w:rsid w:val="00304CF4"/>
    <w:rsid w:val="00306B41"/>
    <w:rsid w:val="003117CC"/>
    <w:rsid w:val="00312A8D"/>
    <w:rsid w:val="00322FEA"/>
    <w:rsid w:val="00330CBF"/>
    <w:rsid w:val="003318E6"/>
    <w:rsid w:val="00333351"/>
    <w:rsid w:val="00334DB9"/>
    <w:rsid w:val="00336208"/>
    <w:rsid w:val="00337731"/>
    <w:rsid w:val="00337CB7"/>
    <w:rsid w:val="00342448"/>
    <w:rsid w:val="0034427F"/>
    <w:rsid w:val="00346CA5"/>
    <w:rsid w:val="00347949"/>
    <w:rsid w:val="003507CC"/>
    <w:rsid w:val="003508D9"/>
    <w:rsid w:val="0035118D"/>
    <w:rsid w:val="00351F1B"/>
    <w:rsid w:val="003550F5"/>
    <w:rsid w:val="00371603"/>
    <w:rsid w:val="003806E1"/>
    <w:rsid w:val="003851CC"/>
    <w:rsid w:val="00390A0F"/>
    <w:rsid w:val="00396FFA"/>
    <w:rsid w:val="00397A90"/>
    <w:rsid w:val="003A07E8"/>
    <w:rsid w:val="003A0BD0"/>
    <w:rsid w:val="003B467C"/>
    <w:rsid w:val="003B4D0F"/>
    <w:rsid w:val="003B6495"/>
    <w:rsid w:val="003C36A6"/>
    <w:rsid w:val="003C6247"/>
    <w:rsid w:val="003C78BD"/>
    <w:rsid w:val="003D1004"/>
    <w:rsid w:val="003D11C3"/>
    <w:rsid w:val="003D132A"/>
    <w:rsid w:val="003D1BB3"/>
    <w:rsid w:val="003D28FD"/>
    <w:rsid w:val="003D5809"/>
    <w:rsid w:val="003E334D"/>
    <w:rsid w:val="003E3D1E"/>
    <w:rsid w:val="003E4320"/>
    <w:rsid w:val="003F0AF9"/>
    <w:rsid w:val="003F747F"/>
    <w:rsid w:val="004025CF"/>
    <w:rsid w:val="004130B0"/>
    <w:rsid w:val="004138AE"/>
    <w:rsid w:val="00422A8C"/>
    <w:rsid w:val="00423D14"/>
    <w:rsid w:val="00425AF5"/>
    <w:rsid w:val="00425C3D"/>
    <w:rsid w:val="004301DD"/>
    <w:rsid w:val="00431608"/>
    <w:rsid w:val="00436A6F"/>
    <w:rsid w:val="00440904"/>
    <w:rsid w:val="00456664"/>
    <w:rsid w:val="00463235"/>
    <w:rsid w:val="00470F6E"/>
    <w:rsid w:val="004720C9"/>
    <w:rsid w:val="00472EC8"/>
    <w:rsid w:val="0047689A"/>
    <w:rsid w:val="0047757B"/>
    <w:rsid w:val="00480192"/>
    <w:rsid w:val="004825C6"/>
    <w:rsid w:val="00487143"/>
    <w:rsid w:val="004937CC"/>
    <w:rsid w:val="00497E79"/>
    <w:rsid w:val="004A7C22"/>
    <w:rsid w:val="004B1539"/>
    <w:rsid w:val="004B16A9"/>
    <w:rsid w:val="004B42B8"/>
    <w:rsid w:val="004B5F63"/>
    <w:rsid w:val="004B61DA"/>
    <w:rsid w:val="004B7442"/>
    <w:rsid w:val="004C0724"/>
    <w:rsid w:val="004C61F7"/>
    <w:rsid w:val="004C76AA"/>
    <w:rsid w:val="004C7B30"/>
    <w:rsid w:val="004D027D"/>
    <w:rsid w:val="004D1070"/>
    <w:rsid w:val="004D61DA"/>
    <w:rsid w:val="004E0F8D"/>
    <w:rsid w:val="004E64B0"/>
    <w:rsid w:val="004F6CA5"/>
    <w:rsid w:val="00500AB3"/>
    <w:rsid w:val="00501336"/>
    <w:rsid w:val="005050D7"/>
    <w:rsid w:val="0050722E"/>
    <w:rsid w:val="00511DE5"/>
    <w:rsid w:val="00513864"/>
    <w:rsid w:val="00521C31"/>
    <w:rsid w:val="005229F1"/>
    <w:rsid w:val="005324A8"/>
    <w:rsid w:val="005331F7"/>
    <w:rsid w:val="00533ED6"/>
    <w:rsid w:val="00536C4F"/>
    <w:rsid w:val="0053723C"/>
    <w:rsid w:val="005402D2"/>
    <w:rsid w:val="00542139"/>
    <w:rsid w:val="00546494"/>
    <w:rsid w:val="00550D91"/>
    <w:rsid w:val="00552149"/>
    <w:rsid w:val="00552F94"/>
    <w:rsid w:val="005652D7"/>
    <w:rsid w:val="0056796E"/>
    <w:rsid w:val="00567BA0"/>
    <w:rsid w:val="00567D18"/>
    <w:rsid w:val="00570614"/>
    <w:rsid w:val="00572CFE"/>
    <w:rsid w:val="00573897"/>
    <w:rsid w:val="005772F5"/>
    <w:rsid w:val="00577E2A"/>
    <w:rsid w:val="00584059"/>
    <w:rsid w:val="00585329"/>
    <w:rsid w:val="00585549"/>
    <w:rsid w:val="00587EDF"/>
    <w:rsid w:val="00590495"/>
    <w:rsid w:val="00592371"/>
    <w:rsid w:val="00592841"/>
    <w:rsid w:val="005931A6"/>
    <w:rsid w:val="005A317A"/>
    <w:rsid w:val="005A75D8"/>
    <w:rsid w:val="005B0925"/>
    <w:rsid w:val="005B143C"/>
    <w:rsid w:val="005B5A34"/>
    <w:rsid w:val="005C4A4F"/>
    <w:rsid w:val="005C6D1D"/>
    <w:rsid w:val="005C70C3"/>
    <w:rsid w:val="005D07F4"/>
    <w:rsid w:val="005D5288"/>
    <w:rsid w:val="005D5F5F"/>
    <w:rsid w:val="005E2C0B"/>
    <w:rsid w:val="005E7342"/>
    <w:rsid w:val="005F45B6"/>
    <w:rsid w:val="0060345F"/>
    <w:rsid w:val="00611B8E"/>
    <w:rsid w:val="006133EC"/>
    <w:rsid w:val="0061497B"/>
    <w:rsid w:val="006165AD"/>
    <w:rsid w:val="00616FEC"/>
    <w:rsid w:val="00622228"/>
    <w:rsid w:val="00624C47"/>
    <w:rsid w:val="0062611E"/>
    <w:rsid w:val="00631F63"/>
    <w:rsid w:val="006331A1"/>
    <w:rsid w:val="00634CAD"/>
    <w:rsid w:val="00635CF7"/>
    <w:rsid w:val="00660375"/>
    <w:rsid w:val="006605C5"/>
    <w:rsid w:val="0066197E"/>
    <w:rsid w:val="00661B09"/>
    <w:rsid w:val="00665AC9"/>
    <w:rsid w:val="00667357"/>
    <w:rsid w:val="00670691"/>
    <w:rsid w:val="0067315F"/>
    <w:rsid w:val="00674CE9"/>
    <w:rsid w:val="0068292E"/>
    <w:rsid w:val="00692DBA"/>
    <w:rsid w:val="00693ABC"/>
    <w:rsid w:val="00694C69"/>
    <w:rsid w:val="006954C6"/>
    <w:rsid w:val="006A2140"/>
    <w:rsid w:val="006A531B"/>
    <w:rsid w:val="006A6588"/>
    <w:rsid w:val="006A76C3"/>
    <w:rsid w:val="006B3139"/>
    <w:rsid w:val="006B71FC"/>
    <w:rsid w:val="006C4355"/>
    <w:rsid w:val="006C6636"/>
    <w:rsid w:val="006D3513"/>
    <w:rsid w:val="006D4E19"/>
    <w:rsid w:val="006D6015"/>
    <w:rsid w:val="006D6E46"/>
    <w:rsid w:val="006D7E5E"/>
    <w:rsid w:val="006E12E6"/>
    <w:rsid w:val="006E7CDF"/>
    <w:rsid w:val="006F079C"/>
    <w:rsid w:val="006F1B69"/>
    <w:rsid w:val="006F2FE9"/>
    <w:rsid w:val="006F368D"/>
    <w:rsid w:val="006F5F7E"/>
    <w:rsid w:val="006F7860"/>
    <w:rsid w:val="00704776"/>
    <w:rsid w:val="007071B8"/>
    <w:rsid w:val="0071172A"/>
    <w:rsid w:val="00715C4A"/>
    <w:rsid w:val="00716ABA"/>
    <w:rsid w:val="00722EAD"/>
    <w:rsid w:val="00723071"/>
    <w:rsid w:val="00725E35"/>
    <w:rsid w:val="007262DF"/>
    <w:rsid w:val="00727118"/>
    <w:rsid w:val="00733ACC"/>
    <w:rsid w:val="00734175"/>
    <w:rsid w:val="00734C0A"/>
    <w:rsid w:val="00740F93"/>
    <w:rsid w:val="0074397C"/>
    <w:rsid w:val="007448F3"/>
    <w:rsid w:val="00750129"/>
    <w:rsid w:val="007536D0"/>
    <w:rsid w:val="00755B15"/>
    <w:rsid w:val="00755E87"/>
    <w:rsid w:val="00762E34"/>
    <w:rsid w:val="00764E9E"/>
    <w:rsid w:val="0076572B"/>
    <w:rsid w:val="00771A83"/>
    <w:rsid w:val="00771C20"/>
    <w:rsid w:val="00772D66"/>
    <w:rsid w:val="00773CB8"/>
    <w:rsid w:val="007824B9"/>
    <w:rsid w:val="00786FDA"/>
    <w:rsid w:val="00794553"/>
    <w:rsid w:val="00794709"/>
    <w:rsid w:val="00795460"/>
    <w:rsid w:val="00796826"/>
    <w:rsid w:val="007A47C2"/>
    <w:rsid w:val="007B0E56"/>
    <w:rsid w:val="007B3701"/>
    <w:rsid w:val="007B4E1D"/>
    <w:rsid w:val="007C5C31"/>
    <w:rsid w:val="007C7AAE"/>
    <w:rsid w:val="007D0E8D"/>
    <w:rsid w:val="007D163D"/>
    <w:rsid w:val="007D20FC"/>
    <w:rsid w:val="007D3BF9"/>
    <w:rsid w:val="007D4526"/>
    <w:rsid w:val="007D729A"/>
    <w:rsid w:val="007E0A9D"/>
    <w:rsid w:val="007F1C06"/>
    <w:rsid w:val="007F3CF1"/>
    <w:rsid w:val="007F4B35"/>
    <w:rsid w:val="007F7535"/>
    <w:rsid w:val="00800985"/>
    <w:rsid w:val="00801372"/>
    <w:rsid w:val="00804FFD"/>
    <w:rsid w:val="00817648"/>
    <w:rsid w:val="00820975"/>
    <w:rsid w:val="008254EB"/>
    <w:rsid w:val="00826470"/>
    <w:rsid w:val="00827DDC"/>
    <w:rsid w:val="00833548"/>
    <w:rsid w:val="00844A1E"/>
    <w:rsid w:val="00847E62"/>
    <w:rsid w:val="00850E84"/>
    <w:rsid w:val="0085199C"/>
    <w:rsid w:val="0085241F"/>
    <w:rsid w:val="008530E1"/>
    <w:rsid w:val="008531CD"/>
    <w:rsid w:val="00854435"/>
    <w:rsid w:val="00857D3D"/>
    <w:rsid w:val="008610CC"/>
    <w:rsid w:val="00864C33"/>
    <w:rsid w:val="00865809"/>
    <w:rsid w:val="00874F4C"/>
    <w:rsid w:val="00875DD4"/>
    <w:rsid w:val="00875DDB"/>
    <w:rsid w:val="00880393"/>
    <w:rsid w:val="00880614"/>
    <w:rsid w:val="00882E2B"/>
    <w:rsid w:val="0088799E"/>
    <w:rsid w:val="00892CF5"/>
    <w:rsid w:val="00893F8E"/>
    <w:rsid w:val="008A2190"/>
    <w:rsid w:val="008A3568"/>
    <w:rsid w:val="008B0DE9"/>
    <w:rsid w:val="008B4EEA"/>
    <w:rsid w:val="008C38D7"/>
    <w:rsid w:val="008D1B24"/>
    <w:rsid w:val="008D1D1A"/>
    <w:rsid w:val="008D31CC"/>
    <w:rsid w:val="008E2C47"/>
    <w:rsid w:val="008E2E24"/>
    <w:rsid w:val="008E361C"/>
    <w:rsid w:val="008E37C3"/>
    <w:rsid w:val="008E3838"/>
    <w:rsid w:val="008E517F"/>
    <w:rsid w:val="008E52CD"/>
    <w:rsid w:val="008E6FA5"/>
    <w:rsid w:val="008F084B"/>
    <w:rsid w:val="008F1C51"/>
    <w:rsid w:val="008F2B10"/>
    <w:rsid w:val="008F7EE1"/>
    <w:rsid w:val="00905C83"/>
    <w:rsid w:val="00915063"/>
    <w:rsid w:val="0091578C"/>
    <w:rsid w:val="009200D2"/>
    <w:rsid w:val="0092205B"/>
    <w:rsid w:val="00927EE5"/>
    <w:rsid w:val="00930193"/>
    <w:rsid w:val="009308F1"/>
    <w:rsid w:val="00930C7F"/>
    <w:rsid w:val="00931282"/>
    <w:rsid w:val="00943E8A"/>
    <w:rsid w:val="00946E74"/>
    <w:rsid w:val="00947A82"/>
    <w:rsid w:val="00950B70"/>
    <w:rsid w:val="00951369"/>
    <w:rsid w:val="0095727F"/>
    <w:rsid w:val="00963501"/>
    <w:rsid w:val="00963C0C"/>
    <w:rsid w:val="00964B43"/>
    <w:rsid w:val="0096545B"/>
    <w:rsid w:val="00970339"/>
    <w:rsid w:val="00970A91"/>
    <w:rsid w:val="009717B0"/>
    <w:rsid w:val="009728AA"/>
    <w:rsid w:val="00983A31"/>
    <w:rsid w:val="00984E29"/>
    <w:rsid w:val="00987B67"/>
    <w:rsid w:val="00991E74"/>
    <w:rsid w:val="00993E6F"/>
    <w:rsid w:val="00995CBE"/>
    <w:rsid w:val="009A491D"/>
    <w:rsid w:val="009B1925"/>
    <w:rsid w:val="009B4859"/>
    <w:rsid w:val="009B4A79"/>
    <w:rsid w:val="009C1BE8"/>
    <w:rsid w:val="009C4239"/>
    <w:rsid w:val="009C5103"/>
    <w:rsid w:val="009C6477"/>
    <w:rsid w:val="009E26E6"/>
    <w:rsid w:val="009E5C76"/>
    <w:rsid w:val="009E72AA"/>
    <w:rsid w:val="009F0ED6"/>
    <w:rsid w:val="009F6348"/>
    <w:rsid w:val="00A0777D"/>
    <w:rsid w:val="00A1295D"/>
    <w:rsid w:val="00A144CA"/>
    <w:rsid w:val="00A25684"/>
    <w:rsid w:val="00A25D69"/>
    <w:rsid w:val="00A26266"/>
    <w:rsid w:val="00A2719C"/>
    <w:rsid w:val="00A27247"/>
    <w:rsid w:val="00A339AC"/>
    <w:rsid w:val="00A33E53"/>
    <w:rsid w:val="00A34C03"/>
    <w:rsid w:val="00A36025"/>
    <w:rsid w:val="00A404C0"/>
    <w:rsid w:val="00A4080D"/>
    <w:rsid w:val="00A44055"/>
    <w:rsid w:val="00A47F12"/>
    <w:rsid w:val="00A50C0E"/>
    <w:rsid w:val="00A51438"/>
    <w:rsid w:val="00A573AD"/>
    <w:rsid w:val="00A5769D"/>
    <w:rsid w:val="00A578B9"/>
    <w:rsid w:val="00A578F3"/>
    <w:rsid w:val="00A61140"/>
    <w:rsid w:val="00A629D6"/>
    <w:rsid w:val="00A6754C"/>
    <w:rsid w:val="00A67C19"/>
    <w:rsid w:val="00A75BA4"/>
    <w:rsid w:val="00A816A9"/>
    <w:rsid w:val="00A81DF6"/>
    <w:rsid w:val="00A824DF"/>
    <w:rsid w:val="00A900DD"/>
    <w:rsid w:val="00A93211"/>
    <w:rsid w:val="00A93732"/>
    <w:rsid w:val="00A9576F"/>
    <w:rsid w:val="00A972E7"/>
    <w:rsid w:val="00A973D8"/>
    <w:rsid w:val="00AA41FC"/>
    <w:rsid w:val="00AA4BD7"/>
    <w:rsid w:val="00AA5809"/>
    <w:rsid w:val="00AB4E29"/>
    <w:rsid w:val="00AB5A7E"/>
    <w:rsid w:val="00AC0BD8"/>
    <w:rsid w:val="00AC0DFF"/>
    <w:rsid w:val="00AC18E4"/>
    <w:rsid w:val="00AC5E83"/>
    <w:rsid w:val="00AC6F15"/>
    <w:rsid w:val="00AC714E"/>
    <w:rsid w:val="00AC7FBD"/>
    <w:rsid w:val="00AD4E7F"/>
    <w:rsid w:val="00AD61BC"/>
    <w:rsid w:val="00AF1929"/>
    <w:rsid w:val="00AF483A"/>
    <w:rsid w:val="00AF57B7"/>
    <w:rsid w:val="00B000A8"/>
    <w:rsid w:val="00B02B1F"/>
    <w:rsid w:val="00B0415E"/>
    <w:rsid w:val="00B0546E"/>
    <w:rsid w:val="00B0756D"/>
    <w:rsid w:val="00B07C15"/>
    <w:rsid w:val="00B1529E"/>
    <w:rsid w:val="00B23DB3"/>
    <w:rsid w:val="00B333DB"/>
    <w:rsid w:val="00B366B0"/>
    <w:rsid w:val="00B371EB"/>
    <w:rsid w:val="00B46FE6"/>
    <w:rsid w:val="00B50E49"/>
    <w:rsid w:val="00B5119D"/>
    <w:rsid w:val="00B54CC7"/>
    <w:rsid w:val="00B6148D"/>
    <w:rsid w:val="00B664D1"/>
    <w:rsid w:val="00B7651F"/>
    <w:rsid w:val="00B77D83"/>
    <w:rsid w:val="00B92188"/>
    <w:rsid w:val="00B93BED"/>
    <w:rsid w:val="00B94BC8"/>
    <w:rsid w:val="00B95319"/>
    <w:rsid w:val="00BA289C"/>
    <w:rsid w:val="00BA2940"/>
    <w:rsid w:val="00BA545C"/>
    <w:rsid w:val="00BA7A12"/>
    <w:rsid w:val="00BB120F"/>
    <w:rsid w:val="00BB7C2D"/>
    <w:rsid w:val="00BB7D99"/>
    <w:rsid w:val="00BC0761"/>
    <w:rsid w:val="00BC455E"/>
    <w:rsid w:val="00BC45F7"/>
    <w:rsid w:val="00BC4A1A"/>
    <w:rsid w:val="00BC67E2"/>
    <w:rsid w:val="00BC778E"/>
    <w:rsid w:val="00BD03D3"/>
    <w:rsid w:val="00BD5704"/>
    <w:rsid w:val="00BE12EB"/>
    <w:rsid w:val="00BE4FDD"/>
    <w:rsid w:val="00BF073D"/>
    <w:rsid w:val="00C0086A"/>
    <w:rsid w:val="00C0436F"/>
    <w:rsid w:val="00C06D0C"/>
    <w:rsid w:val="00C10051"/>
    <w:rsid w:val="00C1284D"/>
    <w:rsid w:val="00C167FD"/>
    <w:rsid w:val="00C178D2"/>
    <w:rsid w:val="00C20219"/>
    <w:rsid w:val="00C22F94"/>
    <w:rsid w:val="00C22FC3"/>
    <w:rsid w:val="00C231B8"/>
    <w:rsid w:val="00C249F7"/>
    <w:rsid w:val="00C24CA2"/>
    <w:rsid w:val="00C275DE"/>
    <w:rsid w:val="00C319DE"/>
    <w:rsid w:val="00C35934"/>
    <w:rsid w:val="00C36287"/>
    <w:rsid w:val="00C4407E"/>
    <w:rsid w:val="00C509AA"/>
    <w:rsid w:val="00C52122"/>
    <w:rsid w:val="00C53CDF"/>
    <w:rsid w:val="00C55DF1"/>
    <w:rsid w:val="00C6064E"/>
    <w:rsid w:val="00C6164F"/>
    <w:rsid w:val="00C61FA0"/>
    <w:rsid w:val="00C652A3"/>
    <w:rsid w:val="00C67C66"/>
    <w:rsid w:val="00C72350"/>
    <w:rsid w:val="00C751D6"/>
    <w:rsid w:val="00C75BC4"/>
    <w:rsid w:val="00C77C5E"/>
    <w:rsid w:val="00C804AB"/>
    <w:rsid w:val="00C8249F"/>
    <w:rsid w:val="00C84090"/>
    <w:rsid w:val="00C850B3"/>
    <w:rsid w:val="00C85B0D"/>
    <w:rsid w:val="00C85F76"/>
    <w:rsid w:val="00C86C56"/>
    <w:rsid w:val="00C976F0"/>
    <w:rsid w:val="00CA0FF9"/>
    <w:rsid w:val="00CA1AFA"/>
    <w:rsid w:val="00CA1CA2"/>
    <w:rsid w:val="00CA59D2"/>
    <w:rsid w:val="00CB0227"/>
    <w:rsid w:val="00CB0550"/>
    <w:rsid w:val="00CB12F3"/>
    <w:rsid w:val="00CB2F4F"/>
    <w:rsid w:val="00CB442A"/>
    <w:rsid w:val="00CC1525"/>
    <w:rsid w:val="00CC388E"/>
    <w:rsid w:val="00CC4973"/>
    <w:rsid w:val="00CC6567"/>
    <w:rsid w:val="00CC769C"/>
    <w:rsid w:val="00CD20AF"/>
    <w:rsid w:val="00CD29FA"/>
    <w:rsid w:val="00CD404A"/>
    <w:rsid w:val="00CD446F"/>
    <w:rsid w:val="00CD5357"/>
    <w:rsid w:val="00CD66B0"/>
    <w:rsid w:val="00CE0E9C"/>
    <w:rsid w:val="00CE29E2"/>
    <w:rsid w:val="00CE5B27"/>
    <w:rsid w:val="00CF1288"/>
    <w:rsid w:val="00CF13F3"/>
    <w:rsid w:val="00CF17EA"/>
    <w:rsid w:val="00CF51E0"/>
    <w:rsid w:val="00CF762D"/>
    <w:rsid w:val="00D01059"/>
    <w:rsid w:val="00D04062"/>
    <w:rsid w:val="00D13216"/>
    <w:rsid w:val="00D138F8"/>
    <w:rsid w:val="00D14FC7"/>
    <w:rsid w:val="00D15646"/>
    <w:rsid w:val="00D161E4"/>
    <w:rsid w:val="00D16E9D"/>
    <w:rsid w:val="00D17B6C"/>
    <w:rsid w:val="00D22766"/>
    <w:rsid w:val="00D231E0"/>
    <w:rsid w:val="00D238B5"/>
    <w:rsid w:val="00D26063"/>
    <w:rsid w:val="00D269C8"/>
    <w:rsid w:val="00D30DA7"/>
    <w:rsid w:val="00D32F99"/>
    <w:rsid w:val="00D33093"/>
    <w:rsid w:val="00D35C87"/>
    <w:rsid w:val="00D36DF5"/>
    <w:rsid w:val="00D401A5"/>
    <w:rsid w:val="00D403BC"/>
    <w:rsid w:val="00D40B6B"/>
    <w:rsid w:val="00D46243"/>
    <w:rsid w:val="00D471F8"/>
    <w:rsid w:val="00D47DFA"/>
    <w:rsid w:val="00D50B07"/>
    <w:rsid w:val="00D52A86"/>
    <w:rsid w:val="00D53C0C"/>
    <w:rsid w:val="00D549BE"/>
    <w:rsid w:val="00D559DA"/>
    <w:rsid w:val="00D65901"/>
    <w:rsid w:val="00D719BF"/>
    <w:rsid w:val="00D72560"/>
    <w:rsid w:val="00D74E78"/>
    <w:rsid w:val="00D76B4D"/>
    <w:rsid w:val="00D82CC8"/>
    <w:rsid w:val="00D855A9"/>
    <w:rsid w:val="00D866B4"/>
    <w:rsid w:val="00DA2AF3"/>
    <w:rsid w:val="00DB032A"/>
    <w:rsid w:val="00DB0EFB"/>
    <w:rsid w:val="00DB1EC9"/>
    <w:rsid w:val="00DB38AB"/>
    <w:rsid w:val="00DB4278"/>
    <w:rsid w:val="00DB554A"/>
    <w:rsid w:val="00DB5A04"/>
    <w:rsid w:val="00DB63D7"/>
    <w:rsid w:val="00DB6AD4"/>
    <w:rsid w:val="00DC000A"/>
    <w:rsid w:val="00DC1569"/>
    <w:rsid w:val="00DC622F"/>
    <w:rsid w:val="00DD1B49"/>
    <w:rsid w:val="00DD344F"/>
    <w:rsid w:val="00DD34B1"/>
    <w:rsid w:val="00DD350C"/>
    <w:rsid w:val="00DE023F"/>
    <w:rsid w:val="00DE11F8"/>
    <w:rsid w:val="00DE5841"/>
    <w:rsid w:val="00DE5D24"/>
    <w:rsid w:val="00DF1708"/>
    <w:rsid w:val="00DF3D82"/>
    <w:rsid w:val="00DF59B7"/>
    <w:rsid w:val="00DF766B"/>
    <w:rsid w:val="00E04145"/>
    <w:rsid w:val="00E07557"/>
    <w:rsid w:val="00E10023"/>
    <w:rsid w:val="00E155F3"/>
    <w:rsid w:val="00E16CBC"/>
    <w:rsid w:val="00E17C36"/>
    <w:rsid w:val="00E233EF"/>
    <w:rsid w:val="00E354C1"/>
    <w:rsid w:val="00E36B15"/>
    <w:rsid w:val="00E400D3"/>
    <w:rsid w:val="00E40A71"/>
    <w:rsid w:val="00E4257D"/>
    <w:rsid w:val="00E4267E"/>
    <w:rsid w:val="00E47A2B"/>
    <w:rsid w:val="00E51D38"/>
    <w:rsid w:val="00E53D52"/>
    <w:rsid w:val="00E53DA5"/>
    <w:rsid w:val="00E561D0"/>
    <w:rsid w:val="00E64F68"/>
    <w:rsid w:val="00E6681B"/>
    <w:rsid w:val="00E674E1"/>
    <w:rsid w:val="00E71166"/>
    <w:rsid w:val="00E73687"/>
    <w:rsid w:val="00E74485"/>
    <w:rsid w:val="00E8407E"/>
    <w:rsid w:val="00E858E0"/>
    <w:rsid w:val="00E905A1"/>
    <w:rsid w:val="00E93BBC"/>
    <w:rsid w:val="00E94445"/>
    <w:rsid w:val="00EA3198"/>
    <w:rsid w:val="00EA4D94"/>
    <w:rsid w:val="00EB06E9"/>
    <w:rsid w:val="00EB3308"/>
    <w:rsid w:val="00EB43A2"/>
    <w:rsid w:val="00EB5516"/>
    <w:rsid w:val="00EC0821"/>
    <w:rsid w:val="00EC3BD7"/>
    <w:rsid w:val="00EC3BE6"/>
    <w:rsid w:val="00EC489B"/>
    <w:rsid w:val="00EC4F7F"/>
    <w:rsid w:val="00EC5962"/>
    <w:rsid w:val="00EC6177"/>
    <w:rsid w:val="00EC7449"/>
    <w:rsid w:val="00ED5C54"/>
    <w:rsid w:val="00EE16AE"/>
    <w:rsid w:val="00EF5552"/>
    <w:rsid w:val="00EF5A0E"/>
    <w:rsid w:val="00EF6FF5"/>
    <w:rsid w:val="00F0392B"/>
    <w:rsid w:val="00F05748"/>
    <w:rsid w:val="00F059E7"/>
    <w:rsid w:val="00F06E2F"/>
    <w:rsid w:val="00F15149"/>
    <w:rsid w:val="00F1582A"/>
    <w:rsid w:val="00F17A05"/>
    <w:rsid w:val="00F17C0B"/>
    <w:rsid w:val="00F26A3D"/>
    <w:rsid w:val="00F275FA"/>
    <w:rsid w:val="00F349B3"/>
    <w:rsid w:val="00F362E5"/>
    <w:rsid w:val="00F479F6"/>
    <w:rsid w:val="00F5356D"/>
    <w:rsid w:val="00F557EF"/>
    <w:rsid w:val="00F55970"/>
    <w:rsid w:val="00F56695"/>
    <w:rsid w:val="00F6438D"/>
    <w:rsid w:val="00F65106"/>
    <w:rsid w:val="00F66012"/>
    <w:rsid w:val="00F66864"/>
    <w:rsid w:val="00F67C54"/>
    <w:rsid w:val="00F70C81"/>
    <w:rsid w:val="00F725AF"/>
    <w:rsid w:val="00F7468A"/>
    <w:rsid w:val="00F76287"/>
    <w:rsid w:val="00F77C6C"/>
    <w:rsid w:val="00F80208"/>
    <w:rsid w:val="00F82F3F"/>
    <w:rsid w:val="00F87821"/>
    <w:rsid w:val="00F90505"/>
    <w:rsid w:val="00F9059C"/>
    <w:rsid w:val="00F91BDF"/>
    <w:rsid w:val="00F92610"/>
    <w:rsid w:val="00F940FA"/>
    <w:rsid w:val="00F941F3"/>
    <w:rsid w:val="00FA0C31"/>
    <w:rsid w:val="00FA2B4C"/>
    <w:rsid w:val="00FA61A6"/>
    <w:rsid w:val="00FB3121"/>
    <w:rsid w:val="00FB5756"/>
    <w:rsid w:val="00FB7E73"/>
    <w:rsid w:val="00FC1F7D"/>
    <w:rsid w:val="00FC5503"/>
    <w:rsid w:val="00FC65D8"/>
    <w:rsid w:val="00FE4FC4"/>
    <w:rsid w:val="00FF2697"/>
    <w:rsid w:val="00FF2FDB"/>
    <w:rsid w:val="00FF34B4"/>
    <w:rsid w:val="00FF3AEF"/>
    <w:rsid w:val="00FF72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EF8091"/>
  <w15:docId w15:val="{A5BBDB9A-BD97-4A4F-B9D8-5BBC9A89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DengXian" w:hAnsi="Aptos" w:cs="Arial"/>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eastAsia="DengXian Light" w:hAnsi="Aptos Display" w:cs="Times New Roman"/>
      <w:color w:val="0F4761"/>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ptos Display" w:eastAsia="DengXian Light" w:hAnsi="Aptos Display" w:cs="Times New Roman"/>
      <w:color w:val="0F4761"/>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DengXian Light" w:cs="Times New Roman"/>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DengXian Light" w:cs="Times New Roman"/>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DengXian Light" w:cs="Times New Roman"/>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DengXian Light" w:cs="Times New Roma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DengXian Light" w:cs="Times New Roman"/>
      <w:color w:val="595959"/>
    </w:rPr>
  </w:style>
  <w:style w:type="paragraph" w:styleId="Heading8">
    <w:name w:val="heading 8"/>
    <w:basedOn w:val="Normal"/>
    <w:next w:val="Normal"/>
    <w:link w:val="Heading8Char"/>
    <w:uiPriority w:val="9"/>
    <w:qFormat/>
    <w:pPr>
      <w:keepNext/>
      <w:keepLines/>
      <w:spacing w:after="0"/>
      <w:outlineLvl w:val="7"/>
    </w:pPr>
    <w:rPr>
      <w:rFonts w:eastAsia="DengXian Light" w:cs="Times New Roman"/>
      <w:i/>
      <w:iCs/>
      <w:color w:val="272727"/>
    </w:rPr>
  </w:style>
  <w:style w:type="paragraph" w:styleId="Heading9">
    <w:name w:val="heading 9"/>
    <w:basedOn w:val="Normal"/>
    <w:next w:val="Normal"/>
    <w:link w:val="Heading9Char"/>
    <w:uiPriority w:val="9"/>
    <w:qFormat/>
    <w:pPr>
      <w:keepNext/>
      <w:keepLines/>
      <w:spacing w:after="0"/>
      <w:outlineLvl w:val="8"/>
    </w:pPr>
    <w:rPr>
      <w:rFonts w:eastAsia="DengXian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DengXian Light" w:hAnsi="Aptos Display" w:cs="Times New Roman"/>
      <w:color w:val="0F4761"/>
      <w:sz w:val="40"/>
      <w:szCs w:val="40"/>
    </w:rPr>
  </w:style>
  <w:style w:type="character" w:customStyle="1" w:styleId="Heading2Char">
    <w:name w:val="Heading 2 Char"/>
    <w:basedOn w:val="DefaultParagraphFont"/>
    <w:link w:val="Heading2"/>
    <w:uiPriority w:val="9"/>
    <w:rPr>
      <w:rFonts w:ascii="Aptos Display" w:eastAsia="DengXian Light" w:hAnsi="Aptos Display" w:cs="Times New Roman"/>
      <w:color w:val="0F4761"/>
      <w:sz w:val="32"/>
      <w:szCs w:val="32"/>
    </w:rPr>
  </w:style>
  <w:style w:type="character" w:customStyle="1" w:styleId="Heading3Char">
    <w:name w:val="Heading 3 Char"/>
    <w:basedOn w:val="DefaultParagraphFont"/>
    <w:link w:val="Heading3"/>
    <w:uiPriority w:val="9"/>
    <w:rPr>
      <w:rFonts w:eastAsia="DengXian Light" w:cs="Times New Roman"/>
      <w:color w:val="0F4761"/>
      <w:sz w:val="28"/>
      <w:szCs w:val="28"/>
    </w:rPr>
  </w:style>
  <w:style w:type="character" w:customStyle="1" w:styleId="Heading4Char">
    <w:name w:val="Heading 4 Char"/>
    <w:basedOn w:val="DefaultParagraphFont"/>
    <w:link w:val="Heading4"/>
    <w:uiPriority w:val="9"/>
    <w:rPr>
      <w:rFonts w:eastAsia="DengXian Light" w:cs="Times New Roman"/>
      <w:i/>
      <w:iCs/>
      <w:color w:val="0F4761"/>
    </w:rPr>
  </w:style>
  <w:style w:type="character" w:customStyle="1" w:styleId="Heading5Char">
    <w:name w:val="Heading 5 Char"/>
    <w:basedOn w:val="DefaultParagraphFont"/>
    <w:link w:val="Heading5"/>
    <w:uiPriority w:val="9"/>
    <w:rPr>
      <w:rFonts w:eastAsia="DengXian Light" w:cs="Times New Roman"/>
      <w:color w:val="0F4761"/>
    </w:rPr>
  </w:style>
  <w:style w:type="character" w:customStyle="1" w:styleId="Heading6Char">
    <w:name w:val="Heading 6 Char"/>
    <w:basedOn w:val="DefaultParagraphFont"/>
    <w:link w:val="Heading6"/>
    <w:uiPriority w:val="9"/>
    <w:rPr>
      <w:rFonts w:eastAsia="DengXian Light" w:cs="Times New Roman"/>
      <w:i/>
      <w:iCs/>
      <w:color w:val="595959"/>
    </w:rPr>
  </w:style>
  <w:style w:type="character" w:customStyle="1" w:styleId="Heading7Char">
    <w:name w:val="Heading 7 Char"/>
    <w:basedOn w:val="DefaultParagraphFont"/>
    <w:link w:val="Heading7"/>
    <w:uiPriority w:val="9"/>
    <w:rPr>
      <w:rFonts w:eastAsia="DengXian Light" w:cs="Times New Roman"/>
      <w:color w:val="595959"/>
    </w:rPr>
  </w:style>
  <w:style w:type="character" w:customStyle="1" w:styleId="Heading8Char">
    <w:name w:val="Heading 8 Char"/>
    <w:basedOn w:val="DefaultParagraphFont"/>
    <w:link w:val="Heading8"/>
    <w:uiPriority w:val="9"/>
    <w:rPr>
      <w:rFonts w:eastAsia="DengXian Light" w:cs="Times New Roman"/>
      <w:i/>
      <w:iCs/>
      <w:color w:val="272727"/>
    </w:rPr>
  </w:style>
  <w:style w:type="character" w:customStyle="1" w:styleId="Heading9Char">
    <w:name w:val="Heading 9 Char"/>
    <w:basedOn w:val="DefaultParagraphFont"/>
    <w:link w:val="Heading9"/>
    <w:uiPriority w:val="9"/>
    <w:rPr>
      <w:rFonts w:eastAsia="DengXian Light" w:cs="Times New Roman"/>
      <w:color w:val="272727"/>
    </w:rPr>
  </w:style>
  <w:style w:type="paragraph" w:styleId="Title">
    <w:name w:val="Title"/>
    <w:basedOn w:val="Normal"/>
    <w:next w:val="Normal"/>
    <w:link w:val="TitleChar"/>
    <w:uiPriority w:val="10"/>
    <w:qFormat/>
    <w:pPr>
      <w:spacing w:after="80" w:line="240" w:lineRule="auto"/>
      <w:contextualSpacing/>
    </w:pPr>
    <w:rPr>
      <w:rFonts w:ascii="Aptos Display" w:eastAsia="DengXian Light" w:hAnsi="Aptos Display" w:cs="Times New Roman"/>
      <w:spacing w:val="-10"/>
      <w:kern w:val="28"/>
      <w:sz w:val="56"/>
      <w:szCs w:val="56"/>
    </w:rPr>
  </w:style>
  <w:style w:type="character" w:customStyle="1" w:styleId="TitleChar">
    <w:name w:val="Title Char"/>
    <w:basedOn w:val="DefaultParagraphFont"/>
    <w:link w:val="Title"/>
    <w:uiPriority w:val="10"/>
    <w:rPr>
      <w:rFonts w:ascii="Aptos Display" w:eastAsia="DengXian Light" w:hAnsi="Aptos Display" w:cs="Times New Roman"/>
      <w:spacing w:val="-10"/>
      <w:kern w:val="28"/>
      <w:sz w:val="56"/>
      <w:szCs w:val="56"/>
    </w:rPr>
  </w:style>
  <w:style w:type="paragraph" w:styleId="Subtitle">
    <w:name w:val="Subtitle"/>
    <w:basedOn w:val="Normal"/>
    <w:next w:val="Normal"/>
    <w:link w:val="SubtitleChar"/>
    <w:uiPriority w:val="11"/>
    <w:qFormat/>
    <w:pPr>
      <w:numPr>
        <w:ilvl w:val="1"/>
      </w:numPr>
    </w:pPr>
    <w:rPr>
      <w:rFonts w:eastAsia="DengXian Light" w:cs="Times New Roman"/>
      <w:color w:val="595959"/>
      <w:spacing w:val="15"/>
      <w:sz w:val="28"/>
      <w:szCs w:val="28"/>
    </w:rPr>
  </w:style>
  <w:style w:type="character" w:customStyle="1" w:styleId="SubtitleChar">
    <w:name w:val="Subtitle Char"/>
    <w:basedOn w:val="DefaultParagraphFont"/>
    <w:link w:val="Subtitle"/>
    <w:uiPriority w:val="11"/>
    <w:rPr>
      <w:rFonts w:eastAsia="DengXian Light" w:cs="Times New Roma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pPr>
      <w:spacing w:after="0" w:line="240" w:lineRule="auto"/>
    </w:pPr>
    <w:rPr>
      <w:rFonts w:ascii="Calibri" w:eastAsia="SimSun" w:hAnsi="Calibri"/>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rPr>
      <w:rFonts w:ascii="Times New Roman" w:hAnsi="Times New Roman" w:cs="Times New Roman"/>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728AA"/>
    <w:rPr>
      <w:b/>
      <w:bCs/>
    </w:rPr>
  </w:style>
  <w:style w:type="character" w:customStyle="1" w:styleId="CommentSubjectChar">
    <w:name w:val="Comment Subject Char"/>
    <w:basedOn w:val="CommentTextChar"/>
    <w:link w:val="CommentSubject"/>
    <w:uiPriority w:val="99"/>
    <w:semiHidden/>
    <w:rsid w:val="009728AA"/>
    <w:rPr>
      <w:b/>
      <w:bCs/>
      <w:sz w:val="20"/>
      <w:szCs w:val="20"/>
    </w:rPr>
  </w:style>
  <w:style w:type="character" w:styleId="Hyperlink">
    <w:name w:val="Hyperlink"/>
    <w:basedOn w:val="DefaultParagraphFont"/>
    <w:uiPriority w:val="99"/>
    <w:unhideWhenUsed/>
    <w:rsid w:val="009728AA"/>
    <w:rPr>
      <w:color w:val="0000FF" w:themeColor="hyperlink"/>
      <w:u w:val="single"/>
    </w:rPr>
  </w:style>
  <w:style w:type="character" w:styleId="UnresolvedMention">
    <w:name w:val="Unresolved Mention"/>
    <w:basedOn w:val="DefaultParagraphFont"/>
    <w:uiPriority w:val="99"/>
    <w:semiHidden/>
    <w:unhideWhenUsed/>
    <w:rsid w:val="009728AA"/>
    <w:rPr>
      <w:color w:val="605E5C"/>
      <w:shd w:val="clear" w:color="auto" w:fill="E1DFDD"/>
    </w:rPr>
  </w:style>
  <w:style w:type="character" w:styleId="FollowedHyperlink">
    <w:name w:val="FollowedHyperlink"/>
    <w:basedOn w:val="DefaultParagraphFont"/>
    <w:uiPriority w:val="99"/>
    <w:semiHidden/>
    <w:unhideWhenUsed/>
    <w:rsid w:val="001D6C1F"/>
    <w:rPr>
      <w:color w:val="800080" w:themeColor="followedHyperlink"/>
      <w:u w:val="single"/>
    </w:rPr>
  </w:style>
  <w:style w:type="paragraph" w:styleId="Header">
    <w:name w:val="header"/>
    <w:basedOn w:val="Normal"/>
    <w:link w:val="HeaderChar"/>
    <w:uiPriority w:val="99"/>
    <w:unhideWhenUsed/>
    <w:rsid w:val="00F05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E7"/>
  </w:style>
  <w:style w:type="paragraph" w:styleId="Footer">
    <w:name w:val="footer"/>
    <w:basedOn w:val="Normal"/>
    <w:link w:val="FooterChar"/>
    <w:uiPriority w:val="99"/>
    <w:unhideWhenUsed/>
    <w:rsid w:val="00F05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9678">
      <w:bodyDiv w:val="1"/>
      <w:marLeft w:val="0"/>
      <w:marRight w:val="0"/>
      <w:marTop w:val="0"/>
      <w:marBottom w:val="0"/>
      <w:divBdr>
        <w:top w:val="none" w:sz="0" w:space="0" w:color="auto"/>
        <w:left w:val="none" w:sz="0" w:space="0" w:color="auto"/>
        <w:bottom w:val="none" w:sz="0" w:space="0" w:color="auto"/>
        <w:right w:val="none" w:sz="0" w:space="0" w:color="auto"/>
      </w:divBdr>
      <w:divsChild>
        <w:div w:id="613102365">
          <w:marLeft w:val="0"/>
          <w:marRight w:val="0"/>
          <w:marTop w:val="0"/>
          <w:marBottom w:val="0"/>
          <w:divBdr>
            <w:top w:val="none" w:sz="0" w:space="0" w:color="auto"/>
            <w:left w:val="none" w:sz="0" w:space="0" w:color="auto"/>
            <w:bottom w:val="none" w:sz="0" w:space="0" w:color="auto"/>
            <w:right w:val="none" w:sz="0" w:space="0" w:color="auto"/>
          </w:divBdr>
          <w:divsChild>
            <w:div w:id="895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971">
      <w:bodyDiv w:val="1"/>
      <w:marLeft w:val="0"/>
      <w:marRight w:val="0"/>
      <w:marTop w:val="0"/>
      <w:marBottom w:val="0"/>
      <w:divBdr>
        <w:top w:val="none" w:sz="0" w:space="0" w:color="auto"/>
        <w:left w:val="none" w:sz="0" w:space="0" w:color="auto"/>
        <w:bottom w:val="none" w:sz="0" w:space="0" w:color="auto"/>
        <w:right w:val="none" w:sz="0" w:space="0" w:color="auto"/>
      </w:divBdr>
    </w:div>
    <w:div w:id="31881211">
      <w:bodyDiv w:val="1"/>
      <w:marLeft w:val="0"/>
      <w:marRight w:val="0"/>
      <w:marTop w:val="0"/>
      <w:marBottom w:val="0"/>
      <w:divBdr>
        <w:top w:val="none" w:sz="0" w:space="0" w:color="auto"/>
        <w:left w:val="none" w:sz="0" w:space="0" w:color="auto"/>
        <w:bottom w:val="none" w:sz="0" w:space="0" w:color="auto"/>
        <w:right w:val="none" w:sz="0" w:space="0" w:color="auto"/>
      </w:divBdr>
    </w:div>
    <w:div w:id="32079186">
      <w:bodyDiv w:val="1"/>
      <w:marLeft w:val="0"/>
      <w:marRight w:val="0"/>
      <w:marTop w:val="0"/>
      <w:marBottom w:val="0"/>
      <w:divBdr>
        <w:top w:val="none" w:sz="0" w:space="0" w:color="auto"/>
        <w:left w:val="none" w:sz="0" w:space="0" w:color="auto"/>
        <w:bottom w:val="none" w:sz="0" w:space="0" w:color="auto"/>
        <w:right w:val="none" w:sz="0" w:space="0" w:color="auto"/>
      </w:divBdr>
      <w:divsChild>
        <w:div w:id="41297406">
          <w:marLeft w:val="0"/>
          <w:marRight w:val="0"/>
          <w:marTop w:val="0"/>
          <w:marBottom w:val="0"/>
          <w:divBdr>
            <w:top w:val="none" w:sz="0" w:space="0" w:color="auto"/>
            <w:left w:val="none" w:sz="0" w:space="0" w:color="auto"/>
            <w:bottom w:val="none" w:sz="0" w:space="0" w:color="auto"/>
            <w:right w:val="none" w:sz="0" w:space="0" w:color="auto"/>
          </w:divBdr>
          <w:divsChild>
            <w:div w:id="922422126">
              <w:marLeft w:val="0"/>
              <w:marRight w:val="0"/>
              <w:marTop w:val="0"/>
              <w:marBottom w:val="0"/>
              <w:divBdr>
                <w:top w:val="none" w:sz="0" w:space="0" w:color="auto"/>
                <w:left w:val="none" w:sz="0" w:space="0" w:color="auto"/>
                <w:bottom w:val="none" w:sz="0" w:space="0" w:color="auto"/>
                <w:right w:val="none" w:sz="0" w:space="0" w:color="auto"/>
              </w:divBdr>
              <w:divsChild>
                <w:div w:id="669606069">
                  <w:marLeft w:val="0"/>
                  <w:marRight w:val="0"/>
                  <w:marTop w:val="0"/>
                  <w:marBottom w:val="0"/>
                  <w:divBdr>
                    <w:top w:val="none" w:sz="0" w:space="0" w:color="auto"/>
                    <w:left w:val="none" w:sz="0" w:space="0" w:color="auto"/>
                    <w:bottom w:val="none" w:sz="0" w:space="0" w:color="auto"/>
                    <w:right w:val="none" w:sz="0" w:space="0" w:color="auto"/>
                  </w:divBdr>
                  <w:divsChild>
                    <w:div w:id="1367831516">
                      <w:marLeft w:val="0"/>
                      <w:marRight w:val="0"/>
                      <w:marTop w:val="0"/>
                      <w:marBottom w:val="0"/>
                      <w:divBdr>
                        <w:top w:val="none" w:sz="0" w:space="0" w:color="auto"/>
                        <w:left w:val="none" w:sz="0" w:space="0" w:color="auto"/>
                        <w:bottom w:val="none" w:sz="0" w:space="0" w:color="auto"/>
                        <w:right w:val="none" w:sz="0" w:space="0" w:color="auto"/>
                      </w:divBdr>
                      <w:divsChild>
                        <w:div w:id="455562511">
                          <w:marLeft w:val="0"/>
                          <w:marRight w:val="0"/>
                          <w:marTop w:val="0"/>
                          <w:marBottom w:val="0"/>
                          <w:divBdr>
                            <w:top w:val="none" w:sz="0" w:space="0" w:color="auto"/>
                            <w:left w:val="none" w:sz="0" w:space="0" w:color="auto"/>
                            <w:bottom w:val="none" w:sz="0" w:space="0" w:color="auto"/>
                            <w:right w:val="none" w:sz="0" w:space="0" w:color="auto"/>
                          </w:divBdr>
                          <w:divsChild>
                            <w:div w:id="2012752022">
                              <w:marLeft w:val="0"/>
                              <w:marRight w:val="0"/>
                              <w:marTop w:val="0"/>
                              <w:marBottom w:val="0"/>
                              <w:divBdr>
                                <w:top w:val="none" w:sz="0" w:space="0" w:color="auto"/>
                                <w:left w:val="none" w:sz="0" w:space="0" w:color="auto"/>
                                <w:bottom w:val="none" w:sz="0" w:space="0" w:color="auto"/>
                                <w:right w:val="none" w:sz="0" w:space="0" w:color="auto"/>
                              </w:divBdr>
                              <w:divsChild>
                                <w:div w:id="1506434231">
                                  <w:marLeft w:val="0"/>
                                  <w:marRight w:val="0"/>
                                  <w:marTop w:val="0"/>
                                  <w:marBottom w:val="0"/>
                                  <w:divBdr>
                                    <w:top w:val="none" w:sz="0" w:space="0" w:color="auto"/>
                                    <w:left w:val="none" w:sz="0" w:space="0" w:color="auto"/>
                                    <w:bottom w:val="none" w:sz="0" w:space="0" w:color="auto"/>
                                    <w:right w:val="none" w:sz="0" w:space="0" w:color="auto"/>
                                  </w:divBdr>
                                  <w:divsChild>
                                    <w:div w:id="2976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9805">
                      <w:marLeft w:val="0"/>
                      <w:marRight w:val="0"/>
                      <w:marTop w:val="0"/>
                      <w:marBottom w:val="0"/>
                      <w:divBdr>
                        <w:top w:val="none" w:sz="0" w:space="0" w:color="auto"/>
                        <w:left w:val="none" w:sz="0" w:space="0" w:color="auto"/>
                        <w:bottom w:val="none" w:sz="0" w:space="0" w:color="auto"/>
                        <w:right w:val="none" w:sz="0" w:space="0" w:color="auto"/>
                      </w:divBdr>
                      <w:divsChild>
                        <w:div w:id="20121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84284">
      <w:bodyDiv w:val="1"/>
      <w:marLeft w:val="0"/>
      <w:marRight w:val="0"/>
      <w:marTop w:val="0"/>
      <w:marBottom w:val="0"/>
      <w:divBdr>
        <w:top w:val="none" w:sz="0" w:space="0" w:color="auto"/>
        <w:left w:val="none" w:sz="0" w:space="0" w:color="auto"/>
        <w:bottom w:val="none" w:sz="0" w:space="0" w:color="auto"/>
        <w:right w:val="none" w:sz="0" w:space="0" w:color="auto"/>
      </w:divBdr>
    </w:div>
    <w:div w:id="68814032">
      <w:bodyDiv w:val="1"/>
      <w:marLeft w:val="0"/>
      <w:marRight w:val="0"/>
      <w:marTop w:val="0"/>
      <w:marBottom w:val="0"/>
      <w:divBdr>
        <w:top w:val="none" w:sz="0" w:space="0" w:color="auto"/>
        <w:left w:val="none" w:sz="0" w:space="0" w:color="auto"/>
        <w:bottom w:val="none" w:sz="0" w:space="0" w:color="auto"/>
        <w:right w:val="none" w:sz="0" w:space="0" w:color="auto"/>
      </w:divBdr>
    </w:div>
    <w:div w:id="82722199">
      <w:bodyDiv w:val="1"/>
      <w:marLeft w:val="0"/>
      <w:marRight w:val="0"/>
      <w:marTop w:val="0"/>
      <w:marBottom w:val="0"/>
      <w:divBdr>
        <w:top w:val="none" w:sz="0" w:space="0" w:color="auto"/>
        <w:left w:val="none" w:sz="0" w:space="0" w:color="auto"/>
        <w:bottom w:val="none" w:sz="0" w:space="0" w:color="auto"/>
        <w:right w:val="none" w:sz="0" w:space="0" w:color="auto"/>
      </w:divBdr>
    </w:div>
    <w:div w:id="93987118">
      <w:bodyDiv w:val="1"/>
      <w:marLeft w:val="0"/>
      <w:marRight w:val="0"/>
      <w:marTop w:val="0"/>
      <w:marBottom w:val="0"/>
      <w:divBdr>
        <w:top w:val="none" w:sz="0" w:space="0" w:color="auto"/>
        <w:left w:val="none" w:sz="0" w:space="0" w:color="auto"/>
        <w:bottom w:val="none" w:sz="0" w:space="0" w:color="auto"/>
        <w:right w:val="none" w:sz="0" w:space="0" w:color="auto"/>
      </w:divBdr>
    </w:div>
    <w:div w:id="106431507">
      <w:bodyDiv w:val="1"/>
      <w:marLeft w:val="0"/>
      <w:marRight w:val="0"/>
      <w:marTop w:val="0"/>
      <w:marBottom w:val="0"/>
      <w:divBdr>
        <w:top w:val="none" w:sz="0" w:space="0" w:color="auto"/>
        <w:left w:val="none" w:sz="0" w:space="0" w:color="auto"/>
        <w:bottom w:val="none" w:sz="0" w:space="0" w:color="auto"/>
        <w:right w:val="none" w:sz="0" w:space="0" w:color="auto"/>
      </w:divBdr>
    </w:div>
    <w:div w:id="109475834">
      <w:bodyDiv w:val="1"/>
      <w:marLeft w:val="0"/>
      <w:marRight w:val="0"/>
      <w:marTop w:val="0"/>
      <w:marBottom w:val="0"/>
      <w:divBdr>
        <w:top w:val="none" w:sz="0" w:space="0" w:color="auto"/>
        <w:left w:val="none" w:sz="0" w:space="0" w:color="auto"/>
        <w:bottom w:val="none" w:sz="0" w:space="0" w:color="auto"/>
        <w:right w:val="none" w:sz="0" w:space="0" w:color="auto"/>
      </w:divBdr>
      <w:divsChild>
        <w:div w:id="1536700179">
          <w:marLeft w:val="-720"/>
          <w:marRight w:val="0"/>
          <w:marTop w:val="0"/>
          <w:marBottom w:val="0"/>
          <w:divBdr>
            <w:top w:val="none" w:sz="0" w:space="0" w:color="auto"/>
            <w:left w:val="none" w:sz="0" w:space="0" w:color="auto"/>
            <w:bottom w:val="none" w:sz="0" w:space="0" w:color="auto"/>
            <w:right w:val="none" w:sz="0" w:space="0" w:color="auto"/>
          </w:divBdr>
        </w:div>
      </w:divsChild>
    </w:div>
    <w:div w:id="118648066">
      <w:bodyDiv w:val="1"/>
      <w:marLeft w:val="0"/>
      <w:marRight w:val="0"/>
      <w:marTop w:val="0"/>
      <w:marBottom w:val="0"/>
      <w:divBdr>
        <w:top w:val="none" w:sz="0" w:space="0" w:color="auto"/>
        <w:left w:val="none" w:sz="0" w:space="0" w:color="auto"/>
        <w:bottom w:val="none" w:sz="0" w:space="0" w:color="auto"/>
        <w:right w:val="none" w:sz="0" w:space="0" w:color="auto"/>
      </w:divBdr>
      <w:divsChild>
        <w:div w:id="1554317425">
          <w:marLeft w:val="-720"/>
          <w:marRight w:val="0"/>
          <w:marTop w:val="0"/>
          <w:marBottom w:val="0"/>
          <w:divBdr>
            <w:top w:val="none" w:sz="0" w:space="0" w:color="auto"/>
            <w:left w:val="none" w:sz="0" w:space="0" w:color="auto"/>
            <w:bottom w:val="none" w:sz="0" w:space="0" w:color="auto"/>
            <w:right w:val="none" w:sz="0" w:space="0" w:color="auto"/>
          </w:divBdr>
        </w:div>
      </w:divsChild>
    </w:div>
    <w:div w:id="119153793">
      <w:bodyDiv w:val="1"/>
      <w:marLeft w:val="0"/>
      <w:marRight w:val="0"/>
      <w:marTop w:val="0"/>
      <w:marBottom w:val="0"/>
      <w:divBdr>
        <w:top w:val="none" w:sz="0" w:space="0" w:color="auto"/>
        <w:left w:val="none" w:sz="0" w:space="0" w:color="auto"/>
        <w:bottom w:val="none" w:sz="0" w:space="0" w:color="auto"/>
        <w:right w:val="none" w:sz="0" w:space="0" w:color="auto"/>
      </w:divBdr>
    </w:div>
    <w:div w:id="125201007">
      <w:bodyDiv w:val="1"/>
      <w:marLeft w:val="0"/>
      <w:marRight w:val="0"/>
      <w:marTop w:val="0"/>
      <w:marBottom w:val="0"/>
      <w:divBdr>
        <w:top w:val="none" w:sz="0" w:space="0" w:color="auto"/>
        <w:left w:val="none" w:sz="0" w:space="0" w:color="auto"/>
        <w:bottom w:val="none" w:sz="0" w:space="0" w:color="auto"/>
        <w:right w:val="none" w:sz="0" w:space="0" w:color="auto"/>
      </w:divBdr>
    </w:div>
    <w:div w:id="128985593">
      <w:bodyDiv w:val="1"/>
      <w:marLeft w:val="0"/>
      <w:marRight w:val="0"/>
      <w:marTop w:val="0"/>
      <w:marBottom w:val="0"/>
      <w:divBdr>
        <w:top w:val="none" w:sz="0" w:space="0" w:color="auto"/>
        <w:left w:val="none" w:sz="0" w:space="0" w:color="auto"/>
        <w:bottom w:val="none" w:sz="0" w:space="0" w:color="auto"/>
        <w:right w:val="none" w:sz="0" w:space="0" w:color="auto"/>
      </w:divBdr>
    </w:div>
    <w:div w:id="163253116">
      <w:bodyDiv w:val="1"/>
      <w:marLeft w:val="0"/>
      <w:marRight w:val="0"/>
      <w:marTop w:val="0"/>
      <w:marBottom w:val="0"/>
      <w:divBdr>
        <w:top w:val="none" w:sz="0" w:space="0" w:color="auto"/>
        <w:left w:val="none" w:sz="0" w:space="0" w:color="auto"/>
        <w:bottom w:val="none" w:sz="0" w:space="0" w:color="auto"/>
        <w:right w:val="none" w:sz="0" w:space="0" w:color="auto"/>
      </w:divBdr>
    </w:div>
    <w:div w:id="164787688">
      <w:bodyDiv w:val="1"/>
      <w:marLeft w:val="0"/>
      <w:marRight w:val="0"/>
      <w:marTop w:val="0"/>
      <w:marBottom w:val="0"/>
      <w:divBdr>
        <w:top w:val="none" w:sz="0" w:space="0" w:color="auto"/>
        <w:left w:val="none" w:sz="0" w:space="0" w:color="auto"/>
        <w:bottom w:val="none" w:sz="0" w:space="0" w:color="auto"/>
        <w:right w:val="none" w:sz="0" w:space="0" w:color="auto"/>
      </w:divBdr>
    </w:div>
    <w:div w:id="174194859">
      <w:bodyDiv w:val="1"/>
      <w:marLeft w:val="0"/>
      <w:marRight w:val="0"/>
      <w:marTop w:val="0"/>
      <w:marBottom w:val="0"/>
      <w:divBdr>
        <w:top w:val="none" w:sz="0" w:space="0" w:color="auto"/>
        <w:left w:val="none" w:sz="0" w:space="0" w:color="auto"/>
        <w:bottom w:val="none" w:sz="0" w:space="0" w:color="auto"/>
        <w:right w:val="none" w:sz="0" w:space="0" w:color="auto"/>
      </w:divBdr>
    </w:div>
    <w:div w:id="193930581">
      <w:bodyDiv w:val="1"/>
      <w:marLeft w:val="0"/>
      <w:marRight w:val="0"/>
      <w:marTop w:val="0"/>
      <w:marBottom w:val="0"/>
      <w:divBdr>
        <w:top w:val="none" w:sz="0" w:space="0" w:color="auto"/>
        <w:left w:val="none" w:sz="0" w:space="0" w:color="auto"/>
        <w:bottom w:val="none" w:sz="0" w:space="0" w:color="auto"/>
        <w:right w:val="none" w:sz="0" w:space="0" w:color="auto"/>
      </w:divBdr>
    </w:div>
    <w:div w:id="196092108">
      <w:bodyDiv w:val="1"/>
      <w:marLeft w:val="0"/>
      <w:marRight w:val="0"/>
      <w:marTop w:val="0"/>
      <w:marBottom w:val="0"/>
      <w:divBdr>
        <w:top w:val="none" w:sz="0" w:space="0" w:color="auto"/>
        <w:left w:val="none" w:sz="0" w:space="0" w:color="auto"/>
        <w:bottom w:val="none" w:sz="0" w:space="0" w:color="auto"/>
        <w:right w:val="none" w:sz="0" w:space="0" w:color="auto"/>
      </w:divBdr>
    </w:div>
    <w:div w:id="201989943">
      <w:bodyDiv w:val="1"/>
      <w:marLeft w:val="0"/>
      <w:marRight w:val="0"/>
      <w:marTop w:val="0"/>
      <w:marBottom w:val="0"/>
      <w:divBdr>
        <w:top w:val="none" w:sz="0" w:space="0" w:color="auto"/>
        <w:left w:val="none" w:sz="0" w:space="0" w:color="auto"/>
        <w:bottom w:val="none" w:sz="0" w:space="0" w:color="auto"/>
        <w:right w:val="none" w:sz="0" w:space="0" w:color="auto"/>
      </w:divBdr>
      <w:divsChild>
        <w:div w:id="909078719">
          <w:marLeft w:val="-720"/>
          <w:marRight w:val="0"/>
          <w:marTop w:val="0"/>
          <w:marBottom w:val="0"/>
          <w:divBdr>
            <w:top w:val="none" w:sz="0" w:space="0" w:color="auto"/>
            <w:left w:val="none" w:sz="0" w:space="0" w:color="auto"/>
            <w:bottom w:val="none" w:sz="0" w:space="0" w:color="auto"/>
            <w:right w:val="none" w:sz="0" w:space="0" w:color="auto"/>
          </w:divBdr>
        </w:div>
      </w:divsChild>
    </w:div>
    <w:div w:id="215557267">
      <w:bodyDiv w:val="1"/>
      <w:marLeft w:val="0"/>
      <w:marRight w:val="0"/>
      <w:marTop w:val="0"/>
      <w:marBottom w:val="0"/>
      <w:divBdr>
        <w:top w:val="none" w:sz="0" w:space="0" w:color="auto"/>
        <w:left w:val="none" w:sz="0" w:space="0" w:color="auto"/>
        <w:bottom w:val="none" w:sz="0" w:space="0" w:color="auto"/>
        <w:right w:val="none" w:sz="0" w:space="0" w:color="auto"/>
      </w:divBdr>
    </w:div>
    <w:div w:id="220412056">
      <w:bodyDiv w:val="1"/>
      <w:marLeft w:val="0"/>
      <w:marRight w:val="0"/>
      <w:marTop w:val="0"/>
      <w:marBottom w:val="0"/>
      <w:divBdr>
        <w:top w:val="none" w:sz="0" w:space="0" w:color="auto"/>
        <w:left w:val="none" w:sz="0" w:space="0" w:color="auto"/>
        <w:bottom w:val="none" w:sz="0" w:space="0" w:color="auto"/>
        <w:right w:val="none" w:sz="0" w:space="0" w:color="auto"/>
      </w:divBdr>
    </w:div>
    <w:div w:id="223876958">
      <w:bodyDiv w:val="1"/>
      <w:marLeft w:val="0"/>
      <w:marRight w:val="0"/>
      <w:marTop w:val="0"/>
      <w:marBottom w:val="0"/>
      <w:divBdr>
        <w:top w:val="none" w:sz="0" w:space="0" w:color="auto"/>
        <w:left w:val="none" w:sz="0" w:space="0" w:color="auto"/>
        <w:bottom w:val="none" w:sz="0" w:space="0" w:color="auto"/>
        <w:right w:val="none" w:sz="0" w:space="0" w:color="auto"/>
      </w:divBdr>
    </w:div>
    <w:div w:id="250704418">
      <w:bodyDiv w:val="1"/>
      <w:marLeft w:val="0"/>
      <w:marRight w:val="0"/>
      <w:marTop w:val="0"/>
      <w:marBottom w:val="0"/>
      <w:divBdr>
        <w:top w:val="none" w:sz="0" w:space="0" w:color="auto"/>
        <w:left w:val="none" w:sz="0" w:space="0" w:color="auto"/>
        <w:bottom w:val="none" w:sz="0" w:space="0" w:color="auto"/>
        <w:right w:val="none" w:sz="0" w:space="0" w:color="auto"/>
      </w:divBdr>
    </w:div>
    <w:div w:id="265502346">
      <w:bodyDiv w:val="1"/>
      <w:marLeft w:val="0"/>
      <w:marRight w:val="0"/>
      <w:marTop w:val="0"/>
      <w:marBottom w:val="0"/>
      <w:divBdr>
        <w:top w:val="none" w:sz="0" w:space="0" w:color="auto"/>
        <w:left w:val="none" w:sz="0" w:space="0" w:color="auto"/>
        <w:bottom w:val="none" w:sz="0" w:space="0" w:color="auto"/>
        <w:right w:val="none" w:sz="0" w:space="0" w:color="auto"/>
      </w:divBdr>
    </w:div>
    <w:div w:id="310453492">
      <w:bodyDiv w:val="1"/>
      <w:marLeft w:val="0"/>
      <w:marRight w:val="0"/>
      <w:marTop w:val="0"/>
      <w:marBottom w:val="0"/>
      <w:divBdr>
        <w:top w:val="none" w:sz="0" w:space="0" w:color="auto"/>
        <w:left w:val="none" w:sz="0" w:space="0" w:color="auto"/>
        <w:bottom w:val="none" w:sz="0" w:space="0" w:color="auto"/>
        <w:right w:val="none" w:sz="0" w:space="0" w:color="auto"/>
      </w:divBdr>
    </w:div>
    <w:div w:id="310604102">
      <w:bodyDiv w:val="1"/>
      <w:marLeft w:val="0"/>
      <w:marRight w:val="0"/>
      <w:marTop w:val="0"/>
      <w:marBottom w:val="0"/>
      <w:divBdr>
        <w:top w:val="none" w:sz="0" w:space="0" w:color="auto"/>
        <w:left w:val="none" w:sz="0" w:space="0" w:color="auto"/>
        <w:bottom w:val="none" w:sz="0" w:space="0" w:color="auto"/>
        <w:right w:val="none" w:sz="0" w:space="0" w:color="auto"/>
      </w:divBdr>
    </w:div>
    <w:div w:id="331881128">
      <w:bodyDiv w:val="1"/>
      <w:marLeft w:val="0"/>
      <w:marRight w:val="0"/>
      <w:marTop w:val="0"/>
      <w:marBottom w:val="0"/>
      <w:divBdr>
        <w:top w:val="none" w:sz="0" w:space="0" w:color="auto"/>
        <w:left w:val="none" w:sz="0" w:space="0" w:color="auto"/>
        <w:bottom w:val="none" w:sz="0" w:space="0" w:color="auto"/>
        <w:right w:val="none" w:sz="0" w:space="0" w:color="auto"/>
      </w:divBdr>
    </w:div>
    <w:div w:id="334117874">
      <w:bodyDiv w:val="1"/>
      <w:marLeft w:val="0"/>
      <w:marRight w:val="0"/>
      <w:marTop w:val="0"/>
      <w:marBottom w:val="0"/>
      <w:divBdr>
        <w:top w:val="none" w:sz="0" w:space="0" w:color="auto"/>
        <w:left w:val="none" w:sz="0" w:space="0" w:color="auto"/>
        <w:bottom w:val="none" w:sz="0" w:space="0" w:color="auto"/>
        <w:right w:val="none" w:sz="0" w:space="0" w:color="auto"/>
      </w:divBdr>
    </w:div>
    <w:div w:id="335159838">
      <w:bodyDiv w:val="1"/>
      <w:marLeft w:val="0"/>
      <w:marRight w:val="0"/>
      <w:marTop w:val="0"/>
      <w:marBottom w:val="0"/>
      <w:divBdr>
        <w:top w:val="none" w:sz="0" w:space="0" w:color="auto"/>
        <w:left w:val="none" w:sz="0" w:space="0" w:color="auto"/>
        <w:bottom w:val="none" w:sz="0" w:space="0" w:color="auto"/>
        <w:right w:val="none" w:sz="0" w:space="0" w:color="auto"/>
      </w:divBdr>
    </w:div>
    <w:div w:id="378938678">
      <w:bodyDiv w:val="1"/>
      <w:marLeft w:val="0"/>
      <w:marRight w:val="0"/>
      <w:marTop w:val="0"/>
      <w:marBottom w:val="0"/>
      <w:divBdr>
        <w:top w:val="none" w:sz="0" w:space="0" w:color="auto"/>
        <w:left w:val="none" w:sz="0" w:space="0" w:color="auto"/>
        <w:bottom w:val="none" w:sz="0" w:space="0" w:color="auto"/>
        <w:right w:val="none" w:sz="0" w:space="0" w:color="auto"/>
      </w:divBdr>
    </w:div>
    <w:div w:id="399987467">
      <w:bodyDiv w:val="1"/>
      <w:marLeft w:val="0"/>
      <w:marRight w:val="0"/>
      <w:marTop w:val="0"/>
      <w:marBottom w:val="0"/>
      <w:divBdr>
        <w:top w:val="none" w:sz="0" w:space="0" w:color="auto"/>
        <w:left w:val="none" w:sz="0" w:space="0" w:color="auto"/>
        <w:bottom w:val="none" w:sz="0" w:space="0" w:color="auto"/>
        <w:right w:val="none" w:sz="0" w:space="0" w:color="auto"/>
      </w:divBdr>
      <w:divsChild>
        <w:div w:id="285552243">
          <w:marLeft w:val="0"/>
          <w:marRight w:val="0"/>
          <w:marTop w:val="0"/>
          <w:marBottom w:val="0"/>
          <w:divBdr>
            <w:top w:val="none" w:sz="0" w:space="0" w:color="auto"/>
            <w:left w:val="none" w:sz="0" w:space="0" w:color="auto"/>
            <w:bottom w:val="none" w:sz="0" w:space="0" w:color="auto"/>
            <w:right w:val="none" w:sz="0" w:space="0" w:color="auto"/>
          </w:divBdr>
          <w:divsChild>
            <w:div w:id="7607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923">
      <w:bodyDiv w:val="1"/>
      <w:marLeft w:val="0"/>
      <w:marRight w:val="0"/>
      <w:marTop w:val="0"/>
      <w:marBottom w:val="0"/>
      <w:divBdr>
        <w:top w:val="none" w:sz="0" w:space="0" w:color="auto"/>
        <w:left w:val="none" w:sz="0" w:space="0" w:color="auto"/>
        <w:bottom w:val="none" w:sz="0" w:space="0" w:color="auto"/>
        <w:right w:val="none" w:sz="0" w:space="0" w:color="auto"/>
      </w:divBdr>
    </w:div>
    <w:div w:id="409620534">
      <w:bodyDiv w:val="1"/>
      <w:marLeft w:val="0"/>
      <w:marRight w:val="0"/>
      <w:marTop w:val="0"/>
      <w:marBottom w:val="0"/>
      <w:divBdr>
        <w:top w:val="none" w:sz="0" w:space="0" w:color="auto"/>
        <w:left w:val="none" w:sz="0" w:space="0" w:color="auto"/>
        <w:bottom w:val="none" w:sz="0" w:space="0" w:color="auto"/>
        <w:right w:val="none" w:sz="0" w:space="0" w:color="auto"/>
      </w:divBdr>
    </w:div>
    <w:div w:id="411780928">
      <w:bodyDiv w:val="1"/>
      <w:marLeft w:val="0"/>
      <w:marRight w:val="0"/>
      <w:marTop w:val="0"/>
      <w:marBottom w:val="0"/>
      <w:divBdr>
        <w:top w:val="none" w:sz="0" w:space="0" w:color="auto"/>
        <w:left w:val="none" w:sz="0" w:space="0" w:color="auto"/>
        <w:bottom w:val="none" w:sz="0" w:space="0" w:color="auto"/>
        <w:right w:val="none" w:sz="0" w:space="0" w:color="auto"/>
      </w:divBdr>
    </w:div>
    <w:div w:id="418599784">
      <w:bodyDiv w:val="1"/>
      <w:marLeft w:val="0"/>
      <w:marRight w:val="0"/>
      <w:marTop w:val="0"/>
      <w:marBottom w:val="0"/>
      <w:divBdr>
        <w:top w:val="none" w:sz="0" w:space="0" w:color="auto"/>
        <w:left w:val="none" w:sz="0" w:space="0" w:color="auto"/>
        <w:bottom w:val="none" w:sz="0" w:space="0" w:color="auto"/>
        <w:right w:val="none" w:sz="0" w:space="0" w:color="auto"/>
      </w:divBdr>
    </w:div>
    <w:div w:id="426312221">
      <w:bodyDiv w:val="1"/>
      <w:marLeft w:val="0"/>
      <w:marRight w:val="0"/>
      <w:marTop w:val="0"/>
      <w:marBottom w:val="0"/>
      <w:divBdr>
        <w:top w:val="none" w:sz="0" w:space="0" w:color="auto"/>
        <w:left w:val="none" w:sz="0" w:space="0" w:color="auto"/>
        <w:bottom w:val="none" w:sz="0" w:space="0" w:color="auto"/>
        <w:right w:val="none" w:sz="0" w:space="0" w:color="auto"/>
      </w:divBdr>
    </w:div>
    <w:div w:id="438336250">
      <w:bodyDiv w:val="1"/>
      <w:marLeft w:val="0"/>
      <w:marRight w:val="0"/>
      <w:marTop w:val="0"/>
      <w:marBottom w:val="0"/>
      <w:divBdr>
        <w:top w:val="none" w:sz="0" w:space="0" w:color="auto"/>
        <w:left w:val="none" w:sz="0" w:space="0" w:color="auto"/>
        <w:bottom w:val="none" w:sz="0" w:space="0" w:color="auto"/>
        <w:right w:val="none" w:sz="0" w:space="0" w:color="auto"/>
      </w:divBdr>
    </w:div>
    <w:div w:id="465467227">
      <w:bodyDiv w:val="1"/>
      <w:marLeft w:val="0"/>
      <w:marRight w:val="0"/>
      <w:marTop w:val="0"/>
      <w:marBottom w:val="0"/>
      <w:divBdr>
        <w:top w:val="none" w:sz="0" w:space="0" w:color="auto"/>
        <w:left w:val="none" w:sz="0" w:space="0" w:color="auto"/>
        <w:bottom w:val="none" w:sz="0" w:space="0" w:color="auto"/>
        <w:right w:val="none" w:sz="0" w:space="0" w:color="auto"/>
      </w:divBdr>
    </w:div>
    <w:div w:id="497889329">
      <w:bodyDiv w:val="1"/>
      <w:marLeft w:val="0"/>
      <w:marRight w:val="0"/>
      <w:marTop w:val="0"/>
      <w:marBottom w:val="0"/>
      <w:divBdr>
        <w:top w:val="none" w:sz="0" w:space="0" w:color="auto"/>
        <w:left w:val="none" w:sz="0" w:space="0" w:color="auto"/>
        <w:bottom w:val="none" w:sz="0" w:space="0" w:color="auto"/>
        <w:right w:val="none" w:sz="0" w:space="0" w:color="auto"/>
      </w:divBdr>
      <w:divsChild>
        <w:div w:id="1486582689">
          <w:marLeft w:val="-720"/>
          <w:marRight w:val="0"/>
          <w:marTop w:val="0"/>
          <w:marBottom w:val="0"/>
          <w:divBdr>
            <w:top w:val="none" w:sz="0" w:space="0" w:color="auto"/>
            <w:left w:val="none" w:sz="0" w:space="0" w:color="auto"/>
            <w:bottom w:val="none" w:sz="0" w:space="0" w:color="auto"/>
            <w:right w:val="none" w:sz="0" w:space="0" w:color="auto"/>
          </w:divBdr>
        </w:div>
      </w:divsChild>
    </w:div>
    <w:div w:id="549608752">
      <w:bodyDiv w:val="1"/>
      <w:marLeft w:val="0"/>
      <w:marRight w:val="0"/>
      <w:marTop w:val="0"/>
      <w:marBottom w:val="0"/>
      <w:divBdr>
        <w:top w:val="none" w:sz="0" w:space="0" w:color="auto"/>
        <w:left w:val="none" w:sz="0" w:space="0" w:color="auto"/>
        <w:bottom w:val="none" w:sz="0" w:space="0" w:color="auto"/>
        <w:right w:val="none" w:sz="0" w:space="0" w:color="auto"/>
      </w:divBdr>
    </w:div>
    <w:div w:id="554706588">
      <w:bodyDiv w:val="1"/>
      <w:marLeft w:val="0"/>
      <w:marRight w:val="0"/>
      <w:marTop w:val="0"/>
      <w:marBottom w:val="0"/>
      <w:divBdr>
        <w:top w:val="none" w:sz="0" w:space="0" w:color="auto"/>
        <w:left w:val="none" w:sz="0" w:space="0" w:color="auto"/>
        <w:bottom w:val="none" w:sz="0" w:space="0" w:color="auto"/>
        <w:right w:val="none" w:sz="0" w:space="0" w:color="auto"/>
      </w:divBdr>
    </w:div>
    <w:div w:id="561790579">
      <w:bodyDiv w:val="1"/>
      <w:marLeft w:val="0"/>
      <w:marRight w:val="0"/>
      <w:marTop w:val="0"/>
      <w:marBottom w:val="0"/>
      <w:divBdr>
        <w:top w:val="none" w:sz="0" w:space="0" w:color="auto"/>
        <w:left w:val="none" w:sz="0" w:space="0" w:color="auto"/>
        <w:bottom w:val="none" w:sz="0" w:space="0" w:color="auto"/>
        <w:right w:val="none" w:sz="0" w:space="0" w:color="auto"/>
      </w:divBdr>
    </w:div>
    <w:div w:id="566570444">
      <w:bodyDiv w:val="1"/>
      <w:marLeft w:val="0"/>
      <w:marRight w:val="0"/>
      <w:marTop w:val="0"/>
      <w:marBottom w:val="0"/>
      <w:divBdr>
        <w:top w:val="none" w:sz="0" w:space="0" w:color="auto"/>
        <w:left w:val="none" w:sz="0" w:space="0" w:color="auto"/>
        <w:bottom w:val="none" w:sz="0" w:space="0" w:color="auto"/>
        <w:right w:val="none" w:sz="0" w:space="0" w:color="auto"/>
      </w:divBdr>
    </w:div>
    <w:div w:id="601105052">
      <w:bodyDiv w:val="1"/>
      <w:marLeft w:val="0"/>
      <w:marRight w:val="0"/>
      <w:marTop w:val="0"/>
      <w:marBottom w:val="0"/>
      <w:divBdr>
        <w:top w:val="none" w:sz="0" w:space="0" w:color="auto"/>
        <w:left w:val="none" w:sz="0" w:space="0" w:color="auto"/>
        <w:bottom w:val="none" w:sz="0" w:space="0" w:color="auto"/>
        <w:right w:val="none" w:sz="0" w:space="0" w:color="auto"/>
      </w:divBdr>
    </w:div>
    <w:div w:id="674117793">
      <w:bodyDiv w:val="1"/>
      <w:marLeft w:val="0"/>
      <w:marRight w:val="0"/>
      <w:marTop w:val="0"/>
      <w:marBottom w:val="0"/>
      <w:divBdr>
        <w:top w:val="none" w:sz="0" w:space="0" w:color="auto"/>
        <w:left w:val="none" w:sz="0" w:space="0" w:color="auto"/>
        <w:bottom w:val="none" w:sz="0" w:space="0" w:color="auto"/>
        <w:right w:val="none" w:sz="0" w:space="0" w:color="auto"/>
      </w:divBdr>
    </w:div>
    <w:div w:id="674378901">
      <w:bodyDiv w:val="1"/>
      <w:marLeft w:val="0"/>
      <w:marRight w:val="0"/>
      <w:marTop w:val="0"/>
      <w:marBottom w:val="0"/>
      <w:divBdr>
        <w:top w:val="none" w:sz="0" w:space="0" w:color="auto"/>
        <w:left w:val="none" w:sz="0" w:space="0" w:color="auto"/>
        <w:bottom w:val="none" w:sz="0" w:space="0" w:color="auto"/>
        <w:right w:val="none" w:sz="0" w:space="0" w:color="auto"/>
      </w:divBdr>
    </w:div>
    <w:div w:id="708339043">
      <w:bodyDiv w:val="1"/>
      <w:marLeft w:val="0"/>
      <w:marRight w:val="0"/>
      <w:marTop w:val="0"/>
      <w:marBottom w:val="0"/>
      <w:divBdr>
        <w:top w:val="none" w:sz="0" w:space="0" w:color="auto"/>
        <w:left w:val="none" w:sz="0" w:space="0" w:color="auto"/>
        <w:bottom w:val="none" w:sz="0" w:space="0" w:color="auto"/>
        <w:right w:val="none" w:sz="0" w:space="0" w:color="auto"/>
      </w:divBdr>
    </w:div>
    <w:div w:id="723065051">
      <w:bodyDiv w:val="1"/>
      <w:marLeft w:val="0"/>
      <w:marRight w:val="0"/>
      <w:marTop w:val="0"/>
      <w:marBottom w:val="0"/>
      <w:divBdr>
        <w:top w:val="none" w:sz="0" w:space="0" w:color="auto"/>
        <w:left w:val="none" w:sz="0" w:space="0" w:color="auto"/>
        <w:bottom w:val="none" w:sz="0" w:space="0" w:color="auto"/>
        <w:right w:val="none" w:sz="0" w:space="0" w:color="auto"/>
      </w:divBdr>
    </w:div>
    <w:div w:id="724303938">
      <w:bodyDiv w:val="1"/>
      <w:marLeft w:val="0"/>
      <w:marRight w:val="0"/>
      <w:marTop w:val="0"/>
      <w:marBottom w:val="0"/>
      <w:divBdr>
        <w:top w:val="none" w:sz="0" w:space="0" w:color="auto"/>
        <w:left w:val="none" w:sz="0" w:space="0" w:color="auto"/>
        <w:bottom w:val="none" w:sz="0" w:space="0" w:color="auto"/>
        <w:right w:val="none" w:sz="0" w:space="0" w:color="auto"/>
      </w:divBdr>
    </w:div>
    <w:div w:id="746264859">
      <w:bodyDiv w:val="1"/>
      <w:marLeft w:val="0"/>
      <w:marRight w:val="0"/>
      <w:marTop w:val="0"/>
      <w:marBottom w:val="0"/>
      <w:divBdr>
        <w:top w:val="none" w:sz="0" w:space="0" w:color="auto"/>
        <w:left w:val="none" w:sz="0" w:space="0" w:color="auto"/>
        <w:bottom w:val="none" w:sz="0" w:space="0" w:color="auto"/>
        <w:right w:val="none" w:sz="0" w:space="0" w:color="auto"/>
      </w:divBdr>
    </w:div>
    <w:div w:id="757825499">
      <w:bodyDiv w:val="1"/>
      <w:marLeft w:val="0"/>
      <w:marRight w:val="0"/>
      <w:marTop w:val="0"/>
      <w:marBottom w:val="0"/>
      <w:divBdr>
        <w:top w:val="none" w:sz="0" w:space="0" w:color="auto"/>
        <w:left w:val="none" w:sz="0" w:space="0" w:color="auto"/>
        <w:bottom w:val="none" w:sz="0" w:space="0" w:color="auto"/>
        <w:right w:val="none" w:sz="0" w:space="0" w:color="auto"/>
      </w:divBdr>
      <w:divsChild>
        <w:div w:id="1732116975">
          <w:marLeft w:val="-720"/>
          <w:marRight w:val="0"/>
          <w:marTop w:val="0"/>
          <w:marBottom w:val="0"/>
          <w:divBdr>
            <w:top w:val="none" w:sz="0" w:space="0" w:color="auto"/>
            <w:left w:val="none" w:sz="0" w:space="0" w:color="auto"/>
            <w:bottom w:val="none" w:sz="0" w:space="0" w:color="auto"/>
            <w:right w:val="none" w:sz="0" w:space="0" w:color="auto"/>
          </w:divBdr>
        </w:div>
      </w:divsChild>
    </w:div>
    <w:div w:id="759177819">
      <w:bodyDiv w:val="1"/>
      <w:marLeft w:val="0"/>
      <w:marRight w:val="0"/>
      <w:marTop w:val="0"/>
      <w:marBottom w:val="0"/>
      <w:divBdr>
        <w:top w:val="none" w:sz="0" w:space="0" w:color="auto"/>
        <w:left w:val="none" w:sz="0" w:space="0" w:color="auto"/>
        <w:bottom w:val="none" w:sz="0" w:space="0" w:color="auto"/>
        <w:right w:val="none" w:sz="0" w:space="0" w:color="auto"/>
      </w:divBdr>
    </w:div>
    <w:div w:id="783308374">
      <w:bodyDiv w:val="1"/>
      <w:marLeft w:val="0"/>
      <w:marRight w:val="0"/>
      <w:marTop w:val="0"/>
      <w:marBottom w:val="0"/>
      <w:divBdr>
        <w:top w:val="none" w:sz="0" w:space="0" w:color="auto"/>
        <w:left w:val="none" w:sz="0" w:space="0" w:color="auto"/>
        <w:bottom w:val="none" w:sz="0" w:space="0" w:color="auto"/>
        <w:right w:val="none" w:sz="0" w:space="0" w:color="auto"/>
      </w:divBdr>
    </w:div>
    <w:div w:id="809906159">
      <w:bodyDiv w:val="1"/>
      <w:marLeft w:val="0"/>
      <w:marRight w:val="0"/>
      <w:marTop w:val="0"/>
      <w:marBottom w:val="0"/>
      <w:divBdr>
        <w:top w:val="none" w:sz="0" w:space="0" w:color="auto"/>
        <w:left w:val="none" w:sz="0" w:space="0" w:color="auto"/>
        <w:bottom w:val="none" w:sz="0" w:space="0" w:color="auto"/>
        <w:right w:val="none" w:sz="0" w:space="0" w:color="auto"/>
      </w:divBdr>
    </w:div>
    <w:div w:id="816264145">
      <w:bodyDiv w:val="1"/>
      <w:marLeft w:val="0"/>
      <w:marRight w:val="0"/>
      <w:marTop w:val="0"/>
      <w:marBottom w:val="0"/>
      <w:divBdr>
        <w:top w:val="none" w:sz="0" w:space="0" w:color="auto"/>
        <w:left w:val="none" w:sz="0" w:space="0" w:color="auto"/>
        <w:bottom w:val="none" w:sz="0" w:space="0" w:color="auto"/>
        <w:right w:val="none" w:sz="0" w:space="0" w:color="auto"/>
      </w:divBdr>
    </w:div>
    <w:div w:id="824668569">
      <w:bodyDiv w:val="1"/>
      <w:marLeft w:val="0"/>
      <w:marRight w:val="0"/>
      <w:marTop w:val="0"/>
      <w:marBottom w:val="0"/>
      <w:divBdr>
        <w:top w:val="none" w:sz="0" w:space="0" w:color="auto"/>
        <w:left w:val="none" w:sz="0" w:space="0" w:color="auto"/>
        <w:bottom w:val="none" w:sz="0" w:space="0" w:color="auto"/>
        <w:right w:val="none" w:sz="0" w:space="0" w:color="auto"/>
      </w:divBdr>
    </w:div>
    <w:div w:id="845289929">
      <w:bodyDiv w:val="1"/>
      <w:marLeft w:val="0"/>
      <w:marRight w:val="0"/>
      <w:marTop w:val="0"/>
      <w:marBottom w:val="0"/>
      <w:divBdr>
        <w:top w:val="none" w:sz="0" w:space="0" w:color="auto"/>
        <w:left w:val="none" w:sz="0" w:space="0" w:color="auto"/>
        <w:bottom w:val="none" w:sz="0" w:space="0" w:color="auto"/>
        <w:right w:val="none" w:sz="0" w:space="0" w:color="auto"/>
      </w:divBdr>
    </w:div>
    <w:div w:id="855926275">
      <w:bodyDiv w:val="1"/>
      <w:marLeft w:val="0"/>
      <w:marRight w:val="0"/>
      <w:marTop w:val="0"/>
      <w:marBottom w:val="0"/>
      <w:divBdr>
        <w:top w:val="none" w:sz="0" w:space="0" w:color="auto"/>
        <w:left w:val="none" w:sz="0" w:space="0" w:color="auto"/>
        <w:bottom w:val="none" w:sz="0" w:space="0" w:color="auto"/>
        <w:right w:val="none" w:sz="0" w:space="0" w:color="auto"/>
      </w:divBdr>
      <w:divsChild>
        <w:div w:id="2109883705">
          <w:marLeft w:val="-720"/>
          <w:marRight w:val="0"/>
          <w:marTop w:val="0"/>
          <w:marBottom w:val="0"/>
          <w:divBdr>
            <w:top w:val="none" w:sz="0" w:space="0" w:color="auto"/>
            <w:left w:val="none" w:sz="0" w:space="0" w:color="auto"/>
            <w:bottom w:val="none" w:sz="0" w:space="0" w:color="auto"/>
            <w:right w:val="none" w:sz="0" w:space="0" w:color="auto"/>
          </w:divBdr>
        </w:div>
      </w:divsChild>
    </w:div>
    <w:div w:id="856039863">
      <w:bodyDiv w:val="1"/>
      <w:marLeft w:val="0"/>
      <w:marRight w:val="0"/>
      <w:marTop w:val="0"/>
      <w:marBottom w:val="0"/>
      <w:divBdr>
        <w:top w:val="none" w:sz="0" w:space="0" w:color="auto"/>
        <w:left w:val="none" w:sz="0" w:space="0" w:color="auto"/>
        <w:bottom w:val="none" w:sz="0" w:space="0" w:color="auto"/>
        <w:right w:val="none" w:sz="0" w:space="0" w:color="auto"/>
      </w:divBdr>
    </w:div>
    <w:div w:id="869226521">
      <w:bodyDiv w:val="1"/>
      <w:marLeft w:val="0"/>
      <w:marRight w:val="0"/>
      <w:marTop w:val="0"/>
      <w:marBottom w:val="0"/>
      <w:divBdr>
        <w:top w:val="none" w:sz="0" w:space="0" w:color="auto"/>
        <w:left w:val="none" w:sz="0" w:space="0" w:color="auto"/>
        <w:bottom w:val="none" w:sz="0" w:space="0" w:color="auto"/>
        <w:right w:val="none" w:sz="0" w:space="0" w:color="auto"/>
      </w:divBdr>
    </w:div>
    <w:div w:id="917708936">
      <w:bodyDiv w:val="1"/>
      <w:marLeft w:val="0"/>
      <w:marRight w:val="0"/>
      <w:marTop w:val="0"/>
      <w:marBottom w:val="0"/>
      <w:divBdr>
        <w:top w:val="none" w:sz="0" w:space="0" w:color="auto"/>
        <w:left w:val="none" w:sz="0" w:space="0" w:color="auto"/>
        <w:bottom w:val="none" w:sz="0" w:space="0" w:color="auto"/>
        <w:right w:val="none" w:sz="0" w:space="0" w:color="auto"/>
      </w:divBdr>
    </w:div>
    <w:div w:id="931284020">
      <w:bodyDiv w:val="1"/>
      <w:marLeft w:val="0"/>
      <w:marRight w:val="0"/>
      <w:marTop w:val="0"/>
      <w:marBottom w:val="0"/>
      <w:divBdr>
        <w:top w:val="none" w:sz="0" w:space="0" w:color="auto"/>
        <w:left w:val="none" w:sz="0" w:space="0" w:color="auto"/>
        <w:bottom w:val="none" w:sz="0" w:space="0" w:color="auto"/>
        <w:right w:val="none" w:sz="0" w:space="0" w:color="auto"/>
      </w:divBdr>
    </w:div>
    <w:div w:id="941650035">
      <w:bodyDiv w:val="1"/>
      <w:marLeft w:val="0"/>
      <w:marRight w:val="0"/>
      <w:marTop w:val="0"/>
      <w:marBottom w:val="0"/>
      <w:divBdr>
        <w:top w:val="none" w:sz="0" w:space="0" w:color="auto"/>
        <w:left w:val="none" w:sz="0" w:space="0" w:color="auto"/>
        <w:bottom w:val="none" w:sz="0" w:space="0" w:color="auto"/>
        <w:right w:val="none" w:sz="0" w:space="0" w:color="auto"/>
      </w:divBdr>
    </w:div>
    <w:div w:id="946154604">
      <w:bodyDiv w:val="1"/>
      <w:marLeft w:val="0"/>
      <w:marRight w:val="0"/>
      <w:marTop w:val="0"/>
      <w:marBottom w:val="0"/>
      <w:divBdr>
        <w:top w:val="none" w:sz="0" w:space="0" w:color="auto"/>
        <w:left w:val="none" w:sz="0" w:space="0" w:color="auto"/>
        <w:bottom w:val="none" w:sz="0" w:space="0" w:color="auto"/>
        <w:right w:val="none" w:sz="0" w:space="0" w:color="auto"/>
      </w:divBdr>
    </w:div>
    <w:div w:id="948926639">
      <w:bodyDiv w:val="1"/>
      <w:marLeft w:val="0"/>
      <w:marRight w:val="0"/>
      <w:marTop w:val="0"/>
      <w:marBottom w:val="0"/>
      <w:divBdr>
        <w:top w:val="none" w:sz="0" w:space="0" w:color="auto"/>
        <w:left w:val="none" w:sz="0" w:space="0" w:color="auto"/>
        <w:bottom w:val="none" w:sz="0" w:space="0" w:color="auto"/>
        <w:right w:val="none" w:sz="0" w:space="0" w:color="auto"/>
      </w:divBdr>
    </w:div>
    <w:div w:id="953906007">
      <w:bodyDiv w:val="1"/>
      <w:marLeft w:val="0"/>
      <w:marRight w:val="0"/>
      <w:marTop w:val="0"/>
      <w:marBottom w:val="0"/>
      <w:divBdr>
        <w:top w:val="none" w:sz="0" w:space="0" w:color="auto"/>
        <w:left w:val="none" w:sz="0" w:space="0" w:color="auto"/>
        <w:bottom w:val="none" w:sz="0" w:space="0" w:color="auto"/>
        <w:right w:val="none" w:sz="0" w:space="0" w:color="auto"/>
      </w:divBdr>
      <w:divsChild>
        <w:div w:id="1957783821">
          <w:marLeft w:val="-720"/>
          <w:marRight w:val="0"/>
          <w:marTop w:val="0"/>
          <w:marBottom w:val="0"/>
          <w:divBdr>
            <w:top w:val="none" w:sz="0" w:space="0" w:color="auto"/>
            <w:left w:val="none" w:sz="0" w:space="0" w:color="auto"/>
            <w:bottom w:val="none" w:sz="0" w:space="0" w:color="auto"/>
            <w:right w:val="none" w:sz="0" w:space="0" w:color="auto"/>
          </w:divBdr>
        </w:div>
      </w:divsChild>
    </w:div>
    <w:div w:id="961421674">
      <w:bodyDiv w:val="1"/>
      <w:marLeft w:val="0"/>
      <w:marRight w:val="0"/>
      <w:marTop w:val="0"/>
      <w:marBottom w:val="0"/>
      <w:divBdr>
        <w:top w:val="none" w:sz="0" w:space="0" w:color="auto"/>
        <w:left w:val="none" w:sz="0" w:space="0" w:color="auto"/>
        <w:bottom w:val="none" w:sz="0" w:space="0" w:color="auto"/>
        <w:right w:val="none" w:sz="0" w:space="0" w:color="auto"/>
      </w:divBdr>
    </w:div>
    <w:div w:id="980187252">
      <w:bodyDiv w:val="1"/>
      <w:marLeft w:val="0"/>
      <w:marRight w:val="0"/>
      <w:marTop w:val="0"/>
      <w:marBottom w:val="0"/>
      <w:divBdr>
        <w:top w:val="none" w:sz="0" w:space="0" w:color="auto"/>
        <w:left w:val="none" w:sz="0" w:space="0" w:color="auto"/>
        <w:bottom w:val="none" w:sz="0" w:space="0" w:color="auto"/>
        <w:right w:val="none" w:sz="0" w:space="0" w:color="auto"/>
      </w:divBdr>
    </w:div>
    <w:div w:id="1057628917">
      <w:bodyDiv w:val="1"/>
      <w:marLeft w:val="0"/>
      <w:marRight w:val="0"/>
      <w:marTop w:val="0"/>
      <w:marBottom w:val="0"/>
      <w:divBdr>
        <w:top w:val="none" w:sz="0" w:space="0" w:color="auto"/>
        <w:left w:val="none" w:sz="0" w:space="0" w:color="auto"/>
        <w:bottom w:val="none" w:sz="0" w:space="0" w:color="auto"/>
        <w:right w:val="none" w:sz="0" w:space="0" w:color="auto"/>
      </w:divBdr>
    </w:div>
    <w:div w:id="1079790668">
      <w:bodyDiv w:val="1"/>
      <w:marLeft w:val="0"/>
      <w:marRight w:val="0"/>
      <w:marTop w:val="0"/>
      <w:marBottom w:val="0"/>
      <w:divBdr>
        <w:top w:val="none" w:sz="0" w:space="0" w:color="auto"/>
        <w:left w:val="none" w:sz="0" w:space="0" w:color="auto"/>
        <w:bottom w:val="none" w:sz="0" w:space="0" w:color="auto"/>
        <w:right w:val="none" w:sz="0" w:space="0" w:color="auto"/>
      </w:divBdr>
    </w:div>
    <w:div w:id="1079907107">
      <w:bodyDiv w:val="1"/>
      <w:marLeft w:val="0"/>
      <w:marRight w:val="0"/>
      <w:marTop w:val="0"/>
      <w:marBottom w:val="0"/>
      <w:divBdr>
        <w:top w:val="none" w:sz="0" w:space="0" w:color="auto"/>
        <w:left w:val="none" w:sz="0" w:space="0" w:color="auto"/>
        <w:bottom w:val="none" w:sz="0" w:space="0" w:color="auto"/>
        <w:right w:val="none" w:sz="0" w:space="0" w:color="auto"/>
      </w:divBdr>
    </w:div>
    <w:div w:id="1086995483">
      <w:bodyDiv w:val="1"/>
      <w:marLeft w:val="0"/>
      <w:marRight w:val="0"/>
      <w:marTop w:val="0"/>
      <w:marBottom w:val="0"/>
      <w:divBdr>
        <w:top w:val="none" w:sz="0" w:space="0" w:color="auto"/>
        <w:left w:val="none" w:sz="0" w:space="0" w:color="auto"/>
        <w:bottom w:val="none" w:sz="0" w:space="0" w:color="auto"/>
        <w:right w:val="none" w:sz="0" w:space="0" w:color="auto"/>
      </w:divBdr>
    </w:div>
    <w:div w:id="1106654051">
      <w:bodyDiv w:val="1"/>
      <w:marLeft w:val="0"/>
      <w:marRight w:val="0"/>
      <w:marTop w:val="0"/>
      <w:marBottom w:val="0"/>
      <w:divBdr>
        <w:top w:val="none" w:sz="0" w:space="0" w:color="auto"/>
        <w:left w:val="none" w:sz="0" w:space="0" w:color="auto"/>
        <w:bottom w:val="none" w:sz="0" w:space="0" w:color="auto"/>
        <w:right w:val="none" w:sz="0" w:space="0" w:color="auto"/>
      </w:divBdr>
    </w:div>
    <w:div w:id="1121221688">
      <w:bodyDiv w:val="1"/>
      <w:marLeft w:val="0"/>
      <w:marRight w:val="0"/>
      <w:marTop w:val="0"/>
      <w:marBottom w:val="0"/>
      <w:divBdr>
        <w:top w:val="none" w:sz="0" w:space="0" w:color="auto"/>
        <w:left w:val="none" w:sz="0" w:space="0" w:color="auto"/>
        <w:bottom w:val="none" w:sz="0" w:space="0" w:color="auto"/>
        <w:right w:val="none" w:sz="0" w:space="0" w:color="auto"/>
      </w:divBdr>
    </w:div>
    <w:div w:id="1126197637">
      <w:bodyDiv w:val="1"/>
      <w:marLeft w:val="0"/>
      <w:marRight w:val="0"/>
      <w:marTop w:val="0"/>
      <w:marBottom w:val="0"/>
      <w:divBdr>
        <w:top w:val="none" w:sz="0" w:space="0" w:color="auto"/>
        <w:left w:val="none" w:sz="0" w:space="0" w:color="auto"/>
        <w:bottom w:val="none" w:sz="0" w:space="0" w:color="auto"/>
        <w:right w:val="none" w:sz="0" w:space="0" w:color="auto"/>
      </w:divBdr>
    </w:div>
    <w:div w:id="1145703507">
      <w:bodyDiv w:val="1"/>
      <w:marLeft w:val="0"/>
      <w:marRight w:val="0"/>
      <w:marTop w:val="0"/>
      <w:marBottom w:val="0"/>
      <w:divBdr>
        <w:top w:val="none" w:sz="0" w:space="0" w:color="auto"/>
        <w:left w:val="none" w:sz="0" w:space="0" w:color="auto"/>
        <w:bottom w:val="none" w:sz="0" w:space="0" w:color="auto"/>
        <w:right w:val="none" w:sz="0" w:space="0" w:color="auto"/>
      </w:divBdr>
    </w:div>
    <w:div w:id="1146052399">
      <w:bodyDiv w:val="1"/>
      <w:marLeft w:val="0"/>
      <w:marRight w:val="0"/>
      <w:marTop w:val="0"/>
      <w:marBottom w:val="0"/>
      <w:divBdr>
        <w:top w:val="none" w:sz="0" w:space="0" w:color="auto"/>
        <w:left w:val="none" w:sz="0" w:space="0" w:color="auto"/>
        <w:bottom w:val="none" w:sz="0" w:space="0" w:color="auto"/>
        <w:right w:val="none" w:sz="0" w:space="0" w:color="auto"/>
      </w:divBdr>
    </w:div>
    <w:div w:id="1150245495">
      <w:bodyDiv w:val="1"/>
      <w:marLeft w:val="0"/>
      <w:marRight w:val="0"/>
      <w:marTop w:val="0"/>
      <w:marBottom w:val="0"/>
      <w:divBdr>
        <w:top w:val="none" w:sz="0" w:space="0" w:color="auto"/>
        <w:left w:val="none" w:sz="0" w:space="0" w:color="auto"/>
        <w:bottom w:val="none" w:sz="0" w:space="0" w:color="auto"/>
        <w:right w:val="none" w:sz="0" w:space="0" w:color="auto"/>
      </w:divBdr>
      <w:divsChild>
        <w:div w:id="767694216">
          <w:marLeft w:val="0"/>
          <w:marRight w:val="0"/>
          <w:marTop w:val="100"/>
          <w:marBottom w:val="100"/>
          <w:divBdr>
            <w:top w:val="none" w:sz="0" w:space="0" w:color="auto"/>
            <w:left w:val="none" w:sz="0" w:space="0" w:color="auto"/>
            <w:bottom w:val="none" w:sz="0" w:space="0" w:color="auto"/>
            <w:right w:val="none" w:sz="0" w:space="0" w:color="auto"/>
          </w:divBdr>
          <w:divsChild>
            <w:div w:id="439499054">
              <w:marLeft w:val="0"/>
              <w:marRight w:val="0"/>
              <w:marTop w:val="0"/>
              <w:marBottom w:val="0"/>
              <w:divBdr>
                <w:top w:val="none" w:sz="0" w:space="0" w:color="auto"/>
                <w:left w:val="none" w:sz="0" w:space="0" w:color="auto"/>
                <w:bottom w:val="none" w:sz="0" w:space="0" w:color="auto"/>
                <w:right w:val="none" w:sz="0" w:space="0" w:color="auto"/>
              </w:divBdr>
              <w:divsChild>
                <w:div w:id="3680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83045">
      <w:bodyDiv w:val="1"/>
      <w:marLeft w:val="0"/>
      <w:marRight w:val="0"/>
      <w:marTop w:val="0"/>
      <w:marBottom w:val="0"/>
      <w:divBdr>
        <w:top w:val="none" w:sz="0" w:space="0" w:color="auto"/>
        <w:left w:val="none" w:sz="0" w:space="0" w:color="auto"/>
        <w:bottom w:val="none" w:sz="0" w:space="0" w:color="auto"/>
        <w:right w:val="none" w:sz="0" w:space="0" w:color="auto"/>
      </w:divBdr>
    </w:div>
    <w:div w:id="1175341907">
      <w:bodyDiv w:val="1"/>
      <w:marLeft w:val="0"/>
      <w:marRight w:val="0"/>
      <w:marTop w:val="0"/>
      <w:marBottom w:val="0"/>
      <w:divBdr>
        <w:top w:val="none" w:sz="0" w:space="0" w:color="auto"/>
        <w:left w:val="none" w:sz="0" w:space="0" w:color="auto"/>
        <w:bottom w:val="none" w:sz="0" w:space="0" w:color="auto"/>
        <w:right w:val="none" w:sz="0" w:space="0" w:color="auto"/>
      </w:divBdr>
    </w:div>
    <w:div w:id="1183281780">
      <w:bodyDiv w:val="1"/>
      <w:marLeft w:val="0"/>
      <w:marRight w:val="0"/>
      <w:marTop w:val="0"/>
      <w:marBottom w:val="0"/>
      <w:divBdr>
        <w:top w:val="none" w:sz="0" w:space="0" w:color="auto"/>
        <w:left w:val="none" w:sz="0" w:space="0" w:color="auto"/>
        <w:bottom w:val="none" w:sz="0" w:space="0" w:color="auto"/>
        <w:right w:val="none" w:sz="0" w:space="0" w:color="auto"/>
      </w:divBdr>
    </w:div>
    <w:div w:id="1200171397">
      <w:bodyDiv w:val="1"/>
      <w:marLeft w:val="0"/>
      <w:marRight w:val="0"/>
      <w:marTop w:val="0"/>
      <w:marBottom w:val="0"/>
      <w:divBdr>
        <w:top w:val="none" w:sz="0" w:space="0" w:color="auto"/>
        <w:left w:val="none" w:sz="0" w:space="0" w:color="auto"/>
        <w:bottom w:val="none" w:sz="0" w:space="0" w:color="auto"/>
        <w:right w:val="none" w:sz="0" w:space="0" w:color="auto"/>
      </w:divBdr>
    </w:div>
    <w:div w:id="1215311104">
      <w:bodyDiv w:val="1"/>
      <w:marLeft w:val="0"/>
      <w:marRight w:val="0"/>
      <w:marTop w:val="0"/>
      <w:marBottom w:val="0"/>
      <w:divBdr>
        <w:top w:val="none" w:sz="0" w:space="0" w:color="auto"/>
        <w:left w:val="none" w:sz="0" w:space="0" w:color="auto"/>
        <w:bottom w:val="none" w:sz="0" w:space="0" w:color="auto"/>
        <w:right w:val="none" w:sz="0" w:space="0" w:color="auto"/>
      </w:divBdr>
    </w:div>
    <w:div w:id="1223491917">
      <w:bodyDiv w:val="1"/>
      <w:marLeft w:val="0"/>
      <w:marRight w:val="0"/>
      <w:marTop w:val="0"/>
      <w:marBottom w:val="0"/>
      <w:divBdr>
        <w:top w:val="none" w:sz="0" w:space="0" w:color="auto"/>
        <w:left w:val="none" w:sz="0" w:space="0" w:color="auto"/>
        <w:bottom w:val="none" w:sz="0" w:space="0" w:color="auto"/>
        <w:right w:val="none" w:sz="0" w:space="0" w:color="auto"/>
      </w:divBdr>
    </w:div>
    <w:div w:id="1224608427">
      <w:bodyDiv w:val="1"/>
      <w:marLeft w:val="0"/>
      <w:marRight w:val="0"/>
      <w:marTop w:val="0"/>
      <w:marBottom w:val="0"/>
      <w:divBdr>
        <w:top w:val="none" w:sz="0" w:space="0" w:color="auto"/>
        <w:left w:val="none" w:sz="0" w:space="0" w:color="auto"/>
        <w:bottom w:val="none" w:sz="0" w:space="0" w:color="auto"/>
        <w:right w:val="none" w:sz="0" w:space="0" w:color="auto"/>
      </w:divBdr>
    </w:div>
    <w:div w:id="1225027435">
      <w:bodyDiv w:val="1"/>
      <w:marLeft w:val="0"/>
      <w:marRight w:val="0"/>
      <w:marTop w:val="0"/>
      <w:marBottom w:val="0"/>
      <w:divBdr>
        <w:top w:val="none" w:sz="0" w:space="0" w:color="auto"/>
        <w:left w:val="none" w:sz="0" w:space="0" w:color="auto"/>
        <w:bottom w:val="none" w:sz="0" w:space="0" w:color="auto"/>
        <w:right w:val="none" w:sz="0" w:space="0" w:color="auto"/>
      </w:divBdr>
    </w:div>
    <w:div w:id="1237739638">
      <w:bodyDiv w:val="1"/>
      <w:marLeft w:val="0"/>
      <w:marRight w:val="0"/>
      <w:marTop w:val="0"/>
      <w:marBottom w:val="0"/>
      <w:divBdr>
        <w:top w:val="none" w:sz="0" w:space="0" w:color="auto"/>
        <w:left w:val="none" w:sz="0" w:space="0" w:color="auto"/>
        <w:bottom w:val="none" w:sz="0" w:space="0" w:color="auto"/>
        <w:right w:val="none" w:sz="0" w:space="0" w:color="auto"/>
      </w:divBdr>
    </w:div>
    <w:div w:id="1278756267">
      <w:bodyDiv w:val="1"/>
      <w:marLeft w:val="0"/>
      <w:marRight w:val="0"/>
      <w:marTop w:val="0"/>
      <w:marBottom w:val="0"/>
      <w:divBdr>
        <w:top w:val="none" w:sz="0" w:space="0" w:color="auto"/>
        <w:left w:val="none" w:sz="0" w:space="0" w:color="auto"/>
        <w:bottom w:val="none" w:sz="0" w:space="0" w:color="auto"/>
        <w:right w:val="none" w:sz="0" w:space="0" w:color="auto"/>
      </w:divBdr>
    </w:div>
    <w:div w:id="1315140597">
      <w:bodyDiv w:val="1"/>
      <w:marLeft w:val="0"/>
      <w:marRight w:val="0"/>
      <w:marTop w:val="0"/>
      <w:marBottom w:val="0"/>
      <w:divBdr>
        <w:top w:val="none" w:sz="0" w:space="0" w:color="auto"/>
        <w:left w:val="none" w:sz="0" w:space="0" w:color="auto"/>
        <w:bottom w:val="none" w:sz="0" w:space="0" w:color="auto"/>
        <w:right w:val="none" w:sz="0" w:space="0" w:color="auto"/>
      </w:divBdr>
      <w:divsChild>
        <w:div w:id="2056825">
          <w:marLeft w:val="-720"/>
          <w:marRight w:val="0"/>
          <w:marTop w:val="0"/>
          <w:marBottom w:val="0"/>
          <w:divBdr>
            <w:top w:val="none" w:sz="0" w:space="0" w:color="auto"/>
            <w:left w:val="none" w:sz="0" w:space="0" w:color="auto"/>
            <w:bottom w:val="none" w:sz="0" w:space="0" w:color="auto"/>
            <w:right w:val="none" w:sz="0" w:space="0" w:color="auto"/>
          </w:divBdr>
        </w:div>
      </w:divsChild>
    </w:div>
    <w:div w:id="1319267191">
      <w:bodyDiv w:val="1"/>
      <w:marLeft w:val="0"/>
      <w:marRight w:val="0"/>
      <w:marTop w:val="0"/>
      <w:marBottom w:val="0"/>
      <w:divBdr>
        <w:top w:val="none" w:sz="0" w:space="0" w:color="auto"/>
        <w:left w:val="none" w:sz="0" w:space="0" w:color="auto"/>
        <w:bottom w:val="none" w:sz="0" w:space="0" w:color="auto"/>
        <w:right w:val="none" w:sz="0" w:space="0" w:color="auto"/>
      </w:divBdr>
    </w:div>
    <w:div w:id="1325007845">
      <w:bodyDiv w:val="1"/>
      <w:marLeft w:val="0"/>
      <w:marRight w:val="0"/>
      <w:marTop w:val="0"/>
      <w:marBottom w:val="0"/>
      <w:divBdr>
        <w:top w:val="none" w:sz="0" w:space="0" w:color="auto"/>
        <w:left w:val="none" w:sz="0" w:space="0" w:color="auto"/>
        <w:bottom w:val="none" w:sz="0" w:space="0" w:color="auto"/>
        <w:right w:val="none" w:sz="0" w:space="0" w:color="auto"/>
      </w:divBdr>
    </w:div>
    <w:div w:id="1362513082">
      <w:bodyDiv w:val="1"/>
      <w:marLeft w:val="0"/>
      <w:marRight w:val="0"/>
      <w:marTop w:val="0"/>
      <w:marBottom w:val="0"/>
      <w:divBdr>
        <w:top w:val="none" w:sz="0" w:space="0" w:color="auto"/>
        <w:left w:val="none" w:sz="0" w:space="0" w:color="auto"/>
        <w:bottom w:val="none" w:sz="0" w:space="0" w:color="auto"/>
        <w:right w:val="none" w:sz="0" w:space="0" w:color="auto"/>
      </w:divBdr>
    </w:div>
    <w:div w:id="1376537628">
      <w:bodyDiv w:val="1"/>
      <w:marLeft w:val="0"/>
      <w:marRight w:val="0"/>
      <w:marTop w:val="0"/>
      <w:marBottom w:val="0"/>
      <w:divBdr>
        <w:top w:val="none" w:sz="0" w:space="0" w:color="auto"/>
        <w:left w:val="none" w:sz="0" w:space="0" w:color="auto"/>
        <w:bottom w:val="none" w:sz="0" w:space="0" w:color="auto"/>
        <w:right w:val="none" w:sz="0" w:space="0" w:color="auto"/>
      </w:divBdr>
    </w:div>
    <w:div w:id="1393046003">
      <w:bodyDiv w:val="1"/>
      <w:marLeft w:val="0"/>
      <w:marRight w:val="0"/>
      <w:marTop w:val="0"/>
      <w:marBottom w:val="0"/>
      <w:divBdr>
        <w:top w:val="none" w:sz="0" w:space="0" w:color="auto"/>
        <w:left w:val="none" w:sz="0" w:space="0" w:color="auto"/>
        <w:bottom w:val="none" w:sz="0" w:space="0" w:color="auto"/>
        <w:right w:val="none" w:sz="0" w:space="0" w:color="auto"/>
      </w:divBdr>
      <w:divsChild>
        <w:div w:id="1682077900">
          <w:marLeft w:val="-720"/>
          <w:marRight w:val="0"/>
          <w:marTop w:val="0"/>
          <w:marBottom w:val="0"/>
          <w:divBdr>
            <w:top w:val="none" w:sz="0" w:space="0" w:color="auto"/>
            <w:left w:val="none" w:sz="0" w:space="0" w:color="auto"/>
            <w:bottom w:val="none" w:sz="0" w:space="0" w:color="auto"/>
            <w:right w:val="none" w:sz="0" w:space="0" w:color="auto"/>
          </w:divBdr>
        </w:div>
      </w:divsChild>
    </w:div>
    <w:div w:id="1401715067">
      <w:bodyDiv w:val="1"/>
      <w:marLeft w:val="0"/>
      <w:marRight w:val="0"/>
      <w:marTop w:val="0"/>
      <w:marBottom w:val="0"/>
      <w:divBdr>
        <w:top w:val="none" w:sz="0" w:space="0" w:color="auto"/>
        <w:left w:val="none" w:sz="0" w:space="0" w:color="auto"/>
        <w:bottom w:val="none" w:sz="0" w:space="0" w:color="auto"/>
        <w:right w:val="none" w:sz="0" w:space="0" w:color="auto"/>
      </w:divBdr>
    </w:div>
    <w:div w:id="1414660776">
      <w:bodyDiv w:val="1"/>
      <w:marLeft w:val="0"/>
      <w:marRight w:val="0"/>
      <w:marTop w:val="0"/>
      <w:marBottom w:val="0"/>
      <w:divBdr>
        <w:top w:val="none" w:sz="0" w:space="0" w:color="auto"/>
        <w:left w:val="none" w:sz="0" w:space="0" w:color="auto"/>
        <w:bottom w:val="none" w:sz="0" w:space="0" w:color="auto"/>
        <w:right w:val="none" w:sz="0" w:space="0" w:color="auto"/>
      </w:divBdr>
    </w:div>
    <w:div w:id="1431469030">
      <w:bodyDiv w:val="1"/>
      <w:marLeft w:val="0"/>
      <w:marRight w:val="0"/>
      <w:marTop w:val="0"/>
      <w:marBottom w:val="0"/>
      <w:divBdr>
        <w:top w:val="none" w:sz="0" w:space="0" w:color="auto"/>
        <w:left w:val="none" w:sz="0" w:space="0" w:color="auto"/>
        <w:bottom w:val="none" w:sz="0" w:space="0" w:color="auto"/>
        <w:right w:val="none" w:sz="0" w:space="0" w:color="auto"/>
      </w:divBdr>
    </w:div>
    <w:div w:id="1433091714">
      <w:bodyDiv w:val="1"/>
      <w:marLeft w:val="0"/>
      <w:marRight w:val="0"/>
      <w:marTop w:val="0"/>
      <w:marBottom w:val="0"/>
      <w:divBdr>
        <w:top w:val="none" w:sz="0" w:space="0" w:color="auto"/>
        <w:left w:val="none" w:sz="0" w:space="0" w:color="auto"/>
        <w:bottom w:val="none" w:sz="0" w:space="0" w:color="auto"/>
        <w:right w:val="none" w:sz="0" w:space="0" w:color="auto"/>
      </w:divBdr>
    </w:div>
    <w:div w:id="1454252949">
      <w:bodyDiv w:val="1"/>
      <w:marLeft w:val="0"/>
      <w:marRight w:val="0"/>
      <w:marTop w:val="0"/>
      <w:marBottom w:val="0"/>
      <w:divBdr>
        <w:top w:val="none" w:sz="0" w:space="0" w:color="auto"/>
        <w:left w:val="none" w:sz="0" w:space="0" w:color="auto"/>
        <w:bottom w:val="none" w:sz="0" w:space="0" w:color="auto"/>
        <w:right w:val="none" w:sz="0" w:space="0" w:color="auto"/>
      </w:divBdr>
      <w:divsChild>
        <w:div w:id="592518835">
          <w:marLeft w:val="-720"/>
          <w:marRight w:val="0"/>
          <w:marTop w:val="0"/>
          <w:marBottom w:val="0"/>
          <w:divBdr>
            <w:top w:val="none" w:sz="0" w:space="0" w:color="auto"/>
            <w:left w:val="none" w:sz="0" w:space="0" w:color="auto"/>
            <w:bottom w:val="none" w:sz="0" w:space="0" w:color="auto"/>
            <w:right w:val="none" w:sz="0" w:space="0" w:color="auto"/>
          </w:divBdr>
        </w:div>
      </w:divsChild>
    </w:div>
    <w:div w:id="1460614278">
      <w:bodyDiv w:val="1"/>
      <w:marLeft w:val="0"/>
      <w:marRight w:val="0"/>
      <w:marTop w:val="0"/>
      <w:marBottom w:val="0"/>
      <w:divBdr>
        <w:top w:val="none" w:sz="0" w:space="0" w:color="auto"/>
        <w:left w:val="none" w:sz="0" w:space="0" w:color="auto"/>
        <w:bottom w:val="none" w:sz="0" w:space="0" w:color="auto"/>
        <w:right w:val="none" w:sz="0" w:space="0" w:color="auto"/>
      </w:divBdr>
    </w:div>
    <w:div w:id="1462845296">
      <w:bodyDiv w:val="1"/>
      <w:marLeft w:val="0"/>
      <w:marRight w:val="0"/>
      <w:marTop w:val="0"/>
      <w:marBottom w:val="0"/>
      <w:divBdr>
        <w:top w:val="none" w:sz="0" w:space="0" w:color="auto"/>
        <w:left w:val="none" w:sz="0" w:space="0" w:color="auto"/>
        <w:bottom w:val="none" w:sz="0" w:space="0" w:color="auto"/>
        <w:right w:val="none" w:sz="0" w:space="0" w:color="auto"/>
      </w:divBdr>
    </w:div>
    <w:div w:id="1463232223">
      <w:bodyDiv w:val="1"/>
      <w:marLeft w:val="0"/>
      <w:marRight w:val="0"/>
      <w:marTop w:val="0"/>
      <w:marBottom w:val="0"/>
      <w:divBdr>
        <w:top w:val="none" w:sz="0" w:space="0" w:color="auto"/>
        <w:left w:val="none" w:sz="0" w:space="0" w:color="auto"/>
        <w:bottom w:val="none" w:sz="0" w:space="0" w:color="auto"/>
        <w:right w:val="none" w:sz="0" w:space="0" w:color="auto"/>
      </w:divBdr>
      <w:divsChild>
        <w:div w:id="774442834">
          <w:marLeft w:val="0"/>
          <w:marRight w:val="0"/>
          <w:marTop w:val="0"/>
          <w:marBottom w:val="0"/>
          <w:divBdr>
            <w:top w:val="none" w:sz="0" w:space="0" w:color="auto"/>
            <w:left w:val="none" w:sz="0" w:space="0" w:color="auto"/>
            <w:bottom w:val="none" w:sz="0" w:space="0" w:color="auto"/>
            <w:right w:val="none" w:sz="0" w:space="0" w:color="auto"/>
          </w:divBdr>
          <w:divsChild>
            <w:div w:id="1778482549">
              <w:marLeft w:val="0"/>
              <w:marRight w:val="0"/>
              <w:marTop w:val="0"/>
              <w:marBottom w:val="0"/>
              <w:divBdr>
                <w:top w:val="none" w:sz="0" w:space="0" w:color="auto"/>
                <w:left w:val="none" w:sz="0" w:space="0" w:color="auto"/>
                <w:bottom w:val="none" w:sz="0" w:space="0" w:color="auto"/>
                <w:right w:val="none" w:sz="0" w:space="0" w:color="auto"/>
              </w:divBdr>
              <w:divsChild>
                <w:div w:id="784810608">
                  <w:marLeft w:val="0"/>
                  <w:marRight w:val="0"/>
                  <w:marTop w:val="0"/>
                  <w:marBottom w:val="0"/>
                  <w:divBdr>
                    <w:top w:val="none" w:sz="0" w:space="0" w:color="auto"/>
                    <w:left w:val="none" w:sz="0" w:space="0" w:color="auto"/>
                    <w:bottom w:val="none" w:sz="0" w:space="0" w:color="auto"/>
                    <w:right w:val="none" w:sz="0" w:space="0" w:color="auto"/>
                  </w:divBdr>
                  <w:divsChild>
                    <w:div w:id="1524442462">
                      <w:marLeft w:val="0"/>
                      <w:marRight w:val="0"/>
                      <w:marTop w:val="0"/>
                      <w:marBottom w:val="0"/>
                      <w:divBdr>
                        <w:top w:val="none" w:sz="0" w:space="0" w:color="auto"/>
                        <w:left w:val="none" w:sz="0" w:space="0" w:color="auto"/>
                        <w:bottom w:val="none" w:sz="0" w:space="0" w:color="auto"/>
                        <w:right w:val="none" w:sz="0" w:space="0" w:color="auto"/>
                      </w:divBdr>
                      <w:divsChild>
                        <w:div w:id="123623836">
                          <w:marLeft w:val="0"/>
                          <w:marRight w:val="0"/>
                          <w:marTop w:val="0"/>
                          <w:marBottom w:val="0"/>
                          <w:divBdr>
                            <w:top w:val="none" w:sz="0" w:space="0" w:color="auto"/>
                            <w:left w:val="none" w:sz="0" w:space="0" w:color="auto"/>
                            <w:bottom w:val="none" w:sz="0" w:space="0" w:color="auto"/>
                            <w:right w:val="none" w:sz="0" w:space="0" w:color="auto"/>
                          </w:divBdr>
                          <w:divsChild>
                            <w:div w:id="145241532">
                              <w:marLeft w:val="0"/>
                              <w:marRight w:val="0"/>
                              <w:marTop w:val="0"/>
                              <w:marBottom w:val="0"/>
                              <w:divBdr>
                                <w:top w:val="none" w:sz="0" w:space="0" w:color="auto"/>
                                <w:left w:val="none" w:sz="0" w:space="0" w:color="auto"/>
                                <w:bottom w:val="none" w:sz="0" w:space="0" w:color="auto"/>
                                <w:right w:val="none" w:sz="0" w:space="0" w:color="auto"/>
                              </w:divBdr>
                              <w:divsChild>
                                <w:div w:id="560334982">
                                  <w:marLeft w:val="0"/>
                                  <w:marRight w:val="0"/>
                                  <w:marTop w:val="0"/>
                                  <w:marBottom w:val="0"/>
                                  <w:divBdr>
                                    <w:top w:val="none" w:sz="0" w:space="0" w:color="auto"/>
                                    <w:left w:val="none" w:sz="0" w:space="0" w:color="auto"/>
                                    <w:bottom w:val="none" w:sz="0" w:space="0" w:color="auto"/>
                                    <w:right w:val="none" w:sz="0" w:space="0" w:color="auto"/>
                                  </w:divBdr>
                                  <w:divsChild>
                                    <w:div w:id="8092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28309">
                      <w:marLeft w:val="0"/>
                      <w:marRight w:val="0"/>
                      <w:marTop w:val="0"/>
                      <w:marBottom w:val="0"/>
                      <w:divBdr>
                        <w:top w:val="none" w:sz="0" w:space="0" w:color="auto"/>
                        <w:left w:val="none" w:sz="0" w:space="0" w:color="auto"/>
                        <w:bottom w:val="none" w:sz="0" w:space="0" w:color="auto"/>
                        <w:right w:val="none" w:sz="0" w:space="0" w:color="auto"/>
                      </w:divBdr>
                      <w:divsChild>
                        <w:div w:id="4567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748149">
      <w:bodyDiv w:val="1"/>
      <w:marLeft w:val="0"/>
      <w:marRight w:val="0"/>
      <w:marTop w:val="0"/>
      <w:marBottom w:val="0"/>
      <w:divBdr>
        <w:top w:val="none" w:sz="0" w:space="0" w:color="auto"/>
        <w:left w:val="none" w:sz="0" w:space="0" w:color="auto"/>
        <w:bottom w:val="none" w:sz="0" w:space="0" w:color="auto"/>
        <w:right w:val="none" w:sz="0" w:space="0" w:color="auto"/>
      </w:divBdr>
    </w:div>
    <w:div w:id="1492989171">
      <w:bodyDiv w:val="1"/>
      <w:marLeft w:val="0"/>
      <w:marRight w:val="0"/>
      <w:marTop w:val="0"/>
      <w:marBottom w:val="0"/>
      <w:divBdr>
        <w:top w:val="none" w:sz="0" w:space="0" w:color="auto"/>
        <w:left w:val="none" w:sz="0" w:space="0" w:color="auto"/>
        <w:bottom w:val="none" w:sz="0" w:space="0" w:color="auto"/>
        <w:right w:val="none" w:sz="0" w:space="0" w:color="auto"/>
      </w:divBdr>
    </w:div>
    <w:div w:id="1508012150">
      <w:bodyDiv w:val="1"/>
      <w:marLeft w:val="0"/>
      <w:marRight w:val="0"/>
      <w:marTop w:val="0"/>
      <w:marBottom w:val="0"/>
      <w:divBdr>
        <w:top w:val="none" w:sz="0" w:space="0" w:color="auto"/>
        <w:left w:val="none" w:sz="0" w:space="0" w:color="auto"/>
        <w:bottom w:val="none" w:sz="0" w:space="0" w:color="auto"/>
        <w:right w:val="none" w:sz="0" w:space="0" w:color="auto"/>
      </w:divBdr>
    </w:div>
    <w:div w:id="1546873250">
      <w:bodyDiv w:val="1"/>
      <w:marLeft w:val="0"/>
      <w:marRight w:val="0"/>
      <w:marTop w:val="0"/>
      <w:marBottom w:val="0"/>
      <w:divBdr>
        <w:top w:val="none" w:sz="0" w:space="0" w:color="auto"/>
        <w:left w:val="none" w:sz="0" w:space="0" w:color="auto"/>
        <w:bottom w:val="none" w:sz="0" w:space="0" w:color="auto"/>
        <w:right w:val="none" w:sz="0" w:space="0" w:color="auto"/>
      </w:divBdr>
      <w:divsChild>
        <w:div w:id="2112385872">
          <w:marLeft w:val="-720"/>
          <w:marRight w:val="0"/>
          <w:marTop w:val="0"/>
          <w:marBottom w:val="0"/>
          <w:divBdr>
            <w:top w:val="none" w:sz="0" w:space="0" w:color="auto"/>
            <w:left w:val="none" w:sz="0" w:space="0" w:color="auto"/>
            <w:bottom w:val="none" w:sz="0" w:space="0" w:color="auto"/>
            <w:right w:val="none" w:sz="0" w:space="0" w:color="auto"/>
          </w:divBdr>
        </w:div>
      </w:divsChild>
    </w:div>
    <w:div w:id="1553347022">
      <w:bodyDiv w:val="1"/>
      <w:marLeft w:val="0"/>
      <w:marRight w:val="0"/>
      <w:marTop w:val="0"/>
      <w:marBottom w:val="0"/>
      <w:divBdr>
        <w:top w:val="none" w:sz="0" w:space="0" w:color="auto"/>
        <w:left w:val="none" w:sz="0" w:space="0" w:color="auto"/>
        <w:bottom w:val="none" w:sz="0" w:space="0" w:color="auto"/>
        <w:right w:val="none" w:sz="0" w:space="0" w:color="auto"/>
      </w:divBdr>
    </w:div>
    <w:div w:id="1560821382">
      <w:bodyDiv w:val="1"/>
      <w:marLeft w:val="0"/>
      <w:marRight w:val="0"/>
      <w:marTop w:val="0"/>
      <w:marBottom w:val="0"/>
      <w:divBdr>
        <w:top w:val="none" w:sz="0" w:space="0" w:color="auto"/>
        <w:left w:val="none" w:sz="0" w:space="0" w:color="auto"/>
        <w:bottom w:val="none" w:sz="0" w:space="0" w:color="auto"/>
        <w:right w:val="none" w:sz="0" w:space="0" w:color="auto"/>
      </w:divBdr>
    </w:div>
    <w:div w:id="1578369084">
      <w:bodyDiv w:val="1"/>
      <w:marLeft w:val="0"/>
      <w:marRight w:val="0"/>
      <w:marTop w:val="0"/>
      <w:marBottom w:val="0"/>
      <w:divBdr>
        <w:top w:val="none" w:sz="0" w:space="0" w:color="auto"/>
        <w:left w:val="none" w:sz="0" w:space="0" w:color="auto"/>
        <w:bottom w:val="none" w:sz="0" w:space="0" w:color="auto"/>
        <w:right w:val="none" w:sz="0" w:space="0" w:color="auto"/>
      </w:divBdr>
    </w:div>
    <w:div w:id="1590890323">
      <w:bodyDiv w:val="1"/>
      <w:marLeft w:val="0"/>
      <w:marRight w:val="0"/>
      <w:marTop w:val="0"/>
      <w:marBottom w:val="0"/>
      <w:divBdr>
        <w:top w:val="none" w:sz="0" w:space="0" w:color="auto"/>
        <w:left w:val="none" w:sz="0" w:space="0" w:color="auto"/>
        <w:bottom w:val="none" w:sz="0" w:space="0" w:color="auto"/>
        <w:right w:val="none" w:sz="0" w:space="0" w:color="auto"/>
      </w:divBdr>
    </w:div>
    <w:div w:id="1598440808">
      <w:bodyDiv w:val="1"/>
      <w:marLeft w:val="0"/>
      <w:marRight w:val="0"/>
      <w:marTop w:val="0"/>
      <w:marBottom w:val="0"/>
      <w:divBdr>
        <w:top w:val="none" w:sz="0" w:space="0" w:color="auto"/>
        <w:left w:val="none" w:sz="0" w:space="0" w:color="auto"/>
        <w:bottom w:val="none" w:sz="0" w:space="0" w:color="auto"/>
        <w:right w:val="none" w:sz="0" w:space="0" w:color="auto"/>
      </w:divBdr>
    </w:div>
    <w:div w:id="1602688253">
      <w:bodyDiv w:val="1"/>
      <w:marLeft w:val="0"/>
      <w:marRight w:val="0"/>
      <w:marTop w:val="0"/>
      <w:marBottom w:val="0"/>
      <w:divBdr>
        <w:top w:val="none" w:sz="0" w:space="0" w:color="auto"/>
        <w:left w:val="none" w:sz="0" w:space="0" w:color="auto"/>
        <w:bottom w:val="none" w:sz="0" w:space="0" w:color="auto"/>
        <w:right w:val="none" w:sz="0" w:space="0" w:color="auto"/>
      </w:divBdr>
    </w:div>
    <w:div w:id="1602906908">
      <w:bodyDiv w:val="1"/>
      <w:marLeft w:val="0"/>
      <w:marRight w:val="0"/>
      <w:marTop w:val="0"/>
      <w:marBottom w:val="0"/>
      <w:divBdr>
        <w:top w:val="none" w:sz="0" w:space="0" w:color="auto"/>
        <w:left w:val="none" w:sz="0" w:space="0" w:color="auto"/>
        <w:bottom w:val="none" w:sz="0" w:space="0" w:color="auto"/>
        <w:right w:val="none" w:sz="0" w:space="0" w:color="auto"/>
      </w:divBdr>
      <w:divsChild>
        <w:div w:id="1756125787">
          <w:marLeft w:val="0"/>
          <w:marRight w:val="0"/>
          <w:marTop w:val="100"/>
          <w:marBottom w:val="10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21292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20404">
      <w:bodyDiv w:val="1"/>
      <w:marLeft w:val="0"/>
      <w:marRight w:val="0"/>
      <w:marTop w:val="0"/>
      <w:marBottom w:val="0"/>
      <w:divBdr>
        <w:top w:val="none" w:sz="0" w:space="0" w:color="auto"/>
        <w:left w:val="none" w:sz="0" w:space="0" w:color="auto"/>
        <w:bottom w:val="none" w:sz="0" w:space="0" w:color="auto"/>
        <w:right w:val="none" w:sz="0" w:space="0" w:color="auto"/>
      </w:divBdr>
    </w:div>
    <w:div w:id="1639724730">
      <w:bodyDiv w:val="1"/>
      <w:marLeft w:val="0"/>
      <w:marRight w:val="0"/>
      <w:marTop w:val="0"/>
      <w:marBottom w:val="0"/>
      <w:divBdr>
        <w:top w:val="none" w:sz="0" w:space="0" w:color="auto"/>
        <w:left w:val="none" w:sz="0" w:space="0" w:color="auto"/>
        <w:bottom w:val="none" w:sz="0" w:space="0" w:color="auto"/>
        <w:right w:val="none" w:sz="0" w:space="0" w:color="auto"/>
      </w:divBdr>
    </w:div>
    <w:div w:id="1648048398">
      <w:bodyDiv w:val="1"/>
      <w:marLeft w:val="0"/>
      <w:marRight w:val="0"/>
      <w:marTop w:val="0"/>
      <w:marBottom w:val="0"/>
      <w:divBdr>
        <w:top w:val="none" w:sz="0" w:space="0" w:color="auto"/>
        <w:left w:val="none" w:sz="0" w:space="0" w:color="auto"/>
        <w:bottom w:val="none" w:sz="0" w:space="0" w:color="auto"/>
        <w:right w:val="none" w:sz="0" w:space="0" w:color="auto"/>
      </w:divBdr>
    </w:div>
    <w:div w:id="1665935329">
      <w:bodyDiv w:val="1"/>
      <w:marLeft w:val="0"/>
      <w:marRight w:val="0"/>
      <w:marTop w:val="0"/>
      <w:marBottom w:val="0"/>
      <w:divBdr>
        <w:top w:val="none" w:sz="0" w:space="0" w:color="auto"/>
        <w:left w:val="none" w:sz="0" w:space="0" w:color="auto"/>
        <w:bottom w:val="none" w:sz="0" w:space="0" w:color="auto"/>
        <w:right w:val="none" w:sz="0" w:space="0" w:color="auto"/>
      </w:divBdr>
    </w:div>
    <w:div w:id="1690836400">
      <w:bodyDiv w:val="1"/>
      <w:marLeft w:val="0"/>
      <w:marRight w:val="0"/>
      <w:marTop w:val="0"/>
      <w:marBottom w:val="0"/>
      <w:divBdr>
        <w:top w:val="none" w:sz="0" w:space="0" w:color="auto"/>
        <w:left w:val="none" w:sz="0" w:space="0" w:color="auto"/>
        <w:bottom w:val="none" w:sz="0" w:space="0" w:color="auto"/>
        <w:right w:val="none" w:sz="0" w:space="0" w:color="auto"/>
      </w:divBdr>
    </w:div>
    <w:div w:id="1705594707">
      <w:bodyDiv w:val="1"/>
      <w:marLeft w:val="0"/>
      <w:marRight w:val="0"/>
      <w:marTop w:val="0"/>
      <w:marBottom w:val="0"/>
      <w:divBdr>
        <w:top w:val="none" w:sz="0" w:space="0" w:color="auto"/>
        <w:left w:val="none" w:sz="0" w:space="0" w:color="auto"/>
        <w:bottom w:val="none" w:sz="0" w:space="0" w:color="auto"/>
        <w:right w:val="none" w:sz="0" w:space="0" w:color="auto"/>
      </w:divBdr>
    </w:div>
    <w:div w:id="1720204004">
      <w:bodyDiv w:val="1"/>
      <w:marLeft w:val="0"/>
      <w:marRight w:val="0"/>
      <w:marTop w:val="0"/>
      <w:marBottom w:val="0"/>
      <w:divBdr>
        <w:top w:val="none" w:sz="0" w:space="0" w:color="auto"/>
        <w:left w:val="none" w:sz="0" w:space="0" w:color="auto"/>
        <w:bottom w:val="none" w:sz="0" w:space="0" w:color="auto"/>
        <w:right w:val="none" w:sz="0" w:space="0" w:color="auto"/>
      </w:divBdr>
    </w:div>
    <w:div w:id="1722047574">
      <w:bodyDiv w:val="1"/>
      <w:marLeft w:val="0"/>
      <w:marRight w:val="0"/>
      <w:marTop w:val="0"/>
      <w:marBottom w:val="0"/>
      <w:divBdr>
        <w:top w:val="none" w:sz="0" w:space="0" w:color="auto"/>
        <w:left w:val="none" w:sz="0" w:space="0" w:color="auto"/>
        <w:bottom w:val="none" w:sz="0" w:space="0" w:color="auto"/>
        <w:right w:val="none" w:sz="0" w:space="0" w:color="auto"/>
      </w:divBdr>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
    <w:div w:id="1772243715">
      <w:bodyDiv w:val="1"/>
      <w:marLeft w:val="0"/>
      <w:marRight w:val="0"/>
      <w:marTop w:val="0"/>
      <w:marBottom w:val="0"/>
      <w:divBdr>
        <w:top w:val="none" w:sz="0" w:space="0" w:color="auto"/>
        <w:left w:val="none" w:sz="0" w:space="0" w:color="auto"/>
        <w:bottom w:val="none" w:sz="0" w:space="0" w:color="auto"/>
        <w:right w:val="none" w:sz="0" w:space="0" w:color="auto"/>
      </w:divBdr>
    </w:div>
    <w:div w:id="1785494540">
      <w:bodyDiv w:val="1"/>
      <w:marLeft w:val="0"/>
      <w:marRight w:val="0"/>
      <w:marTop w:val="0"/>
      <w:marBottom w:val="0"/>
      <w:divBdr>
        <w:top w:val="none" w:sz="0" w:space="0" w:color="auto"/>
        <w:left w:val="none" w:sz="0" w:space="0" w:color="auto"/>
        <w:bottom w:val="none" w:sz="0" w:space="0" w:color="auto"/>
        <w:right w:val="none" w:sz="0" w:space="0" w:color="auto"/>
      </w:divBdr>
      <w:divsChild>
        <w:div w:id="1300846501">
          <w:marLeft w:val="-720"/>
          <w:marRight w:val="0"/>
          <w:marTop w:val="0"/>
          <w:marBottom w:val="0"/>
          <w:divBdr>
            <w:top w:val="none" w:sz="0" w:space="0" w:color="auto"/>
            <w:left w:val="none" w:sz="0" w:space="0" w:color="auto"/>
            <w:bottom w:val="none" w:sz="0" w:space="0" w:color="auto"/>
            <w:right w:val="none" w:sz="0" w:space="0" w:color="auto"/>
          </w:divBdr>
        </w:div>
      </w:divsChild>
    </w:div>
    <w:div w:id="1799642650">
      <w:bodyDiv w:val="1"/>
      <w:marLeft w:val="0"/>
      <w:marRight w:val="0"/>
      <w:marTop w:val="0"/>
      <w:marBottom w:val="0"/>
      <w:divBdr>
        <w:top w:val="none" w:sz="0" w:space="0" w:color="auto"/>
        <w:left w:val="none" w:sz="0" w:space="0" w:color="auto"/>
        <w:bottom w:val="none" w:sz="0" w:space="0" w:color="auto"/>
        <w:right w:val="none" w:sz="0" w:space="0" w:color="auto"/>
      </w:divBdr>
    </w:div>
    <w:div w:id="1801461535">
      <w:bodyDiv w:val="1"/>
      <w:marLeft w:val="0"/>
      <w:marRight w:val="0"/>
      <w:marTop w:val="0"/>
      <w:marBottom w:val="0"/>
      <w:divBdr>
        <w:top w:val="none" w:sz="0" w:space="0" w:color="auto"/>
        <w:left w:val="none" w:sz="0" w:space="0" w:color="auto"/>
        <w:bottom w:val="none" w:sz="0" w:space="0" w:color="auto"/>
        <w:right w:val="none" w:sz="0" w:space="0" w:color="auto"/>
      </w:divBdr>
      <w:divsChild>
        <w:div w:id="1143883944">
          <w:marLeft w:val="-720"/>
          <w:marRight w:val="0"/>
          <w:marTop w:val="0"/>
          <w:marBottom w:val="0"/>
          <w:divBdr>
            <w:top w:val="none" w:sz="0" w:space="0" w:color="auto"/>
            <w:left w:val="none" w:sz="0" w:space="0" w:color="auto"/>
            <w:bottom w:val="none" w:sz="0" w:space="0" w:color="auto"/>
            <w:right w:val="none" w:sz="0" w:space="0" w:color="auto"/>
          </w:divBdr>
        </w:div>
      </w:divsChild>
    </w:div>
    <w:div w:id="1803040366">
      <w:bodyDiv w:val="1"/>
      <w:marLeft w:val="0"/>
      <w:marRight w:val="0"/>
      <w:marTop w:val="0"/>
      <w:marBottom w:val="0"/>
      <w:divBdr>
        <w:top w:val="none" w:sz="0" w:space="0" w:color="auto"/>
        <w:left w:val="none" w:sz="0" w:space="0" w:color="auto"/>
        <w:bottom w:val="none" w:sz="0" w:space="0" w:color="auto"/>
        <w:right w:val="none" w:sz="0" w:space="0" w:color="auto"/>
      </w:divBdr>
      <w:divsChild>
        <w:div w:id="1300502392">
          <w:marLeft w:val="-720"/>
          <w:marRight w:val="0"/>
          <w:marTop w:val="0"/>
          <w:marBottom w:val="0"/>
          <w:divBdr>
            <w:top w:val="none" w:sz="0" w:space="0" w:color="auto"/>
            <w:left w:val="none" w:sz="0" w:space="0" w:color="auto"/>
            <w:bottom w:val="none" w:sz="0" w:space="0" w:color="auto"/>
            <w:right w:val="none" w:sz="0" w:space="0" w:color="auto"/>
          </w:divBdr>
        </w:div>
      </w:divsChild>
    </w:div>
    <w:div w:id="1805267116">
      <w:bodyDiv w:val="1"/>
      <w:marLeft w:val="0"/>
      <w:marRight w:val="0"/>
      <w:marTop w:val="0"/>
      <w:marBottom w:val="0"/>
      <w:divBdr>
        <w:top w:val="none" w:sz="0" w:space="0" w:color="auto"/>
        <w:left w:val="none" w:sz="0" w:space="0" w:color="auto"/>
        <w:bottom w:val="none" w:sz="0" w:space="0" w:color="auto"/>
        <w:right w:val="none" w:sz="0" w:space="0" w:color="auto"/>
      </w:divBdr>
    </w:div>
    <w:div w:id="1826433533">
      <w:bodyDiv w:val="1"/>
      <w:marLeft w:val="0"/>
      <w:marRight w:val="0"/>
      <w:marTop w:val="0"/>
      <w:marBottom w:val="0"/>
      <w:divBdr>
        <w:top w:val="none" w:sz="0" w:space="0" w:color="auto"/>
        <w:left w:val="none" w:sz="0" w:space="0" w:color="auto"/>
        <w:bottom w:val="none" w:sz="0" w:space="0" w:color="auto"/>
        <w:right w:val="none" w:sz="0" w:space="0" w:color="auto"/>
      </w:divBdr>
    </w:div>
    <w:div w:id="1836066875">
      <w:bodyDiv w:val="1"/>
      <w:marLeft w:val="0"/>
      <w:marRight w:val="0"/>
      <w:marTop w:val="0"/>
      <w:marBottom w:val="0"/>
      <w:divBdr>
        <w:top w:val="none" w:sz="0" w:space="0" w:color="auto"/>
        <w:left w:val="none" w:sz="0" w:space="0" w:color="auto"/>
        <w:bottom w:val="none" w:sz="0" w:space="0" w:color="auto"/>
        <w:right w:val="none" w:sz="0" w:space="0" w:color="auto"/>
      </w:divBdr>
    </w:div>
    <w:div w:id="1911116812">
      <w:bodyDiv w:val="1"/>
      <w:marLeft w:val="0"/>
      <w:marRight w:val="0"/>
      <w:marTop w:val="0"/>
      <w:marBottom w:val="0"/>
      <w:divBdr>
        <w:top w:val="none" w:sz="0" w:space="0" w:color="auto"/>
        <w:left w:val="none" w:sz="0" w:space="0" w:color="auto"/>
        <w:bottom w:val="none" w:sz="0" w:space="0" w:color="auto"/>
        <w:right w:val="none" w:sz="0" w:space="0" w:color="auto"/>
      </w:divBdr>
    </w:div>
    <w:div w:id="1915582795">
      <w:bodyDiv w:val="1"/>
      <w:marLeft w:val="0"/>
      <w:marRight w:val="0"/>
      <w:marTop w:val="0"/>
      <w:marBottom w:val="0"/>
      <w:divBdr>
        <w:top w:val="none" w:sz="0" w:space="0" w:color="auto"/>
        <w:left w:val="none" w:sz="0" w:space="0" w:color="auto"/>
        <w:bottom w:val="none" w:sz="0" w:space="0" w:color="auto"/>
        <w:right w:val="none" w:sz="0" w:space="0" w:color="auto"/>
      </w:divBdr>
    </w:div>
    <w:div w:id="1974559799">
      <w:bodyDiv w:val="1"/>
      <w:marLeft w:val="0"/>
      <w:marRight w:val="0"/>
      <w:marTop w:val="0"/>
      <w:marBottom w:val="0"/>
      <w:divBdr>
        <w:top w:val="none" w:sz="0" w:space="0" w:color="auto"/>
        <w:left w:val="none" w:sz="0" w:space="0" w:color="auto"/>
        <w:bottom w:val="none" w:sz="0" w:space="0" w:color="auto"/>
        <w:right w:val="none" w:sz="0" w:space="0" w:color="auto"/>
      </w:divBdr>
    </w:div>
    <w:div w:id="2020769099">
      <w:bodyDiv w:val="1"/>
      <w:marLeft w:val="0"/>
      <w:marRight w:val="0"/>
      <w:marTop w:val="0"/>
      <w:marBottom w:val="0"/>
      <w:divBdr>
        <w:top w:val="none" w:sz="0" w:space="0" w:color="auto"/>
        <w:left w:val="none" w:sz="0" w:space="0" w:color="auto"/>
        <w:bottom w:val="none" w:sz="0" w:space="0" w:color="auto"/>
        <w:right w:val="none" w:sz="0" w:space="0" w:color="auto"/>
      </w:divBdr>
      <w:divsChild>
        <w:div w:id="445467213">
          <w:marLeft w:val="-720"/>
          <w:marRight w:val="0"/>
          <w:marTop w:val="0"/>
          <w:marBottom w:val="0"/>
          <w:divBdr>
            <w:top w:val="none" w:sz="0" w:space="0" w:color="auto"/>
            <w:left w:val="none" w:sz="0" w:space="0" w:color="auto"/>
            <w:bottom w:val="none" w:sz="0" w:space="0" w:color="auto"/>
            <w:right w:val="none" w:sz="0" w:space="0" w:color="auto"/>
          </w:divBdr>
        </w:div>
      </w:divsChild>
    </w:div>
    <w:div w:id="2039813782">
      <w:bodyDiv w:val="1"/>
      <w:marLeft w:val="0"/>
      <w:marRight w:val="0"/>
      <w:marTop w:val="0"/>
      <w:marBottom w:val="0"/>
      <w:divBdr>
        <w:top w:val="none" w:sz="0" w:space="0" w:color="auto"/>
        <w:left w:val="none" w:sz="0" w:space="0" w:color="auto"/>
        <w:bottom w:val="none" w:sz="0" w:space="0" w:color="auto"/>
        <w:right w:val="none" w:sz="0" w:space="0" w:color="auto"/>
      </w:divBdr>
    </w:div>
    <w:div w:id="2046363634">
      <w:bodyDiv w:val="1"/>
      <w:marLeft w:val="0"/>
      <w:marRight w:val="0"/>
      <w:marTop w:val="0"/>
      <w:marBottom w:val="0"/>
      <w:divBdr>
        <w:top w:val="none" w:sz="0" w:space="0" w:color="auto"/>
        <w:left w:val="none" w:sz="0" w:space="0" w:color="auto"/>
        <w:bottom w:val="none" w:sz="0" w:space="0" w:color="auto"/>
        <w:right w:val="none" w:sz="0" w:space="0" w:color="auto"/>
      </w:divBdr>
    </w:div>
    <w:div w:id="2049455645">
      <w:bodyDiv w:val="1"/>
      <w:marLeft w:val="0"/>
      <w:marRight w:val="0"/>
      <w:marTop w:val="0"/>
      <w:marBottom w:val="0"/>
      <w:divBdr>
        <w:top w:val="none" w:sz="0" w:space="0" w:color="auto"/>
        <w:left w:val="none" w:sz="0" w:space="0" w:color="auto"/>
        <w:bottom w:val="none" w:sz="0" w:space="0" w:color="auto"/>
        <w:right w:val="none" w:sz="0" w:space="0" w:color="auto"/>
      </w:divBdr>
    </w:div>
    <w:div w:id="2057195211">
      <w:bodyDiv w:val="1"/>
      <w:marLeft w:val="0"/>
      <w:marRight w:val="0"/>
      <w:marTop w:val="0"/>
      <w:marBottom w:val="0"/>
      <w:divBdr>
        <w:top w:val="none" w:sz="0" w:space="0" w:color="auto"/>
        <w:left w:val="none" w:sz="0" w:space="0" w:color="auto"/>
        <w:bottom w:val="none" w:sz="0" w:space="0" w:color="auto"/>
        <w:right w:val="none" w:sz="0" w:space="0" w:color="auto"/>
      </w:divBdr>
    </w:div>
    <w:div w:id="2059356696">
      <w:bodyDiv w:val="1"/>
      <w:marLeft w:val="0"/>
      <w:marRight w:val="0"/>
      <w:marTop w:val="0"/>
      <w:marBottom w:val="0"/>
      <w:divBdr>
        <w:top w:val="none" w:sz="0" w:space="0" w:color="auto"/>
        <w:left w:val="none" w:sz="0" w:space="0" w:color="auto"/>
        <w:bottom w:val="none" w:sz="0" w:space="0" w:color="auto"/>
        <w:right w:val="none" w:sz="0" w:space="0" w:color="auto"/>
      </w:divBdr>
    </w:div>
    <w:div w:id="2064208811">
      <w:bodyDiv w:val="1"/>
      <w:marLeft w:val="0"/>
      <w:marRight w:val="0"/>
      <w:marTop w:val="0"/>
      <w:marBottom w:val="0"/>
      <w:divBdr>
        <w:top w:val="none" w:sz="0" w:space="0" w:color="auto"/>
        <w:left w:val="none" w:sz="0" w:space="0" w:color="auto"/>
        <w:bottom w:val="none" w:sz="0" w:space="0" w:color="auto"/>
        <w:right w:val="none" w:sz="0" w:space="0" w:color="auto"/>
      </w:divBdr>
    </w:div>
    <w:div w:id="2065054601">
      <w:bodyDiv w:val="1"/>
      <w:marLeft w:val="0"/>
      <w:marRight w:val="0"/>
      <w:marTop w:val="0"/>
      <w:marBottom w:val="0"/>
      <w:divBdr>
        <w:top w:val="none" w:sz="0" w:space="0" w:color="auto"/>
        <w:left w:val="none" w:sz="0" w:space="0" w:color="auto"/>
        <w:bottom w:val="none" w:sz="0" w:space="0" w:color="auto"/>
        <w:right w:val="none" w:sz="0" w:space="0" w:color="auto"/>
      </w:divBdr>
    </w:div>
    <w:div w:id="2078436424">
      <w:bodyDiv w:val="1"/>
      <w:marLeft w:val="0"/>
      <w:marRight w:val="0"/>
      <w:marTop w:val="0"/>
      <w:marBottom w:val="0"/>
      <w:divBdr>
        <w:top w:val="none" w:sz="0" w:space="0" w:color="auto"/>
        <w:left w:val="none" w:sz="0" w:space="0" w:color="auto"/>
        <w:bottom w:val="none" w:sz="0" w:space="0" w:color="auto"/>
        <w:right w:val="none" w:sz="0" w:space="0" w:color="auto"/>
      </w:divBdr>
    </w:div>
    <w:div w:id="2097358530">
      <w:bodyDiv w:val="1"/>
      <w:marLeft w:val="0"/>
      <w:marRight w:val="0"/>
      <w:marTop w:val="0"/>
      <w:marBottom w:val="0"/>
      <w:divBdr>
        <w:top w:val="none" w:sz="0" w:space="0" w:color="auto"/>
        <w:left w:val="none" w:sz="0" w:space="0" w:color="auto"/>
        <w:bottom w:val="none" w:sz="0" w:space="0" w:color="auto"/>
        <w:right w:val="none" w:sz="0" w:space="0" w:color="auto"/>
      </w:divBdr>
    </w:div>
    <w:div w:id="2103455204">
      <w:bodyDiv w:val="1"/>
      <w:marLeft w:val="0"/>
      <w:marRight w:val="0"/>
      <w:marTop w:val="0"/>
      <w:marBottom w:val="0"/>
      <w:divBdr>
        <w:top w:val="none" w:sz="0" w:space="0" w:color="auto"/>
        <w:left w:val="none" w:sz="0" w:space="0" w:color="auto"/>
        <w:bottom w:val="none" w:sz="0" w:space="0" w:color="auto"/>
        <w:right w:val="none" w:sz="0" w:space="0" w:color="auto"/>
      </w:divBdr>
    </w:div>
    <w:div w:id="2113893479">
      <w:bodyDiv w:val="1"/>
      <w:marLeft w:val="0"/>
      <w:marRight w:val="0"/>
      <w:marTop w:val="0"/>
      <w:marBottom w:val="0"/>
      <w:divBdr>
        <w:top w:val="none" w:sz="0" w:space="0" w:color="auto"/>
        <w:left w:val="none" w:sz="0" w:space="0" w:color="auto"/>
        <w:bottom w:val="none" w:sz="0" w:space="0" w:color="auto"/>
        <w:right w:val="none" w:sz="0" w:space="0" w:color="auto"/>
      </w:divBdr>
    </w:div>
    <w:div w:id="2134979164">
      <w:bodyDiv w:val="1"/>
      <w:marLeft w:val="0"/>
      <w:marRight w:val="0"/>
      <w:marTop w:val="0"/>
      <w:marBottom w:val="0"/>
      <w:divBdr>
        <w:top w:val="none" w:sz="0" w:space="0" w:color="auto"/>
        <w:left w:val="none" w:sz="0" w:space="0" w:color="auto"/>
        <w:bottom w:val="none" w:sz="0" w:space="0" w:color="auto"/>
        <w:right w:val="none" w:sz="0" w:space="0" w:color="auto"/>
      </w:divBdr>
      <w:divsChild>
        <w:div w:id="1321302271">
          <w:marLeft w:val="-720"/>
          <w:marRight w:val="0"/>
          <w:marTop w:val="0"/>
          <w:marBottom w:val="0"/>
          <w:divBdr>
            <w:top w:val="none" w:sz="0" w:space="0" w:color="auto"/>
            <w:left w:val="none" w:sz="0" w:space="0" w:color="auto"/>
            <w:bottom w:val="none" w:sz="0" w:space="0" w:color="auto"/>
            <w:right w:val="none" w:sz="0" w:space="0" w:color="auto"/>
          </w:divBdr>
        </w:div>
      </w:divsChild>
    </w:div>
    <w:div w:id="213655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doi.org/10.1080/23311975.2025.2504131" TargetMode="External"/><Relationship Id="rId26" Type="http://schemas.openxmlformats.org/officeDocument/2006/relationships/hyperlink" Target="https://doi.org/10.1108/MF-09-2017-0331" TargetMode="External"/><Relationship Id="rId39" Type="http://schemas.openxmlformats.org/officeDocument/2006/relationships/hyperlink" Target="https://doi.org/10.1108/jfra-09-2021-0291" TargetMode="External"/><Relationship Id="rId21" Type="http://schemas.openxmlformats.org/officeDocument/2006/relationships/hyperlink" Target="https://journals.uol.edu.pk/afrj/article/view/2934" TargetMode="External"/><Relationship Id="rId34" Type="http://schemas.openxmlformats.org/officeDocument/2006/relationships/hyperlink" Target="https://doi.org/10.1111/j.1540-6261.1985.tb02362.x" TargetMode="External"/><Relationship Id="rId42" Type="http://schemas.openxmlformats.org/officeDocument/2006/relationships/hyperlink" Target="https://doi.org/10.1016/j.ribaf.2020.101321"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doi.org/10.3390/jrfm17120563" TargetMode="External"/><Relationship Id="rId29" Type="http://schemas.openxmlformats.org/officeDocument/2006/relationships/hyperlink" Target="https://doi.org/10.1080/23322039.2022.2159735" TargetMode="External"/><Relationship Id="rId11" Type="http://schemas.openxmlformats.org/officeDocument/2006/relationships/settings" Target="settings.xml"/><Relationship Id="rId24" Type="http://schemas.openxmlformats.org/officeDocument/2006/relationships/hyperlink" Target="https://doi.org/10.59324/ejmeb.2024.1(3).07" TargetMode="External"/><Relationship Id="rId32" Type="http://schemas.openxmlformats.org/officeDocument/2006/relationships/hyperlink" Target="https://doi.org/10.1111/0022-1082.00199" TargetMode="External"/><Relationship Id="rId37" Type="http://schemas.openxmlformats.org/officeDocument/2006/relationships/hyperlink" Target="https://doi.org/10.31695/ijasre.2021.34068" TargetMode="External"/><Relationship Id="rId40" Type="http://schemas.openxmlformats.org/officeDocument/2006/relationships/hyperlink" Target="https://doi.org/10.1108/JEFAS-12-2021-0257"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doi.org/10.5430/afr.v13n2p129" TargetMode="External"/><Relationship Id="rId23" Type="http://schemas.openxmlformats.org/officeDocument/2006/relationships/hyperlink" Target="https://doi.org/10.1080/23311975.2020.1863175" TargetMode="External"/><Relationship Id="rId28" Type="http://schemas.openxmlformats.org/officeDocument/2006/relationships/hyperlink" Target="https://doi.org/10.1016/S0304-405X(01)00038-1" TargetMode="External"/><Relationship Id="rId36" Type="http://schemas.openxmlformats.org/officeDocument/2006/relationships/hyperlink" Target="https://doi.org/10.9734/ajeba/2024/v24i71426" TargetMode="External"/><Relationship Id="rId49" Type="http://schemas.openxmlformats.org/officeDocument/2006/relationships/header" Target="header3.xml"/><Relationship Id="rId10" Type="http://schemas.openxmlformats.org/officeDocument/2006/relationships/styles" Target="styles.xml"/><Relationship Id="rId19" Type="http://schemas.openxmlformats.org/officeDocument/2006/relationships/hyperlink" Target="https://doi.org/10.1080/23311975.2025.2463576" TargetMode="External"/><Relationship Id="rId31" Type="http://schemas.openxmlformats.org/officeDocument/2006/relationships/hyperlink" Target="https://doi.org/10.1016/0304-405X(76)90026-X" TargetMode="External"/><Relationship Id="rId44" Type="http://schemas.openxmlformats.org/officeDocument/2006/relationships/hyperlink" Target="https://doi.org/10.2139/ssrn.5272049"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doi.org/10.1080/23322039.2023.2243709" TargetMode="External"/><Relationship Id="rId27" Type="http://schemas.openxmlformats.org/officeDocument/2006/relationships/hyperlink" Target="https://doi.org/10.1016/j.bar.2019.03.001" TargetMode="External"/><Relationship Id="rId30" Type="http://schemas.openxmlformats.org/officeDocument/2006/relationships/hyperlink" Target="https://doi.org/10.15294/jda.v16i2.6560" TargetMode="External"/><Relationship Id="rId35" Type="http://schemas.openxmlformats.org/officeDocument/2006/relationships/hyperlink" Target="https://doi.org/10.1007/s10997-024-09725-9" TargetMode="External"/><Relationship Id="rId43" Type="http://schemas.openxmlformats.org/officeDocument/2006/relationships/hyperlink" Target="https://doi.org/10.2139/ssrn.5216573" TargetMode="External"/><Relationship Id="rId48"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doi.org/10.1111/fmii.12183" TargetMode="External"/><Relationship Id="rId25" Type="http://schemas.openxmlformats.org/officeDocument/2006/relationships/hyperlink" Target="https://doi.org/10.31966/jabminternational.v32i1.1464" TargetMode="External"/><Relationship Id="rId33" Type="http://schemas.openxmlformats.org/officeDocument/2006/relationships/hyperlink" Target="https://doi.org/10.1080/23311975.2025.2473043" TargetMode="External"/><Relationship Id="rId38" Type="http://schemas.openxmlformats.org/officeDocument/2006/relationships/hyperlink" Target="https://doi.org/10.1080/23311975.2024.2396045" TargetMode="External"/><Relationship Id="rId46" Type="http://schemas.openxmlformats.org/officeDocument/2006/relationships/header" Target="header2.xml"/><Relationship Id="rId20" Type="http://schemas.openxmlformats.org/officeDocument/2006/relationships/hyperlink" Target="https://doi.org/10.1002/bse.70020" TargetMode="External"/><Relationship Id="rId41" Type="http://schemas.openxmlformats.org/officeDocument/2006/relationships/hyperlink" Target="https://doi.org/10.1108/978-1-83797-987-520241007"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E605CA-4443-4E00-963F-5672E5D7C19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309DE-FAB7-4685-A4FA-92A2E41BD607}">
  <ds:schemaRefs>
    <ds:schemaRef ds:uri="http://www.wps.cn/android/officeDocument/2013/mofficeCustomData"/>
  </ds:schemaRefs>
</ds:datastoreItem>
</file>

<file path=customXml/itemProps2.xml><?xml version="1.0" encoding="utf-8"?>
<ds:datastoreItem xmlns:ds="http://schemas.openxmlformats.org/officeDocument/2006/customXml" ds:itemID="{60C0C587-7C2C-4DD1-98C4-9C1AE8A6DD39}">
  <ds:schemaRefs>
    <ds:schemaRef ds:uri="http://www.wps.cn/android/officeDocument/2013/mofficeCustomData"/>
  </ds:schemaRefs>
</ds:datastoreItem>
</file>

<file path=customXml/itemProps3.xml><?xml version="1.0" encoding="utf-8"?>
<ds:datastoreItem xmlns:ds="http://schemas.openxmlformats.org/officeDocument/2006/customXml" ds:itemID="{487C8841-71FC-4169-A242-CA87C01FA695}">
  <ds:schemaRefs>
    <ds:schemaRef ds:uri="http://www.wps.cn/android/officeDocument/2013/mofficeCustomData"/>
  </ds:schemaRefs>
</ds:datastoreItem>
</file>

<file path=customXml/itemProps4.xml><?xml version="1.0" encoding="utf-8"?>
<ds:datastoreItem xmlns:ds="http://schemas.openxmlformats.org/officeDocument/2006/customXml" ds:itemID="{E09CF118-912C-4A5C-8B2E-11F0EBDC91EB}">
  <ds:schemaRefs>
    <ds:schemaRef ds:uri="http://www.wps.cn/android/officeDocument/2013/mofficeCustomData"/>
  </ds:schemaRefs>
</ds:datastoreItem>
</file>

<file path=customXml/itemProps5.xml><?xml version="1.0" encoding="utf-8"?>
<ds:datastoreItem xmlns:ds="http://schemas.openxmlformats.org/officeDocument/2006/customXml" ds:itemID="{4BA2A1D5-00D5-4E08-A9A5-F91CCF763ADD}">
  <ds:schemaRefs>
    <ds:schemaRef ds:uri="http://www.wps.cn/android/officeDocument/2013/mofficeCustomData"/>
  </ds:schemaRefs>
</ds:datastoreItem>
</file>

<file path=customXml/itemProps6.xml><?xml version="1.0" encoding="utf-8"?>
<ds:datastoreItem xmlns:ds="http://schemas.openxmlformats.org/officeDocument/2006/customXml" ds:itemID="{3B75090F-3B3E-4116-A959-7A2DEB1F2479}">
  <ds:schemaRefs>
    <ds:schemaRef ds:uri="http://www.wps.cn/android/officeDocument/2013/mofficeCustomData"/>
  </ds:schemaRefs>
</ds:datastoreItem>
</file>

<file path=customXml/itemProps7.xml><?xml version="1.0" encoding="utf-8"?>
<ds:datastoreItem xmlns:ds="http://schemas.openxmlformats.org/officeDocument/2006/customXml" ds:itemID="{46EBC9B6-A83C-4952-96D2-4134A0282238}">
  <ds:schemaRefs>
    <ds:schemaRef ds:uri="http://www.wps.cn/android/officeDocument/2013/mofficeCustomData"/>
  </ds:schemaRefs>
</ds:datastoreItem>
</file>

<file path=customXml/itemProps8.xml><?xml version="1.0" encoding="utf-8"?>
<ds:datastoreItem xmlns:ds="http://schemas.openxmlformats.org/officeDocument/2006/customXml" ds:itemID="{16C58389-5D46-4751-9E64-3A64168982F2}">
  <ds:schemaRefs>
    <ds:schemaRef ds:uri="http://schemas.openxmlformats.org/officeDocument/2006/bibliography"/>
  </ds:schemaRefs>
</ds:datastoreItem>
</file>

<file path=docMetadata/LabelInfo.xml><?xml version="1.0" encoding="utf-8"?>
<clbl:labelList xmlns:clbl="http://schemas.microsoft.com/office/2020/mipLabelMetadata">
  <clbl:label id="{6479eda9-a6bf-4259-ba8a-f27ac2ab3254}" enabled="0" method="" siteId="{6479eda9-a6bf-4259-ba8a-f27ac2ab3254}" removed="1"/>
</clbl:labelList>
</file>

<file path=docProps/app.xml><?xml version="1.0" encoding="utf-8"?>
<Properties xmlns="http://schemas.openxmlformats.org/officeDocument/2006/extended-properties" xmlns:vt="http://schemas.openxmlformats.org/officeDocument/2006/docPropsVTypes">
  <Template>Normal</Template>
  <TotalTime>4155</TotalTime>
  <Pages>14</Pages>
  <Words>7471</Words>
  <Characters>42587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49959</CharactersWithSpaces>
  <SharedDoc>false</SharedDoc>
  <HLinks>
    <vt:vector size="150" baseType="variant">
      <vt:variant>
        <vt:i4>786510</vt:i4>
      </vt:variant>
      <vt:variant>
        <vt:i4>72</vt:i4>
      </vt:variant>
      <vt:variant>
        <vt:i4>0</vt:i4>
      </vt:variant>
      <vt:variant>
        <vt:i4>5</vt:i4>
      </vt:variant>
      <vt:variant>
        <vt:lpwstr>https://doi.org/10.2139/ssrn.5216573</vt:lpwstr>
      </vt:variant>
      <vt:variant>
        <vt:lpwstr/>
      </vt:variant>
      <vt:variant>
        <vt:i4>2621549</vt:i4>
      </vt:variant>
      <vt:variant>
        <vt:i4>69</vt:i4>
      </vt:variant>
      <vt:variant>
        <vt:i4>0</vt:i4>
      </vt:variant>
      <vt:variant>
        <vt:i4>5</vt:i4>
      </vt:variant>
      <vt:variant>
        <vt:lpwstr>https://doi.org/10.1016/j.ribaf.2020.101321</vt:lpwstr>
      </vt:variant>
      <vt:variant>
        <vt:lpwstr/>
      </vt:variant>
      <vt:variant>
        <vt:i4>2097204</vt:i4>
      </vt:variant>
      <vt:variant>
        <vt:i4>66</vt:i4>
      </vt:variant>
      <vt:variant>
        <vt:i4>0</vt:i4>
      </vt:variant>
      <vt:variant>
        <vt:i4>5</vt:i4>
      </vt:variant>
      <vt:variant>
        <vt:lpwstr>https://doi.org/10.1108/JEFAS-12-2021-0257</vt:lpwstr>
      </vt:variant>
      <vt:variant>
        <vt:lpwstr/>
      </vt:variant>
      <vt:variant>
        <vt:i4>2687090</vt:i4>
      </vt:variant>
      <vt:variant>
        <vt:i4>63</vt:i4>
      </vt:variant>
      <vt:variant>
        <vt:i4>0</vt:i4>
      </vt:variant>
      <vt:variant>
        <vt:i4>5</vt:i4>
      </vt:variant>
      <vt:variant>
        <vt:lpwstr>https://doi.org/10.1111/j.1475-6803.1982.tb00299.x</vt:lpwstr>
      </vt:variant>
      <vt:variant>
        <vt:lpwstr/>
      </vt:variant>
      <vt:variant>
        <vt:i4>3670128</vt:i4>
      </vt:variant>
      <vt:variant>
        <vt:i4>60</vt:i4>
      </vt:variant>
      <vt:variant>
        <vt:i4>0</vt:i4>
      </vt:variant>
      <vt:variant>
        <vt:i4>5</vt:i4>
      </vt:variant>
      <vt:variant>
        <vt:lpwstr>https://doi.org/10.3846/jbem.2019.9857</vt:lpwstr>
      </vt:variant>
      <vt:variant>
        <vt:lpwstr/>
      </vt:variant>
      <vt:variant>
        <vt:i4>4980811</vt:i4>
      </vt:variant>
      <vt:variant>
        <vt:i4>57</vt:i4>
      </vt:variant>
      <vt:variant>
        <vt:i4>0</vt:i4>
      </vt:variant>
      <vt:variant>
        <vt:i4>5</vt:i4>
      </vt:variant>
      <vt:variant>
        <vt:lpwstr>https://doi.org/10.9734/ajeba/2024/v24i71426</vt:lpwstr>
      </vt:variant>
      <vt:variant>
        <vt:lpwstr/>
      </vt:variant>
      <vt:variant>
        <vt:i4>2293811</vt:i4>
      </vt:variant>
      <vt:variant>
        <vt:i4>54</vt:i4>
      </vt:variant>
      <vt:variant>
        <vt:i4>0</vt:i4>
      </vt:variant>
      <vt:variant>
        <vt:i4>5</vt:i4>
      </vt:variant>
      <vt:variant>
        <vt:lpwstr>https://doi.org/10.1007/s10997-024-09725-9</vt:lpwstr>
      </vt:variant>
      <vt:variant>
        <vt:lpwstr/>
      </vt:variant>
      <vt:variant>
        <vt:i4>5308437</vt:i4>
      </vt:variant>
      <vt:variant>
        <vt:i4>51</vt:i4>
      </vt:variant>
      <vt:variant>
        <vt:i4>0</vt:i4>
      </vt:variant>
      <vt:variant>
        <vt:i4>5</vt:i4>
      </vt:variant>
      <vt:variant>
        <vt:lpwstr>https://doi.org/10.1016/j.jeconom.2019.04.015</vt:lpwstr>
      </vt:variant>
      <vt:variant>
        <vt:lpwstr/>
      </vt:variant>
      <vt:variant>
        <vt:i4>524355</vt:i4>
      </vt:variant>
      <vt:variant>
        <vt:i4>48</vt:i4>
      </vt:variant>
      <vt:variant>
        <vt:i4>0</vt:i4>
      </vt:variant>
      <vt:variant>
        <vt:i4>5</vt:i4>
      </vt:variant>
      <vt:variant>
        <vt:lpwstr>https://doi.org/10.1080/23311975.2025.2473043</vt:lpwstr>
      </vt:variant>
      <vt:variant>
        <vt:lpwstr/>
      </vt:variant>
      <vt:variant>
        <vt:i4>3342459</vt:i4>
      </vt:variant>
      <vt:variant>
        <vt:i4>45</vt:i4>
      </vt:variant>
      <vt:variant>
        <vt:i4>0</vt:i4>
      </vt:variant>
      <vt:variant>
        <vt:i4>5</vt:i4>
      </vt:variant>
      <vt:variant>
        <vt:lpwstr>https://doi.org/10.1515/econ-2022-0041</vt:lpwstr>
      </vt:variant>
      <vt:variant>
        <vt:lpwstr/>
      </vt:variant>
      <vt:variant>
        <vt:i4>4063350</vt:i4>
      </vt:variant>
      <vt:variant>
        <vt:i4>42</vt:i4>
      </vt:variant>
      <vt:variant>
        <vt:i4>0</vt:i4>
      </vt:variant>
      <vt:variant>
        <vt:i4>5</vt:i4>
      </vt:variant>
      <vt:variant>
        <vt:lpwstr>https://doi.org/10.1111/0022-1082.00199</vt:lpwstr>
      </vt:variant>
      <vt:variant>
        <vt:lpwstr/>
      </vt:variant>
      <vt:variant>
        <vt:i4>3014760</vt:i4>
      </vt:variant>
      <vt:variant>
        <vt:i4>39</vt:i4>
      </vt:variant>
      <vt:variant>
        <vt:i4>0</vt:i4>
      </vt:variant>
      <vt:variant>
        <vt:i4>5</vt:i4>
      </vt:variant>
      <vt:variant>
        <vt:lpwstr>https://doi.org/10.2307/1913643</vt:lpwstr>
      </vt:variant>
      <vt:variant>
        <vt:lpwstr/>
      </vt:variant>
      <vt:variant>
        <vt:i4>5046280</vt:i4>
      </vt:variant>
      <vt:variant>
        <vt:i4>36</vt:i4>
      </vt:variant>
      <vt:variant>
        <vt:i4>0</vt:i4>
      </vt:variant>
      <vt:variant>
        <vt:i4>5</vt:i4>
      </vt:variant>
      <vt:variant>
        <vt:lpwstr>https://doi.org/10.1016/0304-405X(76)90026-X</vt:lpwstr>
      </vt:variant>
      <vt:variant>
        <vt:lpwstr/>
      </vt:variant>
      <vt:variant>
        <vt:i4>393286</vt:i4>
      </vt:variant>
      <vt:variant>
        <vt:i4>33</vt:i4>
      </vt:variant>
      <vt:variant>
        <vt:i4>0</vt:i4>
      </vt:variant>
      <vt:variant>
        <vt:i4>5</vt:i4>
      </vt:variant>
      <vt:variant>
        <vt:lpwstr>https://doi.org/10.1080/23322039.2022.2159735</vt:lpwstr>
      </vt:variant>
      <vt:variant>
        <vt:lpwstr/>
      </vt:variant>
      <vt:variant>
        <vt:i4>4194312</vt:i4>
      </vt:variant>
      <vt:variant>
        <vt:i4>30</vt:i4>
      </vt:variant>
      <vt:variant>
        <vt:i4>0</vt:i4>
      </vt:variant>
      <vt:variant>
        <vt:i4>5</vt:i4>
      </vt:variant>
      <vt:variant>
        <vt:lpwstr>https://doi.org/10.1016/S0304-405X(01)00038-1</vt:lpwstr>
      </vt:variant>
      <vt:variant>
        <vt:lpwstr/>
      </vt:variant>
      <vt:variant>
        <vt:i4>1572946</vt:i4>
      </vt:variant>
      <vt:variant>
        <vt:i4>27</vt:i4>
      </vt:variant>
      <vt:variant>
        <vt:i4>0</vt:i4>
      </vt:variant>
      <vt:variant>
        <vt:i4>5</vt:i4>
      </vt:variant>
      <vt:variant>
        <vt:lpwstr>https://doi.org/10.1177/0007650320930638</vt:lpwstr>
      </vt:variant>
      <vt:variant>
        <vt:lpwstr/>
      </vt:variant>
      <vt:variant>
        <vt:i4>7077943</vt:i4>
      </vt:variant>
      <vt:variant>
        <vt:i4>24</vt:i4>
      </vt:variant>
      <vt:variant>
        <vt:i4>0</vt:i4>
      </vt:variant>
      <vt:variant>
        <vt:i4>5</vt:i4>
      </vt:variant>
      <vt:variant>
        <vt:lpwstr>https://doi.org/10.1108/MF-09-2017-0331</vt:lpwstr>
      </vt:variant>
      <vt:variant>
        <vt:lpwstr/>
      </vt:variant>
      <vt:variant>
        <vt:i4>1966095</vt:i4>
      </vt:variant>
      <vt:variant>
        <vt:i4>21</vt:i4>
      </vt:variant>
      <vt:variant>
        <vt:i4>0</vt:i4>
      </vt:variant>
      <vt:variant>
        <vt:i4>5</vt:i4>
      </vt:variant>
      <vt:variant>
        <vt:lpwstr>https://doi.org/10.31966/jabminternational.v32i1.1464</vt:lpwstr>
      </vt:variant>
      <vt:variant>
        <vt:lpwstr/>
      </vt:variant>
      <vt:variant>
        <vt:i4>6094935</vt:i4>
      </vt:variant>
      <vt:variant>
        <vt:i4>18</vt:i4>
      </vt:variant>
      <vt:variant>
        <vt:i4>0</vt:i4>
      </vt:variant>
      <vt:variant>
        <vt:i4>5</vt:i4>
      </vt:variant>
      <vt:variant>
        <vt:lpwstr>https://doi.org/10.1111/j.1368-423X.2011.00349.x</vt:lpwstr>
      </vt:variant>
      <vt:variant>
        <vt:lpwstr/>
      </vt:variant>
      <vt:variant>
        <vt:i4>7995511</vt:i4>
      </vt:variant>
      <vt:variant>
        <vt:i4>15</vt:i4>
      </vt:variant>
      <vt:variant>
        <vt:i4>0</vt:i4>
      </vt:variant>
      <vt:variant>
        <vt:i4>5</vt:i4>
      </vt:variant>
      <vt:variant>
        <vt:lpwstr>https://doi.org/10.59324/ejmeb.2024.1(3).07</vt:lpwstr>
      </vt:variant>
      <vt:variant>
        <vt:lpwstr/>
      </vt:variant>
      <vt:variant>
        <vt:i4>786502</vt:i4>
      </vt:variant>
      <vt:variant>
        <vt:i4>12</vt:i4>
      </vt:variant>
      <vt:variant>
        <vt:i4>0</vt:i4>
      </vt:variant>
      <vt:variant>
        <vt:i4>5</vt:i4>
      </vt:variant>
      <vt:variant>
        <vt:lpwstr>https://doi.org/10.1080/23322039.2023.2243709</vt:lpwstr>
      </vt:variant>
      <vt:variant>
        <vt:lpwstr/>
      </vt:variant>
      <vt:variant>
        <vt:i4>4980824</vt:i4>
      </vt:variant>
      <vt:variant>
        <vt:i4>9</vt:i4>
      </vt:variant>
      <vt:variant>
        <vt:i4>0</vt:i4>
      </vt:variant>
      <vt:variant>
        <vt:i4>5</vt:i4>
      </vt:variant>
      <vt:variant>
        <vt:lpwstr>https://doi.org/10.1002/bse.70020</vt:lpwstr>
      </vt:variant>
      <vt:variant>
        <vt:lpwstr/>
      </vt:variant>
      <vt:variant>
        <vt:i4>5767232</vt:i4>
      </vt:variant>
      <vt:variant>
        <vt:i4>6</vt:i4>
      </vt:variant>
      <vt:variant>
        <vt:i4>0</vt:i4>
      </vt:variant>
      <vt:variant>
        <vt:i4>5</vt:i4>
      </vt:variant>
      <vt:variant>
        <vt:lpwstr>https://doi.org/10.1016/j.ememar.2021.100890</vt:lpwstr>
      </vt:variant>
      <vt:variant>
        <vt:lpwstr/>
      </vt:variant>
      <vt:variant>
        <vt:i4>589893</vt:i4>
      </vt:variant>
      <vt:variant>
        <vt:i4>3</vt:i4>
      </vt:variant>
      <vt:variant>
        <vt:i4>0</vt:i4>
      </vt:variant>
      <vt:variant>
        <vt:i4>5</vt:i4>
      </vt:variant>
      <vt:variant>
        <vt:lpwstr>https://doi.org/10.1080/23311975.2025.2504131</vt:lpwstr>
      </vt:variant>
      <vt:variant>
        <vt:lpwstr/>
      </vt:variant>
      <vt:variant>
        <vt:i4>2424945</vt:i4>
      </vt:variant>
      <vt:variant>
        <vt:i4>0</vt:i4>
      </vt:variant>
      <vt:variant>
        <vt:i4>0</vt:i4>
      </vt:variant>
      <vt:variant>
        <vt:i4>5</vt:i4>
      </vt:variant>
      <vt:variant>
        <vt:lpwstr>https://doi.org/10.1111/fmii.12183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Akpadaka</dc:creator>
  <cp:keywords/>
  <cp:lastModifiedBy>SDI 1084</cp:lastModifiedBy>
  <cp:revision>583</cp:revision>
  <dcterms:created xsi:type="dcterms:W3CDTF">2025-05-17T03:35:00Z</dcterms:created>
  <dcterms:modified xsi:type="dcterms:W3CDTF">2025-07-28T07:15:00Z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605d1f10c71c42c19bc74187458e93c6</vt:lpwstr>
  </property>
</Properties>
</file>