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5605" w14:textId="20AE1C14" w:rsidR="00A85835" w:rsidRPr="0030562D" w:rsidRDefault="00AB58F0" w:rsidP="00711A77">
      <w:pPr>
        <w:pStyle w:val="Title"/>
        <w:spacing w:before="0"/>
        <w:ind w:left="0" w:right="4"/>
        <w:jc w:val="right"/>
        <w:rPr>
          <w:rFonts w:ascii="Arial" w:hAnsi="Arial" w:cs="Arial"/>
          <w:b/>
          <w:bCs/>
          <w:sz w:val="32"/>
          <w:szCs w:val="32"/>
        </w:rPr>
      </w:pPr>
      <w:r w:rsidRPr="0030562D">
        <w:rPr>
          <w:rFonts w:ascii="Arial" w:hAnsi="Arial" w:cs="Arial"/>
          <w:b/>
          <w:bCs/>
          <w:sz w:val="32"/>
          <w:szCs w:val="32"/>
        </w:rPr>
        <w:t>THE INFLUENCE OF E-SERVQUAL AND E-SATISFACTION ON E-LOYALTY OF BANK LAMPUNG MOBILE BANKING USERS</w:t>
      </w:r>
    </w:p>
    <w:p w14:paraId="727EFA32" w14:textId="77777777" w:rsidR="00A85835" w:rsidRPr="0030562D" w:rsidRDefault="00A85835" w:rsidP="00A85835">
      <w:pPr>
        <w:pStyle w:val="Title"/>
        <w:tabs>
          <w:tab w:val="left" w:pos="1332"/>
        </w:tabs>
        <w:jc w:val="right"/>
        <w:rPr>
          <w:rFonts w:ascii="Arial" w:hAnsi="Arial" w:cs="Arial"/>
          <w:sz w:val="28"/>
          <w:szCs w:val="28"/>
        </w:rPr>
      </w:pPr>
    </w:p>
    <w:p w14:paraId="7EB57639" w14:textId="323C56F7" w:rsidR="00B83EB0" w:rsidRDefault="00B83EB0" w:rsidP="00B83EB0">
      <w:pPr>
        <w:ind w:right="-36"/>
        <w:rPr>
          <w:rFonts w:ascii="Arial" w:hAnsi="Arial" w:cs="Arial"/>
          <w:sz w:val="20"/>
          <w:szCs w:val="20"/>
        </w:rPr>
      </w:pPr>
    </w:p>
    <w:p w14:paraId="4FE10A56" w14:textId="77777777" w:rsidR="003C7E96" w:rsidRPr="0030562D" w:rsidRDefault="003C7E96" w:rsidP="00B83EB0">
      <w:pPr>
        <w:ind w:right="-36"/>
        <w:rPr>
          <w:rFonts w:ascii="Arial" w:hAnsi="Arial" w:cs="Arial"/>
          <w:sz w:val="20"/>
          <w:szCs w:val="20"/>
        </w:rPr>
      </w:pPr>
      <w:bookmarkStart w:id="0" w:name="_GoBack"/>
      <w:bookmarkEnd w:id="0"/>
    </w:p>
    <w:p w14:paraId="12855EA6" w14:textId="1ACD9C83" w:rsidR="00B83EB0" w:rsidRPr="0030562D" w:rsidRDefault="00F32503" w:rsidP="00B83EB0">
      <w:pPr>
        <w:ind w:right="-36"/>
        <w:rPr>
          <w:rFonts w:ascii="Arial" w:hAnsi="Arial" w:cs="Arial"/>
          <w:b/>
        </w:rPr>
      </w:pPr>
      <w:r w:rsidRPr="0030562D">
        <w:rPr>
          <w:rFonts w:ascii="Arial" w:hAnsi="Arial" w:cs="Arial"/>
          <w:b/>
        </w:rPr>
        <w:t>ABSTRA</w:t>
      </w:r>
      <w:r w:rsidR="00942EC6">
        <w:rPr>
          <w:rFonts w:ascii="Arial" w:hAnsi="Arial" w:cs="Arial"/>
          <w:b/>
        </w:rPr>
        <w:t>CT</w:t>
      </w:r>
    </w:p>
    <w:p w14:paraId="218CB630" w14:textId="77777777" w:rsidR="00B83EB0" w:rsidRPr="0030562D" w:rsidRDefault="00B83EB0" w:rsidP="00B83EB0">
      <w:pPr>
        <w:ind w:right="-36"/>
        <w:rPr>
          <w:rFonts w:ascii="Arial" w:hAnsi="Arial" w:cs="Arial"/>
          <w:b/>
        </w:rPr>
      </w:pPr>
    </w:p>
    <w:p w14:paraId="2E36058A" w14:textId="77777777" w:rsidR="00B83EB0" w:rsidRPr="0030562D" w:rsidRDefault="00B83EB0" w:rsidP="00B83EB0">
      <w:pPr>
        <w:ind w:right="-36"/>
        <w:rPr>
          <w:rFonts w:ascii="Arial" w:hAnsi="Arial" w:cs="Arial"/>
          <w:b/>
          <w:sz w:val="20"/>
          <w:szCs w:val="20"/>
        </w:rPr>
      </w:pPr>
      <w:r w:rsidRPr="0030562D">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7E14E5D9">
                <wp:simplePos x="0" y="0"/>
                <wp:positionH relativeFrom="margin">
                  <wp:align>left</wp:align>
                </wp:positionH>
                <wp:positionV relativeFrom="paragraph">
                  <wp:posOffset>51435</wp:posOffset>
                </wp:positionV>
                <wp:extent cx="5223510" cy="1979407"/>
                <wp:effectExtent l="0" t="0" r="8890" b="14605"/>
                <wp:wrapNone/>
                <wp:docPr id="2" name="Text Box 2"/>
                <wp:cNvGraphicFramePr/>
                <a:graphic xmlns:a="http://schemas.openxmlformats.org/drawingml/2006/main">
                  <a:graphicData uri="http://schemas.microsoft.com/office/word/2010/wordprocessingShape">
                    <wps:wsp>
                      <wps:cNvSpPr txBox="1"/>
                      <wps:spPr>
                        <a:xfrm>
                          <a:off x="0" y="0"/>
                          <a:ext cx="5223510" cy="1979407"/>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8C6C3" w14:textId="59266E81" w:rsidR="00B83EB0" w:rsidRPr="00AB58F0" w:rsidRDefault="00AB58F0" w:rsidP="00711A77">
                            <w:pPr>
                              <w:jc w:val="both"/>
                              <w:rPr>
                                <w:rFonts w:ascii="Arial" w:hAnsi="Arial" w:cs="Arial"/>
                                <w:sz w:val="20"/>
                                <w:szCs w:val="20"/>
                              </w:rPr>
                            </w:pPr>
                            <w:r w:rsidRPr="00AB58F0">
                              <w:rPr>
                                <w:rFonts w:ascii="Arial" w:hAnsi="Arial" w:cs="Arial"/>
                                <w:i/>
                                <w:iCs/>
                                <w:sz w:val="20"/>
                                <w:szCs w:val="20"/>
                              </w:rPr>
                              <w:t>This study aims to analyze the influence of E-SERVQUAL dimensions, which include Site Organization, Reliability, Responsiveness, User Friendliness, Personal Need, and Efficiency, on E-Satisfaction, as well as the influence of E-Satisfaction on E-Loyalty among users of Bank Lampung's mobile banking services. This research employs a quantitative approach, with a population consisting of Indonesian citizens who are active users of Bank Lampung's mobile banking. A total sample of 300 respondents was selected based on predefined criteria. Data were collected through a questionnaire and analyzed using SmartPLS software. The results indicate that all dimensions of E-SERVQUAL have a positive and significant effect on E-Satisfaction. Furthermore, E-Satisfaction is proven to have a positive and significant effect on E-Loyalty. These findings suggest that high-quality electronic service directly enhances user satisfaction, which ultimately impacts their loyalty to Bank Lampung’s mobile banking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55.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" fillcolor="#ededed [662]" strokeweight=".5pt">
                <v:textbox>
                  <w:txbxContent>
                    <w:p w14:paraId="50D8C6C3" w14:textId="59266E81" w:rsidR="00B83EB0" w:rsidRPr="00AB58F0" w:rsidRDefault="00AB58F0" w:rsidP="00711A77">
                      <w:pPr>
                        <w:jc w:val="both"/>
                        <w:rPr>
                          <w:rFonts w:ascii="Arial" w:hAnsi="Arial" w:cs="Arial"/>
                          <w:sz w:val="20"/>
                          <w:szCs w:val="20"/>
                        </w:rPr>
                      </w:pPr>
                      <w:r w:rsidRPr="00AB58F0">
                        <w:rPr>
                          <w:rFonts w:ascii="Arial" w:hAnsi="Arial" w:cs="Arial"/>
                          <w:i/>
                          <w:iCs/>
                          <w:sz w:val="20"/>
                          <w:szCs w:val="20"/>
                        </w:rPr>
                        <w:t>This study aims to analyze the influence of E-SERVQUAL dimensions, which include Site Organization, Reliability, Responsiveness, User Friendliness, Personal Need, and Efficiency, on E-Satisfaction, as well as the influence of E-Satisfaction on E-Loyalty among users of Bank Lampung's mobile banking services. This research employs a quantitative approach, with a population consisting of Indonesian citizens who are active users of Bank Lampung's mobile banking. A total sample of 300 respondents was selected based on predefined criteria. Data were collected through a questionnaire and analyzed using SmartPLS software. The results indicate that all dimensions of E-SERVQUAL have a positive and significant effect on E-Satisfaction. Furthermore, E-Satisfaction is proven to have a positive and significant effect on E-Loyalty. These findings suggest that high-quality electronic service directly enhances user satisfaction, which ultimately impacts their loyalty to Bank Lampung’s mobile banking services.</w:t>
                      </w:r>
                    </w:p>
                  </w:txbxContent>
                </v:textbox>
                <w10:wrap anchorx="margin"/>
              </v:shape>
            </w:pict>
          </mc:Fallback>
        </mc:AlternateContent>
      </w:r>
    </w:p>
    <w:p w14:paraId="697F3827" w14:textId="77777777" w:rsidR="00B83EB0" w:rsidRPr="0030562D" w:rsidRDefault="00B83EB0" w:rsidP="00A85835">
      <w:pPr>
        <w:rPr>
          <w:rFonts w:ascii="Arial" w:hAnsi="Arial" w:cs="Arial"/>
          <w:sz w:val="24"/>
          <w:szCs w:val="24"/>
        </w:rPr>
      </w:pPr>
    </w:p>
    <w:p w14:paraId="509A12C6" w14:textId="77777777" w:rsidR="00B83EB0" w:rsidRPr="0030562D" w:rsidRDefault="00B83EB0" w:rsidP="00B83EB0">
      <w:pPr>
        <w:rPr>
          <w:rFonts w:ascii="Arial" w:hAnsi="Arial" w:cs="Arial"/>
          <w:sz w:val="24"/>
          <w:szCs w:val="24"/>
        </w:rPr>
      </w:pPr>
    </w:p>
    <w:p w14:paraId="41CF1144" w14:textId="77777777" w:rsidR="00B83EB0" w:rsidRPr="0030562D" w:rsidRDefault="00B83EB0" w:rsidP="00B83EB0">
      <w:pPr>
        <w:rPr>
          <w:rFonts w:ascii="Arial" w:hAnsi="Arial" w:cs="Arial"/>
          <w:sz w:val="24"/>
          <w:szCs w:val="24"/>
        </w:rPr>
      </w:pPr>
    </w:p>
    <w:p w14:paraId="3FD647A7" w14:textId="77777777" w:rsidR="00B83EB0" w:rsidRPr="0030562D" w:rsidRDefault="00B83EB0" w:rsidP="00B83EB0">
      <w:pPr>
        <w:rPr>
          <w:rFonts w:ascii="Arial" w:hAnsi="Arial" w:cs="Arial"/>
          <w:sz w:val="24"/>
          <w:szCs w:val="24"/>
        </w:rPr>
      </w:pPr>
    </w:p>
    <w:p w14:paraId="1A87A55E" w14:textId="77777777" w:rsidR="00B83EB0" w:rsidRPr="0030562D" w:rsidRDefault="00B83EB0" w:rsidP="00B83EB0">
      <w:pPr>
        <w:rPr>
          <w:rFonts w:ascii="Arial" w:hAnsi="Arial" w:cs="Arial"/>
          <w:sz w:val="24"/>
          <w:szCs w:val="24"/>
        </w:rPr>
      </w:pPr>
    </w:p>
    <w:p w14:paraId="60DFB680" w14:textId="77777777" w:rsidR="00B83EB0" w:rsidRPr="0030562D" w:rsidRDefault="00B83EB0" w:rsidP="00B83EB0">
      <w:pPr>
        <w:rPr>
          <w:rFonts w:ascii="Arial" w:hAnsi="Arial" w:cs="Arial"/>
          <w:sz w:val="24"/>
          <w:szCs w:val="24"/>
        </w:rPr>
      </w:pPr>
    </w:p>
    <w:p w14:paraId="016944EA" w14:textId="77777777" w:rsidR="00B83EB0" w:rsidRPr="0030562D" w:rsidRDefault="00B83EB0" w:rsidP="00B83EB0">
      <w:pPr>
        <w:rPr>
          <w:rFonts w:ascii="Arial" w:hAnsi="Arial" w:cs="Arial"/>
          <w:sz w:val="24"/>
          <w:szCs w:val="24"/>
        </w:rPr>
      </w:pPr>
    </w:p>
    <w:p w14:paraId="3E857483" w14:textId="77777777" w:rsidR="00B83EB0" w:rsidRPr="0030562D" w:rsidRDefault="00B83EB0" w:rsidP="00B83EB0">
      <w:pPr>
        <w:rPr>
          <w:rFonts w:ascii="Arial" w:hAnsi="Arial" w:cs="Arial"/>
          <w:sz w:val="24"/>
          <w:szCs w:val="24"/>
        </w:rPr>
      </w:pPr>
    </w:p>
    <w:p w14:paraId="20D3A594" w14:textId="77777777" w:rsidR="00B83EB0" w:rsidRPr="0030562D" w:rsidRDefault="00B83EB0" w:rsidP="00B83EB0">
      <w:pPr>
        <w:rPr>
          <w:rFonts w:ascii="Arial" w:hAnsi="Arial" w:cs="Arial"/>
          <w:sz w:val="24"/>
          <w:szCs w:val="24"/>
        </w:rPr>
      </w:pPr>
    </w:p>
    <w:p w14:paraId="7283D17D" w14:textId="77777777" w:rsidR="00B83EB0" w:rsidRPr="0030562D" w:rsidRDefault="00B83EB0" w:rsidP="00B83EB0">
      <w:pPr>
        <w:rPr>
          <w:rFonts w:ascii="Arial" w:hAnsi="Arial" w:cs="Arial"/>
          <w:sz w:val="24"/>
          <w:szCs w:val="24"/>
        </w:rPr>
      </w:pPr>
    </w:p>
    <w:p w14:paraId="2A116AE5" w14:textId="77777777" w:rsidR="00AB58F0" w:rsidRPr="0030562D" w:rsidRDefault="00AB58F0" w:rsidP="00B83EB0">
      <w:pPr>
        <w:jc w:val="both"/>
        <w:rPr>
          <w:rFonts w:ascii="Arial" w:hAnsi="Arial" w:cs="Arial"/>
          <w:sz w:val="24"/>
          <w:szCs w:val="24"/>
        </w:rPr>
      </w:pPr>
    </w:p>
    <w:p w14:paraId="0B04CD57" w14:textId="2FAD987F" w:rsidR="00B83EB0" w:rsidRPr="0030562D" w:rsidRDefault="00DD069E" w:rsidP="00B83EB0">
      <w:pPr>
        <w:jc w:val="both"/>
        <w:rPr>
          <w:rFonts w:ascii="Arial" w:hAnsi="Arial" w:cs="Arial"/>
          <w:b/>
          <w:bCs/>
          <w:sz w:val="20"/>
          <w:szCs w:val="20"/>
        </w:rPr>
      </w:pPr>
      <w:r w:rsidRPr="0030562D">
        <w:rPr>
          <w:rFonts w:ascii="Arial" w:hAnsi="Arial" w:cs="Arial"/>
          <w:b/>
          <w:bCs/>
          <w:sz w:val="20"/>
          <w:szCs w:val="20"/>
        </w:rPr>
        <w:t xml:space="preserve">Keywords: </w:t>
      </w:r>
      <w:r w:rsidR="00AB58F0" w:rsidRPr="0030562D">
        <w:rPr>
          <w:rFonts w:ascii="Arial" w:hAnsi="Arial" w:cs="Arial"/>
          <w:b/>
          <w:bCs/>
          <w:sz w:val="20"/>
          <w:szCs w:val="20"/>
        </w:rPr>
        <w:t>Bank Lampung, E-SERVQUAL, E-Satisfaction, E-Loyalty, Mobile Banking</w:t>
      </w:r>
    </w:p>
    <w:p w14:paraId="64F598B4" w14:textId="77777777" w:rsidR="00DD069E" w:rsidRPr="0030562D" w:rsidRDefault="00DD069E" w:rsidP="00B83EB0">
      <w:pPr>
        <w:jc w:val="both"/>
        <w:rPr>
          <w:rFonts w:ascii="Arial" w:hAnsi="Arial" w:cs="Arial"/>
          <w:sz w:val="20"/>
          <w:szCs w:val="20"/>
        </w:rPr>
      </w:pPr>
    </w:p>
    <w:p w14:paraId="743A902C" w14:textId="77777777" w:rsidR="00BC224C" w:rsidRPr="0030562D" w:rsidRDefault="00BC224C" w:rsidP="00B83EB0">
      <w:pPr>
        <w:jc w:val="both"/>
        <w:rPr>
          <w:rFonts w:ascii="Arial" w:hAnsi="Arial" w:cs="Arial"/>
          <w:sz w:val="20"/>
          <w:szCs w:val="20"/>
        </w:rPr>
      </w:pPr>
    </w:p>
    <w:p w14:paraId="5246334F" w14:textId="5129EB84" w:rsidR="00B83EB0" w:rsidRPr="0030562D" w:rsidRDefault="00125E71" w:rsidP="00AB58F0">
      <w:pPr>
        <w:pStyle w:val="ListParagraph"/>
        <w:numPr>
          <w:ilvl w:val="0"/>
          <w:numId w:val="1"/>
        </w:numPr>
        <w:ind w:left="360"/>
        <w:jc w:val="both"/>
        <w:rPr>
          <w:rFonts w:ascii="Arial" w:hAnsi="Arial" w:cs="Arial"/>
          <w:b/>
          <w:sz w:val="20"/>
          <w:szCs w:val="20"/>
        </w:rPr>
      </w:pPr>
      <w:r w:rsidRPr="0030562D">
        <w:rPr>
          <w:rFonts w:ascii="Arial" w:hAnsi="Arial" w:cs="Arial"/>
          <w:b/>
          <w:sz w:val="20"/>
          <w:szCs w:val="20"/>
        </w:rPr>
        <w:t>INTRODUCTION</w:t>
      </w:r>
    </w:p>
    <w:p w14:paraId="56655CCD"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The internet has become an indispensable source of information in modern society and is now a part of everyday life for a large portion of the world’s population. It is also an ideal medium for conducting banking transactions due to its cost-saving potential and its role in improving service delivery to customers, which helps build customer loyalty. In 2024, the number of internet users in Indonesia reached 221.5 million out of a total population of 278.6 million in 2023 (APJII, 2024). The results of the internet penetration survey in Indonesia showed a penetration rate of 79.5%, an increase of 1.4% compared to the previous period. This reflects a consistent upward trend in Indonesia’s internet penetration over the past five years (APJII, 2024). All the information people need can now be accessed quickly and easily via the internet (Al-</w:t>
      </w:r>
      <w:proofErr w:type="spellStart"/>
      <w:r w:rsidRPr="0030562D">
        <w:rPr>
          <w:rFonts w:ascii="Arial" w:hAnsi="Arial" w:cs="Arial"/>
          <w:sz w:val="20"/>
          <w:szCs w:val="20"/>
        </w:rPr>
        <w:t>Khayyal</w:t>
      </w:r>
      <w:proofErr w:type="spellEnd"/>
      <w:r w:rsidRPr="0030562D">
        <w:rPr>
          <w:rFonts w:ascii="Arial" w:hAnsi="Arial" w:cs="Arial"/>
          <w:sz w:val="20"/>
          <w:szCs w:val="20"/>
        </w:rPr>
        <w:t xml:space="preserve"> et al., 2020).</w:t>
      </w:r>
    </w:p>
    <w:p w14:paraId="09A6046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According to APJII data in 2024, the internet penetration rate in provinces across Sumatra shows that Lampung Province has a penetration rate of 77.75%. This is slightly higher than the average for Sumatra Island, which is 77.34%, but still below the national average of 79.5%. The higher the internet penetration in a region, the greater the likelihood that people will adopt digital services, including mobile banking (Susanto et al., 2021).</w:t>
      </w:r>
    </w:p>
    <w:p w14:paraId="4102EA4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People in Lampung can conduct banking transactions such as fund transfers, bill payments, and even investments directly from their mobile devices without needing to visit the bank. Advances in technology, information, and communication have largely eliminated the barriers of time and distance (Asmoro et al., 2020). The demand and expectations of customers for banking services continue to increase, with a desire to access services anytime and anywhere, without the constraints of time or place (Hammoud et al., 2018). Bank Lampung is a regional </w:t>
      </w:r>
      <w:r w:rsidRPr="0030562D">
        <w:rPr>
          <w:rFonts w:ascii="Arial" w:hAnsi="Arial" w:cs="Arial"/>
          <w:sz w:val="20"/>
          <w:szCs w:val="20"/>
        </w:rPr>
        <w:lastRenderedPageBreak/>
        <w:t>development bank operating in Lampung Province and Jakarta. As one of the regional banks, Bank Lampung also offers mobile banking services.</w:t>
      </w:r>
    </w:p>
    <w:p w14:paraId="27E1CAD5"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Electronic service quality refers to the gap between customer expectations regarding service performance and the actual service experienced (</w:t>
      </w:r>
      <w:proofErr w:type="spellStart"/>
      <w:r w:rsidRPr="0030562D">
        <w:rPr>
          <w:rFonts w:ascii="Arial" w:hAnsi="Arial" w:cs="Arial"/>
          <w:sz w:val="20"/>
          <w:szCs w:val="20"/>
        </w:rPr>
        <w:t>Sasono</w:t>
      </w:r>
      <w:proofErr w:type="spellEnd"/>
      <w:r w:rsidRPr="0030562D">
        <w:rPr>
          <w:rFonts w:ascii="Arial" w:hAnsi="Arial" w:cs="Arial"/>
          <w:sz w:val="20"/>
          <w:szCs w:val="20"/>
        </w:rPr>
        <w:t xml:space="preserve"> et al., 2021). Amid increasingly fierce competition among banks, electronic service quality (e-service quality or e-</w:t>
      </w:r>
      <w:proofErr w:type="spellStart"/>
      <w:r w:rsidRPr="0030562D">
        <w:rPr>
          <w:rFonts w:ascii="Arial" w:hAnsi="Arial" w:cs="Arial"/>
          <w:sz w:val="20"/>
          <w:szCs w:val="20"/>
        </w:rPr>
        <w:t>servqual</w:t>
      </w:r>
      <w:proofErr w:type="spellEnd"/>
      <w:r w:rsidRPr="0030562D">
        <w:rPr>
          <w:rFonts w:ascii="Arial" w:hAnsi="Arial" w:cs="Arial"/>
          <w:sz w:val="20"/>
          <w:szCs w:val="20"/>
        </w:rPr>
        <w:t>) has become a key factor in maintaining customer satisfaction and loyalty. Surviving in this competitive industry depends heavily on the quality of service delivered. Higher customer satisfaction leads to increased profitability (</w:t>
      </w:r>
      <w:proofErr w:type="spellStart"/>
      <w:r w:rsidRPr="0030562D">
        <w:rPr>
          <w:rFonts w:ascii="Arial" w:hAnsi="Arial" w:cs="Arial"/>
          <w:sz w:val="20"/>
          <w:szCs w:val="20"/>
        </w:rPr>
        <w:t>Raád</w:t>
      </w:r>
      <w:proofErr w:type="spellEnd"/>
      <w:r w:rsidRPr="0030562D">
        <w:rPr>
          <w:rFonts w:ascii="Arial" w:hAnsi="Arial" w:cs="Arial"/>
          <w:sz w:val="20"/>
          <w:szCs w:val="20"/>
        </w:rPr>
        <w:t xml:space="preserve"> </w:t>
      </w:r>
      <w:proofErr w:type="spellStart"/>
      <w:r w:rsidRPr="0030562D">
        <w:rPr>
          <w:rFonts w:ascii="Arial" w:hAnsi="Arial" w:cs="Arial"/>
          <w:sz w:val="20"/>
          <w:szCs w:val="20"/>
        </w:rPr>
        <w:t>Khashman</w:t>
      </w:r>
      <w:proofErr w:type="spellEnd"/>
      <w:r w:rsidRPr="0030562D">
        <w:rPr>
          <w:rFonts w:ascii="Arial" w:hAnsi="Arial" w:cs="Arial"/>
          <w:sz w:val="20"/>
          <w:szCs w:val="20"/>
        </w:rPr>
        <w:t>, 2023). Satisfied customers are more likely to make repeat purchases and recommend the brand to others, thereby boosting the company’s revenue and growth. In contrast, low levels of customer satisfaction may result in negative reviews, customer loss, and damage to the company’s reputation (Sulaiman et al., 2021).</w:t>
      </w:r>
    </w:p>
    <w:p w14:paraId="1C2F1397"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Banks need loyal customers because such customers are valuable assets. Highly loyal customers contribute to long-term relationships. Therefore, several factors influence e-loyalty, including e-service quality, e-trust, and e-satisfaction. Implementing strong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indicates a trustworthy company, which in turn increases customer comfort and leads to e-satisfaction. Consumers who are satisfied with a product tend to remain loyal to it (Putera et al., 2018). Customer satisfaction results from the customer’s perception of online convenience, business/transaction methods, site design, security, and service (</w:t>
      </w:r>
      <w:proofErr w:type="spellStart"/>
      <w:r w:rsidRPr="0030562D">
        <w:rPr>
          <w:rFonts w:ascii="Arial" w:hAnsi="Arial" w:cs="Arial"/>
          <w:sz w:val="20"/>
          <w:szCs w:val="20"/>
        </w:rPr>
        <w:t>Ranjibarian</w:t>
      </w:r>
      <w:proofErr w:type="spellEnd"/>
      <w:r w:rsidRPr="0030562D">
        <w:rPr>
          <w:rFonts w:ascii="Arial" w:hAnsi="Arial" w:cs="Arial"/>
          <w:sz w:val="20"/>
          <w:szCs w:val="20"/>
        </w:rPr>
        <w:t xml:space="preserve"> et al., 2012).</w:t>
      </w:r>
    </w:p>
    <w:p w14:paraId="550F42E6"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is a method used to measure electronic service quality by comparing customer perceptions and expectations of online services, adapted by Zeithaml, Parasuraman, and Malhotra in 2000. The model emphasizes several key dimensions of electronic service quality. It is an adaptation of the original SERVQUAL model, which was designed to assess traditional face-to-face service interactions between customers and service providers.</w:t>
      </w:r>
    </w:p>
    <w:p w14:paraId="4586507D"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Site Organization, as one of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dimensions, refers to the layout, design, navigation, and information structure of digital platforms such as mobile banking. A previous study by Raza et al. (2020) found that well-organized websites—with structured layouts and intuitive navigation—had a significant positive effect on customer satisfaction in electronic banking services. However, this differs from the findings of Muslim Amin (2016), who found that site organization did not significantly influence e-customer loyalty. Customer loyalty was more strongly influenced by overall satisfaction with the service.</w:t>
      </w:r>
    </w:p>
    <w:p w14:paraId="4CCAAA92"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Reliability is a key dimension in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that significantly influences customer satisfaction. Customers expect error-free mobile banking services, with 24/7 accessibility and secure financial transactions. However, a study by Rahmi et al. (2023) found that reliability in mobile banking services did not have a significant partial effect on customer satisfaction at BCA Bank.</w:t>
      </w:r>
    </w:p>
    <w:p w14:paraId="15FE70BE"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In e-</w:t>
      </w:r>
      <w:proofErr w:type="spellStart"/>
      <w:r w:rsidRPr="0030562D">
        <w:rPr>
          <w:rFonts w:ascii="Arial" w:hAnsi="Arial" w:cs="Arial"/>
          <w:sz w:val="20"/>
          <w:szCs w:val="20"/>
        </w:rPr>
        <w:t>servqual</w:t>
      </w:r>
      <w:proofErr w:type="spellEnd"/>
      <w:r w:rsidRPr="0030562D">
        <w:rPr>
          <w:rFonts w:ascii="Arial" w:hAnsi="Arial" w:cs="Arial"/>
          <w:sz w:val="20"/>
          <w:szCs w:val="20"/>
        </w:rPr>
        <w:t>, responsiveness refers to a service provider’s ability to respond to customer needs quickly, offer necessary assistance, and handle complaints or issues efficiently. A prior study by Raza et al. (2020) found that responsiveness had a significant positive effect on customer satisfaction in internet banking in Pakistan. However, another study by Liem et al. (2020) showed that responsiveness did not significantly affect the satisfaction of mobile banking users at Bank XYZ.</w:t>
      </w:r>
    </w:p>
    <w:p w14:paraId="5D37EA5C"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User Friendliness in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context refers to the ease of use and intuitive design of digital platforms such as mobile banking, requiring minimal effort or technical knowledge from users. A study by Raza et al. (2020) confirmed that user friendliness significantly contributed to user satisfaction in internet banking. However, a study by </w:t>
      </w:r>
      <w:proofErr w:type="spellStart"/>
      <w:r w:rsidRPr="0030562D">
        <w:rPr>
          <w:rFonts w:ascii="Arial" w:hAnsi="Arial" w:cs="Arial"/>
          <w:sz w:val="20"/>
          <w:szCs w:val="20"/>
        </w:rPr>
        <w:t>Veonnita</w:t>
      </w:r>
      <w:proofErr w:type="spellEnd"/>
      <w:r w:rsidRPr="0030562D">
        <w:rPr>
          <w:rFonts w:ascii="Arial" w:hAnsi="Arial" w:cs="Arial"/>
          <w:sz w:val="20"/>
          <w:szCs w:val="20"/>
        </w:rPr>
        <w:t xml:space="preserve"> &amp; </w:t>
      </w:r>
      <w:proofErr w:type="spellStart"/>
      <w:r w:rsidRPr="0030562D">
        <w:rPr>
          <w:rFonts w:ascii="Arial" w:hAnsi="Arial" w:cs="Arial"/>
          <w:sz w:val="20"/>
          <w:szCs w:val="20"/>
        </w:rPr>
        <w:t>Rojuaniah</w:t>
      </w:r>
      <w:proofErr w:type="spellEnd"/>
      <w:r w:rsidRPr="0030562D">
        <w:rPr>
          <w:rFonts w:ascii="Arial" w:hAnsi="Arial" w:cs="Arial"/>
          <w:sz w:val="20"/>
          <w:szCs w:val="20"/>
        </w:rPr>
        <w:t xml:space="preserve"> (2022) </w:t>
      </w:r>
      <w:r w:rsidRPr="0030562D">
        <w:rPr>
          <w:rFonts w:ascii="Arial" w:hAnsi="Arial" w:cs="Arial"/>
          <w:sz w:val="20"/>
          <w:szCs w:val="20"/>
        </w:rPr>
        <w:lastRenderedPageBreak/>
        <w:t>found differing results: perceived ease of use did not significantly affect customer loyalty, indicating that even though the app was easy to use, it did not directly increase customer loyalty.</w:t>
      </w:r>
    </w:p>
    <w:p w14:paraId="4526B43F"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The Personal Need dimension of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model refers to the extent to which mobile banking services meet users’ personal needs and preferences in digital transactions. Raza et al. (2020) found that personal need had a significant positive effect on electronic customer satisfaction in internet banking in Pakistan. However, a study by </w:t>
      </w:r>
      <w:proofErr w:type="spellStart"/>
      <w:r w:rsidRPr="0030562D">
        <w:rPr>
          <w:rFonts w:ascii="Arial" w:hAnsi="Arial" w:cs="Arial"/>
          <w:sz w:val="20"/>
          <w:szCs w:val="20"/>
        </w:rPr>
        <w:t>Trabelsi-Zoghlami</w:t>
      </w:r>
      <w:proofErr w:type="spellEnd"/>
      <w:r w:rsidRPr="0030562D">
        <w:rPr>
          <w:rFonts w:ascii="Arial" w:hAnsi="Arial" w:cs="Arial"/>
          <w:sz w:val="20"/>
          <w:szCs w:val="20"/>
        </w:rPr>
        <w:t xml:space="preserve"> et al. (2018) found that the information provided by the application did not significantly affect user e-trust, and that ease of use was only significant for specific age groups and genders.</w:t>
      </w:r>
    </w:p>
    <w:p w14:paraId="78DDB325"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Efficiency refers to the application’s ability to deliver fast, simple, and time-saving services to users. A study by Raza et al. (2020) emphasized that efficiency significantly influenced customer satisfaction in mobile banking. This finding suggests that the more efficient the service, the higher the customer satisfaction. However, different results were found by </w:t>
      </w:r>
      <w:proofErr w:type="spellStart"/>
      <w:r w:rsidRPr="0030562D">
        <w:rPr>
          <w:rFonts w:ascii="Arial" w:hAnsi="Arial" w:cs="Arial"/>
          <w:sz w:val="20"/>
          <w:szCs w:val="20"/>
        </w:rPr>
        <w:t>Hayani</w:t>
      </w:r>
      <w:proofErr w:type="spellEnd"/>
      <w:r w:rsidRPr="0030562D">
        <w:rPr>
          <w:rFonts w:ascii="Arial" w:hAnsi="Arial" w:cs="Arial"/>
          <w:sz w:val="20"/>
          <w:szCs w:val="20"/>
        </w:rPr>
        <w:t xml:space="preserve"> &amp; </w:t>
      </w:r>
      <w:proofErr w:type="spellStart"/>
      <w:r w:rsidRPr="0030562D">
        <w:rPr>
          <w:rFonts w:ascii="Arial" w:hAnsi="Arial" w:cs="Arial"/>
          <w:sz w:val="20"/>
          <w:szCs w:val="20"/>
        </w:rPr>
        <w:t>Sukri</w:t>
      </w:r>
      <w:proofErr w:type="spellEnd"/>
      <w:r w:rsidRPr="0030562D">
        <w:rPr>
          <w:rFonts w:ascii="Arial" w:hAnsi="Arial" w:cs="Arial"/>
          <w:sz w:val="20"/>
          <w:szCs w:val="20"/>
        </w:rPr>
        <w:t xml:space="preserve"> (2021), whose study showed that efficiency did not significantly affect customer satisfaction. Their findings indicate that even though mobile banking services were efficient, this factor was not the main determinant of customer satisfaction.</w:t>
      </w:r>
    </w:p>
    <w:p w14:paraId="61847AD7" w14:textId="27A1FF4D"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Various negative reviews indicate that Bank Lampung's mobile banking has not yet met user expectations, particularly regarding the app's inefficiency. Complaints such as slow access speeds, unreliable features in emergency situations, and bugs on certain devices reflect technical weaknesses that diminish the user experience. Furthermore, reviews highlighting inconvenient procedures, such as inefficient processes for registering new devices, can foster the perception that the bank is not proactive in addressing customer personalization needs. These reviews also point to a lack of attention to application development and maintenance, which may harm the bank’s professional image in the public eye. If these negative reviews are not followed up with concrete improvements, the bank risks losing customer trust, lowering user retention rates, and facing increased competition from financial institutions offering better digital services. This highlights the urgency to improve the application’s quality and responsiveness to customer complaints.</w:t>
      </w:r>
    </w:p>
    <w:p w14:paraId="32696D03" w14:textId="349FB76D"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 previous study by Khan et al. (2023) investigated the impact of online service quality on customer satisfaction and loyalty in the Pakistani banking sector during the COVID-19 pandemic. Service quality in banking has become a key topic of interest among academics and researchers due to declining customer loyalty and market share across much of the banking industry, largely driven by increased adoption of digital banking services and competition from players such as neobanks (Harris et al., 2023).</w:t>
      </w:r>
    </w:p>
    <w:p w14:paraId="1187DCF1"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A prior study on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by Raza et al. (2020) revealed a positive correlation between customer satisfaction and electronic loyalty with responsiveness, personal need, reliability, user friendliness, site organization, and efficiency. However, differing results were found in a study by Putra et al. (2023), whose adaptation of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to this context showed that customer satisfaction was more influenced by efficiency and ease of navigation than by responsiveness.</w:t>
      </w:r>
    </w:p>
    <w:p w14:paraId="2433BCA7"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t xml:space="preserve">Regarding site organization, a study by </w:t>
      </w:r>
      <w:proofErr w:type="spellStart"/>
      <w:r w:rsidRPr="0030562D">
        <w:rPr>
          <w:rFonts w:ascii="Arial" w:hAnsi="Arial" w:cs="Arial"/>
          <w:sz w:val="20"/>
          <w:szCs w:val="20"/>
        </w:rPr>
        <w:t>Ramadhanti</w:t>
      </w:r>
      <w:proofErr w:type="spellEnd"/>
      <w:r w:rsidRPr="0030562D">
        <w:rPr>
          <w:rFonts w:ascii="Arial" w:hAnsi="Arial" w:cs="Arial"/>
          <w:sz w:val="20"/>
          <w:szCs w:val="20"/>
        </w:rPr>
        <w:t xml:space="preserve"> &amp; </w:t>
      </w:r>
      <w:proofErr w:type="spellStart"/>
      <w:r w:rsidRPr="0030562D">
        <w:rPr>
          <w:rFonts w:ascii="Arial" w:hAnsi="Arial" w:cs="Arial"/>
          <w:sz w:val="20"/>
          <w:szCs w:val="20"/>
        </w:rPr>
        <w:t>Indrawati</w:t>
      </w:r>
      <w:proofErr w:type="spellEnd"/>
      <w:r w:rsidRPr="0030562D">
        <w:rPr>
          <w:rFonts w:ascii="Arial" w:hAnsi="Arial" w:cs="Arial"/>
          <w:sz w:val="20"/>
          <w:szCs w:val="20"/>
        </w:rPr>
        <w:t xml:space="preserve"> (2023) found that a well-organized site has a positive and significant impact on customer satisfaction among BRImo users. According to Inzamam Ul Haq &amp; Tahir Mumtaz Awan (2020), e-satisfaction has a positive and significant influence on e-loyalty in e-banking services. However, contrary findings were reported by </w:t>
      </w:r>
      <w:proofErr w:type="spellStart"/>
      <w:r w:rsidRPr="0030562D">
        <w:rPr>
          <w:rFonts w:ascii="Arial" w:hAnsi="Arial" w:cs="Arial"/>
          <w:sz w:val="20"/>
          <w:szCs w:val="20"/>
        </w:rPr>
        <w:t>Trabelsi-Zoghlami</w:t>
      </w:r>
      <w:proofErr w:type="spellEnd"/>
      <w:r w:rsidRPr="0030562D">
        <w:rPr>
          <w:rFonts w:ascii="Arial" w:hAnsi="Arial" w:cs="Arial"/>
          <w:sz w:val="20"/>
          <w:szCs w:val="20"/>
        </w:rPr>
        <w:t xml:space="preserve"> et al. (2018), who found that the information and design provided by mobile banking apps did not significantly impact user e-satisfaction or e-trust.</w:t>
      </w:r>
    </w:p>
    <w:p w14:paraId="6FD927DC" w14:textId="77777777" w:rsidR="00AB58F0" w:rsidRPr="0030562D" w:rsidRDefault="00AB58F0" w:rsidP="00AB58F0">
      <w:pPr>
        <w:pStyle w:val="NormalWeb"/>
        <w:jc w:val="both"/>
        <w:rPr>
          <w:rFonts w:ascii="Arial" w:hAnsi="Arial" w:cs="Arial"/>
          <w:sz w:val="20"/>
          <w:szCs w:val="20"/>
        </w:rPr>
      </w:pPr>
      <w:r w:rsidRPr="0030562D">
        <w:rPr>
          <w:rFonts w:ascii="Arial" w:hAnsi="Arial" w:cs="Arial"/>
          <w:sz w:val="20"/>
          <w:szCs w:val="20"/>
        </w:rPr>
        <w:lastRenderedPageBreak/>
        <w:t>Based on these phenomena, this study aims to examine the influence of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and e-satisfaction on e-loyalty among mobile banking users. This research replicates the previous study conducted by Raza et al. (2020), but with several differences. The earlier study focused on internet banking service quality rather than mobile banking specifically and used a sample of bank customers in Pakistan. In contrast, the present study applies to Bank Lampung’s mobile banking application and is conducted in Indonesia.</w:t>
      </w:r>
    </w:p>
    <w:p w14:paraId="60E63F2B" w14:textId="6E4CA005" w:rsidR="00BE63B5" w:rsidRPr="0030562D" w:rsidRDefault="00AB58F0" w:rsidP="00AB58F0">
      <w:pPr>
        <w:pStyle w:val="NormalWeb"/>
        <w:jc w:val="both"/>
        <w:rPr>
          <w:rStyle w:val="markedcontent"/>
          <w:rFonts w:ascii="Arial" w:hAnsi="Arial" w:cs="Arial"/>
          <w:sz w:val="20"/>
          <w:szCs w:val="20"/>
        </w:rPr>
      </w:pPr>
      <w:r w:rsidRPr="0030562D">
        <w:rPr>
          <w:rFonts w:ascii="Arial" w:hAnsi="Arial" w:cs="Arial"/>
          <w:sz w:val="20"/>
          <w:szCs w:val="20"/>
        </w:rPr>
        <w:t>This study adopts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method, which assesses consumer perceptions of the quality of electronic services (Zeithaml et al., 2018). The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dimensions used in this research refer to the six dimensions developed by Raza et al. (2020), namely: Site Organization, Reliability, Responsiveness, User Friendliness, Personal Need, and Efficiency.</w:t>
      </w:r>
    </w:p>
    <w:p w14:paraId="218CAF64" w14:textId="0CF7C857" w:rsidR="00C312DA" w:rsidRPr="0030562D" w:rsidRDefault="008C37E2" w:rsidP="00132F92">
      <w:pPr>
        <w:pStyle w:val="ListParagraph"/>
        <w:numPr>
          <w:ilvl w:val="0"/>
          <w:numId w:val="1"/>
        </w:numPr>
        <w:ind w:left="360"/>
        <w:rPr>
          <w:rFonts w:ascii="Arial" w:hAnsi="Arial" w:cs="Arial"/>
          <w:b/>
          <w:sz w:val="20"/>
          <w:szCs w:val="20"/>
        </w:rPr>
      </w:pPr>
      <w:r w:rsidRPr="0030562D">
        <w:rPr>
          <w:rFonts w:ascii="Arial" w:hAnsi="Arial" w:cs="Arial"/>
          <w:b/>
        </w:rPr>
        <w:t>LITERATURE REVIEW, HYPOTHESIS DEVELOPMENT, AND RESEARCH METHODS</w:t>
      </w:r>
    </w:p>
    <w:p w14:paraId="2D315563" w14:textId="77777777" w:rsidR="00C312DA" w:rsidRPr="0030562D" w:rsidRDefault="00C312DA" w:rsidP="00C312DA">
      <w:pPr>
        <w:jc w:val="both"/>
        <w:rPr>
          <w:rFonts w:ascii="Arial" w:hAnsi="Arial" w:cs="Arial"/>
          <w:b/>
          <w:sz w:val="20"/>
          <w:szCs w:val="20"/>
        </w:rPr>
      </w:pPr>
    </w:p>
    <w:p w14:paraId="55FE01D1"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 xml:space="preserve">Consumer </w:t>
      </w:r>
      <w:proofErr w:type="spellStart"/>
      <w:r w:rsidRPr="0030562D">
        <w:rPr>
          <w:rFonts w:ascii="Arial" w:hAnsi="Arial" w:cs="Arial"/>
          <w:b/>
          <w:bCs/>
          <w:sz w:val="20"/>
          <w:szCs w:val="20"/>
          <w:lang w:val="en-ID"/>
        </w:rPr>
        <w:t>Behavior</w:t>
      </w:r>
      <w:proofErr w:type="spellEnd"/>
      <w:r w:rsidRPr="0030562D">
        <w:rPr>
          <w:rFonts w:ascii="Arial" w:hAnsi="Arial" w:cs="Arial"/>
          <w:b/>
          <w:bCs/>
          <w:sz w:val="20"/>
          <w:szCs w:val="20"/>
          <w:lang w:val="en-ID"/>
        </w:rPr>
        <w:t xml:space="preserve"> in e-Banking</w:t>
      </w:r>
    </w:p>
    <w:p w14:paraId="0C988459"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 xml:space="preserve">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is one of the aspects influenced by internet advancements (Gotama et al., 2019). It refers to the patterns of decision-making, preferences, and responses of users toward products or services, including digital banking services such as mobile banking. In the context of e-banking, 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is influenced by technological, social, economic, and psychological factors, including trust, ease of use, and perceived benefits of digital banking channels (Matlala, N.P., 2024). Consumer </w:t>
      </w:r>
      <w:proofErr w:type="spellStart"/>
      <w:r w:rsidRPr="0030562D">
        <w:rPr>
          <w:rFonts w:ascii="Arial" w:hAnsi="Arial" w:cs="Arial"/>
          <w:sz w:val="20"/>
          <w:szCs w:val="20"/>
          <w:lang w:val="en-ID"/>
        </w:rPr>
        <w:t>behavior</w:t>
      </w:r>
      <w:proofErr w:type="spellEnd"/>
      <w:r w:rsidRPr="0030562D">
        <w:rPr>
          <w:rFonts w:ascii="Arial" w:hAnsi="Arial" w:cs="Arial"/>
          <w:sz w:val="20"/>
          <w:szCs w:val="20"/>
          <w:lang w:val="en-ID"/>
        </w:rPr>
        <w:t xml:space="preserve"> in mobile banking services reflects a complex interaction between technology, individual preferences, and external factors, encompassing several key dimensions.</w:t>
      </w:r>
    </w:p>
    <w:p w14:paraId="521A0081"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Trust and perceived risk are major factors—data security, financial risks, and the credibility and reliability of the bank heavily affect service adoption (Mohapatra et al., 2023). In addition, ease of use is crucial, as consumers prefer simple and responsive interfaces, while complex applications often become a barrier for new users (Haider et al., 2024). Customer satisfaction with e-banking services, such as transaction speed and reliability, plays a key mediating role in building customer loyalty (Al-</w:t>
      </w:r>
      <w:proofErr w:type="spellStart"/>
      <w:r w:rsidRPr="0030562D">
        <w:rPr>
          <w:rFonts w:ascii="Arial" w:hAnsi="Arial" w:cs="Arial"/>
          <w:sz w:val="20"/>
          <w:szCs w:val="20"/>
          <w:lang w:val="en-ID"/>
        </w:rPr>
        <w:t>Dmour</w:t>
      </w:r>
      <w:proofErr w:type="spellEnd"/>
      <w:r w:rsidRPr="0030562D">
        <w:rPr>
          <w:rFonts w:ascii="Arial" w:hAnsi="Arial" w:cs="Arial"/>
          <w:sz w:val="20"/>
          <w:szCs w:val="20"/>
          <w:lang w:val="en-ID"/>
        </w:rPr>
        <w:t xml:space="preserve"> et al., 2019).</w:t>
      </w:r>
    </w:p>
    <w:p w14:paraId="66F68B77" w14:textId="474CC166"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Social influence is also significant—user reviews, peer recommendations, and bank presence on social media affect customer decision-making (</w:t>
      </w:r>
      <w:proofErr w:type="spellStart"/>
      <w:r w:rsidRPr="0030562D">
        <w:rPr>
          <w:rFonts w:ascii="Arial" w:hAnsi="Arial" w:cs="Arial"/>
          <w:sz w:val="20"/>
          <w:szCs w:val="20"/>
          <w:lang w:val="en-ID"/>
        </w:rPr>
        <w:t>Awajneh</w:t>
      </w:r>
      <w:proofErr w:type="spellEnd"/>
      <w:r w:rsidRPr="0030562D">
        <w:rPr>
          <w:rFonts w:ascii="Arial" w:hAnsi="Arial" w:cs="Arial"/>
          <w:sz w:val="20"/>
          <w:szCs w:val="20"/>
          <w:lang w:val="en-ID"/>
        </w:rPr>
        <w:t xml:space="preserve"> &amp; </w:t>
      </w:r>
      <w:proofErr w:type="spellStart"/>
      <w:r w:rsidRPr="0030562D">
        <w:rPr>
          <w:rFonts w:ascii="Arial" w:hAnsi="Arial" w:cs="Arial"/>
          <w:sz w:val="20"/>
          <w:szCs w:val="20"/>
          <w:lang w:val="en-ID"/>
        </w:rPr>
        <w:t>Abdalrahman</w:t>
      </w:r>
      <w:proofErr w:type="spellEnd"/>
      <w:r w:rsidRPr="0030562D">
        <w:rPr>
          <w:rFonts w:ascii="Arial" w:hAnsi="Arial" w:cs="Arial"/>
          <w:sz w:val="20"/>
          <w:szCs w:val="20"/>
          <w:lang w:val="en-ID"/>
        </w:rPr>
        <w:t>, 2024). Based on the Technology Acceptance Model (TAM), consumer motivation toward e-banking is influenced by perceived usefulness and ease of use (Abdelrahman et al., 2024). Furthermore, customer loyalty toward these services depends not only on satisfaction but also on repeated positive experiences, personalized services, and transaction convenience (Sarwar &amp; Naeem, 2024).</w:t>
      </w:r>
    </w:p>
    <w:p w14:paraId="1B512FF2"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Service Quality (E-</w:t>
      </w:r>
      <w:proofErr w:type="spellStart"/>
      <w:r w:rsidRPr="0030562D">
        <w:rPr>
          <w:rFonts w:ascii="Arial" w:hAnsi="Arial" w:cs="Arial"/>
          <w:b/>
          <w:bCs/>
          <w:sz w:val="20"/>
          <w:szCs w:val="20"/>
          <w:lang w:val="en-ID"/>
        </w:rPr>
        <w:t>Servqual</w:t>
      </w:r>
      <w:proofErr w:type="spellEnd"/>
      <w:r w:rsidRPr="0030562D">
        <w:rPr>
          <w:rFonts w:ascii="Arial" w:hAnsi="Arial" w:cs="Arial"/>
          <w:b/>
          <w:bCs/>
          <w:sz w:val="20"/>
          <w:szCs w:val="20"/>
          <w:lang w:val="en-ID"/>
        </w:rPr>
        <w:t>)</w:t>
      </w:r>
    </w:p>
    <w:p w14:paraId="14A916FB"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E-</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method is a model used to measure electronic service quality (e-service) on digital platforms such as apps and websites. It is an adaptation of the original </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model developed for evaluating service quality in physical environments. E-</w:t>
      </w:r>
      <w:proofErr w:type="spellStart"/>
      <w:r w:rsidRPr="0030562D">
        <w:rPr>
          <w:rFonts w:ascii="Arial" w:hAnsi="Arial" w:cs="Arial"/>
          <w:sz w:val="20"/>
          <w:szCs w:val="20"/>
          <w:lang w:val="en-ID"/>
        </w:rPr>
        <w:t>Servqual</w:t>
      </w:r>
      <w:proofErr w:type="spellEnd"/>
      <w:r w:rsidRPr="0030562D">
        <w:rPr>
          <w:rFonts w:ascii="Arial" w:hAnsi="Arial" w:cs="Arial"/>
          <w:sz w:val="20"/>
          <w:szCs w:val="20"/>
          <w:lang w:val="en-ID"/>
        </w:rPr>
        <w:t xml:space="preserve"> helps to understand how customers’ perceptions and expectations of online services influence their satisfaction. The method, adapted by Parasuraman et al. (2005), is widely recognized as an evaluative tool to assess customer expectations and perceptions in electronic services. The relevant dimensions used to evaluate e-service quality comprehensively include Site Organization, Reliability, Responsiveness, User Friendliness, Personal Need, and Efficiency (Raza et al., 2020).</w:t>
      </w:r>
    </w:p>
    <w:p w14:paraId="1B49BA92"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lastRenderedPageBreak/>
        <w:t>Site Organization</w:t>
      </w:r>
    </w:p>
    <w:p w14:paraId="76874322"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According to Gera (2011), site organization in cyber banking refers to the visual and functional management of websites accessed by web-based users. It is a crucial dimension in assessing electronic service quality, including in electronic banking services. This includes layout, design, and website structure intended to optimize user experience. Aesthetic elements such as attractive color combinations, relevant images, and well-structured interfaces play a key role in capturing user attention and conveying professionalism. Al-Hawari &amp; Ward (2006) emphasized that site organization should be considered a significant factor in enhancing computerized banking in Australia and attracting new customers. A well-organized site makes it easier for users to find information efficiently, enhancing usability. Elements such as visual aesthetics, intuitive navigation, and logical information structure not only elevate perceived service quality but also positively impact overall user experience and satisfaction (Yang et al., 2004).</w:t>
      </w:r>
    </w:p>
    <w:p w14:paraId="3E277639" w14:textId="70169951" w:rsidR="00E35E7B" w:rsidRPr="0030562D" w:rsidRDefault="00E35E7B" w:rsidP="00E35E7B">
      <w:pPr>
        <w:spacing w:after="120"/>
        <w:jc w:val="both"/>
        <w:rPr>
          <w:rFonts w:ascii="Arial" w:hAnsi="Arial" w:cs="Arial"/>
          <w:sz w:val="20"/>
          <w:szCs w:val="20"/>
        </w:rPr>
      </w:pPr>
    </w:p>
    <w:p w14:paraId="0AEF40C0"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Reliability</w:t>
      </w:r>
    </w:p>
    <w:p w14:paraId="1793C9A3"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Reliability is the ability to consistently fulfill promised services and is a core dimension in evaluating electronic service quality, particularly related to user trust in the system. According to Singh &amp; Kaur (2013), although banks are known for their reliability in traditional services, it's essential to demonstrate the same reliability in web-based services. This dimension involves the system's capacity to provide consistent, accurate, and dependable services in line with customer expectations. In electronic banking, reliability includes the platform's uptime, accuracy of information provided, and swift transaction processing. A reliable electronic system significantly shapes users’ perceptions of service quality (Singh &amp; Kaur, 2019).</w:t>
      </w:r>
    </w:p>
    <w:p w14:paraId="1BAB3B6C" w14:textId="2E6EEA13" w:rsidR="00E35E7B" w:rsidRPr="0030562D" w:rsidRDefault="00E35E7B" w:rsidP="00E35E7B">
      <w:pPr>
        <w:spacing w:after="120"/>
        <w:jc w:val="both"/>
        <w:rPr>
          <w:rFonts w:ascii="Arial" w:hAnsi="Arial" w:cs="Arial"/>
          <w:sz w:val="20"/>
          <w:szCs w:val="20"/>
        </w:rPr>
      </w:pPr>
    </w:p>
    <w:p w14:paraId="13136379"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Responsiveness</w:t>
      </w:r>
    </w:p>
    <w:p w14:paraId="69DBC623"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Responsiveness refers to the timeliness and effectiveness of the system’s responses to user queries or issues. Sheng &amp; Liu (2010) define it as the promptness of cyber banking operators in responding to users. </w:t>
      </w:r>
      <w:proofErr w:type="spellStart"/>
      <w:r w:rsidRPr="0030562D">
        <w:rPr>
          <w:rFonts w:ascii="Arial" w:hAnsi="Arial" w:cs="Arial"/>
          <w:sz w:val="20"/>
          <w:szCs w:val="20"/>
        </w:rPr>
        <w:t>McNesh</w:t>
      </w:r>
      <w:proofErr w:type="spellEnd"/>
      <w:r w:rsidRPr="0030562D">
        <w:rPr>
          <w:rFonts w:ascii="Arial" w:hAnsi="Arial" w:cs="Arial"/>
          <w:sz w:val="20"/>
          <w:szCs w:val="20"/>
        </w:rPr>
        <w:t xml:space="preserve"> (2015) and Ali &amp; Raza (2017) suggest that quick responses help maintain user interest and enhance satisfaction and loyalty. This dimension involves the platform’s ability to offer assistance, handle complaints, and answer inquiries swiftly. Responsiveness reflects both the speed and quality of solutions provided to users. Good responsiveness in e-banking significantly enhances user experience by making them feel supported when encountering problems. Features such as accessible customer service, real-time notifications, and responsive help centers are crucial in boosting perceptions of service quality.</w:t>
      </w:r>
    </w:p>
    <w:p w14:paraId="2F4D1ADC" w14:textId="7D548493" w:rsidR="00E35E7B" w:rsidRPr="0030562D" w:rsidRDefault="00E35E7B" w:rsidP="00E35E7B">
      <w:pPr>
        <w:spacing w:after="120"/>
        <w:jc w:val="both"/>
        <w:rPr>
          <w:rFonts w:ascii="Arial" w:hAnsi="Arial" w:cs="Arial"/>
          <w:sz w:val="20"/>
          <w:szCs w:val="20"/>
        </w:rPr>
      </w:pPr>
    </w:p>
    <w:p w14:paraId="3C0C4436"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User Friendliness</w:t>
      </w:r>
    </w:p>
    <w:p w14:paraId="3DA1A0BC"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User friendliness is a vital dimension in evaluating e-banking service quality, particularly due to the diverse demographics of users, including the elderly. Wu &amp; Cheng (2013) noted its importance, as many users may not be tech-savvy. This dimension includes intuitive interface design, simple navigation, and high accessibility—allowing users of various technological proficiency levels to quickly understand and use the service. It is essential to ensure usability for elderly users who may face challenges with complex digital interfaces (Wu &amp; Chang, 2008).</w:t>
      </w:r>
    </w:p>
    <w:p w14:paraId="7CA03352" w14:textId="7573FA41" w:rsidR="00E35E7B" w:rsidRPr="0030562D" w:rsidRDefault="00E35E7B" w:rsidP="00E35E7B">
      <w:pPr>
        <w:spacing w:after="120"/>
        <w:jc w:val="both"/>
        <w:rPr>
          <w:rFonts w:ascii="Arial" w:hAnsi="Arial" w:cs="Arial"/>
          <w:sz w:val="20"/>
          <w:szCs w:val="20"/>
        </w:rPr>
      </w:pPr>
    </w:p>
    <w:p w14:paraId="28DDC7A1"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Personal Need</w:t>
      </w:r>
    </w:p>
    <w:p w14:paraId="5F402242"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According to Gronroos (2007), banks must consider users’ personal needs. With adequate data about user preferences, cyber banks can develop features to improve satisfaction and </w:t>
      </w:r>
      <w:r w:rsidRPr="0030562D">
        <w:rPr>
          <w:rFonts w:ascii="Arial" w:hAnsi="Arial" w:cs="Arial"/>
          <w:sz w:val="20"/>
          <w:szCs w:val="20"/>
        </w:rPr>
        <w:lastRenderedPageBreak/>
        <w:t xml:space="preserve">loyalty. Understanding individual customer needs allows banks to tailor services to meet expectations. In e-banking, such data can be transformed into innovative features that add value. </w:t>
      </w:r>
      <w:proofErr w:type="spellStart"/>
      <w:r w:rsidRPr="0030562D">
        <w:rPr>
          <w:rFonts w:ascii="Arial" w:hAnsi="Arial" w:cs="Arial"/>
          <w:sz w:val="20"/>
          <w:szCs w:val="20"/>
        </w:rPr>
        <w:t>Febriandika</w:t>
      </w:r>
      <w:proofErr w:type="spellEnd"/>
      <w:r w:rsidRPr="0030562D">
        <w:rPr>
          <w:rFonts w:ascii="Arial" w:hAnsi="Arial" w:cs="Arial"/>
          <w:sz w:val="20"/>
          <w:szCs w:val="20"/>
        </w:rPr>
        <w:t xml:space="preserve"> &amp; Harun (2023) emphasized the importance of understanding user needs in the development of Islamic mobile banking services in Indonesia.</w:t>
      </w:r>
    </w:p>
    <w:p w14:paraId="3A6F35B6" w14:textId="75D7DE31" w:rsidR="00E35E7B" w:rsidRPr="0030562D" w:rsidRDefault="00E35E7B" w:rsidP="00E35E7B">
      <w:pPr>
        <w:spacing w:after="120"/>
        <w:jc w:val="both"/>
        <w:rPr>
          <w:rFonts w:ascii="Arial" w:hAnsi="Arial" w:cs="Arial"/>
          <w:sz w:val="20"/>
          <w:szCs w:val="20"/>
        </w:rPr>
      </w:pPr>
    </w:p>
    <w:p w14:paraId="576C6AFF" w14:textId="77777777" w:rsidR="00E35E7B" w:rsidRPr="0030562D" w:rsidRDefault="00E35E7B" w:rsidP="00E35E7B">
      <w:pPr>
        <w:pStyle w:val="Heading4"/>
        <w:spacing w:before="0" w:after="120"/>
        <w:jc w:val="both"/>
        <w:rPr>
          <w:rFonts w:ascii="Arial" w:hAnsi="Arial" w:cs="Arial"/>
          <w:b/>
          <w:bCs/>
          <w:i w:val="0"/>
          <w:iCs w:val="0"/>
          <w:color w:val="auto"/>
          <w:sz w:val="20"/>
          <w:szCs w:val="20"/>
        </w:rPr>
      </w:pPr>
      <w:r w:rsidRPr="0030562D">
        <w:rPr>
          <w:rFonts w:ascii="Arial" w:hAnsi="Arial" w:cs="Arial"/>
          <w:b/>
          <w:bCs/>
          <w:i w:val="0"/>
          <w:iCs w:val="0"/>
          <w:color w:val="auto"/>
          <w:sz w:val="20"/>
          <w:szCs w:val="20"/>
        </w:rPr>
        <w:t>Efficiency</w:t>
      </w:r>
    </w:p>
    <w:p w14:paraId="75519758" w14:textId="77777777" w:rsidR="00E35E7B" w:rsidRPr="0030562D" w:rsidRDefault="00E35E7B" w:rsidP="00E35E7B">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Efficiency is critical in ensuring user satisfaction and loyalty. It relates to ease and speed in using electronic systems, helping users fulfill needs effectively (Kheng et al., 2010). A system that provides fast, barrier-free services is essential for creating a positive user experience. Digital banking users expect simplicity from login to transaction completion, minimizing the time spent on tasks. Efficiency is a key e-</w:t>
      </w:r>
      <w:proofErr w:type="spellStart"/>
      <w:r w:rsidRPr="0030562D">
        <w:rPr>
          <w:rFonts w:ascii="Arial" w:hAnsi="Arial" w:cs="Arial"/>
          <w:sz w:val="20"/>
          <w:szCs w:val="20"/>
        </w:rPr>
        <w:t>servqual</w:t>
      </w:r>
      <w:proofErr w:type="spellEnd"/>
      <w:r w:rsidRPr="0030562D">
        <w:rPr>
          <w:rFonts w:ascii="Arial" w:hAnsi="Arial" w:cs="Arial"/>
          <w:sz w:val="20"/>
          <w:szCs w:val="20"/>
        </w:rPr>
        <w:t xml:space="preserve"> dimension that significantly influences customer satisfaction (Kheng et al., 2010).</w:t>
      </w:r>
    </w:p>
    <w:p w14:paraId="480C3D39" w14:textId="77777777" w:rsidR="00E35E7B" w:rsidRPr="0030562D" w:rsidRDefault="00E35E7B" w:rsidP="00E35E7B">
      <w:pPr>
        <w:pStyle w:val="NormalWeb"/>
        <w:spacing w:before="0" w:beforeAutospacing="0" w:after="120" w:afterAutospacing="0"/>
        <w:jc w:val="both"/>
        <w:rPr>
          <w:rFonts w:ascii="Arial" w:hAnsi="Arial" w:cs="Arial"/>
          <w:sz w:val="20"/>
          <w:szCs w:val="20"/>
        </w:rPr>
      </w:pPr>
    </w:p>
    <w:p w14:paraId="088F8715"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Satisfaction (E-Satisfaction)</w:t>
      </w:r>
    </w:p>
    <w:p w14:paraId="34F413FF" w14:textId="67B46F42"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Electronic satisfaction (e-satisfaction) refers to the level of satisfaction experienced by consumers toward services delivered digitally, such as mobile banking services. In the context of electronic banking, e-satisfaction is a crucial factor as it directly influences customer loyalty and the continued adoption of technology. E-satisfaction is defined as the consumer’s subjective evaluation of their experience with electronic services, including service quality, ease of use, security, and transaction speed. It plays a key role in the success of digital services. Important dimensions of e-satisfaction include reliability—referring to the consistency in delivering promised services, speed of response to user needs, a simple and user-friendly interface, and security—particularly in safeguarding users’ personal and financial data (Shehu &amp; Wahab, 2024).</w:t>
      </w:r>
    </w:p>
    <w:p w14:paraId="3EB70AC3" w14:textId="77777777" w:rsidR="00E35E7B" w:rsidRPr="0030562D" w:rsidRDefault="00E35E7B" w:rsidP="00E35E7B">
      <w:pPr>
        <w:widowControl/>
        <w:autoSpaceDE/>
        <w:autoSpaceDN/>
        <w:spacing w:after="120"/>
        <w:jc w:val="both"/>
        <w:rPr>
          <w:rFonts w:ascii="Arial" w:hAnsi="Arial" w:cs="Arial"/>
          <w:sz w:val="20"/>
          <w:szCs w:val="20"/>
          <w:lang w:val="en-ID"/>
        </w:rPr>
      </w:pPr>
    </w:p>
    <w:p w14:paraId="12AFE426" w14:textId="77777777" w:rsidR="00E35E7B" w:rsidRPr="0030562D" w:rsidRDefault="00E35E7B" w:rsidP="00E35E7B">
      <w:pPr>
        <w:widowControl/>
        <w:autoSpaceDE/>
        <w:autoSpaceDN/>
        <w:spacing w:after="120"/>
        <w:jc w:val="both"/>
        <w:outlineLvl w:val="2"/>
        <w:rPr>
          <w:rFonts w:ascii="Arial" w:hAnsi="Arial" w:cs="Arial"/>
          <w:b/>
          <w:bCs/>
          <w:sz w:val="20"/>
          <w:szCs w:val="20"/>
          <w:lang w:val="en-ID"/>
        </w:rPr>
      </w:pPr>
      <w:r w:rsidRPr="0030562D">
        <w:rPr>
          <w:rFonts w:ascii="Arial" w:hAnsi="Arial" w:cs="Arial"/>
          <w:b/>
          <w:bCs/>
          <w:sz w:val="20"/>
          <w:szCs w:val="20"/>
          <w:lang w:val="en-ID"/>
        </w:rPr>
        <w:t>Electronic Loyalty (E-Loyalty)</w:t>
      </w:r>
    </w:p>
    <w:p w14:paraId="00D0365D" w14:textId="77777777" w:rsidR="00E35E7B" w:rsidRPr="0030562D" w:rsidRDefault="00E35E7B" w:rsidP="00E35E7B">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E-loyalty refers to customer loyalty toward digital products or services offered by a company. In the context of electronic banking, e-loyalty reflects the extent to which users of services such as mobile banking remain committed to the service they use, despite the availability of alternative options in the market. E-loyalty is defined as a consumer's commitment to continue using a specific electronic service, based on their positive experiences, trust, and satisfaction with the service. This form of loyalty involves not only repeated usage but also willingness to recommend the service to others (Gyebi et al., 2024).</w:t>
      </w:r>
    </w:p>
    <w:p w14:paraId="3E62D532" w14:textId="77777777" w:rsidR="007D271D" w:rsidRPr="0030562D" w:rsidRDefault="007D271D" w:rsidP="007D271D">
      <w:pPr>
        <w:pStyle w:val="Head2"/>
        <w:rPr>
          <w:rFonts w:ascii="Arial" w:hAnsi="Arial" w:cs="Arial"/>
          <w:b/>
        </w:rPr>
      </w:pPr>
    </w:p>
    <w:p w14:paraId="17FF404C" w14:textId="07DA316E" w:rsidR="00182F27" w:rsidRPr="0030562D" w:rsidRDefault="00182F27" w:rsidP="0096736C">
      <w:pPr>
        <w:pStyle w:val="Head1"/>
        <w:rPr>
          <w:lang w:val="en-GB"/>
        </w:rPr>
      </w:pPr>
      <w:r w:rsidRPr="0030562D">
        <w:rPr>
          <w:lang w:val="en-GB"/>
        </w:rPr>
        <w:t xml:space="preserve">Research </w:t>
      </w:r>
      <w:r w:rsidR="007D271D" w:rsidRPr="0030562D">
        <w:rPr>
          <w:lang w:val="en-GB"/>
        </w:rPr>
        <w:t>M</w:t>
      </w:r>
      <w:r w:rsidRPr="0030562D">
        <w:rPr>
          <w:lang w:val="en-GB"/>
        </w:rPr>
        <w:t>ethods</w:t>
      </w:r>
    </w:p>
    <w:p w14:paraId="2FAB940A" w14:textId="77777777" w:rsidR="00A80AA3" w:rsidRPr="0030562D" w:rsidRDefault="00A80AA3" w:rsidP="00A80AA3">
      <w:pPr>
        <w:pStyle w:val="NormalWeb"/>
        <w:jc w:val="both"/>
        <w:rPr>
          <w:rFonts w:ascii="Arial" w:hAnsi="Arial" w:cs="Arial"/>
          <w:sz w:val="20"/>
          <w:szCs w:val="20"/>
        </w:rPr>
      </w:pPr>
      <w:r w:rsidRPr="0030562D">
        <w:rPr>
          <w:rFonts w:ascii="Arial" w:hAnsi="Arial" w:cs="Arial"/>
          <w:sz w:val="20"/>
          <w:szCs w:val="20"/>
        </w:rPr>
        <w:t>This study adopts a quantitative research design. Quantitative research is defined as research that measures data and applies various forms of statistical analysis, aiming to generalize the results from a sample to the target population (Malhotra, 2020). The population of this study consists of Indonesian citizens who are customers using the mobile banking services of Bank Lampung.</w:t>
      </w:r>
    </w:p>
    <w:p w14:paraId="645B1B86" w14:textId="77777777" w:rsidR="00A80AA3" w:rsidRPr="0030562D" w:rsidRDefault="00A80AA3" w:rsidP="00A80AA3">
      <w:pPr>
        <w:pStyle w:val="NormalWeb"/>
        <w:jc w:val="both"/>
        <w:rPr>
          <w:rFonts w:ascii="Arial" w:hAnsi="Arial" w:cs="Arial"/>
          <w:sz w:val="20"/>
          <w:szCs w:val="20"/>
        </w:rPr>
      </w:pPr>
      <w:r w:rsidRPr="0030562D">
        <w:rPr>
          <w:rFonts w:ascii="Arial" w:hAnsi="Arial" w:cs="Arial"/>
          <w:sz w:val="20"/>
          <w:szCs w:val="20"/>
        </w:rPr>
        <w:t xml:space="preserve">According to Hair Jr. et al. (2019), sample size affects the statistical power by reducing sampling error. A larger sample size can minimize the adverse effects of distributional non-normality. Malhotra (2020) further states that if the analysis involves multivariate techniques, a larger sample size is required. Multivariate analysis is a technique used for complex research. Structural Equation Modeling (SEM) is one such multivariate statistical analysis method. Malhotra (2020) recommends that for complex SEM analyses, a sample size of 300 </w:t>
      </w:r>
      <w:r w:rsidRPr="0030562D">
        <w:rPr>
          <w:rFonts w:ascii="Arial" w:hAnsi="Arial" w:cs="Arial"/>
          <w:sz w:val="20"/>
          <w:szCs w:val="20"/>
        </w:rPr>
        <w:lastRenderedPageBreak/>
        <w:t>or more is advisable. Based on this recommendation, this study employs a maximum sample of 300 respondents, selected according to predetermined criteria.</w:t>
      </w:r>
    </w:p>
    <w:p w14:paraId="46363A7B" w14:textId="1DEA06EB" w:rsidR="00173C29" w:rsidRPr="0030562D" w:rsidRDefault="00A80AA3" w:rsidP="002C082E">
      <w:pPr>
        <w:pStyle w:val="NormalWeb"/>
        <w:jc w:val="both"/>
        <w:rPr>
          <w:rFonts w:ascii="Arial" w:hAnsi="Arial" w:cs="Arial"/>
          <w:sz w:val="20"/>
          <w:szCs w:val="20"/>
        </w:rPr>
      </w:pPr>
      <w:r w:rsidRPr="0030562D">
        <w:rPr>
          <w:rFonts w:ascii="Arial" w:hAnsi="Arial" w:cs="Arial"/>
          <w:sz w:val="20"/>
          <w:szCs w:val="20"/>
        </w:rPr>
        <w:t>The data analysis method used in this study is Partial Least Squares</w:t>
      </w:r>
      <w:r w:rsidR="002C082E" w:rsidRPr="0030562D">
        <w:rPr>
          <w:rFonts w:ascii="Arial" w:hAnsi="Arial" w:cs="Arial"/>
          <w:sz w:val="20"/>
          <w:szCs w:val="20"/>
        </w:rPr>
        <w:t xml:space="preserve">, </w:t>
      </w:r>
      <w:r w:rsidRPr="0030562D">
        <w:rPr>
          <w:rFonts w:ascii="Arial" w:hAnsi="Arial" w:cs="Arial"/>
          <w:sz w:val="20"/>
          <w:szCs w:val="20"/>
        </w:rPr>
        <w:t xml:space="preserve">Structural Equation Modeling (PLS-SEM), assisted by the </w:t>
      </w:r>
      <w:proofErr w:type="spellStart"/>
      <w:r w:rsidRPr="0030562D">
        <w:rPr>
          <w:rFonts w:ascii="Arial" w:hAnsi="Arial" w:cs="Arial"/>
          <w:sz w:val="20"/>
          <w:szCs w:val="20"/>
        </w:rPr>
        <w:t>SmartPLS</w:t>
      </w:r>
      <w:proofErr w:type="spellEnd"/>
      <w:r w:rsidRPr="0030562D">
        <w:rPr>
          <w:rFonts w:ascii="Arial" w:hAnsi="Arial" w:cs="Arial"/>
          <w:sz w:val="20"/>
          <w:szCs w:val="20"/>
        </w:rPr>
        <w:t xml:space="preserve"> software. PLS-SEM was chosen because it is capable of handling complex models and data that do not meet normality assumptions, in accordance with the recommendations of Hair et al. (2022). This approach is also considered effective for analyzing causal relationships between variables, particularly in the context of electronic service quality (E-</w:t>
      </w:r>
      <w:proofErr w:type="spellStart"/>
      <w:r w:rsidRPr="0030562D">
        <w:rPr>
          <w:rFonts w:ascii="Arial" w:hAnsi="Arial" w:cs="Arial"/>
          <w:sz w:val="20"/>
          <w:szCs w:val="20"/>
        </w:rPr>
        <w:t>Servqual</w:t>
      </w:r>
      <w:proofErr w:type="spellEnd"/>
      <w:r w:rsidRPr="0030562D">
        <w:rPr>
          <w:rFonts w:ascii="Arial" w:hAnsi="Arial" w:cs="Arial"/>
          <w:sz w:val="20"/>
          <w:szCs w:val="20"/>
        </w:rPr>
        <w:t>), electronic satisfaction (E-Satisfaction), and electronic loyalty (E-Loyalty).</w:t>
      </w:r>
    </w:p>
    <w:p w14:paraId="216E180E" w14:textId="77777777" w:rsidR="00C312DA" w:rsidRPr="0030562D" w:rsidRDefault="00C312DA" w:rsidP="00C312DA">
      <w:pPr>
        <w:jc w:val="both"/>
        <w:rPr>
          <w:rFonts w:ascii="Arial" w:hAnsi="Arial" w:cs="Arial"/>
          <w:sz w:val="20"/>
          <w:szCs w:val="20"/>
        </w:rPr>
      </w:pPr>
    </w:p>
    <w:p w14:paraId="179D9EB7" w14:textId="4735597A" w:rsidR="00C312DA" w:rsidRPr="0030562D" w:rsidRDefault="00DB3612" w:rsidP="00C312DA">
      <w:pPr>
        <w:pStyle w:val="ListParagraph"/>
        <w:numPr>
          <w:ilvl w:val="0"/>
          <w:numId w:val="1"/>
        </w:numPr>
        <w:ind w:left="360"/>
        <w:jc w:val="both"/>
        <w:rPr>
          <w:rFonts w:ascii="Arial" w:hAnsi="Arial" w:cs="Arial"/>
          <w:b/>
          <w:sz w:val="20"/>
          <w:szCs w:val="20"/>
        </w:rPr>
      </w:pPr>
      <w:r w:rsidRPr="0030562D">
        <w:rPr>
          <w:rFonts w:ascii="Arial" w:hAnsi="Arial" w:cs="Arial"/>
          <w:b/>
        </w:rPr>
        <w:t>RESULT AND DISCUSSION</w:t>
      </w:r>
    </w:p>
    <w:p w14:paraId="14DE8CDA" w14:textId="77777777" w:rsidR="00D452E4" w:rsidRPr="0030562D" w:rsidRDefault="00D452E4" w:rsidP="00D452E4">
      <w:pPr>
        <w:pStyle w:val="ListParagraph"/>
        <w:ind w:left="360"/>
        <w:jc w:val="both"/>
        <w:rPr>
          <w:rFonts w:ascii="Arial" w:hAnsi="Arial" w:cs="Arial"/>
          <w:b/>
          <w:sz w:val="20"/>
          <w:szCs w:val="20"/>
        </w:rPr>
      </w:pPr>
    </w:p>
    <w:p w14:paraId="6E81B1B7" w14:textId="77777777"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Descriptive Statistics Test Results</w:t>
      </w:r>
    </w:p>
    <w:p w14:paraId="44E27815" w14:textId="77777777" w:rsidR="002C082E" w:rsidRPr="0030562D"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The descriptive statistics test results summarize the data for each variable examined, including the mean, minimum and maximum values, and standard deviation. The mean value indicates the general tendency of respondents' answers toward each indicator, while the standard deviation reflects the degree of variation in the responses. The minimum and maximum values provide insight into the range of responses given. </w:t>
      </w:r>
    </w:p>
    <w:p w14:paraId="008BBEEF" w14:textId="07D93060"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1 The descriptive statistics results for the Site Organization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958"/>
        <w:gridCol w:w="1003"/>
        <w:gridCol w:w="592"/>
        <w:gridCol w:w="1193"/>
      </w:tblGrid>
      <w:tr w:rsidR="00ED0FAD" w:rsidRPr="0030562D" w14:paraId="6C098779" w14:textId="77777777" w:rsidTr="0030562D">
        <w:trPr>
          <w:tblHeader/>
          <w:tblCellSpacing w:w="15" w:type="dxa"/>
        </w:trPr>
        <w:tc>
          <w:tcPr>
            <w:tcW w:w="0" w:type="auto"/>
            <w:vAlign w:val="center"/>
            <w:hideMark/>
          </w:tcPr>
          <w:p w14:paraId="1166DEC1"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327C56C0"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6718C5E9"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3C6D6465"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4BB14DFC"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61E4806A" w14:textId="77777777" w:rsidTr="0030562D">
        <w:trPr>
          <w:tblCellSpacing w:w="15" w:type="dxa"/>
        </w:trPr>
        <w:tc>
          <w:tcPr>
            <w:tcW w:w="0" w:type="auto"/>
            <w:vAlign w:val="center"/>
            <w:hideMark/>
          </w:tcPr>
          <w:p w14:paraId="449F1F5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visual appearance of the Bank Lampung mobile banking website attractive</w:t>
            </w:r>
          </w:p>
        </w:tc>
        <w:tc>
          <w:tcPr>
            <w:tcW w:w="0" w:type="auto"/>
            <w:vAlign w:val="center"/>
            <w:hideMark/>
          </w:tcPr>
          <w:p w14:paraId="27836770"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77240B0D"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CC8E9FC"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3.95</w:t>
            </w:r>
          </w:p>
        </w:tc>
        <w:tc>
          <w:tcPr>
            <w:tcW w:w="0" w:type="auto"/>
            <w:vAlign w:val="center"/>
            <w:hideMark/>
          </w:tcPr>
          <w:p w14:paraId="02C5308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0.783</w:t>
            </w:r>
          </w:p>
        </w:tc>
      </w:tr>
      <w:tr w:rsidR="00ED0FAD" w:rsidRPr="0030562D" w14:paraId="2A6AAF43" w14:textId="77777777" w:rsidTr="0030562D">
        <w:trPr>
          <w:tblCellSpacing w:w="15" w:type="dxa"/>
        </w:trPr>
        <w:tc>
          <w:tcPr>
            <w:tcW w:w="0" w:type="auto"/>
            <w:vAlign w:val="center"/>
            <w:hideMark/>
          </w:tcPr>
          <w:p w14:paraId="161F51A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structure of the mobile banking display makes it easier for me to access services</w:t>
            </w:r>
          </w:p>
        </w:tc>
        <w:tc>
          <w:tcPr>
            <w:tcW w:w="0" w:type="auto"/>
            <w:vAlign w:val="center"/>
            <w:hideMark/>
          </w:tcPr>
          <w:p w14:paraId="4A8B6647"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2</w:t>
            </w:r>
          </w:p>
        </w:tc>
        <w:tc>
          <w:tcPr>
            <w:tcW w:w="0" w:type="auto"/>
            <w:vAlign w:val="center"/>
            <w:hideMark/>
          </w:tcPr>
          <w:p w14:paraId="60DF94FF"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C63E75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4.04</w:t>
            </w:r>
          </w:p>
        </w:tc>
        <w:tc>
          <w:tcPr>
            <w:tcW w:w="0" w:type="auto"/>
            <w:vAlign w:val="center"/>
            <w:hideMark/>
          </w:tcPr>
          <w:p w14:paraId="1FAF7D6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0.751</w:t>
            </w:r>
          </w:p>
        </w:tc>
      </w:tr>
      <w:tr w:rsidR="00ED0FAD" w:rsidRPr="0030562D" w14:paraId="7A200A82" w14:textId="77777777" w:rsidTr="0030562D">
        <w:trPr>
          <w:tblCellSpacing w:w="15" w:type="dxa"/>
        </w:trPr>
        <w:tc>
          <w:tcPr>
            <w:tcW w:w="0" w:type="auto"/>
            <w:vAlign w:val="center"/>
            <w:hideMark/>
          </w:tcPr>
          <w:p w14:paraId="59D264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information on the Bank Lampung mobile banking app easy to find and not confusing</w:t>
            </w:r>
          </w:p>
        </w:tc>
        <w:tc>
          <w:tcPr>
            <w:tcW w:w="0" w:type="auto"/>
            <w:vAlign w:val="center"/>
            <w:hideMark/>
          </w:tcPr>
          <w:p w14:paraId="7772B111"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5FFBEC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F46BD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4.05</w:t>
            </w:r>
          </w:p>
        </w:tc>
        <w:tc>
          <w:tcPr>
            <w:tcW w:w="0" w:type="auto"/>
            <w:vAlign w:val="center"/>
            <w:hideMark/>
          </w:tcPr>
          <w:p w14:paraId="17ECFFDA"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0.770</w:t>
            </w:r>
          </w:p>
        </w:tc>
      </w:tr>
    </w:tbl>
    <w:p w14:paraId="5821901C" w14:textId="77777777" w:rsidR="002C082E" w:rsidRPr="0030562D" w:rsidRDefault="002C082E" w:rsidP="00ED0FAD">
      <w:pPr>
        <w:widowControl/>
        <w:autoSpaceDE/>
        <w:autoSpaceDN/>
        <w:spacing w:after="120"/>
        <w:jc w:val="both"/>
        <w:rPr>
          <w:rFonts w:ascii="Arial" w:hAnsi="Arial" w:cs="Arial"/>
          <w:b/>
          <w:sz w:val="20"/>
          <w:szCs w:val="20"/>
        </w:rPr>
      </w:pPr>
    </w:p>
    <w:p w14:paraId="7CCDDBD0" w14:textId="793518C5" w:rsidR="002C082E" w:rsidRPr="0030562D"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1 shows the descriptive statistics for the Site Organization variable, which includes three statements related to the visual and structural aspects of the Bank Lampung mobile banking application. The mean values range from 3.95 to 4.05, indicating that respondents generally agreed that the appearance and structure of the application are satisfactory and facilitate ease of use. The minimum and maximum values range from 1 to 5, reflecting diverse opinions among respondents, from strongly disagree to strongly agree. Additionally, all standard deviation values are below 1, suggesting low data dispersion and relatively consistent responses. Overall, these results indicate that the majority of users perceive the appearance and organization of the Bank Lampung mobile banking site as adequate.</w:t>
      </w:r>
    </w:p>
    <w:p w14:paraId="2AC507F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2604DB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3D49B80"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0EA8A18E" w14:textId="53919A2D"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2. Descriptive Statistics Results for the Reliability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8"/>
        <w:gridCol w:w="958"/>
        <w:gridCol w:w="1003"/>
        <w:gridCol w:w="592"/>
        <w:gridCol w:w="1125"/>
      </w:tblGrid>
      <w:tr w:rsidR="00ED0FAD" w:rsidRPr="0030562D" w14:paraId="3AF57CB1" w14:textId="77777777" w:rsidTr="0030562D">
        <w:trPr>
          <w:tblHeader/>
          <w:tblCellSpacing w:w="15" w:type="dxa"/>
        </w:trPr>
        <w:tc>
          <w:tcPr>
            <w:tcW w:w="0" w:type="auto"/>
            <w:vAlign w:val="center"/>
            <w:hideMark/>
          </w:tcPr>
          <w:p w14:paraId="282F46C2"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lastRenderedPageBreak/>
              <w:t>Statement</w:t>
            </w:r>
          </w:p>
        </w:tc>
        <w:tc>
          <w:tcPr>
            <w:tcW w:w="0" w:type="auto"/>
            <w:vAlign w:val="center"/>
            <w:hideMark/>
          </w:tcPr>
          <w:p w14:paraId="38BA4F87"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5E89B9B8"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64A6B337"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6A3629FB" w14:textId="77777777" w:rsidR="002C082E" w:rsidRPr="0030562D" w:rsidRDefault="002C082E"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024F7862" w14:textId="77777777" w:rsidTr="0030562D">
        <w:trPr>
          <w:tblCellSpacing w:w="15" w:type="dxa"/>
        </w:trPr>
        <w:tc>
          <w:tcPr>
            <w:tcW w:w="0" w:type="auto"/>
            <w:vAlign w:val="center"/>
            <w:hideMark/>
          </w:tcPr>
          <w:p w14:paraId="76BD6B76"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comfortable transacting through Bank Lampung's mobile banking because I have never experienced any errors so far</w:t>
            </w:r>
          </w:p>
        </w:tc>
        <w:tc>
          <w:tcPr>
            <w:tcW w:w="0" w:type="auto"/>
            <w:vAlign w:val="center"/>
            <w:hideMark/>
          </w:tcPr>
          <w:p w14:paraId="5BD093EA"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BC7503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85C8659"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709AEBA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0.820</w:t>
            </w:r>
          </w:p>
        </w:tc>
      </w:tr>
      <w:tr w:rsidR="00ED0FAD" w:rsidRPr="0030562D" w14:paraId="4F8A4563" w14:textId="77777777" w:rsidTr="0030562D">
        <w:trPr>
          <w:tblCellSpacing w:w="15" w:type="dxa"/>
        </w:trPr>
        <w:tc>
          <w:tcPr>
            <w:tcW w:w="0" w:type="auto"/>
            <w:vAlign w:val="center"/>
            <w:hideMark/>
          </w:tcPr>
          <w:p w14:paraId="3DC9EDE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believe Bank Lampung’s mobile banking system has adequate security features</w:t>
            </w:r>
          </w:p>
        </w:tc>
        <w:tc>
          <w:tcPr>
            <w:tcW w:w="0" w:type="auto"/>
            <w:vAlign w:val="center"/>
            <w:hideMark/>
          </w:tcPr>
          <w:p w14:paraId="06B816B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5F4BBDD2"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7BE1799"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3.88</w:t>
            </w:r>
          </w:p>
        </w:tc>
        <w:tc>
          <w:tcPr>
            <w:tcW w:w="0" w:type="auto"/>
            <w:vAlign w:val="center"/>
            <w:hideMark/>
          </w:tcPr>
          <w:p w14:paraId="529C418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0.836</w:t>
            </w:r>
          </w:p>
        </w:tc>
      </w:tr>
      <w:tr w:rsidR="00ED0FAD" w:rsidRPr="0030562D" w14:paraId="75F127A9" w14:textId="77777777" w:rsidTr="0030562D">
        <w:trPr>
          <w:tblCellSpacing w:w="15" w:type="dxa"/>
        </w:trPr>
        <w:tc>
          <w:tcPr>
            <w:tcW w:w="0" w:type="auto"/>
            <w:vAlign w:val="center"/>
            <w:hideMark/>
          </w:tcPr>
          <w:p w14:paraId="0694B80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Since the first time using it, I feel that Bank Lampung's mobile banking services have consistently performed well and met my expectations</w:t>
            </w:r>
          </w:p>
        </w:tc>
        <w:tc>
          <w:tcPr>
            <w:tcW w:w="0" w:type="auto"/>
            <w:vAlign w:val="center"/>
            <w:hideMark/>
          </w:tcPr>
          <w:p w14:paraId="12651FA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4C7B9F68"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D9F47E6"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3.87</w:t>
            </w:r>
          </w:p>
        </w:tc>
        <w:tc>
          <w:tcPr>
            <w:tcW w:w="0" w:type="auto"/>
            <w:vAlign w:val="center"/>
            <w:hideMark/>
          </w:tcPr>
          <w:p w14:paraId="22962AB5"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0.819</w:t>
            </w:r>
          </w:p>
        </w:tc>
      </w:tr>
      <w:tr w:rsidR="00ED0FAD" w:rsidRPr="0030562D" w14:paraId="633890DF" w14:textId="77777777" w:rsidTr="0030562D">
        <w:trPr>
          <w:tblCellSpacing w:w="15" w:type="dxa"/>
        </w:trPr>
        <w:tc>
          <w:tcPr>
            <w:tcW w:w="0" w:type="auto"/>
            <w:vAlign w:val="center"/>
            <w:hideMark/>
          </w:tcPr>
          <w:p w14:paraId="3F8B6A4B"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believe services are delivered within the promised timeframe</w:t>
            </w:r>
          </w:p>
        </w:tc>
        <w:tc>
          <w:tcPr>
            <w:tcW w:w="0" w:type="auto"/>
            <w:vAlign w:val="center"/>
            <w:hideMark/>
          </w:tcPr>
          <w:p w14:paraId="6279884D"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B6ECFA1"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52055A4"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14823BB0" w14:textId="77777777" w:rsidR="002C082E" w:rsidRPr="0030562D" w:rsidRDefault="002C082E"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0.794</w:t>
            </w:r>
          </w:p>
        </w:tc>
      </w:tr>
    </w:tbl>
    <w:p w14:paraId="0CD1588C"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675B20E" w14:textId="0D8A7023" w:rsidR="002C082E" w:rsidRPr="0030562D" w:rsidRDefault="002C082E"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Table 2 presents the descriptive statistical results for the </w:t>
      </w:r>
      <w:r w:rsidRPr="0030562D">
        <w:rPr>
          <w:rStyle w:val="Strong"/>
          <w:rFonts w:ascii="Arial" w:hAnsi="Arial" w:cs="Arial"/>
          <w:b w:val="0"/>
          <w:bCs w:val="0"/>
          <w:sz w:val="20"/>
          <w:szCs w:val="20"/>
        </w:rPr>
        <w:t>Reliability</w:t>
      </w:r>
      <w:r w:rsidRPr="0030562D">
        <w:rPr>
          <w:rFonts w:ascii="Arial" w:hAnsi="Arial" w:cs="Arial"/>
          <w:sz w:val="20"/>
          <w:szCs w:val="20"/>
        </w:rPr>
        <w:t xml:space="preserve"> variable, which assesses the reliability of Bank Lampung's mobile banking services. The mean values for each statement range from 3.86 to 3.89, indicating that respondents generally agree that the service is reliable and meets their expectations. All statements have minimum values of 1 and maximum values of 5, reflecting variation in perceptions</w:t>
      </w:r>
      <w:r w:rsidR="00ED0FAD" w:rsidRPr="0030562D">
        <w:rPr>
          <w:rFonts w:ascii="Arial" w:hAnsi="Arial" w:cs="Arial"/>
          <w:sz w:val="20"/>
          <w:szCs w:val="20"/>
        </w:rPr>
        <w:t xml:space="preserve">, </w:t>
      </w:r>
      <w:r w:rsidRPr="0030562D">
        <w:rPr>
          <w:rFonts w:ascii="Arial" w:hAnsi="Arial" w:cs="Arial"/>
          <w:sz w:val="20"/>
          <w:szCs w:val="20"/>
        </w:rPr>
        <w:t>from strongly disagree to strongly agree. Meanwhile, standard deviation values fall between 0.794 and 0.836, suggesting low variability in responses and relatively consistent opinions among respondents. Overall, the results indicate that most users have a positive perception of the reliability of Bank Lampung’s mobile banking service.</w:t>
      </w:r>
    </w:p>
    <w:p w14:paraId="63DAFA8E" w14:textId="418B75E8" w:rsidR="002C082E" w:rsidRPr="0030562D" w:rsidRDefault="002C082E"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3. Descriptive Statistics Results for the Responsiveness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0"/>
        <w:gridCol w:w="958"/>
        <w:gridCol w:w="1003"/>
        <w:gridCol w:w="592"/>
        <w:gridCol w:w="1133"/>
      </w:tblGrid>
      <w:tr w:rsidR="00ED0FAD" w:rsidRPr="0030562D" w14:paraId="070A1089" w14:textId="77777777" w:rsidTr="0030562D">
        <w:trPr>
          <w:tblHeader/>
          <w:tblCellSpacing w:w="15" w:type="dxa"/>
        </w:trPr>
        <w:tc>
          <w:tcPr>
            <w:tcW w:w="0" w:type="auto"/>
            <w:vAlign w:val="center"/>
            <w:hideMark/>
          </w:tcPr>
          <w:p w14:paraId="6D335C9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6673171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6848D2B2"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4CC7E99B"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C59AB3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D0B73D3" w14:textId="77777777" w:rsidTr="0030562D">
        <w:trPr>
          <w:tblCellSpacing w:w="15" w:type="dxa"/>
        </w:trPr>
        <w:tc>
          <w:tcPr>
            <w:tcW w:w="0" w:type="auto"/>
            <w:vAlign w:val="center"/>
            <w:hideMark/>
          </w:tcPr>
          <w:p w14:paraId="28290A0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service always responds quickly whenever I need it</w:t>
            </w:r>
          </w:p>
        </w:tc>
        <w:tc>
          <w:tcPr>
            <w:tcW w:w="0" w:type="auto"/>
            <w:vAlign w:val="center"/>
            <w:hideMark/>
          </w:tcPr>
          <w:p w14:paraId="497343A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5F6461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33EBA89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3.54</w:t>
            </w:r>
          </w:p>
        </w:tc>
        <w:tc>
          <w:tcPr>
            <w:tcW w:w="0" w:type="auto"/>
            <w:vAlign w:val="center"/>
            <w:hideMark/>
          </w:tcPr>
          <w:p w14:paraId="72AF603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1.022</w:t>
            </w:r>
          </w:p>
        </w:tc>
      </w:tr>
      <w:tr w:rsidR="00ED0FAD" w:rsidRPr="0030562D" w14:paraId="774CA131" w14:textId="77777777" w:rsidTr="0030562D">
        <w:trPr>
          <w:tblCellSpacing w:w="15" w:type="dxa"/>
        </w:trPr>
        <w:tc>
          <w:tcPr>
            <w:tcW w:w="0" w:type="auto"/>
            <w:vAlign w:val="center"/>
            <w:hideMark/>
          </w:tcPr>
          <w:p w14:paraId="4B674F13"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server is always responsive and rarely experiences disruptions when I access the service</w:t>
            </w:r>
          </w:p>
        </w:tc>
        <w:tc>
          <w:tcPr>
            <w:tcW w:w="0" w:type="auto"/>
            <w:vAlign w:val="center"/>
            <w:hideMark/>
          </w:tcPr>
          <w:p w14:paraId="55517B8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1FD761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3A7133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3.80</w:t>
            </w:r>
          </w:p>
        </w:tc>
        <w:tc>
          <w:tcPr>
            <w:tcW w:w="0" w:type="auto"/>
            <w:vAlign w:val="center"/>
            <w:hideMark/>
          </w:tcPr>
          <w:p w14:paraId="1B99D35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0.846</w:t>
            </w:r>
          </w:p>
        </w:tc>
      </w:tr>
      <w:tr w:rsidR="00ED0FAD" w:rsidRPr="0030562D" w14:paraId="6F6863EB" w14:textId="77777777" w:rsidTr="0030562D">
        <w:trPr>
          <w:tblCellSpacing w:w="15" w:type="dxa"/>
        </w:trPr>
        <w:tc>
          <w:tcPr>
            <w:tcW w:w="0" w:type="auto"/>
            <w:vAlign w:val="center"/>
            <w:hideMark/>
          </w:tcPr>
          <w:p w14:paraId="51D0BBA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informs users about the service completion time</w:t>
            </w:r>
          </w:p>
        </w:tc>
        <w:tc>
          <w:tcPr>
            <w:tcW w:w="0" w:type="auto"/>
            <w:vAlign w:val="center"/>
            <w:hideMark/>
          </w:tcPr>
          <w:p w14:paraId="4FBCC4D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7D7987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4501B1F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4.07</w:t>
            </w:r>
          </w:p>
        </w:tc>
        <w:tc>
          <w:tcPr>
            <w:tcW w:w="0" w:type="auto"/>
            <w:vAlign w:val="center"/>
            <w:hideMark/>
          </w:tcPr>
          <w:p w14:paraId="6D1590F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0.760</w:t>
            </w:r>
          </w:p>
        </w:tc>
      </w:tr>
    </w:tbl>
    <w:p w14:paraId="04175EC0"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31DCF5E7" w14:textId="12FCB779"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Table 3 presents the descriptive statistical results for the Responsiveness variable, which measures the responsiveness of Bank Lampung’s mobile banking service. The mean values range from 3.54 to 4.07, indicating that most respondents have a generally positive perception of the speed and responsiveness of the service, although there is some doubt regarding the initial response speed (mean of 3.54). The highest standard deviation is found in the first statement (1.022), suggesting a relatively wide range of opinions among respondents concerning the promptness of service when needed. Overall, the data indicates that Bank Lampung’s mobile banking is considered reasonably responsive, especially in terms of </w:t>
      </w:r>
      <w:r w:rsidRPr="0030562D">
        <w:rPr>
          <w:rFonts w:ascii="Arial" w:hAnsi="Arial" w:cs="Arial"/>
          <w:sz w:val="20"/>
          <w:szCs w:val="20"/>
        </w:rPr>
        <w:lastRenderedPageBreak/>
        <w:t>communicating service completion times, though there is still room for improvement in direct response speed.</w:t>
      </w:r>
    </w:p>
    <w:p w14:paraId="36DEA825"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78641999" w14:textId="36AAFA45" w:rsidR="006A625A" w:rsidRPr="0030562D" w:rsidRDefault="006A625A"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4. Descriptive Statistics Results for the User Friendliness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6"/>
        <w:gridCol w:w="958"/>
        <w:gridCol w:w="1003"/>
        <w:gridCol w:w="592"/>
        <w:gridCol w:w="1217"/>
      </w:tblGrid>
      <w:tr w:rsidR="00ED0FAD" w:rsidRPr="0030562D" w14:paraId="75BEF79B" w14:textId="77777777" w:rsidTr="0030562D">
        <w:trPr>
          <w:tblHeader/>
          <w:tblCellSpacing w:w="15" w:type="dxa"/>
        </w:trPr>
        <w:tc>
          <w:tcPr>
            <w:tcW w:w="0" w:type="auto"/>
            <w:vAlign w:val="center"/>
            <w:hideMark/>
          </w:tcPr>
          <w:p w14:paraId="3336EB8F"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CF792DB"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20C9C775"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7F59C8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483F79D"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789251A" w14:textId="77777777" w:rsidTr="0030562D">
        <w:trPr>
          <w:tblCellSpacing w:w="15" w:type="dxa"/>
        </w:trPr>
        <w:tc>
          <w:tcPr>
            <w:tcW w:w="0" w:type="auto"/>
            <w:vAlign w:val="center"/>
            <w:hideMark/>
          </w:tcPr>
          <w:p w14:paraId="3A2DF0A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Bank Lampung's mobile banking website easy to use</w:t>
            </w:r>
          </w:p>
        </w:tc>
        <w:tc>
          <w:tcPr>
            <w:tcW w:w="0" w:type="auto"/>
            <w:vAlign w:val="center"/>
            <w:hideMark/>
          </w:tcPr>
          <w:p w14:paraId="0F759CD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E0DE49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606D5C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3.95</w:t>
            </w:r>
          </w:p>
        </w:tc>
        <w:tc>
          <w:tcPr>
            <w:tcW w:w="0" w:type="auto"/>
            <w:vAlign w:val="center"/>
            <w:hideMark/>
          </w:tcPr>
          <w:p w14:paraId="2F43651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0.744</w:t>
            </w:r>
          </w:p>
        </w:tc>
      </w:tr>
      <w:tr w:rsidR="00ED0FAD" w:rsidRPr="0030562D" w14:paraId="04CD5EC6" w14:textId="77777777" w:rsidTr="0030562D">
        <w:trPr>
          <w:tblCellSpacing w:w="15" w:type="dxa"/>
        </w:trPr>
        <w:tc>
          <w:tcPr>
            <w:tcW w:w="0" w:type="auto"/>
            <w:vAlign w:val="center"/>
            <w:hideMark/>
          </w:tcPr>
          <w:p w14:paraId="73612DC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navigation on Bank Lampung's mobile banking website easy to follow</w:t>
            </w:r>
          </w:p>
        </w:tc>
        <w:tc>
          <w:tcPr>
            <w:tcW w:w="0" w:type="auto"/>
            <w:vAlign w:val="center"/>
            <w:hideMark/>
          </w:tcPr>
          <w:p w14:paraId="7227567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6A2CB4D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023BE4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06479FE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0.858</w:t>
            </w:r>
          </w:p>
        </w:tc>
      </w:tr>
      <w:tr w:rsidR="00ED0FAD" w:rsidRPr="0030562D" w14:paraId="3C829FDB" w14:textId="77777777" w:rsidTr="0030562D">
        <w:trPr>
          <w:tblCellSpacing w:w="15" w:type="dxa"/>
        </w:trPr>
        <w:tc>
          <w:tcPr>
            <w:tcW w:w="0" w:type="auto"/>
            <w:vAlign w:val="center"/>
            <w:hideMark/>
          </w:tcPr>
          <w:p w14:paraId="55B971D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Bank Lampung's mobile banking website runs smoothly</w:t>
            </w:r>
          </w:p>
        </w:tc>
        <w:tc>
          <w:tcPr>
            <w:tcW w:w="0" w:type="auto"/>
            <w:vAlign w:val="center"/>
            <w:hideMark/>
          </w:tcPr>
          <w:p w14:paraId="46517A3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ECA1E1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AF051B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3.70</w:t>
            </w:r>
          </w:p>
        </w:tc>
        <w:tc>
          <w:tcPr>
            <w:tcW w:w="0" w:type="auto"/>
            <w:vAlign w:val="center"/>
            <w:hideMark/>
          </w:tcPr>
          <w:p w14:paraId="207B7D4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0.920</w:t>
            </w:r>
          </w:p>
        </w:tc>
      </w:tr>
      <w:tr w:rsidR="00ED0FAD" w:rsidRPr="0030562D" w14:paraId="0DBBFC17" w14:textId="77777777" w:rsidTr="0030562D">
        <w:trPr>
          <w:tblCellSpacing w:w="15" w:type="dxa"/>
        </w:trPr>
        <w:tc>
          <w:tcPr>
            <w:tcW w:w="0" w:type="auto"/>
            <w:vAlign w:val="center"/>
            <w:hideMark/>
          </w:tcPr>
          <w:p w14:paraId="7A3B66D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Bank Lampung mobile banking website pages rarely experience disruptions</w:t>
            </w:r>
          </w:p>
        </w:tc>
        <w:tc>
          <w:tcPr>
            <w:tcW w:w="0" w:type="auto"/>
            <w:vAlign w:val="center"/>
            <w:hideMark/>
          </w:tcPr>
          <w:p w14:paraId="53E4BDC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951C21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08F4EF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34D5EB9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0.759</w:t>
            </w:r>
          </w:p>
        </w:tc>
      </w:tr>
      <w:tr w:rsidR="00ED0FAD" w:rsidRPr="0030562D" w14:paraId="3200DB6B" w14:textId="77777777" w:rsidTr="0030562D">
        <w:trPr>
          <w:tblCellSpacing w:w="15" w:type="dxa"/>
        </w:trPr>
        <w:tc>
          <w:tcPr>
            <w:tcW w:w="0" w:type="auto"/>
            <w:vAlign w:val="center"/>
            <w:hideMark/>
          </w:tcPr>
          <w:p w14:paraId="7FC2B7F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recommend using Bank Lampung's mobile banking to others</w:t>
            </w:r>
          </w:p>
        </w:tc>
        <w:tc>
          <w:tcPr>
            <w:tcW w:w="0" w:type="auto"/>
            <w:vAlign w:val="center"/>
            <w:hideMark/>
          </w:tcPr>
          <w:p w14:paraId="6C18BF7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C75592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0CE9CD7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007C0C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0.786</w:t>
            </w:r>
          </w:p>
        </w:tc>
      </w:tr>
    </w:tbl>
    <w:p w14:paraId="136BF57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33D52EFA" w14:textId="42B77763" w:rsidR="002C082E"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Table 4. presents the descriptive statistical results for the </w:t>
      </w:r>
      <w:r w:rsidRPr="0030562D">
        <w:rPr>
          <w:rStyle w:val="Strong"/>
          <w:rFonts w:ascii="Arial" w:hAnsi="Arial" w:cs="Arial"/>
          <w:b w:val="0"/>
          <w:bCs w:val="0"/>
          <w:sz w:val="20"/>
          <w:szCs w:val="20"/>
        </w:rPr>
        <w:t>User Friendliness</w:t>
      </w:r>
      <w:r w:rsidRPr="0030562D">
        <w:rPr>
          <w:rFonts w:ascii="Arial" w:hAnsi="Arial" w:cs="Arial"/>
          <w:sz w:val="20"/>
          <w:szCs w:val="20"/>
        </w:rPr>
        <w:t xml:space="preserve"> variable, which reflects how users perceive the ease of use of Bank Lampung's mobile banking services. The mean values range from 3.70 to 3.96, indicating that respondents generally feel satisfied with the usability, navigation, and overall smoothness of the service. The highest mean values are found in the statements regarding the infrequency of website disruptions and users’ likelihood to recommend the service to others (each at 3.96), suggesting trust and positive user experience. However, the lowest mean appears in the statement about the website’s smooth performance (mean = 3.70), which also has the highest standard deviation (0.920), indicating varied user perceptions regarding the platform’s technical performance. Overall, the data shows that Bank Lampung's mobile banking service is considered fairly user-friendly by the majority of respondents, although improvements in technical performance are still needed to further optimize the user experience.</w:t>
      </w:r>
    </w:p>
    <w:p w14:paraId="2C58E0D6"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3AD3918" w14:textId="4091597D"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Table 5. Descriptive Statistics Results for the Personal Need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8"/>
        <w:gridCol w:w="958"/>
        <w:gridCol w:w="1003"/>
        <w:gridCol w:w="592"/>
        <w:gridCol w:w="1155"/>
      </w:tblGrid>
      <w:tr w:rsidR="00ED0FAD" w:rsidRPr="0030562D" w14:paraId="52BE52ED" w14:textId="77777777" w:rsidTr="0030562D">
        <w:trPr>
          <w:tblHeader/>
          <w:tblCellSpacing w:w="15" w:type="dxa"/>
        </w:trPr>
        <w:tc>
          <w:tcPr>
            <w:tcW w:w="0" w:type="auto"/>
            <w:vAlign w:val="center"/>
            <w:hideMark/>
          </w:tcPr>
          <w:p w14:paraId="71327F2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39452B8D"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2DA48A2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1C55C4E7"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16FA29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3BA1B9B4" w14:textId="77777777" w:rsidTr="0030562D">
        <w:trPr>
          <w:tblCellSpacing w:w="15" w:type="dxa"/>
        </w:trPr>
        <w:tc>
          <w:tcPr>
            <w:tcW w:w="0" w:type="auto"/>
            <w:vAlign w:val="center"/>
            <w:hideMark/>
          </w:tcPr>
          <w:p w14:paraId="6A802B8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safe when making transactions through Bank Lampung’s mobile banking</w:t>
            </w:r>
          </w:p>
        </w:tc>
        <w:tc>
          <w:tcPr>
            <w:tcW w:w="0" w:type="auto"/>
            <w:vAlign w:val="center"/>
            <w:hideMark/>
          </w:tcPr>
          <w:p w14:paraId="5212EDA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B33F31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3008D0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572EDB5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0.770</w:t>
            </w:r>
          </w:p>
        </w:tc>
      </w:tr>
      <w:tr w:rsidR="00ED0FAD" w:rsidRPr="0030562D" w14:paraId="32E3A845" w14:textId="77777777" w:rsidTr="0030562D">
        <w:trPr>
          <w:tblCellSpacing w:w="15" w:type="dxa"/>
        </w:trPr>
        <w:tc>
          <w:tcPr>
            <w:tcW w:w="0" w:type="auto"/>
            <w:vAlign w:val="center"/>
            <w:hideMark/>
          </w:tcPr>
          <w:p w14:paraId="465DF61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website meets my personal needs</w:t>
            </w:r>
          </w:p>
        </w:tc>
        <w:tc>
          <w:tcPr>
            <w:tcW w:w="0" w:type="auto"/>
            <w:vAlign w:val="center"/>
            <w:hideMark/>
          </w:tcPr>
          <w:p w14:paraId="1DB6F06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E3178A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AEEABB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3.85</w:t>
            </w:r>
          </w:p>
        </w:tc>
        <w:tc>
          <w:tcPr>
            <w:tcW w:w="0" w:type="auto"/>
            <w:vAlign w:val="center"/>
            <w:hideMark/>
          </w:tcPr>
          <w:p w14:paraId="513D2C91"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0.817</w:t>
            </w:r>
          </w:p>
        </w:tc>
      </w:tr>
      <w:tr w:rsidR="00ED0FAD" w:rsidRPr="0030562D" w14:paraId="36BD561A" w14:textId="77777777" w:rsidTr="0030562D">
        <w:trPr>
          <w:tblCellSpacing w:w="15" w:type="dxa"/>
        </w:trPr>
        <w:tc>
          <w:tcPr>
            <w:tcW w:w="0" w:type="auto"/>
            <w:vAlign w:val="center"/>
            <w:hideMark/>
          </w:tcPr>
          <w:p w14:paraId="62BB20A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Bank Lampung’s mobile banking website provides information and products according to my preferences</w:t>
            </w:r>
          </w:p>
        </w:tc>
        <w:tc>
          <w:tcPr>
            <w:tcW w:w="0" w:type="auto"/>
            <w:vAlign w:val="center"/>
            <w:hideMark/>
          </w:tcPr>
          <w:p w14:paraId="3FDF97D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7FD17E7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2ED167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7C82888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0.722</w:t>
            </w:r>
          </w:p>
        </w:tc>
      </w:tr>
    </w:tbl>
    <w:p w14:paraId="74B0BB4D"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77F418D" w14:textId="1709F961"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lastRenderedPageBreak/>
        <w:t>Table 5 presents the descriptive statistical results for the Personal Need variable, which measures respondents’ perceptions of how well Bank Lampung's mobile banking service addresses their personal needs. Overall, the mean values for the three statements range from 3.85 to 3.97, indicating that respondents show a relatively high level of satisfaction regarding security, information relevance, and the fulfillment of personal preferences. The statement with the highest mean value is "I feel that Bank Lampung’s mobile banking website provides information and products according to my preferences" (mean = 3.97), suggesting that users perceive the service content as relevant to their needs. The relatively small standard deviations (ranging from 0.722 to 0.817) also indicate consistent responses among participants. These findings suggest that personalization and a sense of security are key aspects of the mobile banking user experience and are adequately fulfilled by Bank Lampung’s service.</w:t>
      </w:r>
    </w:p>
    <w:p w14:paraId="0F1F584D" w14:textId="07CAC274"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6. Descriptive Statistics Results for the Efficiency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3"/>
        <w:gridCol w:w="958"/>
        <w:gridCol w:w="1003"/>
        <w:gridCol w:w="592"/>
        <w:gridCol w:w="1160"/>
      </w:tblGrid>
      <w:tr w:rsidR="00ED0FAD" w:rsidRPr="0030562D" w14:paraId="505E37C5" w14:textId="77777777" w:rsidTr="0030562D">
        <w:trPr>
          <w:tblHeader/>
          <w:tblCellSpacing w:w="15" w:type="dxa"/>
        </w:trPr>
        <w:tc>
          <w:tcPr>
            <w:tcW w:w="0" w:type="auto"/>
            <w:vAlign w:val="center"/>
            <w:hideMark/>
          </w:tcPr>
          <w:p w14:paraId="4EAEE478"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267FB54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0C5A0491"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46DE2C0"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36A0C2C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6F9695A4" w14:textId="77777777" w:rsidTr="0030562D">
        <w:trPr>
          <w:tblCellSpacing w:w="15" w:type="dxa"/>
        </w:trPr>
        <w:tc>
          <w:tcPr>
            <w:tcW w:w="0" w:type="auto"/>
            <w:vAlign w:val="center"/>
            <w:hideMark/>
          </w:tcPr>
          <w:p w14:paraId="498E5F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it easy to locate the information I need on the Bank Lampung mobile banking website</w:t>
            </w:r>
          </w:p>
        </w:tc>
        <w:tc>
          <w:tcPr>
            <w:tcW w:w="0" w:type="auto"/>
            <w:vAlign w:val="center"/>
            <w:hideMark/>
          </w:tcPr>
          <w:p w14:paraId="75FB304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4077AEC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4A787E0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3.99</w:t>
            </w:r>
          </w:p>
        </w:tc>
        <w:tc>
          <w:tcPr>
            <w:tcW w:w="0" w:type="auto"/>
            <w:vAlign w:val="center"/>
            <w:hideMark/>
          </w:tcPr>
          <w:p w14:paraId="0B87B0C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0.776</w:t>
            </w:r>
          </w:p>
        </w:tc>
      </w:tr>
      <w:tr w:rsidR="00ED0FAD" w:rsidRPr="0030562D" w14:paraId="4B732400" w14:textId="77777777" w:rsidTr="0030562D">
        <w:trPr>
          <w:tblCellSpacing w:w="15" w:type="dxa"/>
        </w:trPr>
        <w:tc>
          <w:tcPr>
            <w:tcW w:w="0" w:type="auto"/>
            <w:vAlign w:val="center"/>
            <w:hideMark/>
          </w:tcPr>
          <w:p w14:paraId="7EF7A75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In my opinion, navigating between pages on the Bank Lampung mobile banking website is easy and convenient</w:t>
            </w:r>
          </w:p>
        </w:tc>
        <w:tc>
          <w:tcPr>
            <w:tcW w:w="0" w:type="auto"/>
            <w:vAlign w:val="center"/>
            <w:hideMark/>
          </w:tcPr>
          <w:p w14:paraId="7DDCA57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4C51B8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68BECF2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7B1E10B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0.722</w:t>
            </w:r>
          </w:p>
        </w:tc>
      </w:tr>
      <w:tr w:rsidR="00ED0FAD" w:rsidRPr="0030562D" w14:paraId="276F268B" w14:textId="77777777" w:rsidTr="0030562D">
        <w:trPr>
          <w:tblCellSpacing w:w="15" w:type="dxa"/>
        </w:trPr>
        <w:tc>
          <w:tcPr>
            <w:tcW w:w="0" w:type="auto"/>
            <w:vAlign w:val="center"/>
            <w:hideMark/>
          </w:tcPr>
          <w:p w14:paraId="1B38FBC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I can complete transactions quickly using Bank Lampung mobile banking</w:t>
            </w:r>
          </w:p>
        </w:tc>
        <w:tc>
          <w:tcPr>
            <w:tcW w:w="0" w:type="auto"/>
            <w:vAlign w:val="center"/>
            <w:hideMark/>
          </w:tcPr>
          <w:p w14:paraId="741FCAB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02B0F55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9C11E9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3.89</w:t>
            </w:r>
          </w:p>
        </w:tc>
        <w:tc>
          <w:tcPr>
            <w:tcW w:w="0" w:type="auto"/>
            <w:vAlign w:val="center"/>
            <w:hideMark/>
          </w:tcPr>
          <w:p w14:paraId="60BF56B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0.821</w:t>
            </w:r>
          </w:p>
        </w:tc>
      </w:tr>
    </w:tbl>
    <w:p w14:paraId="358222B7" w14:textId="77777777" w:rsidR="00ED0FAD" w:rsidRPr="0030562D" w:rsidRDefault="00ED0FAD" w:rsidP="00ED0FAD">
      <w:pPr>
        <w:widowControl/>
        <w:autoSpaceDE/>
        <w:autoSpaceDN/>
        <w:spacing w:after="120"/>
        <w:jc w:val="both"/>
        <w:rPr>
          <w:rFonts w:ascii="Arial" w:hAnsi="Arial" w:cs="Arial"/>
          <w:sz w:val="20"/>
          <w:szCs w:val="20"/>
        </w:rPr>
      </w:pPr>
    </w:p>
    <w:p w14:paraId="26337801" w14:textId="3B0E7A99" w:rsidR="006A625A" w:rsidRPr="0030562D" w:rsidRDefault="006A625A" w:rsidP="00ED0FAD">
      <w:pPr>
        <w:widowControl/>
        <w:autoSpaceDE/>
        <w:autoSpaceDN/>
        <w:spacing w:after="120"/>
        <w:jc w:val="both"/>
        <w:rPr>
          <w:rFonts w:ascii="Arial" w:hAnsi="Arial" w:cs="Arial"/>
          <w:sz w:val="20"/>
          <w:szCs w:val="20"/>
        </w:rPr>
      </w:pPr>
      <w:r w:rsidRPr="0030562D">
        <w:rPr>
          <w:rFonts w:ascii="Arial" w:hAnsi="Arial" w:cs="Arial"/>
          <w:sz w:val="20"/>
          <w:szCs w:val="20"/>
        </w:rPr>
        <w:t xml:space="preserve">Table 6 presents the descriptive statistical results for the </w:t>
      </w:r>
      <w:r w:rsidRPr="0030562D">
        <w:rPr>
          <w:rStyle w:val="Strong"/>
          <w:rFonts w:ascii="Arial" w:hAnsi="Arial" w:cs="Arial"/>
          <w:sz w:val="20"/>
          <w:szCs w:val="20"/>
        </w:rPr>
        <w:t>Efficiency</w:t>
      </w:r>
      <w:r w:rsidRPr="0030562D">
        <w:rPr>
          <w:rFonts w:ascii="Arial" w:hAnsi="Arial" w:cs="Arial"/>
          <w:sz w:val="20"/>
          <w:szCs w:val="20"/>
        </w:rPr>
        <w:t xml:space="preserve"> variable, which reflects users’ perceptions regarding the ease and speed of using Bank Lampung’s mobile banking services. The mean values for the three statements range from 3.89 to 3.99, indicating that respondents are generally satisfied with the efficiency of the service. The statement with the highest mean value is </w:t>
      </w:r>
      <w:r w:rsidRPr="0030562D">
        <w:rPr>
          <w:rStyle w:val="Emphasis"/>
          <w:rFonts w:ascii="Arial" w:hAnsi="Arial" w:cs="Arial"/>
          <w:sz w:val="20"/>
          <w:szCs w:val="20"/>
        </w:rPr>
        <w:t>"I find it easy to locate the information I need on the Bank Lampung mobile banking website"</w:t>
      </w:r>
      <w:r w:rsidRPr="0030562D">
        <w:rPr>
          <w:rFonts w:ascii="Arial" w:hAnsi="Arial" w:cs="Arial"/>
          <w:sz w:val="20"/>
          <w:szCs w:val="20"/>
        </w:rPr>
        <w:t xml:space="preserve"> (mean = 3.99), suggesting that information accessibility is perceived as the strongest aspect. The relatively low standard deviations (ranging from 0.722 to 0.821) also indicate consistency in respondents’ answers. These results suggest that Bank Lampung’s mobile banking service successfully delivers an efficient user experience in terms of both navigation and transaction speed.</w:t>
      </w:r>
    </w:p>
    <w:p w14:paraId="35117EC4" w14:textId="0B33D08E"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rPr>
        <w:t>Table 7. Descriptive Statistics Results for the E-Satisfaction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21"/>
        <w:gridCol w:w="958"/>
        <w:gridCol w:w="1003"/>
        <w:gridCol w:w="592"/>
        <w:gridCol w:w="1242"/>
      </w:tblGrid>
      <w:tr w:rsidR="00ED0FAD" w:rsidRPr="0030562D" w14:paraId="650609B4" w14:textId="77777777" w:rsidTr="0030562D">
        <w:trPr>
          <w:tblHeader/>
          <w:tblCellSpacing w:w="15" w:type="dxa"/>
        </w:trPr>
        <w:tc>
          <w:tcPr>
            <w:tcW w:w="0" w:type="auto"/>
            <w:vAlign w:val="center"/>
            <w:hideMark/>
          </w:tcPr>
          <w:p w14:paraId="7B38EDCE"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207F86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16D1C8A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090BC02F"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22D874D0"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424A41F8" w14:textId="77777777" w:rsidTr="0030562D">
        <w:trPr>
          <w:tblCellSpacing w:w="15" w:type="dxa"/>
        </w:trPr>
        <w:tc>
          <w:tcPr>
            <w:tcW w:w="0" w:type="auto"/>
            <w:vAlign w:val="center"/>
            <w:hideMark/>
          </w:tcPr>
          <w:p w14:paraId="33AF3CC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find the Bank Lampung mobile banking service enjoyable</w:t>
            </w:r>
          </w:p>
        </w:tc>
        <w:tc>
          <w:tcPr>
            <w:tcW w:w="0" w:type="auto"/>
            <w:vAlign w:val="center"/>
            <w:hideMark/>
          </w:tcPr>
          <w:p w14:paraId="64BC21F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070FCD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29A0AFB4"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3.97</w:t>
            </w:r>
          </w:p>
        </w:tc>
        <w:tc>
          <w:tcPr>
            <w:tcW w:w="0" w:type="auto"/>
            <w:vAlign w:val="center"/>
            <w:hideMark/>
          </w:tcPr>
          <w:p w14:paraId="14815FF0"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0.762</w:t>
            </w:r>
          </w:p>
        </w:tc>
      </w:tr>
      <w:tr w:rsidR="00ED0FAD" w:rsidRPr="0030562D" w14:paraId="667507B4" w14:textId="77777777" w:rsidTr="0030562D">
        <w:trPr>
          <w:tblCellSpacing w:w="15" w:type="dxa"/>
        </w:trPr>
        <w:tc>
          <w:tcPr>
            <w:tcW w:w="0" w:type="auto"/>
            <w:vAlign w:val="center"/>
            <w:hideMark/>
          </w:tcPr>
          <w:p w14:paraId="35D1A162"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Bank Lampung mobile banking service meets my expectations</w:t>
            </w:r>
          </w:p>
        </w:tc>
        <w:tc>
          <w:tcPr>
            <w:tcW w:w="0" w:type="auto"/>
            <w:vAlign w:val="center"/>
            <w:hideMark/>
          </w:tcPr>
          <w:p w14:paraId="462901B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2E33D6DF"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5C6F97D"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3.87</w:t>
            </w:r>
          </w:p>
        </w:tc>
        <w:tc>
          <w:tcPr>
            <w:tcW w:w="0" w:type="auto"/>
            <w:vAlign w:val="center"/>
            <w:hideMark/>
          </w:tcPr>
          <w:p w14:paraId="0D5DE709"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0.860</w:t>
            </w:r>
          </w:p>
        </w:tc>
      </w:tr>
      <w:tr w:rsidR="00ED0FAD" w:rsidRPr="0030562D" w14:paraId="774FB4AF" w14:textId="77777777" w:rsidTr="0030562D">
        <w:trPr>
          <w:tblCellSpacing w:w="15" w:type="dxa"/>
        </w:trPr>
        <w:tc>
          <w:tcPr>
            <w:tcW w:w="0" w:type="auto"/>
            <w:vAlign w:val="center"/>
            <w:hideMark/>
          </w:tcPr>
          <w:p w14:paraId="32B57083"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that the Bank Lampung mobile banking service meets my needs</w:t>
            </w:r>
          </w:p>
        </w:tc>
        <w:tc>
          <w:tcPr>
            <w:tcW w:w="0" w:type="auto"/>
            <w:vAlign w:val="center"/>
            <w:hideMark/>
          </w:tcPr>
          <w:p w14:paraId="75AA2F8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CEF058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8B39C4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3.72</w:t>
            </w:r>
          </w:p>
        </w:tc>
        <w:tc>
          <w:tcPr>
            <w:tcW w:w="0" w:type="auto"/>
            <w:vAlign w:val="center"/>
            <w:hideMark/>
          </w:tcPr>
          <w:p w14:paraId="3D801FC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0.912</w:t>
            </w:r>
          </w:p>
        </w:tc>
      </w:tr>
    </w:tbl>
    <w:p w14:paraId="4BC80E6D" w14:textId="77777777" w:rsidR="00ED0FAD" w:rsidRPr="0030562D" w:rsidRDefault="00ED0FAD" w:rsidP="00ED0FAD">
      <w:pPr>
        <w:widowControl/>
        <w:autoSpaceDE/>
        <w:autoSpaceDN/>
        <w:spacing w:after="120"/>
        <w:jc w:val="both"/>
        <w:rPr>
          <w:rFonts w:ascii="Arial" w:hAnsi="Arial" w:cs="Arial"/>
          <w:sz w:val="20"/>
          <w:szCs w:val="20"/>
        </w:rPr>
      </w:pPr>
    </w:p>
    <w:p w14:paraId="22ECF9FC" w14:textId="5F72A245" w:rsidR="006A625A" w:rsidRPr="0030562D" w:rsidRDefault="006A625A" w:rsidP="00ED0FAD">
      <w:pPr>
        <w:widowControl/>
        <w:autoSpaceDE/>
        <w:autoSpaceDN/>
        <w:spacing w:after="120"/>
        <w:jc w:val="both"/>
        <w:rPr>
          <w:rFonts w:ascii="Arial" w:hAnsi="Arial" w:cs="Arial"/>
          <w:sz w:val="20"/>
          <w:szCs w:val="20"/>
        </w:rPr>
      </w:pPr>
      <w:r w:rsidRPr="0030562D">
        <w:rPr>
          <w:rFonts w:ascii="Arial" w:hAnsi="Arial" w:cs="Arial"/>
          <w:sz w:val="20"/>
          <w:szCs w:val="20"/>
        </w:rPr>
        <w:lastRenderedPageBreak/>
        <w:t xml:space="preserve">Table 7 presents the descriptive statistical results for the </w:t>
      </w:r>
      <w:r w:rsidRPr="0030562D">
        <w:rPr>
          <w:rStyle w:val="Strong"/>
          <w:rFonts w:ascii="Arial" w:hAnsi="Arial" w:cs="Arial"/>
          <w:b w:val="0"/>
          <w:bCs w:val="0"/>
          <w:sz w:val="20"/>
          <w:szCs w:val="20"/>
        </w:rPr>
        <w:t>E-Satisfaction</w:t>
      </w:r>
      <w:r w:rsidRPr="0030562D">
        <w:rPr>
          <w:rFonts w:ascii="Arial" w:hAnsi="Arial" w:cs="Arial"/>
          <w:sz w:val="20"/>
          <w:szCs w:val="20"/>
        </w:rPr>
        <w:t xml:space="preserve"> variable, which measures the level of user satisfaction with Bank Lampung’s mobile banking service. The mean values range from 3.72 to 3.97, indicating that respondents generally feel satisfied with the service. The statement with the highest mean value is </w:t>
      </w:r>
      <w:r w:rsidRPr="0030562D">
        <w:rPr>
          <w:rStyle w:val="Emphasis"/>
          <w:rFonts w:ascii="Arial" w:hAnsi="Arial" w:cs="Arial"/>
          <w:sz w:val="20"/>
          <w:szCs w:val="20"/>
        </w:rPr>
        <w:t>“I find the Bank Lampung mobile banking service enjoyable”</w:t>
      </w:r>
      <w:r w:rsidRPr="0030562D">
        <w:rPr>
          <w:rFonts w:ascii="Arial" w:hAnsi="Arial" w:cs="Arial"/>
          <w:sz w:val="20"/>
          <w:szCs w:val="20"/>
        </w:rPr>
        <w:t xml:space="preserve"> (mean = 3.97), while the lowest mean is found in </w:t>
      </w:r>
      <w:r w:rsidRPr="0030562D">
        <w:rPr>
          <w:rStyle w:val="Emphasis"/>
          <w:rFonts w:ascii="Arial" w:hAnsi="Arial" w:cs="Arial"/>
          <w:sz w:val="20"/>
          <w:szCs w:val="20"/>
        </w:rPr>
        <w:t>“I feel that the Bank Lampung mobile banking service meets my needs”</w:t>
      </w:r>
      <w:r w:rsidRPr="0030562D">
        <w:rPr>
          <w:rFonts w:ascii="Arial" w:hAnsi="Arial" w:cs="Arial"/>
          <w:sz w:val="20"/>
          <w:szCs w:val="20"/>
        </w:rPr>
        <w:t xml:space="preserve"> (mean = 3.72). This suggests that although the service is perceived as enjoyable and aligned with expectations, there remains room for improvement in terms of fulfilling users’ personal needs more comprehensively. The standard deviation values, ranging from 0.762 to 0.912, reflect some variation in perceptions, but the deviation is not too wide, indicating that most respondents had relatively similar experiences with the service.</w:t>
      </w:r>
    </w:p>
    <w:p w14:paraId="4F9071F9" w14:textId="71662B26"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8. Descriptive Statistics Results for the E-Loyalty Variable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1"/>
        <w:gridCol w:w="958"/>
        <w:gridCol w:w="1003"/>
        <w:gridCol w:w="592"/>
        <w:gridCol w:w="1182"/>
      </w:tblGrid>
      <w:tr w:rsidR="00ED0FAD" w:rsidRPr="0030562D" w14:paraId="764DB21E" w14:textId="77777777" w:rsidTr="0030562D">
        <w:trPr>
          <w:tblHeader/>
          <w:tblCellSpacing w:w="15" w:type="dxa"/>
        </w:trPr>
        <w:tc>
          <w:tcPr>
            <w:tcW w:w="0" w:type="auto"/>
            <w:vAlign w:val="center"/>
            <w:hideMark/>
          </w:tcPr>
          <w:p w14:paraId="73713BB7"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Statement</w:t>
            </w:r>
          </w:p>
        </w:tc>
        <w:tc>
          <w:tcPr>
            <w:tcW w:w="0" w:type="auto"/>
            <w:vAlign w:val="center"/>
            <w:hideMark/>
          </w:tcPr>
          <w:p w14:paraId="5A0CC8A6"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Minimum</w:t>
            </w:r>
          </w:p>
        </w:tc>
        <w:tc>
          <w:tcPr>
            <w:tcW w:w="0" w:type="auto"/>
            <w:vAlign w:val="center"/>
            <w:hideMark/>
          </w:tcPr>
          <w:p w14:paraId="377A7B2C"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Maximum</w:t>
            </w:r>
          </w:p>
        </w:tc>
        <w:tc>
          <w:tcPr>
            <w:tcW w:w="0" w:type="auto"/>
            <w:vAlign w:val="center"/>
            <w:hideMark/>
          </w:tcPr>
          <w:p w14:paraId="70D40BEA"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Mean</w:t>
            </w:r>
          </w:p>
        </w:tc>
        <w:tc>
          <w:tcPr>
            <w:tcW w:w="0" w:type="auto"/>
            <w:vAlign w:val="center"/>
            <w:hideMark/>
          </w:tcPr>
          <w:p w14:paraId="11DA1469" w14:textId="77777777"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Std. Deviation</w:t>
            </w:r>
          </w:p>
        </w:tc>
      </w:tr>
      <w:tr w:rsidR="00ED0FAD" w:rsidRPr="0030562D" w14:paraId="50986E6C" w14:textId="77777777" w:rsidTr="0030562D">
        <w:trPr>
          <w:tblCellSpacing w:w="15" w:type="dxa"/>
        </w:trPr>
        <w:tc>
          <w:tcPr>
            <w:tcW w:w="0" w:type="auto"/>
            <w:vAlign w:val="center"/>
            <w:hideMark/>
          </w:tcPr>
          <w:p w14:paraId="1DB72F0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will continue using Bank Lampung’s mobile banking service even if other applications are available</w:t>
            </w:r>
          </w:p>
        </w:tc>
        <w:tc>
          <w:tcPr>
            <w:tcW w:w="0" w:type="auto"/>
            <w:vAlign w:val="center"/>
            <w:hideMark/>
          </w:tcPr>
          <w:p w14:paraId="1793B20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18227165"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7C64ECE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3.86</w:t>
            </w:r>
          </w:p>
        </w:tc>
        <w:tc>
          <w:tcPr>
            <w:tcW w:w="0" w:type="auto"/>
            <w:vAlign w:val="center"/>
            <w:hideMark/>
          </w:tcPr>
          <w:p w14:paraId="46E1697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0.802</w:t>
            </w:r>
          </w:p>
        </w:tc>
      </w:tr>
      <w:tr w:rsidR="00ED0FAD" w:rsidRPr="0030562D" w14:paraId="15BA989F" w14:textId="77777777" w:rsidTr="0030562D">
        <w:trPr>
          <w:tblCellSpacing w:w="15" w:type="dxa"/>
        </w:trPr>
        <w:tc>
          <w:tcPr>
            <w:tcW w:w="0" w:type="auto"/>
            <w:vAlign w:val="center"/>
            <w:hideMark/>
          </w:tcPr>
          <w:p w14:paraId="02D0FDC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feel emotionally attached to Bank Lampung’s mobile banking service</w:t>
            </w:r>
          </w:p>
        </w:tc>
        <w:tc>
          <w:tcPr>
            <w:tcW w:w="0" w:type="auto"/>
            <w:vAlign w:val="center"/>
            <w:hideMark/>
          </w:tcPr>
          <w:p w14:paraId="26A56FC6"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3BDD1A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1420D288"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3.70</w:t>
            </w:r>
          </w:p>
        </w:tc>
        <w:tc>
          <w:tcPr>
            <w:tcW w:w="0" w:type="auto"/>
            <w:vAlign w:val="center"/>
            <w:hideMark/>
          </w:tcPr>
          <w:p w14:paraId="4A395D3C"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0.920</w:t>
            </w:r>
          </w:p>
        </w:tc>
      </w:tr>
      <w:tr w:rsidR="00ED0FAD" w:rsidRPr="0030562D" w14:paraId="5493D7A3" w14:textId="77777777" w:rsidTr="0030562D">
        <w:trPr>
          <w:tblCellSpacing w:w="15" w:type="dxa"/>
        </w:trPr>
        <w:tc>
          <w:tcPr>
            <w:tcW w:w="0" w:type="auto"/>
            <w:vAlign w:val="center"/>
            <w:hideMark/>
          </w:tcPr>
          <w:p w14:paraId="327DCCB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I will recommend Bank Lampung’s mobile banking service to others</w:t>
            </w:r>
          </w:p>
        </w:tc>
        <w:tc>
          <w:tcPr>
            <w:tcW w:w="0" w:type="auto"/>
            <w:vAlign w:val="center"/>
            <w:hideMark/>
          </w:tcPr>
          <w:p w14:paraId="1F23C18E"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w:t>
            </w:r>
          </w:p>
        </w:tc>
        <w:tc>
          <w:tcPr>
            <w:tcW w:w="0" w:type="auto"/>
            <w:vAlign w:val="center"/>
            <w:hideMark/>
          </w:tcPr>
          <w:p w14:paraId="39C53117"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5</w:t>
            </w:r>
          </w:p>
        </w:tc>
        <w:tc>
          <w:tcPr>
            <w:tcW w:w="0" w:type="auto"/>
            <w:vAlign w:val="center"/>
            <w:hideMark/>
          </w:tcPr>
          <w:p w14:paraId="5CF9044A"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3.96</w:t>
            </w:r>
          </w:p>
        </w:tc>
        <w:tc>
          <w:tcPr>
            <w:tcW w:w="0" w:type="auto"/>
            <w:vAlign w:val="center"/>
            <w:hideMark/>
          </w:tcPr>
          <w:p w14:paraId="582668EB" w14:textId="77777777" w:rsidR="006A625A" w:rsidRPr="0030562D" w:rsidRDefault="006A625A"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0.759</w:t>
            </w:r>
          </w:p>
        </w:tc>
      </w:tr>
    </w:tbl>
    <w:p w14:paraId="409429FF"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FFD6CCC" w14:textId="77923F52"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8 presents the descriptive statistical results for the E-Loyalty variable, which aims to measure user loyalty toward Bank Lampung’s mobile banking service. The mean values range from 3.70 to 3.96, indicating that respondents generally exhibit a relatively high level of loyalty to the service. The statement with the highest mean is “I will recommend Bank Lampung’s mobile banking service to others” (mean = 3.96), reflecting a strong willingness among users to promote the application. Conversely, the statement “I feel emotionally attached to Bank Lampung’s mobile banking service” recorded the lowest mean (3.70), suggesting that emotional attachment is not as strong as functional or satisfaction-based loyalty. The standard deviation values, ranging from 0.759 to 0.920, indicate a moderate variation in user perceptions, especially regarding emotional aspects, which should be addressed to enhance long-term loyalty.</w:t>
      </w:r>
    </w:p>
    <w:p w14:paraId="3BE7BA8C"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14F32B84" w14:textId="77777777" w:rsidR="006A625A" w:rsidRPr="0030562D" w:rsidRDefault="006A625A" w:rsidP="00ED0FAD">
      <w:pPr>
        <w:pStyle w:val="Heading3"/>
        <w:spacing w:before="0" w:beforeAutospacing="0" w:after="120" w:afterAutospacing="0"/>
        <w:jc w:val="both"/>
        <w:rPr>
          <w:rFonts w:ascii="Arial" w:hAnsi="Arial" w:cs="Arial"/>
          <w:sz w:val="20"/>
          <w:szCs w:val="20"/>
        </w:rPr>
      </w:pPr>
      <w:r w:rsidRPr="0030562D">
        <w:rPr>
          <w:rStyle w:val="Strong"/>
          <w:rFonts w:ascii="Arial" w:hAnsi="Arial" w:cs="Arial"/>
          <w:b/>
          <w:bCs/>
          <w:sz w:val="20"/>
          <w:szCs w:val="20"/>
        </w:rPr>
        <w:t>Discriminant Validity Test</w:t>
      </w:r>
    </w:p>
    <w:p w14:paraId="4FD91149" w14:textId="77777777"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Discriminant validity is a test used in statistical analysis, particularly in Structural Equation Modeling (SEM), to ensure that each construct or latent variable in the model is truly distinct from the others. This test is crucial to avoid overlap between constructs that could lead to biased interpretations of results. Discriminant validity is commonly assessed using several methods such as the Fornell-Larcker Criterion, Cross Loadings, and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If the correlation between constructs is lower than the square root of the Average Variance Extracted (AVE) of the respective construct (Fornell-Larcker), or if the HTMT value is below a certain threshold (generally &lt; 0.90), then the model is considered to have good discriminant validity. This indicates that each construct in the model measures a distinct concept.</w:t>
      </w:r>
    </w:p>
    <w:p w14:paraId="6051E582"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33F809C8"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4F3D493C" w14:textId="798BAF85" w:rsidR="006A625A" w:rsidRPr="0030562D" w:rsidRDefault="006A625A" w:rsidP="00ED0FAD">
      <w:pPr>
        <w:widowControl/>
        <w:autoSpaceDE/>
        <w:autoSpaceDN/>
        <w:spacing w:after="120"/>
        <w:jc w:val="both"/>
        <w:rPr>
          <w:rFonts w:ascii="Arial" w:hAnsi="Arial" w:cs="Arial"/>
          <w:b/>
          <w:bCs/>
          <w:sz w:val="20"/>
          <w:szCs w:val="20"/>
        </w:rPr>
      </w:pPr>
      <w:r w:rsidRPr="0030562D">
        <w:rPr>
          <w:rFonts w:ascii="Arial" w:hAnsi="Arial" w:cs="Arial"/>
          <w:b/>
          <w:bCs/>
          <w:sz w:val="20"/>
          <w:szCs w:val="20"/>
        </w:rPr>
        <w:t>Table 9. Discriminant Validity Test Results – Fornell-Larcker Criterion</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604"/>
        <w:gridCol w:w="882"/>
        <w:gridCol w:w="695"/>
        <w:gridCol w:w="917"/>
        <w:gridCol w:w="695"/>
        <w:gridCol w:w="1107"/>
        <w:gridCol w:w="1079"/>
        <w:gridCol w:w="1115"/>
      </w:tblGrid>
      <w:tr w:rsidR="00ED0FAD" w:rsidRPr="0030562D" w14:paraId="4C0AC234" w14:textId="77777777" w:rsidTr="0030562D">
        <w:trPr>
          <w:tblHeader/>
          <w:tblCellSpacing w:w="15" w:type="dxa"/>
        </w:trPr>
        <w:tc>
          <w:tcPr>
            <w:tcW w:w="657" w:type="pct"/>
            <w:vAlign w:val="center"/>
            <w:hideMark/>
          </w:tcPr>
          <w:p w14:paraId="2F9EC182"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Variable</w:t>
            </w:r>
          </w:p>
        </w:tc>
        <w:tc>
          <w:tcPr>
            <w:tcW w:w="363" w:type="pct"/>
            <w:vAlign w:val="center"/>
            <w:hideMark/>
          </w:tcPr>
          <w:p w14:paraId="78727057"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E-Loyalty</w:t>
            </w:r>
          </w:p>
        </w:tc>
        <w:tc>
          <w:tcPr>
            <w:tcW w:w="526" w:type="pct"/>
            <w:vAlign w:val="center"/>
            <w:hideMark/>
          </w:tcPr>
          <w:p w14:paraId="594CC1D3"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E-Satisfaction</w:t>
            </w:r>
          </w:p>
        </w:tc>
        <w:tc>
          <w:tcPr>
            <w:tcW w:w="380" w:type="pct"/>
            <w:vAlign w:val="center"/>
            <w:hideMark/>
          </w:tcPr>
          <w:p w14:paraId="70B49E2E"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Efficiency</w:t>
            </w:r>
          </w:p>
        </w:tc>
        <w:tc>
          <w:tcPr>
            <w:tcW w:w="547" w:type="pct"/>
            <w:vAlign w:val="center"/>
            <w:hideMark/>
          </w:tcPr>
          <w:p w14:paraId="5C254571"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Personal Need</w:t>
            </w:r>
          </w:p>
        </w:tc>
        <w:tc>
          <w:tcPr>
            <w:tcW w:w="380" w:type="pct"/>
            <w:vAlign w:val="center"/>
            <w:hideMark/>
          </w:tcPr>
          <w:p w14:paraId="1CE5EE46"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Reliability</w:t>
            </w:r>
          </w:p>
        </w:tc>
        <w:tc>
          <w:tcPr>
            <w:tcW w:w="619" w:type="pct"/>
            <w:vAlign w:val="center"/>
            <w:hideMark/>
          </w:tcPr>
          <w:p w14:paraId="3BF2AE53"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Responsiveness</w:t>
            </w:r>
          </w:p>
        </w:tc>
        <w:tc>
          <w:tcPr>
            <w:tcW w:w="644" w:type="pct"/>
            <w:vAlign w:val="center"/>
            <w:hideMark/>
          </w:tcPr>
          <w:p w14:paraId="68167726"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Site Organization</w:t>
            </w:r>
          </w:p>
        </w:tc>
        <w:tc>
          <w:tcPr>
            <w:tcW w:w="657" w:type="pct"/>
            <w:vAlign w:val="center"/>
            <w:hideMark/>
          </w:tcPr>
          <w:p w14:paraId="40E5D435" w14:textId="77777777" w:rsidR="006A625A" w:rsidRPr="0030562D" w:rsidRDefault="006A625A" w:rsidP="00ED0FAD">
            <w:pPr>
              <w:widowControl/>
              <w:autoSpaceDE/>
              <w:autoSpaceDN/>
              <w:spacing w:after="120"/>
              <w:jc w:val="both"/>
              <w:rPr>
                <w:rFonts w:ascii="Arial" w:hAnsi="Arial" w:cs="Arial"/>
                <w:b/>
                <w:bCs/>
                <w:sz w:val="13"/>
                <w:szCs w:val="13"/>
                <w:lang w:val="en-ID"/>
              </w:rPr>
            </w:pPr>
            <w:r w:rsidRPr="0030562D">
              <w:rPr>
                <w:rFonts w:ascii="Arial" w:hAnsi="Arial" w:cs="Arial"/>
                <w:b/>
                <w:bCs/>
                <w:sz w:val="13"/>
                <w:szCs w:val="13"/>
                <w:lang w:val="en-ID"/>
              </w:rPr>
              <w:t>User Friendliness</w:t>
            </w:r>
          </w:p>
        </w:tc>
      </w:tr>
      <w:tr w:rsidR="00ED0FAD" w:rsidRPr="0030562D" w14:paraId="176636A0" w14:textId="77777777" w:rsidTr="0030562D">
        <w:trPr>
          <w:tblCellSpacing w:w="15" w:type="dxa"/>
        </w:trPr>
        <w:tc>
          <w:tcPr>
            <w:tcW w:w="657" w:type="pct"/>
            <w:vAlign w:val="center"/>
            <w:hideMark/>
          </w:tcPr>
          <w:p w14:paraId="53C933A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E-Loyalty</w:t>
            </w:r>
          </w:p>
        </w:tc>
        <w:tc>
          <w:tcPr>
            <w:tcW w:w="363" w:type="pct"/>
            <w:vAlign w:val="center"/>
            <w:hideMark/>
          </w:tcPr>
          <w:p w14:paraId="68CEB98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0.88</w:t>
            </w:r>
          </w:p>
        </w:tc>
        <w:tc>
          <w:tcPr>
            <w:tcW w:w="526" w:type="pct"/>
            <w:vAlign w:val="center"/>
            <w:hideMark/>
          </w:tcPr>
          <w:p w14:paraId="5DB02431"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496955D3"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547" w:type="pct"/>
            <w:vAlign w:val="center"/>
            <w:hideMark/>
          </w:tcPr>
          <w:p w14:paraId="690E5A50"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66ABA705"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6233639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6880DD4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32B651A0"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0A84BA81" w14:textId="77777777" w:rsidTr="0030562D">
        <w:trPr>
          <w:tblCellSpacing w:w="15" w:type="dxa"/>
        </w:trPr>
        <w:tc>
          <w:tcPr>
            <w:tcW w:w="657" w:type="pct"/>
            <w:vAlign w:val="center"/>
            <w:hideMark/>
          </w:tcPr>
          <w:p w14:paraId="474A674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E-Satisfaction</w:t>
            </w:r>
          </w:p>
        </w:tc>
        <w:tc>
          <w:tcPr>
            <w:tcW w:w="363" w:type="pct"/>
            <w:vAlign w:val="center"/>
            <w:hideMark/>
          </w:tcPr>
          <w:p w14:paraId="0C67D4E6"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0.859</w:t>
            </w:r>
          </w:p>
        </w:tc>
        <w:tc>
          <w:tcPr>
            <w:tcW w:w="526" w:type="pct"/>
            <w:vAlign w:val="center"/>
            <w:hideMark/>
          </w:tcPr>
          <w:p w14:paraId="065F3C7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0.92</w:t>
            </w:r>
          </w:p>
        </w:tc>
        <w:tc>
          <w:tcPr>
            <w:tcW w:w="380" w:type="pct"/>
            <w:vAlign w:val="center"/>
            <w:hideMark/>
          </w:tcPr>
          <w:p w14:paraId="0E9EA06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547" w:type="pct"/>
            <w:vAlign w:val="center"/>
            <w:hideMark/>
          </w:tcPr>
          <w:p w14:paraId="767D6C95"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44BB7B0D"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676C835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48F8078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6E45E590"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54787E13" w14:textId="77777777" w:rsidTr="0030562D">
        <w:trPr>
          <w:tblCellSpacing w:w="15" w:type="dxa"/>
        </w:trPr>
        <w:tc>
          <w:tcPr>
            <w:tcW w:w="657" w:type="pct"/>
            <w:vAlign w:val="center"/>
            <w:hideMark/>
          </w:tcPr>
          <w:p w14:paraId="20F39DA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Efficiency</w:t>
            </w:r>
          </w:p>
        </w:tc>
        <w:tc>
          <w:tcPr>
            <w:tcW w:w="363" w:type="pct"/>
            <w:vAlign w:val="center"/>
            <w:hideMark/>
          </w:tcPr>
          <w:p w14:paraId="3CF34796"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0.784</w:t>
            </w:r>
          </w:p>
        </w:tc>
        <w:tc>
          <w:tcPr>
            <w:tcW w:w="526" w:type="pct"/>
            <w:vAlign w:val="center"/>
            <w:hideMark/>
          </w:tcPr>
          <w:p w14:paraId="5C0E295F"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0.801</w:t>
            </w:r>
          </w:p>
        </w:tc>
        <w:tc>
          <w:tcPr>
            <w:tcW w:w="380" w:type="pct"/>
            <w:vAlign w:val="center"/>
            <w:hideMark/>
          </w:tcPr>
          <w:p w14:paraId="2656003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0.909</w:t>
            </w:r>
          </w:p>
        </w:tc>
        <w:tc>
          <w:tcPr>
            <w:tcW w:w="547" w:type="pct"/>
            <w:vAlign w:val="center"/>
            <w:hideMark/>
          </w:tcPr>
          <w:p w14:paraId="4C5354F6"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380" w:type="pct"/>
            <w:vAlign w:val="center"/>
            <w:hideMark/>
          </w:tcPr>
          <w:p w14:paraId="33EF3B6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7BC7D18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3BBE6829"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12AEBC3F"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0C9E481C" w14:textId="77777777" w:rsidTr="0030562D">
        <w:trPr>
          <w:tblCellSpacing w:w="15" w:type="dxa"/>
        </w:trPr>
        <w:tc>
          <w:tcPr>
            <w:tcW w:w="657" w:type="pct"/>
            <w:vAlign w:val="center"/>
            <w:hideMark/>
          </w:tcPr>
          <w:p w14:paraId="2D8979C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Personal Need</w:t>
            </w:r>
          </w:p>
        </w:tc>
        <w:tc>
          <w:tcPr>
            <w:tcW w:w="363" w:type="pct"/>
            <w:vAlign w:val="center"/>
            <w:hideMark/>
          </w:tcPr>
          <w:p w14:paraId="0E1220E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0.823</w:t>
            </w:r>
          </w:p>
        </w:tc>
        <w:tc>
          <w:tcPr>
            <w:tcW w:w="526" w:type="pct"/>
            <w:vAlign w:val="center"/>
            <w:hideMark/>
          </w:tcPr>
          <w:p w14:paraId="68846A8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0.820</w:t>
            </w:r>
          </w:p>
        </w:tc>
        <w:tc>
          <w:tcPr>
            <w:tcW w:w="380" w:type="pct"/>
            <w:vAlign w:val="center"/>
            <w:hideMark/>
          </w:tcPr>
          <w:p w14:paraId="3AF76A2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0.845</w:t>
            </w:r>
          </w:p>
        </w:tc>
        <w:tc>
          <w:tcPr>
            <w:tcW w:w="547" w:type="pct"/>
            <w:vAlign w:val="center"/>
            <w:hideMark/>
          </w:tcPr>
          <w:p w14:paraId="40B01AF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0.921</w:t>
            </w:r>
          </w:p>
        </w:tc>
        <w:tc>
          <w:tcPr>
            <w:tcW w:w="380" w:type="pct"/>
            <w:vAlign w:val="center"/>
            <w:hideMark/>
          </w:tcPr>
          <w:p w14:paraId="3F07ED98"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19" w:type="pct"/>
            <w:vAlign w:val="center"/>
            <w:hideMark/>
          </w:tcPr>
          <w:p w14:paraId="2E32B4F7"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6A552BEA"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60829516"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2DC03076" w14:textId="77777777" w:rsidTr="0030562D">
        <w:trPr>
          <w:tblCellSpacing w:w="15" w:type="dxa"/>
        </w:trPr>
        <w:tc>
          <w:tcPr>
            <w:tcW w:w="657" w:type="pct"/>
            <w:vAlign w:val="center"/>
            <w:hideMark/>
          </w:tcPr>
          <w:p w14:paraId="2F4108D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Reliability</w:t>
            </w:r>
          </w:p>
        </w:tc>
        <w:tc>
          <w:tcPr>
            <w:tcW w:w="363" w:type="pct"/>
            <w:vAlign w:val="center"/>
            <w:hideMark/>
          </w:tcPr>
          <w:p w14:paraId="6CFD734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0.842</w:t>
            </w:r>
          </w:p>
        </w:tc>
        <w:tc>
          <w:tcPr>
            <w:tcW w:w="526" w:type="pct"/>
            <w:vAlign w:val="center"/>
            <w:hideMark/>
          </w:tcPr>
          <w:p w14:paraId="523B593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0.811</w:t>
            </w:r>
          </w:p>
        </w:tc>
        <w:tc>
          <w:tcPr>
            <w:tcW w:w="380" w:type="pct"/>
            <w:vAlign w:val="center"/>
            <w:hideMark/>
          </w:tcPr>
          <w:p w14:paraId="49DA22F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0.773</w:t>
            </w:r>
          </w:p>
        </w:tc>
        <w:tc>
          <w:tcPr>
            <w:tcW w:w="547" w:type="pct"/>
            <w:vAlign w:val="center"/>
            <w:hideMark/>
          </w:tcPr>
          <w:p w14:paraId="507B457A"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0.782</w:t>
            </w:r>
          </w:p>
        </w:tc>
        <w:tc>
          <w:tcPr>
            <w:tcW w:w="380" w:type="pct"/>
            <w:vAlign w:val="center"/>
            <w:hideMark/>
          </w:tcPr>
          <w:p w14:paraId="24252F9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0.853</w:t>
            </w:r>
          </w:p>
        </w:tc>
        <w:tc>
          <w:tcPr>
            <w:tcW w:w="619" w:type="pct"/>
            <w:vAlign w:val="center"/>
            <w:hideMark/>
          </w:tcPr>
          <w:p w14:paraId="419E83C6"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44" w:type="pct"/>
            <w:vAlign w:val="center"/>
            <w:hideMark/>
          </w:tcPr>
          <w:p w14:paraId="7932224F"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135B39AC"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591D03DB" w14:textId="77777777" w:rsidTr="0030562D">
        <w:trPr>
          <w:tblCellSpacing w:w="15" w:type="dxa"/>
        </w:trPr>
        <w:tc>
          <w:tcPr>
            <w:tcW w:w="657" w:type="pct"/>
            <w:vAlign w:val="center"/>
            <w:hideMark/>
          </w:tcPr>
          <w:p w14:paraId="410FE274"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Responsiveness</w:t>
            </w:r>
          </w:p>
        </w:tc>
        <w:tc>
          <w:tcPr>
            <w:tcW w:w="363" w:type="pct"/>
            <w:vAlign w:val="center"/>
            <w:hideMark/>
          </w:tcPr>
          <w:p w14:paraId="196F4FD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0.856</w:t>
            </w:r>
          </w:p>
        </w:tc>
        <w:tc>
          <w:tcPr>
            <w:tcW w:w="526" w:type="pct"/>
            <w:vAlign w:val="center"/>
            <w:hideMark/>
          </w:tcPr>
          <w:p w14:paraId="5E569A75"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0.797</w:t>
            </w:r>
          </w:p>
        </w:tc>
        <w:tc>
          <w:tcPr>
            <w:tcW w:w="380" w:type="pct"/>
            <w:vAlign w:val="center"/>
            <w:hideMark/>
          </w:tcPr>
          <w:p w14:paraId="3B7072EA"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0.777</w:t>
            </w:r>
          </w:p>
        </w:tc>
        <w:tc>
          <w:tcPr>
            <w:tcW w:w="547" w:type="pct"/>
            <w:vAlign w:val="center"/>
            <w:hideMark/>
          </w:tcPr>
          <w:p w14:paraId="63F550E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0.793</w:t>
            </w:r>
          </w:p>
        </w:tc>
        <w:tc>
          <w:tcPr>
            <w:tcW w:w="380" w:type="pct"/>
            <w:vAlign w:val="center"/>
            <w:hideMark/>
          </w:tcPr>
          <w:p w14:paraId="552C815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0.887</w:t>
            </w:r>
          </w:p>
        </w:tc>
        <w:tc>
          <w:tcPr>
            <w:tcW w:w="619" w:type="pct"/>
            <w:vAlign w:val="center"/>
            <w:hideMark/>
          </w:tcPr>
          <w:p w14:paraId="276B740D"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0.871</w:t>
            </w:r>
          </w:p>
        </w:tc>
        <w:tc>
          <w:tcPr>
            <w:tcW w:w="644" w:type="pct"/>
            <w:vAlign w:val="center"/>
            <w:hideMark/>
          </w:tcPr>
          <w:p w14:paraId="604FD117" w14:textId="77777777" w:rsidR="006A625A" w:rsidRPr="0030562D" w:rsidRDefault="006A625A" w:rsidP="00ED0FAD">
            <w:pPr>
              <w:widowControl/>
              <w:autoSpaceDE/>
              <w:autoSpaceDN/>
              <w:spacing w:after="120"/>
              <w:jc w:val="both"/>
              <w:rPr>
                <w:rFonts w:ascii="Arial" w:hAnsi="Arial" w:cs="Arial"/>
                <w:sz w:val="13"/>
                <w:szCs w:val="13"/>
                <w:lang w:val="en-ID"/>
              </w:rPr>
            </w:pPr>
          </w:p>
        </w:tc>
        <w:tc>
          <w:tcPr>
            <w:tcW w:w="657" w:type="pct"/>
            <w:vAlign w:val="center"/>
            <w:hideMark/>
          </w:tcPr>
          <w:p w14:paraId="71154C4C"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7D57CB43" w14:textId="77777777" w:rsidTr="0030562D">
        <w:trPr>
          <w:tblCellSpacing w:w="15" w:type="dxa"/>
        </w:trPr>
        <w:tc>
          <w:tcPr>
            <w:tcW w:w="657" w:type="pct"/>
            <w:vAlign w:val="center"/>
            <w:hideMark/>
          </w:tcPr>
          <w:p w14:paraId="4929D95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Site Organization</w:t>
            </w:r>
          </w:p>
        </w:tc>
        <w:tc>
          <w:tcPr>
            <w:tcW w:w="363" w:type="pct"/>
            <w:vAlign w:val="center"/>
            <w:hideMark/>
          </w:tcPr>
          <w:p w14:paraId="65832D2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0.775</w:t>
            </w:r>
          </w:p>
        </w:tc>
        <w:tc>
          <w:tcPr>
            <w:tcW w:w="526" w:type="pct"/>
            <w:vAlign w:val="center"/>
            <w:hideMark/>
          </w:tcPr>
          <w:p w14:paraId="74680F80"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0.762</w:t>
            </w:r>
          </w:p>
        </w:tc>
        <w:tc>
          <w:tcPr>
            <w:tcW w:w="380" w:type="pct"/>
            <w:vAlign w:val="center"/>
            <w:hideMark/>
          </w:tcPr>
          <w:p w14:paraId="572795A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0.749</w:t>
            </w:r>
          </w:p>
        </w:tc>
        <w:tc>
          <w:tcPr>
            <w:tcW w:w="547" w:type="pct"/>
            <w:vAlign w:val="center"/>
            <w:hideMark/>
          </w:tcPr>
          <w:p w14:paraId="24A47D0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0.779</w:t>
            </w:r>
          </w:p>
        </w:tc>
        <w:tc>
          <w:tcPr>
            <w:tcW w:w="380" w:type="pct"/>
            <w:vAlign w:val="center"/>
            <w:hideMark/>
          </w:tcPr>
          <w:p w14:paraId="555D8E8C"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0.813</w:t>
            </w:r>
          </w:p>
        </w:tc>
        <w:tc>
          <w:tcPr>
            <w:tcW w:w="619" w:type="pct"/>
            <w:vAlign w:val="center"/>
            <w:hideMark/>
          </w:tcPr>
          <w:p w14:paraId="0132674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0.801</w:t>
            </w:r>
          </w:p>
        </w:tc>
        <w:tc>
          <w:tcPr>
            <w:tcW w:w="644" w:type="pct"/>
            <w:vAlign w:val="center"/>
            <w:hideMark/>
          </w:tcPr>
          <w:p w14:paraId="05AFECA7"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0.87</w:t>
            </w:r>
          </w:p>
        </w:tc>
        <w:tc>
          <w:tcPr>
            <w:tcW w:w="657" w:type="pct"/>
            <w:vAlign w:val="center"/>
            <w:hideMark/>
          </w:tcPr>
          <w:p w14:paraId="49167372" w14:textId="77777777" w:rsidR="006A625A" w:rsidRPr="0030562D" w:rsidRDefault="006A625A" w:rsidP="00ED0FAD">
            <w:pPr>
              <w:widowControl/>
              <w:autoSpaceDE/>
              <w:autoSpaceDN/>
              <w:spacing w:after="120"/>
              <w:jc w:val="both"/>
              <w:rPr>
                <w:rFonts w:ascii="Arial" w:hAnsi="Arial" w:cs="Arial"/>
                <w:sz w:val="13"/>
                <w:szCs w:val="13"/>
                <w:lang w:val="en-ID"/>
              </w:rPr>
            </w:pPr>
          </w:p>
        </w:tc>
      </w:tr>
      <w:tr w:rsidR="00ED0FAD" w:rsidRPr="0030562D" w14:paraId="121624DB" w14:textId="77777777" w:rsidTr="0030562D">
        <w:trPr>
          <w:tblCellSpacing w:w="15" w:type="dxa"/>
        </w:trPr>
        <w:tc>
          <w:tcPr>
            <w:tcW w:w="657" w:type="pct"/>
            <w:vAlign w:val="center"/>
            <w:hideMark/>
          </w:tcPr>
          <w:p w14:paraId="2C1DCB0B"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User Friendliness</w:t>
            </w:r>
          </w:p>
        </w:tc>
        <w:tc>
          <w:tcPr>
            <w:tcW w:w="363" w:type="pct"/>
            <w:vAlign w:val="center"/>
            <w:hideMark/>
          </w:tcPr>
          <w:p w14:paraId="0E0328A9"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0.937</w:t>
            </w:r>
          </w:p>
        </w:tc>
        <w:tc>
          <w:tcPr>
            <w:tcW w:w="526" w:type="pct"/>
            <w:vAlign w:val="center"/>
            <w:hideMark/>
          </w:tcPr>
          <w:p w14:paraId="2A3B8FB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0.850</w:t>
            </w:r>
          </w:p>
        </w:tc>
        <w:tc>
          <w:tcPr>
            <w:tcW w:w="380" w:type="pct"/>
            <w:vAlign w:val="center"/>
            <w:hideMark/>
          </w:tcPr>
          <w:p w14:paraId="4A04714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0.829</w:t>
            </w:r>
          </w:p>
        </w:tc>
        <w:tc>
          <w:tcPr>
            <w:tcW w:w="547" w:type="pct"/>
            <w:vAlign w:val="center"/>
            <w:hideMark/>
          </w:tcPr>
          <w:p w14:paraId="2779E9C3"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0.843</w:t>
            </w:r>
          </w:p>
        </w:tc>
        <w:tc>
          <w:tcPr>
            <w:tcW w:w="380" w:type="pct"/>
            <w:vAlign w:val="center"/>
            <w:hideMark/>
          </w:tcPr>
          <w:p w14:paraId="0B09B031"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0.863</w:t>
            </w:r>
          </w:p>
        </w:tc>
        <w:tc>
          <w:tcPr>
            <w:tcW w:w="619" w:type="pct"/>
            <w:vAlign w:val="center"/>
            <w:hideMark/>
          </w:tcPr>
          <w:p w14:paraId="0DB8ECD2"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0.889</w:t>
            </w:r>
          </w:p>
        </w:tc>
        <w:tc>
          <w:tcPr>
            <w:tcW w:w="644" w:type="pct"/>
            <w:vAlign w:val="center"/>
            <w:hideMark/>
          </w:tcPr>
          <w:p w14:paraId="0A61DD6E"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sz w:val="13"/>
                <w:szCs w:val="13"/>
                <w:lang w:val="en-ID"/>
              </w:rPr>
              <w:t>0.792</w:t>
            </w:r>
          </w:p>
        </w:tc>
        <w:tc>
          <w:tcPr>
            <w:tcW w:w="657" w:type="pct"/>
            <w:vAlign w:val="center"/>
            <w:hideMark/>
          </w:tcPr>
          <w:p w14:paraId="67786DB8" w14:textId="77777777" w:rsidR="006A625A" w:rsidRPr="0030562D" w:rsidRDefault="006A625A" w:rsidP="00ED0FAD">
            <w:pPr>
              <w:widowControl/>
              <w:autoSpaceDE/>
              <w:autoSpaceDN/>
              <w:spacing w:after="120"/>
              <w:jc w:val="both"/>
              <w:rPr>
                <w:rFonts w:ascii="Arial" w:hAnsi="Arial" w:cs="Arial"/>
                <w:sz w:val="13"/>
                <w:szCs w:val="13"/>
                <w:lang w:val="en-ID"/>
              </w:rPr>
            </w:pPr>
            <w:r w:rsidRPr="0030562D">
              <w:rPr>
                <w:rFonts w:ascii="Arial" w:hAnsi="Arial" w:cs="Arial"/>
                <w:b/>
                <w:bCs/>
                <w:sz w:val="13"/>
                <w:szCs w:val="13"/>
                <w:lang w:val="en-ID"/>
              </w:rPr>
              <w:t>0.867</w:t>
            </w:r>
          </w:p>
        </w:tc>
      </w:tr>
    </w:tbl>
    <w:p w14:paraId="2FE52918"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7F8C08CA" w14:textId="47660546" w:rsidR="006A625A" w:rsidRPr="0030562D" w:rsidRDefault="006A625A"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Table 9. displays the discriminant validity results using the Fornell-Larcker Criterion, which compares the square root of the AVE (highlighted in bold diagonals) with the inter-construct correlations (values below the diagonal). A construct is considered to possess good discriminant validity if its AVE square root is greater than its correlation with any other construct. Based on the table, all diagonal values are higher than the corresponding correlations in their respective rows and columns. This indicates that each construct, such as E-Loyalty, E-Satisfaction, Efficiency, and User Friendliness, can be clearly distinguished from the others. Therefore, it can be concluded that the model demonstrates strong discriminant validity, and each construct distinctly measures a different concept. The following table presents the Cross Loadings results.</w:t>
      </w:r>
    </w:p>
    <w:p w14:paraId="40FDA8D9" w14:textId="77777777" w:rsidR="00ED0FAD" w:rsidRPr="0030562D" w:rsidRDefault="00ED0FAD" w:rsidP="00ED0FAD">
      <w:pPr>
        <w:pStyle w:val="NormalWeb"/>
        <w:spacing w:before="0" w:beforeAutospacing="0" w:after="120" w:afterAutospacing="0"/>
        <w:jc w:val="both"/>
        <w:rPr>
          <w:rFonts w:ascii="Arial" w:hAnsi="Arial" w:cs="Arial"/>
          <w:sz w:val="20"/>
          <w:szCs w:val="20"/>
        </w:rPr>
      </w:pPr>
    </w:p>
    <w:p w14:paraId="5A43C282" w14:textId="3A5774F3" w:rsidR="006A625A" w:rsidRPr="0030562D" w:rsidRDefault="006A625A"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rPr>
        <w:t>Table 10. Cross Loadings Test Results</w:t>
      </w:r>
    </w:p>
    <w:tbl>
      <w:tblPr>
        <w:tblW w:w="5000" w:type="pct"/>
        <w:tblLook w:val="04A0" w:firstRow="1" w:lastRow="0" w:firstColumn="1" w:lastColumn="0" w:noHBand="0" w:noVBand="1"/>
      </w:tblPr>
      <w:tblGrid>
        <w:gridCol w:w="454"/>
        <w:gridCol w:w="737"/>
        <w:gridCol w:w="988"/>
        <w:gridCol w:w="764"/>
        <w:gridCol w:w="1021"/>
        <w:gridCol w:w="764"/>
        <w:gridCol w:w="1131"/>
        <w:gridCol w:w="1169"/>
        <w:gridCol w:w="1188"/>
      </w:tblGrid>
      <w:tr w:rsidR="00ED0FAD" w:rsidRPr="0030562D" w14:paraId="07B4CCD9" w14:textId="77777777" w:rsidTr="00023A5E">
        <w:trPr>
          <w:trHeight w:val="3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9C26" w14:textId="680528E0"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Item</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19704A27"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E-Loyalty</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14:paraId="03D986D3"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E-Satisfaction</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4B15F929"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Efficiency</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25046FB0"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Personal Need</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14:paraId="363D8BF4"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Reliability</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722EE162"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Responsiveness</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0B897353"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Site Organization</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31A0168" w14:textId="77777777" w:rsidR="006A625A" w:rsidRPr="0030562D" w:rsidRDefault="006A625A" w:rsidP="00ED0FAD">
            <w:pPr>
              <w:spacing w:after="120"/>
              <w:jc w:val="both"/>
              <w:rPr>
                <w:rFonts w:ascii="Arial" w:hAnsi="Arial" w:cs="Arial"/>
                <w:b/>
                <w:bCs/>
                <w:i/>
                <w:iCs/>
                <w:sz w:val="13"/>
                <w:szCs w:val="13"/>
              </w:rPr>
            </w:pPr>
            <w:r w:rsidRPr="0030562D">
              <w:rPr>
                <w:rFonts w:ascii="Arial" w:hAnsi="Arial" w:cs="Arial"/>
                <w:b/>
                <w:bCs/>
                <w:i/>
                <w:iCs/>
                <w:sz w:val="13"/>
                <w:szCs w:val="13"/>
              </w:rPr>
              <w:t>User Friendliness</w:t>
            </w:r>
          </w:p>
        </w:tc>
      </w:tr>
      <w:tr w:rsidR="00ED0FAD" w:rsidRPr="0030562D" w14:paraId="3C1FD01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E23610C" w14:textId="77777777" w:rsidR="006A625A" w:rsidRPr="0030562D" w:rsidRDefault="006A625A" w:rsidP="00ED0FAD">
            <w:pPr>
              <w:spacing w:after="120"/>
              <w:jc w:val="both"/>
              <w:rPr>
                <w:rFonts w:ascii="Arial" w:hAnsi="Arial" w:cs="Arial"/>
                <w:sz w:val="13"/>
                <w:szCs w:val="13"/>
              </w:rPr>
            </w:pPr>
            <w:r w:rsidRPr="0030562D">
              <w:rPr>
                <w:rFonts w:ascii="Calibri" w:hAnsi="Calibri" w:cs="Calibri"/>
                <w:sz w:val="13"/>
                <w:szCs w:val="13"/>
              </w:rPr>
              <w:t>﻿</w:t>
            </w:r>
            <w:r w:rsidRPr="0030562D">
              <w:rPr>
                <w:rFonts w:ascii="Arial" w:hAnsi="Arial" w:cs="Arial"/>
                <w:sz w:val="13"/>
                <w:szCs w:val="13"/>
              </w:rPr>
              <w:t>X11</w:t>
            </w:r>
          </w:p>
        </w:tc>
        <w:tc>
          <w:tcPr>
            <w:tcW w:w="440" w:type="pct"/>
            <w:tcBorders>
              <w:top w:val="nil"/>
              <w:left w:val="nil"/>
              <w:bottom w:val="single" w:sz="4" w:space="0" w:color="auto"/>
              <w:right w:val="single" w:sz="4" w:space="0" w:color="auto"/>
            </w:tcBorders>
            <w:shd w:val="clear" w:color="auto" w:fill="auto"/>
            <w:noWrap/>
            <w:vAlign w:val="center"/>
            <w:hideMark/>
          </w:tcPr>
          <w:p w14:paraId="6E4ED66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0.721</w:t>
            </w:r>
          </w:p>
        </w:tc>
        <w:tc>
          <w:tcPr>
            <w:tcW w:w="577" w:type="pct"/>
            <w:tcBorders>
              <w:top w:val="nil"/>
              <w:left w:val="nil"/>
              <w:bottom w:val="single" w:sz="4" w:space="0" w:color="auto"/>
              <w:right w:val="single" w:sz="4" w:space="0" w:color="auto"/>
            </w:tcBorders>
            <w:shd w:val="clear" w:color="auto" w:fill="auto"/>
            <w:noWrap/>
            <w:vAlign w:val="center"/>
            <w:hideMark/>
          </w:tcPr>
          <w:p w14:paraId="618363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0.711</w:t>
            </w:r>
          </w:p>
        </w:tc>
        <w:tc>
          <w:tcPr>
            <w:tcW w:w="453" w:type="pct"/>
            <w:tcBorders>
              <w:top w:val="nil"/>
              <w:left w:val="nil"/>
              <w:bottom w:val="single" w:sz="4" w:space="0" w:color="auto"/>
              <w:right w:val="single" w:sz="4" w:space="0" w:color="auto"/>
            </w:tcBorders>
            <w:shd w:val="clear" w:color="auto" w:fill="auto"/>
            <w:noWrap/>
            <w:vAlign w:val="center"/>
            <w:hideMark/>
          </w:tcPr>
          <w:p w14:paraId="0885DBB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588" w:type="pct"/>
            <w:tcBorders>
              <w:top w:val="nil"/>
              <w:left w:val="nil"/>
              <w:bottom w:val="single" w:sz="4" w:space="0" w:color="auto"/>
              <w:right w:val="single" w:sz="4" w:space="0" w:color="auto"/>
            </w:tcBorders>
            <w:shd w:val="clear" w:color="auto" w:fill="auto"/>
            <w:noWrap/>
            <w:vAlign w:val="center"/>
            <w:hideMark/>
          </w:tcPr>
          <w:p w14:paraId="1249D0C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453" w:type="pct"/>
            <w:tcBorders>
              <w:top w:val="nil"/>
              <w:left w:val="nil"/>
              <w:bottom w:val="single" w:sz="4" w:space="0" w:color="auto"/>
              <w:right w:val="single" w:sz="4" w:space="0" w:color="auto"/>
            </w:tcBorders>
            <w:shd w:val="clear" w:color="auto" w:fill="auto"/>
            <w:noWrap/>
            <w:vAlign w:val="center"/>
            <w:hideMark/>
          </w:tcPr>
          <w:p w14:paraId="34DBDE2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0.687</w:t>
            </w:r>
          </w:p>
        </w:tc>
        <w:tc>
          <w:tcPr>
            <w:tcW w:w="615" w:type="pct"/>
            <w:tcBorders>
              <w:top w:val="nil"/>
              <w:left w:val="nil"/>
              <w:bottom w:val="single" w:sz="4" w:space="0" w:color="auto"/>
              <w:right w:val="single" w:sz="4" w:space="0" w:color="auto"/>
            </w:tcBorders>
            <w:shd w:val="clear" w:color="auto" w:fill="auto"/>
            <w:noWrap/>
            <w:vAlign w:val="center"/>
            <w:hideMark/>
          </w:tcPr>
          <w:p w14:paraId="71E55E6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0.683</w:t>
            </w:r>
          </w:p>
        </w:tc>
        <w:tc>
          <w:tcPr>
            <w:tcW w:w="680" w:type="pct"/>
            <w:tcBorders>
              <w:top w:val="nil"/>
              <w:left w:val="nil"/>
              <w:bottom w:val="single" w:sz="4" w:space="0" w:color="auto"/>
              <w:right w:val="single" w:sz="4" w:space="0" w:color="auto"/>
            </w:tcBorders>
            <w:shd w:val="clear" w:color="auto" w:fill="auto"/>
            <w:noWrap/>
            <w:vAlign w:val="center"/>
            <w:hideMark/>
          </w:tcPr>
          <w:p w14:paraId="07642530"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0.864</w:t>
            </w:r>
          </w:p>
        </w:tc>
        <w:tc>
          <w:tcPr>
            <w:tcW w:w="688" w:type="pct"/>
            <w:tcBorders>
              <w:top w:val="nil"/>
              <w:left w:val="nil"/>
              <w:bottom w:val="single" w:sz="4" w:space="0" w:color="auto"/>
              <w:right w:val="single" w:sz="4" w:space="0" w:color="auto"/>
            </w:tcBorders>
            <w:shd w:val="clear" w:color="auto" w:fill="auto"/>
            <w:noWrap/>
            <w:vAlign w:val="center"/>
            <w:hideMark/>
          </w:tcPr>
          <w:p w14:paraId="27F34EB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0.695</w:t>
            </w:r>
          </w:p>
        </w:tc>
      </w:tr>
      <w:tr w:rsidR="00ED0FAD" w:rsidRPr="0030562D" w14:paraId="470029D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B7F0E1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X12</w:t>
            </w:r>
          </w:p>
        </w:tc>
        <w:tc>
          <w:tcPr>
            <w:tcW w:w="440" w:type="pct"/>
            <w:tcBorders>
              <w:top w:val="nil"/>
              <w:left w:val="nil"/>
              <w:bottom w:val="single" w:sz="4" w:space="0" w:color="auto"/>
              <w:right w:val="single" w:sz="4" w:space="0" w:color="auto"/>
            </w:tcBorders>
            <w:shd w:val="clear" w:color="auto" w:fill="auto"/>
            <w:noWrap/>
            <w:vAlign w:val="center"/>
            <w:hideMark/>
          </w:tcPr>
          <w:p w14:paraId="444CA5B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0.633</w:t>
            </w:r>
          </w:p>
        </w:tc>
        <w:tc>
          <w:tcPr>
            <w:tcW w:w="577" w:type="pct"/>
            <w:tcBorders>
              <w:top w:val="nil"/>
              <w:left w:val="nil"/>
              <w:bottom w:val="single" w:sz="4" w:space="0" w:color="auto"/>
              <w:right w:val="single" w:sz="4" w:space="0" w:color="auto"/>
            </w:tcBorders>
            <w:shd w:val="clear" w:color="auto" w:fill="auto"/>
            <w:noWrap/>
            <w:vAlign w:val="center"/>
            <w:hideMark/>
          </w:tcPr>
          <w:p w14:paraId="4B7DD5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0.611</w:t>
            </w:r>
          </w:p>
        </w:tc>
        <w:tc>
          <w:tcPr>
            <w:tcW w:w="453" w:type="pct"/>
            <w:tcBorders>
              <w:top w:val="nil"/>
              <w:left w:val="nil"/>
              <w:bottom w:val="single" w:sz="4" w:space="0" w:color="auto"/>
              <w:right w:val="single" w:sz="4" w:space="0" w:color="auto"/>
            </w:tcBorders>
            <w:shd w:val="clear" w:color="auto" w:fill="auto"/>
            <w:noWrap/>
            <w:vAlign w:val="center"/>
            <w:hideMark/>
          </w:tcPr>
          <w:p w14:paraId="356D3F9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0.683</w:t>
            </w:r>
          </w:p>
        </w:tc>
        <w:tc>
          <w:tcPr>
            <w:tcW w:w="588" w:type="pct"/>
            <w:tcBorders>
              <w:top w:val="nil"/>
              <w:left w:val="nil"/>
              <w:bottom w:val="single" w:sz="4" w:space="0" w:color="auto"/>
              <w:right w:val="single" w:sz="4" w:space="0" w:color="auto"/>
            </w:tcBorders>
            <w:shd w:val="clear" w:color="auto" w:fill="auto"/>
            <w:noWrap/>
            <w:vAlign w:val="center"/>
            <w:hideMark/>
          </w:tcPr>
          <w:p w14:paraId="3B2E7D4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0.649</w:t>
            </w:r>
          </w:p>
        </w:tc>
        <w:tc>
          <w:tcPr>
            <w:tcW w:w="453" w:type="pct"/>
            <w:tcBorders>
              <w:top w:val="nil"/>
              <w:left w:val="nil"/>
              <w:bottom w:val="single" w:sz="4" w:space="0" w:color="auto"/>
              <w:right w:val="single" w:sz="4" w:space="0" w:color="auto"/>
            </w:tcBorders>
            <w:shd w:val="clear" w:color="auto" w:fill="auto"/>
            <w:noWrap/>
            <w:vAlign w:val="center"/>
            <w:hideMark/>
          </w:tcPr>
          <w:p w14:paraId="018896F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615" w:type="pct"/>
            <w:tcBorders>
              <w:top w:val="nil"/>
              <w:left w:val="nil"/>
              <w:bottom w:val="single" w:sz="4" w:space="0" w:color="auto"/>
              <w:right w:val="single" w:sz="4" w:space="0" w:color="auto"/>
            </w:tcBorders>
            <w:shd w:val="clear" w:color="auto" w:fill="auto"/>
            <w:noWrap/>
            <w:vAlign w:val="center"/>
            <w:hideMark/>
          </w:tcPr>
          <w:p w14:paraId="70150FF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0.677</w:t>
            </w:r>
          </w:p>
        </w:tc>
        <w:tc>
          <w:tcPr>
            <w:tcW w:w="680" w:type="pct"/>
            <w:tcBorders>
              <w:top w:val="nil"/>
              <w:left w:val="nil"/>
              <w:bottom w:val="single" w:sz="4" w:space="0" w:color="auto"/>
              <w:right w:val="single" w:sz="4" w:space="0" w:color="auto"/>
            </w:tcBorders>
            <w:shd w:val="clear" w:color="auto" w:fill="auto"/>
            <w:noWrap/>
            <w:vAlign w:val="center"/>
            <w:hideMark/>
          </w:tcPr>
          <w:p w14:paraId="73138A4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w:t>
            </w:r>
          </w:p>
        </w:tc>
        <w:tc>
          <w:tcPr>
            <w:tcW w:w="688" w:type="pct"/>
            <w:tcBorders>
              <w:top w:val="nil"/>
              <w:left w:val="nil"/>
              <w:bottom w:val="single" w:sz="4" w:space="0" w:color="auto"/>
              <w:right w:val="single" w:sz="4" w:space="0" w:color="auto"/>
            </w:tcBorders>
            <w:shd w:val="clear" w:color="auto" w:fill="auto"/>
            <w:noWrap/>
            <w:vAlign w:val="center"/>
            <w:hideMark/>
          </w:tcPr>
          <w:p w14:paraId="4FAD50C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0.664</w:t>
            </w:r>
          </w:p>
        </w:tc>
      </w:tr>
      <w:tr w:rsidR="00ED0FAD" w:rsidRPr="0030562D" w14:paraId="143DBBB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C53327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X13</w:t>
            </w:r>
          </w:p>
        </w:tc>
        <w:tc>
          <w:tcPr>
            <w:tcW w:w="440" w:type="pct"/>
            <w:tcBorders>
              <w:top w:val="nil"/>
              <w:left w:val="nil"/>
              <w:bottom w:val="single" w:sz="4" w:space="0" w:color="auto"/>
              <w:right w:val="single" w:sz="4" w:space="0" w:color="auto"/>
            </w:tcBorders>
            <w:shd w:val="clear" w:color="auto" w:fill="auto"/>
            <w:noWrap/>
            <w:vAlign w:val="center"/>
            <w:hideMark/>
          </w:tcPr>
          <w:p w14:paraId="4EC3F2F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0.663</w:t>
            </w:r>
          </w:p>
        </w:tc>
        <w:tc>
          <w:tcPr>
            <w:tcW w:w="577" w:type="pct"/>
            <w:tcBorders>
              <w:top w:val="nil"/>
              <w:left w:val="nil"/>
              <w:bottom w:val="single" w:sz="4" w:space="0" w:color="auto"/>
              <w:right w:val="single" w:sz="4" w:space="0" w:color="auto"/>
            </w:tcBorders>
            <w:shd w:val="clear" w:color="auto" w:fill="auto"/>
            <w:noWrap/>
            <w:vAlign w:val="center"/>
            <w:hideMark/>
          </w:tcPr>
          <w:p w14:paraId="4E4DEC8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0.659</w:t>
            </w:r>
          </w:p>
        </w:tc>
        <w:tc>
          <w:tcPr>
            <w:tcW w:w="453" w:type="pct"/>
            <w:tcBorders>
              <w:top w:val="nil"/>
              <w:left w:val="nil"/>
              <w:bottom w:val="single" w:sz="4" w:space="0" w:color="auto"/>
              <w:right w:val="single" w:sz="4" w:space="0" w:color="auto"/>
            </w:tcBorders>
            <w:shd w:val="clear" w:color="auto" w:fill="auto"/>
            <w:noWrap/>
            <w:vAlign w:val="center"/>
            <w:hideMark/>
          </w:tcPr>
          <w:p w14:paraId="1E7844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0.656</w:t>
            </w:r>
          </w:p>
        </w:tc>
        <w:tc>
          <w:tcPr>
            <w:tcW w:w="588" w:type="pct"/>
            <w:tcBorders>
              <w:top w:val="nil"/>
              <w:left w:val="nil"/>
              <w:bottom w:val="single" w:sz="4" w:space="0" w:color="auto"/>
              <w:right w:val="single" w:sz="4" w:space="0" w:color="auto"/>
            </w:tcBorders>
            <w:shd w:val="clear" w:color="auto" w:fill="auto"/>
            <w:noWrap/>
            <w:vAlign w:val="center"/>
            <w:hideMark/>
          </w:tcPr>
          <w:p w14:paraId="06D7590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0.681</w:t>
            </w:r>
          </w:p>
        </w:tc>
        <w:tc>
          <w:tcPr>
            <w:tcW w:w="453" w:type="pct"/>
            <w:tcBorders>
              <w:top w:val="nil"/>
              <w:left w:val="nil"/>
              <w:bottom w:val="single" w:sz="4" w:space="0" w:color="auto"/>
              <w:right w:val="single" w:sz="4" w:space="0" w:color="auto"/>
            </w:tcBorders>
            <w:shd w:val="clear" w:color="auto" w:fill="auto"/>
            <w:noWrap/>
            <w:vAlign w:val="center"/>
            <w:hideMark/>
          </w:tcPr>
          <w:p w14:paraId="0E7E2A4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0.762</w:t>
            </w:r>
          </w:p>
        </w:tc>
        <w:tc>
          <w:tcPr>
            <w:tcW w:w="615" w:type="pct"/>
            <w:tcBorders>
              <w:top w:val="nil"/>
              <w:left w:val="nil"/>
              <w:bottom w:val="single" w:sz="4" w:space="0" w:color="auto"/>
              <w:right w:val="single" w:sz="4" w:space="0" w:color="auto"/>
            </w:tcBorders>
            <w:shd w:val="clear" w:color="auto" w:fill="auto"/>
            <w:noWrap/>
            <w:vAlign w:val="center"/>
            <w:hideMark/>
          </w:tcPr>
          <w:p w14:paraId="192867A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0.729</w:t>
            </w:r>
          </w:p>
        </w:tc>
        <w:tc>
          <w:tcPr>
            <w:tcW w:w="680" w:type="pct"/>
            <w:tcBorders>
              <w:top w:val="nil"/>
              <w:left w:val="nil"/>
              <w:bottom w:val="single" w:sz="4" w:space="0" w:color="auto"/>
              <w:right w:val="single" w:sz="4" w:space="0" w:color="auto"/>
            </w:tcBorders>
            <w:shd w:val="clear" w:color="auto" w:fill="auto"/>
            <w:noWrap/>
            <w:vAlign w:val="center"/>
            <w:hideMark/>
          </w:tcPr>
          <w:p w14:paraId="3E1DD35A"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0.886</w:t>
            </w:r>
          </w:p>
        </w:tc>
        <w:tc>
          <w:tcPr>
            <w:tcW w:w="688" w:type="pct"/>
            <w:tcBorders>
              <w:top w:val="nil"/>
              <w:left w:val="nil"/>
              <w:bottom w:val="single" w:sz="4" w:space="0" w:color="auto"/>
              <w:right w:val="single" w:sz="4" w:space="0" w:color="auto"/>
            </w:tcBorders>
            <w:shd w:val="clear" w:color="auto" w:fill="auto"/>
            <w:noWrap/>
            <w:vAlign w:val="center"/>
            <w:hideMark/>
          </w:tcPr>
          <w:p w14:paraId="1942016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0.706</w:t>
            </w:r>
          </w:p>
        </w:tc>
      </w:tr>
      <w:tr w:rsidR="00ED0FAD" w:rsidRPr="0030562D" w14:paraId="6BBB9AB5"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F5744C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X21</w:t>
            </w:r>
          </w:p>
        </w:tc>
        <w:tc>
          <w:tcPr>
            <w:tcW w:w="440" w:type="pct"/>
            <w:tcBorders>
              <w:top w:val="nil"/>
              <w:left w:val="nil"/>
              <w:bottom w:val="single" w:sz="4" w:space="0" w:color="auto"/>
              <w:right w:val="single" w:sz="4" w:space="0" w:color="auto"/>
            </w:tcBorders>
            <w:shd w:val="clear" w:color="auto" w:fill="auto"/>
            <w:noWrap/>
            <w:vAlign w:val="center"/>
            <w:hideMark/>
          </w:tcPr>
          <w:p w14:paraId="71F581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0.697</w:t>
            </w:r>
          </w:p>
        </w:tc>
        <w:tc>
          <w:tcPr>
            <w:tcW w:w="577" w:type="pct"/>
            <w:tcBorders>
              <w:top w:val="nil"/>
              <w:left w:val="nil"/>
              <w:bottom w:val="single" w:sz="4" w:space="0" w:color="auto"/>
              <w:right w:val="single" w:sz="4" w:space="0" w:color="auto"/>
            </w:tcBorders>
            <w:shd w:val="clear" w:color="auto" w:fill="auto"/>
            <w:noWrap/>
            <w:vAlign w:val="center"/>
            <w:hideMark/>
          </w:tcPr>
          <w:p w14:paraId="728229B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0.658</w:t>
            </w:r>
          </w:p>
        </w:tc>
        <w:tc>
          <w:tcPr>
            <w:tcW w:w="453" w:type="pct"/>
            <w:tcBorders>
              <w:top w:val="nil"/>
              <w:left w:val="nil"/>
              <w:bottom w:val="single" w:sz="4" w:space="0" w:color="auto"/>
              <w:right w:val="single" w:sz="4" w:space="0" w:color="auto"/>
            </w:tcBorders>
            <w:shd w:val="clear" w:color="auto" w:fill="auto"/>
            <w:noWrap/>
            <w:vAlign w:val="center"/>
            <w:hideMark/>
          </w:tcPr>
          <w:p w14:paraId="0687E0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w:t>
            </w:r>
          </w:p>
        </w:tc>
        <w:tc>
          <w:tcPr>
            <w:tcW w:w="588" w:type="pct"/>
            <w:tcBorders>
              <w:top w:val="nil"/>
              <w:left w:val="nil"/>
              <w:bottom w:val="single" w:sz="4" w:space="0" w:color="auto"/>
              <w:right w:val="single" w:sz="4" w:space="0" w:color="auto"/>
            </w:tcBorders>
            <w:shd w:val="clear" w:color="auto" w:fill="auto"/>
            <w:noWrap/>
            <w:vAlign w:val="center"/>
            <w:hideMark/>
          </w:tcPr>
          <w:p w14:paraId="25AB029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w:t>
            </w:r>
          </w:p>
        </w:tc>
        <w:tc>
          <w:tcPr>
            <w:tcW w:w="453" w:type="pct"/>
            <w:tcBorders>
              <w:top w:val="nil"/>
              <w:left w:val="nil"/>
              <w:bottom w:val="single" w:sz="4" w:space="0" w:color="auto"/>
              <w:right w:val="single" w:sz="4" w:space="0" w:color="auto"/>
            </w:tcBorders>
            <w:shd w:val="clear" w:color="auto" w:fill="auto"/>
            <w:noWrap/>
            <w:vAlign w:val="center"/>
            <w:hideMark/>
          </w:tcPr>
          <w:p w14:paraId="2C8FAA6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0.829</w:t>
            </w:r>
          </w:p>
        </w:tc>
        <w:tc>
          <w:tcPr>
            <w:tcW w:w="615" w:type="pct"/>
            <w:tcBorders>
              <w:top w:val="nil"/>
              <w:left w:val="nil"/>
              <w:bottom w:val="single" w:sz="4" w:space="0" w:color="auto"/>
              <w:right w:val="single" w:sz="4" w:space="0" w:color="auto"/>
            </w:tcBorders>
            <w:shd w:val="clear" w:color="auto" w:fill="auto"/>
            <w:noWrap/>
            <w:vAlign w:val="center"/>
            <w:hideMark/>
          </w:tcPr>
          <w:p w14:paraId="1E8937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0" w:type="pct"/>
            <w:tcBorders>
              <w:top w:val="nil"/>
              <w:left w:val="nil"/>
              <w:bottom w:val="single" w:sz="4" w:space="0" w:color="auto"/>
              <w:right w:val="single" w:sz="4" w:space="0" w:color="auto"/>
            </w:tcBorders>
            <w:shd w:val="clear" w:color="auto" w:fill="auto"/>
            <w:noWrap/>
            <w:vAlign w:val="center"/>
            <w:hideMark/>
          </w:tcPr>
          <w:p w14:paraId="111628DE"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0.718</w:t>
            </w:r>
          </w:p>
        </w:tc>
        <w:tc>
          <w:tcPr>
            <w:tcW w:w="688" w:type="pct"/>
            <w:tcBorders>
              <w:top w:val="nil"/>
              <w:left w:val="nil"/>
              <w:bottom w:val="single" w:sz="4" w:space="0" w:color="auto"/>
              <w:right w:val="single" w:sz="4" w:space="0" w:color="auto"/>
            </w:tcBorders>
            <w:shd w:val="clear" w:color="auto" w:fill="auto"/>
            <w:noWrap/>
            <w:vAlign w:val="center"/>
            <w:hideMark/>
          </w:tcPr>
          <w:p w14:paraId="1A2A81A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0.693</w:t>
            </w:r>
          </w:p>
        </w:tc>
      </w:tr>
      <w:tr w:rsidR="00ED0FAD" w:rsidRPr="0030562D" w14:paraId="7A58485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72B0B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X22</w:t>
            </w:r>
          </w:p>
        </w:tc>
        <w:tc>
          <w:tcPr>
            <w:tcW w:w="440" w:type="pct"/>
            <w:tcBorders>
              <w:top w:val="nil"/>
              <w:left w:val="nil"/>
              <w:bottom w:val="single" w:sz="4" w:space="0" w:color="auto"/>
              <w:right w:val="single" w:sz="4" w:space="0" w:color="auto"/>
            </w:tcBorders>
            <w:shd w:val="clear" w:color="auto" w:fill="auto"/>
            <w:noWrap/>
            <w:vAlign w:val="center"/>
            <w:hideMark/>
          </w:tcPr>
          <w:p w14:paraId="6971005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0.713</w:t>
            </w:r>
          </w:p>
        </w:tc>
        <w:tc>
          <w:tcPr>
            <w:tcW w:w="577" w:type="pct"/>
            <w:tcBorders>
              <w:top w:val="nil"/>
              <w:left w:val="nil"/>
              <w:bottom w:val="single" w:sz="4" w:space="0" w:color="auto"/>
              <w:right w:val="single" w:sz="4" w:space="0" w:color="auto"/>
            </w:tcBorders>
            <w:shd w:val="clear" w:color="auto" w:fill="auto"/>
            <w:noWrap/>
            <w:vAlign w:val="center"/>
            <w:hideMark/>
          </w:tcPr>
          <w:p w14:paraId="2F277C1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453" w:type="pct"/>
            <w:tcBorders>
              <w:top w:val="nil"/>
              <w:left w:val="nil"/>
              <w:bottom w:val="single" w:sz="4" w:space="0" w:color="auto"/>
              <w:right w:val="single" w:sz="4" w:space="0" w:color="auto"/>
            </w:tcBorders>
            <w:shd w:val="clear" w:color="auto" w:fill="auto"/>
            <w:noWrap/>
            <w:vAlign w:val="center"/>
            <w:hideMark/>
          </w:tcPr>
          <w:p w14:paraId="18CFB6A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0.642</w:t>
            </w:r>
          </w:p>
        </w:tc>
        <w:tc>
          <w:tcPr>
            <w:tcW w:w="588" w:type="pct"/>
            <w:tcBorders>
              <w:top w:val="nil"/>
              <w:left w:val="nil"/>
              <w:bottom w:val="single" w:sz="4" w:space="0" w:color="auto"/>
              <w:right w:val="single" w:sz="4" w:space="0" w:color="auto"/>
            </w:tcBorders>
            <w:shd w:val="clear" w:color="auto" w:fill="auto"/>
            <w:noWrap/>
            <w:vAlign w:val="center"/>
            <w:hideMark/>
          </w:tcPr>
          <w:p w14:paraId="739EDE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0.659</w:t>
            </w:r>
          </w:p>
        </w:tc>
        <w:tc>
          <w:tcPr>
            <w:tcW w:w="453" w:type="pct"/>
            <w:tcBorders>
              <w:top w:val="nil"/>
              <w:left w:val="nil"/>
              <w:bottom w:val="single" w:sz="4" w:space="0" w:color="auto"/>
              <w:right w:val="single" w:sz="4" w:space="0" w:color="auto"/>
            </w:tcBorders>
            <w:shd w:val="clear" w:color="auto" w:fill="auto"/>
            <w:noWrap/>
            <w:vAlign w:val="center"/>
            <w:hideMark/>
          </w:tcPr>
          <w:p w14:paraId="30D0E9D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0.851</w:t>
            </w:r>
          </w:p>
        </w:tc>
        <w:tc>
          <w:tcPr>
            <w:tcW w:w="615" w:type="pct"/>
            <w:tcBorders>
              <w:top w:val="nil"/>
              <w:left w:val="nil"/>
              <w:bottom w:val="single" w:sz="4" w:space="0" w:color="auto"/>
              <w:right w:val="single" w:sz="4" w:space="0" w:color="auto"/>
            </w:tcBorders>
            <w:shd w:val="clear" w:color="auto" w:fill="auto"/>
            <w:noWrap/>
            <w:vAlign w:val="center"/>
            <w:hideMark/>
          </w:tcPr>
          <w:p w14:paraId="59A88F7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0.767</w:t>
            </w:r>
          </w:p>
        </w:tc>
        <w:tc>
          <w:tcPr>
            <w:tcW w:w="680" w:type="pct"/>
            <w:tcBorders>
              <w:top w:val="nil"/>
              <w:left w:val="nil"/>
              <w:bottom w:val="single" w:sz="4" w:space="0" w:color="auto"/>
              <w:right w:val="single" w:sz="4" w:space="0" w:color="auto"/>
            </w:tcBorders>
            <w:shd w:val="clear" w:color="auto" w:fill="auto"/>
            <w:noWrap/>
            <w:vAlign w:val="center"/>
            <w:hideMark/>
          </w:tcPr>
          <w:p w14:paraId="32957D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0.692</w:t>
            </w:r>
          </w:p>
        </w:tc>
        <w:tc>
          <w:tcPr>
            <w:tcW w:w="688" w:type="pct"/>
            <w:tcBorders>
              <w:top w:val="nil"/>
              <w:left w:val="nil"/>
              <w:bottom w:val="single" w:sz="4" w:space="0" w:color="auto"/>
              <w:right w:val="single" w:sz="4" w:space="0" w:color="auto"/>
            </w:tcBorders>
            <w:shd w:val="clear" w:color="auto" w:fill="auto"/>
            <w:noWrap/>
            <w:vAlign w:val="center"/>
            <w:hideMark/>
          </w:tcPr>
          <w:p w14:paraId="2C0942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0.727</w:t>
            </w:r>
          </w:p>
        </w:tc>
      </w:tr>
      <w:tr w:rsidR="00ED0FAD" w:rsidRPr="0030562D" w14:paraId="2FC8698C"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7DB58A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X23</w:t>
            </w:r>
          </w:p>
        </w:tc>
        <w:tc>
          <w:tcPr>
            <w:tcW w:w="440" w:type="pct"/>
            <w:tcBorders>
              <w:top w:val="nil"/>
              <w:left w:val="nil"/>
              <w:bottom w:val="single" w:sz="4" w:space="0" w:color="auto"/>
              <w:right w:val="single" w:sz="4" w:space="0" w:color="auto"/>
            </w:tcBorders>
            <w:shd w:val="clear" w:color="auto" w:fill="auto"/>
            <w:noWrap/>
            <w:vAlign w:val="center"/>
            <w:hideMark/>
          </w:tcPr>
          <w:p w14:paraId="24E55A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0.699</w:t>
            </w:r>
          </w:p>
        </w:tc>
        <w:tc>
          <w:tcPr>
            <w:tcW w:w="577" w:type="pct"/>
            <w:tcBorders>
              <w:top w:val="nil"/>
              <w:left w:val="nil"/>
              <w:bottom w:val="single" w:sz="4" w:space="0" w:color="auto"/>
              <w:right w:val="single" w:sz="4" w:space="0" w:color="auto"/>
            </w:tcBorders>
            <w:shd w:val="clear" w:color="auto" w:fill="auto"/>
            <w:noWrap/>
            <w:vAlign w:val="center"/>
            <w:hideMark/>
          </w:tcPr>
          <w:p w14:paraId="0DD6A42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0.692</w:t>
            </w:r>
          </w:p>
        </w:tc>
        <w:tc>
          <w:tcPr>
            <w:tcW w:w="453" w:type="pct"/>
            <w:tcBorders>
              <w:top w:val="nil"/>
              <w:left w:val="nil"/>
              <w:bottom w:val="single" w:sz="4" w:space="0" w:color="auto"/>
              <w:right w:val="single" w:sz="4" w:space="0" w:color="auto"/>
            </w:tcBorders>
            <w:shd w:val="clear" w:color="auto" w:fill="auto"/>
            <w:noWrap/>
            <w:vAlign w:val="center"/>
            <w:hideMark/>
          </w:tcPr>
          <w:p w14:paraId="7E636AE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0.635</w:t>
            </w:r>
          </w:p>
        </w:tc>
        <w:tc>
          <w:tcPr>
            <w:tcW w:w="588" w:type="pct"/>
            <w:tcBorders>
              <w:top w:val="nil"/>
              <w:left w:val="nil"/>
              <w:bottom w:val="single" w:sz="4" w:space="0" w:color="auto"/>
              <w:right w:val="single" w:sz="4" w:space="0" w:color="auto"/>
            </w:tcBorders>
            <w:shd w:val="clear" w:color="auto" w:fill="auto"/>
            <w:noWrap/>
            <w:vAlign w:val="center"/>
            <w:hideMark/>
          </w:tcPr>
          <w:p w14:paraId="4709868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0.675</w:t>
            </w:r>
          </w:p>
        </w:tc>
        <w:tc>
          <w:tcPr>
            <w:tcW w:w="453" w:type="pct"/>
            <w:tcBorders>
              <w:top w:val="nil"/>
              <w:left w:val="nil"/>
              <w:bottom w:val="single" w:sz="4" w:space="0" w:color="auto"/>
              <w:right w:val="single" w:sz="4" w:space="0" w:color="auto"/>
            </w:tcBorders>
            <w:shd w:val="clear" w:color="auto" w:fill="auto"/>
            <w:noWrap/>
            <w:vAlign w:val="center"/>
            <w:hideMark/>
          </w:tcPr>
          <w:p w14:paraId="537B864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0.84</w:t>
            </w:r>
          </w:p>
        </w:tc>
        <w:tc>
          <w:tcPr>
            <w:tcW w:w="615" w:type="pct"/>
            <w:tcBorders>
              <w:top w:val="nil"/>
              <w:left w:val="nil"/>
              <w:bottom w:val="single" w:sz="4" w:space="0" w:color="auto"/>
              <w:right w:val="single" w:sz="4" w:space="0" w:color="auto"/>
            </w:tcBorders>
            <w:shd w:val="clear" w:color="auto" w:fill="auto"/>
            <w:noWrap/>
            <w:vAlign w:val="center"/>
            <w:hideMark/>
          </w:tcPr>
          <w:p w14:paraId="44DBD87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80" w:type="pct"/>
            <w:tcBorders>
              <w:top w:val="nil"/>
              <w:left w:val="nil"/>
              <w:bottom w:val="single" w:sz="4" w:space="0" w:color="auto"/>
              <w:right w:val="single" w:sz="4" w:space="0" w:color="auto"/>
            </w:tcBorders>
            <w:shd w:val="clear" w:color="auto" w:fill="auto"/>
            <w:noWrap/>
            <w:vAlign w:val="center"/>
            <w:hideMark/>
          </w:tcPr>
          <w:p w14:paraId="410D2D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0.675</w:t>
            </w:r>
          </w:p>
        </w:tc>
        <w:tc>
          <w:tcPr>
            <w:tcW w:w="688" w:type="pct"/>
            <w:tcBorders>
              <w:top w:val="nil"/>
              <w:left w:val="nil"/>
              <w:bottom w:val="single" w:sz="4" w:space="0" w:color="auto"/>
              <w:right w:val="single" w:sz="4" w:space="0" w:color="auto"/>
            </w:tcBorders>
            <w:shd w:val="clear" w:color="auto" w:fill="auto"/>
            <w:noWrap/>
            <w:vAlign w:val="center"/>
            <w:hideMark/>
          </w:tcPr>
          <w:p w14:paraId="318AAAD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r>
      <w:tr w:rsidR="00ED0FAD" w:rsidRPr="0030562D" w14:paraId="7F5B8A9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685F43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X24</w:t>
            </w:r>
          </w:p>
        </w:tc>
        <w:tc>
          <w:tcPr>
            <w:tcW w:w="440" w:type="pct"/>
            <w:tcBorders>
              <w:top w:val="nil"/>
              <w:left w:val="nil"/>
              <w:bottom w:val="single" w:sz="4" w:space="0" w:color="auto"/>
              <w:right w:val="single" w:sz="4" w:space="0" w:color="auto"/>
            </w:tcBorders>
            <w:shd w:val="clear" w:color="auto" w:fill="auto"/>
            <w:noWrap/>
            <w:vAlign w:val="center"/>
            <w:hideMark/>
          </w:tcPr>
          <w:p w14:paraId="4BF7432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0.763</w:t>
            </w:r>
          </w:p>
        </w:tc>
        <w:tc>
          <w:tcPr>
            <w:tcW w:w="577" w:type="pct"/>
            <w:tcBorders>
              <w:top w:val="nil"/>
              <w:left w:val="nil"/>
              <w:bottom w:val="single" w:sz="4" w:space="0" w:color="auto"/>
              <w:right w:val="single" w:sz="4" w:space="0" w:color="auto"/>
            </w:tcBorders>
            <w:shd w:val="clear" w:color="auto" w:fill="auto"/>
            <w:noWrap/>
            <w:vAlign w:val="center"/>
            <w:hideMark/>
          </w:tcPr>
          <w:p w14:paraId="67D78F6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0.716</w:t>
            </w:r>
          </w:p>
        </w:tc>
        <w:tc>
          <w:tcPr>
            <w:tcW w:w="453" w:type="pct"/>
            <w:tcBorders>
              <w:top w:val="nil"/>
              <w:left w:val="nil"/>
              <w:bottom w:val="single" w:sz="4" w:space="0" w:color="auto"/>
              <w:right w:val="single" w:sz="4" w:space="0" w:color="auto"/>
            </w:tcBorders>
            <w:shd w:val="clear" w:color="auto" w:fill="auto"/>
            <w:noWrap/>
            <w:vAlign w:val="center"/>
            <w:hideMark/>
          </w:tcPr>
          <w:p w14:paraId="53A5154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0.709</w:t>
            </w:r>
          </w:p>
        </w:tc>
        <w:tc>
          <w:tcPr>
            <w:tcW w:w="588" w:type="pct"/>
            <w:tcBorders>
              <w:top w:val="nil"/>
              <w:left w:val="nil"/>
              <w:bottom w:val="single" w:sz="4" w:space="0" w:color="auto"/>
              <w:right w:val="single" w:sz="4" w:space="0" w:color="auto"/>
            </w:tcBorders>
            <w:shd w:val="clear" w:color="auto" w:fill="auto"/>
            <w:noWrap/>
            <w:vAlign w:val="center"/>
            <w:hideMark/>
          </w:tcPr>
          <w:p w14:paraId="7F2EC4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0.684</w:t>
            </w:r>
          </w:p>
        </w:tc>
        <w:tc>
          <w:tcPr>
            <w:tcW w:w="453" w:type="pct"/>
            <w:tcBorders>
              <w:top w:val="nil"/>
              <w:left w:val="nil"/>
              <w:bottom w:val="single" w:sz="4" w:space="0" w:color="auto"/>
              <w:right w:val="single" w:sz="4" w:space="0" w:color="auto"/>
            </w:tcBorders>
            <w:shd w:val="clear" w:color="auto" w:fill="auto"/>
            <w:noWrap/>
            <w:vAlign w:val="center"/>
            <w:hideMark/>
          </w:tcPr>
          <w:p w14:paraId="40447F8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0.892</w:t>
            </w:r>
          </w:p>
        </w:tc>
        <w:tc>
          <w:tcPr>
            <w:tcW w:w="615" w:type="pct"/>
            <w:tcBorders>
              <w:top w:val="nil"/>
              <w:left w:val="nil"/>
              <w:bottom w:val="single" w:sz="4" w:space="0" w:color="auto"/>
              <w:right w:val="single" w:sz="4" w:space="0" w:color="auto"/>
            </w:tcBorders>
            <w:shd w:val="clear" w:color="auto" w:fill="auto"/>
            <w:noWrap/>
            <w:vAlign w:val="center"/>
            <w:hideMark/>
          </w:tcPr>
          <w:p w14:paraId="1EDE0F8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0.799</w:t>
            </w:r>
          </w:p>
        </w:tc>
        <w:tc>
          <w:tcPr>
            <w:tcW w:w="680" w:type="pct"/>
            <w:tcBorders>
              <w:top w:val="nil"/>
              <w:left w:val="nil"/>
              <w:bottom w:val="single" w:sz="4" w:space="0" w:color="auto"/>
              <w:right w:val="single" w:sz="4" w:space="0" w:color="auto"/>
            </w:tcBorders>
            <w:shd w:val="clear" w:color="auto" w:fill="auto"/>
            <w:noWrap/>
            <w:vAlign w:val="center"/>
            <w:hideMark/>
          </w:tcPr>
          <w:p w14:paraId="4806769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0.694</w:t>
            </w:r>
          </w:p>
        </w:tc>
        <w:tc>
          <w:tcPr>
            <w:tcW w:w="688" w:type="pct"/>
            <w:tcBorders>
              <w:top w:val="nil"/>
              <w:left w:val="nil"/>
              <w:bottom w:val="single" w:sz="4" w:space="0" w:color="auto"/>
              <w:right w:val="single" w:sz="4" w:space="0" w:color="auto"/>
            </w:tcBorders>
            <w:shd w:val="clear" w:color="auto" w:fill="auto"/>
            <w:noWrap/>
            <w:vAlign w:val="center"/>
            <w:hideMark/>
          </w:tcPr>
          <w:p w14:paraId="3AFFB8A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0.782</w:t>
            </w:r>
          </w:p>
        </w:tc>
      </w:tr>
      <w:tr w:rsidR="00ED0FAD" w:rsidRPr="0030562D" w14:paraId="2A0DD01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5E0142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X31</w:t>
            </w:r>
          </w:p>
        </w:tc>
        <w:tc>
          <w:tcPr>
            <w:tcW w:w="440" w:type="pct"/>
            <w:tcBorders>
              <w:top w:val="nil"/>
              <w:left w:val="nil"/>
              <w:bottom w:val="single" w:sz="4" w:space="0" w:color="auto"/>
              <w:right w:val="single" w:sz="4" w:space="0" w:color="auto"/>
            </w:tcBorders>
            <w:shd w:val="clear" w:color="auto" w:fill="auto"/>
            <w:noWrap/>
            <w:vAlign w:val="center"/>
            <w:hideMark/>
          </w:tcPr>
          <w:p w14:paraId="3072D60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0.757</w:t>
            </w:r>
          </w:p>
        </w:tc>
        <w:tc>
          <w:tcPr>
            <w:tcW w:w="577" w:type="pct"/>
            <w:tcBorders>
              <w:top w:val="nil"/>
              <w:left w:val="nil"/>
              <w:bottom w:val="single" w:sz="4" w:space="0" w:color="auto"/>
              <w:right w:val="single" w:sz="4" w:space="0" w:color="auto"/>
            </w:tcBorders>
            <w:shd w:val="clear" w:color="auto" w:fill="auto"/>
            <w:noWrap/>
            <w:vAlign w:val="center"/>
            <w:hideMark/>
          </w:tcPr>
          <w:p w14:paraId="408A39C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0.656</w:t>
            </w:r>
          </w:p>
        </w:tc>
        <w:tc>
          <w:tcPr>
            <w:tcW w:w="453" w:type="pct"/>
            <w:tcBorders>
              <w:top w:val="nil"/>
              <w:left w:val="nil"/>
              <w:bottom w:val="single" w:sz="4" w:space="0" w:color="auto"/>
              <w:right w:val="single" w:sz="4" w:space="0" w:color="auto"/>
            </w:tcBorders>
            <w:shd w:val="clear" w:color="auto" w:fill="auto"/>
            <w:noWrap/>
            <w:vAlign w:val="center"/>
            <w:hideMark/>
          </w:tcPr>
          <w:p w14:paraId="11D7D36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0.649</w:t>
            </w:r>
          </w:p>
        </w:tc>
        <w:tc>
          <w:tcPr>
            <w:tcW w:w="588" w:type="pct"/>
            <w:tcBorders>
              <w:top w:val="nil"/>
              <w:left w:val="nil"/>
              <w:bottom w:val="single" w:sz="4" w:space="0" w:color="auto"/>
              <w:right w:val="single" w:sz="4" w:space="0" w:color="auto"/>
            </w:tcBorders>
            <w:shd w:val="clear" w:color="auto" w:fill="auto"/>
            <w:noWrap/>
            <w:vAlign w:val="center"/>
            <w:hideMark/>
          </w:tcPr>
          <w:p w14:paraId="1FD5C1C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0.616</w:t>
            </w:r>
          </w:p>
        </w:tc>
        <w:tc>
          <w:tcPr>
            <w:tcW w:w="453" w:type="pct"/>
            <w:tcBorders>
              <w:top w:val="nil"/>
              <w:left w:val="nil"/>
              <w:bottom w:val="single" w:sz="4" w:space="0" w:color="auto"/>
              <w:right w:val="single" w:sz="4" w:space="0" w:color="auto"/>
            </w:tcBorders>
            <w:shd w:val="clear" w:color="auto" w:fill="auto"/>
            <w:noWrap/>
            <w:vAlign w:val="center"/>
            <w:hideMark/>
          </w:tcPr>
          <w:p w14:paraId="6678B5D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0.729</w:t>
            </w:r>
          </w:p>
        </w:tc>
        <w:tc>
          <w:tcPr>
            <w:tcW w:w="615" w:type="pct"/>
            <w:tcBorders>
              <w:top w:val="nil"/>
              <w:left w:val="nil"/>
              <w:bottom w:val="single" w:sz="4" w:space="0" w:color="auto"/>
              <w:right w:val="single" w:sz="4" w:space="0" w:color="auto"/>
            </w:tcBorders>
            <w:shd w:val="clear" w:color="auto" w:fill="auto"/>
            <w:noWrap/>
            <w:vAlign w:val="center"/>
            <w:hideMark/>
          </w:tcPr>
          <w:p w14:paraId="3FE4767C"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w:t>
            </w:r>
          </w:p>
        </w:tc>
        <w:tc>
          <w:tcPr>
            <w:tcW w:w="680" w:type="pct"/>
            <w:tcBorders>
              <w:top w:val="nil"/>
              <w:left w:val="nil"/>
              <w:bottom w:val="single" w:sz="4" w:space="0" w:color="auto"/>
              <w:right w:val="single" w:sz="4" w:space="0" w:color="auto"/>
            </w:tcBorders>
            <w:shd w:val="clear" w:color="auto" w:fill="auto"/>
            <w:noWrap/>
            <w:vAlign w:val="center"/>
            <w:hideMark/>
          </w:tcPr>
          <w:p w14:paraId="3AA23F2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0.626</w:t>
            </w:r>
          </w:p>
        </w:tc>
        <w:tc>
          <w:tcPr>
            <w:tcW w:w="688" w:type="pct"/>
            <w:tcBorders>
              <w:top w:val="nil"/>
              <w:left w:val="nil"/>
              <w:bottom w:val="single" w:sz="4" w:space="0" w:color="auto"/>
              <w:right w:val="single" w:sz="4" w:space="0" w:color="auto"/>
            </w:tcBorders>
            <w:shd w:val="clear" w:color="auto" w:fill="auto"/>
            <w:noWrap/>
            <w:vAlign w:val="center"/>
            <w:hideMark/>
          </w:tcPr>
          <w:p w14:paraId="7D5E69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r>
      <w:tr w:rsidR="00ED0FAD" w:rsidRPr="0030562D" w14:paraId="35FF727B"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EF5BF1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X32</w:t>
            </w:r>
          </w:p>
        </w:tc>
        <w:tc>
          <w:tcPr>
            <w:tcW w:w="440" w:type="pct"/>
            <w:tcBorders>
              <w:top w:val="nil"/>
              <w:left w:val="nil"/>
              <w:bottom w:val="single" w:sz="4" w:space="0" w:color="auto"/>
              <w:right w:val="single" w:sz="4" w:space="0" w:color="auto"/>
            </w:tcBorders>
            <w:shd w:val="clear" w:color="auto" w:fill="auto"/>
            <w:noWrap/>
            <w:vAlign w:val="center"/>
            <w:hideMark/>
          </w:tcPr>
          <w:p w14:paraId="64B0343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577" w:type="pct"/>
            <w:tcBorders>
              <w:top w:val="nil"/>
              <w:left w:val="nil"/>
              <w:bottom w:val="single" w:sz="4" w:space="0" w:color="auto"/>
              <w:right w:val="single" w:sz="4" w:space="0" w:color="auto"/>
            </w:tcBorders>
            <w:shd w:val="clear" w:color="auto" w:fill="auto"/>
            <w:noWrap/>
            <w:vAlign w:val="center"/>
            <w:hideMark/>
          </w:tcPr>
          <w:p w14:paraId="56D0D73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453" w:type="pct"/>
            <w:tcBorders>
              <w:top w:val="nil"/>
              <w:left w:val="nil"/>
              <w:bottom w:val="single" w:sz="4" w:space="0" w:color="auto"/>
              <w:right w:val="single" w:sz="4" w:space="0" w:color="auto"/>
            </w:tcBorders>
            <w:shd w:val="clear" w:color="auto" w:fill="auto"/>
            <w:noWrap/>
            <w:vAlign w:val="center"/>
            <w:hideMark/>
          </w:tcPr>
          <w:p w14:paraId="24DCFE4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0.658</w:t>
            </w:r>
          </w:p>
        </w:tc>
        <w:tc>
          <w:tcPr>
            <w:tcW w:w="588" w:type="pct"/>
            <w:tcBorders>
              <w:top w:val="nil"/>
              <w:left w:val="nil"/>
              <w:bottom w:val="single" w:sz="4" w:space="0" w:color="auto"/>
              <w:right w:val="single" w:sz="4" w:space="0" w:color="auto"/>
            </w:tcBorders>
            <w:shd w:val="clear" w:color="auto" w:fill="auto"/>
            <w:noWrap/>
            <w:vAlign w:val="center"/>
            <w:hideMark/>
          </w:tcPr>
          <w:p w14:paraId="4D146E9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0.714</w:t>
            </w:r>
          </w:p>
        </w:tc>
        <w:tc>
          <w:tcPr>
            <w:tcW w:w="453" w:type="pct"/>
            <w:tcBorders>
              <w:top w:val="nil"/>
              <w:left w:val="nil"/>
              <w:bottom w:val="single" w:sz="4" w:space="0" w:color="auto"/>
              <w:right w:val="single" w:sz="4" w:space="0" w:color="auto"/>
            </w:tcBorders>
            <w:shd w:val="clear" w:color="auto" w:fill="auto"/>
            <w:noWrap/>
            <w:vAlign w:val="center"/>
            <w:hideMark/>
          </w:tcPr>
          <w:p w14:paraId="23E4886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0.808</w:t>
            </w:r>
          </w:p>
        </w:tc>
        <w:tc>
          <w:tcPr>
            <w:tcW w:w="615" w:type="pct"/>
            <w:tcBorders>
              <w:top w:val="nil"/>
              <w:left w:val="nil"/>
              <w:bottom w:val="single" w:sz="4" w:space="0" w:color="auto"/>
              <w:right w:val="single" w:sz="4" w:space="0" w:color="auto"/>
            </w:tcBorders>
            <w:shd w:val="clear" w:color="auto" w:fill="auto"/>
            <w:noWrap/>
            <w:vAlign w:val="center"/>
            <w:hideMark/>
          </w:tcPr>
          <w:p w14:paraId="1151AB9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w:t>
            </w:r>
          </w:p>
        </w:tc>
        <w:tc>
          <w:tcPr>
            <w:tcW w:w="680" w:type="pct"/>
            <w:tcBorders>
              <w:top w:val="nil"/>
              <w:left w:val="nil"/>
              <w:bottom w:val="single" w:sz="4" w:space="0" w:color="auto"/>
              <w:right w:val="single" w:sz="4" w:space="0" w:color="auto"/>
            </w:tcBorders>
            <w:shd w:val="clear" w:color="auto" w:fill="auto"/>
            <w:noWrap/>
            <w:vAlign w:val="center"/>
            <w:hideMark/>
          </w:tcPr>
          <w:p w14:paraId="052F8C7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0.664</w:t>
            </w:r>
          </w:p>
        </w:tc>
        <w:tc>
          <w:tcPr>
            <w:tcW w:w="688" w:type="pct"/>
            <w:tcBorders>
              <w:top w:val="nil"/>
              <w:left w:val="nil"/>
              <w:bottom w:val="single" w:sz="4" w:space="0" w:color="auto"/>
              <w:right w:val="single" w:sz="4" w:space="0" w:color="auto"/>
            </w:tcBorders>
            <w:shd w:val="clear" w:color="auto" w:fill="auto"/>
            <w:noWrap/>
            <w:vAlign w:val="center"/>
            <w:hideMark/>
          </w:tcPr>
          <w:p w14:paraId="0C2D040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0.754</w:t>
            </w:r>
          </w:p>
        </w:tc>
      </w:tr>
      <w:tr w:rsidR="00ED0FAD" w:rsidRPr="0030562D" w14:paraId="22FA511A"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23D7A38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X33</w:t>
            </w:r>
          </w:p>
        </w:tc>
        <w:tc>
          <w:tcPr>
            <w:tcW w:w="440" w:type="pct"/>
            <w:tcBorders>
              <w:top w:val="nil"/>
              <w:left w:val="nil"/>
              <w:bottom w:val="single" w:sz="4" w:space="0" w:color="auto"/>
              <w:right w:val="single" w:sz="4" w:space="0" w:color="auto"/>
            </w:tcBorders>
            <w:shd w:val="clear" w:color="auto" w:fill="auto"/>
            <w:noWrap/>
            <w:vAlign w:val="center"/>
            <w:hideMark/>
          </w:tcPr>
          <w:p w14:paraId="22A9AA3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0.741</w:t>
            </w:r>
          </w:p>
        </w:tc>
        <w:tc>
          <w:tcPr>
            <w:tcW w:w="577" w:type="pct"/>
            <w:tcBorders>
              <w:top w:val="nil"/>
              <w:left w:val="nil"/>
              <w:bottom w:val="single" w:sz="4" w:space="0" w:color="auto"/>
              <w:right w:val="single" w:sz="4" w:space="0" w:color="auto"/>
            </w:tcBorders>
            <w:shd w:val="clear" w:color="auto" w:fill="auto"/>
            <w:noWrap/>
            <w:vAlign w:val="center"/>
            <w:hideMark/>
          </w:tcPr>
          <w:p w14:paraId="61F3EBF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0.718</w:t>
            </w:r>
          </w:p>
        </w:tc>
        <w:tc>
          <w:tcPr>
            <w:tcW w:w="453" w:type="pct"/>
            <w:tcBorders>
              <w:top w:val="nil"/>
              <w:left w:val="nil"/>
              <w:bottom w:val="single" w:sz="4" w:space="0" w:color="auto"/>
              <w:right w:val="single" w:sz="4" w:space="0" w:color="auto"/>
            </w:tcBorders>
            <w:shd w:val="clear" w:color="auto" w:fill="auto"/>
            <w:noWrap/>
            <w:vAlign w:val="center"/>
            <w:hideMark/>
          </w:tcPr>
          <w:p w14:paraId="65AFBF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588" w:type="pct"/>
            <w:tcBorders>
              <w:top w:val="nil"/>
              <w:left w:val="nil"/>
              <w:bottom w:val="single" w:sz="4" w:space="0" w:color="auto"/>
              <w:right w:val="single" w:sz="4" w:space="0" w:color="auto"/>
            </w:tcBorders>
            <w:shd w:val="clear" w:color="auto" w:fill="auto"/>
            <w:noWrap/>
            <w:vAlign w:val="center"/>
            <w:hideMark/>
          </w:tcPr>
          <w:p w14:paraId="2258B64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453" w:type="pct"/>
            <w:tcBorders>
              <w:top w:val="nil"/>
              <w:left w:val="nil"/>
              <w:bottom w:val="single" w:sz="4" w:space="0" w:color="auto"/>
              <w:right w:val="single" w:sz="4" w:space="0" w:color="auto"/>
            </w:tcBorders>
            <w:shd w:val="clear" w:color="auto" w:fill="auto"/>
            <w:noWrap/>
            <w:vAlign w:val="center"/>
            <w:hideMark/>
          </w:tcPr>
          <w:p w14:paraId="40565DC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615" w:type="pct"/>
            <w:tcBorders>
              <w:top w:val="nil"/>
              <w:left w:val="nil"/>
              <w:bottom w:val="single" w:sz="4" w:space="0" w:color="auto"/>
              <w:right w:val="single" w:sz="4" w:space="0" w:color="auto"/>
            </w:tcBorders>
            <w:shd w:val="clear" w:color="auto" w:fill="auto"/>
            <w:noWrap/>
            <w:vAlign w:val="center"/>
            <w:hideMark/>
          </w:tcPr>
          <w:p w14:paraId="4C58387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0.873</w:t>
            </w:r>
          </w:p>
        </w:tc>
        <w:tc>
          <w:tcPr>
            <w:tcW w:w="680" w:type="pct"/>
            <w:tcBorders>
              <w:top w:val="nil"/>
              <w:left w:val="nil"/>
              <w:bottom w:val="single" w:sz="4" w:space="0" w:color="auto"/>
              <w:right w:val="single" w:sz="4" w:space="0" w:color="auto"/>
            </w:tcBorders>
            <w:shd w:val="clear" w:color="auto" w:fill="auto"/>
            <w:noWrap/>
            <w:vAlign w:val="center"/>
            <w:hideMark/>
          </w:tcPr>
          <w:p w14:paraId="6F7A13C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0.797</w:t>
            </w:r>
          </w:p>
        </w:tc>
        <w:tc>
          <w:tcPr>
            <w:tcW w:w="688" w:type="pct"/>
            <w:tcBorders>
              <w:top w:val="nil"/>
              <w:left w:val="nil"/>
              <w:bottom w:val="single" w:sz="4" w:space="0" w:color="auto"/>
              <w:right w:val="single" w:sz="4" w:space="0" w:color="auto"/>
            </w:tcBorders>
            <w:shd w:val="clear" w:color="auto" w:fill="auto"/>
            <w:noWrap/>
            <w:vAlign w:val="center"/>
            <w:hideMark/>
          </w:tcPr>
          <w:p w14:paraId="3955932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0.798</w:t>
            </w:r>
          </w:p>
        </w:tc>
      </w:tr>
      <w:tr w:rsidR="00ED0FAD" w:rsidRPr="0030562D" w14:paraId="78A72E57"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8060C7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X41</w:t>
            </w:r>
          </w:p>
        </w:tc>
        <w:tc>
          <w:tcPr>
            <w:tcW w:w="440" w:type="pct"/>
            <w:tcBorders>
              <w:top w:val="nil"/>
              <w:left w:val="nil"/>
              <w:bottom w:val="single" w:sz="4" w:space="0" w:color="auto"/>
              <w:right w:val="single" w:sz="4" w:space="0" w:color="auto"/>
            </w:tcBorders>
            <w:shd w:val="clear" w:color="auto" w:fill="auto"/>
            <w:noWrap/>
            <w:vAlign w:val="center"/>
            <w:hideMark/>
          </w:tcPr>
          <w:p w14:paraId="1B18152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w:t>
            </w:r>
          </w:p>
        </w:tc>
        <w:tc>
          <w:tcPr>
            <w:tcW w:w="577" w:type="pct"/>
            <w:tcBorders>
              <w:top w:val="nil"/>
              <w:left w:val="nil"/>
              <w:bottom w:val="single" w:sz="4" w:space="0" w:color="auto"/>
              <w:right w:val="single" w:sz="4" w:space="0" w:color="auto"/>
            </w:tcBorders>
            <w:shd w:val="clear" w:color="auto" w:fill="auto"/>
            <w:noWrap/>
            <w:vAlign w:val="center"/>
            <w:hideMark/>
          </w:tcPr>
          <w:p w14:paraId="05F06B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0.734</w:t>
            </w:r>
          </w:p>
        </w:tc>
        <w:tc>
          <w:tcPr>
            <w:tcW w:w="453" w:type="pct"/>
            <w:tcBorders>
              <w:top w:val="nil"/>
              <w:left w:val="nil"/>
              <w:bottom w:val="single" w:sz="4" w:space="0" w:color="auto"/>
              <w:right w:val="single" w:sz="4" w:space="0" w:color="auto"/>
            </w:tcBorders>
            <w:shd w:val="clear" w:color="auto" w:fill="auto"/>
            <w:noWrap/>
            <w:vAlign w:val="center"/>
            <w:hideMark/>
          </w:tcPr>
          <w:p w14:paraId="7361DA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0.737</w:t>
            </w:r>
          </w:p>
        </w:tc>
        <w:tc>
          <w:tcPr>
            <w:tcW w:w="588" w:type="pct"/>
            <w:tcBorders>
              <w:top w:val="nil"/>
              <w:left w:val="nil"/>
              <w:bottom w:val="single" w:sz="4" w:space="0" w:color="auto"/>
              <w:right w:val="single" w:sz="4" w:space="0" w:color="auto"/>
            </w:tcBorders>
            <w:shd w:val="clear" w:color="auto" w:fill="auto"/>
            <w:noWrap/>
            <w:vAlign w:val="center"/>
            <w:hideMark/>
          </w:tcPr>
          <w:p w14:paraId="0C10B35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0.751</w:t>
            </w:r>
          </w:p>
        </w:tc>
        <w:tc>
          <w:tcPr>
            <w:tcW w:w="453" w:type="pct"/>
            <w:tcBorders>
              <w:top w:val="nil"/>
              <w:left w:val="nil"/>
              <w:bottom w:val="single" w:sz="4" w:space="0" w:color="auto"/>
              <w:right w:val="single" w:sz="4" w:space="0" w:color="auto"/>
            </w:tcBorders>
            <w:shd w:val="clear" w:color="auto" w:fill="auto"/>
            <w:noWrap/>
            <w:vAlign w:val="center"/>
            <w:hideMark/>
          </w:tcPr>
          <w:p w14:paraId="77BDCDA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0.777</w:t>
            </w:r>
          </w:p>
        </w:tc>
        <w:tc>
          <w:tcPr>
            <w:tcW w:w="615" w:type="pct"/>
            <w:tcBorders>
              <w:top w:val="nil"/>
              <w:left w:val="nil"/>
              <w:bottom w:val="single" w:sz="4" w:space="0" w:color="auto"/>
              <w:right w:val="single" w:sz="4" w:space="0" w:color="auto"/>
            </w:tcBorders>
            <w:shd w:val="clear" w:color="auto" w:fill="auto"/>
            <w:noWrap/>
            <w:vAlign w:val="center"/>
            <w:hideMark/>
          </w:tcPr>
          <w:p w14:paraId="478660F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0.805</w:t>
            </w:r>
          </w:p>
        </w:tc>
        <w:tc>
          <w:tcPr>
            <w:tcW w:w="680" w:type="pct"/>
            <w:tcBorders>
              <w:top w:val="nil"/>
              <w:left w:val="nil"/>
              <w:bottom w:val="single" w:sz="4" w:space="0" w:color="auto"/>
              <w:right w:val="single" w:sz="4" w:space="0" w:color="auto"/>
            </w:tcBorders>
            <w:shd w:val="clear" w:color="auto" w:fill="auto"/>
            <w:noWrap/>
            <w:vAlign w:val="center"/>
            <w:hideMark/>
          </w:tcPr>
          <w:p w14:paraId="0942EF0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688" w:type="pct"/>
            <w:tcBorders>
              <w:top w:val="nil"/>
              <w:left w:val="nil"/>
              <w:bottom w:val="single" w:sz="4" w:space="0" w:color="auto"/>
              <w:right w:val="single" w:sz="4" w:space="0" w:color="auto"/>
            </w:tcBorders>
            <w:shd w:val="clear" w:color="auto" w:fill="auto"/>
            <w:noWrap/>
            <w:vAlign w:val="center"/>
            <w:hideMark/>
          </w:tcPr>
          <w:p w14:paraId="67D8865B"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0.889</w:t>
            </w:r>
          </w:p>
        </w:tc>
      </w:tr>
      <w:tr w:rsidR="00ED0FAD" w:rsidRPr="0030562D" w14:paraId="5143073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0A9C54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X42</w:t>
            </w:r>
          </w:p>
        </w:tc>
        <w:tc>
          <w:tcPr>
            <w:tcW w:w="440" w:type="pct"/>
            <w:tcBorders>
              <w:top w:val="nil"/>
              <w:left w:val="nil"/>
              <w:bottom w:val="single" w:sz="4" w:space="0" w:color="auto"/>
              <w:right w:val="single" w:sz="4" w:space="0" w:color="auto"/>
            </w:tcBorders>
            <w:shd w:val="clear" w:color="auto" w:fill="auto"/>
            <w:noWrap/>
            <w:vAlign w:val="center"/>
            <w:hideMark/>
          </w:tcPr>
          <w:p w14:paraId="4C02106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0.789</w:t>
            </w:r>
          </w:p>
        </w:tc>
        <w:tc>
          <w:tcPr>
            <w:tcW w:w="577" w:type="pct"/>
            <w:tcBorders>
              <w:top w:val="nil"/>
              <w:left w:val="nil"/>
              <w:bottom w:val="single" w:sz="4" w:space="0" w:color="auto"/>
              <w:right w:val="single" w:sz="4" w:space="0" w:color="auto"/>
            </w:tcBorders>
            <w:shd w:val="clear" w:color="auto" w:fill="auto"/>
            <w:noWrap/>
            <w:vAlign w:val="center"/>
            <w:hideMark/>
          </w:tcPr>
          <w:p w14:paraId="063D2B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73B7917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w:t>
            </w:r>
          </w:p>
        </w:tc>
        <w:tc>
          <w:tcPr>
            <w:tcW w:w="588" w:type="pct"/>
            <w:tcBorders>
              <w:top w:val="nil"/>
              <w:left w:val="nil"/>
              <w:bottom w:val="single" w:sz="4" w:space="0" w:color="auto"/>
              <w:right w:val="single" w:sz="4" w:space="0" w:color="auto"/>
            </w:tcBorders>
            <w:shd w:val="clear" w:color="auto" w:fill="auto"/>
            <w:noWrap/>
            <w:vAlign w:val="center"/>
            <w:hideMark/>
          </w:tcPr>
          <w:p w14:paraId="645399A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0.687</w:t>
            </w:r>
          </w:p>
        </w:tc>
        <w:tc>
          <w:tcPr>
            <w:tcW w:w="453" w:type="pct"/>
            <w:tcBorders>
              <w:top w:val="nil"/>
              <w:left w:val="nil"/>
              <w:bottom w:val="single" w:sz="4" w:space="0" w:color="auto"/>
              <w:right w:val="single" w:sz="4" w:space="0" w:color="auto"/>
            </w:tcBorders>
            <w:shd w:val="clear" w:color="auto" w:fill="auto"/>
            <w:noWrap/>
            <w:vAlign w:val="center"/>
            <w:hideMark/>
          </w:tcPr>
          <w:p w14:paraId="76399FC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w:t>
            </w:r>
          </w:p>
        </w:tc>
        <w:tc>
          <w:tcPr>
            <w:tcW w:w="615" w:type="pct"/>
            <w:tcBorders>
              <w:top w:val="nil"/>
              <w:left w:val="nil"/>
              <w:bottom w:val="single" w:sz="4" w:space="0" w:color="auto"/>
              <w:right w:val="single" w:sz="4" w:space="0" w:color="auto"/>
            </w:tcBorders>
            <w:shd w:val="clear" w:color="auto" w:fill="auto"/>
            <w:noWrap/>
            <w:vAlign w:val="center"/>
            <w:hideMark/>
          </w:tcPr>
          <w:p w14:paraId="1BB4BE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w:t>
            </w:r>
          </w:p>
        </w:tc>
        <w:tc>
          <w:tcPr>
            <w:tcW w:w="680" w:type="pct"/>
            <w:tcBorders>
              <w:top w:val="nil"/>
              <w:left w:val="nil"/>
              <w:bottom w:val="single" w:sz="4" w:space="0" w:color="auto"/>
              <w:right w:val="single" w:sz="4" w:space="0" w:color="auto"/>
            </w:tcBorders>
            <w:shd w:val="clear" w:color="auto" w:fill="auto"/>
            <w:noWrap/>
            <w:vAlign w:val="center"/>
            <w:hideMark/>
          </w:tcPr>
          <w:p w14:paraId="000619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0.644</w:t>
            </w:r>
          </w:p>
        </w:tc>
        <w:tc>
          <w:tcPr>
            <w:tcW w:w="688" w:type="pct"/>
            <w:tcBorders>
              <w:top w:val="nil"/>
              <w:left w:val="nil"/>
              <w:bottom w:val="single" w:sz="4" w:space="0" w:color="auto"/>
              <w:right w:val="single" w:sz="4" w:space="0" w:color="auto"/>
            </w:tcBorders>
            <w:shd w:val="clear" w:color="auto" w:fill="auto"/>
            <w:noWrap/>
            <w:vAlign w:val="center"/>
            <w:hideMark/>
          </w:tcPr>
          <w:p w14:paraId="051D5498"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0.882</w:t>
            </w:r>
          </w:p>
        </w:tc>
      </w:tr>
      <w:tr w:rsidR="00ED0FAD" w:rsidRPr="0030562D" w14:paraId="4973B905"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379834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lastRenderedPageBreak/>
              <w:t>X43</w:t>
            </w:r>
          </w:p>
        </w:tc>
        <w:tc>
          <w:tcPr>
            <w:tcW w:w="440" w:type="pct"/>
            <w:tcBorders>
              <w:top w:val="nil"/>
              <w:left w:val="nil"/>
              <w:bottom w:val="single" w:sz="4" w:space="0" w:color="auto"/>
              <w:right w:val="single" w:sz="4" w:space="0" w:color="auto"/>
            </w:tcBorders>
            <w:shd w:val="clear" w:color="auto" w:fill="auto"/>
            <w:noWrap/>
            <w:vAlign w:val="center"/>
            <w:hideMark/>
          </w:tcPr>
          <w:p w14:paraId="37ACF89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0.867</w:t>
            </w:r>
          </w:p>
        </w:tc>
        <w:tc>
          <w:tcPr>
            <w:tcW w:w="577" w:type="pct"/>
            <w:tcBorders>
              <w:top w:val="nil"/>
              <w:left w:val="nil"/>
              <w:bottom w:val="single" w:sz="4" w:space="0" w:color="auto"/>
              <w:right w:val="single" w:sz="4" w:space="0" w:color="auto"/>
            </w:tcBorders>
            <w:shd w:val="clear" w:color="auto" w:fill="auto"/>
            <w:noWrap/>
            <w:vAlign w:val="center"/>
            <w:hideMark/>
          </w:tcPr>
          <w:p w14:paraId="01C926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453" w:type="pct"/>
            <w:tcBorders>
              <w:top w:val="nil"/>
              <w:left w:val="nil"/>
              <w:bottom w:val="single" w:sz="4" w:space="0" w:color="auto"/>
              <w:right w:val="single" w:sz="4" w:space="0" w:color="auto"/>
            </w:tcBorders>
            <w:shd w:val="clear" w:color="auto" w:fill="auto"/>
            <w:noWrap/>
            <w:vAlign w:val="center"/>
            <w:hideMark/>
          </w:tcPr>
          <w:p w14:paraId="1CE2429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0.651</w:t>
            </w:r>
          </w:p>
        </w:tc>
        <w:tc>
          <w:tcPr>
            <w:tcW w:w="588" w:type="pct"/>
            <w:tcBorders>
              <w:top w:val="nil"/>
              <w:left w:val="nil"/>
              <w:bottom w:val="single" w:sz="4" w:space="0" w:color="auto"/>
              <w:right w:val="single" w:sz="4" w:space="0" w:color="auto"/>
            </w:tcBorders>
            <w:shd w:val="clear" w:color="auto" w:fill="auto"/>
            <w:noWrap/>
            <w:vAlign w:val="center"/>
            <w:hideMark/>
          </w:tcPr>
          <w:p w14:paraId="2F20821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453" w:type="pct"/>
            <w:tcBorders>
              <w:top w:val="nil"/>
              <w:left w:val="nil"/>
              <w:bottom w:val="single" w:sz="4" w:space="0" w:color="auto"/>
              <w:right w:val="single" w:sz="4" w:space="0" w:color="auto"/>
            </w:tcBorders>
            <w:shd w:val="clear" w:color="auto" w:fill="auto"/>
            <w:noWrap/>
            <w:vAlign w:val="center"/>
            <w:hideMark/>
          </w:tcPr>
          <w:p w14:paraId="0D2B1C1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49E1B4F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0.764</w:t>
            </w:r>
          </w:p>
        </w:tc>
        <w:tc>
          <w:tcPr>
            <w:tcW w:w="680" w:type="pct"/>
            <w:tcBorders>
              <w:top w:val="nil"/>
              <w:left w:val="nil"/>
              <w:bottom w:val="single" w:sz="4" w:space="0" w:color="auto"/>
              <w:right w:val="single" w:sz="4" w:space="0" w:color="auto"/>
            </w:tcBorders>
            <w:shd w:val="clear" w:color="auto" w:fill="auto"/>
            <w:noWrap/>
            <w:vAlign w:val="center"/>
            <w:hideMark/>
          </w:tcPr>
          <w:p w14:paraId="72E81EF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688" w:type="pct"/>
            <w:tcBorders>
              <w:top w:val="nil"/>
              <w:left w:val="nil"/>
              <w:bottom w:val="single" w:sz="4" w:space="0" w:color="auto"/>
              <w:right w:val="single" w:sz="4" w:space="0" w:color="auto"/>
            </w:tcBorders>
            <w:shd w:val="clear" w:color="auto" w:fill="auto"/>
            <w:noWrap/>
            <w:vAlign w:val="center"/>
            <w:hideMark/>
          </w:tcPr>
          <w:p w14:paraId="4DF84B75"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0.865</w:t>
            </w:r>
          </w:p>
        </w:tc>
      </w:tr>
      <w:tr w:rsidR="00ED0FAD" w:rsidRPr="0030562D" w14:paraId="21E8964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78DD5C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X44</w:t>
            </w:r>
          </w:p>
        </w:tc>
        <w:tc>
          <w:tcPr>
            <w:tcW w:w="440" w:type="pct"/>
            <w:tcBorders>
              <w:top w:val="nil"/>
              <w:left w:val="nil"/>
              <w:bottom w:val="single" w:sz="4" w:space="0" w:color="auto"/>
              <w:right w:val="single" w:sz="4" w:space="0" w:color="auto"/>
            </w:tcBorders>
            <w:shd w:val="clear" w:color="auto" w:fill="auto"/>
            <w:noWrap/>
            <w:vAlign w:val="center"/>
            <w:hideMark/>
          </w:tcPr>
          <w:p w14:paraId="174EE8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0.884</w:t>
            </w:r>
          </w:p>
        </w:tc>
        <w:tc>
          <w:tcPr>
            <w:tcW w:w="577" w:type="pct"/>
            <w:tcBorders>
              <w:top w:val="nil"/>
              <w:left w:val="nil"/>
              <w:bottom w:val="single" w:sz="4" w:space="0" w:color="auto"/>
              <w:right w:val="single" w:sz="4" w:space="0" w:color="auto"/>
            </w:tcBorders>
            <w:shd w:val="clear" w:color="auto" w:fill="auto"/>
            <w:noWrap/>
            <w:vAlign w:val="center"/>
            <w:hideMark/>
          </w:tcPr>
          <w:p w14:paraId="4937227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6332280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0.701</w:t>
            </w:r>
          </w:p>
        </w:tc>
        <w:tc>
          <w:tcPr>
            <w:tcW w:w="588" w:type="pct"/>
            <w:tcBorders>
              <w:top w:val="nil"/>
              <w:left w:val="nil"/>
              <w:bottom w:val="single" w:sz="4" w:space="0" w:color="auto"/>
              <w:right w:val="single" w:sz="4" w:space="0" w:color="auto"/>
            </w:tcBorders>
            <w:shd w:val="clear" w:color="auto" w:fill="auto"/>
            <w:noWrap/>
            <w:vAlign w:val="center"/>
            <w:hideMark/>
          </w:tcPr>
          <w:p w14:paraId="1635F3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0.723</w:t>
            </w:r>
          </w:p>
        </w:tc>
        <w:tc>
          <w:tcPr>
            <w:tcW w:w="453" w:type="pct"/>
            <w:tcBorders>
              <w:top w:val="nil"/>
              <w:left w:val="nil"/>
              <w:bottom w:val="single" w:sz="4" w:space="0" w:color="auto"/>
              <w:right w:val="single" w:sz="4" w:space="0" w:color="auto"/>
            </w:tcBorders>
            <w:shd w:val="clear" w:color="auto" w:fill="auto"/>
            <w:noWrap/>
            <w:vAlign w:val="center"/>
            <w:hideMark/>
          </w:tcPr>
          <w:p w14:paraId="2ED6CA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615" w:type="pct"/>
            <w:tcBorders>
              <w:top w:val="nil"/>
              <w:left w:val="nil"/>
              <w:bottom w:val="single" w:sz="4" w:space="0" w:color="auto"/>
              <w:right w:val="single" w:sz="4" w:space="0" w:color="auto"/>
            </w:tcBorders>
            <w:shd w:val="clear" w:color="auto" w:fill="auto"/>
            <w:noWrap/>
            <w:vAlign w:val="center"/>
            <w:hideMark/>
          </w:tcPr>
          <w:p w14:paraId="0130DCB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c>
          <w:tcPr>
            <w:tcW w:w="680" w:type="pct"/>
            <w:tcBorders>
              <w:top w:val="nil"/>
              <w:left w:val="nil"/>
              <w:bottom w:val="single" w:sz="4" w:space="0" w:color="auto"/>
              <w:right w:val="single" w:sz="4" w:space="0" w:color="auto"/>
            </w:tcBorders>
            <w:shd w:val="clear" w:color="auto" w:fill="auto"/>
            <w:noWrap/>
            <w:vAlign w:val="center"/>
            <w:hideMark/>
          </w:tcPr>
          <w:p w14:paraId="4A8F67C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688" w:type="pct"/>
            <w:tcBorders>
              <w:top w:val="nil"/>
              <w:left w:val="nil"/>
              <w:bottom w:val="single" w:sz="4" w:space="0" w:color="auto"/>
              <w:right w:val="single" w:sz="4" w:space="0" w:color="auto"/>
            </w:tcBorders>
            <w:shd w:val="clear" w:color="auto" w:fill="auto"/>
            <w:noWrap/>
            <w:vAlign w:val="center"/>
            <w:hideMark/>
          </w:tcPr>
          <w:p w14:paraId="7A8D830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0.853</w:t>
            </w:r>
          </w:p>
        </w:tc>
      </w:tr>
      <w:tr w:rsidR="00ED0FAD" w:rsidRPr="0030562D" w14:paraId="794980A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2D93F6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X45</w:t>
            </w:r>
          </w:p>
        </w:tc>
        <w:tc>
          <w:tcPr>
            <w:tcW w:w="440" w:type="pct"/>
            <w:tcBorders>
              <w:top w:val="nil"/>
              <w:left w:val="nil"/>
              <w:bottom w:val="single" w:sz="4" w:space="0" w:color="auto"/>
              <w:right w:val="single" w:sz="4" w:space="0" w:color="auto"/>
            </w:tcBorders>
            <w:shd w:val="clear" w:color="auto" w:fill="auto"/>
            <w:noWrap/>
            <w:vAlign w:val="center"/>
            <w:hideMark/>
          </w:tcPr>
          <w:p w14:paraId="13628C6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0.747</w:t>
            </w:r>
          </w:p>
        </w:tc>
        <w:tc>
          <w:tcPr>
            <w:tcW w:w="577" w:type="pct"/>
            <w:tcBorders>
              <w:top w:val="nil"/>
              <w:left w:val="nil"/>
              <w:bottom w:val="single" w:sz="4" w:space="0" w:color="auto"/>
              <w:right w:val="single" w:sz="4" w:space="0" w:color="auto"/>
            </w:tcBorders>
            <w:shd w:val="clear" w:color="auto" w:fill="auto"/>
            <w:noWrap/>
            <w:vAlign w:val="center"/>
            <w:hideMark/>
          </w:tcPr>
          <w:p w14:paraId="46B0ABE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0.783</w:t>
            </w:r>
          </w:p>
        </w:tc>
        <w:tc>
          <w:tcPr>
            <w:tcW w:w="453" w:type="pct"/>
            <w:tcBorders>
              <w:top w:val="nil"/>
              <w:left w:val="nil"/>
              <w:bottom w:val="single" w:sz="4" w:space="0" w:color="auto"/>
              <w:right w:val="single" w:sz="4" w:space="0" w:color="auto"/>
            </w:tcBorders>
            <w:shd w:val="clear" w:color="auto" w:fill="auto"/>
            <w:noWrap/>
            <w:vAlign w:val="center"/>
            <w:hideMark/>
          </w:tcPr>
          <w:p w14:paraId="02BE782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0.777</w:t>
            </w:r>
          </w:p>
        </w:tc>
        <w:tc>
          <w:tcPr>
            <w:tcW w:w="588" w:type="pct"/>
            <w:tcBorders>
              <w:top w:val="nil"/>
              <w:left w:val="nil"/>
              <w:bottom w:val="single" w:sz="4" w:space="0" w:color="auto"/>
              <w:right w:val="single" w:sz="4" w:space="0" w:color="auto"/>
            </w:tcBorders>
            <w:shd w:val="clear" w:color="auto" w:fill="auto"/>
            <w:noWrap/>
            <w:vAlign w:val="center"/>
            <w:hideMark/>
          </w:tcPr>
          <w:p w14:paraId="601470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0.81</w:t>
            </w:r>
          </w:p>
        </w:tc>
        <w:tc>
          <w:tcPr>
            <w:tcW w:w="453" w:type="pct"/>
            <w:tcBorders>
              <w:top w:val="nil"/>
              <w:left w:val="nil"/>
              <w:bottom w:val="single" w:sz="4" w:space="0" w:color="auto"/>
              <w:right w:val="single" w:sz="4" w:space="0" w:color="auto"/>
            </w:tcBorders>
            <w:shd w:val="clear" w:color="auto" w:fill="auto"/>
            <w:noWrap/>
            <w:vAlign w:val="center"/>
            <w:hideMark/>
          </w:tcPr>
          <w:p w14:paraId="0B38FD6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0.714</w:t>
            </w:r>
          </w:p>
        </w:tc>
        <w:tc>
          <w:tcPr>
            <w:tcW w:w="615" w:type="pct"/>
            <w:tcBorders>
              <w:top w:val="nil"/>
              <w:left w:val="nil"/>
              <w:bottom w:val="single" w:sz="4" w:space="0" w:color="auto"/>
              <w:right w:val="single" w:sz="4" w:space="0" w:color="auto"/>
            </w:tcBorders>
            <w:shd w:val="clear" w:color="auto" w:fill="auto"/>
            <w:noWrap/>
            <w:vAlign w:val="center"/>
            <w:hideMark/>
          </w:tcPr>
          <w:p w14:paraId="245E7CD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0.716</w:t>
            </w:r>
          </w:p>
        </w:tc>
        <w:tc>
          <w:tcPr>
            <w:tcW w:w="680" w:type="pct"/>
            <w:tcBorders>
              <w:top w:val="nil"/>
              <w:left w:val="nil"/>
              <w:bottom w:val="single" w:sz="4" w:space="0" w:color="auto"/>
              <w:right w:val="single" w:sz="4" w:space="0" w:color="auto"/>
            </w:tcBorders>
            <w:shd w:val="clear" w:color="auto" w:fill="auto"/>
            <w:noWrap/>
            <w:vAlign w:val="center"/>
            <w:hideMark/>
          </w:tcPr>
          <w:p w14:paraId="57E6FEF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53D04DE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0.846</w:t>
            </w:r>
          </w:p>
        </w:tc>
      </w:tr>
      <w:tr w:rsidR="00ED0FAD" w:rsidRPr="0030562D" w14:paraId="1D868183"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3D8F8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X51</w:t>
            </w:r>
          </w:p>
        </w:tc>
        <w:tc>
          <w:tcPr>
            <w:tcW w:w="440" w:type="pct"/>
            <w:tcBorders>
              <w:top w:val="nil"/>
              <w:left w:val="nil"/>
              <w:bottom w:val="single" w:sz="4" w:space="0" w:color="auto"/>
              <w:right w:val="single" w:sz="4" w:space="0" w:color="auto"/>
            </w:tcBorders>
            <w:shd w:val="clear" w:color="auto" w:fill="auto"/>
            <w:noWrap/>
            <w:vAlign w:val="center"/>
            <w:hideMark/>
          </w:tcPr>
          <w:p w14:paraId="05CB002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0.792</w:t>
            </w:r>
          </w:p>
        </w:tc>
        <w:tc>
          <w:tcPr>
            <w:tcW w:w="577" w:type="pct"/>
            <w:tcBorders>
              <w:top w:val="nil"/>
              <w:left w:val="nil"/>
              <w:bottom w:val="single" w:sz="4" w:space="0" w:color="auto"/>
              <w:right w:val="single" w:sz="4" w:space="0" w:color="auto"/>
            </w:tcBorders>
            <w:shd w:val="clear" w:color="auto" w:fill="auto"/>
            <w:noWrap/>
            <w:vAlign w:val="center"/>
            <w:hideMark/>
          </w:tcPr>
          <w:p w14:paraId="57D22A1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453" w:type="pct"/>
            <w:tcBorders>
              <w:top w:val="nil"/>
              <w:left w:val="nil"/>
              <w:bottom w:val="single" w:sz="4" w:space="0" w:color="auto"/>
              <w:right w:val="single" w:sz="4" w:space="0" w:color="auto"/>
            </w:tcBorders>
            <w:shd w:val="clear" w:color="auto" w:fill="auto"/>
            <w:noWrap/>
            <w:vAlign w:val="center"/>
            <w:hideMark/>
          </w:tcPr>
          <w:p w14:paraId="34A6991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0.785</w:t>
            </w:r>
          </w:p>
        </w:tc>
        <w:tc>
          <w:tcPr>
            <w:tcW w:w="588" w:type="pct"/>
            <w:tcBorders>
              <w:top w:val="nil"/>
              <w:left w:val="nil"/>
              <w:bottom w:val="single" w:sz="4" w:space="0" w:color="auto"/>
              <w:right w:val="single" w:sz="4" w:space="0" w:color="auto"/>
            </w:tcBorders>
            <w:shd w:val="clear" w:color="auto" w:fill="auto"/>
            <w:noWrap/>
            <w:vAlign w:val="center"/>
            <w:hideMark/>
          </w:tcPr>
          <w:p w14:paraId="764BD92D"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0.929</w:t>
            </w:r>
          </w:p>
        </w:tc>
        <w:tc>
          <w:tcPr>
            <w:tcW w:w="453" w:type="pct"/>
            <w:tcBorders>
              <w:top w:val="nil"/>
              <w:left w:val="nil"/>
              <w:bottom w:val="single" w:sz="4" w:space="0" w:color="auto"/>
              <w:right w:val="single" w:sz="4" w:space="0" w:color="auto"/>
            </w:tcBorders>
            <w:shd w:val="clear" w:color="auto" w:fill="auto"/>
            <w:noWrap/>
            <w:vAlign w:val="center"/>
            <w:hideMark/>
          </w:tcPr>
          <w:p w14:paraId="56D77AA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w:t>
            </w:r>
          </w:p>
        </w:tc>
        <w:tc>
          <w:tcPr>
            <w:tcW w:w="615" w:type="pct"/>
            <w:tcBorders>
              <w:top w:val="nil"/>
              <w:left w:val="nil"/>
              <w:bottom w:val="single" w:sz="4" w:space="0" w:color="auto"/>
              <w:right w:val="single" w:sz="4" w:space="0" w:color="auto"/>
            </w:tcBorders>
            <w:shd w:val="clear" w:color="auto" w:fill="auto"/>
            <w:noWrap/>
            <w:vAlign w:val="center"/>
            <w:hideMark/>
          </w:tcPr>
          <w:p w14:paraId="238A04E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0.742</w:t>
            </w:r>
          </w:p>
        </w:tc>
        <w:tc>
          <w:tcPr>
            <w:tcW w:w="680" w:type="pct"/>
            <w:tcBorders>
              <w:top w:val="nil"/>
              <w:left w:val="nil"/>
              <w:bottom w:val="single" w:sz="4" w:space="0" w:color="auto"/>
              <w:right w:val="single" w:sz="4" w:space="0" w:color="auto"/>
            </w:tcBorders>
            <w:shd w:val="clear" w:color="auto" w:fill="auto"/>
            <w:noWrap/>
            <w:vAlign w:val="center"/>
            <w:hideMark/>
          </w:tcPr>
          <w:p w14:paraId="00EB0BC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0.742</w:t>
            </w:r>
          </w:p>
        </w:tc>
        <w:tc>
          <w:tcPr>
            <w:tcW w:w="688" w:type="pct"/>
            <w:tcBorders>
              <w:top w:val="nil"/>
              <w:left w:val="nil"/>
              <w:bottom w:val="single" w:sz="4" w:space="0" w:color="auto"/>
              <w:right w:val="single" w:sz="4" w:space="0" w:color="auto"/>
            </w:tcBorders>
            <w:shd w:val="clear" w:color="auto" w:fill="auto"/>
            <w:noWrap/>
            <w:vAlign w:val="center"/>
            <w:hideMark/>
          </w:tcPr>
          <w:p w14:paraId="542EAB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0.829</w:t>
            </w:r>
          </w:p>
        </w:tc>
      </w:tr>
      <w:tr w:rsidR="00ED0FAD" w:rsidRPr="0030562D" w14:paraId="0575C638"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C23386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X52</w:t>
            </w:r>
          </w:p>
        </w:tc>
        <w:tc>
          <w:tcPr>
            <w:tcW w:w="440" w:type="pct"/>
            <w:tcBorders>
              <w:top w:val="nil"/>
              <w:left w:val="nil"/>
              <w:bottom w:val="single" w:sz="4" w:space="0" w:color="auto"/>
              <w:right w:val="single" w:sz="4" w:space="0" w:color="auto"/>
            </w:tcBorders>
            <w:shd w:val="clear" w:color="auto" w:fill="auto"/>
            <w:noWrap/>
            <w:vAlign w:val="center"/>
            <w:hideMark/>
          </w:tcPr>
          <w:p w14:paraId="7E38DC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w:t>
            </w:r>
          </w:p>
        </w:tc>
        <w:tc>
          <w:tcPr>
            <w:tcW w:w="577" w:type="pct"/>
            <w:tcBorders>
              <w:top w:val="nil"/>
              <w:left w:val="nil"/>
              <w:bottom w:val="single" w:sz="4" w:space="0" w:color="auto"/>
              <w:right w:val="single" w:sz="4" w:space="0" w:color="auto"/>
            </w:tcBorders>
            <w:shd w:val="clear" w:color="auto" w:fill="auto"/>
            <w:noWrap/>
            <w:vAlign w:val="center"/>
            <w:hideMark/>
          </w:tcPr>
          <w:p w14:paraId="667D91E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w:t>
            </w:r>
          </w:p>
        </w:tc>
        <w:tc>
          <w:tcPr>
            <w:tcW w:w="453" w:type="pct"/>
            <w:tcBorders>
              <w:top w:val="nil"/>
              <w:left w:val="nil"/>
              <w:bottom w:val="single" w:sz="4" w:space="0" w:color="auto"/>
              <w:right w:val="single" w:sz="4" w:space="0" w:color="auto"/>
            </w:tcBorders>
            <w:shd w:val="clear" w:color="auto" w:fill="auto"/>
            <w:noWrap/>
            <w:vAlign w:val="center"/>
            <w:hideMark/>
          </w:tcPr>
          <w:p w14:paraId="7A541F5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0.766</w:t>
            </w:r>
          </w:p>
        </w:tc>
        <w:tc>
          <w:tcPr>
            <w:tcW w:w="588" w:type="pct"/>
            <w:tcBorders>
              <w:top w:val="nil"/>
              <w:left w:val="nil"/>
              <w:bottom w:val="single" w:sz="4" w:space="0" w:color="auto"/>
              <w:right w:val="single" w:sz="4" w:space="0" w:color="auto"/>
            </w:tcBorders>
            <w:shd w:val="clear" w:color="auto" w:fill="auto"/>
            <w:noWrap/>
            <w:vAlign w:val="center"/>
            <w:hideMark/>
          </w:tcPr>
          <w:p w14:paraId="084247B0"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0.938</w:t>
            </w:r>
          </w:p>
        </w:tc>
        <w:tc>
          <w:tcPr>
            <w:tcW w:w="453" w:type="pct"/>
            <w:tcBorders>
              <w:top w:val="nil"/>
              <w:left w:val="nil"/>
              <w:bottom w:val="single" w:sz="4" w:space="0" w:color="auto"/>
              <w:right w:val="single" w:sz="4" w:space="0" w:color="auto"/>
            </w:tcBorders>
            <w:shd w:val="clear" w:color="auto" w:fill="auto"/>
            <w:noWrap/>
            <w:vAlign w:val="center"/>
            <w:hideMark/>
          </w:tcPr>
          <w:p w14:paraId="71C4D5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0.735</w:t>
            </w:r>
          </w:p>
        </w:tc>
        <w:tc>
          <w:tcPr>
            <w:tcW w:w="615" w:type="pct"/>
            <w:tcBorders>
              <w:top w:val="nil"/>
              <w:left w:val="nil"/>
              <w:bottom w:val="single" w:sz="4" w:space="0" w:color="auto"/>
              <w:right w:val="single" w:sz="4" w:space="0" w:color="auto"/>
            </w:tcBorders>
            <w:shd w:val="clear" w:color="auto" w:fill="auto"/>
            <w:noWrap/>
            <w:vAlign w:val="center"/>
            <w:hideMark/>
          </w:tcPr>
          <w:p w14:paraId="2747E92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0.751</w:t>
            </w:r>
          </w:p>
        </w:tc>
        <w:tc>
          <w:tcPr>
            <w:tcW w:w="680" w:type="pct"/>
            <w:tcBorders>
              <w:top w:val="nil"/>
              <w:left w:val="nil"/>
              <w:bottom w:val="single" w:sz="4" w:space="0" w:color="auto"/>
              <w:right w:val="single" w:sz="4" w:space="0" w:color="auto"/>
            </w:tcBorders>
            <w:shd w:val="clear" w:color="auto" w:fill="auto"/>
            <w:noWrap/>
            <w:vAlign w:val="center"/>
            <w:hideMark/>
          </w:tcPr>
          <w:p w14:paraId="0CC974F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0.725</w:t>
            </w:r>
          </w:p>
        </w:tc>
        <w:tc>
          <w:tcPr>
            <w:tcW w:w="688" w:type="pct"/>
            <w:tcBorders>
              <w:top w:val="nil"/>
              <w:left w:val="nil"/>
              <w:bottom w:val="single" w:sz="4" w:space="0" w:color="auto"/>
              <w:right w:val="single" w:sz="4" w:space="0" w:color="auto"/>
            </w:tcBorders>
            <w:shd w:val="clear" w:color="auto" w:fill="auto"/>
            <w:noWrap/>
            <w:vAlign w:val="center"/>
            <w:hideMark/>
          </w:tcPr>
          <w:p w14:paraId="2797CB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r>
      <w:tr w:rsidR="00ED0FAD" w:rsidRPr="0030562D" w14:paraId="0551FF64"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242046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X53</w:t>
            </w:r>
          </w:p>
        </w:tc>
        <w:tc>
          <w:tcPr>
            <w:tcW w:w="440" w:type="pct"/>
            <w:tcBorders>
              <w:top w:val="nil"/>
              <w:left w:val="nil"/>
              <w:bottom w:val="single" w:sz="4" w:space="0" w:color="auto"/>
              <w:right w:val="single" w:sz="4" w:space="0" w:color="auto"/>
            </w:tcBorders>
            <w:shd w:val="clear" w:color="auto" w:fill="auto"/>
            <w:noWrap/>
            <w:vAlign w:val="center"/>
            <w:hideMark/>
          </w:tcPr>
          <w:p w14:paraId="09AF7D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577" w:type="pct"/>
            <w:tcBorders>
              <w:top w:val="nil"/>
              <w:left w:val="nil"/>
              <w:bottom w:val="single" w:sz="4" w:space="0" w:color="auto"/>
              <w:right w:val="single" w:sz="4" w:space="0" w:color="auto"/>
            </w:tcBorders>
            <w:shd w:val="clear" w:color="auto" w:fill="auto"/>
            <w:noWrap/>
            <w:vAlign w:val="center"/>
            <w:hideMark/>
          </w:tcPr>
          <w:p w14:paraId="2C6B4C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0.725</w:t>
            </w:r>
          </w:p>
        </w:tc>
        <w:tc>
          <w:tcPr>
            <w:tcW w:w="453" w:type="pct"/>
            <w:tcBorders>
              <w:top w:val="nil"/>
              <w:left w:val="nil"/>
              <w:bottom w:val="single" w:sz="4" w:space="0" w:color="auto"/>
              <w:right w:val="single" w:sz="4" w:space="0" w:color="auto"/>
            </w:tcBorders>
            <w:shd w:val="clear" w:color="auto" w:fill="auto"/>
            <w:noWrap/>
            <w:vAlign w:val="center"/>
            <w:hideMark/>
          </w:tcPr>
          <w:p w14:paraId="2B6F74D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0.786</w:t>
            </w:r>
          </w:p>
        </w:tc>
        <w:tc>
          <w:tcPr>
            <w:tcW w:w="588" w:type="pct"/>
            <w:tcBorders>
              <w:top w:val="nil"/>
              <w:left w:val="nil"/>
              <w:bottom w:val="single" w:sz="4" w:space="0" w:color="auto"/>
              <w:right w:val="single" w:sz="4" w:space="0" w:color="auto"/>
            </w:tcBorders>
            <w:shd w:val="clear" w:color="auto" w:fill="auto"/>
            <w:noWrap/>
            <w:vAlign w:val="center"/>
            <w:hideMark/>
          </w:tcPr>
          <w:p w14:paraId="6DE2912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0.896</w:t>
            </w:r>
          </w:p>
        </w:tc>
        <w:tc>
          <w:tcPr>
            <w:tcW w:w="453" w:type="pct"/>
            <w:tcBorders>
              <w:top w:val="nil"/>
              <w:left w:val="nil"/>
              <w:bottom w:val="single" w:sz="4" w:space="0" w:color="auto"/>
              <w:right w:val="single" w:sz="4" w:space="0" w:color="auto"/>
            </w:tcBorders>
            <w:shd w:val="clear" w:color="auto" w:fill="auto"/>
            <w:noWrap/>
            <w:vAlign w:val="center"/>
            <w:hideMark/>
          </w:tcPr>
          <w:p w14:paraId="27E6993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0.684</w:t>
            </w:r>
          </w:p>
        </w:tc>
        <w:tc>
          <w:tcPr>
            <w:tcW w:w="615" w:type="pct"/>
            <w:tcBorders>
              <w:top w:val="nil"/>
              <w:left w:val="nil"/>
              <w:bottom w:val="single" w:sz="4" w:space="0" w:color="auto"/>
              <w:right w:val="single" w:sz="4" w:space="0" w:color="auto"/>
            </w:tcBorders>
            <w:shd w:val="clear" w:color="auto" w:fill="auto"/>
            <w:noWrap/>
            <w:vAlign w:val="center"/>
            <w:hideMark/>
          </w:tcPr>
          <w:p w14:paraId="548FF6E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0.697</w:t>
            </w:r>
          </w:p>
        </w:tc>
        <w:tc>
          <w:tcPr>
            <w:tcW w:w="680" w:type="pct"/>
            <w:tcBorders>
              <w:top w:val="nil"/>
              <w:left w:val="nil"/>
              <w:bottom w:val="single" w:sz="4" w:space="0" w:color="auto"/>
              <w:right w:val="single" w:sz="4" w:space="0" w:color="auto"/>
            </w:tcBorders>
            <w:shd w:val="clear" w:color="auto" w:fill="auto"/>
            <w:noWrap/>
            <w:vAlign w:val="center"/>
            <w:hideMark/>
          </w:tcPr>
          <w:p w14:paraId="31FF7FF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0.685</w:t>
            </w:r>
          </w:p>
        </w:tc>
        <w:tc>
          <w:tcPr>
            <w:tcW w:w="688" w:type="pct"/>
            <w:tcBorders>
              <w:top w:val="nil"/>
              <w:left w:val="nil"/>
              <w:bottom w:val="single" w:sz="4" w:space="0" w:color="auto"/>
              <w:right w:val="single" w:sz="4" w:space="0" w:color="auto"/>
            </w:tcBorders>
            <w:shd w:val="clear" w:color="auto" w:fill="auto"/>
            <w:noWrap/>
            <w:vAlign w:val="center"/>
            <w:hideMark/>
          </w:tcPr>
          <w:p w14:paraId="31DCF93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r>
      <w:tr w:rsidR="00ED0FAD" w:rsidRPr="0030562D" w14:paraId="501FFD6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5BF403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X61</w:t>
            </w:r>
          </w:p>
        </w:tc>
        <w:tc>
          <w:tcPr>
            <w:tcW w:w="440" w:type="pct"/>
            <w:tcBorders>
              <w:top w:val="nil"/>
              <w:left w:val="nil"/>
              <w:bottom w:val="single" w:sz="4" w:space="0" w:color="auto"/>
              <w:right w:val="single" w:sz="4" w:space="0" w:color="auto"/>
            </w:tcBorders>
            <w:shd w:val="clear" w:color="auto" w:fill="auto"/>
            <w:noWrap/>
            <w:vAlign w:val="center"/>
            <w:hideMark/>
          </w:tcPr>
          <w:p w14:paraId="050F9A9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0.662</w:t>
            </w:r>
          </w:p>
        </w:tc>
        <w:tc>
          <w:tcPr>
            <w:tcW w:w="577" w:type="pct"/>
            <w:tcBorders>
              <w:top w:val="nil"/>
              <w:left w:val="nil"/>
              <w:bottom w:val="single" w:sz="4" w:space="0" w:color="auto"/>
              <w:right w:val="single" w:sz="4" w:space="0" w:color="auto"/>
            </w:tcBorders>
            <w:shd w:val="clear" w:color="auto" w:fill="auto"/>
            <w:noWrap/>
            <w:vAlign w:val="center"/>
            <w:hideMark/>
          </w:tcPr>
          <w:p w14:paraId="42AA11B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0.681</w:t>
            </w:r>
          </w:p>
        </w:tc>
        <w:tc>
          <w:tcPr>
            <w:tcW w:w="453" w:type="pct"/>
            <w:tcBorders>
              <w:top w:val="nil"/>
              <w:left w:val="nil"/>
              <w:bottom w:val="single" w:sz="4" w:space="0" w:color="auto"/>
              <w:right w:val="single" w:sz="4" w:space="0" w:color="auto"/>
            </w:tcBorders>
            <w:shd w:val="clear" w:color="auto" w:fill="auto"/>
            <w:noWrap/>
            <w:vAlign w:val="center"/>
            <w:hideMark/>
          </w:tcPr>
          <w:p w14:paraId="1177175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w:t>
            </w:r>
          </w:p>
        </w:tc>
        <w:tc>
          <w:tcPr>
            <w:tcW w:w="588" w:type="pct"/>
            <w:tcBorders>
              <w:top w:val="nil"/>
              <w:left w:val="nil"/>
              <w:bottom w:val="single" w:sz="4" w:space="0" w:color="auto"/>
              <w:right w:val="single" w:sz="4" w:space="0" w:color="auto"/>
            </w:tcBorders>
            <w:shd w:val="clear" w:color="auto" w:fill="auto"/>
            <w:noWrap/>
            <w:vAlign w:val="center"/>
            <w:hideMark/>
          </w:tcPr>
          <w:p w14:paraId="20C7275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0.695</w:t>
            </w:r>
          </w:p>
        </w:tc>
        <w:tc>
          <w:tcPr>
            <w:tcW w:w="453" w:type="pct"/>
            <w:tcBorders>
              <w:top w:val="nil"/>
              <w:left w:val="nil"/>
              <w:bottom w:val="single" w:sz="4" w:space="0" w:color="auto"/>
              <w:right w:val="single" w:sz="4" w:space="0" w:color="auto"/>
            </w:tcBorders>
            <w:shd w:val="clear" w:color="auto" w:fill="auto"/>
            <w:noWrap/>
            <w:vAlign w:val="center"/>
            <w:hideMark/>
          </w:tcPr>
          <w:p w14:paraId="133E14E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w:t>
            </w:r>
          </w:p>
        </w:tc>
        <w:tc>
          <w:tcPr>
            <w:tcW w:w="615" w:type="pct"/>
            <w:tcBorders>
              <w:top w:val="nil"/>
              <w:left w:val="nil"/>
              <w:bottom w:val="single" w:sz="4" w:space="0" w:color="auto"/>
              <w:right w:val="single" w:sz="4" w:space="0" w:color="auto"/>
            </w:tcBorders>
            <w:shd w:val="clear" w:color="auto" w:fill="auto"/>
            <w:noWrap/>
            <w:vAlign w:val="center"/>
            <w:hideMark/>
          </w:tcPr>
          <w:p w14:paraId="4FB5580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0.702</w:t>
            </w:r>
          </w:p>
        </w:tc>
        <w:tc>
          <w:tcPr>
            <w:tcW w:w="680" w:type="pct"/>
            <w:tcBorders>
              <w:top w:val="nil"/>
              <w:left w:val="nil"/>
              <w:bottom w:val="single" w:sz="4" w:space="0" w:color="auto"/>
              <w:right w:val="single" w:sz="4" w:space="0" w:color="auto"/>
            </w:tcBorders>
            <w:shd w:val="clear" w:color="auto" w:fill="auto"/>
            <w:noWrap/>
            <w:vAlign w:val="center"/>
            <w:hideMark/>
          </w:tcPr>
          <w:p w14:paraId="7B00055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0.632</w:t>
            </w:r>
          </w:p>
        </w:tc>
        <w:tc>
          <w:tcPr>
            <w:tcW w:w="688" w:type="pct"/>
            <w:tcBorders>
              <w:top w:val="nil"/>
              <w:left w:val="nil"/>
              <w:bottom w:val="single" w:sz="4" w:space="0" w:color="auto"/>
              <w:right w:val="single" w:sz="4" w:space="0" w:color="auto"/>
            </w:tcBorders>
            <w:shd w:val="clear" w:color="auto" w:fill="auto"/>
            <w:noWrap/>
            <w:vAlign w:val="center"/>
            <w:hideMark/>
          </w:tcPr>
          <w:p w14:paraId="4ADB0A1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w:t>
            </w:r>
          </w:p>
        </w:tc>
      </w:tr>
      <w:tr w:rsidR="00ED0FAD" w:rsidRPr="0030562D" w14:paraId="5E42D180"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64A71A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X62</w:t>
            </w:r>
          </w:p>
        </w:tc>
        <w:tc>
          <w:tcPr>
            <w:tcW w:w="440" w:type="pct"/>
            <w:tcBorders>
              <w:top w:val="nil"/>
              <w:left w:val="nil"/>
              <w:bottom w:val="single" w:sz="4" w:space="0" w:color="auto"/>
              <w:right w:val="single" w:sz="4" w:space="0" w:color="auto"/>
            </w:tcBorders>
            <w:shd w:val="clear" w:color="auto" w:fill="auto"/>
            <w:noWrap/>
            <w:vAlign w:val="center"/>
            <w:hideMark/>
          </w:tcPr>
          <w:p w14:paraId="20F7D85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577" w:type="pct"/>
            <w:tcBorders>
              <w:top w:val="nil"/>
              <w:left w:val="nil"/>
              <w:bottom w:val="single" w:sz="4" w:space="0" w:color="auto"/>
              <w:right w:val="single" w:sz="4" w:space="0" w:color="auto"/>
            </w:tcBorders>
            <w:shd w:val="clear" w:color="auto" w:fill="auto"/>
            <w:noWrap/>
            <w:vAlign w:val="center"/>
            <w:hideMark/>
          </w:tcPr>
          <w:p w14:paraId="5F3310A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453" w:type="pct"/>
            <w:tcBorders>
              <w:top w:val="nil"/>
              <w:left w:val="nil"/>
              <w:bottom w:val="single" w:sz="4" w:space="0" w:color="auto"/>
              <w:right w:val="single" w:sz="4" w:space="0" w:color="auto"/>
            </w:tcBorders>
            <w:shd w:val="clear" w:color="auto" w:fill="auto"/>
            <w:noWrap/>
            <w:vAlign w:val="center"/>
            <w:hideMark/>
          </w:tcPr>
          <w:p w14:paraId="4513372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w:t>
            </w:r>
          </w:p>
        </w:tc>
        <w:tc>
          <w:tcPr>
            <w:tcW w:w="588" w:type="pct"/>
            <w:tcBorders>
              <w:top w:val="nil"/>
              <w:left w:val="nil"/>
              <w:bottom w:val="single" w:sz="4" w:space="0" w:color="auto"/>
              <w:right w:val="single" w:sz="4" w:space="0" w:color="auto"/>
            </w:tcBorders>
            <w:shd w:val="clear" w:color="auto" w:fill="auto"/>
            <w:noWrap/>
            <w:vAlign w:val="center"/>
            <w:hideMark/>
          </w:tcPr>
          <w:p w14:paraId="0D37B48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0.779</w:t>
            </w:r>
          </w:p>
        </w:tc>
        <w:tc>
          <w:tcPr>
            <w:tcW w:w="453" w:type="pct"/>
            <w:tcBorders>
              <w:top w:val="nil"/>
              <w:left w:val="nil"/>
              <w:bottom w:val="single" w:sz="4" w:space="0" w:color="auto"/>
              <w:right w:val="single" w:sz="4" w:space="0" w:color="auto"/>
            </w:tcBorders>
            <w:shd w:val="clear" w:color="auto" w:fill="auto"/>
            <w:noWrap/>
            <w:vAlign w:val="center"/>
            <w:hideMark/>
          </w:tcPr>
          <w:p w14:paraId="2D146A7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615" w:type="pct"/>
            <w:tcBorders>
              <w:top w:val="nil"/>
              <w:left w:val="nil"/>
              <w:bottom w:val="single" w:sz="4" w:space="0" w:color="auto"/>
              <w:right w:val="single" w:sz="4" w:space="0" w:color="auto"/>
            </w:tcBorders>
            <w:shd w:val="clear" w:color="auto" w:fill="auto"/>
            <w:noWrap/>
            <w:vAlign w:val="center"/>
            <w:hideMark/>
          </w:tcPr>
          <w:p w14:paraId="03453A8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0.721</w:t>
            </w:r>
          </w:p>
        </w:tc>
        <w:tc>
          <w:tcPr>
            <w:tcW w:w="680" w:type="pct"/>
            <w:tcBorders>
              <w:top w:val="nil"/>
              <w:left w:val="nil"/>
              <w:bottom w:val="single" w:sz="4" w:space="0" w:color="auto"/>
              <w:right w:val="single" w:sz="4" w:space="0" w:color="auto"/>
            </w:tcBorders>
            <w:shd w:val="clear" w:color="auto" w:fill="auto"/>
            <w:noWrap/>
            <w:vAlign w:val="center"/>
            <w:hideMark/>
          </w:tcPr>
          <w:p w14:paraId="11E280E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39787C3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0.769</w:t>
            </w:r>
          </w:p>
        </w:tc>
      </w:tr>
      <w:tr w:rsidR="00ED0FAD" w:rsidRPr="0030562D" w14:paraId="0FFD911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46C152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X63</w:t>
            </w:r>
          </w:p>
        </w:tc>
        <w:tc>
          <w:tcPr>
            <w:tcW w:w="440" w:type="pct"/>
            <w:tcBorders>
              <w:top w:val="nil"/>
              <w:left w:val="nil"/>
              <w:bottom w:val="single" w:sz="4" w:space="0" w:color="auto"/>
              <w:right w:val="single" w:sz="4" w:space="0" w:color="auto"/>
            </w:tcBorders>
            <w:shd w:val="clear" w:color="auto" w:fill="auto"/>
            <w:noWrap/>
            <w:vAlign w:val="center"/>
            <w:hideMark/>
          </w:tcPr>
          <w:p w14:paraId="0175855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0.745</w:t>
            </w:r>
          </w:p>
        </w:tc>
        <w:tc>
          <w:tcPr>
            <w:tcW w:w="577" w:type="pct"/>
            <w:tcBorders>
              <w:top w:val="nil"/>
              <w:left w:val="nil"/>
              <w:bottom w:val="single" w:sz="4" w:space="0" w:color="auto"/>
              <w:right w:val="single" w:sz="4" w:space="0" w:color="auto"/>
            </w:tcBorders>
            <w:shd w:val="clear" w:color="auto" w:fill="auto"/>
            <w:noWrap/>
            <w:vAlign w:val="center"/>
            <w:hideMark/>
          </w:tcPr>
          <w:p w14:paraId="148834B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0.756</w:t>
            </w:r>
          </w:p>
        </w:tc>
        <w:tc>
          <w:tcPr>
            <w:tcW w:w="453" w:type="pct"/>
            <w:tcBorders>
              <w:top w:val="nil"/>
              <w:left w:val="nil"/>
              <w:bottom w:val="single" w:sz="4" w:space="0" w:color="auto"/>
              <w:right w:val="single" w:sz="4" w:space="0" w:color="auto"/>
            </w:tcBorders>
            <w:shd w:val="clear" w:color="auto" w:fill="auto"/>
            <w:noWrap/>
            <w:vAlign w:val="center"/>
            <w:hideMark/>
          </w:tcPr>
          <w:p w14:paraId="485B247A"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0.915</w:t>
            </w:r>
          </w:p>
        </w:tc>
        <w:tc>
          <w:tcPr>
            <w:tcW w:w="588" w:type="pct"/>
            <w:tcBorders>
              <w:top w:val="nil"/>
              <w:left w:val="nil"/>
              <w:bottom w:val="single" w:sz="4" w:space="0" w:color="auto"/>
              <w:right w:val="single" w:sz="4" w:space="0" w:color="auto"/>
            </w:tcBorders>
            <w:shd w:val="clear" w:color="auto" w:fill="auto"/>
            <w:noWrap/>
            <w:vAlign w:val="center"/>
            <w:hideMark/>
          </w:tcPr>
          <w:p w14:paraId="6B93330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0.825</w:t>
            </w:r>
          </w:p>
        </w:tc>
        <w:tc>
          <w:tcPr>
            <w:tcW w:w="453" w:type="pct"/>
            <w:tcBorders>
              <w:top w:val="nil"/>
              <w:left w:val="nil"/>
              <w:bottom w:val="single" w:sz="4" w:space="0" w:color="auto"/>
              <w:right w:val="single" w:sz="4" w:space="0" w:color="auto"/>
            </w:tcBorders>
            <w:shd w:val="clear" w:color="auto" w:fill="auto"/>
            <w:noWrap/>
            <w:vAlign w:val="center"/>
            <w:hideMark/>
          </w:tcPr>
          <w:p w14:paraId="091A49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c>
          <w:tcPr>
            <w:tcW w:w="615" w:type="pct"/>
            <w:tcBorders>
              <w:top w:val="nil"/>
              <w:left w:val="nil"/>
              <w:bottom w:val="single" w:sz="4" w:space="0" w:color="auto"/>
              <w:right w:val="single" w:sz="4" w:space="0" w:color="auto"/>
            </w:tcBorders>
            <w:shd w:val="clear" w:color="auto" w:fill="auto"/>
            <w:noWrap/>
            <w:vAlign w:val="center"/>
            <w:hideMark/>
          </w:tcPr>
          <w:p w14:paraId="5091BDD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0.698</w:t>
            </w:r>
          </w:p>
        </w:tc>
        <w:tc>
          <w:tcPr>
            <w:tcW w:w="680" w:type="pct"/>
            <w:tcBorders>
              <w:top w:val="nil"/>
              <w:left w:val="nil"/>
              <w:bottom w:val="single" w:sz="4" w:space="0" w:color="auto"/>
              <w:right w:val="single" w:sz="4" w:space="0" w:color="auto"/>
            </w:tcBorders>
            <w:shd w:val="clear" w:color="auto" w:fill="auto"/>
            <w:noWrap/>
            <w:vAlign w:val="center"/>
            <w:hideMark/>
          </w:tcPr>
          <w:p w14:paraId="022BDCC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0.693</w:t>
            </w:r>
          </w:p>
        </w:tc>
        <w:tc>
          <w:tcPr>
            <w:tcW w:w="688" w:type="pct"/>
            <w:tcBorders>
              <w:top w:val="nil"/>
              <w:left w:val="nil"/>
              <w:bottom w:val="single" w:sz="4" w:space="0" w:color="auto"/>
              <w:right w:val="single" w:sz="4" w:space="0" w:color="auto"/>
            </w:tcBorders>
            <w:shd w:val="clear" w:color="auto" w:fill="auto"/>
            <w:noWrap/>
            <w:vAlign w:val="center"/>
            <w:hideMark/>
          </w:tcPr>
          <w:p w14:paraId="67C1C70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w:t>
            </w:r>
          </w:p>
        </w:tc>
      </w:tr>
      <w:tr w:rsidR="00ED0FAD" w:rsidRPr="0030562D" w14:paraId="63F2719F"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DB32021"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Y11</w:t>
            </w:r>
          </w:p>
        </w:tc>
        <w:tc>
          <w:tcPr>
            <w:tcW w:w="440" w:type="pct"/>
            <w:tcBorders>
              <w:top w:val="nil"/>
              <w:left w:val="nil"/>
              <w:bottom w:val="single" w:sz="4" w:space="0" w:color="auto"/>
              <w:right w:val="single" w:sz="4" w:space="0" w:color="auto"/>
            </w:tcBorders>
            <w:shd w:val="clear" w:color="auto" w:fill="auto"/>
            <w:noWrap/>
            <w:vAlign w:val="center"/>
            <w:hideMark/>
          </w:tcPr>
          <w:p w14:paraId="2BE45B7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0.781</w:t>
            </w:r>
          </w:p>
        </w:tc>
        <w:tc>
          <w:tcPr>
            <w:tcW w:w="577" w:type="pct"/>
            <w:tcBorders>
              <w:top w:val="nil"/>
              <w:left w:val="nil"/>
              <w:bottom w:val="single" w:sz="4" w:space="0" w:color="auto"/>
              <w:right w:val="single" w:sz="4" w:space="0" w:color="auto"/>
            </w:tcBorders>
            <w:shd w:val="clear" w:color="auto" w:fill="auto"/>
            <w:noWrap/>
            <w:vAlign w:val="center"/>
            <w:hideMark/>
          </w:tcPr>
          <w:p w14:paraId="7296D1E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0.912</w:t>
            </w:r>
          </w:p>
        </w:tc>
        <w:tc>
          <w:tcPr>
            <w:tcW w:w="453" w:type="pct"/>
            <w:tcBorders>
              <w:top w:val="nil"/>
              <w:left w:val="nil"/>
              <w:bottom w:val="single" w:sz="4" w:space="0" w:color="auto"/>
              <w:right w:val="single" w:sz="4" w:space="0" w:color="auto"/>
            </w:tcBorders>
            <w:shd w:val="clear" w:color="auto" w:fill="auto"/>
            <w:noWrap/>
            <w:vAlign w:val="center"/>
            <w:hideMark/>
          </w:tcPr>
          <w:p w14:paraId="1EFE8E2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0.783</w:t>
            </w:r>
          </w:p>
        </w:tc>
        <w:tc>
          <w:tcPr>
            <w:tcW w:w="588" w:type="pct"/>
            <w:tcBorders>
              <w:top w:val="nil"/>
              <w:left w:val="nil"/>
              <w:bottom w:val="single" w:sz="4" w:space="0" w:color="auto"/>
              <w:right w:val="single" w:sz="4" w:space="0" w:color="auto"/>
            </w:tcBorders>
            <w:shd w:val="clear" w:color="auto" w:fill="auto"/>
            <w:noWrap/>
            <w:vAlign w:val="center"/>
            <w:hideMark/>
          </w:tcPr>
          <w:p w14:paraId="26A0AA9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0.768</w:t>
            </w:r>
          </w:p>
        </w:tc>
        <w:tc>
          <w:tcPr>
            <w:tcW w:w="453" w:type="pct"/>
            <w:tcBorders>
              <w:top w:val="nil"/>
              <w:left w:val="nil"/>
              <w:bottom w:val="single" w:sz="4" w:space="0" w:color="auto"/>
              <w:right w:val="single" w:sz="4" w:space="0" w:color="auto"/>
            </w:tcBorders>
            <w:shd w:val="clear" w:color="auto" w:fill="auto"/>
            <w:noWrap/>
            <w:vAlign w:val="center"/>
            <w:hideMark/>
          </w:tcPr>
          <w:p w14:paraId="7CBE1C3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0.782</w:t>
            </w:r>
          </w:p>
        </w:tc>
        <w:tc>
          <w:tcPr>
            <w:tcW w:w="615" w:type="pct"/>
            <w:tcBorders>
              <w:top w:val="nil"/>
              <w:left w:val="nil"/>
              <w:bottom w:val="single" w:sz="4" w:space="0" w:color="auto"/>
              <w:right w:val="single" w:sz="4" w:space="0" w:color="auto"/>
            </w:tcBorders>
            <w:shd w:val="clear" w:color="auto" w:fill="auto"/>
            <w:noWrap/>
            <w:vAlign w:val="center"/>
            <w:hideMark/>
          </w:tcPr>
          <w:p w14:paraId="244CE88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0.752</w:t>
            </w:r>
          </w:p>
        </w:tc>
        <w:tc>
          <w:tcPr>
            <w:tcW w:w="680" w:type="pct"/>
            <w:tcBorders>
              <w:top w:val="nil"/>
              <w:left w:val="nil"/>
              <w:bottom w:val="single" w:sz="4" w:space="0" w:color="auto"/>
              <w:right w:val="single" w:sz="4" w:space="0" w:color="auto"/>
            </w:tcBorders>
            <w:shd w:val="clear" w:color="auto" w:fill="auto"/>
            <w:noWrap/>
            <w:vAlign w:val="center"/>
            <w:hideMark/>
          </w:tcPr>
          <w:p w14:paraId="35827E8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0.738</w:t>
            </w:r>
          </w:p>
        </w:tc>
        <w:tc>
          <w:tcPr>
            <w:tcW w:w="688" w:type="pct"/>
            <w:tcBorders>
              <w:top w:val="nil"/>
              <w:left w:val="nil"/>
              <w:bottom w:val="single" w:sz="4" w:space="0" w:color="auto"/>
              <w:right w:val="single" w:sz="4" w:space="0" w:color="auto"/>
            </w:tcBorders>
            <w:shd w:val="clear" w:color="auto" w:fill="auto"/>
            <w:noWrap/>
            <w:vAlign w:val="center"/>
            <w:hideMark/>
          </w:tcPr>
          <w:p w14:paraId="6A3DE7C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0.822</w:t>
            </w:r>
          </w:p>
        </w:tc>
      </w:tr>
      <w:tr w:rsidR="00ED0FAD" w:rsidRPr="0030562D" w14:paraId="3C4163B1"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6FDCBE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Y12</w:t>
            </w:r>
          </w:p>
        </w:tc>
        <w:tc>
          <w:tcPr>
            <w:tcW w:w="440" w:type="pct"/>
            <w:tcBorders>
              <w:top w:val="nil"/>
              <w:left w:val="nil"/>
              <w:bottom w:val="single" w:sz="4" w:space="0" w:color="auto"/>
              <w:right w:val="single" w:sz="4" w:space="0" w:color="auto"/>
            </w:tcBorders>
            <w:shd w:val="clear" w:color="auto" w:fill="auto"/>
            <w:noWrap/>
            <w:vAlign w:val="center"/>
            <w:hideMark/>
          </w:tcPr>
          <w:p w14:paraId="318479B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w:t>
            </w:r>
          </w:p>
        </w:tc>
        <w:tc>
          <w:tcPr>
            <w:tcW w:w="577" w:type="pct"/>
            <w:tcBorders>
              <w:top w:val="nil"/>
              <w:left w:val="nil"/>
              <w:bottom w:val="single" w:sz="4" w:space="0" w:color="auto"/>
              <w:right w:val="single" w:sz="4" w:space="0" w:color="auto"/>
            </w:tcBorders>
            <w:shd w:val="clear" w:color="auto" w:fill="auto"/>
            <w:noWrap/>
            <w:vAlign w:val="center"/>
            <w:hideMark/>
          </w:tcPr>
          <w:p w14:paraId="423F4E88"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0.932</w:t>
            </w:r>
          </w:p>
        </w:tc>
        <w:tc>
          <w:tcPr>
            <w:tcW w:w="453" w:type="pct"/>
            <w:tcBorders>
              <w:top w:val="nil"/>
              <w:left w:val="nil"/>
              <w:bottom w:val="single" w:sz="4" w:space="0" w:color="auto"/>
              <w:right w:val="single" w:sz="4" w:space="0" w:color="auto"/>
            </w:tcBorders>
            <w:shd w:val="clear" w:color="auto" w:fill="auto"/>
            <w:noWrap/>
            <w:vAlign w:val="center"/>
            <w:hideMark/>
          </w:tcPr>
          <w:p w14:paraId="11B48F7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0.735</w:t>
            </w:r>
          </w:p>
        </w:tc>
        <w:tc>
          <w:tcPr>
            <w:tcW w:w="588" w:type="pct"/>
            <w:tcBorders>
              <w:top w:val="nil"/>
              <w:left w:val="nil"/>
              <w:bottom w:val="single" w:sz="4" w:space="0" w:color="auto"/>
              <w:right w:val="single" w:sz="4" w:space="0" w:color="auto"/>
            </w:tcBorders>
            <w:shd w:val="clear" w:color="auto" w:fill="auto"/>
            <w:noWrap/>
            <w:vAlign w:val="center"/>
            <w:hideMark/>
          </w:tcPr>
          <w:p w14:paraId="56EFF2A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0.766</w:t>
            </w:r>
          </w:p>
        </w:tc>
        <w:tc>
          <w:tcPr>
            <w:tcW w:w="453" w:type="pct"/>
            <w:tcBorders>
              <w:top w:val="nil"/>
              <w:left w:val="nil"/>
              <w:bottom w:val="single" w:sz="4" w:space="0" w:color="auto"/>
              <w:right w:val="single" w:sz="4" w:space="0" w:color="auto"/>
            </w:tcBorders>
            <w:shd w:val="clear" w:color="auto" w:fill="auto"/>
            <w:noWrap/>
            <w:vAlign w:val="center"/>
            <w:hideMark/>
          </w:tcPr>
          <w:p w14:paraId="4E3D2CF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0.709</w:t>
            </w:r>
          </w:p>
        </w:tc>
        <w:tc>
          <w:tcPr>
            <w:tcW w:w="615" w:type="pct"/>
            <w:tcBorders>
              <w:top w:val="nil"/>
              <w:left w:val="nil"/>
              <w:bottom w:val="single" w:sz="4" w:space="0" w:color="auto"/>
              <w:right w:val="single" w:sz="4" w:space="0" w:color="auto"/>
            </w:tcBorders>
            <w:shd w:val="clear" w:color="auto" w:fill="auto"/>
            <w:noWrap/>
            <w:vAlign w:val="center"/>
            <w:hideMark/>
          </w:tcPr>
          <w:p w14:paraId="1BF2C4F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680" w:type="pct"/>
            <w:tcBorders>
              <w:top w:val="nil"/>
              <w:left w:val="nil"/>
              <w:bottom w:val="single" w:sz="4" w:space="0" w:color="auto"/>
              <w:right w:val="single" w:sz="4" w:space="0" w:color="auto"/>
            </w:tcBorders>
            <w:shd w:val="clear" w:color="auto" w:fill="auto"/>
            <w:noWrap/>
            <w:vAlign w:val="center"/>
            <w:hideMark/>
          </w:tcPr>
          <w:p w14:paraId="4B7B0B4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0.663</w:t>
            </w:r>
          </w:p>
        </w:tc>
        <w:tc>
          <w:tcPr>
            <w:tcW w:w="688" w:type="pct"/>
            <w:tcBorders>
              <w:top w:val="nil"/>
              <w:left w:val="nil"/>
              <w:bottom w:val="single" w:sz="4" w:space="0" w:color="auto"/>
              <w:right w:val="single" w:sz="4" w:space="0" w:color="auto"/>
            </w:tcBorders>
            <w:shd w:val="clear" w:color="auto" w:fill="auto"/>
            <w:noWrap/>
            <w:vAlign w:val="center"/>
            <w:hideMark/>
          </w:tcPr>
          <w:p w14:paraId="4A6C6A9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0.776</w:t>
            </w:r>
          </w:p>
        </w:tc>
      </w:tr>
      <w:tr w:rsidR="00ED0FAD" w:rsidRPr="0030562D" w14:paraId="4EACEF4D"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39A526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Y13</w:t>
            </w:r>
          </w:p>
        </w:tc>
        <w:tc>
          <w:tcPr>
            <w:tcW w:w="440" w:type="pct"/>
            <w:tcBorders>
              <w:top w:val="nil"/>
              <w:left w:val="nil"/>
              <w:bottom w:val="single" w:sz="4" w:space="0" w:color="auto"/>
              <w:right w:val="single" w:sz="4" w:space="0" w:color="auto"/>
            </w:tcBorders>
            <w:shd w:val="clear" w:color="auto" w:fill="auto"/>
            <w:noWrap/>
            <w:vAlign w:val="center"/>
            <w:hideMark/>
          </w:tcPr>
          <w:p w14:paraId="4258B9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0.798</w:t>
            </w:r>
          </w:p>
        </w:tc>
        <w:tc>
          <w:tcPr>
            <w:tcW w:w="577" w:type="pct"/>
            <w:tcBorders>
              <w:top w:val="nil"/>
              <w:left w:val="nil"/>
              <w:bottom w:val="single" w:sz="4" w:space="0" w:color="auto"/>
              <w:right w:val="single" w:sz="4" w:space="0" w:color="auto"/>
            </w:tcBorders>
            <w:shd w:val="clear" w:color="auto" w:fill="auto"/>
            <w:noWrap/>
            <w:vAlign w:val="center"/>
            <w:hideMark/>
          </w:tcPr>
          <w:p w14:paraId="60E07D07"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0.915</w:t>
            </w:r>
          </w:p>
        </w:tc>
        <w:tc>
          <w:tcPr>
            <w:tcW w:w="453" w:type="pct"/>
            <w:tcBorders>
              <w:top w:val="nil"/>
              <w:left w:val="nil"/>
              <w:bottom w:val="single" w:sz="4" w:space="0" w:color="auto"/>
              <w:right w:val="single" w:sz="4" w:space="0" w:color="auto"/>
            </w:tcBorders>
            <w:shd w:val="clear" w:color="auto" w:fill="auto"/>
            <w:noWrap/>
            <w:vAlign w:val="center"/>
            <w:hideMark/>
          </w:tcPr>
          <w:p w14:paraId="1F29528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0.691</w:t>
            </w:r>
          </w:p>
        </w:tc>
        <w:tc>
          <w:tcPr>
            <w:tcW w:w="588" w:type="pct"/>
            <w:tcBorders>
              <w:top w:val="nil"/>
              <w:left w:val="nil"/>
              <w:bottom w:val="single" w:sz="4" w:space="0" w:color="auto"/>
              <w:right w:val="single" w:sz="4" w:space="0" w:color="auto"/>
            </w:tcBorders>
            <w:shd w:val="clear" w:color="auto" w:fill="auto"/>
            <w:noWrap/>
            <w:vAlign w:val="center"/>
            <w:hideMark/>
          </w:tcPr>
          <w:p w14:paraId="0F4FEED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0.728</w:t>
            </w:r>
          </w:p>
        </w:tc>
        <w:tc>
          <w:tcPr>
            <w:tcW w:w="453" w:type="pct"/>
            <w:tcBorders>
              <w:top w:val="nil"/>
              <w:left w:val="nil"/>
              <w:bottom w:val="single" w:sz="4" w:space="0" w:color="auto"/>
              <w:right w:val="single" w:sz="4" w:space="0" w:color="auto"/>
            </w:tcBorders>
            <w:shd w:val="clear" w:color="auto" w:fill="auto"/>
            <w:noWrap/>
            <w:vAlign w:val="center"/>
            <w:hideMark/>
          </w:tcPr>
          <w:p w14:paraId="088A9A3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0.746</w:t>
            </w:r>
          </w:p>
        </w:tc>
        <w:tc>
          <w:tcPr>
            <w:tcW w:w="615" w:type="pct"/>
            <w:tcBorders>
              <w:top w:val="nil"/>
              <w:left w:val="nil"/>
              <w:bottom w:val="single" w:sz="4" w:space="0" w:color="auto"/>
              <w:right w:val="single" w:sz="4" w:space="0" w:color="auto"/>
            </w:tcBorders>
            <w:shd w:val="clear" w:color="auto" w:fill="auto"/>
            <w:noWrap/>
            <w:vAlign w:val="center"/>
            <w:hideMark/>
          </w:tcPr>
          <w:p w14:paraId="484B810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0.727</w:t>
            </w:r>
          </w:p>
        </w:tc>
        <w:tc>
          <w:tcPr>
            <w:tcW w:w="680" w:type="pct"/>
            <w:tcBorders>
              <w:top w:val="nil"/>
              <w:left w:val="nil"/>
              <w:bottom w:val="single" w:sz="4" w:space="0" w:color="auto"/>
              <w:right w:val="single" w:sz="4" w:space="0" w:color="auto"/>
            </w:tcBorders>
            <w:shd w:val="clear" w:color="auto" w:fill="auto"/>
            <w:noWrap/>
            <w:vAlign w:val="center"/>
            <w:hideMark/>
          </w:tcPr>
          <w:p w14:paraId="13A1E135"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w:t>
            </w:r>
          </w:p>
        </w:tc>
        <w:tc>
          <w:tcPr>
            <w:tcW w:w="688" w:type="pct"/>
            <w:tcBorders>
              <w:top w:val="nil"/>
              <w:left w:val="nil"/>
              <w:bottom w:val="single" w:sz="4" w:space="0" w:color="auto"/>
              <w:right w:val="single" w:sz="4" w:space="0" w:color="auto"/>
            </w:tcBorders>
            <w:shd w:val="clear" w:color="auto" w:fill="auto"/>
            <w:noWrap/>
            <w:vAlign w:val="center"/>
            <w:hideMark/>
          </w:tcPr>
          <w:p w14:paraId="444964C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0.747</w:t>
            </w:r>
          </w:p>
        </w:tc>
      </w:tr>
      <w:tr w:rsidR="00ED0FAD" w:rsidRPr="0030562D" w14:paraId="0E91D339"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B654D3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Y21</w:t>
            </w:r>
          </w:p>
        </w:tc>
        <w:tc>
          <w:tcPr>
            <w:tcW w:w="440" w:type="pct"/>
            <w:tcBorders>
              <w:top w:val="nil"/>
              <w:left w:val="nil"/>
              <w:bottom w:val="single" w:sz="4" w:space="0" w:color="auto"/>
              <w:right w:val="single" w:sz="4" w:space="0" w:color="auto"/>
            </w:tcBorders>
            <w:shd w:val="clear" w:color="auto" w:fill="auto"/>
            <w:noWrap/>
            <w:vAlign w:val="center"/>
            <w:hideMark/>
          </w:tcPr>
          <w:p w14:paraId="58501491"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0.89</w:t>
            </w:r>
          </w:p>
        </w:tc>
        <w:tc>
          <w:tcPr>
            <w:tcW w:w="577" w:type="pct"/>
            <w:tcBorders>
              <w:top w:val="nil"/>
              <w:left w:val="nil"/>
              <w:bottom w:val="single" w:sz="4" w:space="0" w:color="auto"/>
              <w:right w:val="single" w:sz="4" w:space="0" w:color="auto"/>
            </w:tcBorders>
            <w:shd w:val="clear" w:color="auto" w:fill="auto"/>
            <w:noWrap/>
            <w:vAlign w:val="center"/>
            <w:hideMark/>
          </w:tcPr>
          <w:p w14:paraId="1331D37F"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0.819</w:t>
            </w:r>
          </w:p>
        </w:tc>
        <w:tc>
          <w:tcPr>
            <w:tcW w:w="453" w:type="pct"/>
            <w:tcBorders>
              <w:top w:val="nil"/>
              <w:left w:val="nil"/>
              <w:bottom w:val="single" w:sz="4" w:space="0" w:color="auto"/>
              <w:right w:val="single" w:sz="4" w:space="0" w:color="auto"/>
            </w:tcBorders>
            <w:shd w:val="clear" w:color="auto" w:fill="auto"/>
            <w:noWrap/>
            <w:vAlign w:val="center"/>
            <w:hideMark/>
          </w:tcPr>
          <w:p w14:paraId="798B7A49"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0.717</w:t>
            </w:r>
          </w:p>
        </w:tc>
        <w:tc>
          <w:tcPr>
            <w:tcW w:w="588" w:type="pct"/>
            <w:tcBorders>
              <w:top w:val="nil"/>
              <w:left w:val="nil"/>
              <w:bottom w:val="single" w:sz="4" w:space="0" w:color="auto"/>
              <w:right w:val="single" w:sz="4" w:space="0" w:color="auto"/>
            </w:tcBorders>
            <w:shd w:val="clear" w:color="auto" w:fill="auto"/>
            <w:noWrap/>
            <w:vAlign w:val="center"/>
            <w:hideMark/>
          </w:tcPr>
          <w:p w14:paraId="76DF49D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0.774</w:t>
            </w:r>
          </w:p>
        </w:tc>
        <w:tc>
          <w:tcPr>
            <w:tcW w:w="453" w:type="pct"/>
            <w:tcBorders>
              <w:top w:val="nil"/>
              <w:left w:val="nil"/>
              <w:bottom w:val="single" w:sz="4" w:space="0" w:color="auto"/>
              <w:right w:val="single" w:sz="4" w:space="0" w:color="auto"/>
            </w:tcBorders>
            <w:shd w:val="clear" w:color="auto" w:fill="auto"/>
            <w:noWrap/>
            <w:vAlign w:val="center"/>
            <w:hideMark/>
          </w:tcPr>
          <w:p w14:paraId="6F2098B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5090908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w:t>
            </w:r>
          </w:p>
        </w:tc>
        <w:tc>
          <w:tcPr>
            <w:tcW w:w="680" w:type="pct"/>
            <w:tcBorders>
              <w:top w:val="nil"/>
              <w:left w:val="nil"/>
              <w:bottom w:val="single" w:sz="4" w:space="0" w:color="auto"/>
              <w:right w:val="single" w:sz="4" w:space="0" w:color="auto"/>
            </w:tcBorders>
            <w:shd w:val="clear" w:color="auto" w:fill="auto"/>
            <w:noWrap/>
            <w:vAlign w:val="center"/>
            <w:hideMark/>
          </w:tcPr>
          <w:p w14:paraId="5506883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0.715</w:t>
            </w:r>
          </w:p>
        </w:tc>
        <w:tc>
          <w:tcPr>
            <w:tcW w:w="688" w:type="pct"/>
            <w:tcBorders>
              <w:top w:val="nil"/>
              <w:left w:val="nil"/>
              <w:bottom w:val="single" w:sz="4" w:space="0" w:color="auto"/>
              <w:right w:val="single" w:sz="4" w:space="0" w:color="auto"/>
            </w:tcBorders>
            <w:shd w:val="clear" w:color="auto" w:fill="auto"/>
            <w:noWrap/>
            <w:vAlign w:val="center"/>
            <w:hideMark/>
          </w:tcPr>
          <w:p w14:paraId="76A40CF4"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0.767</w:t>
            </w:r>
          </w:p>
        </w:tc>
      </w:tr>
      <w:tr w:rsidR="00ED0FAD" w:rsidRPr="0030562D" w14:paraId="389DE1B2"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B60D87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Y22</w:t>
            </w:r>
          </w:p>
        </w:tc>
        <w:tc>
          <w:tcPr>
            <w:tcW w:w="440" w:type="pct"/>
            <w:tcBorders>
              <w:top w:val="nil"/>
              <w:left w:val="nil"/>
              <w:bottom w:val="single" w:sz="4" w:space="0" w:color="auto"/>
              <w:right w:val="single" w:sz="4" w:space="0" w:color="auto"/>
            </w:tcBorders>
            <w:shd w:val="clear" w:color="auto" w:fill="auto"/>
            <w:noWrap/>
            <w:vAlign w:val="center"/>
            <w:hideMark/>
          </w:tcPr>
          <w:p w14:paraId="1D5C63BC"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0.867</w:t>
            </w:r>
          </w:p>
        </w:tc>
        <w:tc>
          <w:tcPr>
            <w:tcW w:w="577" w:type="pct"/>
            <w:tcBorders>
              <w:top w:val="nil"/>
              <w:left w:val="nil"/>
              <w:bottom w:val="single" w:sz="4" w:space="0" w:color="auto"/>
              <w:right w:val="single" w:sz="4" w:space="0" w:color="auto"/>
            </w:tcBorders>
            <w:shd w:val="clear" w:color="auto" w:fill="auto"/>
            <w:noWrap/>
            <w:vAlign w:val="center"/>
            <w:hideMark/>
          </w:tcPr>
          <w:p w14:paraId="7C6AE05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0.719</w:t>
            </w:r>
          </w:p>
        </w:tc>
        <w:tc>
          <w:tcPr>
            <w:tcW w:w="453" w:type="pct"/>
            <w:tcBorders>
              <w:top w:val="nil"/>
              <w:left w:val="nil"/>
              <w:bottom w:val="single" w:sz="4" w:space="0" w:color="auto"/>
              <w:right w:val="single" w:sz="4" w:space="0" w:color="auto"/>
            </w:tcBorders>
            <w:shd w:val="clear" w:color="auto" w:fill="auto"/>
            <w:noWrap/>
            <w:vAlign w:val="center"/>
            <w:hideMark/>
          </w:tcPr>
          <w:p w14:paraId="2B2E2B0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0.651</w:t>
            </w:r>
          </w:p>
        </w:tc>
        <w:tc>
          <w:tcPr>
            <w:tcW w:w="588" w:type="pct"/>
            <w:tcBorders>
              <w:top w:val="nil"/>
              <w:left w:val="nil"/>
              <w:bottom w:val="single" w:sz="4" w:space="0" w:color="auto"/>
              <w:right w:val="single" w:sz="4" w:space="0" w:color="auto"/>
            </w:tcBorders>
            <w:shd w:val="clear" w:color="auto" w:fill="auto"/>
            <w:noWrap/>
            <w:vAlign w:val="center"/>
            <w:hideMark/>
          </w:tcPr>
          <w:p w14:paraId="25364E7E"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0.673</w:t>
            </w:r>
          </w:p>
        </w:tc>
        <w:tc>
          <w:tcPr>
            <w:tcW w:w="453" w:type="pct"/>
            <w:tcBorders>
              <w:top w:val="nil"/>
              <w:left w:val="nil"/>
              <w:bottom w:val="single" w:sz="4" w:space="0" w:color="auto"/>
              <w:right w:val="single" w:sz="4" w:space="0" w:color="auto"/>
            </w:tcBorders>
            <w:shd w:val="clear" w:color="auto" w:fill="auto"/>
            <w:noWrap/>
            <w:vAlign w:val="center"/>
            <w:hideMark/>
          </w:tcPr>
          <w:p w14:paraId="2F6DF72A"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0.744</w:t>
            </w:r>
          </w:p>
        </w:tc>
        <w:tc>
          <w:tcPr>
            <w:tcW w:w="615" w:type="pct"/>
            <w:tcBorders>
              <w:top w:val="nil"/>
              <w:left w:val="nil"/>
              <w:bottom w:val="single" w:sz="4" w:space="0" w:color="auto"/>
              <w:right w:val="single" w:sz="4" w:space="0" w:color="auto"/>
            </w:tcBorders>
            <w:shd w:val="clear" w:color="auto" w:fill="auto"/>
            <w:noWrap/>
            <w:vAlign w:val="center"/>
            <w:hideMark/>
          </w:tcPr>
          <w:p w14:paraId="28AFD35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0.764</w:t>
            </w:r>
          </w:p>
        </w:tc>
        <w:tc>
          <w:tcPr>
            <w:tcW w:w="680" w:type="pct"/>
            <w:tcBorders>
              <w:top w:val="nil"/>
              <w:left w:val="nil"/>
              <w:bottom w:val="single" w:sz="4" w:space="0" w:color="auto"/>
              <w:right w:val="single" w:sz="4" w:space="0" w:color="auto"/>
            </w:tcBorders>
            <w:shd w:val="clear" w:color="auto" w:fill="auto"/>
            <w:noWrap/>
            <w:vAlign w:val="center"/>
            <w:hideMark/>
          </w:tcPr>
          <w:p w14:paraId="7C4C46B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0.622</w:t>
            </w:r>
          </w:p>
        </w:tc>
        <w:tc>
          <w:tcPr>
            <w:tcW w:w="688" w:type="pct"/>
            <w:tcBorders>
              <w:top w:val="nil"/>
              <w:left w:val="nil"/>
              <w:bottom w:val="single" w:sz="4" w:space="0" w:color="auto"/>
              <w:right w:val="single" w:sz="4" w:space="0" w:color="auto"/>
            </w:tcBorders>
            <w:shd w:val="clear" w:color="auto" w:fill="auto"/>
            <w:noWrap/>
            <w:vAlign w:val="center"/>
            <w:hideMark/>
          </w:tcPr>
          <w:p w14:paraId="1542A418"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0.865</w:t>
            </w:r>
          </w:p>
        </w:tc>
      </w:tr>
      <w:tr w:rsidR="00ED0FAD" w:rsidRPr="0030562D" w14:paraId="6032F9AB" w14:textId="77777777" w:rsidTr="00023A5E">
        <w:trPr>
          <w:trHeight w:val="3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BE82D40"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Y23</w:t>
            </w:r>
          </w:p>
        </w:tc>
        <w:tc>
          <w:tcPr>
            <w:tcW w:w="440" w:type="pct"/>
            <w:tcBorders>
              <w:top w:val="nil"/>
              <w:left w:val="nil"/>
              <w:bottom w:val="single" w:sz="4" w:space="0" w:color="auto"/>
              <w:right w:val="single" w:sz="4" w:space="0" w:color="auto"/>
            </w:tcBorders>
            <w:shd w:val="clear" w:color="auto" w:fill="auto"/>
            <w:noWrap/>
            <w:vAlign w:val="center"/>
            <w:hideMark/>
          </w:tcPr>
          <w:p w14:paraId="351CC3F2" w14:textId="77777777" w:rsidR="006A625A" w:rsidRPr="0030562D" w:rsidRDefault="006A625A" w:rsidP="00ED0FAD">
            <w:pPr>
              <w:spacing w:after="120"/>
              <w:jc w:val="both"/>
              <w:rPr>
                <w:rFonts w:ascii="Arial" w:hAnsi="Arial" w:cs="Arial"/>
                <w:b/>
                <w:bCs/>
                <w:sz w:val="13"/>
                <w:szCs w:val="13"/>
              </w:rPr>
            </w:pPr>
            <w:r w:rsidRPr="0030562D">
              <w:rPr>
                <w:rFonts w:ascii="Arial" w:hAnsi="Arial" w:cs="Arial"/>
                <w:b/>
                <w:bCs/>
                <w:sz w:val="13"/>
                <w:szCs w:val="13"/>
              </w:rPr>
              <w:t>0.884</w:t>
            </w:r>
          </w:p>
        </w:tc>
        <w:tc>
          <w:tcPr>
            <w:tcW w:w="577" w:type="pct"/>
            <w:tcBorders>
              <w:top w:val="nil"/>
              <w:left w:val="nil"/>
              <w:bottom w:val="single" w:sz="4" w:space="0" w:color="auto"/>
              <w:right w:val="single" w:sz="4" w:space="0" w:color="auto"/>
            </w:tcBorders>
            <w:shd w:val="clear" w:color="auto" w:fill="auto"/>
            <w:noWrap/>
            <w:vAlign w:val="center"/>
            <w:hideMark/>
          </w:tcPr>
          <w:p w14:paraId="2B95F0A2"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0.722</w:t>
            </w:r>
          </w:p>
        </w:tc>
        <w:tc>
          <w:tcPr>
            <w:tcW w:w="453" w:type="pct"/>
            <w:tcBorders>
              <w:top w:val="nil"/>
              <w:left w:val="nil"/>
              <w:bottom w:val="single" w:sz="4" w:space="0" w:color="auto"/>
              <w:right w:val="single" w:sz="4" w:space="0" w:color="auto"/>
            </w:tcBorders>
            <w:shd w:val="clear" w:color="auto" w:fill="auto"/>
            <w:noWrap/>
            <w:vAlign w:val="center"/>
            <w:hideMark/>
          </w:tcPr>
          <w:p w14:paraId="323D48E6"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0.701</w:t>
            </w:r>
          </w:p>
        </w:tc>
        <w:tc>
          <w:tcPr>
            <w:tcW w:w="588" w:type="pct"/>
            <w:tcBorders>
              <w:top w:val="nil"/>
              <w:left w:val="nil"/>
              <w:bottom w:val="single" w:sz="4" w:space="0" w:color="auto"/>
              <w:right w:val="single" w:sz="4" w:space="0" w:color="auto"/>
            </w:tcBorders>
            <w:shd w:val="clear" w:color="auto" w:fill="auto"/>
            <w:noWrap/>
            <w:vAlign w:val="center"/>
            <w:hideMark/>
          </w:tcPr>
          <w:p w14:paraId="7422756B"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0.723</w:t>
            </w:r>
          </w:p>
        </w:tc>
        <w:tc>
          <w:tcPr>
            <w:tcW w:w="453" w:type="pct"/>
            <w:tcBorders>
              <w:top w:val="nil"/>
              <w:left w:val="nil"/>
              <w:bottom w:val="single" w:sz="4" w:space="0" w:color="auto"/>
              <w:right w:val="single" w:sz="4" w:space="0" w:color="auto"/>
            </w:tcBorders>
            <w:shd w:val="clear" w:color="auto" w:fill="auto"/>
            <w:noWrap/>
            <w:vAlign w:val="center"/>
            <w:hideMark/>
          </w:tcPr>
          <w:p w14:paraId="68FF9037"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0.736</w:t>
            </w:r>
          </w:p>
        </w:tc>
        <w:tc>
          <w:tcPr>
            <w:tcW w:w="615" w:type="pct"/>
            <w:tcBorders>
              <w:top w:val="nil"/>
              <w:left w:val="nil"/>
              <w:bottom w:val="single" w:sz="4" w:space="0" w:color="auto"/>
              <w:right w:val="single" w:sz="4" w:space="0" w:color="auto"/>
            </w:tcBorders>
            <w:shd w:val="clear" w:color="auto" w:fill="auto"/>
            <w:noWrap/>
            <w:vAlign w:val="center"/>
            <w:hideMark/>
          </w:tcPr>
          <w:p w14:paraId="2F4C820C"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0.771</w:t>
            </w:r>
          </w:p>
        </w:tc>
        <w:tc>
          <w:tcPr>
            <w:tcW w:w="680" w:type="pct"/>
            <w:tcBorders>
              <w:top w:val="nil"/>
              <w:left w:val="nil"/>
              <w:bottom w:val="single" w:sz="4" w:space="0" w:color="auto"/>
              <w:right w:val="single" w:sz="4" w:space="0" w:color="auto"/>
            </w:tcBorders>
            <w:shd w:val="clear" w:color="auto" w:fill="auto"/>
            <w:noWrap/>
            <w:vAlign w:val="center"/>
            <w:hideMark/>
          </w:tcPr>
          <w:p w14:paraId="2525C7B3"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0.707</w:t>
            </w:r>
          </w:p>
        </w:tc>
        <w:tc>
          <w:tcPr>
            <w:tcW w:w="688" w:type="pct"/>
            <w:tcBorders>
              <w:top w:val="nil"/>
              <w:left w:val="nil"/>
              <w:bottom w:val="single" w:sz="4" w:space="0" w:color="auto"/>
              <w:right w:val="single" w:sz="4" w:space="0" w:color="auto"/>
            </w:tcBorders>
            <w:shd w:val="clear" w:color="auto" w:fill="auto"/>
            <w:noWrap/>
            <w:vAlign w:val="center"/>
            <w:hideMark/>
          </w:tcPr>
          <w:p w14:paraId="356AE07D" w14:textId="77777777" w:rsidR="006A625A" w:rsidRPr="0030562D" w:rsidRDefault="006A625A" w:rsidP="00ED0FAD">
            <w:pPr>
              <w:spacing w:after="120"/>
              <w:jc w:val="both"/>
              <w:rPr>
                <w:rFonts w:ascii="Arial" w:hAnsi="Arial" w:cs="Arial"/>
                <w:sz w:val="13"/>
                <w:szCs w:val="13"/>
              </w:rPr>
            </w:pPr>
            <w:r w:rsidRPr="0030562D">
              <w:rPr>
                <w:rFonts w:ascii="Arial" w:hAnsi="Arial" w:cs="Arial"/>
                <w:sz w:val="13"/>
                <w:szCs w:val="13"/>
              </w:rPr>
              <w:t>0.853</w:t>
            </w:r>
          </w:p>
        </w:tc>
      </w:tr>
    </w:tbl>
    <w:p w14:paraId="0AC8C931" w14:textId="77777777" w:rsidR="006A625A" w:rsidRPr="0030562D" w:rsidRDefault="006A625A" w:rsidP="00ED0FAD">
      <w:pPr>
        <w:widowControl/>
        <w:autoSpaceDE/>
        <w:autoSpaceDN/>
        <w:spacing w:after="120"/>
        <w:jc w:val="both"/>
        <w:rPr>
          <w:rFonts w:ascii="Arial" w:hAnsi="Arial" w:cs="Arial"/>
          <w:sz w:val="20"/>
          <w:szCs w:val="20"/>
          <w:lang w:val="en-ID"/>
        </w:rPr>
      </w:pPr>
    </w:p>
    <w:p w14:paraId="0B786478" w14:textId="1246E4A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results of the Cross Loadings test shown in Table 10 indicate that each indicator has the highest loading on the construct it is intended to measure, compared to other constructs. This means that each item correlates more strongly with its designated latent variable than with any other construct. Moreover, no indicators show cross-loadings that are close to or higher on other constructs than on their own, reinforcing the discriminant validity of the constructs.</w:t>
      </w:r>
      <w:r w:rsidR="00B57C68" w:rsidRPr="0030562D">
        <w:rPr>
          <w:rFonts w:ascii="Arial" w:hAnsi="Arial" w:cs="Arial"/>
          <w:sz w:val="20"/>
          <w:szCs w:val="20"/>
        </w:rPr>
        <w:t xml:space="preserve"> </w:t>
      </w:r>
      <w:r w:rsidRPr="0030562D">
        <w:rPr>
          <w:rFonts w:ascii="Arial" w:hAnsi="Arial" w:cs="Arial"/>
          <w:sz w:val="20"/>
          <w:szCs w:val="20"/>
        </w:rPr>
        <w:t xml:space="preserve">This cross loading analysis confirms that each latent variable in the model, such as E-Loyalty, E-Satisfaction, Efficiency, and others, has a distinct measurement structure. Therefore, the model demonstrates adequate measurement quality in terms of discriminant validity. The following table presents the results of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test.</w:t>
      </w:r>
    </w:p>
    <w:p w14:paraId="5E5727FD"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113AFF84" w14:textId="00ECFC54"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w:t>
      </w:r>
      <w:r w:rsidR="005E1BA9">
        <w:rPr>
          <w:rFonts w:ascii="Arial" w:hAnsi="Arial" w:cs="Arial"/>
          <w:b/>
          <w:bCs/>
          <w:sz w:val="20"/>
          <w:szCs w:val="20"/>
        </w:rPr>
        <w:t>e</w:t>
      </w:r>
      <w:r w:rsidRPr="0030562D">
        <w:rPr>
          <w:rFonts w:ascii="Arial" w:hAnsi="Arial" w:cs="Arial"/>
          <w:b/>
          <w:bCs/>
          <w:sz w:val="20"/>
          <w:szCs w:val="20"/>
        </w:rPr>
        <w:t xml:space="preserve"> 11. Result HTMT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83"/>
        <w:gridCol w:w="907"/>
        <w:gridCol w:w="706"/>
        <w:gridCol w:w="937"/>
        <w:gridCol w:w="706"/>
        <w:gridCol w:w="1035"/>
        <w:gridCol w:w="1069"/>
        <w:gridCol w:w="1086"/>
      </w:tblGrid>
      <w:tr w:rsidR="00ED0FAD" w:rsidRPr="0030562D" w14:paraId="3158F590" w14:textId="77777777" w:rsidTr="0030562D">
        <w:trPr>
          <w:trHeight w:val="320"/>
        </w:trPr>
        <w:tc>
          <w:tcPr>
            <w:tcW w:w="664" w:type="pct"/>
            <w:shd w:val="clear" w:color="auto" w:fill="auto"/>
            <w:noWrap/>
            <w:vAlign w:val="center"/>
            <w:hideMark/>
          </w:tcPr>
          <w:p w14:paraId="55F57C5A" w14:textId="75407A78" w:rsidR="00CD6760" w:rsidRPr="0030562D" w:rsidRDefault="00CD6760" w:rsidP="00ED0FAD">
            <w:pPr>
              <w:spacing w:after="120"/>
              <w:jc w:val="both"/>
              <w:rPr>
                <w:rFonts w:ascii="Arial" w:hAnsi="Arial" w:cs="Arial"/>
                <w:b/>
                <w:bCs/>
                <w:sz w:val="13"/>
                <w:szCs w:val="13"/>
              </w:rPr>
            </w:pPr>
            <w:r w:rsidRPr="0030562D">
              <w:rPr>
                <w:rFonts w:ascii="Arial" w:hAnsi="Arial" w:cs="Arial"/>
                <w:b/>
                <w:bCs/>
                <w:sz w:val="13"/>
                <w:szCs w:val="13"/>
              </w:rPr>
              <w:t>Variable</w:t>
            </w:r>
          </w:p>
        </w:tc>
        <w:tc>
          <w:tcPr>
            <w:tcW w:w="424" w:type="pct"/>
            <w:shd w:val="clear" w:color="auto" w:fill="auto"/>
            <w:noWrap/>
            <w:vAlign w:val="center"/>
            <w:hideMark/>
          </w:tcPr>
          <w:p w14:paraId="45B0701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E-Loyalty </w:t>
            </w:r>
          </w:p>
        </w:tc>
        <w:tc>
          <w:tcPr>
            <w:tcW w:w="557" w:type="pct"/>
            <w:shd w:val="clear" w:color="auto" w:fill="auto"/>
            <w:noWrap/>
            <w:vAlign w:val="center"/>
            <w:hideMark/>
          </w:tcPr>
          <w:p w14:paraId="1CC93C0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E-Satisfaction </w:t>
            </w:r>
          </w:p>
        </w:tc>
        <w:tc>
          <w:tcPr>
            <w:tcW w:w="437" w:type="pct"/>
            <w:shd w:val="clear" w:color="auto" w:fill="auto"/>
            <w:noWrap/>
            <w:vAlign w:val="center"/>
            <w:hideMark/>
          </w:tcPr>
          <w:p w14:paraId="6F10EDA6"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Efficiency </w:t>
            </w:r>
          </w:p>
        </w:tc>
        <w:tc>
          <w:tcPr>
            <w:tcW w:w="567" w:type="pct"/>
            <w:shd w:val="clear" w:color="auto" w:fill="auto"/>
            <w:noWrap/>
            <w:vAlign w:val="center"/>
            <w:hideMark/>
          </w:tcPr>
          <w:p w14:paraId="7779E4F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Personal Need </w:t>
            </w:r>
          </w:p>
        </w:tc>
        <w:tc>
          <w:tcPr>
            <w:tcW w:w="437" w:type="pct"/>
            <w:shd w:val="clear" w:color="auto" w:fill="auto"/>
            <w:noWrap/>
            <w:vAlign w:val="center"/>
            <w:hideMark/>
          </w:tcPr>
          <w:p w14:paraId="1A52256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Reliability </w:t>
            </w:r>
          </w:p>
        </w:tc>
        <w:tc>
          <w:tcPr>
            <w:tcW w:w="593" w:type="pct"/>
            <w:shd w:val="clear" w:color="auto" w:fill="auto"/>
            <w:noWrap/>
            <w:vAlign w:val="center"/>
            <w:hideMark/>
          </w:tcPr>
          <w:p w14:paraId="5C71F7D9"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Responsiveness </w:t>
            </w:r>
          </w:p>
        </w:tc>
        <w:tc>
          <w:tcPr>
            <w:tcW w:w="656" w:type="pct"/>
            <w:shd w:val="clear" w:color="auto" w:fill="auto"/>
            <w:noWrap/>
            <w:vAlign w:val="center"/>
            <w:hideMark/>
          </w:tcPr>
          <w:p w14:paraId="1B3E1D58"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Site Organization </w:t>
            </w:r>
          </w:p>
        </w:tc>
        <w:tc>
          <w:tcPr>
            <w:tcW w:w="664" w:type="pct"/>
            <w:shd w:val="clear" w:color="auto" w:fill="auto"/>
            <w:noWrap/>
            <w:vAlign w:val="center"/>
            <w:hideMark/>
          </w:tcPr>
          <w:p w14:paraId="38F886D2"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User Friendliness </w:t>
            </w:r>
          </w:p>
        </w:tc>
      </w:tr>
      <w:tr w:rsidR="00ED0FAD" w:rsidRPr="0030562D" w14:paraId="2893A582" w14:textId="77777777" w:rsidTr="0030562D">
        <w:trPr>
          <w:trHeight w:val="320"/>
        </w:trPr>
        <w:tc>
          <w:tcPr>
            <w:tcW w:w="664" w:type="pct"/>
            <w:shd w:val="clear" w:color="auto" w:fill="auto"/>
            <w:noWrap/>
            <w:vAlign w:val="center"/>
            <w:hideMark/>
          </w:tcPr>
          <w:p w14:paraId="3CD175E5"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E-Loyalty </w:t>
            </w:r>
          </w:p>
        </w:tc>
        <w:tc>
          <w:tcPr>
            <w:tcW w:w="424" w:type="pct"/>
            <w:shd w:val="clear" w:color="auto" w:fill="auto"/>
            <w:noWrap/>
            <w:vAlign w:val="center"/>
            <w:hideMark/>
          </w:tcPr>
          <w:p w14:paraId="4AA4B133" w14:textId="77777777" w:rsidR="00CD6760" w:rsidRPr="0030562D" w:rsidRDefault="00CD6760" w:rsidP="00ED0FAD">
            <w:pPr>
              <w:spacing w:after="120"/>
              <w:jc w:val="both"/>
              <w:rPr>
                <w:rFonts w:ascii="Arial" w:hAnsi="Arial" w:cs="Arial"/>
                <w:sz w:val="13"/>
                <w:szCs w:val="13"/>
              </w:rPr>
            </w:pPr>
          </w:p>
        </w:tc>
        <w:tc>
          <w:tcPr>
            <w:tcW w:w="557" w:type="pct"/>
            <w:shd w:val="clear" w:color="auto" w:fill="auto"/>
            <w:noWrap/>
            <w:vAlign w:val="center"/>
            <w:hideMark/>
          </w:tcPr>
          <w:p w14:paraId="2B2ED7A8"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3F14119C"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7FF475BE"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605605B0"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5F2520F4"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2E6E1FB0"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1C25DC1" w14:textId="77777777" w:rsidR="00CD6760" w:rsidRPr="0030562D" w:rsidRDefault="00CD6760" w:rsidP="00ED0FAD">
            <w:pPr>
              <w:spacing w:after="120"/>
              <w:jc w:val="both"/>
              <w:rPr>
                <w:rFonts w:ascii="Arial" w:hAnsi="Arial" w:cs="Arial"/>
                <w:sz w:val="13"/>
                <w:szCs w:val="13"/>
              </w:rPr>
            </w:pPr>
          </w:p>
        </w:tc>
      </w:tr>
      <w:tr w:rsidR="00ED0FAD" w:rsidRPr="0030562D" w14:paraId="646099A7" w14:textId="77777777" w:rsidTr="0030562D">
        <w:trPr>
          <w:trHeight w:val="320"/>
        </w:trPr>
        <w:tc>
          <w:tcPr>
            <w:tcW w:w="664" w:type="pct"/>
            <w:shd w:val="clear" w:color="auto" w:fill="auto"/>
            <w:noWrap/>
            <w:vAlign w:val="center"/>
            <w:hideMark/>
          </w:tcPr>
          <w:p w14:paraId="43413163"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E-Satisfaction </w:t>
            </w:r>
          </w:p>
        </w:tc>
        <w:tc>
          <w:tcPr>
            <w:tcW w:w="424" w:type="pct"/>
            <w:shd w:val="clear" w:color="auto" w:fill="auto"/>
            <w:noWrap/>
            <w:vAlign w:val="center"/>
            <w:hideMark/>
          </w:tcPr>
          <w:p w14:paraId="37106F8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0.87</w:t>
            </w:r>
          </w:p>
        </w:tc>
        <w:tc>
          <w:tcPr>
            <w:tcW w:w="557" w:type="pct"/>
            <w:shd w:val="clear" w:color="auto" w:fill="auto"/>
            <w:noWrap/>
            <w:vAlign w:val="center"/>
            <w:hideMark/>
          </w:tcPr>
          <w:p w14:paraId="0C93F367"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22ED69F9"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090727BD"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728C2C90"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6968548"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5783BD19"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73FA4CC8" w14:textId="77777777" w:rsidR="00CD6760" w:rsidRPr="0030562D" w:rsidRDefault="00CD6760" w:rsidP="00ED0FAD">
            <w:pPr>
              <w:spacing w:after="120"/>
              <w:jc w:val="both"/>
              <w:rPr>
                <w:rFonts w:ascii="Arial" w:hAnsi="Arial" w:cs="Arial"/>
                <w:sz w:val="13"/>
                <w:szCs w:val="13"/>
              </w:rPr>
            </w:pPr>
          </w:p>
        </w:tc>
      </w:tr>
      <w:tr w:rsidR="00ED0FAD" w:rsidRPr="0030562D" w14:paraId="3FC18039" w14:textId="77777777" w:rsidTr="0030562D">
        <w:trPr>
          <w:trHeight w:val="320"/>
        </w:trPr>
        <w:tc>
          <w:tcPr>
            <w:tcW w:w="664" w:type="pct"/>
            <w:shd w:val="clear" w:color="auto" w:fill="auto"/>
            <w:noWrap/>
            <w:vAlign w:val="center"/>
            <w:hideMark/>
          </w:tcPr>
          <w:p w14:paraId="68F38564"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Efficiency </w:t>
            </w:r>
          </w:p>
        </w:tc>
        <w:tc>
          <w:tcPr>
            <w:tcW w:w="424" w:type="pct"/>
            <w:shd w:val="clear" w:color="auto" w:fill="auto"/>
            <w:noWrap/>
            <w:vAlign w:val="center"/>
            <w:hideMark/>
          </w:tcPr>
          <w:p w14:paraId="6151327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0.894</w:t>
            </w:r>
          </w:p>
        </w:tc>
        <w:tc>
          <w:tcPr>
            <w:tcW w:w="557" w:type="pct"/>
            <w:shd w:val="clear" w:color="auto" w:fill="auto"/>
            <w:noWrap/>
            <w:vAlign w:val="center"/>
            <w:hideMark/>
          </w:tcPr>
          <w:p w14:paraId="030A7AC5"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0.787</w:t>
            </w:r>
          </w:p>
        </w:tc>
        <w:tc>
          <w:tcPr>
            <w:tcW w:w="437" w:type="pct"/>
            <w:shd w:val="clear" w:color="auto" w:fill="auto"/>
            <w:noWrap/>
            <w:vAlign w:val="center"/>
            <w:hideMark/>
          </w:tcPr>
          <w:p w14:paraId="44148220" w14:textId="77777777" w:rsidR="00CD6760" w:rsidRPr="0030562D" w:rsidRDefault="00CD6760" w:rsidP="00ED0FAD">
            <w:pPr>
              <w:spacing w:after="120"/>
              <w:jc w:val="both"/>
              <w:rPr>
                <w:rFonts w:ascii="Arial" w:hAnsi="Arial" w:cs="Arial"/>
                <w:sz w:val="13"/>
                <w:szCs w:val="13"/>
              </w:rPr>
            </w:pPr>
          </w:p>
        </w:tc>
        <w:tc>
          <w:tcPr>
            <w:tcW w:w="567" w:type="pct"/>
            <w:shd w:val="clear" w:color="auto" w:fill="auto"/>
            <w:noWrap/>
            <w:vAlign w:val="center"/>
            <w:hideMark/>
          </w:tcPr>
          <w:p w14:paraId="61D0E60F"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2616B587"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503EBAFB"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11981F34"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13F1D693" w14:textId="77777777" w:rsidR="00CD6760" w:rsidRPr="0030562D" w:rsidRDefault="00CD6760" w:rsidP="00ED0FAD">
            <w:pPr>
              <w:spacing w:after="120"/>
              <w:jc w:val="both"/>
              <w:rPr>
                <w:rFonts w:ascii="Arial" w:hAnsi="Arial" w:cs="Arial"/>
                <w:sz w:val="13"/>
                <w:szCs w:val="13"/>
              </w:rPr>
            </w:pPr>
          </w:p>
        </w:tc>
      </w:tr>
      <w:tr w:rsidR="00ED0FAD" w:rsidRPr="0030562D" w14:paraId="120B31A6" w14:textId="77777777" w:rsidTr="0030562D">
        <w:trPr>
          <w:trHeight w:val="320"/>
        </w:trPr>
        <w:tc>
          <w:tcPr>
            <w:tcW w:w="664" w:type="pct"/>
            <w:shd w:val="clear" w:color="auto" w:fill="auto"/>
            <w:noWrap/>
            <w:vAlign w:val="center"/>
            <w:hideMark/>
          </w:tcPr>
          <w:p w14:paraId="7D60D4BC"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Personal Need </w:t>
            </w:r>
          </w:p>
        </w:tc>
        <w:tc>
          <w:tcPr>
            <w:tcW w:w="424" w:type="pct"/>
            <w:shd w:val="clear" w:color="auto" w:fill="auto"/>
            <w:noWrap/>
            <w:vAlign w:val="center"/>
            <w:hideMark/>
          </w:tcPr>
          <w:p w14:paraId="06CE1BD3"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0.729</w:t>
            </w:r>
          </w:p>
        </w:tc>
        <w:tc>
          <w:tcPr>
            <w:tcW w:w="557" w:type="pct"/>
            <w:shd w:val="clear" w:color="auto" w:fill="auto"/>
            <w:noWrap/>
            <w:vAlign w:val="center"/>
            <w:hideMark/>
          </w:tcPr>
          <w:p w14:paraId="2C0E13F1"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0.811</w:t>
            </w:r>
          </w:p>
        </w:tc>
        <w:tc>
          <w:tcPr>
            <w:tcW w:w="437" w:type="pct"/>
            <w:shd w:val="clear" w:color="auto" w:fill="auto"/>
            <w:noWrap/>
            <w:vAlign w:val="center"/>
            <w:hideMark/>
          </w:tcPr>
          <w:p w14:paraId="331FD76C"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0.735</w:t>
            </w:r>
          </w:p>
        </w:tc>
        <w:tc>
          <w:tcPr>
            <w:tcW w:w="567" w:type="pct"/>
            <w:shd w:val="clear" w:color="auto" w:fill="auto"/>
            <w:noWrap/>
            <w:vAlign w:val="center"/>
            <w:hideMark/>
          </w:tcPr>
          <w:p w14:paraId="67982006" w14:textId="77777777" w:rsidR="00CD6760" w:rsidRPr="0030562D" w:rsidRDefault="00CD6760" w:rsidP="00ED0FAD">
            <w:pPr>
              <w:spacing w:after="120"/>
              <w:jc w:val="both"/>
              <w:rPr>
                <w:rFonts w:ascii="Arial" w:hAnsi="Arial" w:cs="Arial"/>
                <w:sz w:val="13"/>
                <w:szCs w:val="13"/>
              </w:rPr>
            </w:pPr>
          </w:p>
        </w:tc>
        <w:tc>
          <w:tcPr>
            <w:tcW w:w="437" w:type="pct"/>
            <w:shd w:val="clear" w:color="auto" w:fill="auto"/>
            <w:noWrap/>
            <w:vAlign w:val="center"/>
            <w:hideMark/>
          </w:tcPr>
          <w:p w14:paraId="5211858F"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53D90B3"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25E4DD06"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7FFF948" w14:textId="77777777" w:rsidR="00CD6760" w:rsidRPr="0030562D" w:rsidRDefault="00CD6760" w:rsidP="00ED0FAD">
            <w:pPr>
              <w:spacing w:after="120"/>
              <w:jc w:val="both"/>
              <w:rPr>
                <w:rFonts w:ascii="Arial" w:hAnsi="Arial" w:cs="Arial"/>
                <w:sz w:val="13"/>
                <w:szCs w:val="13"/>
              </w:rPr>
            </w:pPr>
          </w:p>
        </w:tc>
      </w:tr>
      <w:tr w:rsidR="00ED0FAD" w:rsidRPr="0030562D" w14:paraId="53E89BDA" w14:textId="77777777" w:rsidTr="0030562D">
        <w:trPr>
          <w:trHeight w:val="320"/>
        </w:trPr>
        <w:tc>
          <w:tcPr>
            <w:tcW w:w="664" w:type="pct"/>
            <w:shd w:val="clear" w:color="auto" w:fill="auto"/>
            <w:noWrap/>
            <w:vAlign w:val="center"/>
            <w:hideMark/>
          </w:tcPr>
          <w:p w14:paraId="527C75C2"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Reliability </w:t>
            </w:r>
          </w:p>
        </w:tc>
        <w:tc>
          <w:tcPr>
            <w:tcW w:w="424" w:type="pct"/>
            <w:shd w:val="clear" w:color="auto" w:fill="auto"/>
            <w:noWrap/>
            <w:vAlign w:val="center"/>
            <w:hideMark/>
          </w:tcPr>
          <w:p w14:paraId="0BBE861F"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0.773</w:t>
            </w:r>
          </w:p>
        </w:tc>
        <w:tc>
          <w:tcPr>
            <w:tcW w:w="557" w:type="pct"/>
            <w:shd w:val="clear" w:color="auto" w:fill="auto"/>
            <w:noWrap/>
            <w:vAlign w:val="center"/>
            <w:hideMark/>
          </w:tcPr>
          <w:p w14:paraId="272C034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0.809</w:t>
            </w:r>
          </w:p>
        </w:tc>
        <w:tc>
          <w:tcPr>
            <w:tcW w:w="437" w:type="pct"/>
            <w:shd w:val="clear" w:color="auto" w:fill="auto"/>
            <w:noWrap/>
            <w:vAlign w:val="center"/>
            <w:hideMark/>
          </w:tcPr>
          <w:p w14:paraId="5E871848"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0.802</w:t>
            </w:r>
          </w:p>
        </w:tc>
        <w:tc>
          <w:tcPr>
            <w:tcW w:w="567" w:type="pct"/>
            <w:shd w:val="clear" w:color="auto" w:fill="auto"/>
            <w:noWrap/>
            <w:vAlign w:val="center"/>
            <w:hideMark/>
          </w:tcPr>
          <w:p w14:paraId="7FBB594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0.775</w:t>
            </w:r>
          </w:p>
        </w:tc>
        <w:tc>
          <w:tcPr>
            <w:tcW w:w="437" w:type="pct"/>
            <w:shd w:val="clear" w:color="auto" w:fill="auto"/>
            <w:noWrap/>
            <w:vAlign w:val="center"/>
            <w:hideMark/>
          </w:tcPr>
          <w:p w14:paraId="515D9BF7" w14:textId="77777777" w:rsidR="00CD6760" w:rsidRPr="0030562D" w:rsidRDefault="00CD6760" w:rsidP="00ED0FAD">
            <w:pPr>
              <w:spacing w:after="120"/>
              <w:jc w:val="both"/>
              <w:rPr>
                <w:rFonts w:ascii="Arial" w:hAnsi="Arial" w:cs="Arial"/>
                <w:sz w:val="13"/>
                <w:szCs w:val="13"/>
              </w:rPr>
            </w:pPr>
          </w:p>
        </w:tc>
        <w:tc>
          <w:tcPr>
            <w:tcW w:w="593" w:type="pct"/>
            <w:shd w:val="clear" w:color="auto" w:fill="auto"/>
            <w:noWrap/>
            <w:vAlign w:val="center"/>
            <w:hideMark/>
          </w:tcPr>
          <w:p w14:paraId="0F35272E"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052CB807"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1F9C8D62" w14:textId="77777777" w:rsidR="00CD6760" w:rsidRPr="0030562D" w:rsidRDefault="00CD6760" w:rsidP="00ED0FAD">
            <w:pPr>
              <w:spacing w:after="120"/>
              <w:jc w:val="both"/>
              <w:rPr>
                <w:rFonts w:ascii="Arial" w:hAnsi="Arial" w:cs="Arial"/>
                <w:sz w:val="13"/>
                <w:szCs w:val="13"/>
              </w:rPr>
            </w:pPr>
          </w:p>
        </w:tc>
      </w:tr>
      <w:tr w:rsidR="00ED0FAD" w:rsidRPr="0030562D" w14:paraId="108D002E" w14:textId="77777777" w:rsidTr="0030562D">
        <w:trPr>
          <w:trHeight w:val="320"/>
        </w:trPr>
        <w:tc>
          <w:tcPr>
            <w:tcW w:w="664" w:type="pct"/>
            <w:shd w:val="clear" w:color="auto" w:fill="auto"/>
            <w:noWrap/>
            <w:vAlign w:val="center"/>
            <w:hideMark/>
          </w:tcPr>
          <w:p w14:paraId="1DAFDD54"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Responsiveness </w:t>
            </w:r>
          </w:p>
        </w:tc>
        <w:tc>
          <w:tcPr>
            <w:tcW w:w="424" w:type="pct"/>
            <w:shd w:val="clear" w:color="auto" w:fill="auto"/>
            <w:noWrap/>
            <w:vAlign w:val="center"/>
            <w:hideMark/>
          </w:tcPr>
          <w:p w14:paraId="7ECA9EE7"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0.712</w:t>
            </w:r>
          </w:p>
        </w:tc>
        <w:tc>
          <w:tcPr>
            <w:tcW w:w="557" w:type="pct"/>
            <w:shd w:val="clear" w:color="auto" w:fill="auto"/>
            <w:noWrap/>
            <w:vAlign w:val="center"/>
            <w:hideMark/>
          </w:tcPr>
          <w:p w14:paraId="3E3EF762"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0.711</w:t>
            </w:r>
          </w:p>
        </w:tc>
        <w:tc>
          <w:tcPr>
            <w:tcW w:w="437" w:type="pct"/>
            <w:shd w:val="clear" w:color="auto" w:fill="auto"/>
            <w:noWrap/>
            <w:vAlign w:val="center"/>
            <w:hideMark/>
          </w:tcPr>
          <w:p w14:paraId="10A540FF"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0.796</w:t>
            </w:r>
          </w:p>
        </w:tc>
        <w:tc>
          <w:tcPr>
            <w:tcW w:w="567" w:type="pct"/>
            <w:shd w:val="clear" w:color="auto" w:fill="auto"/>
            <w:noWrap/>
            <w:vAlign w:val="center"/>
            <w:hideMark/>
          </w:tcPr>
          <w:p w14:paraId="2EBB3AAC"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0.803</w:t>
            </w:r>
          </w:p>
        </w:tc>
        <w:tc>
          <w:tcPr>
            <w:tcW w:w="437" w:type="pct"/>
            <w:shd w:val="clear" w:color="auto" w:fill="auto"/>
            <w:noWrap/>
            <w:vAlign w:val="center"/>
            <w:hideMark/>
          </w:tcPr>
          <w:p w14:paraId="5FC6AFA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0.732</w:t>
            </w:r>
          </w:p>
        </w:tc>
        <w:tc>
          <w:tcPr>
            <w:tcW w:w="593" w:type="pct"/>
            <w:shd w:val="clear" w:color="auto" w:fill="auto"/>
            <w:noWrap/>
            <w:vAlign w:val="center"/>
            <w:hideMark/>
          </w:tcPr>
          <w:p w14:paraId="644C707A" w14:textId="77777777" w:rsidR="00CD6760" w:rsidRPr="0030562D" w:rsidRDefault="00CD6760" w:rsidP="00ED0FAD">
            <w:pPr>
              <w:spacing w:after="120"/>
              <w:jc w:val="both"/>
              <w:rPr>
                <w:rFonts w:ascii="Arial" w:hAnsi="Arial" w:cs="Arial"/>
                <w:sz w:val="13"/>
                <w:szCs w:val="13"/>
              </w:rPr>
            </w:pPr>
          </w:p>
        </w:tc>
        <w:tc>
          <w:tcPr>
            <w:tcW w:w="656" w:type="pct"/>
            <w:shd w:val="clear" w:color="auto" w:fill="auto"/>
            <w:noWrap/>
            <w:vAlign w:val="center"/>
            <w:hideMark/>
          </w:tcPr>
          <w:p w14:paraId="6383F2FA"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80D47EC" w14:textId="77777777" w:rsidR="00CD6760" w:rsidRPr="0030562D" w:rsidRDefault="00CD6760" w:rsidP="00ED0FAD">
            <w:pPr>
              <w:spacing w:after="120"/>
              <w:jc w:val="both"/>
              <w:rPr>
                <w:rFonts w:ascii="Arial" w:hAnsi="Arial" w:cs="Arial"/>
                <w:sz w:val="13"/>
                <w:szCs w:val="13"/>
              </w:rPr>
            </w:pPr>
          </w:p>
        </w:tc>
      </w:tr>
      <w:tr w:rsidR="00ED0FAD" w:rsidRPr="0030562D" w14:paraId="615BAFFD" w14:textId="77777777" w:rsidTr="0030562D">
        <w:trPr>
          <w:trHeight w:val="320"/>
        </w:trPr>
        <w:tc>
          <w:tcPr>
            <w:tcW w:w="664" w:type="pct"/>
            <w:shd w:val="clear" w:color="auto" w:fill="auto"/>
            <w:noWrap/>
            <w:vAlign w:val="center"/>
            <w:hideMark/>
          </w:tcPr>
          <w:p w14:paraId="0C4C9737"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Site Organization </w:t>
            </w:r>
          </w:p>
        </w:tc>
        <w:tc>
          <w:tcPr>
            <w:tcW w:w="424" w:type="pct"/>
            <w:shd w:val="clear" w:color="auto" w:fill="auto"/>
            <w:noWrap/>
            <w:vAlign w:val="center"/>
            <w:hideMark/>
          </w:tcPr>
          <w:p w14:paraId="7151DCC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0.871</w:t>
            </w:r>
          </w:p>
        </w:tc>
        <w:tc>
          <w:tcPr>
            <w:tcW w:w="557" w:type="pct"/>
            <w:shd w:val="clear" w:color="auto" w:fill="auto"/>
            <w:noWrap/>
            <w:vAlign w:val="center"/>
            <w:hideMark/>
          </w:tcPr>
          <w:p w14:paraId="6C9019F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0.768</w:t>
            </w:r>
          </w:p>
        </w:tc>
        <w:tc>
          <w:tcPr>
            <w:tcW w:w="437" w:type="pct"/>
            <w:shd w:val="clear" w:color="auto" w:fill="auto"/>
            <w:noWrap/>
            <w:vAlign w:val="center"/>
            <w:hideMark/>
          </w:tcPr>
          <w:p w14:paraId="6F41A1E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0.765</w:t>
            </w:r>
          </w:p>
        </w:tc>
        <w:tc>
          <w:tcPr>
            <w:tcW w:w="567" w:type="pct"/>
            <w:shd w:val="clear" w:color="auto" w:fill="auto"/>
            <w:noWrap/>
            <w:vAlign w:val="center"/>
            <w:hideMark/>
          </w:tcPr>
          <w:p w14:paraId="43ECEE2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0.789</w:t>
            </w:r>
          </w:p>
        </w:tc>
        <w:tc>
          <w:tcPr>
            <w:tcW w:w="437" w:type="pct"/>
            <w:shd w:val="clear" w:color="auto" w:fill="auto"/>
            <w:noWrap/>
            <w:vAlign w:val="center"/>
            <w:hideMark/>
          </w:tcPr>
          <w:p w14:paraId="7379939A"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0.749</w:t>
            </w:r>
          </w:p>
        </w:tc>
        <w:tc>
          <w:tcPr>
            <w:tcW w:w="593" w:type="pct"/>
            <w:shd w:val="clear" w:color="auto" w:fill="auto"/>
            <w:noWrap/>
            <w:vAlign w:val="center"/>
            <w:hideMark/>
          </w:tcPr>
          <w:p w14:paraId="1A206CB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0.751</w:t>
            </w:r>
          </w:p>
        </w:tc>
        <w:tc>
          <w:tcPr>
            <w:tcW w:w="656" w:type="pct"/>
            <w:shd w:val="clear" w:color="auto" w:fill="auto"/>
            <w:noWrap/>
            <w:vAlign w:val="center"/>
            <w:hideMark/>
          </w:tcPr>
          <w:p w14:paraId="68F66B96" w14:textId="77777777" w:rsidR="00CD6760" w:rsidRPr="0030562D" w:rsidRDefault="00CD6760" w:rsidP="00ED0FAD">
            <w:pPr>
              <w:spacing w:after="120"/>
              <w:jc w:val="both"/>
              <w:rPr>
                <w:rFonts w:ascii="Arial" w:hAnsi="Arial" w:cs="Arial"/>
                <w:sz w:val="13"/>
                <w:szCs w:val="13"/>
              </w:rPr>
            </w:pPr>
          </w:p>
        </w:tc>
        <w:tc>
          <w:tcPr>
            <w:tcW w:w="664" w:type="pct"/>
            <w:shd w:val="clear" w:color="auto" w:fill="auto"/>
            <w:noWrap/>
            <w:vAlign w:val="center"/>
            <w:hideMark/>
          </w:tcPr>
          <w:p w14:paraId="508A368D" w14:textId="77777777" w:rsidR="00CD6760" w:rsidRPr="0030562D" w:rsidRDefault="00CD6760" w:rsidP="00ED0FAD">
            <w:pPr>
              <w:spacing w:after="120"/>
              <w:jc w:val="both"/>
              <w:rPr>
                <w:rFonts w:ascii="Arial" w:hAnsi="Arial" w:cs="Arial"/>
                <w:sz w:val="13"/>
                <w:szCs w:val="13"/>
              </w:rPr>
            </w:pPr>
          </w:p>
        </w:tc>
      </w:tr>
      <w:tr w:rsidR="00ED0FAD" w:rsidRPr="0030562D" w14:paraId="46EF59EE" w14:textId="77777777" w:rsidTr="0030562D">
        <w:trPr>
          <w:trHeight w:val="320"/>
        </w:trPr>
        <w:tc>
          <w:tcPr>
            <w:tcW w:w="664" w:type="pct"/>
            <w:shd w:val="clear" w:color="auto" w:fill="auto"/>
            <w:noWrap/>
            <w:vAlign w:val="center"/>
            <w:hideMark/>
          </w:tcPr>
          <w:p w14:paraId="157B64EA" w14:textId="77777777" w:rsidR="00CD6760" w:rsidRPr="0030562D" w:rsidRDefault="00CD6760" w:rsidP="00ED0FAD">
            <w:pPr>
              <w:spacing w:after="120"/>
              <w:jc w:val="both"/>
              <w:rPr>
                <w:rFonts w:ascii="Arial" w:hAnsi="Arial" w:cs="Arial"/>
                <w:b/>
                <w:bCs/>
                <w:i/>
                <w:iCs/>
                <w:sz w:val="13"/>
                <w:szCs w:val="13"/>
              </w:rPr>
            </w:pPr>
            <w:r w:rsidRPr="0030562D">
              <w:rPr>
                <w:rFonts w:ascii="Arial" w:hAnsi="Arial" w:cs="Arial"/>
                <w:b/>
                <w:bCs/>
                <w:i/>
                <w:iCs/>
                <w:sz w:val="13"/>
                <w:szCs w:val="13"/>
              </w:rPr>
              <w:t xml:space="preserve">User Friendliness </w:t>
            </w:r>
          </w:p>
        </w:tc>
        <w:tc>
          <w:tcPr>
            <w:tcW w:w="424" w:type="pct"/>
            <w:shd w:val="clear" w:color="auto" w:fill="auto"/>
            <w:noWrap/>
            <w:vAlign w:val="center"/>
            <w:hideMark/>
          </w:tcPr>
          <w:p w14:paraId="39DB1CFB"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0.763</w:t>
            </w:r>
          </w:p>
        </w:tc>
        <w:tc>
          <w:tcPr>
            <w:tcW w:w="557" w:type="pct"/>
            <w:shd w:val="clear" w:color="auto" w:fill="auto"/>
            <w:noWrap/>
            <w:vAlign w:val="center"/>
            <w:hideMark/>
          </w:tcPr>
          <w:p w14:paraId="25F396F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0.829</w:t>
            </w:r>
          </w:p>
        </w:tc>
        <w:tc>
          <w:tcPr>
            <w:tcW w:w="437" w:type="pct"/>
            <w:shd w:val="clear" w:color="auto" w:fill="auto"/>
            <w:noWrap/>
            <w:vAlign w:val="center"/>
            <w:hideMark/>
          </w:tcPr>
          <w:p w14:paraId="0CF323AD"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0.713</w:t>
            </w:r>
          </w:p>
        </w:tc>
        <w:tc>
          <w:tcPr>
            <w:tcW w:w="567" w:type="pct"/>
            <w:shd w:val="clear" w:color="auto" w:fill="auto"/>
            <w:noWrap/>
            <w:vAlign w:val="center"/>
            <w:hideMark/>
          </w:tcPr>
          <w:p w14:paraId="66AC623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0.819</w:t>
            </w:r>
          </w:p>
        </w:tc>
        <w:tc>
          <w:tcPr>
            <w:tcW w:w="437" w:type="pct"/>
            <w:shd w:val="clear" w:color="auto" w:fill="auto"/>
            <w:noWrap/>
            <w:vAlign w:val="center"/>
            <w:hideMark/>
          </w:tcPr>
          <w:p w14:paraId="7E3FAA12"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0.762</w:t>
            </w:r>
          </w:p>
        </w:tc>
        <w:tc>
          <w:tcPr>
            <w:tcW w:w="593" w:type="pct"/>
            <w:shd w:val="clear" w:color="auto" w:fill="auto"/>
            <w:noWrap/>
            <w:vAlign w:val="center"/>
            <w:hideMark/>
          </w:tcPr>
          <w:p w14:paraId="6B6C5E30"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0.713</w:t>
            </w:r>
          </w:p>
        </w:tc>
        <w:tc>
          <w:tcPr>
            <w:tcW w:w="656" w:type="pct"/>
            <w:shd w:val="clear" w:color="auto" w:fill="auto"/>
            <w:noWrap/>
            <w:vAlign w:val="center"/>
            <w:hideMark/>
          </w:tcPr>
          <w:p w14:paraId="376635C6" w14:textId="77777777" w:rsidR="00CD6760" w:rsidRPr="0030562D" w:rsidRDefault="00CD6760" w:rsidP="00ED0FAD">
            <w:pPr>
              <w:spacing w:after="120"/>
              <w:jc w:val="both"/>
              <w:rPr>
                <w:rFonts w:ascii="Arial" w:hAnsi="Arial" w:cs="Arial"/>
                <w:sz w:val="13"/>
                <w:szCs w:val="13"/>
              </w:rPr>
            </w:pPr>
            <w:r w:rsidRPr="0030562D">
              <w:rPr>
                <w:rFonts w:ascii="Arial" w:hAnsi="Arial" w:cs="Arial"/>
                <w:sz w:val="13"/>
                <w:szCs w:val="13"/>
              </w:rPr>
              <w:t>0.812</w:t>
            </w:r>
          </w:p>
        </w:tc>
        <w:tc>
          <w:tcPr>
            <w:tcW w:w="664" w:type="pct"/>
            <w:shd w:val="clear" w:color="auto" w:fill="auto"/>
            <w:noWrap/>
            <w:vAlign w:val="center"/>
            <w:hideMark/>
          </w:tcPr>
          <w:p w14:paraId="6729BAC7" w14:textId="77777777" w:rsidR="00CD6760" w:rsidRPr="0030562D" w:rsidRDefault="00CD6760" w:rsidP="00ED0FAD">
            <w:pPr>
              <w:spacing w:after="120"/>
              <w:jc w:val="both"/>
              <w:rPr>
                <w:rFonts w:ascii="Arial" w:hAnsi="Arial" w:cs="Arial"/>
                <w:sz w:val="13"/>
                <w:szCs w:val="13"/>
              </w:rPr>
            </w:pPr>
          </w:p>
        </w:tc>
      </w:tr>
    </w:tbl>
    <w:p w14:paraId="0D14DBC4"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41E3D82F" w14:textId="50A60B85"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lastRenderedPageBreak/>
        <w:t xml:space="preserve">Table 11 presents the results of the </w:t>
      </w:r>
      <w:proofErr w:type="spellStart"/>
      <w:r w:rsidRPr="0030562D">
        <w:rPr>
          <w:rFonts w:ascii="Arial" w:hAnsi="Arial" w:cs="Arial"/>
          <w:sz w:val="20"/>
          <w:szCs w:val="20"/>
        </w:rPr>
        <w:t>Heterotrait-Monotrait</w:t>
      </w:r>
      <w:proofErr w:type="spellEnd"/>
      <w:r w:rsidRPr="0030562D">
        <w:rPr>
          <w:rFonts w:ascii="Arial" w:hAnsi="Arial" w:cs="Arial"/>
          <w:sz w:val="20"/>
          <w:szCs w:val="20"/>
        </w:rPr>
        <w:t xml:space="preserve"> Ratio (HTMT) test, which is used to assess the discriminant validity between constructs in the research model. Discriminant validity is considered acceptable if the HTMT values between constructs are below 0.90 (Henseler et al., 2015). Based on the table above, all HTMT values between variables fall below the 0.90 threshold, indicating that each construct in the model is statistically distinct from the others. It can be concluded that the model satisfies the requirements of discriminant validity, and each variable in the study is conceptually independent.</w:t>
      </w:r>
    </w:p>
    <w:p w14:paraId="5D7153DA" w14:textId="2A8D24C8"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w:t>
      </w:r>
      <w:r w:rsidR="00DE08CB">
        <w:rPr>
          <w:rFonts w:ascii="Arial" w:hAnsi="Arial" w:cs="Arial"/>
          <w:b/>
          <w:bCs/>
          <w:sz w:val="20"/>
          <w:szCs w:val="20"/>
        </w:rPr>
        <w:t>e</w:t>
      </w:r>
      <w:r w:rsidRPr="0030562D">
        <w:rPr>
          <w:rFonts w:ascii="Arial" w:hAnsi="Arial" w:cs="Arial"/>
          <w:b/>
          <w:bCs/>
          <w:sz w:val="20"/>
          <w:szCs w:val="20"/>
        </w:rPr>
        <w:t xml:space="preserve"> 12. </w:t>
      </w:r>
      <w:proofErr w:type="spellStart"/>
      <w:r w:rsidRPr="0030562D">
        <w:rPr>
          <w:rFonts w:ascii="Arial" w:hAnsi="Arial" w:cs="Arial"/>
          <w:b/>
          <w:bCs/>
          <w:sz w:val="20"/>
          <w:szCs w:val="20"/>
        </w:rPr>
        <w:t>Reselt</w:t>
      </w:r>
      <w:proofErr w:type="spellEnd"/>
      <w:r w:rsidRPr="0030562D">
        <w:rPr>
          <w:rFonts w:ascii="Arial" w:hAnsi="Arial" w:cs="Arial"/>
          <w:b/>
          <w:bCs/>
          <w:sz w:val="20"/>
          <w:szCs w:val="20"/>
        </w:rPr>
        <w:t xml:space="preserve"> of Average Variance Extracted (AVE) Test</w:t>
      </w:r>
    </w:p>
    <w:tbl>
      <w:tblPr>
        <w:tblW w:w="5000" w:type="pct"/>
        <w:tblLook w:val="04A0" w:firstRow="1" w:lastRow="0" w:firstColumn="1" w:lastColumn="0" w:noHBand="0" w:noVBand="1"/>
      </w:tblPr>
      <w:tblGrid>
        <w:gridCol w:w="4754"/>
        <w:gridCol w:w="3462"/>
      </w:tblGrid>
      <w:tr w:rsidR="00ED0FAD" w:rsidRPr="0030562D" w14:paraId="3EE1D8B1" w14:textId="77777777" w:rsidTr="00023A5E">
        <w:trPr>
          <w:trHeight w:val="320"/>
          <w:tblHeader/>
        </w:trPr>
        <w:tc>
          <w:tcPr>
            <w:tcW w:w="2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136C" w14:textId="04C52C24" w:rsidR="00CD6760" w:rsidRPr="0030562D" w:rsidRDefault="00CD6760" w:rsidP="00ED0FAD">
            <w:pPr>
              <w:spacing w:after="120"/>
              <w:jc w:val="both"/>
              <w:rPr>
                <w:rFonts w:ascii="Arial" w:hAnsi="Arial" w:cs="Arial"/>
                <w:b/>
                <w:bCs/>
                <w:sz w:val="20"/>
                <w:szCs w:val="20"/>
              </w:rPr>
            </w:pPr>
            <w:r w:rsidRPr="0030562D">
              <w:rPr>
                <w:rFonts w:ascii="Arial" w:hAnsi="Arial" w:cs="Arial"/>
                <w:b/>
                <w:bCs/>
                <w:sz w:val="20"/>
                <w:szCs w:val="20"/>
              </w:rPr>
              <w:t>Variable</w:t>
            </w:r>
          </w:p>
        </w:tc>
        <w:tc>
          <w:tcPr>
            <w:tcW w:w="2052" w:type="pct"/>
            <w:tcBorders>
              <w:top w:val="single" w:sz="4" w:space="0" w:color="auto"/>
              <w:left w:val="nil"/>
              <w:bottom w:val="single" w:sz="4" w:space="0" w:color="auto"/>
              <w:right w:val="single" w:sz="4" w:space="0" w:color="auto"/>
            </w:tcBorders>
            <w:shd w:val="clear" w:color="auto" w:fill="auto"/>
            <w:noWrap/>
            <w:vAlign w:val="center"/>
            <w:hideMark/>
          </w:tcPr>
          <w:p w14:paraId="5E961649" w14:textId="77777777" w:rsidR="00CD6760" w:rsidRPr="0030562D" w:rsidRDefault="00CD6760" w:rsidP="00ED0FAD">
            <w:pPr>
              <w:spacing w:after="120"/>
              <w:jc w:val="both"/>
              <w:rPr>
                <w:rFonts w:ascii="Arial" w:hAnsi="Arial" w:cs="Arial"/>
                <w:b/>
                <w:bCs/>
                <w:sz w:val="20"/>
                <w:szCs w:val="20"/>
              </w:rPr>
            </w:pPr>
            <w:r w:rsidRPr="0030562D">
              <w:rPr>
                <w:rFonts w:ascii="Arial" w:hAnsi="Arial" w:cs="Arial"/>
                <w:b/>
                <w:bCs/>
                <w:sz w:val="20"/>
                <w:szCs w:val="20"/>
              </w:rPr>
              <w:t>Average Variance Extracted (AVE)</w:t>
            </w:r>
          </w:p>
        </w:tc>
      </w:tr>
      <w:tr w:rsidR="00ED0FAD" w:rsidRPr="0030562D" w14:paraId="37EE51AD"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7942E6E6"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E-Loyalty</w:t>
            </w:r>
          </w:p>
        </w:tc>
        <w:tc>
          <w:tcPr>
            <w:tcW w:w="2052" w:type="pct"/>
            <w:tcBorders>
              <w:top w:val="nil"/>
              <w:left w:val="nil"/>
              <w:bottom w:val="single" w:sz="4" w:space="0" w:color="auto"/>
              <w:right w:val="single" w:sz="4" w:space="0" w:color="auto"/>
            </w:tcBorders>
            <w:shd w:val="clear" w:color="auto" w:fill="auto"/>
            <w:noWrap/>
            <w:vAlign w:val="center"/>
            <w:hideMark/>
          </w:tcPr>
          <w:p w14:paraId="16A0F547"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0.775</w:t>
            </w:r>
          </w:p>
        </w:tc>
      </w:tr>
      <w:tr w:rsidR="00ED0FAD" w:rsidRPr="0030562D" w14:paraId="7D6E4B1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CC02C1E"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E-Satisfaction</w:t>
            </w:r>
          </w:p>
        </w:tc>
        <w:tc>
          <w:tcPr>
            <w:tcW w:w="2052" w:type="pct"/>
            <w:tcBorders>
              <w:top w:val="nil"/>
              <w:left w:val="nil"/>
              <w:bottom w:val="single" w:sz="4" w:space="0" w:color="auto"/>
              <w:right w:val="single" w:sz="4" w:space="0" w:color="auto"/>
            </w:tcBorders>
            <w:shd w:val="clear" w:color="auto" w:fill="auto"/>
            <w:noWrap/>
            <w:vAlign w:val="center"/>
            <w:hideMark/>
          </w:tcPr>
          <w:p w14:paraId="036965AD"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0.846</w:t>
            </w:r>
          </w:p>
        </w:tc>
      </w:tr>
      <w:tr w:rsidR="00ED0FAD" w:rsidRPr="0030562D" w14:paraId="528B8943"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0B441990"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Efficiency</w:t>
            </w:r>
          </w:p>
        </w:tc>
        <w:tc>
          <w:tcPr>
            <w:tcW w:w="2052" w:type="pct"/>
            <w:tcBorders>
              <w:top w:val="nil"/>
              <w:left w:val="nil"/>
              <w:bottom w:val="single" w:sz="4" w:space="0" w:color="auto"/>
              <w:right w:val="single" w:sz="4" w:space="0" w:color="auto"/>
            </w:tcBorders>
            <w:shd w:val="clear" w:color="auto" w:fill="auto"/>
            <w:noWrap/>
            <w:vAlign w:val="center"/>
            <w:hideMark/>
          </w:tcPr>
          <w:p w14:paraId="4E95593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0.826</w:t>
            </w:r>
          </w:p>
        </w:tc>
      </w:tr>
      <w:tr w:rsidR="00ED0FAD" w:rsidRPr="0030562D" w14:paraId="10B1F3E7"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E1DAEB9"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Personal Need</w:t>
            </w:r>
          </w:p>
        </w:tc>
        <w:tc>
          <w:tcPr>
            <w:tcW w:w="2052" w:type="pct"/>
            <w:tcBorders>
              <w:top w:val="nil"/>
              <w:left w:val="nil"/>
              <w:bottom w:val="single" w:sz="4" w:space="0" w:color="auto"/>
              <w:right w:val="single" w:sz="4" w:space="0" w:color="auto"/>
            </w:tcBorders>
            <w:shd w:val="clear" w:color="auto" w:fill="auto"/>
            <w:noWrap/>
            <w:vAlign w:val="center"/>
            <w:hideMark/>
          </w:tcPr>
          <w:p w14:paraId="63C4D1D0"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0.849</w:t>
            </w:r>
          </w:p>
        </w:tc>
      </w:tr>
      <w:tr w:rsidR="00ED0FAD" w:rsidRPr="0030562D" w14:paraId="0FE2B3AC"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15E6A882"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Reliability</w:t>
            </w:r>
          </w:p>
        </w:tc>
        <w:tc>
          <w:tcPr>
            <w:tcW w:w="2052" w:type="pct"/>
            <w:tcBorders>
              <w:top w:val="nil"/>
              <w:left w:val="nil"/>
              <w:bottom w:val="single" w:sz="4" w:space="0" w:color="auto"/>
              <w:right w:val="single" w:sz="4" w:space="0" w:color="auto"/>
            </w:tcBorders>
            <w:shd w:val="clear" w:color="auto" w:fill="auto"/>
            <w:noWrap/>
            <w:vAlign w:val="center"/>
            <w:hideMark/>
          </w:tcPr>
          <w:p w14:paraId="4CDB308F"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0.728</w:t>
            </w:r>
          </w:p>
        </w:tc>
      </w:tr>
      <w:tr w:rsidR="00ED0FAD" w:rsidRPr="0030562D" w14:paraId="03496766"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0713792C"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Responsiveness</w:t>
            </w:r>
          </w:p>
        </w:tc>
        <w:tc>
          <w:tcPr>
            <w:tcW w:w="2052" w:type="pct"/>
            <w:tcBorders>
              <w:top w:val="nil"/>
              <w:left w:val="nil"/>
              <w:bottom w:val="single" w:sz="4" w:space="0" w:color="auto"/>
              <w:right w:val="single" w:sz="4" w:space="0" w:color="auto"/>
            </w:tcBorders>
            <w:shd w:val="clear" w:color="auto" w:fill="auto"/>
            <w:noWrap/>
            <w:vAlign w:val="center"/>
            <w:hideMark/>
          </w:tcPr>
          <w:p w14:paraId="111C3C7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0.759</w:t>
            </w:r>
          </w:p>
        </w:tc>
      </w:tr>
      <w:tr w:rsidR="00ED0FAD" w:rsidRPr="0030562D" w14:paraId="70C7E97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32105B51"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Site Organization</w:t>
            </w:r>
          </w:p>
        </w:tc>
        <w:tc>
          <w:tcPr>
            <w:tcW w:w="2052" w:type="pct"/>
            <w:tcBorders>
              <w:top w:val="nil"/>
              <w:left w:val="nil"/>
              <w:bottom w:val="single" w:sz="4" w:space="0" w:color="auto"/>
              <w:right w:val="single" w:sz="4" w:space="0" w:color="auto"/>
            </w:tcBorders>
            <w:shd w:val="clear" w:color="auto" w:fill="auto"/>
            <w:noWrap/>
            <w:vAlign w:val="center"/>
            <w:hideMark/>
          </w:tcPr>
          <w:p w14:paraId="388C1329"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0.757</w:t>
            </w:r>
          </w:p>
        </w:tc>
      </w:tr>
      <w:tr w:rsidR="00ED0FAD" w:rsidRPr="0030562D" w14:paraId="046B426A" w14:textId="77777777" w:rsidTr="00023A5E">
        <w:trPr>
          <w:trHeight w:val="320"/>
        </w:trPr>
        <w:tc>
          <w:tcPr>
            <w:tcW w:w="2948" w:type="pct"/>
            <w:tcBorders>
              <w:top w:val="nil"/>
              <w:left w:val="single" w:sz="4" w:space="0" w:color="auto"/>
              <w:bottom w:val="single" w:sz="4" w:space="0" w:color="auto"/>
              <w:right w:val="single" w:sz="4" w:space="0" w:color="auto"/>
            </w:tcBorders>
            <w:shd w:val="clear" w:color="auto" w:fill="auto"/>
            <w:noWrap/>
            <w:vAlign w:val="center"/>
            <w:hideMark/>
          </w:tcPr>
          <w:p w14:paraId="4054E881"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User Friendliness</w:t>
            </w:r>
          </w:p>
        </w:tc>
        <w:tc>
          <w:tcPr>
            <w:tcW w:w="2052" w:type="pct"/>
            <w:tcBorders>
              <w:top w:val="nil"/>
              <w:left w:val="nil"/>
              <w:bottom w:val="single" w:sz="4" w:space="0" w:color="auto"/>
              <w:right w:val="single" w:sz="4" w:space="0" w:color="auto"/>
            </w:tcBorders>
            <w:shd w:val="clear" w:color="auto" w:fill="auto"/>
            <w:noWrap/>
            <w:vAlign w:val="center"/>
            <w:hideMark/>
          </w:tcPr>
          <w:p w14:paraId="14686805"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0.752</w:t>
            </w:r>
          </w:p>
        </w:tc>
      </w:tr>
    </w:tbl>
    <w:p w14:paraId="023358D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305E83F3" w14:textId="641E8724"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AVE (Average Variance Extracted) value is used to assess convergent validity, which refers to the extent to which indicators of a construct are highly correlated with one another. In general, a recommended AVE value is at least 0.50, meaning that more than 50% of the variance of the indicators can be explained by the construct. Based on the table, all variables have AVE values above 0.70, indicating that each construct possesses very good convergent validity. Thus, the indicators used in this study are adequately able to explain their respective constructs.</w:t>
      </w:r>
    </w:p>
    <w:p w14:paraId="2742E81A"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61DFAB64" w14:textId="77777777" w:rsidR="00B57C68"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Construct Reliability Test</w:t>
      </w:r>
    </w:p>
    <w:p w14:paraId="34F8D559" w14:textId="71FF1543"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The Construct Reliability test aims to evaluate the internal consistency of the indicators in measuring a construct. Two commonly used measures in this test are Cronbach's Alpha and Composite Reliability (CR). Values above 0.70 for both are considered good, indicating that the indicators have a high level of reliability in measuring the intended latent variable. If all variables have CR and Cronbach's Alpha values above this threshold, it can be concluded that the constructs in the model have strong construct reliability, making the analysis results trustworthy and suitable for further testing of relationships between variables. The following are the results of the Construct Reliability test.</w:t>
      </w:r>
    </w:p>
    <w:p w14:paraId="4ABD8586" w14:textId="0718AA97" w:rsidR="00CD6760" w:rsidRPr="0030562D" w:rsidRDefault="00CD6760" w:rsidP="00ED0FAD">
      <w:pPr>
        <w:pStyle w:val="NormalWeb"/>
        <w:spacing w:before="0" w:beforeAutospacing="0" w:after="120" w:afterAutospacing="0"/>
        <w:jc w:val="both"/>
        <w:rPr>
          <w:rFonts w:ascii="Arial" w:hAnsi="Arial" w:cs="Arial"/>
          <w:b/>
          <w:bCs/>
          <w:sz w:val="20"/>
          <w:szCs w:val="20"/>
        </w:rPr>
      </w:pPr>
      <w:r w:rsidRPr="0030562D">
        <w:rPr>
          <w:rFonts w:ascii="Arial" w:hAnsi="Arial" w:cs="Arial"/>
          <w:b/>
          <w:bCs/>
          <w:sz w:val="20"/>
          <w:szCs w:val="20"/>
        </w:rPr>
        <w:t>Table 13. Result of Construct Reliability Test</w:t>
      </w:r>
    </w:p>
    <w:tbl>
      <w:tblPr>
        <w:tblW w:w="5000" w:type="pct"/>
        <w:tblBorders>
          <w:top w:val="single" w:sz="8" w:space="0" w:color="auto"/>
          <w:bottom w:val="single" w:sz="8" w:space="0" w:color="auto"/>
          <w:insideH w:val="single" w:sz="8" w:space="0" w:color="auto"/>
        </w:tblBorders>
        <w:tblLook w:val="04A0" w:firstRow="1" w:lastRow="0" w:firstColumn="1" w:lastColumn="0" w:noHBand="0" w:noVBand="1"/>
      </w:tblPr>
      <w:tblGrid>
        <w:gridCol w:w="3506"/>
        <w:gridCol w:w="2390"/>
        <w:gridCol w:w="2330"/>
      </w:tblGrid>
      <w:tr w:rsidR="00ED0FAD" w:rsidRPr="0030562D" w14:paraId="5CCAF987" w14:textId="77777777" w:rsidTr="00CD6760">
        <w:trPr>
          <w:trHeight w:val="320"/>
        </w:trPr>
        <w:tc>
          <w:tcPr>
            <w:tcW w:w="2131" w:type="pct"/>
            <w:shd w:val="clear" w:color="auto" w:fill="auto"/>
            <w:noWrap/>
            <w:vAlign w:val="center"/>
            <w:hideMark/>
          </w:tcPr>
          <w:p w14:paraId="63B84882" w14:textId="77777777" w:rsidR="00CD6760" w:rsidRPr="0030562D" w:rsidRDefault="00CD6760" w:rsidP="00ED0FAD">
            <w:pPr>
              <w:spacing w:after="120"/>
              <w:jc w:val="both"/>
              <w:rPr>
                <w:rFonts w:ascii="Arial" w:hAnsi="Arial" w:cs="Arial"/>
                <w:b/>
                <w:bCs/>
                <w:sz w:val="20"/>
                <w:szCs w:val="20"/>
              </w:rPr>
            </w:pPr>
            <w:proofErr w:type="spellStart"/>
            <w:r w:rsidRPr="0030562D">
              <w:rPr>
                <w:rFonts w:ascii="Arial" w:hAnsi="Arial" w:cs="Arial"/>
                <w:b/>
                <w:bCs/>
                <w:sz w:val="20"/>
                <w:szCs w:val="20"/>
              </w:rPr>
              <w:t>Variabel</w:t>
            </w:r>
            <w:proofErr w:type="spellEnd"/>
          </w:p>
        </w:tc>
        <w:tc>
          <w:tcPr>
            <w:tcW w:w="1453" w:type="pct"/>
            <w:shd w:val="clear" w:color="auto" w:fill="auto"/>
            <w:noWrap/>
            <w:vAlign w:val="center"/>
            <w:hideMark/>
          </w:tcPr>
          <w:p w14:paraId="2FC29378" w14:textId="77777777" w:rsidR="00CD6760" w:rsidRPr="0030562D" w:rsidRDefault="00CD6760" w:rsidP="00ED0FAD">
            <w:pPr>
              <w:spacing w:after="120"/>
              <w:jc w:val="both"/>
              <w:rPr>
                <w:rFonts w:ascii="Arial" w:hAnsi="Arial" w:cs="Arial"/>
                <w:b/>
                <w:bCs/>
                <w:i/>
                <w:iCs/>
                <w:sz w:val="20"/>
                <w:szCs w:val="20"/>
              </w:rPr>
            </w:pPr>
            <w:r w:rsidRPr="0030562D">
              <w:rPr>
                <w:rFonts w:ascii="Arial" w:hAnsi="Arial" w:cs="Arial"/>
                <w:b/>
                <w:bCs/>
                <w:i/>
                <w:iCs/>
                <w:sz w:val="20"/>
                <w:szCs w:val="20"/>
              </w:rPr>
              <w:t>Cronbach's Alpha</w:t>
            </w:r>
          </w:p>
        </w:tc>
        <w:tc>
          <w:tcPr>
            <w:tcW w:w="1416" w:type="pct"/>
            <w:shd w:val="clear" w:color="auto" w:fill="auto"/>
            <w:noWrap/>
            <w:vAlign w:val="center"/>
            <w:hideMark/>
          </w:tcPr>
          <w:p w14:paraId="56A0402E" w14:textId="77777777" w:rsidR="00CD6760" w:rsidRPr="0030562D" w:rsidRDefault="00CD6760" w:rsidP="00ED0FAD">
            <w:pPr>
              <w:spacing w:after="120"/>
              <w:jc w:val="both"/>
              <w:rPr>
                <w:rFonts w:ascii="Arial" w:hAnsi="Arial" w:cs="Arial"/>
                <w:b/>
                <w:bCs/>
                <w:i/>
                <w:iCs/>
                <w:sz w:val="20"/>
                <w:szCs w:val="20"/>
              </w:rPr>
            </w:pPr>
            <w:r w:rsidRPr="0030562D">
              <w:rPr>
                <w:rFonts w:ascii="Arial" w:hAnsi="Arial" w:cs="Arial"/>
                <w:b/>
                <w:bCs/>
                <w:i/>
                <w:iCs/>
                <w:sz w:val="20"/>
                <w:szCs w:val="20"/>
              </w:rPr>
              <w:t>Composite Reliability</w:t>
            </w:r>
          </w:p>
        </w:tc>
      </w:tr>
      <w:tr w:rsidR="00ED0FAD" w:rsidRPr="0030562D" w14:paraId="22863CD5" w14:textId="77777777" w:rsidTr="00CD6760">
        <w:trPr>
          <w:trHeight w:val="320"/>
        </w:trPr>
        <w:tc>
          <w:tcPr>
            <w:tcW w:w="2131" w:type="pct"/>
            <w:shd w:val="clear" w:color="auto" w:fill="auto"/>
            <w:noWrap/>
            <w:vAlign w:val="center"/>
            <w:hideMark/>
          </w:tcPr>
          <w:p w14:paraId="71D3A18E"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E-Loyalty</w:t>
            </w:r>
          </w:p>
        </w:tc>
        <w:tc>
          <w:tcPr>
            <w:tcW w:w="1453" w:type="pct"/>
            <w:shd w:val="clear" w:color="auto" w:fill="auto"/>
            <w:noWrap/>
            <w:vAlign w:val="center"/>
            <w:hideMark/>
          </w:tcPr>
          <w:p w14:paraId="5EE9CBE8"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0.855</w:t>
            </w:r>
          </w:p>
        </w:tc>
        <w:tc>
          <w:tcPr>
            <w:tcW w:w="1416" w:type="pct"/>
            <w:shd w:val="clear" w:color="auto" w:fill="auto"/>
            <w:noWrap/>
            <w:vAlign w:val="center"/>
            <w:hideMark/>
          </w:tcPr>
          <w:p w14:paraId="4A405EEB"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0.912</w:t>
            </w:r>
          </w:p>
        </w:tc>
      </w:tr>
      <w:tr w:rsidR="00ED0FAD" w:rsidRPr="0030562D" w14:paraId="52FD3475" w14:textId="77777777" w:rsidTr="00CD6760">
        <w:trPr>
          <w:trHeight w:val="320"/>
        </w:trPr>
        <w:tc>
          <w:tcPr>
            <w:tcW w:w="2131" w:type="pct"/>
            <w:shd w:val="clear" w:color="auto" w:fill="auto"/>
            <w:noWrap/>
            <w:vAlign w:val="center"/>
            <w:hideMark/>
          </w:tcPr>
          <w:p w14:paraId="12D87A98"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E-Satisfaction</w:t>
            </w:r>
          </w:p>
        </w:tc>
        <w:tc>
          <w:tcPr>
            <w:tcW w:w="1453" w:type="pct"/>
            <w:shd w:val="clear" w:color="auto" w:fill="auto"/>
            <w:noWrap/>
            <w:vAlign w:val="center"/>
            <w:hideMark/>
          </w:tcPr>
          <w:p w14:paraId="15E3CA13"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0.909</w:t>
            </w:r>
          </w:p>
        </w:tc>
        <w:tc>
          <w:tcPr>
            <w:tcW w:w="1416" w:type="pct"/>
            <w:shd w:val="clear" w:color="auto" w:fill="auto"/>
            <w:noWrap/>
            <w:vAlign w:val="center"/>
            <w:hideMark/>
          </w:tcPr>
          <w:p w14:paraId="5ECBFEDC"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0.943</w:t>
            </w:r>
          </w:p>
        </w:tc>
      </w:tr>
      <w:tr w:rsidR="00ED0FAD" w:rsidRPr="0030562D" w14:paraId="42066039" w14:textId="77777777" w:rsidTr="00CD6760">
        <w:trPr>
          <w:trHeight w:val="320"/>
        </w:trPr>
        <w:tc>
          <w:tcPr>
            <w:tcW w:w="2131" w:type="pct"/>
            <w:shd w:val="clear" w:color="auto" w:fill="auto"/>
            <w:noWrap/>
            <w:vAlign w:val="center"/>
            <w:hideMark/>
          </w:tcPr>
          <w:p w14:paraId="56D253FB"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Efficiency</w:t>
            </w:r>
          </w:p>
        </w:tc>
        <w:tc>
          <w:tcPr>
            <w:tcW w:w="1453" w:type="pct"/>
            <w:shd w:val="clear" w:color="auto" w:fill="auto"/>
            <w:noWrap/>
            <w:vAlign w:val="center"/>
            <w:hideMark/>
          </w:tcPr>
          <w:p w14:paraId="5DEC981A"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0.894</w:t>
            </w:r>
          </w:p>
        </w:tc>
        <w:tc>
          <w:tcPr>
            <w:tcW w:w="1416" w:type="pct"/>
            <w:shd w:val="clear" w:color="auto" w:fill="auto"/>
            <w:noWrap/>
            <w:vAlign w:val="center"/>
            <w:hideMark/>
          </w:tcPr>
          <w:p w14:paraId="5894081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0.934</w:t>
            </w:r>
          </w:p>
        </w:tc>
      </w:tr>
      <w:tr w:rsidR="00ED0FAD" w:rsidRPr="0030562D" w14:paraId="7E0A0AA0" w14:textId="77777777" w:rsidTr="00CD6760">
        <w:trPr>
          <w:trHeight w:val="320"/>
        </w:trPr>
        <w:tc>
          <w:tcPr>
            <w:tcW w:w="2131" w:type="pct"/>
            <w:shd w:val="clear" w:color="auto" w:fill="auto"/>
            <w:noWrap/>
            <w:vAlign w:val="center"/>
            <w:hideMark/>
          </w:tcPr>
          <w:p w14:paraId="09A641B4"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Personal Need</w:t>
            </w:r>
          </w:p>
        </w:tc>
        <w:tc>
          <w:tcPr>
            <w:tcW w:w="1453" w:type="pct"/>
            <w:shd w:val="clear" w:color="auto" w:fill="auto"/>
            <w:noWrap/>
            <w:vAlign w:val="center"/>
            <w:hideMark/>
          </w:tcPr>
          <w:p w14:paraId="4A334572"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0.911</w:t>
            </w:r>
          </w:p>
        </w:tc>
        <w:tc>
          <w:tcPr>
            <w:tcW w:w="1416" w:type="pct"/>
            <w:shd w:val="clear" w:color="auto" w:fill="auto"/>
            <w:noWrap/>
            <w:vAlign w:val="center"/>
            <w:hideMark/>
          </w:tcPr>
          <w:p w14:paraId="2BFC02F4"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0.944</w:t>
            </w:r>
          </w:p>
        </w:tc>
      </w:tr>
      <w:tr w:rsidR="00ED0FAD" w:rsidRPr="0030562D" w14:paraId="6FADBFB3" w14:textId="77777777" w:rsidTr="00CD6760">
        <w:trPr>
          <w:trHeight w:val="320"/>
        </w:trPr>
        <w:tc>
          <w:tcPr>
            <w:tcW w:w="2131" w:type="pct"/>
            <w:shd w:val="clear" w:color="auto" w:fill="auto"/>
            <w:noWrap/>
            <w:vAlign w:val="center"/>
            <w:hideMark/>
          </w:tcPr>
          <w:p w14:paraId="6246A0F9"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lastRenderedPageBreak/>
              <w:t>Reliability</w:t>
            </w:r>
          </w:p>
        </w:tc>
        <w:tc>
          <w:tcPr>
            <w:tcW w:w="1453" w:type="pct"/>
            <w:shd w:val="clear" w:color="auto" w:fill="auto"/>
            <w:noWrap/>
            <w:vAlign w:val="center"/>
            <w:hideMark/>
          </w:tcPr>
          <w:p w14:paraId="4A9A4C3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0.875</w:t>
            </w:r>
          </w:p>
        </w:tc>
        <w:tc>
          <w:tcPr>
            <w:tcW w:w="1416" w:type="pct"/>
            <w:shd w:val="clear" w:color="auto" w:fill="auto"/>
            <w:noWrap/>
            <w:vAlign w:val="center"/>
            <w:hideMark/>
          </w:tcPr>
          <w:p w14:paraId="1C6BD3EC"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0.915</w:t>
            </w:r>
          </w:p>
        </w:tc>
      </w:tr>
      <w:tr w:rsidR="00ED0FAD" w:rsidRPr="0030562D" w14:paraId="57694156" w14:textId="77777777" w:rsidTr="00CD6760">
        <w:trPr>
          <w:trHeight w:val="320"/>
        </w:trPr>
        <w:tc>
          <w:tcPr>
            <w:tcW w:w="2131" w:type="pct"/>
            <w:shd w:val="clear" w:color="auto" w:fill="auto"/>
            <w:noWrap/>
            <w:vAlign w:val="center"/>
            <w:hideMark/>
          </w:tcPr>
          <w:p w14:paraId="77A0345A"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Responsiveness</w:t>
            </w:r>
          </w:p>
        </w:tc>
        <w:tc>
          <w:tcPr>
            <w:tcW w:w="1453" w:type="pct"/>
            <w:shd w:val="clear" w:color="auto" w:fill="auto"/>
            <w:noWrap/>
            <w:vAlign w:val="center"/>
            <w:hideMark/>
          </w:tcPr>
          <w:p w14:paraId="58056A7D"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0.841</w:t>
            </w:r>
          </w:p>
        </w:tc>
        <w:tc>
          <w:tcPr>
            <w:tcW w:w="1416" w:type="pct"/>
            <w:shd w:val="clear" w:color="auto" w:fill="auto"/>
            <w:noWrap/>
            <w:vAlign w:val="center"/>
            <w:hideMark/>
          </w:tcPr>
          <w:p w14:paraId="62D318BF"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0.904</w:t>
            </w:r>
          </w:p>
        </w:tc>
      </w:tr>
      <w:tr w:rsidR="00ED0FAD" w:rsidRPr="0030562D" w14:paraId="1558B563" w14:textId="77777777" w:rsidTr="00CD6760">
        <w:trPr>
          <w:trHeight w:val="320"/>
        </w:trPr>
        <w:tc>
          <w:tcPr>
            <w:tcW w:w="2131" w:type="pct"/>
            <w:shd w:val="clear" w:color="auto" w:fill="auto"/>
            <w:noWrap/>
            <w:vAlign w:val="center"/>
            <w:hideMark/>
          </w:tcPr>
          <w:p w14:paraId="7BFC53EF"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Site Organization</w:t>
            </w:r>
          </w:p>
        </w:tc>
        <w:tc>
          <w:tcPr>
            <w:tcW w:w="1453" w:type="pct"/>
            <w:shd w:val="clear" w:color="auto" w:fill="auto"/>
            <w:noWrap/>
            <w:vAlign w:val="center"/>
            <w:hideMark/>
          </w:tcPr>
          <w:p w14:paraId="1A2CF3E8"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0.84</w:t>
            </w:r>
          </w:p>
        </w:tc>
        <w:tc>
          <w:tcPr>
            <w:tcW w:w="1416" w:type="pct"/>
            <w:shd w:val="clear" w:color="auto" w:fill="auto"/>
            <w:noWrap/>
            <w:vAlign w:val="center"/>
            <w:hideMark/>
          </w:tcPr>
          <w:p w14:paraId="4995DD54"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0.903</w:t>
            </w:r>
          </w:p>
        </w:tc>
      </w:tr>
      <w:tr w:rsidR="00ED0FAD" w:rsidRPr="0030562D" w14:paraId="41EAA86F" w14:textId="77777777" w:rsidTr="00CD6760">
        <w:trPr>
          <w:trHeight w:val="320"/>
        </w:trPr>
        <w:tc>
          <w:tcPr>
            <w:tcW w:w="2131" w:type="pct"/>
            <w:shd w:val="clear" w:color="auto" w:fill="auto"/>
            <w:noWrap/>
            <w:vAlign w:val="center"/>
            <w:hideMark/>
          </w:tcPr>
          <w:p w14:paraId="07335097" w14:textId="77777777" w:rsidR="00CD6760" w:rsidRPr="0030562D" w:rsidRDefault="00CD6760" w:rsidP="00ED0FAD">
            <w:pPr>
              <w:spacing w:after="120"/>
              <w:jc w:val="both"/>
              <w:rPr>
                <w:rFonts w:ascii="Arial" w:hAnsi="Arial" w:cs="Arial"/>
                <w:i/>
                <w:iCs/>
                <w:sz w:val="20"/>
                <w:szCs w:val="20"/>
              </w:rPr>
            </w:pPr>
            <w:r w:rsidRPr="0030562D">
              <w:rPr>
                <w:rFonts w:ascii="Arial" w:hAnsi="Arial" w:cs="Arial"/>
                <w:i/>
                <w:iCs/>
                <w:sz w:val="20"/>
                <w:szCs w:val="20"/>
              </w:rPr>
              <w:t>User Friendliness</w:t>
            </w:r>
          </w:p>
        </w:tc>
        <w:tc>
          <w:tcPr>
            <w:tcW w:w="1453" w:type="pct"/>
            <w:shd w:val="clear" w:color="auto" w:fill="auto"/>
            <w:noWrap/>
            <w:vAlign w:val="center"/>
            <w:hideMark/>
          </w:tcPr>
          <w:p w14:paraId="56A7581E"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0.917</w:t>
            </w:r>
          </w:p>
        </w:tc>
        <w:tc>
          <w:tcPr>
            <w:tcW w:w="1416" w:type="pct"/>
            <w:shd w:val="clear" w:color="auto" w:fill="auto"/>
            <w:noWrap/>
            <w:vAlign w:val="center"/>
            <w:hideMark/>
          </w:tcPr>
          <w:p w14:paraId="6CEC57A1" w14:textId="77777777" w:rsidR="00CD6760" w:rsidRPr="0030562D" w:rsidRDefault="00CD6760" w:rsidP="00ED0FAD">
            <w:pPr>
              <w:spacing w:after="120"/>
              <w:jc w:val="both"/>
              <w:rPr>
                <w:rFonts w:ascii="Arial" w:hAnsi="Arial" w:cs="Arial"/>
                <w:sz w:val="20"/>
                <w:szCs w:val="20"/>
              </w:rPr>
            </w:pPr>
            <w:r w:rsidRPr="0030562D">
              <w:rPr>
                <w:rFonts w:ascii="Arial" w:hAnsi="Arial" w:cs="Arial"/>
                <w:sz w:val="20"/>
                <w:szCs w:val="20"/>
              </w:rPr>
              <w:t>0.938</w:t>
            </w:r>
          </w:p>
        </w:tc>
      </w:tr>
    </w:tbl>
    <w:p w14:paraId="3ADEE9A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06F14533" w14:textId="4CCEF6CD"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This indicates that each construct, such as E-Loyalty, E-Satisfaction, Efficiency, Personal Need, Reliability, Responsiveness, Site Organization, and User Friendliness, has very good internal consistency and is able to reliably reflect the latent construct being measured. The highest Cronbach’s Alpha value was found in the </w:t>
      </w:r>
      <w:r w:rsidRPr="0030562D">
        <w:rPr>
          <w:rStyle w:val="Emphasis"/>
          <w:rFonts w:ascii="Arial" w:hAnsi="Arial" w:cs="Arial"/>
          <w:sz w:val="20"/>
          <w:szCs w:val="20"/>
        </w:rPr>
        <w:t>User Friendliness</w:t>
      </w:r>
      <w:r w:rsidRPr="0030562D">
        <w:rPr>
          <w:rFonts w:ascii="Arial" w:hAnsi="Arial" w:cs="Arial"/>
          <w:sz w:val="20"/>
          <w:szCs w:val="20"/>
        </w:rPr>
        <w:t xml:space="preserve"> variable (0.917), while the highest CR value was observed in </w:t>
      </w:r>
      <w:r w:rsidRPr="0030562D">
        <w:rPr>
          <w:rStyle w:val="Emphasis"/>
          <w:rFonts w:ascii="Arial" w:hAnsi="Arial" w:cs="Arial"/>
          <w:sz w:val="20"/>
          <w:szCs w:val="20"/>
        </w:rPr>
        <w:t>Personal Need</w:t>
      </w:r>
      <w:r w:rsidRPr="0030562D">
        <w:rPr>
          <w:rFonts w:ascii="Arial" w:hAnsi="Arial" w:cs="Arial"/>
          <w:sz w:val="20"/>
          <w:szCs w:val="20"/>
        </w:rPr>
        <w:t xml:space="preserve"> (0.944). All constructs in the model can be considered reliable and are appropriate for use in subsequent structural model testing.</w:t>
      </w:r>
    </w:p>
    <w:p w14:paraId="471BD02B" w14:textId="77777777" w:rsidR="00B57C68" w:rsidRPr="0030562D" w:rsidRDefault="00B57C68" w:rsidP="00B57C68">
      <w:pPr>
        <w:pStyle w:val="NormalWeb"/>
        <w:spacing w:before="0" w:beforeAutospacing="0" w:after="120" w:afterAutospacing="0"/>
        <w:jc w:val="both"/>
        <w:rPr>
          <w:rFonts w:ascii="Arial" w:hAnsi="Arial" w:cs="Arial"/>
          <w:sz w:val="20"/>
          <w:szCs w:val="20"/>
        </w:rPr>
      </w:pPr>
    </w:p>
    <w:p w14:paraId="2B7F7B6B" w14:textId="77777777" w:rsidR="00B57C68" w:rsidRPr="0030562D" w:rsidRDefault="00CD6760" w:rsidP="00ED0FAD">
      <w:pPr>
        <w:pStyle w:val="NormalWeb"/>
        <w:spacing w:before="0" w:beforeAutospacing="0" w:after="120" w:afterAutospacing="0"/>
        <w:jc w:val="both"/>
        <w:rPr>
          <w:rStyle w:val="Strong"/>
          <w:rFonts w:ascii="Arial" w:hAnsi="Arial" w:cs="Arial"/>
          <w:sz w:val="20"/>
          <w:szCs w:val="20"/>
        </w:rPr>
      </w:pPr>
      <w:r w:rsidRPr="0030562D">
        <w:rPr>
          <w:rStyle w:val="Strong"/>
          <w:rFonts w:ascii="Arial" w:hAnsi="Arial" w:cs="Arial"/>
          <w:sz w:val="20"/>
          <w:szCs w:val="20"/>
        </w:rPr>
        <w:t>Model Fit Test Results</w:t>
      </w:r>
    </w:p>
    <w:p w14:paraId="2C35A0B7" w14:textId="14B62A3F"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br/>
        <w:t>The Model Fit test in SEM-PLS analysis is conducted to evaluate how well the constructed structural model aligns with the observed data. One commonly used indicator is the SRMR (Standardized Root Mean Square Residual), where a value below 0.08 indicates a good model fit. If the SRMR value in this study falls below that threshold, it can be concluded that the research model is appropriate and suitable for further analysis. A good model fit indicates that the relationships between constructs in the model accurately reflect the patterns observed in the data.</w:t>
      </w:r>
    </w:p>
    <w:p w14:paraId="2063650C" w14:textId="7777777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Table 14. Model Fit Test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2987"/>
        <w:gridCol w:w="3046"/>
      </w:tblGrid>
      <w:tr w:rsidR="00ED0FAD" w:rsidRPr="0030562D" w14:paraId="444D7F09" w14:textId="77777777" w:rsidTr="00CD6760">
        <w:trPr>
          <w:tblHeader/>
          <w:tblCellSpacing w:w="15" w:type="dxa"/>
        </w:trPr>
        <w:tc>
          <w:tcPr>
            <w:tcW w:w="1306" w:type="pct"/>
            <w:vAlign w:val="center"/>
            <w:hideMark/>
          </w:tcPr>
          <w:p w14:paraId="1D385F56"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Fit Measure</w:t>
            </w:r>
          </w:p>
        </w:tc>
        <w:tc>
          <w:tcPr>
            <w:tcW w:w="1797" w:type="pct"/>
            <w:vAlign w:val="center"/>
            <w:hideMark/>
          </w:tcPr>
          <w:p w14:paraId="16AE2436"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Saturated Model</w:t>
            </w:r>
          </w:p>
        </w:tc>
        <w:tc>
          <w:tcPr>
            <w:tcW w:w="1824" w:type="pct"/>
            <w:vAlign w:val="center"/>
            <w:hideMark/>
          </w:tcPr>
          <w:p w14:paraId="31AFE769" w14:textId="77777777" w:rsidR="00CD6760" w:rsidRPr="0030562D" w:rsidRDefault="00CD6760" w:rsidP="00ED0FAD">
            <w:pPr>
              <w:widowControl/>
              <w:autoSpaceDE/>
              <w:autoSpaceDN/>
              <w:spacing w:after="120"/>
              <w:jc w:val="both"/>
              <w:rPr>
                <w:rFonts w:ascii="Arial" w:hAnsi="Arial" w:cs="Arial"/>
                <w:b/>
                <w:bCs/>
                <w:sz w:val="20"/>
                <w:szCs w:val="20"/>
                <w:lang w:val="en-ID"/>
              </w:rPr>
            </w:pPr>
            <w:r w:rsidRPr="0030562D">
              <w:rPr>
                <w:rFonts w:ascii="Arial" w:hAnsi="Arial" w:cs="Arial"/>
                <w:b/>
                <w:bCs/>
                <w:sz w:val="20"/>
                <w:szCs w:val="20"/>
                <w:lang w:val="en-ID"/>
              </w:rPr>
              <w:t>Estimated Model</w:t>
            </w:r>
          </w:p>
        </w:tc>
      </w:tr>
      <w:tr w:rsidR="00ED0FAD" w:rsidRPr="0030562D" w14:paraId="23AD00B6" w14:textId="77777777" w:rsidTr="00CD6760">
        <w:trPr>
          <w:tblCellSpacing w:w="15" w:type="dxa"/>
        </w:trPr>
        <w:tc>
          <w:tcPr>
            <w:tcW w:w="1306" w:type="pct"/>
            <w:vAlign w:val="center"/>
            <w:hideMark/>
          </w:tcPr>
          <w:p w14:paraId="6C0F589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SRMR</w:t>
            </w:r>
          </w:p>
        </w:tc>
        <w:tc>
          <w:tcPr>
            <w:tcW w:w="1797" w:type="pct"/>
            <w:vAlign w:val="center"/>
            <w:hideMark/>
          </w:tcPr>
          <w:p w14:paraId="23C61D9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0.053</w:t>
            </w:r>
          </w:p>
        </w:tc>
        <w:tc>
          <w:tcPr>
            <w:tcW w:w="1824" w:type="pct"/>
            <w:vAlign w:val="center"/>
            <w:hideMark/>
          </w:tcPr>
          <w:p w14:paraId="02697B54"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0.072</w:t>
            </w:r>
          </w:p>
        </w:tc>
      </w:tr>
      <w:tr w:rsidR="00ED0FAD" w:rsidRPr="0030562D" w14:paraId="30A16B82" w14:textId="77777777" w:rsidTr="00CD6760">
        <w:trPr>
          <w:tblCellSpacing w:w="15" w:type="dxa"/>
        </w:trPr>
        <w:tc>
          <w:tcPr>
            <w:tcW w:w="1306" w:type="pct"/>
            <w:vAlign w:val="center"/>
            <w:hideMark/>
          </w:tcPr>
          <w:p w14:paraId="3F010CA1" w14:textId="77777777" w:rsidR="00CD6760" w:rsidRPr="0030562D" w:rsidRDefault="00CD6760" w:rsidP="00ED0FAD">
            <w:pPr>
              <w:widowControl/>
              <w:autoSpaceDE/>
              <w:autoSpaceDN/>
              <w:spacing w:after="120"/>
              <w:jc w:val="both"/>
              <w:rPr>
                <w:rFonts w:ascii="Arial" w:hAnsi="Arial" w:cs="Arial"/>
                <w:sz w:val="20"/>
                <w:szCs w:val="20"/>
                <w:lang w:val="en-ID"/>
              </w:rPr>
            </w:pPr>
            <w:proofErr w:type="spellStart"/>
            <w:r w:rsidRPr="0030562D">
              <w:rPr>
                <w:rFonts w:ascii="Arial" w:hAnsi="Arial" w:cs="Arial"/>
                <w:sz w:val="20"/>
                <w:szCs w:val="20"/>
                <w:lang w:val="en-ID"/>
              </w:rPr>
              <w:t>d_ULS</w:t>
            </w:r>
            <w:proofErr w:type="spellEnd"/>
          </w:p>
        </w:tc>
        <w:tc>
          <w:tcPr>
            <w:tcW w:w="1797" w:type="pct"/>
            <w:vAlign w:val="center"/>
            <w:hideMark/>
          </w:tcPr>
          <w:p w14:paraId="264E440C"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1.08</w:t>
            </w:r>
          </w:p>
        </w:tc>
        <w:tc>
          <w:tcPr>
            <w:tcW w:w="1824" w:type="pct"/>
            <w:vAlign w:val="center"/>
            <w:hideMark/>
          </w:tcPr>
          <w:p w14:paraId="239545BF" w14:textId="77777777" w:rsidR="00CD6760" w:rsidRPr="0030562D" w:rsidRDefault="00CD6760"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1.977</w:t>
            </w:r>
          </w:p>
        </w:tc>
      </w:tr>
    </w:tbl>
    <w:p w14:paraId="5E32B24F"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1EC072FA" w14:textId="110DEC66"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 xml:space="preserve">Based on Table 14, the model fit test results show that the SRMR (Standardized Root Mean Square Residual) value for the saturated model is 0.053 and for the estimated model is 0.072. Both are below the threshold of 0.08, indicating that the model has a good fit with the data. In addition, the </w:t>
      </w:r>
      <w:proofErr w:type="spellStart"/>
      <w:r w:rsidRPr="0030562D">
        <w:rPr>
          <w:rFonts w:ascii="Arial" w:hAnsi="Arial" w:cs="Arial"/>
          <w:sz w:val="20"/>
          <w:szCs w:val="20"/>
        </w:rPr>
        <w:t>d_ULS</w:t>
      </w:r>
      <w:proofErr w:type="spellEnd"/>
      <w:r w:rsidRPr="0030562D">
        <w:rPr>
          <w:rFonts w:ascii="Arial" w:hAnsi="Arial" w:cs="Arial"/>
          <w:sz w:val="20"/>
          <w:szCs w:val="20"/>
        </w:rPr>
        <w:t xml:space="preserve"> (Squared Euclidean Distance) values are also relatively low, 1.08 for the saturated model and 1.977 for the estimated model, which further supports that the model structure is consistent with the empirical data.</w:t>
      </w:r>
    </w:p>
    <w:p w14:paraId="552CC6BA" w14:textId="77777777" w:rsidR="00B57C68" w:rsidRPr="0030562D" w:rsidRDefault="00B57C68" w:rsidP="00ED0FAD">
      <w:pPr>
        <w:pStyle w:val="NormalWeb"/>
        <w:spacing w:before="0" w:beforeAutospacing="0" w:after="120" w:afterAutospacing="0"/>
        <w:jc w:val="both"/>
        <w:rPr>
          <w:rStyle w:val="Strong"/>
          <w:rFonts w:ascii="Arial" w:hAnsi="Arial" w:cs="Arial"/>
          <w:sz w:val="20"/>
          <w:szCs w:val="20"/>
        </w:rPr>
      </w:pPr>
    </w:p>
    <w:p w14:paraId="4837DAFB" w14:textId="4410D79F" w:rsidR="00CD6760" w:rsidRPr="0030562D" w:rsidRDefault="00CD6760" w:rsidP="00ED0FAD">
      <w:pPr>
        <w:pStyle w:val="NormalWeb"/>
        <w:spacing w:before="0" w:beforeAutospacing="0" w:after="120" w:afterAutospacing="0"/>
        <w:jc w:val="both"/>
        <w:rPr>
          <w:rStyle w:val="Strong"/>
          <w:rFonts w:ascii="Arial" w:hAnsi="Arial" w:cs="Arial"/>
          <w:sz w:val="20"/>
          <w:szCs w:val="20"/>
        </w:rPr>
      </w:pPr>
      <w:r w:rsidRPr="0030562D">
        <w:rPr>
          <w:rStyle w:val="Strong"/>
          <w:rFonts w:ascii="Arial" w:hAnsi="Arial" w:cs="Arial"/>
          <w:sz w:val="20"/>
          <w:szCs w:val="20"/>
        </w:rPr>
        <w:t>Partial Least Square (PLS) Analysis Model</w:t>
      </w:r>
    </w:p>
    <w:p w14:paraId="53CCC20F" w14:textId="6BD79339"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br/>
        <w:t>The figure below represents the Partial Least Square (PLS) analysis model used in this study.</w:t>
      </w:r>
    </w:p>
    <w:p w14:paraId="1109CF25" w14:textId="15849DD6"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bCs/>
          <w:noProof/>
          <w:sz w:val="20"/>
          <w:szCs w:val="20"/>
          <w14:ligatures w14:val="standardContextual"/>
        </w:rPr>
        <w:lastRenderedPageBreak/>
        <w:drawing>
          <wp:inline distT="0" distB="0" distL="0" distR="0" wp14:anchorId="1BA7E081" wp14:editId="125C6C77">
            <wp:extent cx="5039995" cy="4677410"/>
            <wp:effectExtent l="0" t="0" r="1905" b="0"/>
            <wp:docPr id="160956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6277" name="Picture 160956277"/>
                    <pic:cNvPicPr/>
                  </pic:nvPicPr>
                  <pic:blipFill>
                    <a:blip r:embed="rId8">
                      <a:extLst>
                        <a:ext uri="{28A0092B-C50C-407E-A947-70E740481C1C}">
                          <a14:useLocalDpi xmlns:a14="http://schemas.microsoft.com/office/drawing/2010/main" val="0"/>
                        </a:ext>
                      </a:extLst>
                    </a:blip>
                    <a:stretch>
                      <a:fillRect/>
                    </a:stretch>
                  </pic:blipFill>
                  <pic:spPr>
                    <a:xfrm>
                      <a:off x="0" y="0"/>
                      <a:ext cx="5039995" cy="4677410"/>
                    </a:xfrm>
                    <a:prstGeom prst="rect">
                      <a:avLst/>
                    </a:prstGeom>
                  </pic:spPr>
                </pic:pic>
              </a:graphicData>
            </a:graphic>
          </wp:inline>
        </w:drawing>
      </w:r>
    </w:p>
    <w:p w14:paraId="5A2DFF9A" w14:textId="48F1D946" w:rsidR="00CD6760" w:rsidRPr="0030562D" w:rsidRDefault="00CD6760" w:rsidP="00B57C68">
      <w:pPr>
        <w:pStyle w:val="NormalWeb"/>
        <w:spacing w:before="0" w:beforeAutospacing="0" w:after="120" w:afterAutospacing="0"/>
        <w:jc w:val="center"/>
        <w:rPr>
          <w:rFonts w:ascii="Arial" w:hAnsi="Arial" w:cs="Arial"/>
          <w:b/>
          <w:bCs/>
          <w:sz w:val="20"/>
          <w:szCs w:val="20"/>
        </w:rPr>
      </w:pPr>
      <w:r w:rsidRPr="0030562D">
        <w:rPr>
          <w:rFonts w:ascii="Arial" w:hAnsi="Arial" w:cs="Arial"/>
          <w:b/>
          <w:bCs/>
          <w:sz w:val="20"/>
          <w:szCs w:val="20"/>
        </w:rPr>
        <w:t>Figure 1. Partial Least Square (PLS) analysis model</w:t>
      </w:r>
    </w:p>
    <w:p w14:paraId="416F15DF" w14:textId="5DA6DE6E" w:rsidR="00B57C68" w:rsidRPr="0030562D" w:rsidRDefault="00B57C68"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br/>
      </w:r>
      <w:r w:rsidR="00CD6760" w:rsidRPr="0030562D">
        <w:rPr>
          <w:rStyle w:val="Strong"/>
          <w:rFonts w:ascii="Arial" w:hAnsi="Arial" w:cs="Arial"/>
          <w:sz w:val="20"/>
          <w:szCs w:val="20"/>
        </w:rPr>
        <w:t>Hypothesis Testing Results</w:t>
      </w:r>
    </w:p>
    <w:p w14:paraId="3AD2473F" w14:textId="650D11C1"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Hypothesis testing is a statistical procedure used to examine the validity of a statement or assumption (hypothesis) about a population parameter based on sample data. In quantitative research, hypothesis testing is conducted to determine whether there is a significant relationship or effect between the studied variables. This process typically involves two types of hypotheses: the null hypothesis (H</w:t>
      </w:r>
      <w:r w:rsidRPr="0030562D">
        <w:rPr>
          <w:rFonts w:ascii="Cambria Math" w:hAnsi="Cambria Math" w:cs="Cambria Math"/>
          <w:sz w:val="20"/>
          <w:szCs w:val="20"/>
        </w:rPr>
        <w:t>₀</w:t>
      </w:r>
      <w:r w:rsidRPr="0030562D">
        <w:rPr>
          <w:rFonts w:ascii="Arial" w:hAnsi="Arial" w:cs="Arial"/>
          <w:sz w:val="20"/>
          <w:szCs w:val="20"/>
        </w:rPr>
        <w:t>), which states that there is no effect or relationship, and the alternative hypothesis (H</w:t>
      </w:r>
      <w:r w:rsidRPr="0030562D">
        <w:rPr>
          <w:rFonts w:ascii="Cambria Math" w:hAnsi="Cambria Math" w:cs="Cambria Math"/>
          <w:sz w:val="20"/>
          <w:szCs w:val="20"/>
        </w:rPr>
        <w:t>₁</w:t>
      </w:r>
      <w:r w:rsidRPr="0030562D">
        <w:rPr>
          <w:rFonts w:ascii="Arial" w:hAnsi="Arial" w:cs="Arial"/>
          <w:sz w:val="20"/>
          <w:szCs w:val="20"/>
        </w:rPr>
        <w:t>), which states that there is an effect or relationship. Through statistical analyses such as regression, SEM, or t-tests, researchers can decide whether to reject or accept the null hypothesis based on the resulting significance value (p-value).</w:t>
      </w:r>
    </w:p>
    <w:p w14:paraId="2FFC03DD"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441D6225"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751C4B3E"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30042204" w14:textId="77777777"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Style w:val="Strong"/>
          <w:rFonts w:ascii="Arial" w:hAnsi="Arial" w:cs="Arial"/>
          <w:sz w:val="20"/>
          <w:szCs w:val="20"/>
        </w:rPr>
        <w:t>Table 15. Path Coefficient Hypothesis Testing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1"/>
        <w:gridCol w:w="1288"/>
        <w:gridCol w:w="931"/>
        <w:gridCol w:w="745"/>
        <w:gridCol w:w="2711"/>
      </w:tblGrid>
      <w:tr w:rsidR="00ED0FAD" w:rsidRPr="0030562D" w14:paraId="2DA80604" w14:textId="77777777" w:rsidTr="0030562D">
        <w:trPr>
          <w:tblHeader/>
          <w:tblCellSpacing w:w="15" w:type="dxa"/>
        </w:trPr>
        <w:tc>
          <w:tcPr>
            <w:tcW w:w="0" w:type="auto"/>
            <w:vAlign w:val="center"/>
            <w:hideMark/>
          </w:tcPr>
          <w:p w14:paraId="57E7ADF3"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lastRenderedPageBreak/>
              <w:t>Influence Between Variables</w:t>
            </w:r>
          </w:p>
        </w:tc>
        <w:tc>
          <w:tcPr>
            <w:tcW w:w="0" w:type="auto"/>
            <w:vAlign w:val="center"/>
            <w:hideMark/>
          </w:tcPr>
          <w:p w14:paraId="6E0917A5"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Original Sample</w:t>
            </w:r>
          </w:p>
        </w:tc>
        <w:tc>
          <w:tcPr>
            <w:tcW w:w="0" w:type="auto"/>
            <w:vAlign w:val="center"/>
            <w:hideMark/>
          </w:tcPr>
          <w:p w14:paraId="6DDD0302"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T Statistics</w:t>
            </w:r>
          </w:p>
        </w:tc>
        <w:tc>
          <w:tcPr>
            <w:tcW w:w="0" w:type="auto"/>
            <w:vAlign w:val="center"/>
            <w:hideMark/>
          </w:tcPr>
          <w:p w14:paraId="52C95D7C"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P Values</w:t>
            </w:r>
          </w:p>
        </w:tc>
        <w:tc>
          <w:tcPr>
            <w:tcW w:w="0" w:type="auto"/>
            <w:vAlign w:val="center"/>
            <w:hideMark/>
          </w:tcPr>
          <w:p w14:paraId="12143E55" w14:textId="77777777" w:rsidR="00CD6760" w:rsidRPr="0030562D" w:rsidRDefault="00CD6760" w:rsidP="00ED0FAD">
            <w:pPr>
              <w:widowControl/>
              <w:autoSpaceDE/>
              <w:autoSpaceDN/>
              <w:spacing w:after="120"/>
              <w:jc w:val="both"/>
              <w:rPr>
                <w:rFonts w:ascii="Arial" w:hAnsi="Arial" w:cs="Arial"/>
                <w:b/>
                <w:bCs/>
                <w:sz w:val="16"/>
                <w:szCs w:val="16"/>
                <w:lang w:val="en-ID"/>
              </w:rPr>
            </w:pPr>
            <w:r w:rsidRPr="0030562D">
              <w:rPr>
                <w:rFonts w:ascii="Arial" w:hAnsi="Arial" w:cs="Arial"/>
                <w:b/>
                <w:bCs/>
                <w:sz w:val="16"/>
                <w:szCs w:val="16"/>
                <w:lang w:val="en-ID"/>
              </w:rPr>
              <w:t>Conclusion</w:t>
            </w:r>
          </w:p>
        </w:tc>
      </w:tr>
      <w:tr w:rsidR="00ED0FAD" w:rsidRPr="0030562D" w14:paraId="169BE76B" w14:textId="77777777" w:rsidTr="0030562D">
        <w:trPr>
          <w:tblCellSpacing w:w="15" w:type="dxa"/>
        </w:trPr>
        <w:tc>
          <w:tcPr>
            <w:tcW w:w="0" w:type="auto"/>
            <w:vAlign w:val="center"/>
            <w:hideMark/>
          </w:tcPr>
          <w:p w14:paraId="21FB97B4"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E-Satisfaction -&gt; E-Loyalty</w:t>
            </w:r>
          </w:p>
        </w:tc>
        <w:tc>
          <w:tcPr>
            <w:tcW w:w="0" w:type="auto"/>
            <w:vAlign w:val="center"/>
            <w:hideMark/>
          </w:tcPr>
          <w:p w14:paraId="4BF79C7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0.859</w:t>
            </w:r>
          </w:p>
        </w:tc>
        <w:tc>
          <w:tcPr>
            <w:tcW w:w="0" w:type="auto"/>
            <w:vAlign w:val="center"/>
            <w:hideMark/>
          </w:tcPr>
          <w:p w14:paraId="753A9DC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45.028</w:t>
            </w:r>
          </w:p>
        </w:tc>
        <w:tc>
          <w:tcPr>
            <w:tcW w:w="0" w:type="auto"/>
            <w:vAlign w:val="center"/>
            <w:hideMark/>
          </w:tcPr>
          <w:p w14:paraId="64C2E01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0.000</w:t>
            </w:r>
          </w:p>
        </w:tc>
        <w:tc>
          <w:tcPr>
            <w:tcW w:w="0" w:type="auto"/>
            <w:vAlign w:val="center"/>
            <w:hideMark/>
          </w:tcPr>
          <w:p w14:paraId="231C7AB3"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6360C578" w14:textId="77777777" w:rsidTr="0030562D">
        <w:trPr>
          <w:tblCellSpacing w:w="15" w:type="dxa"/>
        </w:trPr>
        <w:tc>
          <w:tcPr>
            <w:tcW w:w="0" w:type="auto"/>
            <w:vAlign w:val="center"/>
            <w:hideMark/>
          </w:tcPr>
          <w:p w14:paraId="7609A4C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Efficiency -&gt; E-Satisfaction</w:t>
            </w:r>
          </w:p>
        </w:tc>
        <w:tc>
          <w:tcPr>
            <w:tcW w:w="0" w:type="auto"/>
            <w:vAlign w:val="center"/>
            <w:hideMark/>
          </w:tcPr>
          <w:p w14:paraId="6B041766"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0.150</w:t>
            </w:r>
          </w:p>
        </w:tc>
        <w:tc>
          <w:tcPr>
            <w:tcW w:w="0" w:type="auto"/>
            <w:vAlign w:val="center"/>
            <w:hideMark/>
          </w:tcPr>
          <w:p w14:paraId="1702967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2.337</w:t>
            </w:r>
          </w:p>
        </w:tc>
        <w:tc>
          <w:tcPr>
            <w:tcW w:w="0" w:type="auto"/>
            <w:vAlign w:val="center"/>
            <w:hideMark/>
          </w:tcPr>
          <w:p w14:paraId="59536185"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0.012</w:t>
            </w:r>
          </w:p>
        </w:tc>
        <w:tc>
          <w:tcPr>
            <w:tcW w:w="0" w:type="auto"/>
            <w:vAlign w:val="center"/>
            <w:hideMark/>
          </w:tcPr>
          <w:p w14:paraId="6ED102AE"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77545405" w14:textId="77777777" w:rsidTr="0030562D">
        <w:trPr>
          <w:tblCellSpacing w:w="15" w:type="dxa"/>
        </w:trPr>
        <w:tc>
          <w:tcPr>
            <w:tcW w:w="0" w:type="auto"/>
            <w:vAlign w:val="center"/>
            <w:hideMark/>
          </w:tcPr>
          <w:p w14:paraId="12847AF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Personal Need -&gt; E-Satisfaction</w:t>
            </w:r>
          </w:p>
        </w:tc>
        <w:tc>
          <w:tcPr>
            <w:tcW w:w="0" w:type="auto"/>
            <w:vAlign w:val="center"/>
            <w:hideMark/>
          </w:tcPr>
          <w:p w14:paraId="7F6E1E8F"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0.219</w:t>
            </w:r>
          </w:p>
        </w:tc>
        <w:tc>
          <w:tcPr>
            <w:tcW w:w="0" w:type="auto"/>
            <w:vAlign w:val="center"/>
            <w:hideMark/>
          </w:tcPr>
          <w:p w14:paraId="3E97431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2.491</w:t>
            </w:r>
          </w:p>
        </w:tc>
        <w:tc>
          <w:tcPr>
            <w:tcW w:w="0" w:type="auto"/>
            <w:vAlign w:val="center"/>
            <w:hideMark/>
          </w:tcPr>
          <w:p w14:paraId="4BF4CB6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0.013</w:t>
            </w:r>
          </w:p>
        </w:tc>
        <w:tc>
          <w:tcPr>
            <w:tcW w:w="0" w:type="auto"/>
            <w:vAlign w:val="center"/>
            <w:hideMark/>
          </w:tcPr>
          <w:p w14:paraId="092BFB4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2DCDAD54" w14:textId="77777777" w:rsidTr="0030562D">
        <w:trPr>
          <w:tblCellSpacing w:w="15" w:type="dxa"/>
        </w:trPr>
        <w:tc>
          <w:tcPr>
            <w:tcW w:w="0" w:type="auto"/>
            <w:vAlign w:val="center"/>
            <w:hideMark/>
          </w:tcPr>
          <w:p w14:paraId="7928339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Reliability -&gt; E-Satisfaction</w:t>
            </w:r>
          </w:p>
        </w:tc>
        <w:tc>
          <w:tcPr>
            <w:tcW w:w="0" w:type="auto"/>
            <w:vAlign w:val="center"/>
            <w:hideMark/>
          </w:tcPr>
          <w:p w14:paraId="1650C1D0"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0.197</w:t>
            </w:r>
          </w:p>
        </w:tc>
        <w:tc>
          <w:tcPr>
            <w:tcW w:w="0" w:type="auto"/>
            <w:vAlign w:val="center"/>
            <w:hideMark/>
          </w:tcPr>
          <w:p w14:paraId="33280FD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2.479</w:t>
            </w:r>
          </w:p>
        </w:tc>
        <w:tc>
          <w:tcPr>
            <w:tcW w:w="0" w:type="auto"/>
            <w:vAlign w:val="center"/>
            <w:hideMark/>
          </w:tcPr>
          <w:p w14:paraId="22F3BB2A"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0.014</w:t>
            </w:r>
          </w:p>
        </w:tc>
        <w:tc>
          <w:tcPr>
            <w:tcW w:w="0" w:type="auto"/>
            <w:vAlign w:val="center"/>
            <w:hideMark/>
          </w:tcPr>
          <w:p w14:paraId="7B6005D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76E33310" w14:textId="77777777" w:rsidTr="0030562D">
        <w:trPr>
          <w:tblCellSpacing w:w="15" w:type="dxa"/>
        </w:trPr>
        <w:tc>
          <w:tcPr>
            <w:tcW w:w="0" w:type="auto"/>
            <w:vAlign w:val="center"/>
            <w:hideMark/>
          </w:tcPr>
          <w:p w14:paraId="467F324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Responsiveness -&gt; E-Satisfaction</w:t>
            </w:r>
          </w:p>
        </w:tc>
        <w:tc>
          <w:tcPr>
            <w:tcW w:w="0" w:type="auto"/>
            <w:vAlign w:val="center"/>
            <w:hideMark/>
          </w:tcPr>
          <w:p w14:paraId="18B8A19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0.025</w:t>
            </w:r>
          </w:p>
        </w:tc>
        <w:tc>
          <w:tcPr>
            <w:tcW w:w="0" w:type="auto"/>
            <w:vAlign w:val="center"/>
            <w:hideMark/>
          </w:tcPr>
          <w:p w14:paraId="7E1AEDFF"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2.272</w:t>
            </w:r>
          </w:p>
        </w:tc>
        <w:tc>
          <w:tcPr>
            <w:tcW w:w="0" w:type="auto"/>
            <w:vAlign w:val="center"/>
            <w:hideMark/>
          </w:tcPr>
          <w:p w14:paraId="6A2943EC"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0.005</w:t>
            </w:r>
          </w:p>
        </w:tc>
        <w:tc>
          <w:tcPr>
            <w:tcW w:w="0" w:type="auto"/>
            <w:vAlign w:val="center"/>
            <w:hideMark/>
          </w:tcPr>
          <w:p w14:paraId="4C1FB157"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3D108027" w14:textId="77777777" w:rsidTr="0030562D">
        <w:trPr>
          <w:tblCellSpacing w:w="15" w:type="dxa"/>
        </w:trPr>
        <w:tc>
          <w:tcPr>
            <w:tcW w:w="0" w:type="auto"/>
            <w:vAlign w:val="center"/>
            <w:hideMark/>
          </w:tcPr>
          <w:p w14:paraId="052AF290"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Site Organization -&gt; E-Satisfaction</w:t>
            </w:r>
          </w:p>
        </w:tc>
        <w:tc>
          <w:tcPr>
            <w:tcW w:w="0" w:type="auto"/>
            <w:vAlign w:val="center"/>
            <w:hideMark/>
          </w:tcPr>
          <w:p w14:paraId="5BA83AA1"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0.071</w:t>
            </w:r>
          </w:p>
        </w:tc>
        <w:tc>
          <w:tcPr>
            <w:tcW w:w="0" w:type="auto"/>
            <w:vAlign w:val="center"/>
            <w:hideMark/>
          </w:tcPr>
          <w:p w14:paraId="5FDE14C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2.982</w:t>
            </w:r>
          </w:p>
        </w:tc>
        <w:tc>
          <w:tcPr>
            <w:tcW w:w="0" w:type="auto"/>
            <w:vAlign w:val="center"/>
            <w:hideMark/>
          </w:tcPr>
          <w:p w14:paraId="65D0959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0.027</w:t>
            </w:r>
          </w:p>
        </w:tc>
        <w:tc>
          <w:tcPr>
            <w:tcW w:w="0" w:type="auto"/>
            <w:vAlign w:val="center"/>
            <w:hideMark/>
          </w:tcPr>
          <w:p w14:paraId="0E06FC7A"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r w:rsidR="00ED0FAD" w:rsidRPr="0030562D" w14:paraId="237D7B6A" w14:textId="77777777" w:rsidTr="0030562D">
        <w:trPr>
          <w:tblCellSpacing w:w="15" w:type="dxa"/>
        </w:trPr>
        <w:tc>
          <w:tcPr>
            <w:tcW w:w="0" w:type="auto"/>
            <w:vAlign w:val="center"/>
            <w:hideMark/>
          </w:tcPr>
          <w:p w14:paraId="3D113BF9"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User Friendliness -&gt; E-Satisfaction</w:t>
            </w:r>
          </w:p>
        </w:tc>
        <w:tc>
          <w:tcPr>
            <w:tcW w:w="0" w:type="auto"/>
            <w:vAlign w:val="center"/>
            <w:hideMark/>
          </w:tcPr>
          <w:p w14:paraId="59369732"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0.337</w:t>
            </w:r>
          </w:p>
        </w:tc>
        <w:tc>
          <w:tcPr>
            <w:tcW w:w="0" w:type="auto"/>
            <w:vAlign w:val="center"/>
            <w:hideMark/>
          </w:tcPr>
          <w:p w14:paraId="1E534DE8"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3.068</w:t>
            </w:r>
          </w:p>
        </w:tc>
        <w:tc>
          <w:tcPr>
            <w:tcW w:w="0" w:type="auto"/>
            <w:vAlign w:val="center"/>
            <w:hideMark/>
          </w:tcPr>
          <w:p w14:paraId="7CE0709B"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0.002</w:t>
            </w:r>
          </w:p>
        </w:tc>
        <w:tc>
          <w:tcPr>
            <w:tcW w:w="0" w:type="auto"/>
            <w:vAlign w:val="center"/>
            <w:hideMark/>
          </w:tcPr>
          <w:p w14:paraId="494CD468" w14:textId="77777777" w:rsidR="00CD6760" w:rsidRPr="0030562D" w:rsidRDefault="00CD6760" w:rsidP="00ED0FAD">
            <w:pPr>
              <w:widowControl/>
              <w:autoSpaceDE/>
              <w:autoSpaceDN/>
              <w:spacing w:after="120"/>
              <w:jc w:val="both"/>
              <w:rPr>
                <w:rFonts w:ascii="Arial" w:hAnsi="Arial" w:cs="Arial"/>
                <w:sz w:val="16"/>
                <w:szCs w:val="16"/>
                <w:lang w:val="en-ID"/>
              </w:rPr>
            </w:pPr>
            <w:r w:rsidRPr="0030562D">
              <w:rPr>
                <w:rFonts w:ascii="Arial" w:hAnsi="Arial" w:cs="Arial"/>
                <w:sz w:val="16"/>
                <w:szCs w:val="16"/>
                <w:lang w:val="en-ID"/>
              </w:rPr>
              <w:t>H</w:t>
            </w:r>
            <w:r w:rsidRPr="0030562D">
              <w:rPr>
                <w:rFonts w:ascii="Cambria Math" w:hAnsi="Cambria Math" w:cs="Cambria Math"/>
                <w:sz w:val="16"/>
                <w:szCs w:val="16"/>
                <w:lang w:val="en-ID"/>
              </w:rPr>
              <w:t>₀</w:t>
            </w:r>
            <w:r w:rsidRPr="0030562D">
              <w:rPr>
                <w:rFonts w:ascii="Arial" w:hAnsi="Arial" w:cs="Arial"/>
                <w:sz w:val="16"/>
                <w:szCs w:val="16"/>
                <w:lang w:val="en-ID"/>
              </w:rPr>
              <w:t xml:space="preserve"> rejected, H</w:t>
            </w:r>
            <w:r w:rsidRPr="0030562D">
              <w:rPr>
                <w:rFonts w:ascii="Cambria Math" w:hAnsi="Cambria Math" w:cs="Cambria Math"/>
                <w:sz w:val="16"/>
                <w:szCs w:val="16"/>
                <w:lang w:val="en-ID"/>
              </w:rPr>
              <w:t>₁</w:t>
            </w:r>
            <w:r w:rsidRPr="0030562D">
              <w:rPr>
                <w:rFonts w:ascii="Arial" w:hAnsi="Arial" w:cs="Arial"/>
                <w:sz w:val="16"/>
                <w:szCs w:val="16"/>
                <w:lang w:val="en-ID"/>
              </w:rPr>
              <w:t xml:space="preserve"> accepted (Significant)</w:t>
            </w:r>
          </w:p>
        </w:tc>
      </w:tr>
    </w:tbl>
    <w:p w14:paraId="5844D860"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7D28491C" w14:textId="12E437FE" w:rsidR="00CD6760"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Based on the hypothesis testing results in the structural model, all causal paths between the variables show significant results. The relationship between E-Satisfaction and E-Loyalty has an original sample value of 0.859, with a T statistic of 45.028 and a P value of 0.000. This indicates that user satisfaction with Bank Lampung’s mobile banking service has a very strong and significant impact on user loyalty, leading to the acceptance of the alternative hypothesis (H</w:t>
      </w:r>
      <w:r w:rsidRPr="0030562D">
        <w:rPr>
          <w:rFonts w:ascii="Cambria Math" w:hAnsi="Cambria Math" w:cs="Cambria Math"/>
          <w:sz w:val="20"/>
          <w:szCs w:val="20"/>
        </w:rPr>
        <w:t>₁</w:t>
      </w:r>
      <w:r w:rsidRPr="0030562D">
        <w:rPr>
          <w:rFonts w:ascii="Arial" w:hAnsi="Arial" w:cs="Arial"/>
          <w:sz w:val="20"/>
          <w:szCs w:val="20"/>
        </w:rPr>
        <w:t>). In other words, the higher the level of user satisfaction, the higher their loyalty to the service.</w:t>
      </w:r>
    </w:p>
    <w:p w14:paraId="63D62198" w14:textId="77777777" w:rsidR="00B57C68" w:rsidRPr="0030562D" w:rsidRDefault="00CD6760" w:rsidP="00ED0FAD">
      <w:pPr>
        <w:pStyle w:val="NormalWeb"/>
        <w:spacing w:before="0" w:beforeAutospacing="0" w:after="120" w:afterAutospacing="0"/>
        <w:jc w:val="both"/>
        <w:rPr>
          <w:rFonts w:ascii="Arial" w:hAnsi="Arial" w:cs="Arial"/>
          <w:sz w:val="20"/>
          <w:szCs w:val="20"/>
        </w:rPr>
      </w:pPr>
      <w:r w:rsidRPr="0030562D">
        <w:rPr>
          <w:rFonts w:ascii="Arial" w:hAnsi="Arial" w:cs="Arial"/>
          <w:sz w:val="20"/>
          <w:szCs w:val="20"/>
        </w:rPr>
        <w:t>In addition, all dimensions of e-SERVQUAL, such as Efficiency, Personal Need, Reliability, Responsiveness, Site Organization, and User Friendliness, are proven to have a significant effect on E-Satisfaction. Among these, User Friendliness (0.337) contributes the greatest influence on user satisfaction, followed by Personal Need (0.219) and Reliability (0.197). Even the variable Responsiveness, despite having the smallest effect (0.025), is still statistically significant with a P value of 0.005 and a T statistic above 2. This shows that all aspects of electronic service quality collectively explain the formation of customer satisfaction, which ultimately leads to increased user loyalty.</w:t>
      </w:r>
    </w:p>
    <w:p w14:paraId="5C93D264" w14:textId="77777777" w:rsidR="00B57C68" w:rsidRPr="0030562D" w:rsidRDefault="00B57C68" w:rsidP="00ED0FAD">
      <w:pPr>
        <w:pStyle w:val="NormalWeb"/>
        <w:spacing w:before="0" w:beforeAutospacing="0" w:after="120" w:afterAutospacing="0"/>
        <w:jc w:val="both"/>
        <w:rPr>
          <w:rFonts w:ascii="Arial" w:hAnsi="Arial" w:cs="Arial"/>
          <w:sz w:val="20"/>
          <w:szCs w:val="20"/>
        </w:rPr>
      </w:pPr>
    </w:p>
    <w:p w14:paraId="55BE3730" w14:textId="28D3B357" w:rsidR="00EB60AC" w:rsidRPr="0030562D" w:rsidRDefault="00EB60AC" w:rsidP="00ED0FAD">
      <w:pPr>
        <w:pStyle w:val="NormalWeb"/>
        <w:spacing w:before="0" w:beforeAutospacing="0" w:after="120" w:afterAutospacing="0"/>
        <w:jc w:val="both"/>
        <w:rPr>
          <w:rFonts w:ascii="Arial" w:hAnsi="Arial" w:cs="Arial"/>
          <w:sz w:val="20"/>
          <w:szCs w:val="20"/>
        </w:rPr>
      </w:pPr>
      <w:r w:rsidRPr="0030562D">
        <w:rPr>
          <w:rFonts w:ascii="Arial" w:hAnsi="Arial" w:cs="Arial"/>
          <w:b/>
          <w:bCs/>
          <w:sz w:val="20"/>
          <w:szCs w:val="20"/>
        </w:rPr>
        <w:t>Discussion of Research Findings</w:t>
      </w:r>
    </w:p>
    <w:p w14:paraId="64BE1AB2"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Site Organization on E-Satisfaction</w:t>
      </w:r>
    </w:p>
    <w:p w14:paraId="257F4EBE"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Based on the test results, the effect of Site Organization on E-Satisfaction yielded a path coefficient value of 0.071, with a T-statistic of 2.982 and a P-value of 0.027. Since the P-value is smaller than the 0.05 significance level, it can be concluded that the null hypothesis (H</w:t>
      </w:r>
      <w:r w:rsidRPr="0030562D">
        <w:rPr>
          <w:rFonts w:ascii="Cambria Math" w:hAnsi="Cambria Math" w:cs="Cambria Math"/>
          <w:sz w:val="20"/>
          <w:szCs w:val="20"/>
          <w:lang w:val="en-ID"/>
        </w:rPr>
        <w:t>₀</w:t>
      </w:r>
      <w:r w:rsidRPr="0030562D">
        <w:rPr>
          <w:rFonts w:ascii="Arial" w:hAnsi="Arial" w:cs="Arial"/>
          <w:sz w:val="20"/>
          <w:szCs w:val="20"/>
          <w:lang w:val="en-ID"/>
        </w:rPr>
        <w:t>) is rejected and the alternative hypothesis (H</w:t>
      </w:r>
      <w:r w:rsidRPr="0030562D">
        <w:rPr>
          <w:rFonts w:ascii="Cambria Math" w:hAnsi="Cambria Math" w:cs="Cambria Math"/>
          <w:sz w:val="20"/>
          <w:szCs w:val="20"/>
          <w:lang w:val="en-ID"/>
        </w:rPr>
        <w:t>₁</w:t>
      </w:r>
      <w:r w:rsidRPr="0030562D">
        <w:rPr>
          <w:rFonts w:ascii="Arial" w:hAnsi="Arial" w:cs="Arial"/>
          <w:sz w:val="20"/>
          <w:szCs w:val="20"/>
          <w:lang w:val="en-ID"/>
        </w:rPr>
        <w:t>) is accepted. This indicates a significant effect of Site Organization on E-Satisfaction.</w:t>
      </w:r>
      <w:r w:rsidRPr="0030562D">
        <w:rPr>
          <w:rFonts w:ascii="Arial" w:hAnsi="Arial" w:cs="Arial"/>
          <w:sz w:val="20"/>
          <w:szCs w:val="20"/>
          <w:lang w:val="en-ID"/>
        </w:rPr>
        <w:br/>
        <w:t>Substantively, this suggests that the structure and layout of the Bank Lampung mobile banking app contribute to user satisfaction. Users are more satisfied when information is easy to find, the layout is tidy, and the site navigation is well-organized. Therefore, the development of the interface and information architecture within the mobile banking app is an important aspect that Bank Lampung must focus on to enhance user experience and overall digital satisfaction.</w:t>
      </w:r>
      <w:r w:rsidRPr="0030562D">
        <w:rPr>
          <w:rFonts w:ascii="Arial" w:hAnsi="Arial" w:cs="Arial"/>
          <w:sz w:val="20"/>
          <w:szCs w:val="20"/>
          <w:lang w:val="en-ID"/>
        </w:rPr>
        <w:br/>
        <w:t>This finding is consistent with Rahman and Aziz (2022), who found that optimal site organization can improve perceived service reliability and facilitate easier transactions, ultimately increasing satisfaction. A logically and intuitively designed site allows users to access information and complete transactions easily and without significant barriers. This creates a pleasant and efficient experience, which is a crucial factor in shaping satisfaction with digital services such as mobile banking.</w:t>
      </w:r>
    </w:p>
    <w:p w14:paraId="4F18826D" w14:textId="18D1037B"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lastRenderedPageBreak/>
        <w:t>The effect of site organization on e-satisfaction shows that a well-structured layout and information architecture in Bank Lampung's mobile banking application significantly contribute to increased user satisfaction. The implication is that if the application is organized with easy navigation, attractive visuals, and clearly presented and structured information, users will feel more comfortable and satisfied. This satisfaction not only enhances the user experience but also fosters long-term loyalty and a positive perception of Bank Lampung's digital service quality.</w:t>
      </w:r>
    </w:p>
    <w:p w14:paraId="34F69BCC"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Reliability on E-Satisfaction</w:t>
      </w:r>
    </w:p>
    <w:p w14:paraId="2E05D3EF" w14:textId="77777777" w:rsidR="0030562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analysis shows that reliability has a positive and significant effect on e-satisfaction, with a coefficient value of 0.197, a T-statistic of 2.479, and a P-value of 0.014. This indicates that the more users perceive the mobile banking service as reliable—such as service accuracy, transaction security, and system consistency—the higher their satisfaction. Reliability thus becomes one of the key factors determining satisfaction in using digital banking services.</w:t>
      </w:r>
      <w:r w:rsidRPr="0030562D">
        <w:rPr>
          <w:rFonts w:ascii="Arial" w:hAnsi="Arial" w:cs="Arial"/>
          <w:sz w:val="20"/>
          <w:szCs w:val="20"/>
          <w:lang w:val="en-ID"/>
        </w:rPr>
        <w:br/>
        <w:t>This finding aligns with Nguyen et al. (2023), who found that reliability has a positive and significant effect on e-satisfaction. Reliability is not only based on the app’s technical performance but also the responsiveness of customer support. When users feel the app rarely crashes and issues are quickly addressed, their perception of service reliability increases, ultimately enhancing satisfaction.</w:t>
      </w:r>
      <w:r w:rsidRPr="0030562D">
        <w:rPr>
          <w:rFonts w:ascii="Arial" w:hAnsi="Arial" w:cs="Arial"/>
          <w:sz w:val="20"/>
          <w:szCs w:val="20"/>
          <w:lang w:val="en-ID"/>
        </w:rPr>
        <w:br/>
        <w:t>Practically, this suggests that reliability plays a critical role in shaping satisfaction for users of Bank Lampung's mobile banking. A stable app that doesn’t frequently experience issues and processes transactions as expected fosters trust and comfort. System reliability is a core foundation of the digital banking experience, as even minor technical disruptions can interfere with financial activities and lower satisfaction.</w:t>
      </w:r>
    </w:p>
    <w:p w14:paraId="78AEFD7B" w14:textId="13292F3C"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must prioritize the development, maintenance, and performance enhancement of its mobile banking app. Furthermore, improving the responsiveness and effectiveness of customer service is essential, as both technical reliability and support responsiveness complement each other in building a reliable perception. By maintaining a robust system and responsive support, Bank Lampung can enhance user satisfaction and build long-term loyalty.</w:t>
      </w:r>
    </w:p>
    <w:p w14:paraId="095619E3"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Responsiveness on E-Satisfaction</w:t>
      </w:r>
    </w:p>
    <w:p w14:paraId="598F3F05"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responsiveness in Bank Lampung's mobile banking service has a positive and significant effect on e-satisfaction. The original sample value of 0.025 with a T-statistic of 2.272 and a P-value of 0.005 (&lt; 0.05) indicates that the more responsive the service—whether system-wise or customer support—the higher the user satisfaction. Responsiveness reflects how well the application and service provider can respond promptly to user needs, questions, or complaints.</w:t>
      </w:r>
    </w:p>
    <w:p w14:paraId="47CEA357"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This aligns with Leon et al. (2020), who stated that quick response to customer needs directly impacts their positive perception of service quality. When users feel their complaints or inquiries are promptly addressed, it builds a sense of being valued and increases trust in the service. Good responsiveness not only promotes short-term satisfaction but also forms a critical foundation for long-term user loyalty.</w:t>
      </w:r>
    </w:p>
    <w:p w14:paraId="532D0774" w14:textId="071B9277"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needs to focus on enhancing responsiveness within its mobile banking app. Features such as real-time transaction notifications, fast page loading, and live support should be optimized to ensure users feel well-served. Immediate access to information or solutions creates a positive experience and reduces potential frustration.</w:t>
      </w:r>
      <w:r w:rsidRPr="0030562D">
        <w:rPr>
          <w:rFonts w:ascii="Arial" w:hAnsi="Arial" w:cs="Arial"/>
          <w:sz w:val="20"/>
          <w:szCs w:val="20"/>
          <w:lang w:val="en-ID"/>
        </w:rPr>
        <w:br/>
        <w:t>Furthermore, increasing responsiveness not only directly improves satisfaction but also shapes the perception that Bank Lampung cares about its customers' needs. When users feel valued and promptly served, they tend to trust and continue using the service long-term. Hence, responsiveness is a key pillar in the strategy for increasing user satisfaction and loyalty in the digital service era.</w:t>
      </w:r>
    </w:p>
    <w:p w14:paraId="63300E26"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lastRenderedPageBreak/>
        <w:t>The Influence of User Friendliness on E-Satisfaction</w:t>
      </w:r>
    </w:p>
    <w:p w14:paraId="363A0E36"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analysis shows that user friendliness significantly and positively affects e-satisfaction in Bank Lampung’s mobile banking app. The original sample value is 0.337 with a P-value of 0.002 and a T-statistic of 3.068, indicating that easier navigation, intuitive design, and ease of completing transactions lead to higher user satisfaction.</w:t>
      </w:r>
    </w:p>
    <w:p w14:paraId="0183DFDC" w14:textId="000AB7CE"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 xml:space="preserve">This result is consistent with </w:t>
      </w:r>
      <w:proofErr w:type="spellStart"/>
      <w:r w:rsidRPr="0030562D">
        <w:rPr>
          <w:rFonts w:ascii="Arial" w:hAnsi="Arial" w:cs="Arial"/>
          <w:sz w:val="20"/>
          <w:szCs w:val="20"/>
          <w:lang w:val="en-ID"/>
        </w:rPr>
        <w:t>Hidayat</w:t>
      </w:r>
      <w:proofErr w:type="spellEnd"/>
      <w:r w:rsidRPr="0030562D">
        <w:rPr>
          <w:rFonts w:ascii="Arial" w:hAnsi="Arial" w:cs="Arial"/>
          <w:sz w:val="20"/>
          <w:szCs w:val="20"/>
          <w:lang w:val="en-ID"/>
        </w:rPr>
        <w:t xml:space="preserve"> and </w:t>
      </w:r>
      <w:proofErr w:type="spellStart"/>
      <w:r w:rsidRPr="0030562D">
        <w:rPr>
          <w:rFonts w:ascii="Arial" w:hAnsi="Arial" w:cs="Arial"/>
          <w:sz w:val="20"/>
          <w:szCs w:val="20"/>
          <w:lang w:val="en-ID"/>
        </w:rPr>
        <w:t>Pratama</w:t>
      </w:r>
      <w:proofErr w:type="spellEnd"/>
      <w:r w:rsidRPr="0030562D">
        <w:rPr>
          <w:rFonts w:ascii="Arial" w:hAnsi="Arial" w:cs="Arial"/>
          <w:sz w:val="20"/>
          <w:szCs w:val="20"/>
          <w:lang w:val="en-ID"/>
        </w:rPr>
        <w:t xml:space="preserve"> (2022), who found that user friendliness directly contributes to perceptions of trust and comfort, which in turn reinforce user loyalty. When users find the app easy to use, responsive, and intuitive, they are more likely to trust the system and feel comfortable transacting, building a foundation for long-term loyalty.</w:t>
      </w:r>
      <w:r w:rsidRPr="0030562D">
        <w:rPr>
          <w:rFonts w:ascii="Arial" w:hAnsi="Arial" w:cs="Arial"/>
          <w:sz w:val="20"/>
          <w:szCs w:val="20"/>
          <w:lang w:val="en-ID"/>
        </w:rPr>
        <w:br/>
        <w:t>Ease of use is a key aspect of digital experiences, especially in app-based banking services. Mobile banking users generally expect quick, efficient processes without needing technical knowledge. Therefore, easy-to-understand features, a simple but functional interface, and clear transaction flows will shape a positive service perception.</w:t>
      </w:r>
      <w:r w:rsidRPr="0030562D">
        <w:rPr>
          <w:rFonts w:ascii="Arial" w:hAnsi="Arial" w:cs="Arial"/>
          <w:sz w:val="20"/>
          <w:szCs w:val="20"/>
          <w:lang w:val="en-ID"/>
        </w:rPr>
        <w:br/>
        <w:t>Bank Lampung must ensure that all elements of the app are continuously adjusted to meet diverse user needs, thereby maintaining satisfaction and promoting long-term loyalty.</w:t>
      </w:r>
    </w:p>
    <w:p w14:paraId="2244E923"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Personal Need on E-Satisfaction</w:t>
      </w:r>
    </w:p>
    <w:p w14:paraId="5D0D4549" w14:textId="6F3A1502" w:rsidR="00ED0FAD"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the Personal Need variable significantly affects E-Satisfaction, with a coefficient value of 0.219, a T-statistic of 2.491, and a P-value of 0.013. This means that the more a mobile banking app meets users’ personal needs, the higher their satisfaction. An app that can tailor features, information, and services to users’ preferences and specific needs offers a more relevant and meaningful experience, thus enhancing overall satisfaction.</w:t>
      </w:r>
      <w:r w:rsidRPr="0030562D">
        <w:rPr>
          <w:rFonts w:ascii="Arial" w:hAnsi="Arial" w:cs="Arial"/>
          <w:sz w:val="20"/>
          <w:szCs w:val="20"/>
          <w:lang w:val="en-ID"/>
        </w:rPr>
        <w:br/>
        <w:t xml:space="preserve">This finding aligns with </w:t>
      </w:r>
      <w:proofErr w:type="spellStart"/>
      <w:r w:rsidRPr="0030562D">
        <w:rPr>
          <w:rFonts w:ascii="Arial" w:hAnsi="Arial" w:cs="Arial"/>
          <w:sz w:val="20"/>
          <w:szCs w:val="20"/>
          <w:lang w:val="en-ID"/>
        </w:rPr>
        <w:t>Alarifi</w:t>
      </w:r>
      <w:proofErr w:type="spellEnd"/>
      <w:r w:rsidRPr="0030562D">
        <w:rPr>
          <w:rFonts w:ascii="Arial" w:hAnsi="Arial" w:cs="Arial"/>
          <w:sz w:val="20"/>
          <w:szCs w:val="20"/>
          <w:lang w:val="en-ID"/>
        </w:rPr>
        <w:t xml:space="preserve"> and Husain (2023), who stated that banks capable of customizing digital services based on individual needs tend to experience significantly higher customer satisfaction. This customization includes relevant features, ease of access to needed information, and a personalized experience. When users feel that the service truly understands and meets their needs, trust and satisfaction rise, strengthening long-term relationships.</w:t>
      </w:r>
      <w:r w:rsidRPr="0030562D">
        <w:rPr>
          <w:rFonts w:ascii="Arial" w:hAnsi="Arial" w:cs="Arial"/>
          <w:sz w:val="20"/>
          <w:szCs w:val="20"/>
          <w:lang w:val="en-ID"/>
        </w:rPr>
        <w:br/>
        <w:t>Practically, this means Bank Lampung should continue innovating in offering personalized mobile banking services. Features such as clear transaction history, product recommendations based on user activity, and easy access to frequently used information provide added value. By understanding and effectively fulfilling individual customer needs, Bank Lampung can increase satisfaction and create a more positive digital experience, which may lead to increased user loyalty.</w:t>
      </w:r>
    </w:p>
    <w:p w14:paraId="39C42E2A"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Efficiency on E-Satisfaction</w:t>
      </w:r>
    </w:p>
    <w:p w14:paraId="75860572"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research shows that efficiency significantly affects e-satisfaction, with a coefficient of 0.150, a T-statistic of 2.337, and a P-value of 0.012. This suggests that the more efficient the mobile banking system is—such as easy information retrieval, fast transactions, and smooth navigation</w:t>
      </w:r>
      <w:r w:rsidR="00B57C68" w:rsidRPr="0030562D">
        <w:rPr>
          <w:rFonts w:ascii="Arial" w:hAnsi="Arial" w:cs="Arial"/>
          <w:sz w:val="20"/>
          <w:szCs w:val="20"/>
          <w:lang w:val="en-ID"/>
        </w:rPr>
        <w:t xml:space="preserve">, </w:t>
      </w:r>
      <w:r w:rsidRPr="0030562D">
        <w:rPr>
          <w:rFonts w:ascii="Arial" w:hAnsi="Arial" w:cs="Arial"/>
          <w:sz w:val="20"/>
          <w:szCs w:val="20"/>
          <w:lang w:val="en-ID"/>
        </w:rPr>
        <w:t>the higher the user satisfaction.</w:t>
      </w:r>
      <w:r w:rsidR="00B57C68" w:rsidRPr="0030562D">
        <w:rPr>
          <w:rFonts w:ascii="Arial" w:hAnsi="Arial" w:cs="Arial"/>
          <w:sz w:val="20"/>
          <w:szCs w:val="20"/>
          <w:lang w:val="en-ID"/>
        </w:rPr>
        <w:t xml:space="preserve"> </w:t>
      </w:r>
      <w:r w:rsidRPr="0030562D">
        <w:rPr>
          <w:rFonts w:ascii="Arial" w:hAnsi="Arial" w:cs="Arial"/>
          <w:sz w:val="20"/>
          <w:szCs w:val="20"/>
          <w:lang w:val="en-ID"/>
        </w:rPr>
        <w:t xml:space="preserve">This aligns with the findings of </w:t>
      </w:r>
      <w:proofErr w:type="spellStart"/>
      <w:r w:rsidRPr="0030562D">
        <w:rPr>
          <w:rFonts w:ascii="Arial" w:hAnsi="Arial" w:cs="Arial"/>
          <w:sz w:val="20"/>
          <w:szCs w:val="20"/>
          <w:lang w:val="en-ID"/>
        </w:rPr>
        <w:t>Prasetyo</w:t>
      </w:r>
      <w:proofErr w:type="spellEnd"/>
      <w:r w:rsidRPr="0030562D">
        <w:rPr>
          <w:rFonts w:ascii="Arial" w:hAnsi="Arial" w:cs="Arial"/>
          <w:sz w:val="20"/>
          <w:szCs w:val="20"/>
          <w:lang w:val="en-ID"/>
        </w:rPr>
        <w:t xml:space="preserve"> and Lestari (2023) and Nugroho et al. (2024), who emphasized that efficiency is a key factor in shaping a positive user experience. Fast, intuitive, and easy-to-understand digital banking services increase satisfaction by minimizing transaction barriers. When users feel the system operates efficiently and saves time, they tend to have a more positive perception of the service, promoting long-term loyalty.</w:t>
      </w:r>
    </w:p>
    <w:p w14:paraId="3D143863" w14:textId="30A04813"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The implication is that Bank Lampung must continually refine its digital banking system to remain responsive and efficient. A seamless, easy, and hassle-free user experience fosters satisfaction and encourages repeat usage. In the context of growing competition in digital financial services, system efficiency can be a competitive advantage that retains and attracts users while boosting loyalty through satisfaction.</w:t>
      </w:r>
    </w:p>
    <w:p w14:paraId="58E60292" w14:textId="0AFD939A"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b/>
          <w:bCs/>
          <w:sz w:val="20"/>
          <w:szCs w:val="20"/>
          <w:lang w:val="en-ID"/>
        </w:rPr>
        <w:t>The Influence of E-Satisfaction on E-Loyalty</w:t>
      </w:r>
    </w:p>
    <w:p w14:paraId="55802EAD" w14:textId="77777777" w:rsidR="00B57C68" w:rsidRPr="0030562D" w:rsidRDefault="00ED0FAD" w:rsidP="00ED0FAD">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lastRenderedPageBreak/>
        <w:t>The research shows that E-Satisfaction significantly influences E-Loyalty, with a coefficient of 0.859, a T-statistic of 45.028, and a P-value of 0.000. This means that the more satisfied users are with Bank Lampung’s mobile banking, the more likely they are to remain loyal. The high coefficient indicates a very strong relationship, and the extremely small P-value strengthens the evidence that this relationship is not due to chance.</w:t>
      </w:r>
    </w:p>
    <w:p w14:paraId="1F62CCD1" w14:textId="6AE4B713" w:rsidR="00920B64" w:rsidRPr="0030562D" w:rsidRDefault="00ED0FAD" w:rsidP="00B57C68">
      <w:pPr>
        <w:widowControl/>
        <w:autoSpaceDE/>
        <w:autoSpaceDN/>
        <w:spacing w:after="120"/>
        <w:jc w:val="both"/>
        <w:rPr>
          <w:rFonts w:ascii="Arial" w:hAnsi="Arial" w:cs="Arial"/>
          <w:sz w:val="20"/>
          <w:szCs w:val="20"/>
          <w:lang w:val="en-ID"/>
        </w:rPr>
      </w:pPr>
      <w:r w:rsidRPr="0030562D">
        <w:rPr>
          <w:rFonts w:ascii="Arial" w:hAnsi="Arial" w:cs="Arial"/>
          <w:sz w:val="20"/>
          <w:szCs w:val="20"/>
          <w:lang w:val="en-ID"/>
        </w:rPr>
        <w:t>This result is in line with Hossain and Quaddus (2023), who found that customer satisfaction significantly contributes to user loyalty in mobile banking services. When customers are satisfied with convenience, speed, security, and comfort in using the app, they tend to keep using it and recommend it to others. Positive experiences that lead to satisfaction create long-term relationships between users and service providers, ultimately reinforcing digital loyalty.</w:t>
      </w:r>
      <w:r w:rsidRPr="0030562D">
        <w:rPr>
          <w:rFonts w:ascii="Arial" w:hAnsi="Arial" w:cs="Arial"/>
          <w:sz w:val="20"/>
          <w:szCs w:val="20"/>
          <w:lang w:val="en-ID"/>
        </w:rPr>
        <w:br/>
        <w:t>This finding confirms that user satisfaction is a key factor in building loyalty in digital banking services. When users are satisfied because the service meets expectations, is easy to use, responsive, and reliable, they will not only continue using the app but are also more likely to recommend it. Therefore, to foster long-term loyalty, Bank Lampung must consistently improve the quality of its mobile banking services and maintain user satisfaction through continuous innovation and enhancement.</w:t>
      </w:r>
    </w:p>
    <w:p w14:paraId="7AC6A15B" w14:textId="77777777" w:rsidR="005571FF" w:rsidRPr="0030562D" w:rsidRDefault="005571FF" w:rsidP="005571FF">
      <w:pPr>
        <w:tabs>
          <w:tab w:val="left" w:pos="1890"/>
        </w:tabs>
        <w:jc w:val="both"/>
        <w:rPr>
          <w:rFonts w:ascii="Arial" w:hAnsi="Arial" w:cs="Arial"/>
          <w:sz w:val="20"/>
          <w:szCs w:val="20"/>
        </w:rPr>
      </w:pPr>
    </w:p>
    <w:p w14:paraId="31291D57" w14:textId="1D97E342" w:rsidR="005571FF" w:rsidRPr="0030562D" w:rsidRDefault="003B37A7" w:rsidP="005571FF">
      <w:pPr>
        <w:pStyle w:val="ListParagraph"/>
        <w:numPr>
          <w:ilvl w:val="0"/>
          <w:numId w:val="1"/>
        </w:numPr>
        <w:tabs>
          <w:tab w:val="left" w:pos="1890"/>
        </w:tabs>
        <w:ind w:left="360"/>
        <w:jc w:val="both"/>
        <w:rPr>
          <w:rFonts w:ascii="Arial" w:hAnsi="Arial" w:cs="Arial"/>
          <w:b/>
          <w:sz w:val="20"/>
          <w:szCs w:val="20"/>
        </w:rPr>
      </w:pPr>
      <w:r w:rsidRPr="0030562D">
        <w:rPr>
          <w:rFonts w:ascii="Arial" w:hAnsi="Arial" w:cs="Arial"/>
          <w:b/>
        </w:rPr>
        <w:t>CONCLUSION</w:t>
      </w:r>
    </w:p>
    <w:p w14:paraId="1157610F" w14:textId="77777777" w:rsidR="005571FF" w:rsidRPr="0030562D" w:rsidRDefault="005571FF" w:rsidP="005571FF">
      <w:pPr>
        <w:tabs>
          <w:tab w:val="left" w:pos="1890"/>
        </w:tabs>
        <w:jc w:val="both"/>
        <w:rPr>
          <w:rFonts w:ascii="Arial" w:hAnsi="Arial" w:cs="Arial"/>
          <w:b/>
          <w:sz w:val="20"/>
          <w:szCs w:val="20"/>
        </w:rPr>
      </w:pPr>
    </w:p>
    <w:p w14:paraId="6F56CA72" w14:textId="77777777" w:rsidR="00B57C68" w:rsidRPr="0030562D" w:rsidRDefault="003B37A7" w:rsidP="00B57C68">
      <w:pPr>
        <w:jc w:val="both"/>
        <w:rPr>
          <w:rFonts w:ascii="Arial" w:hAnsi="Arial" w:cs="Arial"/>
          <w:bCs/>
          <w:sz w:val="20"/>
          <w:szCs w:val="20"/>
        </w:rPr>
      </w:pPr>
      <w:r w:rsidRPr="0030562D">
        <w:rPr>
          <w:rFonts w:ascii="Arial" w:hAnsi="Arial" w:cs="Arial"/>
          <w:bCs/>
          <w:sz w:val="20"/>
          <w:szCs w:val="20"/>
        </w:rPr>
        <w:t>Based on the results of data processing and discussion that has been done, this research can be concluded as follows:</w:t>
      </w:r>
    </w:p>
    <w:p w14:paraId="4FD8D16E"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Site Organization has a positive and significant effect on E-Satisfaction.</w:t>
      </w:r>
    </w:p>
    <w:p w14:paraId="271E2A95"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Reliability has a positive and significant effect on E-Satisfaction.</w:t>
      </w:r>
    </w:p>
    <w:p w14:paraId="25466159"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Responsiveness has a positive and significant effect on E-Satisfaction.</w:t>
      </w:r>
    </w:p>
    <w:p w14:paraId="00D672DD"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User Friendliness has a positive and significant effect on E-Satisfaction.</w:t>
      </w:r>
    </w:p>
    <w:p w14:paraId="6DC78186"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Personal Need has a positive and significant effect on E-Satisfaction.</w:t>
      </w:r>
    </w:p>
    <w:p w14:paraId="54CE1DB4" w14:textId="77777777" w:rsidR="00B57C68" w:rsidRPr="0030562D"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Efficiency has a positive and significant effect on E-Satisfaction.</w:t>
      </w:r>
    </w:p>
    <w:p w14:paraId="7CBD6C34" w14:textId="6F1D5EE3" w:rsidR="003B37A7" w:rsidRPr="005E709E" w:rsidRDefault="00B57C68" w:rsidP="00B57C68">
      <w:pPr>
        <w:pStyle w:val="ListParagraph"/>
        <w:numPr>
          <w:ilvl w:val="0"/>
          <w:numId w:val="8"/>
        </w:numPr>
        <w:ind w:left="284" w:hanging="284"/>
        <w:jc w:val="both"/>
        <w:rPr>
          <w:rFonts w:ascii="Arial" w:hAnsi="Arial" w:cs="Arial"/>
          <w:bCs/>
          <w:sz w:val="20"/>
          <w:szCs w:val="20"/>
        </w:rPr>
      </w:pPr>
      <w:r w:rsidRPr="0030562D">
        <w:rPr>
          <w:rFonts w:ascii="Arial" w:hAnsi="Arial" w:cs="Arial"/>
        </w:rPr>
        <w:t>E-Satisfaction has a positive and significant effect on E-Loyalty.</w:t>
      </w:r>
    </w:p>
    <w:p w14:paraId="131186C8" w14:textId="77777777" w:rsidR="005E709E" w:rsidRDefault="005E709E" w:rsidP="005E709E">
      <w:pPr>
        <w:jc w:val="both"/>
        <w:rPr>
          <w:rFonts w:ascii="Arial" w:hAnsi="Arial" w:cs="Arial"/>
          <w:bCs/>
          <w:sz w:val="20"/>
          <w:szCs w:val="20"/>
        </w:rPr>
      </w:pPr>
    </w:p>
    <w:p w14:paraId="4A651D2B" w14:textId="77777777" w:rsidR="005E709E" w:rsidRPr="005E709E" w:rsidRDefault="005E709E" w:rsidP="005E709E">
      <w:pPr>
        <w:widowControl/>
        <w:autoSpaceDE/>
        <w:autoSpaceDN/>
        <w:spacing w:after="200" w:line="276" w:lineRule="auto"/>
        <w:jc w:val="both"/>
        <w:outlineLvl w:val="0"/>
        <w:rPr>
          <w:rFonts w:ascii="Arial" w:hAnsi="Arial" w:cs="Arial"/>
          <w:lang w:val="en-GB" w:eastAsia="en-GB"/>
        </w:rPr>
      </w:pPr>
      <w:r w:rsidRPr="005E709E">
        <w:rPr>
          <w:rFonts w:ascii="Arial" w:hAnsi="Arial" w:cs="Arial"/>
          <w:b/>
          <w:bCs/>
          <w:lang w:val="en-GB" w:eastAsia="en-GB"/>
        </w:rPr>
        <w:t>COMPETING INTERESTS DISCLAIMER:</w:t>
      </w:r>
    </w:p>
    <w:p w14:paraId="241CC9E6" w14:textId="77777777" w:rsidR="005E709E" w:rsidRPr="005E709E" w:rsidRDefault="005E709E" w:rsidP="005E709E">
      <w:pPr>
        <w:widowControl/>
        <w:autoSpaceDE/>
        <w:autoSpaceDN/>
        <w:spacing w:after="200" w:line="276" w:lineRule="auto"/>
        <w:rPr>
          <w:rFonts w:ascii="Calibri" w:hAnsi="Calibri"/>
          <w:lang w:val="en-GB" w:eastAsia="en-GB"/>
        </w:rPr>
      </w:pPr>
      <w:r w:rsidRPr="005E709E">
        <w:rPr>
          <w:rFonts w:ascii="Calibri" w:hAnsi="Calibri"/>
          <w:lang w:val="en-GB" w:eastAsia="en-GB"/>
        </w:rPr>
        <w:t>Authors have declared that they have no known competing financial interests OR non-financial interests OR personal relationships that could have appeared to influence the work reported in this paper.</w:t>
      </w:r>
    </w:p>
    <w:p w14:paraId="7F7A36C5" w14:textId="77777777" w:rsidR="005E709E" w:rsidRPr="005E709E" w:rsidRDefault="005E709E" w:rsidP="005E709E">
      <w:pPr>
        <w:widowControl/>
        <w:autoSpaceDE/>
        <w:autoSpaceDN/>
        <w:spacing w:after="200" w:line="276" w:lineRule="auto"/>
        <w:rPr>
          <w:rFonts w:ascii="Calibri" w:hAnsi="Calibri"/>
          <w:lang w:val="en-GB" w:eastAsia="en-GB"/>
        </w:rPr>
      </w:pPr>
    </w:p>
    <w:p w14:paraId="0E9428F1" w14:textId="77777777" w:rsidR="005E709E" w:rsidRPr="005E709E" w:rsidRDefault="005E709E" w:rsidP="005E709E">
      <w:pPr>
        <w:widowControl/>
        <w:autoSpaceDE/>
        <w:autoSpaceDN/>
        <w:spacing w:after="200" w:line="276" w:lineRule="auto"/>
        <w:rPr>
          <w:rFonts w:ascii="Calibri" w:hAnsi="Calibri"/>
          <w:lang w:val="en-GB" w:eastAsia="en-GB"/>
        </w:rPr>
      </w:pPr>
    </w:p>
    <w:p w14:paraId="48FCFF10" w14:textId="77777777" w:rsidR="005E709E" w:rsidRPr="005E709E" w:rsidRDefault="005E709E" w:rsidP="005E709E">
      <w:pPr>
        <w:jc w:val="both"/>
        <w:rPr>
          <w:rFonts w:ascii="Arial" w:hAnsi="Arial" w:cs="Arial"/>
          <w:bCs/>
          <w:sz w:val="20"/>
          <w:szCs w:val="20"/>
        </w:rPr>
      </w:pPr>
    </w:p>
    <w:p w14:paraId="0061280E" w14:textId="77777777" w:rsidR="005571FF" w:rsidRPr="0030562D" w:rsidRDefault="005571FF" w:rsidP="00671DDD">
      <w:pPr>
        <w:pStyle w:val="ListParagraph"/>
        <w:tabs>
          <w:tab w:val="left" w:pos="1890"/>
        </w:tabs>
        <w:ind w:left="360"/>
        <w:jc w:val="both"/>
        <w:rPr>
          <w:rFonts w:ascii="Arial" w:hAnsi="Arial" w:cs="Arial"/>
          <w:sz w:val="20"/>
          <w:szCs w:val="20"/>
        </w:rPr>
      </w:pPr>
    </w:p>
    <w:p w14:paraId="2A4A5430" w14:textId="77777777" w:rsidR="005571FF" w:rsidRPr="0030562D" w:rsidRDefault="005571FF" w:rsidP="005571FF">
      <w:pPr>
        <w:tabs>
          <w:tab w:val="left" w:pos="1890"/>
        </w:tabs>
        <w:jc w:val="both"/>
        <w:rPr>
          <w:rFonts w:ascii="Arial" w:hAnsi="Arial" w:cs="Arial"/>
          <w:sz w:val="20"/>
          <w:szCs w:val="20"/>
        </w:rPr>
      </w:pPr>
    </w:p>
    <w:p w14:paraId="008C8AA3" w14:textId="7EE6AAFA" w:rsidR="005571FF" w:rsidRPr="0030562D" w:rsidRDefault="00AA2CD0" w:rsidP="005571FF">
      <w:pPr>
        <w:tabs>
          <w:tab w:val="left" w:pos="1890"/>
        </w:tabs>
        <w:jc w:val="both"/>
        <w:rPr>
          <w:rFonts w:ascii="Arial" w:hAnsi="Arial" w:cs="Arial"/>
          <w:b/>
        </w:rPr>
      </w:pPr>
      <w:r>
        <w:rPr>
          <w:rFonts w:ascii="Arial" w:hAnsi="Arial" w:cs="Arial"/>
          <w:b/>
        </w:rPr>
        <w:t>REFERENCES</w:t>
      </w:r>
    </w:p>
    <w:p w14:paraId="2AAF3EDF" w14:textId="77777777" w:rsidR="005571FF" w:rsidRPr="0030562D" w:rsidRDefault="005571FF" w:rsidP="005571FF">
      <w:pPr>
        <w:tabs>
          <w:tab w:val="left" w:pos="1890"/>
        </w:tabs>
        <w:jc w:val="both"/>
        <w:rPr>
          <w:rFonts w:ascii="Arial" w:hAnsi="Arial" w:cs="Arial"/>
          <w:b/>
        </w:rPr>
      </w:pPr>
    </w:p>
    <w:p w14:paraId="65FFF2A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Abdelrhman, A.B., Tayeb, M.E., Abubaker, N.M.B </w:t>
      </w:r>
      <w:r w:rsidRPr="0030562D">
        <w:rPr>
          <w:rFonts w:ascii="Arial" w:hAnsi="Arial" w:cs="Arial"/>
          <w:i/>
          <w:iCs/>
          <w:sz w:val="20"/>
          <w:szCs w:val="20"/>
        </w:rPr>
        <w:t>et al.</w:t>
      </w:r>
      <w:r w:rsidRPr="0030562D">
        <w:rPr>
          <w:rFonts w:ascii="Arial" w:hAnsi="Arial" w:cs="Arial"/>
          <w:sz w:val="20"/>
          <w:szCs w:val="20"/>
        </w:rPr>
        <w:t xml:space="preserve"> 2024. </w:t>
      </w:r>
      <w:r w:rsidRPr="0030562D">
        <w:rPr>
          <w:rFonts w:ascii="Arial" w:hAnsi="Arial" w:cs="Arial"/>
          <w:i/>
          <w:iCs/>
          <w:sz w:val="20"/>
          <w:szCs w:val="20"/>
        </w:rPr>
        <w:t xml:space="preserve">Assessing The </w:t>
      </w:r>
      <w:proofErr w:type="spellStart"/>
      <w:r w:rsidRPr="0030562D">
        <w:rPr>
          <w:rFonts w:ascii="Arial" w:hAnsi="Arial" w:cs="Arial"/>
          <w:i/>
          <w:iCs/>
          <w:sz w:val="20"/>
          <w:szCs w:val="20"/>
        </w:rPr>
        <w:t>Customers’Behavioral</w:t>
      </w:r>
      <w:proofErr w:type="spellEnd"/>
      <w:r w:rsidRPr="0030562D">
        <w:rPr>
          <w:rFonts w:ascii="Arial" w:hAnsi="Arial" w:cs="Arial"/>
          <w:i/>
          <w:iCs/>
          <w:sz w:val="20"/>
          <w:szCs w:val="20"/>
        </w:rPr>
        <w:t xml:space="preserve"> Intention to Adopt Internet Banking Services. </w:t>
      </w:r>
    </w:p>
    <w:p w14:paraId="270DCE5C" w14:textId="77777777" w:rsidR="00B57C68" w:rsidRPr="0030562D" w:rsidRDefault="00B57C68" w:rsidP="00B57C68">
      <w:pPr>
        <w:pStyle w:val="ListParagraph"/>
        <w:ind w:left="426" w:hanging="426"/>
        <w:rPr>
          <w:rFonts w:ascii="Arial" w:hAnsi="Arial" w:cs="Arial"/>
          <w:sz w:val="20"/>
          <w:szCs w:val="20"/>
        </w:rPr>
      </w:pPr>
    </w:p>
    <w:p w14:paraId="57B26E6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Agus Purwanto. (2022). </w:t>
      </w:r>
      <w:r w:rsidRPr="0030562D">
        <w:rPr>
          <w:rFonts w:ascii="Arial" w:hAnsi="Arial" w:cs="Arial"/>
          <w:i/>
          <w:iCs/>
          <w:sz w:val="20"/>
          <w:szCs w:val="20"/>
        </w:rPr>
        <w:t>The Role  of Digital Leadership, e-Loyalty, e-Service Quality ang e-Satisfaction of Indonesian E-Commerce online shop</w:t>
      </w:r>
      <w:r w:rsidRPr="0030562D">
        <w:rPr>
          <w:rFonts w:ascii="Arial" w:hAnsi="Arial" w:cs="Arial"/>
          <w:sz w:val="20"/>
          <w:szCs w:val="20"/>
        </w:rPr>
        <w:t>. International  Journal of Social and Management Studies (IJOSMAS), Vol.03 No.05.</w:t>
      </w:r>
    </w:p>
    <w:p w14:paraId="734203C3" w14:textId="77777777" w:rsidR="00B57C68" w:rsidRPr="0030562D" w:rsidRDefault="00B57C68" w:rsidP="00B57C68">
      <w:pPr>
        <w:pStyle w:val="ListParagraph"/>
        <w:ind w:left="426" w:hanging="426"/>
        <w:jc w:val="both"/>
        <w:rPr>
          <w:rFonts w:ascii="Arial" w:hAnsi="Arial" w:cs="Arial"/>
          <w:sz w:val="20"/>
          <w:szCs w:val="20"/>
        </w:rPr>
      </w:pPr>
    </w:p>
    <w:p w14:paraId="46973F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Dmour</w:t>
      </w:r>
      <w:proofErr w:type="spellEnd"/>
      <w:r w:rsidRPr="0030562D">
        <w:rPr>
          <w:rFonts w:ascii="Arial" w:hAnsi="Arial" w:cs="Arial"/>
          <w:sz w:val="20"/>
          <w:szCs w:val="20"/>
        </w:rPr>
        <w:t xml:space="preserve">, R., </w:t>
      </w:r>
      <w:proofErr w:type="spellStart"/>
      <w:r w:rsidRPr="0030562D">
        <w:rPr>
          <w:rFonts w:ascii="Arial" w:hAnsi="Arial" w:cs="Arial"/>
          <w:sz w:val="20"/>
          <w:szCs w:val="20"/>
        </w:rPr>
        <w:t>Alnafouri</w:t>
      </w:r>
      <w:proofErr w:type="spellEnd"/>
      <w:r w:rsidRPr="0030562D">
        <w:rPr>
          <w:rFonts w:ascii="Arial" w:hAnsi="Arial" w:cs="Arial"/>
          <w:sz w:val="20"/>
          <w:szCs w:val="20"/>
        </w:rPr>
        <w:t xml:space="preserve">, M., &amp; Al-Alwan, A. (2019). </w:t>
      </w:r>
      <w:r w:rsidRPr="0030562D">
        <w:rPr>
          <w:rFonts w:ascii="Arial" w:hAnsi="Arial" w:cs="Arial"/>
          <w:i/>
          <w:iCs/>
          <w:sz w:val="20"/>
          <w:szCs w:val="20"/>
        </w:rPr>
        <w:t>The Mediating Role of E-Satisfaction in the Relationship between E-service Quality and Customer E-Loyalty in Internet Banking.</w:t>
      </w:r>
      <w:r w:rsidRPr="0030562D">
        <w:rPr>
          <w:rFonts w:ascii="Arial" w:hAnsi="Arial" w:cs="Arial"/>
          <w:sz w:val="20"/>
          <w:szCs w:val="20"/>
        </w:rPr>
        <w:t xml:space="preserve"> Jordan Journal of Business Administration, 15(2). </w:t>
      </w:r>
    </w:p>
    <w:p w14:paraId="33658482" w14:textId="77777777" w:rsidR="00B57C68" w:rsidRPr="0030562D" w:rsidRDefault="00B57C68" w:rsidP="00B57C68">
      <w:pPr>
        <w:pStyle w:val="ListParagraph"/>
        <w:ind w:left="426" w:hanging="426"/>
        <w:rPr>
          <w:rFonts w:ascii="Arial" w:hAnsi="Arial" w:cs="Arial"/>
          <w:sz w:val="20"/>
          <w:szCs w:val="20"/>
        </w:rPr>
      </w:pPr>
    </w:p>
    <w:p w14:paraId="589946E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dweeri</w:t>
      </w:r>
      <w:proofErr w:type="spellEnd"/>
      <w:r w:rsidRPr="0030562D">
        <w:rPr>
          <w:rFonts w:ascii="Arial" w:hAnsi="Arial" w:cs="Arial"/>
          <w:sz w:val="20"/>
          <w:szCs w:val="20"/>
        </w:rPr>
        <w:t>, R. M., Moreno, A. R., Montes, F. J. L., Obeidat, Z. M., &amp; Al-</w:t>
      </w:r>
      <w:proofErr w:type="spellStart"/>
      <w:r w:rsidRPr="0030562D">
        <w:rPr>
          <w:rFonts w:ascii="Arial" w:hAnsi="Arial" w:cs="Arial"/>
          <w:sz w:val="20"/>
          <w:szCs w:val="20"/>
        </w:rPr>
        <w:t>dwairi</w:t>
      </w:r>
      <w:proofErr w:type="spellEnd"/>
      <w:r w:rsidRPr="0030562D">
        <w:rPr>
          <w:rFonts w:ascii="Arial" w:hAnsi="Arial" w:cs="Arial"/>
          <w:sz w:val="20"/>
          <w:szCs w:val="20"/>
        </w:rPr>
        <w:t>, K. M. (2018).</w:t>
      </w:r>
      <w:r w:rsidRPr="0030562D">
        <w:rPr>
          <w:rFonts w:ascii="Arial" w:hAnsi="Arial" w:cs="Arial"/>
          <w:i/>
          <w:iCs/>
          <w:sz w:val="20"/>
          <w:szCs w:val="20"/>
        </w:rPr>
        <w:t xml:space="preserve"> The effect of e-service quality on Jordanian student’s e-loyalty : an empirical study in online retailing</w:t>
      </w:r>
      <w:r w:rsidRPr="0030562D">
        <w:rPr>
          <w:rFonts w:ascii="Arial" w:hAnsi="Arial" w:cs="Arial"/>
          <w:sz w:val="20"/>
          <w:szCs w:val="20"/>
        </w:rPr>
        <w:t>. Industrial Management &amp; Data Systems.</w:t>
      </w:r>
    </w:p>
    <w:p w14:paraId="0B41869A" w14:textId="77777777" w:rsidR="00B57C68" w:rsidRPr="0030562D" w:rsidRDefault="00B57C68" w:rsidP="00B57C68">
      <w:pPr>
        <w:pStyle w:val="ListParagraph"/>
        <w:ind w:left="426" w:hanging="426"/>
        <w:jc w:val="both"/>
        <w:rPr>
          <w:rFonts w:ascii="Arial" w:hAnsi="Arial" w:cs="Arial"/>
          <w:sz w:val="20"/>
          <w:szCs w:val="20"/>
        </w:rPr>
      </w:pPr>
    </w:p>
    <w:p w14:paraId="6BD5796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Al-</w:t>
      </w:r>
      <w:proofErr w:type="spellStart"/>
      <w:r w:rsidRPr="0030562D">
        <w:rPr>
          <w:rFonts w:ascii="Arial" w:hAnsi="Arial" w:cs="Arial"/>
          <w:sz w:val="20"/>
          <w:szCs w:val="20"/>
        </w:rPr>
        <w:t>Khayyal</w:t>
      </w:r>
      <w:proofErr w:type="spellEnd"/>
      <w:r w:rsidRPr="0030562D">
        <w:rPr>
          <w:rFonts w:ascii="Arial" w:hAnsi="Arial" w:cs="Arial"/>
          <w:sz w:val="20"/>
          <w:szCs w:val="20"/>
        </w:rPr>
        <w:t xml:space="preserve">, A., </w:t>
      </w:r>
      <w:proofErr w:type="spellStart"/>
      <w:r w:rsidRPr="0030562D">
        <w:rPr>
          <w:rFonts w:ascii="Arial" w:hAnsi="Arial" w:cs="Arial"/>
          <w:sz w:val="20"/>
          <w:szCs w:val="20"/>
        </w:rPr>
        <w:t>Alshurideh</w:t>
      </w:r>
      <w:proofErr w:type="spellEnd"/>
      <w:r w:rsidRPr="0030562D">
        <w:rPr>
          <w:rFonts w:ascii="Arial" w:hAnsi="Arial" w:cs="Arial"/>
          <w:sz w:val="20"/>
          <w:szCs w:val="20"/>
        </w:rPr>
        <w:t xml:space="preserve">, M., AL Kurdi, B., &amp; </w:t>
      </w:r>
      <w:proofErr w:type="spellStart"/>
      <w:r w:rsidRPr="0030562D">
        <w:rPr>
          <w:rFonts w:ascii="Arial" w:hAnsi="Arial" w:cs="Arial"/>
          <w:sz w:val="20"/>
          <w:szCs w:val="20"/>
        </w:rPr>
        <w:t>Aburayya</w:t>
      </w:r>
      <w:proofErr w:type="spellEnd"/>
      <w:r w:rsidRPr="0030562D">
        <w:rPr>
          <w:rFonts w:ascii="Arial" w:hAnsi="Arial" w:cs="Arial"/>
          <w:sz w:val="20"/>
          <w:szCs w:val="20"/>
        </w:rPr>
        <w:t>, A. (2020).</w:t>
      </w:r>
      <w:r w:rsidRPr="0030562D">
        <w:rPr>
          <w:rFonts w:ascii="Arial" w:hAnsi="Arial" w:cs="Arial"/>
          <w:i/>
          <w:iCs/>
          <w:sz w:val="20"/>
          <w:szCs w:val="20"/>
        </w:rPr>
        <w:t xml:space="preserve"> The impact of electronic service quality dimensions on </w:t>
      </w:r>
      <w:proofErr w:type="spellStart"/>
      <w:r w:rsidRPr="0030562D">
        <w:rPr>
          <w:rFonts w:ascii="Arial" w:hAnsi="Arial" w:cs="Arial"/>
          <w:i/>
          <w:iCs/>
          <w:sz w:val="20"/>
          <w:szCs w:val="20"/>
        </w:rPr>
        <w:t>customers’e</w:t>
      </w:r>
      <w:proofErr w:type="spellEnd"/>
      <w:r w:rsidRPr="0030562D">
        <w:rPr>
          <w:rFonts w:ascii="Arial" w:hAnsi="Arial" w:cs="Arial"/>
          <w:i/>
          <w:iCs/>
          <w:sz w:val="20"/>
          <w:szCs w:val="20"/>
        </w:rPr>
        <w:t>-shopping and e-loyalty via the impact of e-satisfaction and e-trust : A qualitative approach</w:t>
      </w:r>
      <w:r w:rsidRPr="0030562D">
        <w:rPr>
          <w:rFonts w:ascii="Arial" w:hAnsi="Arial" w:cs="Arial"/>
          <w:sz w:val="20"/>
          <w:szCs w:val="20"/>
        </w:rPr>
        <w:t>. International Journal of Innovation, Creativity and Change, 14 (9), 257-281.</w:t>
      </w:r>
    </w:p>
    <w:p w14:paraId="779EDB0D" w14:textId="77777777" w:rsidR="00B57C68" w:rsidRPr="0030562D" w:rsidRDefault="00B57C68" w:rsidP="00B57C68">
      <w:pPr>
        <w:pStyle w:val="ListParagraph"/>
        <w:ind w:left="426" w:hanging="426"/>
        <w:jc w:val="both"/>
        <w:rPr>
          <w:rFonts w:ascii="Arial" w:hAnsi="Arial" w:cs="Arial"/>
          <w:sz w:val="20"/>
          <w:szCs w:val="20"/>
        </w:rPr>
      </w:pPr>
    </w:p>
    <w:p w14:paraId="244666F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Areej</w:t>
      </w:r>
      <w:proofErr w:type="spellEnd"/>
      <w:r w:rsidRPr="0030562D">
        <w:rPr>
          <w:rFonts w:ascii="Arial" w:hAnsi="Arial" w:cs="Arial"/>
          <w:sz w:val="20"/>
          <w:szCs w:val="20"/>
        </w:rPr>
        <w:t xml:space="preserve"> Abdulrahman </w:t>
      </w:r>
      <w:proofErr w:type="spellStart"/>
      <w:r w:rsidRPr="0030562D">
        <w:rPr>
          <w:rFonts w:ascii="Arial" w:hAnsi="Arial" w:cs="Arial"/>
          <w:sz w:val="20"/>
          <w:szCs w:val="20"/>
        </w:rPr>
        <w:t>Alarifi</w:t>
      </w:r>
      <w:proofErr w:type="spellEnd"/>
      <w:r w:rsidRPr="0030562D">
        <w:rPr>
          <w:rFonts w:ascii="Arial" w:hAnsi="Arial" w:cs="Arial"/>
          <w:sz w:val="20"/>
          <w:szCs w:val="20"/>
        </w:rPr>
        <w:t xml:space="preserve"> &amp; Khalid Sami Husain. 2023. </w:t>
      </w:r>
      <w:r w:rsidRPr="0030562D">
        <w:rPr>
          <w:rFonts w:ascii="Arial" w:hAnsi="Arial" w:cs="Arial"/>
          <w:i/>
          <w:iCs/>
          <w:sz w:val="20"/>
          <w:szCs w:val="20"/>
        </w:rPr>
        <w:t>The influence of internet banking services quality on e-</w:t>
      </w:r>
      <w:proofErr w:type="spellStart"/>
      <w:r w:rsidRPr="0030562D">
        <w:rPr>
          <w:rFonts w:ascii="Arial" w:hAnsi="Arial" w:cs="Arial"/>
          <w:i/>
          <w:iCs/>
          <w:sz w:val="20"/>
          <w:szCs w:val="20"/>
        </w:rPr>
        <w:t>customers’satisfaction</w:t>
      </w:r>
      <w:proofErr w:type="spellEnd"/>
      <w:r w:rsidRPr="0030562D">
        <w:rPr>
          <w:rFonts w:ascii="Arial" w:hAnsi="Arial" w:cs="Arial"/>
          <w:i/>
          <w:iCs/>
          <w:sz w:val="20"/>
          <w:szCs w:val="20"/>
        </w:rPr>
        <w:t xml:space="preserve"> of Saudi banks</w:t>
      </w:r>
      <w:r w:rsidRPr="0030562D">
        <w:rPr>
          <w:rFonts w:ascii="Arial" w:hAnsi="Arial" w:cs="Arial"/>
          <w:sz w:val="20"/>
          <w:szCs w:val="20"/>
        </w:rPr>
        <w:t xml:space="preserve"> : comparison study before and during COVID-19. International Journal of Quality &amp; Reliability Management. Vol.40 No.2, pp. 496-516.</w:t>
      </w:r>
    </w:p>
    <w:p w14:paraId="3BE86167" w14:textId="77777777" w:rsidR="00B57C68" w:rsidRPr="0030562D" w:rsidRDefault="00B57C68" w:rsidP="00B57C68">
      <w:pPr>
        <w:pStyle w:val="ListParagraph"/>
        <w:ind w:left="426" w:hanging="426"/>
        <w:jc w:val="both"/>
        <w:rPr>
          <w:rFonts w:ascii="Arial" w:hAnsi="Arial" w:cs="Arial"/>
          <w:sz w:val="20"/>
          <w:szCs w:val="20"/>
        </w:rPr>
      </w:pPr>
    </w:p>
    <w:p w14:paraId="5CED803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Anderson, R. E., &amp; Srinivasan, S. S. (2003). </w:t>
      </w:r>
      <w:r w:rsidRPr="0030562D">
        <w:rPr>
          <w:rFonts w:ascii="Arial" w:hAnsi="Arial" w:cs="Arial"/>
          <w:i/>
          <w:iCs/>
          <w:sz w:val="20"/>
          <w:szCs w:val="20"/>
        </w:rPr>
        <w:t>E-Satisfaction and E-Loyalty: A Contingency Framework</w:t>
      </w:r>
      <w:r w:rsidRPr="0030562D">
        <w:rPr>
          <w:rFonts w:ascii="Arial" w:hAnsi="Arial" w:cs="Arial"/>
          <w:sz w:val="20"/>
          <w:szCs w:val="20"/>
        </w:rPr>
        <w:t>. Psychology &amp; Marketing, 20(2), 123–138. [DOI:10.1002/mar.10063].</w:t>
      </w:r>
    </w:p>
    <w:p w14:paraId="1E5B8E20" w14:textId="77777777" w:rsidR="00B57C68" w:rsidRPr="0030562D" w:rsidRDefault="00B57C68" w:rsidP="00B57C68">
      <w:pPr>
        <w:pStyle w:val="ListParagraph"/>
        <w:ind w:left="426" w:hanging="426"/>
        <w:jc w:val="both"/>
        <w:rPr>
          <w:rFonts w:ascii="Arial" w:hAnsi="Arial" w:cs="Arial"/>
          <w:sz w:val="20"/>
          <w:szCs w:val="20"/>
        </w:rPr>
      </w:pPr>
    </w:p>
    <w:p w14:paraId="39682F8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Andrew </w:t>
      </w:r>
      <w:proofErr w:type="spellStart"/>
      <w:r w:rsidRPr="0030562D">
        <w:rPr>
          <w:rFonts w:ascii="Arial" w:hAnsi="Arial" w:cs="Arial"/>
          <w:sz w:val="20"/>
          <w:szCs w:val="20"/>
        </w:rPr>
        <w:t>Tanny</w:t>
      </w:r>
      <w:proofErr w:type="spellEnd"/>
      <w:r w:rsidRPr="0030562D">
        <w:rPr>
          <w:rFonts w:ascii="Arial" w:hAnsi="Arial" w:cs="Arial"/>
          <w:sz w:val="20"/>
          <w:szCs w:val="20"/>
        </w:rPr>
        <w:t xml:space="preserve"> </w:t>
      </w:r>
      <w:proofErr w:type="spellStart"/>
      <w:r w:rsidRPr="0030562D">
        <w:rPr>
          <w:rFonts w:ascii="Arial" w:hAnsi="Arial" w:cs="Arial"/>
          <w:sz w:val="20"/>
          <w:szCs w:val="20"/>
        </w:rPr>
        <w:t>Liem</w:t>
      </w:r>
      <w:proofErr w:type="spellEnd"/>
      <w:r w:rsidRPr="0030562D">
        <w:rPr>
          <w:rFonts w:ascii="Arial" w:hAnsi="Arial" w:cs="Arial"/>
          <w:sz w:val="20"/>
          <w:szCs w:val="20"/>
        </w:rPr>
        <w:t xml:space="preserve">, </w:t>
      </w:r>
      <w:proofErr w:type="spellStart"/>
      <w:r w:rsidRPr="0030562D">
        <w:rPr>
          <w:rFonts w:ascii="Arial" w:hAnsi="Arial" w:cs="Arial"/>
          <w:sz w:val="20"/>
          <w:szCs w:val="20"/>
        </w:rPr>
        <w:t>Ibrena</w:t>
      </w:r>
      <w:proofErr w:type="spellEnd"/>
      <w:r w:rsidRPr="0030562D">
        <w:rPr>
          <w:rFonts w:ascii="Arial" w:hAnsi="Arial" w:cs="Arial"/>
          <w:sz w:val="20"/>
          <w:szCs w:val="20"/>
        </w:rPr>
        <w:t xml:space="preserve"> </w:t>
      </w:r>
      <w:proofErr w:type="spellStart"/>
      <w:r w:rsidRPr="0030562D">
        <w:rPr>
          <w:rFonts w:ascii="Arial" w:hAnsi="Arial" w:cs="Arial"/>
          <w:sz w:val="20"/>
          <w:szCs w:val="20"/>
        </w:rPr>
        <w:t>Reghuella</w:t>
      </w:r>
      <w:proofErr w:type="spellEnd"/>
      <w:r w:rsidRPr="0030562D">
        <w:rPr>
          <w:rFonts w:ascii="Arial" w:hAnsi="Arial" w:cs="Arial"/>
          <w:sz w:val="20"/>
          <w:szCs w:val="20"/>
        </w:rPr>
        <w:t xml:space="preserve"> </w:t>
      </w:r>
      <w:proofErr w:type="spellStart"/>
      <w:r w:rsidRPr="0030562D">
        <w:rPr>
          <w:rFonts w:ascii="Arial" w:hAnsi="Arial" w:cs="Arial"/>
          <w:sz w:val="20"/>
          <w:szCs w:val="20"/>
        </w:rPr>
        <w:t>Chrisanti</w:t>
      </w:r>
      <w:proofErr w:type="spellEnd"/>
      <w:r w:rsidRPr="0030562D">
        <w:rPr>
          <w:rFonts w:ascii="Arial" w:hAnsi="Arial" w:cs="Arial"/>
          <w:sz w:val="20"/>
          <w:szCs w:val="20"/>
        </w:rPr>
        <w:t xml:space="preserve">, Alvin </w:t>
      </w:r>
      <w:proofErr w:type="spellStart"/>
      <w:r w:rsidRPr="0030562D">
        <w:rPr>
          <w:rFonts w:ascii="Arial" w:hAnsi="Arial" w:cs="Arial"/>
          <w:sz w:val="20"/>
          <w:szCs w:val="20"/>
        </w:rPr>
        <w:t>Sandag</w:t>
      </w:r>
      <w:proofErr w:type="spellEnd"/>
      <w:r w:rsidRPr="0030562D">
        <w:rPr>
          <w:rFonts w:ascii="Arial" w:hAnsi="Arial" w:cs="Arial"/>
          <w:sz w:val="20"/>
          <w:szCs w:val="20"/>
        </w:rPr>
        <w:t xml:space="preserve"> &amp; </w:t>
      </w:r>
      <w:proofErr w:type="spellStart"/>
      <w:r w:rsidRPr="0030562D">
        <w:rPr>
          <w:rFonts w:ascii="Arial" w:hAnsi="Arial" w:cs="Arial"/>
          <w:sz w:val="20"/>
          <w:szCs w:val="20"/>
        </w:rPr>
        <w:t>Dipta</w:t>
      </w:r>
      <w:proofErr w:type="spellEnd"/>
      <w:r w:rsidRPr="0030562D">
        <w:rPr>
          <w:rFonts w:ascii="Arial" w:hAnsi="Arial" w:cs="Arial"/>
          <w:sz w:val="20"/>
          <w:szCs w:val="20"/>
        </w:rPr>
        <w:t xml:space="preserve"> </w:t>
      </w:r>
      <w:proofErr w:type="spellStart"/>
      <w:r w:rsidRPr="0030562D">
        <w:rPr>
          <w:rFonts w:ascii="Arial" w:hAnsi="Arial" w:cs="Arial"/>
          <w:sz w:val="20"/>
          <w:szCs w:val="20"/>
        </w:rPr>
        <w:t>Divakara</w:t>
      </w:r>
      <w:proofErr w:type="spellEnd"/>
      <w:r w:rsidRPr="0030562D">
        <w:rPr>
          <w:rFonts w:ascii="Arial" w:hAnsi="Arial" w:cs="Arial"/>
          <w:sz w:val="20"/>
          <w:szCs w:val="20"/>
        </w:rPr>
        <w:t xml:space="preserve"> Pius </w:t>
      </w:r>
      <w:proofErr w:type="spellStart"/>
      <w:r w:rsidRPr="0030562D">
        <w:rPr>
          <w:rFonts w:ascii="Arial" w:hAnsi="Arial" w:cs="Arial"/>
          <w:sz w:val="20"/>
          <w:szCs w:val="20"/>
        </w:rPr>
        <w:t>Purwadaria</w:t>
      </w:r>
      <w:proofErr w:type="spellEnd"/>
      <w:r w:rsidRPr="0030562D">
        <w:rPr>
          <w:rFonts w:ascii="Arial" w:hAnsi="Arial" w:cs="Arial"/>
          <w:sz w:val="20"/>
          <w:szCs w:val="20"/>
        </w:rPr>
        <w:t xml:space="preserve">. 2020.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Pelanggan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Pelayanan</w:t>
      </w:r>
      <w:proofErr w:type="spellEnd"/>
      <w:r w:rsidRPr="0030562D">
        <w:rPr>
          <w:rFonts w:ascii="Arial" w:hAnsi="Arial" w:cs="Arial"/>
          <w:i/>
          <w:iCs/>
          <w:sz w:val="20"/>
          <w:szCs w:val="20"/>
        </w:rPr>
        <w:t xml:space="preserve"> Mobile Banking PT. XYZ Wilayah </w:t>
      </w:r>
      <w:proofErr w:type="spellStart"/>
      <w:r w:rsidRPr="0030562D">
        <w:rPr>
          <w:rFonts w:ascii="Arial" w:hAnsi="Arial" w:cs="Arial"/>
          <w:i/>
          <w:iCs/>
          <w:sz w:val="20"/>
          <w:szCs w:val="20"/>
        </w:rPr>
        <w:t>Airmadidi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Menggunakan</w:t>
      </w:r>
      <w:proofErr w:type="spellEnd"/>
      <w:r w:rsidRPr="0030562D">
        <w:rPr>
          <w:rFonts w:ascii="Arial" w:hAnsi="Arial" w:cs="Arial"/>
          <w:i/>
          <w:iCs/>
          <w:sz w:val="20"/>
          <w:szCs w:val="20"/>
        </w:rPr>
        <w:t xml:space="preserve"> E-</w:t>
      </w:r>
      <w:proofErr w:type="spellStart"/>
      <w:r w:rsidRPr="0030562D">
        <w:rPr>
          <w:rFonts w:ascii="Arial" w:hAnsi="Arial" w:cs="Arial"/>
          <w:i/>
          <w:iCs/>
          <w:sz w:val="20"/>
          <w:szCs w:val="20"/>
        </w:rPr>
        <w:t>Servqual</w:t>
      </w:r>
      <w:proofErr w:type="spellEnd"/>
      <w:r w:rsidRPr="0030562D">
        <w:rPr>
          <w:rFonts w:ascii="Arial" w:hAnsi="Arial" w:cs="Arial"/>
          <w:sz w:val="20"/>
          <w:szCs w:val="20"/>
        </w:rPr>
        <w:t xml:space="preserve">. </w:t>
      </w:r>
      <w:proofErr w:type="spellStart"/>
      <w:r w:rsidRPr="0030562D">
        <w:rPr>
          <w:rFonts w:ascii="Arial" w:hAnsi="Arial" w:cs="Arial"/>
          <w:sz w:val="20"/>
          <w:szCs w:val="20"/>
        </w:rPr>
        <w:t>CogITo</w:t>
      </w:r>
      <w:proofErr w:type="spellEnd"/>
      <w:r w:rsidRPr="0030562D">
        <w:rPr>
          <w:rFonts w:ascii="Arial" w:hAnsi="Arial" w:cs="Arial"/>
          <w:sz w:val="20"/>
          <w:szCs w:val="20"/>
        </w:rPr>
        <w:t xml:space="preserve"> Smart Journal, 6(2), 229-238. </w:t>
      </w:r>
      <w:hyperlink r:id="rId9" w:history="1">
        <w:r w:rsidRPr="0030562D">
          <w:rPr>
            <w:rStyle w:val="Hyperlink"/>
            <w:rFonts w:ascii="Arial" w:hAnsi="Arial" w:cs="Arial"/>
            <w:sz w:val="20"/>
            <w:szCs w:val="20"/>
          </w:rPr>
          <w:t>https://doi.org/10.31154/cogito.v6i2.277.229-238</w:t>
        </w:r>
      </w:hyperlink>
      <w:r w:rsidRPr="0030562D">
        <w:rPr>
          <w:rFonts w:ascii="Arial" w:hAnsi="Arial" w:cs="Arial"/>
          <w:sz w:val="20"/>
          <w:szCs w:val="20"/>
        </w:rPr>
        <w:t xml:space="preserve"> </w:t>
      </w:r>
    </w:p>
    <w:p w14:paraId="6CF50A76" w14:textId="77777777" w:rsidR="00B57C68" w:rsidRPr="0030562D" w:rsidRDefault="00B57C68" w:rsidP="00B57C68">
      <w:pPr>
        <w:pStyle w:val="ListParagraph"/>
        <w:ind w:left="426" w:hanging="426"/>
        <w:rPr>
          <w:rFonts w:ascii="Arial" w:hAnsi="Arial" w:cs="Arial"/>
          <w:sz w:val="20"/>
          <w:szCs w:val="20"/>
        </w:rPr>
      </w:pPr>
    </w:p>
    <w:p w14:paraId="0F9F53B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APJII. 2024. </w:t>
      </w:r>
      <w:proofErr w:type="spellStart"/>
      <w:r w:rsidRPr="0030562D">
        <w:rPr>
          <w:rFonts w:ascii="Arial" w:hAnsi="Arial" w:cs="Arial"/>
          <w:i/>
          <w:iCs/>
          <w:sz w:val="20"/>
          <w:szCs w:val="20"/>
        </w:rPr>
        <w:t>Survei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Penetrasi</w:t>
      </w:r>
      <w:proofErr w:type="spellEnd"/>
      <w:r w:rsidRPr="0030562D">
        <w:rPr>
          <w:rFonts w:ascii="Arial" w:hAnsi="Arial" w:cs="Arial"/>
          <w:i/>
          <w:iCs/>
          <w:sz w:val="20"/>
          <w:szCs w:val="20"/>
        </w:rPr>
        <w:t xml:space="preserve"> Internet Indonesia 2024</w:t>
      </w:r>
      <w:r w:rsidRPr="0030562D">
        <w:rPr>
          <w:rFonts w:ascii="Arial" w:hAnsi="Arial" w:cs="Arial"/>
          <w:sz w:val="20"/>
          <w:szCs w:val="20"/>
        </w:rPr>
        <w:t xml:space="preserve">. </w:t>
      </w:r>
      <w:proofErr w:type="spellStart"/>
      <w:r w:rsidRPr="0030562D">
        <w:rPr>
          <w:rFonts w:ascii="Arial" w:hAnsi="Arial" w:cs="Arial"/>
          <w:sz w:val="20"/>
          <w:szCs w:val="20"/>
        </w:rPr>
        <w:t>Asosiasi</w:t>
      </w:r>
      <w:proofErr w:type="spellEnd"/>
      <w:r w:rsidRPr="0030562D">
        <w:rPr>
          <w:rFonts w:ascii="Arial" w:hAnsi="Arial" w:cs="Arial"/>
          <w:sz w:val="20"/>
          <w:szCs w:val="20"/>
        </w:rPr>
        <w:t xml:space="preserve"> </w:t>
      </w:r>
      <w:proofErr w:type="spellStart"/>
      <w:r w:rsidRPr="0030562D">
        <w:rPr>
          <w:rFonts w:ascii="Arial" w:hAnsi="Arial" w:cs="Arial"/>
          <w:sz w:val="20"/>
          <w:szCs w:val="20"/>
        </w:rPr>
        <w:t>Penyelenggaraan</w:t>
      </w:r>
      <w:proofErr w:type="spellEnd"/>
      <w:r w:rsidRPr="0030562D">
        <w:rPr>
          <w:rFonts w:ascii="Arial" w:hAnsi="Arial" w:cs="Arial"/>
          <w:sz w:val="20"/>
          <w:szCs w:val="20"/>
        </w:rPr>
        <w:t xml:space="preserve"> </w:t>
      </w:r>
      <w:proofErr w:type="spellStart"/>
      <w:r w:rsidRPr="0030562D">
        <w:rPr>
          <w:rFonts w:ascii="Arial" w:hAnsi="Arial" w:cs="Arial"/>
          <w:sz w:val="20"/>
          <w:szCs w:val="20"/>
        </w:rPr>
        <w:t>Jasa</w:t>
      </w:r>
      <w:proofErr w:type="spellEnd"/>
      <w:r w:rsidRPr="0030562D">
        <w:rPr>
          <w:rFonts w:ascii="Arial" w:hAnsi="Arial" w:cs="Arial"/>
          <w:sz w:val="20"/>
          <w:szCs w:val="20"/>
        </w:rPr>
        <w:t xml:space="preserve"> Internet Indonesia.</w:t>
      </w:r>
    </w:p>
    <w:p w14:paraId="6E5A8CD5" w14:textId="77777777" w:rsidR="00B57C68" w:rsidRPr="0030562D" w:rsidRDefault="00B57C68" w:rsidP="00B57C68">
      <w:pPr>
        <w:pStyle w:val="ListParagraph"/>
        <w:ind w:left="426" w:hanging="426"/>
        <w:jc w:val="both"/>
        <w:rPr>
          <w:rFonts w:ascii="Arial" w:hAnsi="Arial" w:cs="Arial"/>
          <w:sz w:val="20"/>
          <w:szCs w:val="20"/>
        </w:rPr>
      </w:pPr>
    </w:p>
    <w:p w14:paraId="22D9B7E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Aripin</w:t>
      </w:r>
      <w:proofErr w:type="spellEnd"/>
      <w:r w:rsidRPr="0030562D">
        <w:rPr>
          <w:rFonts w:ascii="Arial" w:hAnsi="Arial" w:cs="Arial"/>
          <w:sz w:val="20"/>
          <w:szCs w:val="20"/>
        </w:rPr>
        <w:t xml:space="preserve">, </w:t>
      </w:r>
      <w:proofErr w:type="spellStart"/>
      <w:r w:rsidRPr="0030562D">
        <w:rPr>
          <w:rFonts w:ascii="Arial" w:hAnsi="Arial" w:cs="Arial"/>
          <w:sz w:val="20"/>
          <w:szCs w:val="20"/>
        </w:rPr>
        <w:t>Zaenal</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2023. </w:t>
      </w:r>
      <w:r w:rsidRPr="0030562D">
        <w:rPr>
          <w:rFonts w:ascii="Arial" w:hAnsi="Arial" w:cs="Arial"/>
          <w:i/>
          <w:iCs/>
          <w:sz w:val="20"/>
          <w:szCs w:val="20"/>
        </w:rPr>
        <w:t xml:space="preserve">A The Influence of Customer Expectations on Bank Service Performance and Bank Customer </w:t>
      </w:r>
      <w:proofErr w:type="spellStart"/>
      <w:r w:rsidRPr="0030562D">
        <w:rPr>
          <w:rFonts w:ascii="Arial" w:hAnsi="Arial" w:cs="Arial"/>
          <w:i/>
          <w:iCs/>
          <w:sz w:val="20"/>
          <w:szCs w:val="20"/>
        </w:rPr>
        <w:t>Datisfaction</w:t>
      </w:r>
      <w:proofErr w:type="spellEnd"/>
      <w:r w:rsidRPr="0030562D">
        <w:rPr>
          <w:rFonts w:ascii="Arial" w:hAnsi="Arial" w:cs="Arial"/>
          <w:i/>
          <w:iCs/>
          <w:sz w:val="20"/>
          <w:szCs w:val="20"/>
        </w:rPr>
        <w:t xml:space="preserve"> and Its Effect on Customer Trust</w:t>
      </w:r>
      <w:r w:rsidRPr="0030562D">
        <w:rPr>
          <w:rFonts w:ascii="Arial" w:hAnsi="Arial" w:cs="Arial"/>
          <w:sz w:val="20"/>
          <w:szCs w:val="20"/>
        </w:rPr>
        <w:t xml:space="preserve">. Kriez Academy. Journal of development and community service 1.1: 1-14.  </w:t>
      </w:r>
    </w:p>
    <w:p w14:paraId="1571ABFC" w14:textId="77777777" w:rsidR="00B57C68" w:rsidRPr="0030562D" w:rsidRDefault="00B57C68" w:rsidP="00B57C68">
      <w:pPr>
        <w:pStyle w:val="ListParagraph"/>
        <w:ind w:left="426" w:hanging="426"/>
        <w:jc w:val="both"/>
        <w:rPr>
          <w:rFonts w:ascii="Arial" w:hAnsi="Arial" w:cs="Arial"/>
          <w:sz w:val="20"/>
          <w:szCs w:val="20"/>
        </w:rPr>
      </w:pPr>
    </w:p>
    <w:p w14:paraId="44DF8E7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Asmoro</w:t>
      </w:r>
      <w:proofErr w:type="spellEnd"/>
      <w:r w:rsidRPr="0030562D">
        <w:rPr>
          <w:rFonts w:ascii="Arial" w:hAnsi="Arial" w:cs="Arial"/>
          <w:sz w:val="20"/>
          <w:szCs w:val="20"/>
        </w:rPr>
        <w:t xml:space="preserve">, W.K., </w:t>
      </w:r>
      <w:proofErr w:type="spellStart"/>
      <w:r w:rsidRPr="0030562D">
        <w:rPr>
          <w:rFonts w:ascii="Arial" w:hAnsi="Arial" w:cs="Arial"/>
          <w:sz w:val="20"/>
          <w:szCs w:val="20"/>
        </w:rPr>
        <w:t>Indrasari</w:t>
      </w:r>
      <w:proofErr w:type="spellEnd"/>
      <w:r w:rsidRPr="0030562D">
        <w:rPr>
          <w:rFonts w:ascii="Arial" w:hAnsi="Arial" w:cs="Arial"/>
          <w:sz w:val="20"/>
          <w:szCs w:val="20"/>
        </w:rPr>
        <w:t xml:space="preserve">, M., </w:t>
      </w:r>
      <w:proofErr w:type="spellStart"/>
      <w:r w:rsidRPr="0030562D">
        <w:rPr>
          <w:rFonts w:ascii="Arial" w:hAnsi="Arial" w:cs="Arial"/>
          <w:sz w:val="20"/>
          <w:szCs w:val="20"/>
        </w:rPr>
        <w:t>Nazarudin</w:t>
      </w:r>
      <w:proofErr w:type="spellEnd"/>
      <w:r w:rsidRPr="0030562D">
        <w:rPr>
          <w:rFonts w:ascii="Arial" w:hAnsi="Arial" w:cs="Arial"/>
          <w:sz w:val="20"/>
          <w:szCs w:val="20"/>
        </w:rPr>
        <w:t xml:space="preserve">, W,F., &amp; Al </w:t>
      </w:r>
      <w:proofErr w:type="spellStart"/>
      <w:r w:rsidRPr="0030562D">
        <w:rPr>
          <w:rFonts w:ascii="Arial" w:hAnsi="Arial" w:cs="Arial"/>
          <w:sz w:val="20"/>
          <w:szCs w:val="20"/>
        </w:rPr>
        <w:t>Sukri</w:t>
      </w:r>
      <w:proofErr w:type="spellEnd"/>
      <w:r w:rsidRPr="0030562D">
        <w:rPr>
          <w:rFonts w:ascii="Arial" w:hAnsi="Arial" w:cs="Arial"/>
          <w:sz w:val="20"/>
          <w:szCs w:val="20"/>
        </w:rPr>
        <w:t>, S. (2020).</w:t>
      </w:r>
      <w:r w:rsidRPr="0030562D">
        <w:rPr>
          <w:rFonts w:ascii="Arial" w:hAnsi="Arial" w:cs="Arial"/>
          <w:i/>
          <w:iCs/>
          <w:sz w:val="20"/>
          <w:szCs w:val="20"/>
        </w:rPr>
        <w:t xml:space="preserve"> Marketing Communication  in The Digital Era : Does it Need Ethics?</w:t>
      </w:r>
      <w:r w:rsidRPr="0030562D">
        <w:rPr>
          <w:rFonts w:ascii="Arial" w:hAnsi="Arial" w:cs="Arial"/>
          <w:sz w:val="20"/>
          <w:szCs w:val="20"/>
        </w:rPr>
        <w:t>. European Journal of Molecular &amp; Clinical Medicine, 7 (8), 1258-1265.</w:t>
      </w:r>
    </w:p>
    <w:p w14:paraId="4F68E2EA" w14:textId="77777777" w:rsidR="00B57C68" w:rsidRPr="0030562D" w:rsidRDefault="00B57C68" w:rsidP="00B57C68">
      <w:pPr>
        <w:pStyle w:val="ListParagraph"/>
        <w:ind w:left="426" w:hanging="426"/>
        <w:jc w:val="both"/>
        <w:rPr>
          <w:rFonts w:ascii="Arial" w:hAnsi="Arial" w:cs="Arial"/>
          <w:sz w:val="20"/>
          <w:szCs w:val="20"/>
        </w:rPr>
      </w:pPr>
    </w:p>
    <w:p w14:paraId="05D5FEA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Awajneh</w:t>
      </w:r>
      <w:proofErr w:type="spellEnd"/>
      <w:r w:rsidRPr="0030562D">
        <w:rPr>
          <w:rFonts w:ascii="Arial" w:hAnsi="Arial" w:cs="Arial"/>
          <w:sz w:val="20"/>
          <w:szCs w:val="20"/>
        </w:rPr>
        <w:t xml:space="preserve">, A., &amp; Abdalrahman, M. 2024. </w:t>
      </w:r>
      <w:r w:rsidRPr="0030562D">
        <w:rPr>
          <w:rFonts w:ascii="Arial" w:hAnsi="Arial" w:cs="Arial"/>
          <w:i/>
          <w:iCs/>
          <w:sz w:val="20"/>
          <w:szCs w:val="20"/>
        </w:rPr>
        <w:t xml:space="preserve">Beyond Brick and Mortar : Unveiling the Willingness to Adopt E-Banking Services. </w:t>
      </w:r>
      <w:r w:rsidRPr="0030562D">
        <w:rPr>
          <w:rFonts w:ascii="Arial" w:hAnsi="Arial" w:cs="Arial"/>
          <w:sz w:val="20"/>
          <w:szCs w:val="20"/>
        </w:rPr>
        <w:t>International Journal of Technology Innovation and Management (IJTIM), 4(1),    47-63.</w:t>
      </w:r>
    </w:p>
    <w:p w14:paraId="7D96353C" w14:textId="77777777" w:rsidR="00B57C68" w:rsidRPr="0030562D" w:rsidRDefault="00B57C68" w:rsidP="00B57C68">
      <w:pPr>
        <w:pStyle w:val="ListParagraph"/>
        <w:ind w:left="426" w:hanging="426"/>
        <w:rPr>
          <w:rFonts w:ascii="Arial" w:hAnsi="Arial" w:cs="Arial"/>
          <w:sz w:val="20"/>
          <w:szCs w:val="20"/>
        </w:rPr>
      </w:pPr>
    </w:p>
    <w:p w14:paraId="06853B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Ciunova-Shuleska</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.2022. </w:t>
      </w:r>
      <w:r w:rsidRPr="0030562D">
        <w:rPr>
          <w:rFonts w:ascii="Arial" w:hAnsi="Arial" w:cs="Arial"/>
          <w:i/>
          <w:iCs/>
          <w:sz w:val="20"/>
          <w:szCs w:val="20"/>
        </w:rPr>
        <w:t>What drives m-banking clients to continue using m-banking services?.</w:t>
      </w:r>
      <w:r w:rsidRPr="0030562D">
        <w:rPr>
          <w:rFonts w:ascii="Arial" w:hAnsi="Arial" w:cs="Arial"/>
          <w:sz w:val="20"/>
          <w:szCs w:val="20"/>
        </w:rPr>
        <w:t xml:space="preserve"> Journal of Business Research, 139, 731-739.</w:t>
      </w:r>
    </w:p>
    <w:p w14:paraId="4041DB29" w14:textId="77777777" w:rsidR="00B57C68" w:rsidRPr="0030562D" w:rsidRDefault="00B57C68" w:rsidP="00B57C68">
      <w:pPr>
        <w:pStyle w:val="ListParagraph"/>
        <w:ind w:left="426" w:hanging="426"/>
        <w:jc w:val="both"/>
        <w:rPr>
          <w:rFonts w:ascii="Arial" w:hAnsi="Arial" w:cs="Arial"/>
          <w:sz w:val="20"/>
          <w:szCs w:val="20"/>
        </w:rPr>
      </w:pPr>
    </w:p>
    <w:p w14:paraId="39817EF9"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De Leon, M.V., Atienza, R.P., &amp;Susilo, D. 2020. </w:t>
      </w:r>
      <w:r w:rsidRPr="0030562D">
        <w:rPr>
          <w:rFonts w:ascii="Arial" w:hAnsi="Arial" w:cs="Arial"/>
          <w:i/>
          <w:iCs/>
          <w:sz w:val="20"/>
          <w:szCs w:val="20"/>
        </w:rPr>
        <w:t>Influence of self-service technology (SST) service quality dimensions as second-order factor on perceived value and customer satisfaction in a mobile banking application</w:t>
      </w:r>
      <w:r w:rsidRPr="0030562D">
        <w:rPr>
          <w:rFonts w:ascii="Arial" w:hAnsi="Arial" w:cs="Arial"/>
          <w:sz w:val="20"/>
          <w:szCs w:val="20"/>
        </w:rPr>
        <w:t>. Cogent Business &amp; Management, 7(1), 1794241.</w:t>
      </w:r>
    </w:p>
    <w:p w14:paraId="37F0F07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Dung Phuong Hoang. 2024</w:t>
      </w:r>
      <w:r w:rsidRPr="0030562D">
        <w:rPr>
          <w:rFonts w:ascii="Arial" w:hAnsi="Arial" w:cs="Arial"/>
          <w:i/>
          <w:iCs/>
          <w:sz w:val="20"/>
          <w:szCs w:val="20"/>
        </w:rPr>
        <w:t xml:space="preserve">. Customer experience of video teller machine service: drivers and </w:t>
      </w:r>
      <w:proofErr w:type="spellStart"/>
      <w:r w:rsidRPr="0030562D">
        <w:rPr>
          <w:rFonts w:ascii="Arial" w:hAnsi="Arial" w:cs="Arial"/>
          <w:i/>
          <w:iCs/>
          <w:sz w:val="20"/>
          <w:szCs w:val="20"/>
        </w:rPr>
        <w:t>behavioural</w:t>
      </w:r>
      <w:proofErr w:type="spellEnd"/>
      <w:r w:rsidRPr="0030562D">
        <w:rPr>
          <w:rFonts w:ascii="Arial" w:hAnsi="Arial" w:cs="Arial"/>
          <w:i/>
          <w:iCs/>
          <w:sz w:val="20"/>
          <w:szCs w:val="20"/>
        </w:rPr>
        <w:t xml:space="preserve"> outcomes.</w:t>
      </w:r>
      <w:r w:rsidRPr="0030562D">
        <w:rPr>
          <w:rFonts w:ascii="Arial" w:hAnsi="Arial" w:cs="Arial"/>
          <w:sz w:val="20"/>
          <w:szCs w:val="20"/>
        </w:rPr>
        <w:t xml:space="preserve"> International Journal of Banking Marketing. Vol.42 No.7, pp. 1634-1665.</w:t>
      </w:r>
    </w:p>
    <w:p w14:paraId="3145250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Esterina, BS., &amp; Ong L. (2024). </w:t>
      </w:r>
      <w:r w:rsidRPr="0030562D">
        <w:rPr>
          <w:rFonts w:ascii="Arial" w:hAnsi="Arial" w:cs="Arial"/>
          <w:i/>
          <w:iCs/>
          <w:sz w:val="20"/>
          <w:szCs w:val="20"/>
        </w:rPr>
        <w:t xml:space="preserve">“The Impact of E-Service Quality on E-Satisfaction and </w:t>
      </w:r>
      <w:r w:rsidRPr="0030562D">
        <w:rPr>
          <w:rFonts w:ascii="Arial" w:hAnsi="Arial" w:cs="Arial"/>
          <w:i/>
          <w:iCs/>
          <w:sz w:val="20"/>
          <w:szCs w:val="20"/>
        </w:rPr>
        <w:lastRenderedPageBreak/>
        <w:t xml:space="preserve">Loyalty in BTN Mobile Banking Users in </w:t>
      </w:r>
      <w:proofErr w:type="spellStart"/>
      <w:r w:rsidRPr="0030562D">
        <w:rPr>
          <w:rFonts w:ascii="Arial" w:hAnsi="Arial" w:cs="Arial"/>
          <w:i/>
          <w:iCs/>
          <w:sz w:val="20"/>
          <w:szCs w:val="20"/>
        </w:rPr>
        <w:t>Jabodetabek</w:t>
      </w:r>
      <w:proofErr w:type="spellEnd"/>
      <w:r w:rsidRPr="0030562D">
        <w:rPr>
          <w:rFonts w:ascii="Arial" w:hAnsi="Arial" w:cs="Arial"/>
          <w:sz w:val="20"/>
          <w:szCs w:val="20"/>
        </w:rPr>
        <w:t xml:space="preserve">. </w:t>
      </w:r>
    </w:p>
    <w:p w14:paraId="44AA285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Fajar</w:t>
      </w:r>
      <w:proofErr w:type="spellEnd"/>
      <w:r w:rsidRPr="0030562D">
        <w:rPr>
          <w:rFonts w:ascii="Arial" w:hAnsi="Arial" w:cs="Arial"/>
          <w:sz w:val="20"/>
          <w:szCs w:val="20"/>
        </w:rPr>
        <w:t xml:space="preserve"> Akbar </w:t>
      </w:r>
      <w:proofErr w:type="spellStart"/>
      <w:r w:rsidRPr="0030562D">
        <w:rPr>
          <w:rFonts w:ascii="Arial" w:hAnsi="Arial" w:cs="Arial"/>
          <w:sz w:val="20"/>
          <w:szCs w:val="20"/>
        </w:rPr>
        <w:t>Hariansyah</w:t>
      </w:r>
      <w:proofErr w:type="spellEnd"/>
      <w:r w:rsidRPr="0030562D">
        <w:rPr>
          <w:rFonts w:ascii="Arial" w:hAnsi="Arial" w:cs="Arial"/>
          <w:sz w:val="20"/>
          <w:szCs w:val="20"/>
        </w:rPr>
        <w:t xml:space="preserve"> , </w:t>
      </w:r>
      <w:proofErr w:type="spellStart"/>
      <w:r w:rsidRPr="0030562D">
        <w:rPr>
          <w:rFonts w:ascii="Arial" w:hAnsi="Arial" w:cs="Arial"/>
          <w:sz w:val="20"/>
          <w:szCs w:val="20"/>
        </w:rPr>
        <w:t>Niken</w:t>
      </w:r>
      <w:proofErr w:type="spellEnd"/>
      <w:r w:rsidRPr="0030562D">
        <w:rPr>
          <w:rFonts w:ascii="Arial" w:hAnsi="Arial" w:cs="Arial"/>
          <w:sz w:val="20"/>
          <w:szCs w:val="20"/>
        </w:rPr>
        <w:t xml:space="preserve"> </w:t>
      </w:r>
      <w:proofErr w:type="spellStart"/>
      <w:r w:rsidRPr="0030562D">
        <w:rPr>
          <w:rFonts w:ascii="Arial" w:hAnsi="Arial" w:cs="Arial"/>
          <w:sz w:val="20"/>
          <w:szCs w:val="20"/>
        </w:rPr>
        <w:t>Hendrakusma</w:t>
      </w:r>
      <w:proofErr w:type="spellEnd"/>
      <w:r w:rsidRPr="0030562D">
        <w:rPr>
          <w:rFonts w:ascii="Arial" w:hAnsi="Arial" w:cs="Arial"/>
          <w:sz w:val="20"/>
          <w:szCs w:val="20"/>
        </w:rPr>
        <w:t xml:space="preserve"> </w:t>
      </w:r>
      <w:proofErr w:type="spellStart"/>
      <w:r w:rsidRPr="0030562D">
        <w:rPr>
          <w:rFonts w:ascii="Arial" w:hAnsi="Arial" w:cs="Arial"/>
          <w:sz w:val="20"/>
          <w:szCs w:val="20"/>
        </w:rPr>
        <w:t>Wardani</w:t>
      </w:r>
      <w:proofErr w:type="spellEnd"/>
      <w:r w:rsidRPr="0030562D">
        <w:rPr>
          <w:rFonts w:ascii="Arial" w:hAnsi="Arial" w:cs="Arial"/>
          <w:sz w:val="20"/>
          <w:szCs w:val="20"/>
        </w:rPr>
        <w:t xml:space="preserve"> &amp; </w:t>
      </w:r>
      <w:proofErr w:type="spellStart"/>
      <w:r w:rsidRPr="0030562D">
        <w:rPr>
          <w:rFonts w:ascii="Arial" w:hAnsi="Arial" w:cs="Arial"/>
          <w:sz w:val="20"/>
          <w:szCs w:val="20"/>
        </w:rPr>
        <w:t>Admaja</w:t>
      </w:r>
      <w:proofErr w:type="spellEnd"/>
      <w:r w:rsidRPr="0030562D">
        <w:rPr>
          <w:rFonts w:ascii="Arial" w:hAnsi="Arial" w:cs="Arial"/>
          <w:sz w:val="20"/>
          <w:szCs w:val="20"/>
        </w:rPr>
        <w:t xml:space="preserve"> </w:t>
      </w:r>
      <w:proofErr w:type="spellStart"/>
      <w:r w:rsidRPr="0030562D">
        <w:rPr>
          <w:rFonts w:ascii="Arial" w:hAnsi="Arial" w:cs="Arial"/>
          <w:sz w:val="20"/>
          <w:szCs w:val="20"/>
        </w:rPr>
        <w:t>Dwi</w:t>
      </w:r>
      <w:proofErr w:type="spellEnd"/>
      <w:r w:rsidRPr="0030562D">
        <w:rPr>
          <w:rFonts w:ascii="Arial" w:hAnsi="Arial" w:cs="Arial"/>
          <w:sz w:val="20"/>
          <w:szCs w:val="20"/>
        </w:rPr>
        <w:t xml:space="preserve"> </w:t>
      </w:r>
      <w:proofErr w:type="spellStart"/>
      <w:r w:rsidRPr="0030562D">
        <w:rPr>
          <w:rFonts w:ascii="Arial" w:hAnsi="Arial" w:cs="Arial"/>
          <w:sz w:val="20"/>
          <w:szCs w:val="20"/>
        </w:rPr>
        <w:t>Herlambang</w:t>
      </w:r>
      <w:proofErr w:type="spellEnd"/>
      <w:r w:rsidRPr="0030562D">
        <w:rPr>
          <w:rFonts w:ascii="Arial" w:hAnsi="Arial" w:cs="Arial"/>
          <w:sz w:val="20"/>
          <w:szCs w:val="20"/>
        </w:rPr>
        <w:t xml:space="preserve">. (2019).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Seluler</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pada </w:t>
      </w:r>
      <w:proofErr w:type="spellStart"/>
      <w:r w:rsidRPr="0030562D">
        <w:rPr>
          <w:rFonts w:ascii="Arial" w:hAnsi="Arial" w:cs="Arial"/>
          <w:i/>
          <w:iCs/>
          <w:sz w:val="20"/>
          <w:szCs w:val="20"/>
        </w:rPr>
        <w:t>Pengguna</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BRI </w:t>
      </w:r>
      <w:proofErr w:type="spellStart"/>
      <w:r w:rsidRPr="0030562D">
        <w:rPr>
          <w:rFonts w:ascii="Arial" w:hAnsi="Arial" w:cs="Arial"/>
          <w:i/>
          <w:iCs/>
          <w:sz w:val="20"/>
          <w:szCs w:val="20"/>
        </w:rPr>
        <w:t>Seluler</w:t>
      </w:r>
      <w:proofErr w:type="spellEnd"/>
      <w:r w:rsidRPr="0030562D">
        <w:rPr>
          <w:rFonts w:ascii="Arial" w:hAnsi="Arial" w:cs="Arial"/>
          <w:i/>
          <w:iCs/>
          <w:sz w:val="20"/>
          <w:szCs w:val="20"/>
        </w:rPr>
        <w:t xml:space="preserve"> Bank Rakyat Indonesia di Kantor Cabang Cirebon</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Pengembangan</w:t>
      </w:r>
      <w:proofErr w:type="spellEnd"/>
      <w:r w:rsidRPr="0030562D">
        <w:rPr>
          <w:rFonts w:ascii="Arial" w:hAnsi="Arial" w:cs="Arial"/>
          <w:sz w:val="20"/>
          <w:szCs w:val="20"/>
        </w:rPr>
        <w:t xml:space="preserve"> </w:t>
      </w:r>
      <w:proofErr w:type="spellStart"/>
      <w:r w:rsidRPr="0030562D">
        <w:rPr>
          <w:rFonts w:ascii="Arial" w:hAnsi="Arial" w:cs="Arial"/>
          <w:sz w:val="20"/>
          <w:szCs w:val="20"/>
        </w:rPr>
        <w:t>Teknologi</w:t>
      </w:r>
      <w:proofErr w:type="spellEnd"/>
      <w:r w:rsidRPr="0030562D">
        <w:rPr>
          <w:rFonts w:ascii="Arial" w:hAnsi="Arial" w:cs="Arial"/>
          <w:sz w:val="20"/>
          <w:szCs w:val="20"/>
        </w:rPr>
        <w:t xml:space="preserve"> </w:t>
      </w:r>
      <w:proofErr w:type="spellStart"/>
      <w:r w:rsidRPr="0030562D">
        <w:rPr>
          <w:rFonts w:ascii="Arial" w:hAnsi="Arial" w:cs="Arial"/>
          <w:sz w:val="20"/>
          <w:szCs w:val="20"/>
        </w:rPr>
        <w:t>Informasi</w:t>
      </w:r>
      <w:proofErr w:type="spellEnd"/>
      <w:r w:rsidRPr="0030562D">
        <w:rPr>
          <w:rFonts w:ascii="Arial" w:hAnsi="Arial" w:cs="Arial"/>
          <w:sz w:val="20"/>
          <w:szCs w:val="20"/>
        </w:rPr>
        <w:t xml:space="preserve"> dan </w:t>
      </w:r>
      <w:proofErr w:type="spellStart"/>
      <w:r w:rsidRPr="0030562D">
        <w:rPr>
          <w:rFonts w:ascii="Arial" w:hAnsi="Arial" w:cs="Arial"/>
          <w:sz w:val="20"/>
          <w:szCs w:val="20"/>
        </w:rPr>
        <w:t>Ilmu</w:t>
      </w:r>
      <w:proofErr w:type="spellEnd"/>
      <w:r w:rsidRPr="0030562D">
        <w:rPr>
          <w:rFonts w:ascii="Arial" w:hAnsi="Arial" w:cs="Arial"/>
          <w:sz w:val="20"/>
          <w:szCs w:val="20"/>
        </w:rPr>
        <w:t xml:space="preserve"> </w:t>
      </w:r>
      <w:proofErr w:type="spellStart"/>
      <w:r w:rsidRPr="0030562D">
        <w:rPr>
          <w:rFonts w:ascii="Arial" w:hAnsi="Arial" w:cs="Arial"/>
          <w:sz w:val="20"/>
          <w:szCs w:val="20"/>
        </w:rPr>
        <w:t>Kompute</w:t>
      </w:r>
      <w:proofErr w:type="spellEnd"/>
      <w:r w:rsidRPr="0030562D">
        <w:rPr>
          <w:rFonts w:ascii="Arial" w:hAnsi="Arial" w:cs="Arial"/>
          <w:sz w:val="20"/>
          <w:szCs w:val="20"/>
        </w:rPr>
        <w:t>. 3 (5). 4267-4275.</w:t>
      </w:r>
    </w:p>
    <w:p w14:paraId="4ED9ED7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Fatikah</w:t>
      </w:r>
      <w:proofErr w:type="spellEnd"/>
      <w:r w:rsidRPr="0030562D">
        <w:rPr>
          <w:rFonts w:ascii="Arial" w:hAnsi="Arial" w:cs="Arial"/>
          <w:sz w:val="20"/>
          <w:szCs w:val="20"/>
        </w:rPr>
        <w:t xml:space="preserve">, B.H., &amp; </w:t>
      </w:r>
      <w:proofErr w:type="spellStart"/>
      <w:r w:rsidRPr="0030562D">
        <w:rPr>
          <w:rFonts w:ascii="Arial" w:hAnsi="Arial" w:cs="Arial"/>
          <w:sz w:val="20"/>
          <w:szCs w:val="20"/>
        </w:rPr>
        <w:t>Albanna</w:t>
      </w:r>
      <w:proofErr w:type="spellEnd"/>
      <w:r w:rsidRPr="0030562D">
        <w:rPr>
          <w:rFonts w:ascii="Arial" w:hAnsi="Arial" w:cs="Arial"/>
          <w:sz w:val="20"/>
          <w:szCs w:val="20"/>
        </w:rPr>
        <w:t xml:space="preserve">, H. 2022. </w:t>
      </w:r>
      <w:r w:rsidRPr="0030562D">
        <w:rPr>
          <w:rFonts w:ascii="Arial" w:hAnsi="Arial" w:cs="Arial"/>
          <w:i/>
          <w:iCs/>
          <w:sz w:val="20"/>
          <w:szCs w:val="20"/>
        </w:rPr>
        <w:t>The influence of E-SERVQUAL and e-trust on e-loyalty; the role of e-satisfaction as an intervening on Islamic mobile banking customer</w:t>
      </w:r>
      <w:r w:rsidRPr="0030562D">
        <w:rPr>
          <w:rFonts w:ascii="Arial" w:hAnsi="Arial" w:cs="Arial"/>
          <w:sz w:val="20"/>
          <w:szCs w:val="20"/>
        </w:rPr>
        <w:t>. Journal of Business Management and Islamic Banking, 119-130.</w:t>
      </w:r>
    </w:p>
    <w:p w14:paraId="1978BF7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Fauzi</w:t>
      </w:r>
      <w:proofErr w:type="spellEnd"/>
      <w:r w:rsidRPr="0030562D">
        <w:rPr>
          <w:rFonts w:ascii="Arial" w:hAnsi="Arial" w:cs="Arial"/>
          <w:sz w:val="20"/>
          <w:szCs w:val="20"/>
        </w:rPr>
        <w:t xml:space="preserve">, Muhammad </w:t>
      </w:r>
      <w:proofErr w:type="spellStart"/>
      <w:r w:rsidRPr="0030562D">
        <w:rPr>
          <w:rFonts w:ascii="Arial" w:hAnsi="Arial" w:cs="Arial"/>
          <w:sz w:val="20"/>
          <w:szCs w:val="20"/>
        </w:rPr>
        <w:t>Erlangga</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2023. </w:t>
      </w:r>
      <w:proofErr w:type="spellStart"/>
      <w:r w:rsidRPr="0030562D">
        <w:rPr>
          <w:rFonts w:ascii="Arial" w:hAnsi="Arial" w:cs="Arial"/>
          <w:i/>
          <w:iCs/>
          <w:sz w:val="20"/>
          <w:szCs w:val="20"/>
        </w:rPr>
        <w:t>Transformasi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Teknologi</w:t>
      </w:r>
      <w:proofErr w:type="spellEnd"/>
      <w:r w:rsidRPr="0030562D">
        <w:rPr>
          <w:rFonts w:ascii="Arial" w:hAnsi="Arial" w:cs="Arial"/>
          <w:i/>
          <w:iCs/>
          <w:sz w:val="20"/>
          <w:szCs w:val="20"/>
        </w:rPr>
        <w:t xml:space="preserve"> Digital di </w:t>
      </w:r>
      <w:proofErr w:type="spellStart"/>
      <w:r w:rsidRPr="0030562D">
        <w:rPr>
          <w:rFonts w:ascii="Arial" w:hAnsi="Arial" w:cs="Arial"/>
          <w:i/>
          <w:iCs/>
          <w:sz w:val="20"/>
          <w:szCs w:val="20"/>
        </w:rPr>
        <w:t>Bidang</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Perbankan</w:t>
      </w:r>
      <w:proofErr w:type="spellEnd"/>
      <w:r w:rsidRPr="0030562D">
        <w:rPr>
          <w:rFonts w:ascii="Arial" w:hAnsi="Arial" w:cs="Arial"/>
          <w:sz w:val="20"/>
          <w:szCs w:val="20"/>
        </w:rPr>
        <w:t xml:space="preserve">. </w:t>
      </w:r>
      <w:proofErr w:type="spellStart"/>
      <w:r w:rsidRPr="0030562D">
        <w:rPr>
          <w:rFonts w:ascii="Arial" w:hAnsi="Arial" w:cs="Arial"/>
          <w:sz w:val="20"/>
          <w:szCs w:val="20"/>
        </w:rPr>
        <w:t>Kohesi</w:t>
      </w:r>
      <w:proofErr w:type="spellEnd"/>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Sains</w:t>
      </w:r>
      <w:proofErr w:type="spellEnd"/>
      <w:r w:rsidRPr="0030562D">
        <w:rPr>
          <w:rFonts w:ascii="Arial" w:hAnsi="Arial" w:cs="Arial"/>
          <w:sz w:val="20"/>
          <w:szCs w:val="20"/>
        </w:rPr>
        <w:t xml:space="preserve"> dan </w:t>
      </w:r>
      <w:proofErr w:type="spellStart"/>
      <w:r w:rsidRPr="0030562D">
        <w:rPr>
          <w:rFonts w:ascii="Arial" w:hAnsi="Arial" w:cs="Arial"/>
          <w:sz w:val="20"/>
          <w:szCs w:val="20"/>
        </w:rPr>
        <w:t>Teknologi</w:t>
      </w:r>
      <w:proofErr w:type="spellEnd"/>
      <w:r w:rsidRPr="0030562D">
        <w:rPr>
          <w:rFonts w:ascii="Arial" w:hAnsi="Arial" w:cs="Arial"/>
          <w:sz w:val="20"/>
          <w:szCs w:val="20"/>
        </w:rPr>
        <w:t xml:space="preserve"> 1.8: 91-100.</w:t>
      </w:r>
    </w:p>
    <w:p w14:paraId="4856C12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Fitri</w:t>
      </w:r>
      <w:proofErr w:type="spellEnd"/>
      <w:r w:rsidRPr="0030562D">
        <w:rPr>
          <w:rFonts w:ascii="Arial" w:hAnsi="Arial" w:cs="Arial"/>
          <w:sz w:val="20"/>
          <w:szCs w:val="20"/>
        </w:rPr>
        <w:t xml:space="preserve"> </w:t>
      </w:r>
      <w:proofErr w:type="spellStart"/>
      <w:r w:rsidRPr="0030562D">
        <w:rPr>
          <w:rFonts w:ascii="Arial" w:hAnsi="Arial" w:cs="Arial"/>
          <w:sz w:val="20"/>
          <w:szCs w:val="20"/>
        </w:rPr>
        <w:t>Hasnah</w:t>
      </w:r>
      <w:proofErr w:type="spellEnd"/>
      <w:r w:rsidRPr="0030562D">
        <w:rPr>
          <w:rFonts w:ascii="Arial" w:hAnsi="Arial" w:cs="Arial"/>
          <w:sz w:val="20"/>
          <w:szCs w:val="20"/>
        </w:rPr>
        <w:t xml:space="preserve"> &amp; AMA  Suyanto (2020).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Perbandingan</w:t>
      </w:r>
      <w:proofErr w:type="spellEnd"/>
      <w:r w:rsidRPr="0030562D">
        <w:rPr>
          <w:rFonts w:ascii="Arial" w:hAnsi="Arial" w:cs="Arial"/>
          <w:i/>
          <w:iCs/>
          <w:sz w:val="20"/>
          <w:szCs w:val="20"/>
        </w:rPr>
        <w:t xml:space="preserve"> E-Service Quality di Industri Mobile Banking (Studi Kasus pada Bank BCA dan Bank </w:t>
      </w:r>
      <w:proofErr w:type="spellStart"/>
      <w:r w:rsidRPr="0030562D">
        <w:rPr>
          <w:rFonts w:ascii="Arial" w:hAnsi="Arial" w:cs="Arial"/>
          <w:i/>
          <w:iCs/>
          <w:sz w:val="20"/>
          <w:szCs w:val="20"/>
        </w:rPr>
        <w:t>Mandiri</w:t>
      </w:r>
      <w:proofErr w:type="spellEnd"/>
      <w:r w:rsidRPr="0030562D">
        <w:rPr>
          <w:rFonts w:ascii="Arial" w:hAnsi="Arial" w:cs="Arial"/>
          <w:i/>
          <w:iCs/>
          <w:sz w:val="20"/>
          <w:szCs w:val="20"/>
        </w:rPr>
        <w:t>)</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Mitra </w:t>
      </w:r>
      <w:proofErr w:type="spellStart"/>
      <w:r w:rsidRPr="0030562D">
        <w:rPr>
          <w:rFonts w:ascii="Arial" w:hAnsi="Arial" w:cs="Arial"/>
          <w:sz w:val="20"/>
          <w:szCs w:val="20"/>
        </w:rPr>
        <w:t>Manajemen</w:t>
      </w:r>
      <w:proofErr w:type="spellEnd"/>
      <w:r w:rsidRPr="0030562D">
        <w:rPr>
          <w:rFonts w:ascii="Arial" w:hAnsi="Arial" w:cs="Arial"/>
          <w:sz w:val="20"/>
          <w:szCs w:val="20"/>
        </w:rPr>
        <w:t xml:space="preserve"> (JMM Online). 4 (7). 1014-1024.</w:t>
      </w:r>
    </w:p>
    <w:p w14:paraId="433DBFF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Febriandika</w:t>
      </w:r>
      <w:proofErr w:type="spellEnd"/>
      <w:r w:rsidRPr="0030562D">
        <w:rPr>
          <w:rFonts w:ascii="Arial" w:hAnsi="Arial" w:cs="Arial"/>
          <w:sz w:val="20"/>
          <w:szCs w:val="20"/>
        </w:rPr>
        <w:t xml:space="preserve">, N. R., &amp; Hakimi, F (2023). </w:t>
      </w:r>
      <w:r w:rsidRPr="0030562D">
        <w:rPr>
          <w:rFonts w:ascii="Arial" w:hAnsi="Arial" w:cs="Arial"/>
          <w:i/>
          <w:iCs/>
          <w:sz w:val="20"/>
          <w:szCs w:val="20"/>
        </w:rPr>
        <w:t>Determinants of consumer adoption of Islamic mobile banking services in Indonesia.</w:t>
      </w:r>
      <w:r w:rsidRPr="0030562D">
        <w:rPr>
          <w:rFonts w:ascii="Arial" w:hAnsi="Arial" w:cs="Arial"/>
          <w:sz w:val="20"/>
          <w:szCs w:val="20"/>
        </w:rPr>
        <w:t xml:space="preserve"> Banks and Bank System, 18 (4), 30.</w:t>
      </w:r>
    </w:p>
    <w:p w14:paraId="32FAB17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Geteneh</w:t>
      </w:r>
      <w:proofErr w:type="spellEnd"/>
      <w:r w:rsidRPr="0030562D">
        <w:rPr>
          <w:rFonts w:ascii="Arial" w:hAnsi="Arial" w:cs="Arial"/>
          <w:sz w:val="20"/>
          <w:szCs w:val="20"/>
        </w:rPr>
        <w:t xml:space="preserve">, B (2022). </w:t>
      </w:r>
      <w:r w:rsidRPr="0030562D">
        <w:rPr>
          <w:rFonts w:ascii="Arial" w:hAnsi="Arial" w:cs="Arial"/>
          <w:i/>
          <w:iCs/>
          <w:sz w:val="20"/>
          <w:szCs w:val="20"/>
        </w:rPr>
        <w:t>The Impact of E-Banking System Implementation on Customer Retention : The Case of Berhan Bank SC North Shewa Zone Branches</w:t>
      </w:r>
      <w:r w:rsidRPr="0030562D">
        <w:rPr>
          <w:rFonts w:ascii="Arial" w:hAnsi="Arial" w:cs="Arial"/>
          <w:sz w:val="20"/>
          <w:szCs w:val="20"/>
        </w:rPr>
        <w:t>. College of Business and Economics, Debre Berhan University.</w:t>
      </w:r>
    </w:p>
    <w:p w14:paraId="5677CFD1"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Gronroos, C. 2007. </w:t>
      </w:r>
      <w:r w:rsidRPr="0030562D">
        <w:rPr>
          <w:rFonts w:ascii="Arial" w:hAnsi="Arial" w:cs="Arial"/>
          <w:i/>
          <w:iCs/>
          <w:sz w:val="20"/>
          <w:szCs w:val="20"/>
        </w:rPr>
        <w:t>Service Management and Marketing : Customer Management in Service Competition</w:t>
      </w:r>
      <w:r w:rsidRPr="0030562D">
        <w:rPr>
          <w:rFonts w:ascii="Arial" w:hAnsi="Arial" w:cs="Arial"/>
          <w:sz w:val="20"/>
          <w:szCs w:val="20"/>
        </w:rPr>
        <w:t>. (3</w:t>
      </w:r>
      <w:r w:rsidRPr="0030562D">
        <w:rPr>
          <w:rFonts w:ascii="Arial" w:hAnsi="Arial" w:cs="Arial"/>
          <w:sz w:val="20"/>
          <w:szCs w:val="20"/>
          <w:vertAlign w:val="superscript"/>
        </w:rPr>
        <w:t xml:space="preserve">nd </w:t>
      </w:r>
      <w:r w:rsidRPr="0030562D">
        <w:rPr>
          <w:rFonts w:ascii="Arial" w:hAnsi="Arial" w:cs="Arial"/>
          <w:sz w:val="20"/>
          <w:szCs w:val="20"/>
        </w:rPr>
        <w:t>ed.) Chichester: John Wiley and Sons Ltd.</w:t>
      </w:r>
    </w:p>
    <w:p w14:paraId="4D6C62BC" w14:textId="77777777" w:rsidR="00B57C68" w:rsidRPr="0030562D" w:rsidRDefault="00B57C68" w:rsidP="00B57C68">
      <w:pPr>
        <w:pStyle w:val="ListParagraph"/>
        <w:numPr>
          <w:ilvl w:val="0"/>
          <w:numId w:val="14"/>
        </w:numPr>
        <w:ind w:left="426" w:hanging="426"/>
        <w:rPr>
          <w:rFonts w:ascii="Arial" w:hAnsi="Arial" w:cs="Arial"/>
          <w:sz w:val="20"/>
          <w:szCs w:val="20"/>
        </w:rPr>
      </w:pPr>
      <w:proofErr w:type="spellStart"/>
      <w:r w:rsidRPr="0030562D">
        <w:rPr>
          <w:rFonts w:ascii="Arial" w:hAnsi="Arial" w:cs="Arial"/>
          <w:sz w:val="20"/>
          <w:szCs w:val="20"/>
        </w:rPr>
        <w:t>Gyebi</w:t>
      </w:r>
      <w:proofErr w:type="spellEnd"/>
      <w:r w:rsidRPr="0030562D">
        <w:rPr>
          <w:rFonts w:ascii="Arial" w:hAnsi="Arial" w:cs="Arial"/>
          <w:sz w:val="20"/>
          <w:szCs w:val="20"/>
        </w:rPr>
        <w:t xml:space="preserve">-Sampson </w:t>
      </w:r>
      <w:proofErr w:type="spellStart"/>
      <w:r w:rsidRPr="0030562D">
        <w:rPr>
          <w:rFonts w:ascii="Arial" w:hAnsi="Arial" w:cs="Arial"/>
          <w:sz w:val="20"/>
          <w:szCs w:val="20"/>
        </w:rPr>
        <w:t>Wireko</w:t>
      </w:r>
      <w:proofErr w:type="spellEnd"/>
      <w:r w:rsidRPr="0030562D">
        <w:rPr>
          <w:rFonts w:ascii="Arial" w:hAnsi="Arial" w:cs="Arial"/>
          <w:sz w:val="20"/>
          <w:szCs w:val="20"/>
        </w:rPr>
        <w:t xml:space="preserve"> </w:t>
      </w:r>
      <w:r w:rsidRPr="0030562D">
        <w:rPr>
          <w:rFonts w:ascii="Arial" w:hAnsi="Arial" w:cs="Arial"/>
          <w:i/>
          <w:iCs/>
          <w:sz w:val="20"/>
          <w:szCs w:val="20"/>
        </w:rPr>
        <w:t>et al.</w:t>
      </w:r>
      <w:r w:rsidRPr="0030562D">
        <w:rPr>
          <w:rFonts w:ascii="Arial" w:hAnsi="Arial" w:cs="Arial"/>
          <w:sz w:val="20"/>
          <w:szCs w:val="20"/>
        </w:rPr>
        <w:t xml:space="preserve"> 2024.</w:t>
      </w:r>
      <w:r w:rsidRPr="0030562D">
        <w:rPr>
          <w:rFonts w:ascii="Arial" w:hAnsi="Arial" w:cs="Arial"/>
          <w:i/>
          <w:iCs/>
          <w:sz w:val="20"/>
          <w:szCs w:val="20"/>
        </w:rPr>
        <w:t xml:space="preserve"> Service quality, satisfaction and loyalty among sharing economy vehicle users</w:t>
      </w:r>
      <w:r w:rsidRPr="0030562D">
        <w:rPr>
          <w:rFonts w:ascii="Arial" w:hAnsi="Arial" w:cs="Arial"/>
          <w:sz w:val="20"/>
          <w:szCs w:val="20"/>
        </w:rPr>
        <w:t xml:space="preserve">. Cogent Social Science. Vol 10, No.1, 2327130. </w:t>
      </w:r>
    </w:p>
    <w:p w14:paraId="5214B005"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Gera, R. (2011), </w:t>
      </w:r>
      <w:r w:rsidRPr="0030562D">
        <w:rPr>
          <w:rFonts w:ascii="Arial" w:hAnsi="Arial" w:cs="Arial"/>
          <w:i/>
          <w:iCs/>
          <w:sz w:val="20"/>
          <w:szCs w:val="20"/>
        </w:rPr>
        <w:t xml:space="preserve">“Modelling E-service quality and its consequences in India: a SEM approach”,  </w:t>
      </w:r>
      <w:r w:rsidRPr="0030562D">
        <w:rPr>
          <w:rFonts w:ascii="Arial" w:hAnsi="Arial" w:cs="Arial"/>
          <w:sz w:val="20"/>
          <w:szCs w:val="20"/>
        </w:rPr>
        <w:t>Journal of Research in Interactive Marketing, Vol. 5 No. 2, pp. 203-225.</w:t>
      </w:r>
    </w:p>
    <w:p w14:paraId="7EB194F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Haider, A., Khan, M. A., Khoja, M., Alharthi, S., &amp; Minhaj, S. M. 2024. </w:t>
      </w:r>
      <w:r w:rsidRPr="0030562D">
        <w:rPr>
          <w:rFonts w:ascii="Arial" w:hAnsi="Arial" w:cs="Arial"/>
          <w:i/>
          <w:iCs/>
          <w:sz w:val="20"/>
          <w:szCs w:val="20"/>
        </w:rPr>
        <w:t>The role of e-banking, mobile banking, and e-wallet with response to e-payment and customer trust as a mediating factor using a structural equation modelling approach</w:t>
      </w:r>
      <w:r w:rsidRPr="0030562D">
        <w:rPr>
          <w:rFonts w:ascii="Arial" w:hAnsi="Arial" w:cs="Arial"/>
          <w:sz w:val="20"/>
          <w:szCs w:val="20"/>
        </w:rPr>
        <w:t>. J. Infrastructure, Policy Dev, 8(9), 6644.</w:t>
      </w:r>
    </w:p>
    <w:p w14:paraId="7DACD02C"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Hair, J. F., &amp; </w:t>
      </w:r>
      <w:proofErr w:type="spellStart"/>
      <w:r w:rsidRPr="0030562D">
        <w:rPr>
          <w:rFonts w:ascii="Arial" w:hAnsi="Arial" w:cs="Arial"/>
          <w:sz w:val="20"/>
          <w:szCs w:val="20"/>
        </w:rPr>
        <w:t>Brunsveld</w:t>
      </w:r>
      <w:proofErr w:type="spellEnd"/>
      <w:r w:rsidRPr="0030562D">
        <w:rPr>
          <w:rFonts w:ascii="Arial" w:hAnsi="Arial" w:cs="Arial"/>
          <w:sz w:val="20"/>
          <w:szCs w:val="20"/>
        </w:rPr>
        <w:t xml:space="preserve">, N. (2019). </w:t>
      </w:r>
      <w:r w:rsidRPr="0030562D">
        <w:rPr>
          <w:rFonts w:ascii="Arial" w:hAnsi="Arial" w:cs="Arial"/>
          <w:i/>
          <w:iCs/>
          <w:sz w:val="20"/>
          <w:szCs w:val="20"/>
        </w:rPr>
        <w:t>Essentials of Business Research Methods.</w:t>
      </w:r>
      <w:r w:rsidRPr="0030562D">
        <w:rPr>
          <w:rFonts w:ascii="Arial" w:hAnsi="Arial" w:cs="Arial"/>
          <w:sz w:val="20"/>
          <w:szCs w:val="20"/>
        </w:rPr>
        <w:t xml:space="preserve"> In Essentials of Business Research Methods. Routledge. https: //doi.org/10.4324/9780429203374</w:t>
      </w:r>
    </w:p>
    <w:p w14:paraId="69BB1F5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Hair, J.F., Risher, J.J. Sarstedt, M., &amp; Ringle, C.M (2019). </w:t>
      </w:r>
      <w:r w:rsidRPr="0030562D">
        <w:rPr>
          <w:rFonts w:ascii="Arial" w:hAnsi="Arial" w:cs="Arial"/>
          <w:i/>
          <w:iCs/>
          <w:sz w:val="20"/>
          <w:szCs w:val="20"/>
        </w:rPr>
        <w:t>When to use and how to report the result of PLS-SEM. European Business Review</w:t>
      </w:r>
      <w:r w:rsidRPr="0030562D">
        <w:rPr>
          <w:rFonts w:ascii="Arial" w:hAnsi="Arial" w:cs="Arial"/>
          <w:sz w:val="20"/>
          <w:szCs w:val="20"/>
        </w:rPr>
        <w:t>. 31 (1), 2-24. https.//doi.org/10.1108/EBR-11-2018-0203.</w:t>
      </w:r>
    </w:p>
    <w:p w14:paraId="4AAE5A72" w14:textId="77777777" w:rsidR="00B57C68" w:rsidRPr="0030562D" w:rsidRDefault="00B57C68" w:rsidP="00B57C68">
      <w:pPr>
        <w:pStyle w:val="ListParagraph"/>
        <w:numPr>
          <w:ilvl w:val="0"/>
          <w:numId w:val="14"/>
        </w:numPr>
        <w:ind w:left="426" w:hanging="426"/>
        <w:jc w:val="both"/>
        <w:rPr>
          <w:rFonts w:ascii="Arial" w:hAnsi="Arial" w:cs="Arial"/>
          <w:i/>
          <w:iCs/>
          <w:sz w:val="20"/>
          <w:szCs w:val="20"/>
        </w:rPr>
      </w:pPr>
      <w:r w:rsidRPr="0030562D">
        <w:rPr>
          <w:rFonts w:ascii="Arial" w:hAnsi="Arial" w:cs="Arial"/>
          <w:sz w:val="20"/>
          <w:szCs w:val="20"/>
        </w:rPr>
        <w:t xml:space="preserve">Hair. J.F., Hult, G. T.M., Ringle, C.M., &amp; Sarstedt, M. (2022). </w:t>
      </w:r>
      <w:r w:rsidRPr="0030562D">
        <w:rPr>
          <w:rFonts w:ascii="Arial" w:hAnsi="Arial" w:cs="Arial"/>
          <w:i/>
          <w:iCs/>
          <w:sz w:val="20"/>
          <w:szCs w:val="20"/>
        </w:rPr>
        <w:t>A Primer on Partial Least Squares Structural Equation Modeling (PLS-SEM) Third Edition.</w:t>
      </w:r>
    </w:p>
    <w:p w14:paraId="1DD09B5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Hammoud</w:t>
      </w:r>
      <w:proofErr w:type="spellEnd"/>
      <w:r w:rsidRPr="0030562D">
        <w:rPr>
          <w:rFonts w:ascii="Arial" w:hAnsi="Arial" w:cs="Arial"/>
          <w:sz w:val="20"/>
          <w:szCs w:val="20"/>
        </w:rPr>
        <w:t xml:space="preserve">, Jamil, Rima </w:t>
      </w:r>
      <w:proofErr w:type="spellStart"/>
      <w:r w:rsidRPr="0030562D">
        <w:rPr>
          <w:rFonts w:ascii="Arial" w:hAnsi="Arial" w:cs="Arial"/>
          <w:sz w:val="20"/>
          <w:szCs w:val="20"/>
        </w:rPr>
        <w:t>M.Bizri</w:t>
      </w:r>
      <w:proofErr w:type="spellEnd"/>
      <w:r w:rsidRPr="0030562D">
        <w:rPr>
          <w:rFonts w:ascii="Arial" w:hAnsi="Arial" w:cs="Arial"/>
          <w:sz w:val="20"/>
          <w:szCs w:val="20"/>
        </w:rPr>
        <w:t xml:space="preserve">, and Ibrahim El Baba. </w:t>
      </w:r>
      <w:r w:rsidRPr="0030562D">
        <w:rPr>
          <w:rFonts w:ascii="Arial" w:hAnsi="Arial" w:cs="Arial"/>
          <w:i/>
          <w:iCs/>
          <w:sz w:val="20"/>
          <w:szCs w:val="20"/>
        </w:rPr>
        <w:t>The impact of e-banking service quality on customer satisfaction : Evidence from the Lebanese banking sector</w:t>
      </w:r>
      <w:r w:rsidRPr="0030562D">
        <w:rPr>
          <w:rFonts w:ascii="Arial" w:hAnsi="Arial" w:cs="Arial"/>
          <w:sz w:val="20"/>
          <w:szCs w:val="20"/>
        </w:rPr>
        <w:t>. Sage Open 8.3 (2018) : 258244018790633.</w:t>
      </w:r>
    </w:p>
    <w:p w14:paraId="66E3F680" w14:textId="77777777" w:rsidR="00B57C68" w:rsidRPr="0030562D" w:rsidRDefault="00B57C68" w:rsidP="00B57C68">
      <w:pPr>
        <w:pStyle w:val="ListParagraph"/>
        <w:numPr>
          <w:ilvl w:val="0"/>
          <w:numId w:val="14"/>
        </w:numPr>
        <w:ind w:left="426" w:right="-46" w:hanging="426"/>
        <w:rPr>
          <w:rFonts w:ascii="Arial" w:hAnsi="Arial" w:cs="Arial"/>
          <w:sz w:val="20"/>
          <w:szCs w:val="20"/>
        </w:rPr>
      </w:pPr>
      <w:r w:rsidRPr="0030562D">
        <w:rPr>
          <w:rFonts w:ascii="Arial" w:hAnsi="Arial" w:cs="Arial"/>
          <w:sz w:val="20"/>
          <w:szCs w:val="20"/>
        </w:rPr>
        <w:t xml:space="preserve">Harris, Matt, </w:t>
      </w:r>
      <w:r w:rsidRPr="0030562D">
        <w:rPr>
          <w:rFonts w:ascii="Arial" w:hAnsi="Arial" w:cs="Arial"/>
          <w:i/>
          <w:iCs/>
          <w:sz w:val="20"/>
          <w:szCs w:val="20"/>
        </w:rPr>
        <w:t>et al</w:t>
      </w:r>
      <w:r w:rsidRPr="0030562D">
        <w:rPr>
          <w:rFonts w:ascii="Arial" w:hAnsi="Arial" w:cs="Arial"/>
          <w:sz w:val="20"/>
          <w:szCs w:val="20"/>
        </w:rPr>
        <w:t xml:space="preserve">. 2023. </w:t>
      </w:r>
      <w:r w:rsidRPr="0030562D">
        <w:rPr>
          <w:rFonts w:ascii="Arial" w:hAnsi="Arial" w:cs="Arial"/>
          <w:i/>
          <w:iCs/>
          <w:sz w:val="20"/>
          <w:szCs w:val="20"/>
        </w:rPr>
        <w:t>Embedded Finance : What it takes to prosper in the new value chain.</w:t>
      </w:r>
      <w:r w:rsidRPr="0030562D">
        <w:rPr>
          <w:rFonts w:ascii="Arial" w:hAnsi="Arial" w:cs="Arial"/>
          <w:sz w:val="20"/>
          <w:szCs w:val="20"/>
        </w:rPr>
        <w:t xml:space="preserve"> Bain &amp;Co A</w:t>
      </w:r>
      <w:r w:rsidRPr="0030562D">
        <w:rPr>
          <w:rFonts w:ascii="Arial" w:hAnsi="Arial" w:cs="Arial"/>
          <w:color w:val="222222"/>
          <w:sz w:val="20"/>
          <w:szCs w:val="20"/>
          <w:shd w:val="clear" w:color="auto" w:fill="FFFFFF"/>
        </w:rPr>
        <w:t>vailable at https://www.bain.com/contentassets/a5ad904e61324de88b62707de879f174/bain_brief_ embedded-finance. pdf . (accessed 23rd April, 2023) (2022)</w:t>
      </w:r>
    </w:p>
    <w:p w14:paraId="5274788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Hur</w:t>
      </w:r>
      <w:proofErr w:type="spellEnd"/>
      <w:r w:rsidRPr="0030562D">
        <w:rPr>
          <w:rFonts w:ascii="Arial" w:hAnsi="Arial" w:cs="Arial"/>
          <w:sz w:val="20"/>
          <w:szCs w:val="20"/>
        </w:rPr>
        <w:t xml:space="preserve">, </w:t>
      </w:r>
      <w:proofErr w:type="spellStart"/>
      <w:r w:rsidRPr="0030562D">
        <w:rPr>
          <w:rFonts w:ascii="Arial" w:hAnsi="Arial" w:cs="Arial"/>
          <w:sz w:val="20"/>
          <w:szCs w:val="20"/>
        </w:rPr>
        <w:t>Youngjin</w:t>
      </w:r>
      <w:proofErr w:type="spellEnd"/>
      <w:r w:rsidRPr="0030562D">
        <w:rPr>
          <w:rFonts w:ascii="Arial" w:hAnsi="Arial" w:cs="Arial"/>
          <w:sz w:val="20"/>
          <w:szCs w:val="20"/>
        </w:rPr>
        <w:t xml:space="preserve">, Yong Jae Ko, and Joseph </w:t>
      </w:r>
      <w:proofErr w:type="spellStart"/>
      <w:r w:rsidRPr="0030562D">
        <w:rPr>
          <w:rFonts w:ascii="Arial" w:hAnsi="Arial" w:cs="Arial"/>
          <w:sz w:val="20"/>
          <w:szCs w:val="20"/>
        </w:rPr>
        <w:t>Valacich</w:t>
      </w:r>
      <w:proofErr w:type="spellEnd"/>
      <w:r w:rsidRPr="0030562D">
        <w:rPr>
          <w:rFonts w:ascii="Arial" w:hAnsi="Arial" w:cs="Arial"/>
          <w:sz w:val="20"/>
          <w:szCs w:val="20"/>
        </w:rPr>
        <w:t xml:space="preserve">. 2011. </w:t>
      </w:r>
      <w:r w:rsidRPr="0030562D">
        <w:rPr>
          <w:rFonts w:ascii="Arial" w:hAnsi="Arial" w:cs="Arial"/>
          <w:i/>
          <w:iCs/>
          <w:sz w:val="20"/>
          <w:szCs w:val="20"/>
        </w:rPr>
        <w:t>A Structural model of the relationships between sport website quality, e-satisfaction, and e-loyalty</w:t>
      </w:r>
      <w:r w:rsidRPr="0030562D">
        <w:rPr>
          <w:rFonts w:ascii="Arial" w:hAnsi="Arial" w:cs="Arial"/>
          <w:sz w:val="20"/>
          <w:szCs w:val="20"/>
        </w:rPr>
        <w:t>. Journal of sport management 25.5: 458-473.</w:t>
      </w:r>
    </w:p>
    <w:p w14:paraId="594169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Hwang, H., Malhotra, N. K., Kim, Y., </w:t>
      </w:r>
      <w:proofErr w:type="spellStart"/>
      <w:r w:rsidRPr="0030562D">
        <w:rPr>
          <w:rFonts w:ascii="Arial" w:hAnsi="Arial" w:cs="Arial"/>
          <w:sz w:val="20"/>
          <w:szCs w:val="20"/>
        </w:rPr>
        <w:t>Tomiuk</w:t>
      </w:r>
      <w:proofErr w:type="spellEnd"/>
      <w:r w:rsidRPr="0030562D">
        <w:rPr>
          <w:rFonts w:ascii="Arial" w:hAnsi="Arial" w:cs="Arial"/>
          <w:sz w:val="20"/>
          <w:szCs w:val="20"/>
        </w:rPr>
        <w:t xml:space="preserve">, M. A., &amp; Hong, S. (2010). A comparative study on parameter recovery of three approaches to structural equation modeling. </w:t>
      </w:r>
      <w:r w:rsidRPr="0030562D">
        <w:rPr>
          <w:rFonts w:ascii="Arial" w:hAnsi="Arial" w:cs="Arial"/>
          <w:i/>
          <w:iCs/>
          <w:sz w:val="20"/>
          <w:szCs w:val="20"/>
        </w:rPr>
        <w:t>Journal of Marketing Research</w:t>
      </w:r>
      <w:r w:rsidRPr="0030562D">
        <w:rPr>
          <w:rFonts w:ascii="Arial" w:hAnsi="Arial" w:cs="Arial"/>
          <w:sz w:val="20"/>
          <w:szCs w:val="20"/>
        </w:rPr>
        <w:t xml:space="preserve">, </w:t>
      </w:r>
      <w:r w:rsidRPr="0030562D">
        <w:rPr>
          <w:rFonts w:ascii="Arial" w:hAnsi="Arial" w:cs="Arial"/>
          <w:i/>
          <w:iCs/>
          <w:sz w:val="20"/>
          <w:szCs w:val="20"/>
        </w:rPr>
        <w:t>47</w:t>
      </w:r>
      <w:r w:rsidRPr="0030562D">
        <w:rPr>
          <w:rFonts w:ascii="Arial" w:hAnsi="Arial" w:cs="Arial"/>
          <w:sz w:val="20"/>
          <w:szCs w:val="20"/>
        </w:rPr>
        <w:t>(4), 699–712. https://doi.org/10.1509/jmkr.47.4.699</w:t>
      </w:r>
    </w:p>
    <w:p w14:paraId="3D86A59D"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Khan, F. N. Arshad, M.U., &amp; Munir, M.(2023). </w:t>
      </w:r>
      <w:r w:rsidRPr="0030562D">
        <w:rPr>
          <w:rFonts w:ascii="Arial" w:hAnsi="Arial" w:cs="Arial"/>
          <w:i/>
          <w:iCs/>
          <w:sz w:val="20"/>
          <w:szCs w:val="20"/>
        </w:rPr>
        <w:t>Impact of e-service quality on e-loyalty of online banking customers in Pakistan during the Covid-19 pandemic: mediating role of e-satisfaction</w:t>
      </w:r>
      <w:r w:rsidRPr="0030562D">
        <w:rPr>
          <w:rFonts w:ascii="Arial" w:hAnsi="Arial" w:cs="Arial"/>
          <w:sz w:val="20"/>
          <w:szCs w:val="20"/>
        </w:rPr>
        <w:t>. Future Business Journal, 9(1), 23.</w:t>
      </w:r>
    </w:p>
    <w:p w14:paraId="718C549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lastRenderedPageBreak/>
        <w:t xml:space="preserve">Kheng, L. L., Mahamad, O., &amp; Ramayah, T. (2010). </w:t>
      </w:r>
      <w:r w:rsidRPr="0030562D">
        <w:rPr>
          <w:rFonts w:ascii="Arial" w:hAnsi="Arial" w:cs="Arial"/>
          <w:i/>
          <w:iCs/>
          <w:sz w:val="20"/>
          <w:szCs w:val="20"/>
        </w:rPr>
        <w:t xml:space="preserve">The impact of service quality on customer loyalty: A study of banks in Penang, Malaysia. </w:t>
      </w:r>
      <w:r w:rsidRPr="0030562D">
        <w:rPr>
          <w:rFonts w:ascii="Arial" w:hAnsi="Arial" w:cs="Arial"/>
          <w:sz w:val="20"/>
          <w:szCs w:val="20"/>
        </w:rPr>
        <w:t>International Journal of Marketing studies, 2(2), 57.</w:t>
      </w:r>
    </w:p>
    <w:p w14:paraId="2F954B6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Kumbasar</w:t>
      </w:r>
      <w:proofErr w:type="spellEnd"/>
      <w:r w:rsidRPr="0030562D">
        <w:rPr>
          <w:rFonts w:ascii="Arial" w:hAnsi="Arial" w:cs="Arial"/>
          <w:sz w:val="20"/>
          <w:szCs w:val="20"/>
        </w:rPr>
        <w:t xml:space="preserve">, </w:t>
      </w:r>
      <w:proofErr w:type="spellStart"/>
      <w:r w:rsidRPr="0030562D">
        <w:rPr>
          <w:rFonts w:ascii="Arial" w:hAnsi="Arial" w:cs="Arial"/>
          <w:sz w:val="20"/>
          <w:szCs w:val="20"/>
        </w:rPr>
        <w:t>Sumeyra</w:t>
      </w:r>
      <w:proofErr w:type="spellEnd"/>
      <w:r w:rsidRPr="0030562D">
        <w:rPr>
          <w:rFonts w:ascii="Arial" w:hAnsi="Arial" w:cs="Arial"/>
          <w:sz w:val="20"/>
          <w:szCs w:val="20"/>
        </w:rPr>
        <w:t xml:space="preserve">. 2024. </w:t>
      </w:r>
      <w:r w:rsidRPr="0030562D">
        <w:rPr>
          <w:rFonts w:ascii="Arial" w:hAnsi="Arial" w:cs="Arial"/>
          <w:i/>
          <w:iCs/>
          <w:sz w:val="20"/>
          <w:szCs w:val="20"/>
        </w:rPr>
        <w:t>Two-Factor Authentication and Responsiveness Issues in Mobile Banking</w:t>
      </w:r>
      <w:r w:rsidRPr="0030562D">
        <w:rPr>
          <w:rFonts w:ascii="Arial" w:hAnsi="Arial" w:cs="Arial"/>
          <w:sz w:val="20"/>
          <w:szCs w:val="20"/>
        </w:rPr>
        <w:t>. Istanbul Technical University.</w:t>
      </w:r>
    </w:p>
    <w:p w14:paraId="0D7A19F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M.G.A. Gavilanes, H.A.R. Sanchez, F.B.S. Enrique &amp; A.Y.E. Henry, </w:t>
      </w:r>
      <w:proofErr w:type="spellStart"/>
      <w:r w:rsidRPr="0030562D">
        <w:rPr>
          <w:rFonts w:ascii="Arial" w:hAnsi="Arial" w:cs="Arial"/>
          <w:sz w:val="20"/>
          <w:szCs w:val="20"/>
        </w:rPr>
        <w:t>MsC</w:t>
      </w:r>
      <w:proofErr w:type="spellEnd"/>
      <w:r w:rsidRPr="0030562D">
        <w:rPr>
          <w:rFonts w:ascii="Arial" w:hAnsi="Arial" w:cs="Arial"/>
          <w:sz w:val="20"/>
          <w:szCs w:val="20"/>
        </w:rPr>
        <w:t>. (2023</w:t>
      </w:r>
      <w:r w:rsidRPr="0030562D">
        <w:rPr>
          <w:rFonts w:ascii="Arial" w:hAnsi="Arial" w:cs="Arial"/>
          <w:i/>
          <w:iCs/>
          <w:sz w:val="20"/>
          <w:szCs w:val="20"/>
        </w:rPr>
        <w:t>). Customer Satisfaction In Mobile Banking : A Literature Review Of Key Factors</w:t>
      </w:r>
      <w:r w:rsidRPr="0030562D">
        <w:rPr>
          <w:rFonts w:ascii="Arial" w:hAnsi="Arial" w:cs="Arial"/>
          <w:sz w:val="20"/>
          <w:szCs w:val="20"/>
        </w:rPr>
        <w:t>. Remittances Review. 8(4). 1466-1478.</w:t>
      </w:r>
    </w:p>
    <w:p w14:paraId="2042DC05"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Matlala NP. 2024. </w:t>
      </w:r>
      <w:r w:rsidRPr="0030562D">
        <w:rPr>
          <w:rFonts w:ascii="Arial" w:hAnsi="Arial" w:cs="Arial"/>
          <w:i/>
          <w:iCs/>
          <w:sz w:val="20"/>
          <w:szCs w:val="20"/>
        </w:rPr>
        <w:t xml:space="preserve">Consumer </w:t>
      </w:r>
      <w:proofErr w:type="spellStart"/>
      <w:r w:rsidRPr="0030562D">
        <w:rPr>
          <w:rFonts w:ascii="Arial" w:hAnsi="Arial" w:cs="Arial"/>
          <w:i/>
          <w:iCs/>
          <w:sz w:val="20"/>
          <w:szCs w:val="20"/>
        </w:rPr>
        <w:t>behaviour</w:t>
      </w:r>
      <w:proofErr w:type="spellEnd"/>
      <w:r w:rsidRPr="0030562D">
        <w:rPr>
          <w:rFonts w:ascii="Arial" w:hAnsi="Arial" w:cs="Arial"/>
          <w:i/>
          <w:iCs/>
          <w:sz w:val="20"/>
          <w:szCs w:val="20"/>
        </w:rPr>
        <w:t xml:space="preserve"> towards the adoption of digital banking channels.</w:t>
      </w:r>
      <w:r w:rsidRPr="0030562D">
        <w:rPr>
          <w:rFonts w:ascii="Arial" w:hAnsi="Arial" w:cs="Arial"/>
          <w:sz w:val="20"/>
          <w:szCs w:val="20"/>
        </w:rPr>
        <w:t xml:space="preserve"> Consumer Research </w:t>
      </w:r>
      <w:proofErr w:type="spellStart"/>
      <w:r w:rsidRPr="0030562D">
        <w:rPr>
          <w:rFonts w:ascii="Arial" w:hAnsi="Arial" w:cs="Arial"/>
          <w:sz w:val="20"/>
          <w:szCs w:val="20"/>
        </w:rPr>
        <w:t>Behaviour</w:t>
      </w:r>
      <w:proofErr w:type="spellEnd"/>
      <w:r w:rsidRPr="0030562D">
        <w:rPr>
          <w:rFonts w:ascii="Arial" w:hAnsi="Arial" w:cs="Arial"/>
          <w:sz w:val="20"/>
          <w:szCs w:val="20"/>
        </w:rPr>
        <w:t xml:space="preserve"> Review. 8 (1).</w:t>
      </w:r>
    </w:p>
    <w:p w14:paraId="3FFF63A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Mohapatra A.B &amp; Bahera, M.K. 2023. </w:t>
      </w:r>
      <w:r w:rsidRPr="0030562D">
        <w:rPr>
          <w:rFonts w:ascii="Arial" w:hAnsi="Arial" w:cs="Arial"/>
          <w:i/>
          <w:iCs/>
          <w:sz w:val="20"/>
          <w:szCs w:val="20"/>
        </w:rPr>
        <w:t xml:space="preserve">Assessing the Service Quality of Banks by a Modified </w:t>
      </w:r>
      <w:proofErr w:type="spellStart"/>
      <w:r w:rsidRPr="0030562D">
        <w:rPr>
          <w:rFonts w:ascii="Arial" w:hAnsi="Arial" w:cs="Arial"/>
          <w:i/>
          <w:iCs/>
          <w:sz w:val="20"/>
          <w:szCs w:val="20"/>
        </w:rPr>
        <w:t>Servqual</w:t>
      </w:r>
      <w:proofErr w:type="spellEnd"/>
      <w:r w:rsidRPr="0030562D">
        <w:rPr>
          <w:rFonts w:ascii="Arial" w:hAnsi="Arial" w:cs="Arial"/>
          <w:i/>
          <w:iCs/>
          <w:sz w:val="20"/>
          <w:szCs w:val="20"/>
        </w:rPr>
        <w:t xml:space="preserve"> Model. </w:t>
      </w:r>
      <w:proofErr w:type="spellStart"/>
      <w:r w:rsidRPr="0030562D">
        <w:rPr>
          <w:rFonts w:ascii="Arial" w:hAnsi="Arial" w:cs="Arial"/>
          <w:sz w:val="20"/>
          <w:szCs w:val="20"/>
        </w:rPr>
        <w:t>BimaQuest</w:t>
      </w:r>
      <w:proofErr w:type="spellEnd"/>
      <w:r w:rsidRPr="0030562D">
        <w:rPr>
          <w:rFonts w:ascii="Arial" w:hAnsi="Arial" w:cs="Arial"/>
          <w:sz w:val="20"/>
          <w:szCs w:val="20"/>
        </w:rPr>
        <w:t xml:space="preserve">: The Journal of Insurance &amp; Management, 23(3). </w:t>
      </w:r>
    </w:p>
    <w:p w14:paraId="439E4A6B" w14:textId="77777777" w:rsidR="00B57C68" w:rsidRPr="0030562D" w:rsidRDefault="00B57C68" w:rsidP="00B57C68">
      <w:pPr>
        <w:pStyle w:val="ListParagraph"/>
        <w:numPr>
          <w:ilvl w:val="0"/>
          <w:numId w:val="14"/>
        </w:numPr>
        <w:spacing w:line="360" w:lineRule="auto"/>
        <w:ind w:left="426" w:hanging="426"/>
        <w:jc w:val="both"/>
        <w:rPr>
          <w:rFonts w:ascii="Arial" w:hAnsi="Arial" w:cs="Arial"/>
          <w:sz w:val="20"/>
          <w:szCs w:val="20"/>
        </w:rPr>
      </w:pPr>
      <w:proofErr w:type="spellStart"/>
      <w:r w:rsidRPr="0030562D">
        <w:rPr>
          <w:rFonts w:ascii="Arial" w:hAnsi="Arial" w:cs="Arial"/>
          <w:sz w:val="20"/>
          <w:szCs w:val="20"/>
        </w:rPr>
        <w:t>Mohapotra</w:t>
      </w:r>
      <w:proofErr w:type="spellEnd"/>
      <w:r w:rsidRPr="0030562D">
        <w:rPr>
          <w:rFonts w:ascii="Arial" w:hAnsi="Arial" w:cs="Arial"/>
          <w:sz w:val="20"/>
          <w:szCs w:val="20"/>
        </w:rPr>
        <w:t xml:space="preserve">, N. (2023). </w:t>
      </w:r>
      <w:proofErr w:type="spellStart"/>
      <w:r w:rsidRPr="0030562D">
        <w:rPr>
          <w:rFonts w:ascii="Arial" w:hAnsi="Arial" w:cs="Arial"/>
          <w:sz w:val="20"/>
          <w:szCs w:val="20"/>
        </w:rPr>
        <w:t>Ïnsight</w:t>
      </w:r>
      <w:proofErr w:type="spellEnd"/>
      <w:r w:rsidRPr="0030562D">
        <w:rPr>
          <w:rFonts w:ascii="Arial" w:hAnsi="Arial" w:cs="Arial"/>
          <w:sz w:val="20"/>
          <w:szCs w:val="20"/>
        </w:rPr>
        <w:t xml:space="preserve"> into Customer behaviors in e-banking, “Wisdom Press.</w:t>
      </w:r>
    </w:p>
    <w:p w14:paraId="2A99BB6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Monferrer,D</w:t>
      </w:r>
      <w:proofErr w:type="spellEnd"/>
      <w:r w:rsidRPr="0030562D">
        <w:rPr>
          <w:rFonts w:ascii="Arial" w:hAnsi="Arial" w:cs="Arial"/>
          <w:sz w:val="20"/>
          <w:szCs w:val="20"/>
        </w:rPr>
        <w:t xml:space="preserve">., Moliner, MA, &amp; Estrada, M. 2019.  </w:t>
      </w:r>
      <w:proofErr w:type="spellStart"/>
      <w:r w:rsidRPr="0030562D">
        <w:rPr>
          <w:rFonts w:ascii="Arial" w:hAnsi="Arial" w:cs="Arial"/>
          <w:i/>
          <w:iCs/>
          <w:sz w:val="20"/>
          <w:szCs w:val="20"/>
        </w:rPr>
        <w:t>Meningkatkan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customer  engagement pada </w:t>
      </w:r>
      <w:proofErr w:type="spellStart"/>
      <w:r w:rsidRPr="0030562D">
        <w:rPr>
          <w:rFonts w:ascii="Arial" w:hAnsi="Arial" w:cs="Arial"/>
          <w:i/>
          <w:iCs/>
          <w:sz w:val="20"/>
          <w:szCs w:val="20"/>
        </w:rPr>
        <w:t>industri</w:t>
      </w:r>
      <w:proofErr w:type="spellEnd"/>
      <w:r w:rsidRPr="0030562D">
        <w:rPr>
          <w:rFonts w:ascii="Arial" w:hAnsi="Arial" w:cs="Arial"/>
          <w:i/>
          <w:iCs/>
          <w:sz w:val="20"/>
          <w:szCs w:val="20"/>
        </w:rPr>
        <w:t xml:space="preserve"> retail banking.</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Pemasaran</w:t>
      </w:r>
      <w:proofErr w:type="spellEnd"/>
      <w:r w:rsidRPr="0030562D">
        <w:rPr>
          <w:rFonts w:ascii="Arial" w:hAnsi="Arial" w:cs="Arial"/>
          <w:sz w:val="20"/>
          <w:szCs w:val="20"/>
        </w:rPr>
        <w:t xml:space="preserve"> </w:t>
      </w:r>
      <w:proofErr w:type="spellStart"/>
      <w:r w:rsidRPr="0030562D">
        <w:rPr>
          <w:rFonts w:ascii="Arial" w:hAnsi="Arial" w:cs="Arial"/>
          <w:sz w:val="20"/>
          <w:szCs w:val="20"/>
        </w:rPr>
        <w:t>Spanyol</w:t>
      </w:r>
      <w:proofErr w:type="spellEnd"/>
      <w:r w:rsidRPr="0030562D">
        <w:rPr>
          <w:rFonts w:ascii="Arial" w:hAnsi="Arial" w:cs="Arial"/>
          <w:sz w:val="20"/>
          <w:szCs w:val="20"/>
        </w:rPr>
        <w:t>-ESIC 23.3:461-484.</w:t>
      </w:r>
    </w:p>
    <w:p w14:paraId="66B7DBD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Mir, R., Rameez, N. &amp; Tahir, N. 2024. </w:t>
      </w:r>
      <w:r w:rsidRPr="0030562D">
        <w:rPr>
          <w:rFonts w:ascii="Arial" w:hAnsi="Arial" w:cs="Arial"/>
          <w:i/>
          <w:iCs/>
          <w:sz w:val="20"/>
          <w:szCs w:val="20"/>
        </w:rPr>
        <w:t xml:space="preserve">Measuring Internet Banking Service Quality: An Empirical Evidence. </w:t>
      </w:r>
      <w:r w:rsidRPr="0030562D">
        <w:rPr>
          <w:rFonts w:ascii="Arial" w:hAnsi="Arial" w:cs="Arial"/>
          <w:sz w:val="20"/>
          <w:szCs w:val="20"/>
        </w:rPr>
        <w:t>The TQM Journal, 2023, 35.2: 492-518.</w:t>
      </w:r>
    </w:p>
    <w:p w14:paraId="3679135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Muslim Amin. 2016. Internet banking service quality and its implication on e-customer satisfaction and e-customer loyalty. International Journal of Banking Marketing. Vol.34 </w:t>
      </w:r>
      <w:proofErr w:type="spellStart"/>
      <w:r w:rsidRPr="0030562D">
        <w:rPr>
          <w:rFonts w:ascii="Arial" w:hAnsi="Arial" w:cs="Arial"/>
          <w:sz w:val="20"/>
          <w:szCs w:val="20"/>
        </w:rPr>
        <w:t>Iss</w:t>
      </w:r>
      <w:proofErr w:type="spellEnd"/>
      <w:r w:rsidRPr="0030562D">
        <w:rPr>
          <w:rFonts w:ascii="Arial" w:hAnsi="Arial" w:cs="Arial"/>
          <w:sz w:val="20"/>
          <w:szCs w:val="20"/>
        </w:rPr>
        <w:t xml:space="preserve"> 3 pp. 280-306. http://dx.doi.org/10.1108/IJBM-10-2014-0139</w:t>
      </w:r>
    </w:p>
    <w:p w14:paraId="5DE76A0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Nguyen Quoc Huy, Lu Phi Nga &amp; Phan Thanh Tam. (2023). </w:t>
      </w:r>
      <w:r w:rsidRPr="0030562D">
        <w:rPr>
          <w:rFonts w:ascii="Arial" w:hAnsi="Arial" w:cs="Arial"/>
          <w:i/>
          <w:iCs/>
          <w:sz w:val="20"/>
          <w:szCs w:val="20"/>
        </w:rPr>
        <w:t>Applying Structural Equation Modeling for Accessing Mobile Banking Service Quality and Customer Satisfaction : A Case Study in Vietnam.</w:t>
      </w:r>
      <w:r w:rsidRPr="0030562D">
        <w:rPr>
          <w:rFonts w:ascii="Arial" w:hAnsi="Arial" w:cs="Arial"/>
          <w:sz w:val="20"/>
          <w:szCs w:val="20"/>
        </w:rPr>
        <w:t xml:space="preserve"> Journal of Applied Data Sciences. 4 (4). 346-362.</w:t>
      </w:r>
    </w:p>
    <w:p w14:paraId="11DACF8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Parasuraman, </w:t>
      </w:r>
      <w:proofErr w:type="spellStart"/>
      <w:r w:rsidRPr="0030562D">
        <w:rPr>
          <w:rFonts w:ascii="Arial" w:hAnsi="Arial" w:cs="Arial"/>
          <w:sz w:val="20"/>
          <w:szCs w:val="20"/>
        </w:rPr>
        <w:t>A.Zeithaml</w:t>
      </w:r>
      <w:proofErr w:type="spellEnd"/>
      <w:r w:rsidRPr="0030562D">
        <w:rPr>
          <w:rFonts w:ascii="Arial" w:hAnsi="Arial" w:cs="Arial"/>
          <w:sz w:val="20"/>
          <w:szCs w:val="20"/>
        </w:rPr>
        <w:t xml:space="preserve"> VA &amp; Berry LL.1988.  </w:t>
      </w:r>
      <w:r w:rsidRPr="0030562D">
        <w:rPr>
          <w:rFonts w:ascii="Arial" w:hAnsi="Arial" w:cs="Arial"/>
          <w:i/>
          <w:iCs/>
          <w:sz w:val="20"/>
          <w:szCs w:val="20"/>
        </w:rPr>
        <w:t xml:space="preserve">SERVQUAL: Skala Multiitem </w:t>
      </w:r>
      <w:proofErr w:type="spellStart"/>
      <w:r w:rsidRPr="0030562D">
        <w:rPr>
          <w:rFonts w:ascii="Arial" w:hAnsi="Arial" w:cs="Arial"/>
          <w:i/>
          <w:iCs/>
          <w:sz w:val="20"/>
          <w:szCs w:val="20"/>
        </w:rPr>
        <w:t>untuk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Mengukur</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Persepsi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 </w:t>
      </w:r>
      <w:proofErr w:type="spellStart"/>
      <w:r w:rsidRPr="0030562D">
        <w:rPr>
          <w:rFonts w:ascii="Arial" w:hAnsi="Arial" w:cs="Arial"/>
          <w:i/>
          <w:iCs/>
          <w:sz w:val="20"/>
          <w:szCs w:val="20"/>
        </w:rPr>
        <w:t>Jurnal</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Pemasaran</w:t>
      </w:r>
      <w:proofErr w:type="spellEnd"/>
      <w:r w:rsidRPr="0030562D">
        <w:rPr>
          <w:rFonts w:ascii="Arial" w:hAnsi="Arial" w:cs="Arial"/>
          <w:i/>
          <w:iCs/>
          <w:sz w:val="20"/>
          <w:szCs w:val="20"/>
        </w:rPr>
        <w:t>.</w:t>
      </w:r>
      <w:r w:rsidRPr="0030562D">
        <w:rPr>
          <w:rFonts w:ascii="Arial" w:hAnsi="Arial" w:cs="Arial"/>
          <w:sz w:val="20"/>
          <w:szCs w:val="20"/>
        </w:rPr>
        <w:t xml:space="preserve"> </w:t>
      </w:r>
    </w:p>
    <w:p w14:paraId="1258511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Parasuraman, </w:t>
      </w:r>
      <w:proofErr w:type="spellStart"/>
      <w:r w:rsidRPr="0030562D">
        <w:rPr>
          <w:rFonts w:ascii="Arial" w:hAnsi="Arial" w:cs="Arial"/>
          <w:sz w:val="20"/>
          <w:szCs w:val="20"/>
        </w:rPr>
        <w:t>A.Zeithaml</w:t>
      </w:r>
      <w:proofErr w:type="spellEnd"/>
      <w:r w:rsidRPr="0030562D">
        <w:rPr>
          <w:rFonts w:ascii="Arial" w:hAnsi="Arial" w:cs="Arial"/>
          <w:sz w:val="20"/>
          <w:szCs w:val="20"/>
        </w:rPr>
        <w:t xml:space="preserve"> VA &amp; Malhotra, A. (2005). </w:t>
      </w:r>
      <w:r w:rsidRPr="0030562D">
        <w:rPr>
          <w:rFonts w:ascii="Arial" w:hAnsi="Arial" w:cs="Arial"/>
          <w:i/>
          <w:iCs/>
          <w:sz w:val="20"/>
          <w:szCs w:val="20"/>
        </w:rPr>
        <w:t xml:space="preserve">ES-QUAL; Skala Multi-Item </w:t>
      </w:r>
      <w:proofErr w:type="spellStart"/>
      <w:r w:rsidRPr="0030562D">
        <w:rPr>
          <w:rFonts w:ascii="Arial" w:hAnsi="Arial" w:cs="Arial"/>
          <w:i/>
          <w:iCs/>
          <w:sz w:val="20"/>
          <w:szCs w:val="20"/>
        </w:rPr>
        <w:t>untuk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Menilai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Elektronik.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Penelitian</w:t>
      </w:r>
      <w:proofErr w:type="spellEnd"/>
      <w:r w:rsidRPr="0030562D">
        <w:rPr>
          <w:rFonts w:ascii="Arial" w:hAnsi="Arial" w:cs="Arial"/>
          <w:sz w:val="20"/>
          <w:szCs w:val="20"/>
        </w:rPr>
        <w:t xml:space="preserve"> </w:t>
      </w:r>
      <w:proofErr w:type="spellStart"/>
      <w:r w:rsidRPr="0030562D">
        <w:rPr>
          <w:rFonts w:ascii="Arial" w:hAnsi="Arial" w:cs="Arial"/>
          <w:sz w:val="20"/>
          <w:szCs w:val="20"/>
        </w:rPr>
        <w:t>Layanan</w:t>
      </w:r>
      <w:proofErr w:type="spellEnd"/>
      <w:r w:rsidRPr="0030562D">
        <w:rPr>
          <w:rFonts w:ascii="Arial" w:hAnsi="Arial" w:cs="Arial"/>
          <w:sz w:val="20"/>
          <w:szCs w:val="20"/>
        </w:rPr>
        <w:t xml:space="preserve">, </w:t>
      </w:r>
      <w:proofErr w:type="spellStart"/>
      <w:r w:rsidRPr="0030562D">
        <w:rPr>
          <w:rFonts w:ascii="Arial" w:hAnsi="Arial" w:cs="Arial"/>
          <w:sz w:val="20"/>
          <w:szCs w:val="20"/>
        </w:rPr>
        <w:t>Februari</w:t>
      </w:r>
      <w:proofErr w:type="spellEnd"/>
      <w:r w:rsidRPr="0030562D">
        <w:rPr>
          <w:rFonts w:ascii="Arial" w:hAnsi="Arial" w:cs="Arial"/>
          <w:sz w:val="20"/>
          <w:szCs w:val="20"/>
        </w:rPr>
        <w:t xml:space="preserve"> 2005, 7(3), 213-233.</w:t>
      </w:r>
    </w:p>
    <w:p w14:paraId="612C0AD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Prihatiningrum</w:t>
      </w:r>
      <w:proofErr w:type="spellEnd"/>
      <w:r w:rsidRPr="0030562D">
        <w:rPr>
          <w:rFonts w:ascii="Arial" w:hAnsi="Arial" w:cs="Arial"/>
          <w:sz w:val="20"/>
          <w:szCs w:val="20"/>
        </w:rPr>
        <w:t xml:space="preserve">, A. A., &amp; </w:t>
      </w:r>
      <w:proofErr w:type="spellStart"/>
      <w:r w:rsidRPr="0030562D">
        <w:rPr>
          <w:rFonts w:ascii="Arial" w:hAnsi="Arial" w:cs="Arial"/>
          <w:sz w:val="20"/>
          <w:szCs w:val="20"/>
        </w:rPr>
        <w:t>Zuraidah</w:t>
      </w:r>
      <w:proofErr w:type="spellEnd"/>
      <w:r w:rsidRPr="0030562D">
        <w:rPr>
          <w:rFonts w:ascii="Arial" w:hAnsi="Arial" w:cs="Arial"/>
          <w:sz w:val="20"/>
          <w:szCs w:val="20"/>
        </w:rPr>
        <w:t xml:space="preserve">, E. (2022). </w:t>
      </w:r>
      <w:r w:rsidRPr="0030562D">
        <w:rPr>
          <w:rFonts w:ascii="Arial" w:hAnsi="Arial" w:cs="Arial"/>
          <w:i/>
          <w:iCs/>
          <w:sz w:val="20"/>
          <w:szCs w:val="20"/>
        </w:rPr>
        <w:t xml:space="preserve">Analisa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aplikasi</w:t>
      </w:r>
      <w:proofErr w:type="spellEnd"/>
      <w:r w:rsidRPr="0030562D">
        <w:rPr>
          <w:rFonts w:ascii="Arial" w:hAnsi="Arial" w:cs="Arial"/>
          <w:i/>
          <w:iCs/>
          <w:sz w:val="20"/>
          <w:szCs w:val="20"/>
        </w:rPr>
        <w:t xml:space="preserve"> mobile banking pada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bjb</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cabang</w:t>
      </w:r>
      <w:proofErr w:type="spellEnd"/>
      <w:r w:rsidRPr="0030562D">
        <w:rPr>
          <w:rFonts w:ascii="Arial" w:hAnsi="Arial" w:cs="Arial"/>
          <w:i/>
          <w:iCs/>
          <w:sz w:val="20"/>
          <w:szCs w:val="20"/>
        </w:rPr>
        <w:t xml:space="preserve"> Tangerang </w:t>
      </w:r>
      <w:proofErr w:type="spellStart"/>
      <w:r w:rsidRPr="0030562D">
        <w:rPr>
          <w:rFonts w:ascii="Arial" w:hAnsi="Arial" w:cs="Arial"/>
          <w:i/>
          <w:iCs/>
          <w:sz w:val="20"/>
          <w:szCs w:val="20"/>
        </w:rPr>
        <w:t>menggunakan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metode</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servqual</w:t>
      </w:r>
      <w:proofErr w:type="spellEnd"/>
      <w:r w:rsidRPr="0030562D">
        <w:rPr>
          <w:rFonts w:ascii="Arial" w:hAnsi="Arial" w:cs="Arial"/>
          <w:sz w:val="20"/>
          <w:szCs w:val="20"/>
        </w:rPr>
        <w:t>. Journal of Information System Research (JOSH),3(4), 363-373.</w:t>
      </w:r>
    </w:p>
    <w:p w14:paraId="71A9B7D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Putera, A.K., &amp; Wahyono, W. 2018.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pelayanan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citra</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merek</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produk</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konsumen</w:t>
      </w:r>
      <w:proofErr w:type="spellEnd"/>
      <w:r w:rsidRPr="0030562D">
        <w:rPr>
          <w:rFonts w:ascii="Arial" w:hAnsi="Arial" w:cs="Arial"/>
          <w:sz w:val="20"/>
          <w:szCs w:val="20"/>
        </w:rPr>
        <w:t>. Management Analysis Journal 7.1: 110-119.</w:t>
      </w:r>
    </w:p>
    <w:p w14:paraId="16FFBBF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Raád</w:t>
      </w:r>
      <w:proofErr w:type="spellEnd"/>
      <w:r w:rsidRPr="0030562D">
        <w:rPr>
          <w:rFonts w:ascii="Arial" w:hAnsi="Arial" w:cs="Arial"/>
          <w:sz w:val="20"/>
          <w:szCs w:val="20"/>
        </w:rPr>
        <w:t xml:space="preserve"> </w:t>
      </w:r>
      <w:proofErr w:type="spellStart"/>
      <w:r w:rsidRPr="0030562D">
        <w:rPr>
          <w:rFonts w:ascii="Arial" w:hAnsi="Arial" w:cs="Arial"/>
          <w:sz w:val="20"/>
          <w:szCs w:val="20"/>
        </w:rPr>
        <w:t>Mamduh</w:t>
      </w:r>
      <w:proofErr w:type="spellEnd"/>
      <w:r w:rsidRPr="0030562D">
        <w:rPr>
          <w:rFonts w:ascii="Arial" w:hAnsi="Arial" w:cs="Arial"/>
          <w:sz w:val="20"/>
          <w:szCs w:val="20"/>
        </w:rPr>
        <w:t xml:space="preserve"> Khaleel </w:t>
      </w:r>
      <w:proofErr w:type="spellStart"/>
      <w:r w:rsidRPr="0030562D">
        <w:rPr>
          <w:rFonts w:ascii="Arial" w:hAnsi="Arial" w:cs="Arial"/>
          <w:sz w:val="20"/>
          <w:szCs w:val="20"/>
        </w:rPr>
        <w:t>Khasman</w:t>
      </w:r>
      <w:proofErr w:type="spellEnd"/>
      <w:r w:rsidRPr="0030562D">
        <w:rPr>
          <w:rFonts w:ascii="Arial" w:hAnsi="Arial" w:cs="Arial"/>
          <w:sz w:val="20"/>
          <w:szCs w:val="20"/>
        </w:rPr>
        <w:t xml:space="preserve">. (2023). </w:t>
      </w:r>
      <w:r w:rsidRPr="0030562D">
        <w:rPr>
          <w:rFonts w:ascii="Arial" w:hAnsi="Arial" w:cs="Arial"/>
          <w:i/>
          <w:iCs/>
          <w:sz w:val="20"/>
          <w:szCs w:val="20"/>
        </w:rPr>
        <w:t>Customer Satisfaction Quality in Banking Sector.</w:t>
      </w:r>
      <w:r w:rsidRPr="0030562D">
        <w:rPr>
          <w:rFonts w:ascii="Arial" w:hAnsi="Arial" w:cs="Arial"/>
          <w:sz w:val="20"/>
          <w:szCs w:val="20"/>
        </w:rPr>
        <w:t xml:space="preserve"> International Journal of Business and Management. 18 (2). </w:t>
      </w:r>
      <w:proofErr w:type="spellStart"/>
      <w:r w:rsidRPr="0030562D">
        <w:rPr>
          <w:rFonts w:ascii="Arial" w:hAnsi="Arial" w:cs="Arial"/>
          <w:sz w:val="20"/>
          <w:szCs w:val="20"/>
        </w:rPr>
        <w:t>doi</w:t>
      </w:r>
      <w:proofErr w:type="spellEnd"/>
      <w:r w:rsidRPr="0030562D">
        <w:rPr>
          <w:rFonts w:ascii="Arial" w:hAnsi="Arial" w:cs="Arial"/>
          <w:sz w:val="20"/>
          <w:szCs w:val="20"/>
        </w:rPr>
        <w:t>: 10.5539/ijbm.v18n2p15.</w:t>
      </w:r>
    </w:p>
    <w:p w14:paraId="6BDA66A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Rachadika</w:t>
      </w:r>
      <w:proofErr w:type="spellEnd"/>
      <w:r w:rsidRPr="0030562D">
        <w:rPr>
          <w:rFonts w:ascii="Arial" w:hAnsi="Arial" w:cs="Arial"/>
          <w:sz w:val="20"/>
          <w:szCs w:val="20"/>
        </w:rPr>
        <w:t xml:space="preserve">, </w:t>
      </w:r>
      <w:proofErr w:type="spellStart"/>
      <w:r w:rsidRPr="0030562D">
        <w:rPr>
          <w:rFonts w:ascii="Arial" w:hAnsi="Arial" w:cs="Arial"/>
          <w:sz w:val="20"/>
          <w:szCs w:val="20"/>
        </w:rPr>
        <w:t>Ibnu</w:t>
      </w:r>
      <w:proofErr w:type="spellEnd"/>
      <w:r w:rsidRPr="0030562D">
        <w:rPr>
          <w:rFonts w:ascii="Arial" w:hAnsi="Arial" w:cs="Arial"/>
          <w:sz w:val="20"/>
          <w:szCs w:val="20"/>
        </w:rPr>
        <w:t xml:space="preserve"> Khairul . 2020. </w:t>
      </w:r>
      <w:proofErr w:type="spellStart"/>
      <w:r w:rsidRPr="0030562D">
        <w:rPr>
          <w:rFonts w:ascii="Arial" w:hAnsi="Arial" w:cs="Arial"/>
          <w:i/>
          <w:iCs/>
          <w:sz w:val="20"/>
          <w:szCs w:val="20"/>
        </w:rPr>
        <w:t>Pemanfaatan</w:t>
      </w:r>
      <w:proofErr w:type="spellEnd"/>
      <w:r w:rsidRPr="0030562D">
        <w:rPr>
          <w:rFonts w:ascii="Arial" w:hAnsi="Arial" w:cs="Arial"/>
          <w:i/>
          <w:iCs/>
          <w:sz w:val="20"/>
          <w:szCs w:val="20"/>
        </w:rPr>
        <w:t xml:space="preserve"> Internet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Perkembangan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Industri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Perbankan</w:t>
      </w:r>
      <w:proofErr w:type="spellEnd"/>
      <w:r w:rsidRPr="0030562D">
        <w:rPr>
          <w:rFonts w:ascii="Arial" w:hAnsi="Arial" w:cs="Arial"/>
          <w:i/>
          <w:iCs/>
          <w:sz w:val="20"/>
          <w:szCs w:val="20"/>
        </w:rPr>
        <w:t xml:space="preserve"> pada Bank BCA.</w:t>
      </w:r>
      <w:r w:rsidRPr="0030562D">
        <w:rPr>
          <w:rFonts w:ascii="Arial" w:hAnsi="Arial" w:cs="Arial"/>
          <w:sz w:val="20"/>
          <w:szCs w:val="20"/>
        </w:rPr>
        <w:t xml:space="preserve"> AL-</w:t>
      </w:r>
      <w:proofErr w:type="spellStart"/>
      <w:r w:rsidRPr="0030562D">
        <w:rPr>
          <w:rFonts w:ascii="Arial" w:hAnsi="Arial" w:cs="Arial"/>
          <w:sz w:val="20"/>
          <w:szCs w:val="20"/>
        </w:rPr>
        <w:t>Kharaj</w:t>
      </w:r>
      <w:proofErr w:type="spellEnd"/>
      <w:r w:rsidRPr="0030562D">
        <w:rPr>
          <w:rFonts w:ascii="Arial" w:hAnsi="Arial" w:cs="Arial"/>
          <w:sz w:val="20"/>
          <w:szCs w:val="20"/>
        </w:rPr>
        <w:t xml:space="preserve"> : Journal of Islamic Economic and Business, 2(1), 34-48.</w:t>
      </w:r>
    </w:p>
    <w:p w14:paraId="34A17E98"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Ranjbarian</w:t>
      </w:r>
      <w:proofErr w:type="spellEnd"/>
      <w:r w:rsidRPr="0030562D">
        <w:rPr>
          <w:rFonts w:ascii="Arial" w:hAnsi="Arial" w:cs="Arial"/>
          <w:sz w:val="20"/>
          <w:szCs w:val="20"/>
        </w:rPr>
        <w:t xml:space="preserve">, Bahram, </w:t>
      </w:r>
      <w:r w:rsidRPr="0030562D">
        <w:rPr>
          <w:rFonts w:ascii="Arial" w:hAnsi="Arial" w:cs="Arial"/>
          <w:i/>
          <w:iCs/>
          <w:sz w:val="20"/>
          <w:szCs w:val="20"/>
        </w:rPr>
        <w:t>et al.</w:t>
      </w:r>
      <w:r w:rsidRPr="0030562D">
        <w:rPr>
          <w:rFonts w:ascii="Arial" w:hAnsi="Arial" w:cs="Arial"/>
          <w:sz w:val="20"/>
          <w:szCs w:val="20"/>
        </w:rPr>
        <w:t xml:space="preserve"> 2012. </w:t>
      </w:r>
      <w:r w:rsidRPr="0030562D">
        <w:rPr>
          <w:rFonts w:ascii="Arial" w:hAnsi="Arial" w:cs="Arial"/>
          <w:i/>
          <w:iCs/>
          <w:sz w:val="20"/>
          <w:szCs w:val="20"/>
        </w:rPr>
        <w:t>An Analysis of brand image, perceived quality, customer satisfaction and re-purchase intention in Iranian department stores.</w:t>
      </w:r>
      <w:r w:rsidRPr="0030562D">
        <w:rPr>
          <w:rFonts w:ascii="Arial" w:hAnsi="Arial" w:cs="Arial"/>
          <w:sz w:val="20"/>
          <w:szCs w:val="20"/>
        </w:rPr>
        <w:t xml:space="preserve"> International Journal of Business and Management  7.6: 40-48.</w:t>
      </w:r>
    </w:p>
    <w:p w14:paraId="32826A5B" w14:textId="77777777" w:rsidR="00B57C68" w:rsidRPr="0030562D" w:rsidRDefault="00B57C68" w:rsidP="00B57C68">
      <w:pPr>
        <w:pStyle w:val="ListParagraph"/>
        <w:ind w:left="426" w:hanging="426"/>
        <w:jc w:val="both"/>
        <w:rPr>
          <w:rFonts w:ascii="Arial" w:hAnsi="Arial" w:cs="Arial"/>
          <w:sz w:val="20"/>
          <w:szCs w:val="20"/>
        </w:rPr>
      </w:pPr>
    </w:p>
    <w:p w14:paraId="5036F66E" w14:textId="77777777" w:rsidR="00B57C68" w:rsidRPr="0030562D" w:rsidRDefault="00B57C68" w:rsidP="00B57C68">
      <w:pPr>
        <w:pStyle w:val="ListParagraph"/>
        <w:numPr>
          <w:ilvl w:val="0"/>
          <w:numId w:val="14"/>
        </w:numPr>
        <w:ind w:left="426" w:hanging="426"/>
        <w:jc w:val="both"/>
        <w:rPr>
          <w:rFonts w:ascii="Arial" w:hAnsi="Arial" w:cs="Arial"/>
          <w:color w:val="222222"/>
          <w:sz w:val="20"/>
          <w:szCs w:val="20"/>
          <w:shd w:val="clear" w:color="auto" w:fill="FFFFFF"/>
        </w:rPr>
      </w:pPr>
      <w:r w:rsidRPr="0030562D">
        <w:rPr>
          <w:rFonts w:ascii="Arial" w:hAnsi="Arial" w:cs="Arial"/>
          <w:color w:val="222222"/>
          <w:sz w:val="20"/>
          <w:szCs w:val="20"/>
          <w:shd w:val="clear" w:color="auto" w:fill="FFFFFF"/>
        </w:rPr>
        <w:t xml:space="preserve">Rahmi, R. A., &amp; </w:t>
      </w:r>
      <w:proofErr w:type="spellStart"/>
      <w:r w:rsidRPr="0030562D">
        <w:rPr>
          <w:rFonts w:ascii="Arial" w:hAnsi="Arial" w:cs="Arial"/>
          <w:color w:val="222222"/>
          <w:sz w:val="20"/>
          <w:szCs w:val="20"/>
          <w:shd w:val="clear" w:color="auto" w:fill="FFFFFF"/>
        </w:rPr>
        <w:t>Handayani</w:t>
      </w:r>
      <w:proofErr w:type="spellEnd"/>
      <w:r w:rsidRPr="0030562D">
        <w:rPr>
          <w:rFonts w:ascii="Arial" w:hAnsi="Arial" w:cs="Arial"/>
          <w:color w:val="222222"/>
          <w:sz w:val="20"/>
          <w:szCs w:val="20"/>
          <w:shd w:val="clear" w:color="auto" w:fill="FFFFFF"/>
        </w:rPr>
        <w:t xml:space="preserve">, P. W. (2024). </w:t>
      </w:r>
      <w:r w:rsidRPr="0030562D">
        <w:rPr>
          <w:rFonts w:ascii="Arial" w:hAnsi="Arial" w:cs="Arial"/>
          <w:i/>
          <w:iCs/>
          <w:color w:val="222222"/>
          <w:sz w:val="20"/>
          <w:szCs w:val="20"/>
          <w:shd w:val="clear" w:color="auto" w:fill="FFFFFF"/>
        </w:rPr>
        <w:t>The influence of users’ perspective factors on mobile banking adoption in Indonesia</w:t>
      </w:r>
      <w:r w:rsidRPr="0030562D">
        <w:rPr>
          <w:rFonts w:ascii="Arial" w:hAnsi="Arial" w:cs="Arial"/>
          <w:color w:val="222222"/>
          <w:sz w:val="20"/>
          <w:szCs w:val="20"/>
          <w:shd w:val="clear" w:color="auto" w:fill="FFFFFF"/>
        </w:rPr>
        <w:t>. Journal of Science and Technology Policy Management, </w:t>
      </w:r>
      <w:r w:rsidRPr="0030562D">
        <w:rPr>
          <w:rFonts w:ascii="Arial" w:hAnsi="Arial" w:cs="Arial"/>
          <w:i/>
          <w:iCs/>
          <w:color w:val="222222"/>
          <w:sz w:val="20"/>
          <w:szCs w:val="20"/>
          <w:shd w:val="clear" w:color="auto" w:fill="FFFFFF"/>
        </w:rPr>
        <w:t>15</w:t>
      </w:r>
      <w:r w:rsidRPr="0030562D">
        <w:rPr>
          <w:rFonts w:ascii="Arial" w:hAnsi="Arial" w:cs="Arial"/>
          <w:color w:val="222222"/>
          <w:sz w:val="20"/>
          <w:szCs w:val="20"/>
          <w:shd w:val="clear" w:color="auto" w:fill="FFFFFF"/>
        </w:rPr>
        <w:t>(6), 1408-1425.</w:t>
      </w:r>
    </w:p>
    <w:p w14:paraId="6798BDD7" w14:textId="77777777" w:rsidR="00B57C68" w:rsidRPr="0030562D" w:rsidRDefault="00B57C68" w:rsidP="00B57C68">
      <w:pPr>
        <w:pStyle w:val="ListParagraph"/>
        <w:ind w:left="426" w:hanging="426"/>
        <w:jc w:val="both"/>
        <w:rPr>
          <w:rFonts w:ascii="Arial" w:hAnsi="Arial" w:cs="Arial"/>
          <w:color w:val="222222"/>
          <w:sz w:val="20"/>
          <w:szCs w:val="20"/>
          <w:shd w:val="clear" w:color="auto" w:fill="FFFFFF"/>
        </w:rPr>
      </w:pPr>
    </w:p>
    <w:p w14:paraId="69B7BFD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Rahi, S., and M.A. Ghani. 2019. </w:t>
      </w:r>
      <w:r w:rsidRPr="0030562D">
        <w:rPr>
          <w:rFonts w:ascii="Arial" w:hAnsi="Arial" w:cs="Arial"/>
          <w:i/>
          <w:iCs/>
          <w:sz w:val="20"/>
          <w:szCs w:val="20"/>
        </w:rPr>
        <w:t>Integration of Delone and Mclean and self-determination theory in internet banking continuance intention context</w:t>
      </w:r>
      <w:r w:rsidRPr="0030562D">
        <w:rPr>
          <w:rFonts w:ascii="Arial" w:hAnsi="Arial" w:cs="Arial"/>
          <w:sz w:val="20"/>
          <w:szCs w:val="20"/>
        </w:rPr>
        <w:t>. International Journal of Accounting and Information Management 27(3): 512–528.</w:t>
      </w:r>
    </w:p>
    <w:p w14:paraId="49467F2E" w14:textId="77777777" w:rsidR="00B57C68" w:rsidRPr="0030562D" w:rsidRDefault="00B57C68" w:rsidP="00B57C68">
      <w:pPr>
        <w:pStyle w:val="ListParagraph"/>
        <w:ind w:left="426" w:hanging="426"/>
        <w:jc w:val="both"/>
        <w:rPr>
          <w:rFonts w:ascii="Arial" w:hAnsi="Arial" w:cs="Arial"/>
          <w:sz w:val="20"/>
          <w:szCs w:val="20"/>
        </w:rPr>
      </w:pPr>
    </w:p>
    <w:p w14:paraId="3089E1C7" w14:textId="77777777" w:rsidR="00B57C68" w:rsidRPr="0030562D" w:rsidRDefault="00B57C68" w:rsidP="00B57C68">
      <w:pPr>
        <w:pStyle w:val="ListParagraph"/>
        <w:numPr>
          <w:ilvl w:val="0"/>
          <w:numId w:val="14"/>
        </w:numPr>
        <w:ind w:left="426" w:hanging="426"/>
        <w:jc w:val="both"/>
        <w:rPr>
          <w:rFonts w:ascii="Arial" w:hAnsi="Arial" w:cs="Arial"/>
          <w:color w:val="222222"/>
          <w:sz w:val="20"/>
          <w:szCs w:val="20"/>
          <w:shd w:val="clear" w:color="auto" w:fill="FFFFFF"/>
        </w:rPr>
      </w:pPr>
      <w:r w:rsidRPr="0030562D">
        <w:rPr>
          <w:rFonts w:ascii="Arial" w:hAnsi="Arial" w:cs="Arial"/>
          <w:color w:val="222222"/>
          <w:sz w:val="20"/>
          <w:szCs w:val="20"/>
          <w:shd w:val="clear" w:color="auto" w:fill="FFFFFF"/>
        </w:rPr>
        <w:lastRenderedPageBreak/>
        <w:t xml:space="preserve">Rahayu, S., &amp; </w:t>
      </w:r>
      <w:proofErr w:type="spellStart"/>
      <w:r w:rsidRPr="0030562D">
        <w:rPr>
          <w:rFonts w:ascii="Arial" w:hAnsi="Arial" w:cs="Arial"/>
          <w:color w:val="222222"/>
          <w:sz w:val="20"/>
          <w:szCs w:val="20"/>
          <w:shd w:val="clear" w:color="auto" w:fill="FFFFFF"/>
        </w:rPr>
        <w:t>Faulina</w:t>
      </w:r>
      <w:proofErr w:type="spellEnd"/>
      <w:r w:rsidRPr="0030562D">
        <w:rPr>
          <w:rFonts w:ascii="Arial" w:hAnsi="Arial" w:cs="Arial"/>
          <w:color w:val="222222"/>
          <w:sz w:val="20"/>
          <w:szCs w:val="20"/>
          <w:shd w:val="clear" w:color="auto" w:fill="FFFFFF"/>
        </w:rPr>
        <w:t>, S. T. (2022</w:t>
      </w:r>
      <w:r w:rsidRPr="0030562D">
        <w:rPr>
          <w:rFonts w:ascii="Arial" w:hAnsi="Arial" w:cs="Arial"/>
          <w:i/>
          <w:iCs/>
          <w:color w:val="222222"/>
          <w:sz w:val="20"/>
          <w:szCs w:val="20"/>
          <w:shd w:val="clear" w:color="auto" w:fill="FFFFFF"/>
        </w:rPr>
        <w:t xml:space="preserve">). </w:t>
      </w:r>
      <w:proofErr w:type="spellStart"/>
      <w:r w:rsidRPr="0030562D">
        <w:rPr>
          <w:rFonts w:ascii="Arial" w:hAnsi="Arial" w:cs="Arial"/>
          <w:i/>
          <w:iCs/>
          <w:color w:val="222222"/>
          <w:sz w:val="20"/>
          <w:szCs w:val="20"/>
          <w:shd w:val="clear" w:color="auto" w:fill="FFFFFF"/>
        </w:rPr>
        <w:t>Pengaruh</w:t>
      </w:r>
      <w:proofErr w:type="spellEnd"/>
      <w:r w:rsidRPr="0030562D">
        <w:rPr>
          <w:rFonts w:ascii="Arial" w:hAnsi="Arial" w:cs="Arial"/>
          <w:i/>
          <w:iCs/>
          <w:color w:val="222222"/>
          <w:sz w:val="20"/>
          <w:szCs w:val="20"/>
          <w:shd w:val="clear" w:color="auto" w:fill="FFFFFF"/>
        </w:rPr>
        <w:t xml:space="preserve"> Digital Customer Experience </w:t>
      </w:r>
      <w:proofErr w:type="spellStart"/>
      <w:r w:rsidRPr="0030562D">
        <w:rPr>
          <w:rFonts w:ascii="Arial" w:hAnsi="Arial" w:cs="Arial"/>
          <w:i/>
          <w:iCs/>
          <w:color w:val="222222"/>
          <w:sz w:val="20"/>
          <w:szCs w:val="20"/>
          <w:shd w:val="clear" w:color="auto" w:fill="FFFFFF"/>
        </w:rPr>
        <w:t>dalam</w:t>
      </w:r>
      <w:proofErr w:type="spellEnd"/>
      <w:r w:rsidRPr="0030562D">
        <w:rPr>
          <w:rFonts w:ascii="Arial" w:hAnsi="Arial" w:cs="Arial"/>
          <w:i/>
          <w:iCs/>
          <w:color w:val="222222"/>
          <w:sz w:val="20"/>
          <w:szCs w:val="20"/>
          <w:shd w:val="clear" w:color="auto" w:fill="FFFFFF"/>
        </w:rPr>
        <w:t xml:space="preserve"> </w:t>
      </w:r>
      <w:proofErr w:type="spellStart"/>
      <w:r w:rsidRPr="0030562D">
        <w:rPr>
          <w:rFonts w:ascii="Arial" w:hAnsi="Arial" w:cs="Arial"/>
          <w:i/>
          <w:iCs/>
          <w:color w:val="222222"/>
          <w:sz w:val="20"/>
          <w:szCs w:val="20"/>
          <w:shd w:val="clear" w:color="auto" w:fill="FFFFFF"/>
        </w:rPr>
        <w:t>Menciptakan</w:t>
      </w:r>
      <w:proofErr w:type="spellEnd"/>
      <w:r w:rsidRPr="0030562D">
        <w:rPr>
          <w:rFonts w:ascii="Arial" w:hAnsi="Arial" w:cs="Arial"/>
          <w:i/>
          <w:iCs/>
          <w:color w:val="222222"/>
          <w:sz w:val="20"/>
          <w:szCs w:val="20"/>
          <w:shd w:val="clear" w:color="auto" w:fill="FFFFFF"/>
        </w:rPr>
        <w:t xml:space="preserve"> Customer Satisfaction dan Customer Loyalty di Era Digital</w:t>
      </w:r>
      <w:r w:rsidRPr="0030562D">
        <w:rPr>
          <w:rFonts w:ascii="Arial" w:hAnsi="Arial" w:cs="Arial"/>
          <w:color w:val="222222"/>
          <w:sz w:val="20"/>
          <w:szCs w:val="20"/>
          <w:shd w:val="clear" w:color="auto" w:fill="FFFFFF"/>
        </w:rPr>
        <w:t>. </w:t>
      </w:r>
      <w:proofErr w:type="spellStart"/>
      <w:r w:rsidRPr="0030562D">
        <w:rPr>
          <w:rFonts w:ascii="Arial" w:hAnsi="Arial" w:cs="Arial"/>
          <w:color w:val="222222"/>
          <w:sz w:val="20"/>
          <w:szCs w:val="20"/>
          <w:shd w:val="clear" w:color="auto" w:fill="FFFFFF"/>
        </w:rPr>
        <w:t>Jesya</w:t>
      </w:r>
      <w:proofErr w:type="spellEnd"/>
      <w:r w:rsidRPr="0030562D">
        <w:rPr>
          <w:rFonts w:ascii="Arial" w:hAnsi="Arial" w:cs="Arial"/>
          <w:color w:val="222222"/>
          <w:sz w:val="20"/>
          <w:szCs w:val="20"/>
          <w:shd w:val="clear" w:color="auto" w:fill="FFFFFF"/>
        </w:rPr>
        <w:t xml:space="preserve"> (</w:t>
      </w:r>
      <w:proofErr w:type="spellStart"/>
      <w:r w:rsidRPr="0030562D">
        <w:rPr>
          <w:rFonts w:ascii="Arial" w:hAnsi="Arial" w:cs="Arial"/>
          <w:color w:val="222222"/>
          <w:sz w:val="20"/>
          <w:szCs w:val="20"/>
          <w:shd w:val="clear" w:color="auto" w:fill="FFFFFF"/>
        </w:rPr>
        <w:t>Jurnal</w:t>
      </w:r>
      <w:proofErr w:type="spellEnd"/>
      <w:r w:rsidRPr="0030562D">
        <w:rPr>
          <w:rFonts w:ascii="Arial" w:hAnsi="Arial" w:cs="Arial"/>
          <w:color w:val="222222"/>
          <w:sz w:val="20"/>
          <w:szCs w:val="20"/>
          <w:shd w:val="clear" w:color="auto" w:fill="FFFFFF"/>
        </w:rPr>
        <w:t xml:space="preserve"> </w:t>
      </w:r>
      <w:proofErr w:type="spellStart"/>
      <w:r w:rsidRPr="0030562D">
        <w:rPr>
          <w:rFonts w:ascii="Arial" w:hAnsi="Arial" w:cs="Arial"/>
          <w:color w:val="222222"/>
          <w:sz w:val="20"/>
          <w:szCs w:val="20"/>
          <w:shd w:val="clear" w:color="auto" w:fill="FFFFFF"/>
        </w:rPr>
        <w:t>Ekonomi</w:t>
      </w:r>
      <w:proofErr w:type="spellEnd"/>
      <w:r w:rsidRPr="0030562D">
        <w:rPr>
          <w:rFonts w:ascii="Arial" w:hAnsi="Arial" w:cs="Arial"/>
          <w:color w:val="222222"/>
          <w:sz w:val="20"/>
          <w:szCs w:val="20"/>
          <w:shd w:val="clear" w:color="auto" w:fill="FFFFFF"/>
        </w:rPr>
        <w:t xml:space="preserve"> dan Ekonomi Syariah), 5(1), 1-13.</w:t>
      </w:r>
    </w:p>
    <w:p w14:paraId="34A74F82" w14:textId="77777777" w:rsidR="00B57C68" w:rsidRPr="0030562D" w:rsidRDefault="00B57C68" w:rsidP="00B57C68">
      <w:pPr>
        <w:pStyle w:val="ListParagraph"/>
        <w:ind w:left="426" w:hanging="426"/>
        <w:jc w:val="both"/>
        <w:rPr>
          <w:rFonts w:ascii="Arial" w:hAnsi="Arial" w:cs="Arial"/>
          <w:sz w:val="20"/>
          <w:szCs w:val="20"/>
        </w:rPr>
      </w:pPr>
    </w:p>
    <w:p w14:paraId="11A1FB42" w14:textId="77777777" w:rsidR="00B57C68" w:rsidRPr="0030562D" w:rsidRDefault="00B57C68" w:rsidP="00B57C68">
      <w:pPr>
        <w:pStyle w:val="ListParagraph"/>
        <w:numPr>
          <w:ilvl w:val="0"/>
          <w:numId w:val="14"/>
        </w:numPr>
        <w:ind w:left="426" w:hanging="426"/>
        <w:rPr>
          <w:rFonts w:ascii="Arial" w:hAnsi="Arial" w:cs="Arial"/>
          <w:sz w:val="20"/>
          <w:szCs w:val="20"/>
        </w:rPr>
      </w:pPr>
      <w:r w:rsidRPr="0030562D">
        <w:rPr>
          <w:rFonts w:ascii="Arial" w:hAnsi="Arial" w:cs="Arial"/>
          <w:sz w:val="20"/>
          <w:szCs w:val="20"/>
        </w:rPr>
        <w:t xml:space="preserve">Reichheld, F. F .1993. </w:t>
      </w:r>
      <w:r w:rsidRPr="0030562D">
        <w:rPr>
          <w:rFonts w:ascii="Arial" w:hAnsi="Arial" w:cs="Arial"/>
          <w:i/>
          <w:iCs/>
          <w:sz w:val="20"/>
          <w:szCs w:val="20"/>
        </w:rPr>
        <w:t>Loyalty-Based Management.</w:t>
      </w:r>
      <w:r w:rsidRPr="0030562D">
        <w:rPr>
          <w:rFonts w:ascii="Arial" w:hAnsi="Arial" w:cs="Arial"/>
          <w:sz w:val="20"/>
          <w:szCs w:val="20"/>
        </w:rPr>
        <w:t xml:space="preserve"> Harvard Business Review. 71 (2). 64-73.</w:t>
      </w:r>
    </w:p>
    <w:p w14:paraId="0E30BBF7" w14:textId="77777777" w:rsidR="00B57C68" w:rsidRPr="0030562D" w:rsidRDefault="00B57C68" w:rsidP="00B57C68">
      <w:pPr>
        <w:pStyle w:val="ListParagraph"/>
        <w:ind w:left="426" w:hanging="426"/>
        <w:rPr>
          <w:rFonts w:ascii="Arial" w:hAnsi="Arial" w:cs="Arial"/>
          <w:sz w:val="20"/>
          <w:szCs w:val="20"/>
        </w:rPr>
      </w:pPr>
    </w:p>
    <w:p w14:paraId="7EA7B3E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Rigby. D., Reichheld, F. F and Schefter, P. (2002). </w:t>
      </w:r>
      <w:r w:rsidRPr="0030562D">
        <w:rPr>
          <w:rFonts w:ascii="Arial" w:hAnsi="Arial" w:cs="Arial"/>
          <w:i/>
          <w:iCs/>
          <w:sz w:val="20"/>
          <w:szCs w:val="20"/>
        </w:rPr>
        <w:t>Avoid the Four Perils of CRM</w:t>
      </w:r>
      <w:r w:rsidRPr="0030562D">
        <w:rPr>
          <w:rFonts w:ascii="Arial" w:hAnsi="Arial" w:cs="Arial"/>
          <w:sz w:val="20"/>
          <w:szCs w:val="20"/>
        </w:rPr>
        <w:t>. Harvard Business Review. 115-123.</w:t>
      </w:r>
    </w:p>
    <w:p w14:paraId="02AE1943" w14:textId="77777777" w:rsidR="00B57C68" w:rsidRPr="0030562D" w:rsidRDefault="00B57C68" w:rsidP="00B57C68">
      <w:pPr>
        <w:pStyle w:val="ListParagraph"/>
        <w:ind w:left="426" w:hanging="426"/>
        <w:jc w:val="both"/>
        <w:rPr>
          <w:rFonts w:ascii="Arial" w:hAnsi="Arial" w:cs="Arial"/>
          <w:sz w:val="20"/>
          <w:szCs w:val="20"/>
        </w:rPr>
      </w:pPr>
    </w:p>
    <w:p w14:paraId="6C0BDF8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Sadia Butt. (2021). </w:t>
      </w:r>
      <w:r w:rsidRPr="0030562D">
        <w:rPr>
          <w:rFonts w:ascii="Arial" w:hAnsi="Arial" w:cs="Arial"/>
          <w:i/>
          <w:iCs/>
          <w:sz w:val="20"/>
          <w:szCs w:val="20"/>
        </w:rPr>
        <w:t xml:space="preserve">Impact of E-Banking Service Quality on </w:t>
      </w:r>
      <w:proofErr w:type="spellStart"/>
      <w:r w:rsidRPr="0030562D">
        <w:rPr>
          <w:rFonts w:ascii="Arial" w:hAnsi="Arial" w:cs="Arial"/>
          <w:i/>
          <w:iCs/>
          <w:sz w:val="20"/>
          <w:szCs w:val="20"/>
        </w:rPr>
        <w:t>Customers’Behavior</w:t>
      </w:r>
      <w:proofErr w:type="spellEnd"/>
      <w:r w:rsidRPr="0030562D">
        <w:rPr>
          <w:rFonts w:ascii="Arial" w:hAnsi="Arial" w:cs="Arial"/>
          <w:i/>
          <w:iCs/>
          <w:sz w:val="20"/>
          <w:szCs w:val="20"/>
        </w:rPr>
        <w:t xml:space="preserve"> Intentions Mediating Role of Trust.</w:t>
      </w:r>
      <w:r w:rsidRPr="0030562D">
        <w:rPr>
          <w:rFonts w:ascii="Arial" w:hAnsi="Arial" w:cs="Arial"/>
          <w:sz w:val="20"/>
          <w:szCs w:val="20"/>
        </w:rPr>
        <w:t xml:space="preserve"> Global Management Journal for Academic &amp; Corporate Studies. Vol 11, No.2, pp. 1-21.</w:t>
      </w:r>
    </w:p>
    <w:p w14:paraId="1E8C179E" w14:textId="77777777" w:rsidR="00B57C68" w:rsidRPr="0030562D" w:rsidRDefault="00B57C68" w:rsidP="00B57C68">
      <w:pPr>
        <w:pStyle w:val="ListParagraph"/>
        <w:ind w:left="426" w:hanging="426"/>
        <w:jc w:val="both"/>
        <w:rPr>
          <w:rFonts w:ascii="Arial" w:hAnsi="Arial" w:cs="Arial"/>
          <w:sz w:val="20"/>
          <w:szCs w:val="20"/>
        </w:rPr>
      </w:pPr>
    </w:p>
    <w:p w14:paraId="7F72C87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Sagir Muhammad Sulaiman. (2021). </w:t>
      </w:r>
      <w:r w:rsidRPr="0030562D">
        <w:rPr>
          <w:rFonts w:ascii="Arial" w:hAnsi="Arial" w:cs="Arial"/>
          <w:i/>
          <w:iCs/>
          <w:sz w:val="20"/>
          <w:szCs w:val="20"/>
        </w:rPr>
        <w:t xml:space="preserve">Mediating Role of Customer Satisfaction between Service Quality and Customer Loyalty with Non-Interest Bank in Nigeria. </w:t>
      </w:r>
      <w:r w:rsidRPr="0030562D">
        <w:rPr>
          <w:rFonts w:ascii="Arial" w:hAnsi="Arial" w:cs="Arial"/>
          <w:sz w:val="20"/>
          <w:szCs w:val="20"/>
        </w:rPr>
        <w:t>International Journal of Islamic Economics and Finance (IJIEF), 4 (1), 1-30.</w:t>
      </w:r>
    </w:p>
    <w:p w14:paraId="71813C51"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Sara Javed &amp; Md. </w:t>
      </w:r>
      <w:proofErr w:type="spellStart"/>
      <w:r w:rsidRPr="0030562D">
        <w:rPr>
          <w:rFonts w:ascii="Arial" w:hAnsi="Arial" w:cs="Arial"/>
          <w:sz w:val="20"/>
          <w:szCs w:val="20"/>
        </w:rPr>
        <w:t>Salamun</w:t>
      </w:r>
      <w:proofErr w:type="spellEnd"/>
      <w:r w:rsidRPr="0030562D">
        <w:rPr>
          <w:rFonts w:ascii="Arial" w:hAnsi="Arial" w:cs="Arial"/>
          <w:sz w:val="20"/>
          <w:szCs w:val="20"/>
        </w:rPr>
        <w:t xml:space="preserve"> </w:t>
      </w:r>
      <w:proofErr w:type="spellStart"/>
      <w:r w:rsidRPr="0030562D">
        <w:rPr>
          <w:rFonts w:ascii="Arial" w:hAnsi="Arial" w:cs="Arial"/>
          <w:sz w:val="20"/>
          <w:szCs w:val="20"/>
        </w:rPr>
        <w:t>Rashidin</w:t>
      </w:r>
      <w:proofErr w:type="spellEnd"/>
      <w:r w:rsidRPr="0030562D">
        <w:rPr>
          <w:rFonts w:ascii="Arial" w:hAnsi="Arial" w:cs="Arial"/>
          <w:sz w:val="20"/>
          <w:szCs w:val="20"/>
        </w:rPr>
        <w:t xml:space="preserve">.. (2018). </w:t>
      </w:r>
      <w:r w:rsidRPr="0030562D">
        <w:rPr>
          <w:rFonts w:ascii="Arial" w:hAnsi="Arial" w:cs="Arial"/>
          <w:i/>
          <w:iCs/>
          <w:sz w:val="20"/>
          <w:szCs w:val="20"/>
        </w:rPr>
        <w:t>Assessing The E-Services of The Banking Sector by Using E-</w:t>
      </w:r>
      <w:proofErr w:type="spellStart"/>
      <w:r w:rsidRPr="0030562D">
        <w:rPr>
          <w:rFonts w:ascii="Arial" w:hAnsi="Arial" w:cs="Arial"/>
          <w:i/>
          <w:iCs/>
          <w:sz w:val="20"/>
          <w:szCs w:val="20"/>
        </w:rPr>
        <w:t>Servqual</w:t>
      </w:r>
      <w:proofErr w:type="spellEnd"/>
      <w:r w:rsidRPr="0030562D">
        <w:rPr>
          <w:rFonts w:ascii="Arial" w:hAnsi="Arial" w:cs="Arial"/>
          <w:i/>
          <w:iCs/>
          <w:sz w:val="20"/>
          <w:szCs w:val="20"/>
        </w:rPr>
        <w:t xml:space="preserve"> Model : A Comparative Study of Local Commercial Banks and Foreign Bank in Pakistan</w:t>
      </w:r>
      <w:r w:rsidRPr="0030562D">
        <w:rPr>
          <w:rFonts w:ascii="Arial" w:hAnsi="Arial" w:cs="Arial"/>
          <w:sz w:val="20"/>
          <w:szCs w:val="20"/>
        </w:rPr>
        <w:t>. Journal of Internet Banking and Commerce. 23 (1).</w:t>
      </w:r>
    </w:p>
    <w:p w14:paraId="05F3ED89"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Sarstedt, Marko, et al. 2022. </w:t>
      </w:r>
      <w:r w:rsidRPr="0030562D">
        <w:rPr>
          <w:rFonts w:ascii="Arial" w:hAnsi="Arial" w:cs="Arial"/>
          <w:i/>
          <w:iCs/>
          <w:sz w:val="20"/>
          <w:szCs w:val="20"/>
        </w:rPr>
        <w:t>Progress in partial least squares structural equation modeling use in marketing research in the last decade</w:t>
      </w:r>
      <w:r w:rsidRPr="0030562D">
        <w:rPr>
          <w:rFonts w:ascii="Arial" w:hAnsi="Arial" w:cs="Arial"/>
          <w:sz w:val="20"/>
          <w:szCs w:val="20"/>
        </w:rPr>
        <w:t>. Psychology &amp; Marketing 39.5: 1035-1064.</w:t>
      </w:r>
    </w:p>
    <w:p w14:paraId="79EC48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Sarwar, U., </w:t>
      </w:r>
      <w:proofErr w:type="spellStart"/>
      <w:r w:rsidRPr="0030562D">
        <w:rPr>
          <w:rFonts w:ascii="Arial" w:hAnsi="Arial" w:cs="Arial"/>
          <w:sz w:val="20"/>
          <w:szCs w:val="20"/>
        </w:rPr>
        <w:t>Bint</w:t>
      </w:r>
      <w:proofErr w:type="spellEnd"/>
      <w:r w:rsidRPr="0030562D">
        <w:rPr>
          <w:rFonts w:ascii="Arial" w:hAnsi="Arial" w:cs="Arial"/>
          <w:sz w:val="20"/>
          <w:szCs w:val="20"/>
        </w:rPr>
        <w:t xml:space="preserve">-e-Naeem, N., Fahmeed, L., &amp; Atif, M. 2024. </w:t>
      </w:r>
      <w:r w:rsidRPr="0030562D">
        <w:rPr>
          <w:rFonts w:ascii="Arial" w:hAnsi="Arial" w:cs="Arial"/>
          <w:i/>
          <w:iCs/>
          <w:sz w:val="20"/>
          <w:szCs w:val="20"/>
        </w:rPr>
        <w:t>Role of Perceived Security and Financial Attitude in Shaping Behavioral Intention under the Moderation of Financial Literacy</w:t>
      </w:r>
      <w:r w:rsidRPr="0030562D">
        <w:rPr>
          <w:rFonts w:ascii="Arial" w:hAnsi="Arial" w:cs="Arial"/>
          <w:sz w:val="20"/>
          <w:szCs w:val="20"/>
        </w:rPr>
        <w:t>. Journal of Asian Development Studies, 13(3), 1380-1395.</w:t>
      </w:r>
    </w:p>
    <w:p w14:paraId="78B3DA3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Sasono</w:t>
      </w:r>
      <w:proofErr w:type="spellEnd"/>
      <w:r w:rsidRPr="0030562D">
        <w:rPr>
          <w:rFonts w:ascii="Arial" w:hAnsi="Arial" w:cs="Arial"/>
          <w:sz w:val="20"/>
          <w:szCs w:val="20"/>
        </w:rPr>
        <w:t xml:space="preserve">, </w:t>
      </w:r>
      <w:proofErr w:type="spellStart"/>
      <w:r w:rsidRPr="0030562D">
        <w:rPr>
          <w:rFonts w:ascii="Arial" w:hAnsi="Arial" w:cs="Arial"/>
          <w:sz w:val="20"/>
          <w:szCs w:val="20"/>
        </w:rPr>
        <w:t>Ipang</w:t>
      </w:r>
      <w:proofErr w:type="spellEnd"/>
      <w:r w:rsidRPr="0030562D">
        <w:rPr>
          <w:rFonts w:ascii="Arial" w:hAnsi="Arial" w:cs="Arial"/>
          <w:i/>
          <w:iCs/>
          <w:sz w:val="20"/>
          <w:szCs w:val="20"/>
        </w:rPr>
        <w:t>, et al</w:t>
      </w:r>
      <w:r w:rsidRPr="0030562D">
        <w:rPr>
          <w:rFonts w:ascii="Arial" w:hAnsi="Arial" w:cs="Arial"/>
          <w:sz w:val="20"/>
          <w:szCs w:val="20"/>
        </w:rPr>
        <w:t xml:space="preserve">. 2021. </w:t>
      </w:r>
      <w:r w:rsidRPr="0030562D">
        <w:rPr>
          <w:rFonts w:ascii="Arial" w:hAnsi="Arial" w:cs="Arial"/>
          <w:i/>
          <w:iCs/>
          <w:sz w:val="20"/>
          <w:szCs w:val="20"/>
        </w:rPr>
        <w:t>The Impact of e-service quality and satisfaction on customer loyalty: Empirical evidence from internet banking users in Indonesia</w:t>
      </w:r>
      <w:r w:rsidRPr="0030562D">
        <w:rPr>
          <w:rFonts w:ascii="Arial" w:hAnsi="Arial" w:cs="Arial"/>
          <w:sz w:val="20"/>
          <w:szCs w:val="20"/>
        </w:rPr>
        <w:t>. The Journal of Asian Finance, Economics and Business 8.4: 465-473.</w:t>
      </w:r>
    </w:p>
    <w:p w14:paraId="26C7561C"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Sekaran, U., &amp; Bougie, R. (2013). Research Methods for Business. Jhon Wiley &amp; Sons Ltd. </w:t>
      </w:r>
      <w:r w:rsidRPr="0030562D">
        <w:rPr>
          <w:rFonts w:ascii="Arial" w:hAnsi="Arial" w:cs="Arial"/>
          <w:i/>
          <w:iCs/>
          <w:sz w:val="20"/>
          <w:szCs w:val="20"/>
        </w:rPr>
        <w:t xml:space="preserve">Academic Journal </w:t>
      </w:r>
      <w:proofErr w:type="spellStart"/>
      <w:r w:rsidRPr="0030562D">
        <w:rPr>
          <w:rFonts w:ascii="Arial" w:hAnsi="Arial" w:cs="Arial"/>
          <w:i/>
          <w:iCs/>
          <w:sz w:val="20"/>
          <w:szCs w:val="20"/>
        </w:rPr>
        <w:t>Bangkokthonburi</w:t>
      </w:r>
      <w:proofErr w:type="spellEnd"/>
      <w:r w:rsidRPr="0030562D">
        <w:rPr>
          <w:rFonts w:ascii="Arial" w:hAnsi="Arial" w:cs="Arial"/>
          <w:i/>
          <w:iCs/>
          <w:sz w:val="20"/>
          <w:szCs w:val="20"/>
        </w:rPr>
        <w:t xml:space="preserve"> University</w:t>
      </w:r>
      <w:r w:rsidRPr="0030562D">
        <w:rPr>
          <w:rFonts w:ascii="Arial" w:hAnsi="Arial" w:cs="Arial"/>
          <w:sz w:val="20"/>
          <w:szCs w:val="20"/>
        </w:rPr>
        <w:t xml:space="preserve">, </w:t>
      </w:r>
      <w:r w:rsidRPr="0030562D">
        <w:rPr>
          <w:rFonts w:ascii="Arial" w:hAnsi="Arial" w:cs="Arial"/>
          <w:i/>
          <w:iCs/>
          <w:sz w:val="20"/>
          <w:szCs w:val="20"/>
        </w:rPr>
        <w:t>2</w:t>
      </w:r>
      <w:r w:rsidRPr="0030562D">
        <w:rPr>
          <w:rFonts w:ascii="Arial" w:hAnsi="Arial" w:cs="Arial"/>
          <w:sz w:val="20"/>
          <w:szCs w:val="20"/>
        </w:rPr>
        <w:t>(2), 203–206.</w:t>
      </w:r>
    </w:p>
    <w:p w14:paraId="483F39D4"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Shehu, M., &amp; Wahab, L.2024. </w:t>
      </w:r>
      <w:r w:rsidRPr="0030562D">
        <w:rPr>
          <w:rFonts w:ascii="Arial" w:hAnsi="Arial" w:cs="Arial"/>
          <w:i/>
          <w:iCs/>
          <w:sz w:val="20"/>
          <w:szCs w:val="20"/>
        </w:rPr>
        <w:t xml:space="preserve">Electronic Banking Services and Customer Pattern of </w:t>
      </w:r>
      <w:proofErr w:type="spellStart"/>
      <w:r w:rsidRPr="0030562D">
        <w:rPr>
          <w:rFonts w:ascii="Arial" w:hAnsi="Arial" w:cs="Arial"/>
          <w:i/>
          <w:iCs/>
          <w:sz w:val="20"/>
          <w:szCs w:val="20"/>
        </w:rPr>
        <w:t>Behaviour</w:t>
      </w:r>
      <w:proofErr w:type="spellEnd"/>
      <w:r w:rsidRPr="0030562D">
        <w:rPr>
          <w:rFonts w:ascii="Arial" w:hAnsi="Arial" w:cs="Arial"/>
          <w:i/>
          <w:iCs/>
          <w:sz w:val="20"/>
          <w:szCs w:val="20"/>
        </w:rPr>
        <w:t xml:space="preserve"> in Selected Banks in Ilorin Metropolis</w:t>
      </w:r>
      <w:r w:rsidRPr="0030562D">
        <w:rPr>
          <w:rFonts w:ascii="Arial" w:hAnsi="Arial" w:cs="Arial"/>
          <w:sz w:val="20"/>
          <w:szCs w:val="20"/>
        </w:rPr>
        <w:t>. BAYERO JOURNAL OF MANAGEMENT SCIENCES (BAJOMS),1.</w:t>
      </w:r>
    </w:p>
    <w:p w14:paraId="3C9A42B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Sheng, T., &amp; Liu, C. (2010). </w:t>
      </w:r>
      <w:r w:rsidRPr="0030562D">
        <w:rPr>
          <w:rFonts w:ascii="Arial" w:hAnsi="Arial" w:cs="Arial"/>
          <w:i/>
          <w:iCs/>
          <w:sz w:val="20"/>
          <w:szCs w:val="20"/>
        </w:rPr>
        <w:t xml:space="preserve">An empirical study on the effect of e-service quality on online customer satisfaction and loyalty. </w:t>
      </w:r>
      <w:r w:rsidRPr="0030562D">
        <w:rPr>
          <w:rFonts w:ascii="Arial" w:hAnsi="Arial" w:cs="Arial"/>
          <w:sz w:val="20"/>
          <w:szCs w:val="20"/>
        </w:rPr>
        <w:t>Nankai business review international, 1(3), 273-283.</w:t>
      </w:r>
    </w:p>
    <w:p w14:paraId="04FD87DA"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Singh, </w:t>
      </w:r>
      <w:proofErr w:type="spellStart"/>
      <w:r w:rsidRPr="0030562D">
        <w:rPr>
          <w:rFonts w:ascii="Arial" w:hAnsi="Arial" w:cs="Arial"/>
          <w:sz w:val="20"/>
          <w:szCs w:val="20"/>
        </w:rPr>
        <w:t>M.,Kumar</w:t>
      </w:r>
      <w:proofErr w:type="spellEnd"/>
      <w:r w:rsidRPr="0030562D">
        <w:rPr>
          <w:rFonts w:ascii="Arial" w:hAnsi="Arial" w:cs="Arial"/>
          <w:sz w:val="20"/>
          <w:szCs w:val="20"/>
        </w:rPr>
        <w:t xml:space="preserve">, D., Kaur, S., Kaur, P., &amp; Sing, G. (2019). </w:t>
      </w:r>
      <w:r w:rsidRPr="0030562D">
        <w:rPr>
          <w:rFonts w:ascii="Arial" w:hAnsi="Arial" w:cs="Arial"/>
          <w:i/>
          <w:iCs/>
          <w:sz w:val="20"/>
          <w:szCs w:val="20"/>
        </w:rPr>
        <w:t>Electronic payment system, risk and security issues.</w:t>
      </w:r>
      <w:r w:rsidRPr="0030562D">
        <w:rPr>
          <w:rFonts w:ascii="Arial" w:hAnsi="Arial" w:cs="Arial"/>
          <w:sz w:val="20"/>
          <w:szCs w:val="20"/>
        </w:rPr>
        <w:t xml:space="preserve"> Journal of Emerging Technologies and Innovative Research (JETIR), 6(3), 142-147. </w:t>
      </w:r>
    </w:p>
    <w:p w14:paraId="0D5159D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Sohail, R., Nazir, S.S. </w:t>
      </w:r>
      <w:r w:rsidRPr="0030562D">
        <w:rPr>
          <w:rFonts w:ascii="Arial" w:hAnsi="Arial" w:cs="Arial"/>
          <w:i/>
          <w:iCs/>
          <w:sz w:val="20"/>
          <w:szCs w:val="20"/>
        </w:rPr>
        <w:t>et al</w:t>
      </w:r>
      <w:r w:rsidRPr="0030562D">
        <w:rPr>
          <w:rFonts w:ascii="Arial" w:hAnsi="Arial" w:cs="Arial"/>
          <w:sz w:val="20"/>
          <w:szCs w:val="20"/>
        </w:rPr>
        <w:t>. 2024.</w:t>
      </w:r>
      <w:r w:rsidRPr="0030562D">
        <w:rPr>
          <w:rFonts w:ascii="Arial" w:hAnsi="Arial" w:cs="Arial"/>
          <w:i/>
          <w:iCs/>
          <w:sz w:val="20"/>
          <w:szCs w:val="20"/>
        </w:rPr>
        <w:t xml:space="preserve"> Anxiety, Perceived Risk, Psychological Satisfaction as Correlates of Consumer Acceptance of E-banking in Pakistan : E-Banking Acceptance in Pakistan.</w:t>
      </w:r>
      <w:r w:rsidRPr="0030562D">
        <w:rPr>
          <w:rFonts w:ascii="Arial" w:hAnsi="Arial" w:cs="Arial"/>
          <w:sz w:val="20"/>
          <w:szCs w:val="20"/>
        </w:rPr>
        <w:t xml:space="preserve"> Pakistan </w:t>
      </w:r>
      <w:proofErr w:type="spellStart"/>
      <w:r w:rsidRPr="0030562D">
        <w:rPr>
          <w:rFonts w:ascii="Arial" w:hAnsi="Arial" w:cs="Arial"/>
          <w:sz w:val="20"/>
          <w:szCs w:val="20"/>
        </w:rPr>
        <w:t>BioMedical</w:t>
      </w:r>
      <w:proofErr w:type="spellEnd"/>
      <w:r w:rsidRPr="0030562D">
        <w:rPr>
          <w:rFonts w:ascii="Arial" w:hAnsi="Arial" w:cs="Arial"/>
          <w:sz w:val="20"/>
          <w:szCs w:val="20"/>
        </w:rPr>
        <w:t xml:space="preserve"> Journal. 30-35.</w:t>
      </w:r>
    </w:p>
    <w:p w14:paraId="04F13873"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Sadick</w:t>
      </w:r>
      <w:proofErr w:type="spellEnd"/>
      <w:r w:rsidRPr="0030562D">
        <w:rPr>
          <w:rFonts w:ascii="Arial" w:hAnsi="Arial" w:cs="Arial"/>
          <w:sz w:val="20"/>
          <w:szCs w:val="20"/>
        </w:rPr>
        <w:t xml:space="preserve"> Alex, Innocent </w:t>
      </w:r>
      <w:proofErr w:type="spellStart"/>
      <w:r w:rsidRPr="0030562D">
        <w:rPr>
          <w:rFonts w:ascii="Arial" w:hAnsi="Arial" w:cs="Arial"/>
          <w:sz w:val="20"/>
          <w:szCs w:val="20"/>
        </w:rPr>
        <w:t>Rweshaa</w:t>
      </w:r>
      <w:proofErr w:type="spellEnd"/>
      <w:r w:rsidRPr="0030562D">
        <w:rPr>
          <w:rFonts w:ascii="Arial" w:hAnsi="Arial" w:cs="Arial"/>
          <w:sz w:val="20"/>
          <w:szCs w:val="20"/>
        </w:rPr>
        <w:t xml:space="preserve"> </w:t>
      </w:r>
      <w:proofErr w:type="spellStart"/>
      <w:r w:rsidRPr="0030562D">
        <w:rPr>
          <w:rFonts w:ascii="Arial" w:hAnsi="Arial" w:cs="Arial"/>
          <w:sz w:val="20"/>
          <w:szCs w:val="20"/>
        </w:rPr>
        <w:t>Kaiza</w:t>
      </w:r>
      <w:proofErr w:type="spellEnd"/>
      <w:r w:rsidRPr="0030562D">
        <w:rPr>
          <w:rFonts w:ascii="Arial" w:hAnsi="Arial" w:cs="Arial"/>
          <w:sz w:val="20"/>
          <w:szCs w:val="20"/>
        </w:rPr>
        <w:t xml:space="preserve"> &amp; </w:t>
      </w:r>
      <w:proofErr w:type="spellStart"/>
      <w:r w:rsidRPr="0030562D">
        <w:rPr>
          <w:rFonts w:ascii="Arial" w:hAnsi="Arial" w:cs="Arial"/>
          <w:sz w:val="20"/>
          <w:szCs w:val="20"/>
        </w:rPr>
        <w:t>Omary</w:t>
      </w:r>
      <w:proofErr w:type="spellEnd"/>
      <w:r w:rsidRPr="0030562D">
        <w:rPr>
          <w:rFonts w:ascii="Arial" w:hAnsi="Arial" w:cs="Arial"/>
          <w:sz w:val="20"/>
          <w:szCs w:val="20"/>
        </w:rPr>
        <w:t xml:space="preserve"> </w:t>
      </w:r>
      <w:proofErr w:type="spellStart"/>
      <w:r w:rsidRPr="0030562D">
        <w:rPr>
          <w:rFonts w:ascii="Arial" w:hAnsi="Arial" w:cs="Arial"/>
          <w:sz w:val="20"/>
          <w:szCs w:val="20"/>
        </w:rPr>
        <w:t>Magasha</w:t>
      </w:r>
      <w:proofErr w:type="spellEnd"/>
      <w:r w:rsidRPr="0030562D">
        <w:rPr>
          <w:rFonts w:ascii="Arial" w:hAnsi="Arial" w:cs="Arial"/>
          <w:sz w:val="20"/>
          <w:szCs w:val="20"/>
        </w:rPr>
        <w:t xml:space="preserve">. 2025. </w:t>
      </w:r>
      <w:r w:rsidRPr="0030562D">
        <w:rPr>
          <w:rFonts w:ascii="Arial" w:hAnsi="Arial" w:cs="Arial"/>
          <w:i/>
          <w:iCs/>
          <w:sz w:val="20"/>
          <w:szCs w:val="20"/>
        </w:rPr>
        <w:t>Mobile Banking Service Use: Exploring the Drivers for Consumer Satisfaction in People’s Bank of Zanzibar, Tanzania</w:t>
      </w:r>
      <w:r w:rsidRPr="0030562D">
        <w:rPr>
          <w:rFonts w:ascii="Arial" w:hAnsi="Arial" w:cs="Arial"/>
          <w:sz w:val="20"/>
          <w:szCs w:val="20"/>
        </w:rPr>
        <w:t>. Research Journal in Business and Finance. Vol. 4. No.1.</w:t>
      </w:r>
    </w:p>
    <w:p w14:paraId="350F39F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Srinivasan, S. S., Anderson, R. &amp; </w:t>
      </w:r>
      <w:proofErr w:type="spellStart"/>
      <w:r w:rsidRPr="0030562D">
        <w:rPr>
          <w:rFonts w:ascii="Arial" w:hAnsi="Arial" w:cs="Arial"/>
          <w:sz w:val="20"/>
          <w:szCs w:val="20"/>
        </w:rPr>
        <w:t>Ponnavolu</w:t>
      </w:r>
      <w:proofErr w:type="spellEnd"/>
      <w:r w:rsidRPr="0030562D">
        <w:rPr>
          <w:rFonts w:ascii="Arial" w:hAnsi="Arial" w:cs="Arial"/>
          <w:sz w:val="20"/>
          <w:szCs w:val="20"/>
        </w:rPr>
        <w:t xml:space="preserve">, K. 2002. </w:t>
      </w:r>
      <w:r w:rsidRPr="0030562D">
        <w:rPr>
          <w:rFonts w:ascii="Arial" w:hAnsi="Arial" w:cs="Arial"/>
          <w:i/>
          <w:iCs/>
          <w:sz w:val="20"/>
          <w:szCs w:val="20"/>
        </w:rPr>
        <w:t>Customer loyalty in e-commerce : an exploration of its antecedents and consequences</w:t>
      </w:r>
      <w:r w:rsidRPr="0030562D">
        <w:rPr>
          <w:rFonts w:ascii="Arial" w:hAnsi="Arial" w:cs="Arial"/>
          <w:sz w:val="20"/>
          <w:szCs w:val="20"/>
        </w:rPr>
        <w:t>. Journal of retailing, 78(1), 41-50.</w:t>
      </w:r>
    </w:p>
    <w:p w14:paraId="2430912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Sulaiman, Sagir Muhammad, </w:t>
      </w:r>
      <w:r w:rsidRPr="0030562D">
        <w:rPr>
          <w:rFonts w:ascii="Arial" w:hAnsi="Arial" w:cs="Arial"/>
          <w:i/>
          <w:iCs/>
          <w:sz w:val="20"/>
          <w:szCs w:val="20"/>
        </w:rPr>
        <w:t>et al</w:t>
      </w:r>
      <w:r w:rsidRPr="0030562D">
        <w:rPr>
          <w:rFonts w:ascii="Arial" w:hAnsi="Arial" w:cs="Arial"/>
          <w:sz w:val="20"/>
          <w:szCs w:val="20"/>
        </w:rPr>
        <w:t xml:space="preserve">. 2021. </w:t>
      </w:r>
      <w:r w:rsidRPr="0030562D">
        <w:rPr>
          <w:rFonts w:ascii="Arial" w:hAnsi="Arial" w:cs="Arial"/>
          <w:i/>
          <w:iCs/>
          <w:sz w:val="20"/>
          <w:szCs w:val="20"/>
        </w:rPr>
        <w:t>Mediating role of customer satisfaction between service quality and customer loyalty with Non-Interest bank in Nigeria</w:t>
      </w:r>
      <w:r w:rsidRPr="0030562D">
        <w:rPr>
          <w:rFonts w:ascii="Arial" w:hAnsi="Arial" w:cs="Arial"/>
          <w:sz w:val="20"/>
          <w:szCs w:val="20"/>
        </w:rPr>
        <w:t>. International Journal of Islamic Economics and Finance (IJIEF) 4.1: 1-30.</w:t>
      </w:r>
    </w:p>
    <w:p w14:paraId="763E4542"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Syed Ali Raza, Amna Umer, M. Asif Qureshi &amp; Abdul Samad Dahri. (2020). </w:t>
      </w:r>
      <w:r w:rsidRPr="0030562D">
        <w:rPr>
          <w:rFonts w:ascii="Arial" w:hAnsi="Arial" w:cs="Arial"/>
          <w:i/>
          <w:iCs/>
          <w:sz w:val="20"/>
          <w:szCs w:val="20"/>
        </w:rPr>
        <w:t>Internet banking service quality, e-customer satisfaction ang loyalty : The modified e-SERVQUAL model</w:t>
      </w:r>
      <w:r w:rsidRPr="0030562D">
        <w:rPr>
          <w:rFonts w:ascii="Arial" w:hAnsi="Arial" w:cs="Arial"/>
          <w:sz w:val="20"/>
          <w:szCs w:val="20"/>
        </w:rPr>
        <w:t xml:space="preserve">.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TQM. DOI 10.1108/TQM-02-2020-0019</w:t>
      </w:r>
    </w:p>
    <w:p w14:paraId="4DF3F3FB"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lastRenderedPageBreak/>
        <w:t>Thuda</w:t>
      </w:r>
      <w:proofErr w:type="spellEnd"/>
      <w:r w:rsidRPr="0030562D">
        <w:rPr>
          <w:rFonts w:ascii="Arial" w:hAnsi="Arial" w:cs="Arial"/>
          <w:sz w:val="20"/>
          <w:szCs w:val="20"/>
        </w:rPr>
        <w:t xml:space="preserve">, A., </w:t>
      </w:r>
      <w:proofErr w:type="spellStart"/>
      <w:r w:rsidRPr="0030562D">
        <w:rPr>
          <w:rFonts w:ascii="Arial" w:hAnsi="Arial" w:cs="Arial"/>
          <w:sz w:val="20"/>
          <w:szCs w:val="20"/>
        </w:rPr>
        <w:t>Hamsal</w:t>
      </w:r>
      <w:proofErr w:type="spellEnd"/>
      <w:r w:rsidRPr="0030562D">
        <w:rPr>
          <w:rFonts w:ascii="Arial" w:hAnsi="Arial" w:cs="Arial"/>
          <w:sz w:val="20"/>
          <w:szCs w:val="20"/>
        </w:rPr>
        <w:t xml:space="preserve">, M., </w:t>
      </w:r>
      <w:proofErr w:type="spellStart"/>
      <w:r w:rsidRPr="0030562D">
        <w:rPr>
          <w:rFonts w:ascii="Arial" w:hAnsi="Arial" w:cs="Arial"/>
          <w:sz w:val="20"/>
          <w:szCs w:val="20"/>
        </w:rPr>
        <w:t>Warganegara</w:t>
      </w:r>
      <w:proofErr w:type="spellEnd"/>
      <w:r w:rsidRPr="0030562D">
        <w:rPr>
          <w:rFonts w:ascii="Arial" w:hAnsi="Arial" w:cs="Arial"/>
          <w:sz w:val="20"/>
          <w:szCs w:val="20"/>
        </w:rPr>
        <w:t xml:space="preserve">, D. L., &amp; </w:t>
      </w:r>
      <w:proofErr w:type="spellStart"/>
      <w:r w:rsidRPr="0030562D">
        <w:rPr>
          <w:rFonts w:ascii="Arial" w:hAnsi="Arial" w:cs="Arial"/>
          <w:sz w:val="20"/>
          <w:szCs w:val="20"/>
        </w:rPr>
        <w:t>Heriyati</w:t>
      </w:r>
      <w:proofErr w:type="spellEnd"/>
      <w:r w:rsidRPr="0030562D">
        <w:rPr>
          <w:rFonts w:ascii="Arial" w:hAnsi="Arial" w:cs="Arial"/>
          <w:sz w:val="20"/>
          <w:szCs w:val="20"/>
        </w:rPr>
        <w:t>, P. (2024</w:t>
      </w:r>
      <w:r w:rsidRPr="0030562D">
        <w:rPr>
          <w:rFonts w:ascii="Arial" w:hAnsi="Arial" w:cs="Arial"/>
          <w:i/>
          <w:iCs/>
          <w:sz w:val="20"/>
          <w:szCs w:val="20"/>
        </w:rPr>
        <w:t>). The Role of Business Transformation Strategy in Indonesian Regional Development Banks.</w:t>
      </w:r>
      <w:r w:rsidRPr="0030562D">
        <w:rPr>
          <w:rFonts w:ascii="Arial" w:hAnsi="Arial" w:cs="Arial"/>
          <w:sz w:val="20"/>
          <w:szCs w:val="20"/>
        </w:rPr>
        <w:t xml:space="preserve"> Banks and Bank Systems, 19(4), 258-273.</w:t>
      </w:r>
    </w:p>
    <w:p w14:paraId="22E3B987"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Trabelsi-Zoghlami</w:t>
      </w:r>
      <w:proofErr w:type="spellEnd"/>
      <w:r w:rsidRPr="0030562D">
        <w:rPr>
          <w:rFonts w:ascii="Arial" w:hAnsi="Arial" w:cs="Arial"/>
          <w:sz w:val="20"/>
          <w:szCs w:val="20"/>
        </w:rPr>
        <w:t xml:space="preserve">, A., </w:t>
      </w:r>
      <w:proofErr w:type="spellStart"/>
      <w:r w:rsidRPr="0030562D">
        <w:rPr>
          <w:rFonts w:ascii="Arial" w:hAnsi="Arial" w:cs="Arial"/>
          <w:sz w:val="20"/>
          <w:szCs w:val="20"/>
        </w:rPr>
        <w:t>Berraiers</w:t>
      </w:r>
      <w:proofErr w:type="spellEnd"/>
      <w:r w:rsidRPr="0030562D">
        <w:rPr>
          <w:rFonts w:ascii="Arial" w:hAnsi="Arial" w:cs="Arial"/>
          <w:sz w:val="20"/>
          <w:szCs w:val="20"/>
        </w:rPr>
        <w:t xml:space="preserve">, S., &amp; Ben Yahia, K. (2020). Service quality in a mobile-banking-applications context: di </w:t>
      </w:r>
      <w:proofErr w:type="spellStart"/>
      <w:r w:rsidRPr="0030562D">
        <w:rPr>
          <w:rFonts w:ascii="Arial" w:hAnsi="Arial" w:cs="Arial"/>
          <w:sz w:val="20"/>
          <w:szCs w:val="20"/>
        </w:rPr>
        <w:t>users’age</w:t>
      </w:r>
      <w:proofErr w:type="spellEnd"/>
      <w:r w:rsidRPr="0030562D">
        <w:rPr>
          <w:rFonts w:ascii="Arial" w:hAnsi="Arial" w:cs="Arial"/>
          <w:sz w:val="20"/>
          <w:szCs w:val="20"/>
        </w:rPr>
        <w:t xml:space="preserve"> and gender matter? Total Quality Management &amp; Business Excellence, 31(15-16), 1639-1668.</w:t>
      </w:r>
    </w:p>
    <w:p w14:paraId="1551459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Palupi</w:t>
      </w:r>
      <w:proofErr w:type="spellEnd"/>
      <w:r w:rsidRPr="0030562D">
        <w:rPr>
          <w:rFonts w:ascii="Arial" w:hAnsi="Arial" w:cs="Arial"/>
          <w:sz w:val="20"/>
          <w:szCs w:val="20"/>
        </w:rPr>
        <w:t xml:space="preserve"> Permata </w:t>
      </w:r>
      <w:proofErr w:type="spellStart"/>
      <w:r w:rsidRPr="0030562D">
        <w:rPr>
          <w:rFonts w:ascii="Arial" w:hAnsi="Arial" w:cs="Arial"/>
          <w:sz w:val="20"/>
          <w:szCs w:val="20"/>
        </w:rPr>
        <w:t>Rahmi</w:t>
      </w:r>
      <w:proofErr w:type="spellEnd"/>
      <w:r w:rsidRPr="0030562D">
        <w:rPr>
          <w:rFonts w:ascii="Arial" w:hAnsi="Arial" w:cs="Arial"/>
          <w:sz w:val="20"/>
          <w:szCs w:val="20"/>
        </w:rPr>
        <w:t xml:space="preserve">, Asti Nur </w:t>
      </w:r>
      <w:proofErr w:type="spellStart"/>
      <w:r w:rsidRPr="0030562D">
        <w:rPr>
          <w:rFonts w:ascii="Arial" w:hAnsi="Arial" w:cs="Arial"/>
          <w:sz w:val="20"/>
          <w:szCs w:val="20"/>
        </w:rPr>
        <w:t>Aryanti</w:t>
      </w:r>
      <w:proofErr w:type="spellEnd"/>
      <w:r w:rsidRPr="0030562D">
        <w:rPr>
          <w:rFonts w:ascii="Arial" w:hAnsi="Arial" w:cs="Arial"/>
          <w:sz w:val="20"/>
          <w:szCs w:val="20"/>
        </w:rPr>
        <w:t xml:space="preserve">, &amp; </w:t>
      </w:r>
      <w:proofErr w:type="spellStart"/>
      <w:r w:rsidRPr="0030562D">
        <w:rPr>
          <w:rFonts w:ascii="Arial" w:hAnsi="Arial" w:cs="Arial"/>
          <w:sz w:val="20"/>
          <w:szCs w:val="20"/>
        </w:rPr>
        <w:t>Dadan</w:t>
      </w:r>
      <w:proofErr w:type="spellEnd"/>
      <w:r w:rsidRPr="0030562D">
        <w:rPr>
          <w:rFonts w:ascii="Arial" w:hAnsi="Arial" w:cs="Arial"/>
          <w:sz w:val="20"/>
          <w:szCs w:val="20"/>
        </w:rPr>
        <w:t xml:space="preserve"> Abdul Aziz. 2023.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Kualitas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Layanan</w:t>
      </w:r>
      <w:proofErr w:type="spellEnd"/>
      <w:r w:rsidRPr="0030562D">
        <w:rPr>
          <w:rFonts w:ascii="Arial" w:hAnsi="Arial" w:cs="Arial"/>
          <w:i/>
          <w:iCs/>
          <w:sz w:val="20"/>
          <w:szCs w:val="20"/>
        </w:rPr>
        <w:t xml:space="preserve"> Mobile Banking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Bank BCA</w:t>
      </w:r>
      <w:r w:rsidRPr="0030562D">
        <w:rPr>
          <w:rFonts w:ascii="Arial" w:hAnsi="Arial" w:cs="Arial"/>
          <w:sz w:val="20"/>
          <w:szCs w:val="20"/>
        </w:rPr>
        <w:t>.  ARBITRASE : Journal of Economics and Accounting. Vol.3, No.3, Page: 710-722.</w:t>
      </w:r>
    </w:p>
    <w:p w14:paraId="69E85C25"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Veonnita</w:t>
      </w:r>
      <w:proofErr w:type="spellEnd"/>
      <w:r w:rsidRPr="0030562D">
        <w:rPr>
          <w:rFonts w:ascii="Arial" w:hAnsi="Arial" w:cs="Arial"/>
          <w:sz w:val="20"/>
          <w:szCs w:val="20"/>
        </w:rPr>
        <w:t xml:space="preserve">, R., &amp; </w:t>
      </w:r>
      <w:proofErr w:type="spellStart"/>
      <w:r w:rsidRPr="0030562D">
        <w:rPr>
          <w:rFonts w:ascii="Arial" w:hAnsi="Arial" w:cs="Arial"/>
          <w:sz w:val="20"/>
          <w:szCs w:val="20"/>
        </w:rPr>
        <w:t>Rojuaniah</w:t>
      </w:r>
      <w:proofErr w:type="spellEnd"/>
      <w:r w:rsidRPr="0030562D">
        <w:rPr>
          <w:rFonts w:ascii="Arial" w:hAnsi="Arial" w:cs="Arial"/>
          <w:sz w:val="20"/>
          <w:szCs w:val="20"/>
        </w:rPr>
        <w:t xml:space="preserve">, R. (2022). </w:t>
      </w:r>
      <w:proofErr w:type="spellStart"/>
      <w:r w:rsidRPr="0030562D">
        <w:rPr>
          <w:rFonts w:ascii="Arial" w:hAnsi="Arial" w:cs="Arial"/>
          <w:i/>
          <w:iCs/>
          <w:sz w:val="20"/>
          <w:szCs w:val="20"/>
        </w:rPr>
        <w:t>Pengaruh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persepsi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kemudahan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kegunaan</w:t>
      </w:r>
      <w:proofErr w:type="spellEnd"/>
      <w:r w:rsidRPr="0030562D">
        <w:rPr>
          <w:rFonts w:ascii="Arial" w:hAnsi="Arial" w:cs="Arial"/>
          <w:i/>
          <w:iCs/>
          <w:sz w:val="20"/>
          <w:szCs w:val="20"/>
        </w:rPr>
        <w:t xml:space="preserve"> dan </w:t>
      </w:r>
      <w:proofErr w:type="spellStart"/>
      <w:r w:rsidRPr="0030562D">
        <w:rPr>
          <w:rFonts w:ascii="Arial" w:hAnsi="Arial" w:cs="Arial"/>
          <w:i/>
          <w:iCs/>
          <w:sz w:val="20"/>
          <w:szCs w:val="20"/>
        </w:rPr>
        <w:t>kepuasan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terhadap</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loyalitas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melalui</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kepercayaan</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nasabah</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pengguna</w:t>
      </w:r>
      <w:proofErr w:type="spellEnd"/>
      <w:r w:rsidRPr="0030562D">
        <w:rPr>
          <w:rFonts w:ascii="Arial" w:hAnsi="Arial" w:cs="Arial"/>
          <w:i/>
          <w:iCs/>
          <w:sz w:val="20"/>
          <w:szCs w:val="20"/>
        </w:rPr>
        <w:t xml:space="preserve"> mobile banking BCA</w:t>
      </w:r>
      <w:r w:rsidRPr="0030562D">
        <w:rPr>
          <w:rFonts w:ascii="Arial" w:hAnsi="Arial" w:cs="Arial"/>
          <w:sz w:val="20"/>
          <w:szCs w:val="20"/>
        </w:rPr>
        <w:t xml:space="preserve">. INOBIS: </w:t>
      </w:r>
      <w:proofErr w:type="spellStart"/>
      <w:r w:rsidRPr="0030562D">
        <w:rPr>
          <w:rFonts w:ascii="Arial" w:hAnsi="Arial" w:cs="Arial"/>
          <w:sz w:val="20"/>
          <w:szCs w:val="20"/>
        </w:rPr>
        <w:t>Jurnal</w:t>
      </w:r>
      <w:proofErr w:type="spellEnd"/>
      <w:r w:rsidRPr="0030562D">
        <w:rPr>
          <w:rFonts w:ascii="Arial" w:hAnsi="Arial" w:cs="Arial"/>
          <w:sz w:val="20"/>
          <w:szCs w:val="20"/>
        </w:rPr>
        <w:t xml:space="preserve"> </w:t>
      </w:r>
      <w:proofErr w:type="spellStart"/>
      <w:r w:rsidRPr="0030562D">
        <w:rPr>
          <w:rFonts w:ascii="Arial" w:hAnsi="Arial" w:cs="Arial"/>
          <w:sz w:val="20"/>
          <w:szCs w:val="20"/>
        </w:rPr>
        <w:t>Inovasi</w:t>
      </w:r>
      <w:proofErr w:type="spellEnd"/>
      <w:r w:rsidRPr="0030562D">
        <w:rPr>
          <w:rFonts w:ascii="Arial" w:hAnsi="Arial" w:cs="Arial"/>
          <w:sz w:val="20"/>
          <w:szCs w:val="20"/>
        </w:rPr>
        <w:t xml:space="preserve"> </w:t>
      </w:r>
      <w:proofErr w:type="spellStart"/>
      <w:r w:rsidRPr="0030562D">
        <w:rPr>
          <w:rFonts w:ascii="Arial" w:hAnsi="Arial" w:cs="Arial"/>
          <w:sz w:val="20"/>
          <w:szCs w:val="20"/>
        </w:rPr>
        <w:t>Bisnis</w:t>
      </w:r>
      <w:proofErr w:type="spellEnd"/>
      <w:r w:rsidRPr="0030562D">
        <w:rPr>
          <w:rFonts w:ascii="Arial" w:hAnsi="Arial" w:cs="Arial"/>
          <w:sz w:val="20"/>
          <w:szCs w:val="20"/>
        </w:rPr>
        <w:t xml:space="preserve"> dan </w:t>
      </w:r>
      <w:proofErr w:type="spellStart"/>
      <w:r w:rsidRPr="0030562D">
        <w:rPr>
          <w:rFonts w:ascii="Arial" w:hAnsi="Arial" w:cs="Arial"/>
          <w:sz w:val="20"/>
          <w:szCs w:val="20"/>
        </w:rPr>
        <w:t>Manajemen</w:t>
      </w:r>
      <w:proofErr w:type="spellEnd"/>
      <w:r w:rsidRPr="0030562D">
        <w:rPr>
          <w:rFonts w:ascii="Arial" w:hAnsi="Arial" w:cs="Arial"/>
          <w:sz w:val="20"/>
          <w:szCs w:val="20"/>
        </w:rPr>
        <w:t xml:space="preserve"> Indonesia, 6 (1), 68-78.</w:t>
      </w:r>
    </w:p>
    <w:p w14:paraId="1223D58E" w14:textId="77777777" w:rsidR="00B57C68" w:rsidRPr="0030562D" w:rsidRDefault="00B57C68" w:rsidP="00B57C68">
      <w:pPr>
        <w:pStyle w:val="ListParagraph"/>
        <w:numPr>
          <w:ilvl w:val="0"/>
          <w:numId w:val="14"/>
        </w:numPr>
        <w:ind w:left="426" w:hanging="426"/>
        <w:jc w:val="both"/>
        <w:rPr>
          <w:rFonts w:ascii="Arial" w:hAnsi="Arial" w:cs="Arial"/>
          <w:sz w:val="20"/>
          <w:szCs w:val="20"/>
        </w:rPr>
      </w:pPr>
      <w:proofErr w:type="spellStart"/>
      <w:r w:rsidRPr="0030562D">
        <w:rPr>
          <w:rFonts w:ascii="Arial" w:hAnsi="Arial" w:cs="Arial"/>
          <w:sz w:val="20"/>
          <w:szCs w:val="20"/>
        </w:rPr>
        <w:t>Widowati</w:t>
      </w:r>
      <w:proofErr w:type="spellEnd"/>
      <w:r w:rsidRPr="0030562D">
        <w:rPr>
          <w:rFonts w:ascii="Arial" w:hAnsi="Arial" w:cs="Arial"/>
          <w:sz w:val="20"/>
          <w:szCs w:val="20"/>
        </w:rPr>
        <w:t xml:space="preserve">, H. Y. 2016. </w:t>
      </w:r>
      <w:proofErr w:type="spellStart"/>
      <w:r w:rsidRPr="0030562D">
        <w:rPr>
          <w:rFonts w:ascii="Arial" w:hAnsi="Arial" w:cs="Arial"/>
          <w:i/>
          <w:iCs/>
          <w:sz w:val="20"/>
          <w:szCs w:val="20"/>
        </w:rPr>
        <w:t>Analisis</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Faktor</w:t>
      </w:r>
      <w:proofErr w:type="spellEnd"/>
      <w:r w:rsidRPr="0030562D">
        <w:rPr>
          <w:rFonts w:ascii="Arial" w:hAnsi="Arial" w:cs="Arial"/>
          <w:i/>
          <w:iCs/>
          <w:sz w:val="20"/>
          <w:szCs w:val="20"/>
        </w:rPr>
        <w:t xml:space="preserve"> </w:t>
      </w:r>
      <w:proofErr w:type="spellStart"/>
      <w:r w:rsidRPr="0030562D">
        <w:rPr>
          <w:rFonts w:ascii="Arial" w:hAnsi="Arial" w:cs="Arial"/>
          <w:i/>
          <w:iCs/>
          <w:sz w:val="20"/>
          <w:szCs w:val="20"/>
        </w:rPr>
        <w:t>Pembentuk</w:t>
      </w:r>
      <w:proofErr w:type="spellEnd"/>
      <w:r w:rsidRPr="0030562D">
        <w:rPr>
          <w:rFonts w:ascii="Arial" w:hAnsi="Arial" w:cs="Arial"/>
          <w:i/>
          <w:iCs/>
          <w:sz w:val="20"/>
          <w:szCs w:val="20"/>
        </w:rPr>
        <w:t xml:space="preserve"> E-Loyalty</w:t>
      </w:r>
      <w:r w:rsidRPr="0030562D">
        <w:rPr>
          <w:rFonts w:ascii="Arial" w:hAnsi="Arial" w:cs="Arial"/>
          <w:sz w:val="20"/>
          <w:szCs w:val="20"/>
        </w:rPr>
        <w:t>. PhD Thesis. UNS (</w:t>
      </w:r>
      <w:proofErr w:type="spellStart"/>
      <w:r w:rsidRPr="0030562D">
        <w:rPr>
          <w:rFonts w:ascii="Arial" w:hAnsi="Arial" w:cs="Arial"/>
          <w:sz w:val="20"/>
          <w:szCs w:val="20"/>
        </w:rPr>
        <w:t>Sebelas</w:t>
      </w:r>
      <w:proofErr w:type="spellEnd"/>
      <w:r w:rsidRPr="0030562D">
        <w:rPr>
          <w:rFonts w:ascii="Arial" w:hAnsi="Arial" w:cs="Arial"/>
          <w:sz w:val="20"/>
          <w:szCs w:val="20"/>
        </w:rPr>
        <w:t xml:space="preserve"> </w:t>
      </w:r>
      <w:proofErr w:type="spellStart"/>
      <w:r w:rsidRPr="0030562D">
        <w:rPr>
          <w:rFonts w:ascii="Arial" w:hAnsi="Arial" w:cs="Arial"/>
          <w:sz w:val="20"/>
          <w:szCs w:val="20"/>
        </w:rPr>
        <w:t>Maret</w:t>
      </w:r>
      <w:proofErr w:type="spellEnd"/>
      <w:r w:rsidRPr="0030562D">
        <w:rPr>
          <w:rFonts w:ascii="Arial" w:hAnsi="Arial" w:cs="Arial"/>
          <w:sz w:val="20"/>
          <w:szCs w:val="20"/>
        </w:rPr>
        <w:t xml:space="preserve"> University).</w:t>
      </w:r>
    </w:p>
    <w:p w14:paraId="03C46176"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Wu Yu-Lung; Chang, M.C.S; Yang Pei-Chi, Chen, Ying-Jun. 2008</w:t>
      </w:r>
      <w:r w:rsidRPr="0030562D">
        <w:rPr>
          <w:rFonts w:ascii="Arial" w:hAnsi="Arial" w:cs="Arial"/>
          <w:i/>
          <w:iCs/>
          <w:sz w:val="20"/>
          <w:szCs w:val="20"/>
        </w:rPr>
        <w:t xml:space="preserve">. The Use of E-SQ to </w:t>
      </w:r>
      <w:proofErr w:type="spellStart"/>
      <w:r w:rsidRPr="0030562D">
        <w:rPr>
          <w:rFonts w:ascii="Arial" w:hAnsi="Arial" w:cs="Arial"/>
          <w:i/>
          <w:iCs/>
          <w:sz w:val="20"/>
          <w:szCs w:val="20"/>
        </w:rPr>
        <w:t>estabilish</w:t>
      </w:r>
      <w:proofErr w:type="spellEnd"/>
      <w:r w:rsidRPr="0030562D">
        <w:rPr>
          <w:rFonts w:ascii="Arial" w:hAnsi="Arial" w:cs="Arial"/>
          <w:i/>
          <w:iCs/>
          <w:sz w:val="20"/>
          <w:szCs w:val="20"/>
        </w:rPr>
        <w:t xml:space="preserve"> the internet bank service quality table</w:t>
      </w:r>
      <w:r w:rsidRPr="0030562D">
        <w:rPr>
          <w:rFonts w:ascii="Arial" w:hAnsi="Arial" w:cs="Arial"/>
          <w:sz w:val="20"/>
          <w:szCs w:val="20"/>
        </w:rPr>
        <w:t>. IEEE Inter Conference on Industrial Engineering and Engineering Management, 1446-1450.</w:t>
      </w:r>
    </w:p>
    <w:p w14:paraId="1FDB9A2D"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Wu, H.C. and Cheng, C.C. (2013), </w:t>
      </w:r>
      <w:r w:rsidRPr="0030562D">
        <w:rPr>
          <w:rFonts w:ascii="Arial" w:hAnsi="Arial" w:cs="Arial"/>
          <w:i/>
          <w:iCs/>
          <w:sz w:val="20"/>
          <w:szCs w:val="20"/>
        </w:rPr>
        <w:t xml:space="preserve">“A </w:t>
      </w:r>
      <w:proofErr w:type="spellStart"/>
      <w:r w:rsidRPr="0030562D">
        <w:rPr>
          <w:rFonts w:ascii="Arial" w:hAnsi="Arial" w:cs="Arial"/>
          <w:i/>
          <w:iCs/>
          <w:sz w:val="20"/>
          <w:szCs w:val="20"/>
        </w:rPr>
        <w:t>hieararchical</w:t>
      </w:r>
      <w:proofErr w:type="spellEnd"/>
      <w:r w:rsidRPr="0030562D">
        <w:rPr>
          <w:rFonts w:ascii="Arial" w:hAnsi="Arial" w:cs="Arial"/>
          <w:i/>
          <w:iCs/>
          <w:sz w:val="20"/>
          <w:szCs w:val="20"/>
        </w:rPr>
        <w:t xml:space="preserve"> model of service quality in the airline industry”,  </w:t>
      </w:r>
      <w:r w:rsidRPr="0030562D">
        <w:rPr>
          <w:rFonts w:ascii="Arial" w:hAnsi="Arial" w:cs="Arial"/>
          <w:sz w:val="20"/>
          <w:szCs w:val="20"/>
        </w:rPr>
        <w:t>Journal of Hospitality and Tourism Management, Vol. 20, pp. 13-22.</w:t>
      </w:r>
    </w:p>
    <w:p w14:paraId="46B66D90" w14:textId="77777777" w:rsidR="00B57C68"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Yang, Z., Jun, M. and Peterson, R.T. (2004).”</w:t>
      </w:r>
      <w:r w:rsidRPr="0030562D">
        <w:rPr>
          <w:rFonts w:ascii="Arial" w:hAnsi="Arial" w:cs="Arial"/>
          <w:i/>
          <w:iCs/>
          <w:sz w:val="20"/>
          <w:szCs w:val="20"/>
        </w:rPr>
        <w:t>Measuring customer perceived online service quality:  scale development and Managerial implications”,</w:t>
      </w:r>
      <w:r w:rsidRPr="0030562D">
        <w:rPr>
          <w:rFonts w:ascii="Arial" w:hAnsi="Arial" w:cs="Arial"/>
          <w:sz w:val="20"/>
          <w:szCs w:val="20"/>
        </w:rPr>
        <w:t xml:space="preserve"> International Journal of Operations and Production Management, Vol. 24 No. 11, pp. 1149-1147.</w:t>
      </w:r>
    </w:p>
    <w:p w14:paraId="5F961683" w14:textId="77777777" w:rsidR="00B57C68" w:rsidRPr="0030562D" w:rsidRDefault="00B57C68" w:rsidP="00B57C68">
      <w:pPr>
        <w:pStyle w:val="ListParagraph"/>
        <w:numPr>
          <w:ilvl w:val="0"/>
          <w:numId w:val="14"/>
        </w:numPr>
        <w:ind w:left="426" w:hanging="426"/>
        <w:rPr>
          <w:rStyle w:val="Hyperlink"/>
          <w:rFonts w:ascii="Arial" w:hAnsi="Arial" w:cs="Arial"/>
          <w:sz w:val="20"/>
          <w:szCs w:val="20"/>
        </w:rPr>
      </w:pPr>
      <w:r w:rsidRPr="0030562D">
        <w:rPr>
          <w:rFonts w:ascii="Arial" w:hAnsi="Arial" w:cs="Arial"/>
          <w:sz w:val="20"/>
          <w:szCs w:val="20"/>
        </w:rPr>
        <w:t xml:space="preserve">Yen, Y.S., &amp; Lu, H.P. (2008).“Factors Influencing Online Auction Repurchase Intention.” </w:t>
      </w:r>
      <w:hyperlink r:id="rId10" w:history="1">
        <w:r w:rsidRPr="0030562D">
          <w:rPr>
            <w:rStyle w:val="Hyperlink"/>
            <w:rFonts w:ascii="Arial" w:hAnsi="Arial" w:cs="Arial"/>
            <w:sz w:val="20"/>
            <w:szCs w:val="20"/>
          </w:rPr>
          <w:t>DOI: 10.1016/j.im.2008.06.001</w:t>
        </w:r>
      </w:hyperlink>
    </w:p>
    <w:p w14:paraId="0D3DA25B" w14:textId="1BEA7A55" w:rsidR="005571FF" w:rsidRPr="0030562D" w:rsidRDefault="00B57C68" w:rsidP="00B57C68">
      <w:pPr>
        <w:pStyle w:val="ListParagraph"/>
        <w:numPr>
          <w:ilvl w:val="0"/>
          <w:numId w:val="14"/>
        </w:numPr>
        <w:ind w:left="426" w:hanging="426"/>
        <w:jc w:val="both"/>
        <w:rPr>
          <w:rFonts w:ascii="Arial" w:hAnsi="Arial" w:cs="Arial"/>
          <w:sz w:val="20"/>
          <w:szCs w:val="20"/>
        </w:rPr>
      </w:pPr>
      <w:r w:rsidRPr="0030562D">
        <w:rPr>
          <w:rFonts w:ascii="Arial" w:hAnsi="Arial" w:cs="Arial"/>
          <w:sz w:val="20"/>
          <w:szCs w:val="20"/>
        </w:rPr>
        <w:t xml:space="preserve">Zeithaml, V. A., Parasuraman, A., &amp; Malhotra, A. (2002). </w:t>
      </w:r>
      <w:r w:rsidRPr="0030562D">
        <w:rPr>
          <w:rFonts w:ascii="Arial" w:hAnsi="Arial" w:cs="Arial"/>
          <w:i/>
          <w:iCs/>
          <w:sz w:val="20"/>
          <w:szCs w:val="20"/>
        </w:rPr>
        <w:t>Service Quality Delivery Through Websites: A Critical Review of Extant Knowledge</w:t>
      </w:r>
      <w:r w:rsidRPr="0030562D">
        <w:rPr>
          <w:rFonts w:ascii="Arial" w:hAnsi="Arial" w:cs="Arial"/>
          <w:sz w:val="20"/>
          <w:szCs w:val="20"/>
        </w:rPr>
        <w:t>. Journal of the Academy of Marketing Science, 30(4), 362–375. [DOI:10.1177/009207002236911]</w:t>
      </w:r>
    </w:p>
    <w:sectPr w:rsidR="005571FF" w:rsidRPr="0030562D"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74D8" w14:textId="77777777" w:rsidR="00EB3A09" w:rsidRDefault="00EB3A09" w:rsidP="003C7E96">
      <w:r>
        <w:separator/>
      </w:r>
    </w:p>
  </w:endnote>
  <w:endnote w:type="continuationSeparator" w:id="0">
    <w:p w14:paraId="6DDB833E" w14:textId="77777777" w:rsidR="00EB3A09" w:rsidRDefault="00EB3A09" w:rsidP="003C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92F" w14:textId="77777777" w:rsidR="003C7E96" w:rsidRDefault="003C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2F0C" w14:textId="77777777" w:rsidR="003C7E96" w:rsidRDefault="003C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F51E" w14:textId="77777777" w:rsidR="003C7E96" w:rsidRDefault="003C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0762F" w14:textId="77777777" w:rsidR="00EB3A09" w:rsidRDefault="00EB3A09" w:rsidP="003C7E96">
      <w:r>
        <w:separator/>
      </w:r>
    </w:p>
  </w:footnote>
  <w:footnote w:type="continuationSeparator" w:id="0">
    <w:p w14:paraId="5BD85EB1" w14:textId="77777777" w:rsidR="00EB3A09" w:rsidRDefault="00EB3A09" w:rsidP="003C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0209" w14:textId="510AB76F" w:rsidR="003C7E96" w:rsidRDefault="003C7E96">
    <w:pPr>
      <w:pStyle w:val="Header"/>
    </w:pPr>
    <w:r>
      <w:rPr>
        <w:noProof/>
      </w:rPr>
      <w:pict w14:anchorId="469EB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3" o:spid="_x0000_s2050" type="#_x0000_t136" style="position:absolute;margin-left:0;margin-top:0;width:521.9pt;height:5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FC99" w14:textId="4E7E3CEF" w:rsidR="003C7E96" w:rsidRDefault="003C7E96">
    <w:pPr>
      <w:pStyle w:val="Header"/>
    </w:pPr>
    <w:r>
      <w:rPr>
        <w:noProof/>
      </w:rPr>
      <w:pict w14:anchorId="3A89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4" o:spid="_x0000_s2051" type="#_x0000_t136" style="position:absolute;margin-left:0;margin-top:0;width:521.9pt;height:5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419C" w14:textId="4B354A0C" w:rsidR="003C7E96" w:rsidRDefault="003C7E96">
    <w:pPr>
      <w:pStyle w:val="Header"/>
    </w:pPr>
    <w:r>
      <w:rPr>
        <w:noProof/>
      </w:rPr>
      <w:pict w14:anchorId="31094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728312" o:spid="_x0000_s2049" type="#_x0000_t136" style="position:absolute;margin-left:0;margin-top:0;width:521.9pt;height:5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4"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C37BA4"/>
    <w:multiLevelType w:val="hybridMultilevel"/>
    <w:tmpl w:val="B16E554E"/>
    <w:lvl w:ilvl="0" w:tplc="2190F36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1"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20FE5"/>
    <w:multiLevelType w:val="hybridMultilevel"/>
    <w:tmpl w:val="D7EAC314"/>
    <w:lvl w:ilvl="0" w:tplc="7AB4D066">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0"/>
  </w:num>
  <w:num w:numId="4">
    <w:abstractNumId w:val="0"/>
  </w:num>
  <w:num w:numId="5">
    <w:abstractNumId w:val="1"/>
  </w:num>
  <w:num w:numId="6">
    <w:abstractNumId w:val="8"/>
  </w:num>
  <w:num w:numId="7">
    <w:abstractNumId w:val="6"/>
  </w:num>
  <w:num w:numId="8">
    <w:abstractNumId w:val="5"/>
  </w:num>
  <w:num w:numId="9">
    <w:abstractNumId w:val="9"/>
  </w:num>
  <w:num w:numId="10">
    <w:abstractNumId w:val="11"/>
  </w:num>
  <w:num w:numId="11">
    <w:abstractNumId w:val="2"/>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D7382"/>
    <w:rsid w:val="000E26FA"/>
    <w:rsid w:val="00103BA1"/>
    <w:rsid w:val="00125E71"/>
    <w:rsid w:val="00132F92"/>
    <w:rsid w:val="00163612"/>
    <w:rsid w:val="00173C29"/>
    <w:rsid w:val="00182F27"/>
    <w:rsid w:val="001D3E02"/>
    <w:rsid w:val="001E12AD"/>
    <w:rsid w:val="00220963"/>
    <w:rsid w:val="00225AA0"/>
    <w:rsid w:val="00244E27"/>
    <w:rsid w:val="00276931"/>
    <w:rsid w:val="002C082E"/>
    <w:rsid w:val="002E1BAD"/>
    <w:rsid w:val="002F4F16"/>
    <w:rsid w:val="0030562D"/>
    <w:rsid w:val="00317DAA"/>
    <w:rsid w:val="003B37A7"/>
    <w:rsid w:val="003C7E96"/>
    <w:rsid w:val="003E2A3B"/>
    <w:rsid w:val="003E3AFF"/>
    <w:rsid w:val="004878E0"/>
    <w:rsid w:val="004A58AA"/>
    <w:rsid w:val="004D0524"/>
    <w:rsid w:val="00532968"/>
    <w:rsid w:val="005571FF"/>
    <w:rsid w:val="005654A1"/>
    <w:rsid w:val="005E1BA9"/>
    <w:rsid w:val="005E709E"/>
    <w:rsid w:val="006230FF"/>
    <w:rsid w:val="00671DDD"/>
    <w:rsid w:val="006807DE"/>
    <w:rsid w:val="006830AC"/>
    <w:rsid w:val="006833B4"/>
    <w:rsid w:val="006A625A"/>
    <w:rsid w:val="006D3186"/>
    <w:rsid w:val="00711A77"/>
    <w:rsid w:val="007434D0"/>
    <w:rsid w:val="007B33F9"/>
    <w:rsid w:val="007D271D"/>
    <w:rsid w:val="00874F0D"/>
    <w:rsid w:val="008C37E2"/>
    <w:rsid w:val="008D511D"/>
    <w:rsid w:val="00920B64"/>
    <w:rsid w:val="00942EC6"/>
    <w:rsid w:val="0096736C"/>
    <w:rsid w:val="009C4612"/>
    <w:rsid w:val="00A22D7F"/>
    <w:rsid w:val="00A80AA3"/>
    <w:rsid w:val="00A85835"/>
    <w:rsid w:val="00AA2CD0"/>
    <w:rsid w:val="00AB58F0"/>
    <w:rsid w:val="00AE4875"/>
    <w:rsid w:val="00B5009F"/>
    <w:rsid w:val="00B57C68"/>
    <w:rsid w:val="00B64079"/>
    <w:rsid w:val="00B83EB0"/>
    <w:rsid w:val="00BC224C"/>
    <w:rsid w:val="00BE63B5"/>
    <w:rsid w:val="00C033CF"/>
    <w:rsid w:val="00C17C92"/>
    <w:rsid w:val="00C312DA"/>
    <w:rsid w:val="00C8313E"/>
    <w:rsid w:val="00CD6760"/>
    <w:rsid w:val="00D452E4"/>
    <w:rsid w:val="00D46645"/>
    <w:rsid w:val="00D8671D"/>
    <w:rsid w:val="00DA39E7"/>
    <w:rsid w:val="00DA701D"/>
    <w:rsid w:val="00DB3612"/>
    <w:rsid w:val="00DD069E"/>
    <w:rsid w:val="00DE08CB"/>
    <w:rsid w:val="00E35E7B"/>
    <w:rsid w:val="00E4660D"/>
    <w:rsid w:val="00E76CA1"/>
    <w:rsid w:val="00E814E0"/>
    <w:rsid w:val="00EB3A09"/>
    <w:rsid w:val="00EB60AC"/>
    <w:rsid w:val="00ED0FAD"/>
    <w:rsid w:val="00F3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A9380"/>
  <w15:chartTrackingRefBased/>
  <w15:docId w15:val="{C3A4D685-4DD1-432E-8736-0141F40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E35E7B"/>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E35E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Table"/>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Table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customStyle="1" w:styleId="Heading3Char">
    <w:name w:val="Heading 3 Char"/>
    <w:basedOn w:val="DefaultParagraphFont"/>
    <w:link w:val="Heading3"/>
    <w:uiPriority w:val="9"/>
    <w:rsid w:val="00E35E7B"/>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E35E7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35E7B"/>
    <w:rPr>
      <w:b/>
      <w:bCs/>
    </w:rPr>
  </w:style>
  <w:style w:type="character" w:styleId="UnresolvedMention">
    <w:name w:val="Unresolved Mention"/>
    <w:basedOn w:val="DefaultParagraphFont"/>
    <w:uiPriority w:val="99"/>
    <w:semiHidden/>
    <w:unhideWhenUsed/>
    <w:rsid w:val="00103BA1"/>
    <w:rPr>
      <w:color w:val="605E5C"/>
      <w:shd w:val="clear" w:color="auto" w:fill="E1DFDD"/>
    </w:rPr>
  </w:style>
  <w:style w:type="paragraph" w:styleId="Header">
    <w:name w:val="header"/>
    <w:basedOn w:val="Normal"/>
    <w:link w:val="HeaderChar"/>
    <w:uiPriority w:val="99"/>
    <w:unhideWhenUsed/>
    <w:rsid w:val="003C7E96"/>
    <w:pPr>
      <w:tabs>
        <w:tab w:val="center" w:pos="4680"/>
        <w:tab w:val="right" w:pos="9360"/>
      </w:tabs>
    </w:pPr>
  </w:style>
  <w:style w:type="character" w:customStyle="1" w:styleId="HeaderChar">
    <w:name w:val="Header Char"/>
    <w:basedOn w:val="DefaultParagraphFont"/>
    <w:link w:val="Header"/>
    <w:uiPriority w:val="99"/>
    <w:rsid w:val="003C7E96"/>
    <w:rPr>
      <w:rFonts w:ascii="Times New Roman" w:eastAsia="Times New Roman" w:hAnsi="Times New Roman" w:cs="Times New Roman"/>
    </w:rPr>
  </w:style>
  <w:style w:type="paragraph" w:styleId="Footer">
    <w:name w:val="footer"/>
    <w:basedOn w:val="Normal"/>
    <w:link w:val="FooterChar"/>
    <w:uiPriority w:val="99"/>
    <w:unhideWhenUsed/>
    <w:rsid w:val="003C7E96"/>
    <w:pPr>
      <w:tabs>
        <w:tab w:val="center" w:pos="4680"/>
        <w:tab w:val="right" w:pos="9360"/>
      </w:tabs>
    </w:pPr>
  </w:style>
  <w:style w:type="character" w:customStyle="1" w:styleId="FooterChar">
    <w:name w:val="Footer Char"/>
    <w:basedOn w:val="DefaultParagraphFont"/>
    <w:link w:val="Footer"/>
    <w:uiPriority w:val="99"/>
    <w:rsid w:val="003C7E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2972">
      <w:bodyDiv w:val="1"/>
      <w:marLeft w:val="0"/>
      <w:marRight w:val="0"/>
      <w:marTop w:val="0"/>
      <w:marBottom w:val="0"/>
      <w:divBdr>
        <w:top w:val="none" w:sz="0" w:space="0" w:color="auto"/>
        <w:left w:val="none" w:sz="0" w:space="0" w:color="auto"/>
        <w:bottom w:val="none" w:sz="0" w:space="0" w:color="auto"/>
        <w:right w:val="none" w:sz="0" w:space="0" w:color="auto"/>
      </w:divBdr>
    </w:div>
    <w:div w:id="40401933">
      <w:bodyDiv w:val="1"/>
      <w:marLeft w:val="0"/>
      <w:marRight w:val="0"/>
      <w:marTop w:val="0"/>
      <w:marBottom w:val="0"/>
      <w:divBdr>
        <w:top w:val="none" w:sz="0" w:space="0" w:color="auto"/>
        <w:left w:val="none" w:sz="0" w:space="0" w:color="auto"/>
        <w:bottom w:val="none" w:sz="0" w:space="0" w:color="auto"/>
        <w:right w:val="none" w:sz="0" w:space="0" w:color="auto"/>
      </w:divBdr>
    </w:div>
    <w:div w:id="91053397">
      <w:bodyDiv w:val="1"/>
      <w:marLeft w:val="0"/>
      <w:marRight w:val="0"/>
      <w:marTop w:val="0"/>
      <w:marBottom w:val="0"/>
      <w:divBdr>
        <w:top w:val="none" w:sz="0" w:space="0" w:color="auto"/>
        <w:left w:val="none" w:sz="0" w:space="0" w:color="auto"/>
        <w:bottom w:val="none" w:sz="0" w:space="0" w:color="auto"/>
        <w:right w:val="none" w:sz="0" w:space="0" w:color="auto"/>
      </w:divBdr>
    </w:div>
    <w:div w:id="96218988">
      <w:bodyDiv w:val="1"/>
      <w:marLeft w:val="0"/>
      <w:marRight w:val="0"/>
      <w:marTop w:val="0"/>
      <w:marBottom w:val="0"/>
      <w:divBdr>
        <w:top w:val="none" w:sz="0" w:space="0" w:color="auto"/>
        <w:left w:val="none" w:sz="0" w:space="0" w:color="auto"/>
        <w:bottom w:val="none" w:sz="0" w:space="0" w:color="auto"/>
        <w:right w:val="none" w:sz="0" w:space="0" w:color="auto"/>
      </w:divBdr>
    </w:div>
    <w:div w:id="182792150">
      <w:bodyDiv w:val="1"/>
      <w:marLeft w:val="0"/>
      <w:marRight w:val="0"/>
      <w:marTop w:val="0"/>
      <w:marBottom w:val="0"/>
      <w:divBdr>
        <w:top w:val="none" w:sz="0" w:space="0" w:color="auto"/>
        <w:left w:val="none" w:sz="0" w:space="0" w:color="auto"/>
        <w:bottom w:val="none" w:sz="0" w:space="0" w:color="auto"/>
        <w:right w:val="none" w:sz="0" w:space="0" w:color="auto"/>
      </w:divBdr>
    </w:div>
    <w:div w:id="239022589">
      <w:bodyDiv w:val="1"/>
      <w:marLeft w:val="0"/>
      <w:marRight w:val="0"/>
      <w:marTop w:val="0"/>
      <w:marBottom w:val="0"/>
      <w:divBdr>
        <w:top w:val="none" w:sz="0" w:space="0" w:color="auto"/>
        <w:left w:val="none" w:sz="0" w:space="0" w:color="auto"/>
        <w:bottom w:val="none" w:sz="0" w:space="0" w:color="auto"/>
        <w:right w:val="none" w:sz="0" w:space="0" w:color="auto"/>
      </w:divBdr>
    </w:div>
    <w:div w:id="498038828">
      <w:bodyDiv w:val="1"/>
      <w:marLeft w:val="0"/>
      <w:marRight w:val="0"/>
      <w:marTop w:val="0"/>
      <w:marBottom w:val="0"/>
      <w:divBdr>
        <w:top w:val="none" w:sz="0" w:space="0" w:color="auto"/>
        <w:left w:val="none" w:sz="0" w:space="0" w:color="auto"/>
        <w:bottom w:val="none" w:sz="0" w:space="0" w:color="auto"/>
        <w:right w:val="none" w:sz="0" w:space="0" w:color="auto"/>
      </w:divBdr>
    </w:div>
    <w:div w:id="506556696">
      <w:bodyDiv w:val="1"/>
      <w:marLeft w:val="0"/>
      <w:marRight w:val="0"/>
      <w:marTop w:val="0"/>
      <w:marBottom w:val="0"/>
      <w:divBdr>
        <w:top w:val="none" w:sz="0" w:space="0" w:color="auto"/>
        <w:left w:val="none" w:sz="0" w:space="0" w:color="auto"/>
        <w:bottom w:val="none" w:sz="0" w:space="0" w:color="auto"/>
        <w:right w:val="none" w:sz="0" w:space="0" w:color="auto"/>
      </w:divBdr>
    </w:div>
    <w:div w:id="545214054">
      <w:bodyDiv w:val="1"/>
      <w:marLeft w:val="0"/>
      <w:marRight w:val="0"/>
      <w:marTop w:val="0"/>
      <w:marBottom w:val="0"/>
      <w:divBdr>
        <w:top w:val="none" w:sz="0" w:space="0" w:color="auto"/>
        <w:left w:val="none" w:sz="0" w:space="0" w:color="auto"/>
        <w:bottom w:val="none" w:sz="0" w:space="0" w:color="auto"/>
        <w:right w:val="none" w:sz="0" w:space="0" w:color="auto"/>
      </w:divBdr>
    </w:div>
    <w:div w:id="563028595">
      <w:bodyDiv w:val="1"/>
      <w:marLeft w:val="0"/>
      <w:marRight w:val="0"/>
      <w:marTop w:val="0"/>
      <w:marBottom w:val="0"/>
      <w:divBdr>
        <w:top w:val="none" w:sz="0" w:space="0" w:color="auto"/>
        <w:left w:val="none" w:sz="0" w:space="0" w:color="auto"/>
        <w:bottom w:val="none" w:sz="0" w:space="0" w:color="auto"/>
        <w:right w:val="none" w:sz="0" w:space="0" w:color="auto"/>
      </w:divBdr>
    </w:div>
    <w:div w:id="672295444">
      <w:bodyDiv w:val="1"/>
      <w:marLeft w:val="0"/>
      <w:marRight w:val="0"/>
      <w:marTop w:val="0"/>
      <w:marBottom w:val="0"/>
      <w:divBdr>
        <w:top w:val="none" w:sz="0" w:space="0" w:color="auto"/>
        <w:left w:val="none" w:sz="0" w:space="0" w:color="auto"/>
        <w:bottom w:val="none" w:sz="0" w:space="0" w:color="auto"/>
        <w:right w:val="none" w:sz="0" w:space="0" w:color="auto"/>
      </w:divBdr>
    </w:div>
    <w:div w:id="810905021">
      <w:bodyDiv w:val="1"/>
      <w:marLeft w:val="0"/>
      <w:marRight w:val="0"/>
      <w:marTop w:val="0"/>
      <w:marBottom w:val="0"/>
      <w:divBdr>
        <w:top w:val="none" w:sz="0" w:space="0" w:color="auto"/>
        <w:left w:val="none" w:sz="0" w:space="0" w:color="auto"/>
        <w:bottom w:val="none" w:sz="0" w:space="0" w:color="auto"/>
        <w:right w:val="none" w:sz="0" w:space="0" w:color="auto"/>
      </w:divBdr>
    </w:div>
    <w:div w:id="821315750">
      <w:bodyDiv w:val="1"/>
      <w:marLeft w:val="0"/>
      <w:marRight w:val="0"/>
      <w:marTop w:val="0"/>
      <w:marBottom w:val="0"/>
      <w:divBdr>
        <w:top w:val="none" w:sz="0" w:space="0" w:color="auto"/>
        <w:left w:val="none" w:sz="0" w:space="0" w:color="auto"/>
        <w:bottom w:val="none" w:sz="0" w:space="0" w:color="auto"/>
        <w:right w:val="none" w:sz="0" w:space="0" w:color="auto"/>
      </w:divBdr>
    </w:div>
    <w:div w:id="851458464">
      <w:bodyDiv w:val="1"/>
      <w:marLeft w:val="0"/>
      <w:marRight w:val="0"/>
      <w:marTop w:val="0"/>
      <w:marBottom w:val="0"/>
      <w:divBdr>
        <w:top w:val="none" w:sz="0" w:space="0" w:color="auto"/>
        <w:left w:val="none" w:sz="0" w:space="0" w:color="auto"/>
        <w:bottom w:val="none" w:sz="0" w:space="0" w:color="auto"/>
        <w:right w:val="none" w:sz="0" w:space="0" w:color="auto"/>
      </w:divBdr>
    </w:div>
    <w:div w:id="864177386">
      <w:bodyDiv w:val="1"/>
      <w:marLeft w:val="0"/>
      <w:marRight w:val="0"/>
      <w:marTop w:val="0"/>
      <w:marBottom w:val="0"/>
      <w:divBdr>
        <w:top w:val="none" w:sz="0" w:space="0" w:color="auto"/>
        <w:left w:val="none" w:sz="0" w:space="0" w:color="auto"/>
        <w:bottom w:val="none" w:sz="0" w:space="0" w:color="auto"/>
        <w:right w:val="none" w:sz="0" w:space="0" w:color="auto"/>
      </w:divBdr>
    </w:div>
    <w:div w:id="957495231">
      <w:bodyDiv w:val="1"/>
      <w:marLeft w:val="0"/>
      <w:marRight w:val="0"/>
      <w:marTop w:val="0"/>
      <w:marBottom w:val="0"/>
      <w:divBdr>
        <w:top w:val="none" w:sz="0" w:space="0" w:color="auto"/>
        <w:left w:val="none" w:sz="0" w:space="0" w:color="auto"/>
        <w:bottom w:val="none" w:sz="0" w:space="0" w:color="auto"/>
        <w:right w:val="none" w:sz="0" w:space="0" w:color="auto"/>
      </w:divBdr>
    </w:div>
    <w:div w:id="1099329580">
      <w:bodyDiv w:val="1"/>
      <w:marLeft w:val="0"/>
      <w:marRight w:val="0"/>
      <w:marTop w:val="0"/>
      <w:marBottom w:val="0"/>
      <w:divBdr>
        <w:top w:val="none" w:sz="0" w:space="0" w:color="auto"/>
        <w:left w:val="none" w:sz="0" w:space="0" w:color="auto"/>
        <w:bottom w:val="none" w:sz="0" w:space="0" w:color="auto"/>
        <w:right w:val="none" w:sz="0" w:space="0" w:color="auto"/>
      </w:divBdr>
    </w:div>
    <w:div w:id="1136487481">
      <w:bodyDiv w:val="1"/>
      <w:marLeft w:val="0"/>
      <w:marRight w:val="0"/>
      <w:marTop w:val="0"/>
      <w:marBottom w:val="0"/>
      <w:divBdr>
        <w:top w:val="none" w:sz="0" w:space="0" w:color="auto"/>
        <w:left w:val="none" w:sz="0" w:space="0" w:color="auto"/>
        <w:bottom w:val="none" w:sz="0" w:space="0" w:color="auto"/>
        <w:right w:val="none" w:sz="0" w:space="0" w:color="auto"/>
      </w:divBdr>
    </w:div>
    <w:div w:id="1318411623">
      <w:bodyDiv w:val="1"/>
      <w:marLeft w:val="0"/>
      <w:marRight w:val="0"/>
      <w:marTop w:val="0"/>
      <w:marBottom w:val="0"/>
      <w:divBdr>
        <w:top w:val="none" w:sz="0" w:space="0" w:color="auto"/>
        <w:left w:val="none" w:sz="0" w:space="0" w:color="auto"/>
        <w:bottom w:val="none" w:sz="0" w:space="0" w:color="auto"/>
        <w:right w:val="none" w:sz="0" w:space="0" w:color="auto"/>
      </w:divBdr>
    </w:div>
    <w:div w:id="1355039883">
      <w:bodyDiv w:val="1"/>
      <w:marLeft w:val="0"/>
      <w:marRight w:val="0"/>
      <w:marTop w:val="0"/>
      <w:marBottom w:val="0"/>
      <w:divBdr>
        <w:top w:val="none" w:sz="0" w:space="0" w:color="auto"/>
        <w:left w:val="none" w:sz="0" w:space="0" w:color="auto"/>
        <w:bottom w:val="none" w:sz="0" w:space="0" w:color="auto"/>
        <w:right w:val="none" w:sz="0" w:space="0" w:color="auto"/>
      </w:divBdr>
    </w:div>
    <w:div w:id="1383017362">
      <w:bodyDiv w:val="1"/>
      <w:marLeft w:val="0"/>
      <w:marRight w:val="0"/>
      <w:marTop w:val="0"/>
      <w:marBottom w:val="0"/>
      <w:divBdr>
        <w:top w:val="none" w:sz="0" w:space="0" w:color="auto"/>
        <w:left w:val="none" w:sz="0" w:space="0" w:color="auto"/>
        <w:bottom w:val="none" w:sz="0" w:space="0" w:color="auto"/>
        <w:right w:val="none" w:sz="0" w:space="0" w:color="auto"/>
      </w:divBdr>
    </w:div>
    <w:div w:id="1397167408">
      <w:bodyDiv w:val="1"/>
      <w:marLeft w:val="0"/>
      <w:marRight w:val="0"/>
      <w:marTop w:val="0"/>
      <w:marBottom w:val="0"/>
      <w:divBdr>
        <w:top w:val="none" w:sz="0" w:space="0" w:color="auto"/>
        <w:left w:val="none" w:sz="0" w:space="0" w:color="auto"/>
        <w:bottom w:val="none" w:sz="0" w:space="0" w:color="auto"/>
        <w:right w:val="none" w:sz="0" w:space="0" w:color="auto"/>
      </w:divBdr>
    </w:div>
    <w:div w:id="1435519700">
      <w:bodyDiv w:val="1"/>
      <w:marLeft w:val="0"/>
      <w:marRight w:val="0"/>
      <w:marTop w:val="0"/>
      <w:marBottom w:val="0"/>
      <w:divBdr>
        <w:top w:val="none" w:sz="0" w:space="0" w:color="auto"/>
        <w:left w:val="none" w:sz="0" w:space="0" w:color="auto"/>
        <w:bottom w:val="none" w:sz="0" w:space="0" w:color="auto"/>
        <w:right w:val="none" w:sz="0" w:space="0" w:color="auto"/>
      </w:divBdr>
    </w:div>
    <w:div w:id="1453864505">
      <w:bodyDiv w:val="1"/>
      <w:marLeft w:val="0"/>
      <w:marRight w:val="0"/>
      <w:marTop w:val="0"/>
      <w:marBottom w:val="0"/>
      <w:divBdr>
        <w:top w:val="none" w:sz="0" w:space="0" w:color="auto"/>
        <w:left w:val="none" w:sz="0" w:space="0" w:color="auto"/>
        <w:bottom w:val="none" w:sz="0" w:space="0" w:color="auto"/>
        <w:right w:val="none" w:sz="0" w:space="0" w:color="auto"/>
      </w:divBdr>
    </w:div>
    <w:div w:id="1482235759">
      <w:bodyDiv w:val="1"/>
      <w:marLeft w:val="0"/>
      <w:marRight w:val="0"/>
      <w:marTop w:val="0"/>
      <w:marBottom w:val="0"/>
      <w:divBdr>
        <w:top w:val="none" w:sz="0" w:space="0" w:color="auto"/>
        <w:left w:val="none" w:sz="0" w:space="0" w:color="auto"/>
        <w:bottom w:val="none" w:sz="0" w:space="0" w:color="auto"/>
        <w:right w:val="none" w:sz="0" w:space="0" w:color="auto"/>
      </w:divBdr>
    </w:div>
    <w:div w:id="1492067187">
      <w:bodyDiv w:val="1"/>
      <w:marLeft w:val="0"/>
      <w:marRight w:val="0"/>
      <w:marTop w:val="0"/>
      <w:marBottom w:val="0"/>
      <w:divBdr>
        <w:top w:val="none" w:sz="0" w:space="0" w:color="auto"/>
        <w:left w:val="none" w:sz="0" w:space="0" w:color="auto"/>
        <w:bottom w:val="none" w:sz="0" w:space="0" w:color="auto"/>
        <w:right w:val="none" w:sz="0" w:space="0" w:color="auto"/>
      </w:divBdr>
    </w:div>
    <w:div w:id="1506749259">
      <w:bodyDiv w:val="1"/>
      <w:marLeft w:val="0"/>
      <w:marRight w:val="0"/>
      <w:marTop w:val="0"/>
      <w:marBottom w:val="0"/>
      <w:divBdr>
        <w:top w:val="none" w:sz="0" w:space="0" w:color="auto"/>
        <w:left w:val="none" w:sz="0" w:space="0" w:color="auto"/>
        <w:bottom w:val="none" w:sz="0" w:space="0" w:color="auto"/>
        <w:right w:val="none" w:sz="0" w:space="0" w:color="auto"/>
      </w:divBdr>
    </w:div>
    <w:div w:id="1521316462">
      <w:bodyDiv w:val="1"/>
      <w:marLeft w:val="0"/>
      <w:marRight w:val="0"/>
      <w:marTop w:val="0"/>
      <w:marBottom w:val="0"/>
      <w:divBdr>
        <w:top w:val="none" w:sz="0" w:space="0" w:color="auto"/>
        <w:left w:val="none" w:sz="0" w:space="0" w:color="auto"/>
        <w:bottom w:val="none" w:sz="0" w:space="0" w:color="auto"/>
        <w:right w:val="none" w:sz="0" w:space="0" w:color="auto"/>
      </w:divBdr>
      <w:divsChild>
        <w:div w:id="451941420">
          <w:marLeft w:val="0"/>
          <w:marRight w:val="0"/>
          <w:marTop w:val="0"/>
          <w:marBottom w:val="0"/>
          <w:divBdr>
            <w:top w:val="none" w:sz="0" w:space="0" w:color="auto"/>
            <w:left w:val="none" w:sz="0" w:space="0" w:color="auto"/>
            <w:bottom w:val="none" w:sz="0" w:space="0" w:color="auto"/>
            <w:right w:val="none" w:sz="0" w:space="0" w:color="auto"/>
          </w:divBdr>
          <w:divsChild>
            <w:div w:id="18466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798">
      <w:bodyDiv w:val="1"/>
      <w:marLeft w:val="0"/>
      <w:marRight w:val="0"/>
      <w:marTop w:val="0"/>
      <w:marBottom w:val="0"/>
      <w:divBdr>
        <w:top w:val="none" w:sz="0" w:space="0" w:color="auto"/>
        <w:left w:val="none" w:sz="0" w:space="0" w:color="auto"/>
        <w:bottom w:val="none" w:sz="0" w:space="0" w:color="auto"/>
        <w:right w:val="none" w:sz="0" w:space="0" w:color="auto"/>
      </w:divBdr>
    </w:div>
    <w:div w:id="1758987201">
      <w:bodyDiv w:val="1"/>
      <w:marLeft w:val="0"/>
      <w:marRight w:val="0"/>
      <w:marTop w:val="0"/>
      <w:marBottom w:val="0"/>
      <w:divBdr>
        <w:top w:val="none" w:sz="0" w:space="0" w:color="auto"/>
        <w:left w:val="none" w:sz="0" w:space="0" w:color="auto"/>
        <w:bottom w:val="none" w:sz="0" w:space="0" w:color="auto"/>
        <w:right w:val="none" w:sz="0" w:space="0" w:color="auto"/>
      </w:divBdr>
    </w:div>
    <w:div w:id="1862358257">
      <w:bodyDiv w:val="1"/>
      <w:marLeft w:val="0"/>
      <w:marRight w:val="0"/>
      <w:marTop w:val="0"/>
      <w:marBottom w:val="0"/>
      <w:divBdr>
        <w:top w:val="none" w:sz="0" w:space="0" w:color="auto"/>
        <w:left w:val="none" w:sz="0" w:space="0" w:color="auto"/>
        <w:bottom w:val="none" w:sz="0" w:space="0" w:color="auto"/>
        <w:right w:val="none" w:sz="0" w:space="0" w:color="auto"/>
      </w:divBdr>
    </w:div>
    <w:div w:id="1894536200">
      <w:bodyDiv w:val="1"/>
      <w:marLeft w:val="0"/>
      <w:marRight w:val="0"/>
      <w:marTop w:val="0"/>
      <w:marBottom w:val="0"/>
      <w:divBdr>
        <w:top w:val="none" w:sz="0" w:space="0" w:color="auto"/>
        <w:left w:val="none" w:sz="0" w:space="0" w:color="auto"/>
        <w:bottom w:val="none" w:sz="0" w:space="0" w:color="auto"/>
        <w:right w:val="none" w:sz="0" w:space="0" w:color="auto"/>
      </w:divBdr>
    </w:div>
    <w:div w:id="1900511057">
      <w:bodyDiv w:val="1"/>
      <w:marLeft w:val="0"/>
      <w:marRight w:val="0"/>
      <w:marTop w:val="0"/>
      <w:marBottom w:val="0"/>
      <w:divBdr>
        <w:top w:val="none" w:sz="0" w:space="0" w:color="auto"/>
        <w:left w:val="none" w:sz="0" w:space="0" w:color="auto"/>
        <w:bottom w:val="none" w:sz="0" w:space="0" w:color="auto"/>
        <w:right w:val="none" w:sz="0" w:space="0" w:color="auto"/>
      </w:divBdr>
    </w:div>
    <w:div w:id="1994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im.2008.06.001" TargetMode="External"/><Relationship Id="rId4" Type="http://schemas.openxmlformats.org/officeDocument/2006/relationships/settings" Target="settings.xml"/><Relationship Id="rId9" Type="http://schemas.openxmlformats.org/officeDocument/2006/relationships/hyperlink" Target="https://doi.org/10.31154/cogito.v6i2.277.229-23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12BB-53D8-427A-B951-94FA7950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10850</Words>
  <Characters>61851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19</cp:revision>
  <cp:lastPrinted>2024-06-18T03:03:00Z</cp:lastPrinted>
  <dcterms:created xsi:type="dcterms:W3CDTF">2025-07-23T00:57:00Z</dcterms:created>
  <dcterms:modified xsi:type="dcterms:W3CDTF">2025-07-23T12:29:00Z</dcterms:modified>
</cp:coreProperties>
</file>