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A9A63" w14:textId="4F3CE968" w:rsidR="00754C9A" w:rsidRDefault="00D13E51" w:rsidP="00441B6F">
      <w:pPr>
        <w:pStyle w:val="Title"/>
        <w:spacing w:after="0"/>
        <w:jc w:val="both"/>
        <w:rPr>
          <w:rFonts w:ascii="Arial" w:hAnsi="Arial" w:cs="Arial"/>
        </w:rPr>
      </w:pPr>
      <w:r w:rsidRPr="00D13E51">
        <w:rPr>
          <w:rFonts w:ascii="Arial" w:hAnsi="Arial" w:cs="Arial"/>
        </w:rPr>
        <w:t>Original Research Article</w:t>
      </w:r>
    </w:p>
    <w:p w14:paraId="5205E957" w14:textId="77777777" w:rsidR="00D13E51" w:rsidRDefault="00D13E51" w:rsidP="00441B6F">
      <w:pPr>
        <w:pStyle w:val="Title"/>
        <w:spacing w:after="0"/>
        <w:jc w:val="both"/>
        <w:rPr>
          <w:rFonts w:ascii="Arial" w:hAnsi="Arial" w:cs="Arial"/>
        </w:rPr>
      </w:pPr>
    </w:p>
    <w:p w14:paraId="60CB7D51" w14:textId="77777777" w:rsidR="00D13E51" w:rsidRDefault="00D13E51" w:rsidP="00441B6F">
      <w:pPr>
        <w:pStyle w:val="Title"/>
        <w:spacing w:after="0"/>
        <w:jc w:val="both"/>
        <w:rPr>
          <w:rFonts w:ascii="Arial" w:hAnsi="Arial" w:cs="Arial"/>
        </w:rPr>
      </w:pPr>
    </w:p>
    <w:p w14:paraId="40A2EECB" w14:textId="57D428B2" w:rsidR="00B41E87" w:rsidRPr="00B41E87" w:rsidRDefault="00B41E87" w:rsidP="00B41E87">
      <w:pPr>
        <w:pStyle w:val="Author"/>
        <w:spacing w:line="240" w:lineRule="auto"/>
        <w:rPr>
          <w:rFonts w:ascii="Arial" w:hAnsi="Arial" w:cs="Arial"/>
          <w:bCs/>
          <w:iCs/>
          <w:kern w:val="28"/>
          <w:sz w:val="36"/>
        </w:rPr>
      </w:pPr>
      <w:r w:rsidRPr="00B41E87">
        <w:rPr>
          <w:rFonts w:ascii="Arial" w:hAnsi="Arial" w:cs="Arial"/>
          <w:bCs/>
          <w:iCs/>
          <w:kern w:val="28"/>
          <w:sz w:val="36"/>
        </w:rPr>
        <w:t xml:space="preserve">Analysis </w:t>
      </w:r>
      <w:r>
        <w:rPr>
          <w:rFonts w:ascii="Arial" w:hAnsi="Arial" w:cs="Arial"/>
          <w:bCs/>
          <w:iCs/>
          <w:kern w:val="28"/>
          <w:sz w:val="36"/>
        </w:rPr>
        <w:t>o</w:t>
      </w:r>
      <w:r w:rsidRPr="00B41E87">
        <w:rPr>
          <w:rFonts w:ascii="Arial" w:hAnsi="Arial" w:cs="Arial"/>
          <w:bCs/>
          <w:iCs/>
          <w:kern w:val="28"/>
          <w:sz w:val="36"/>
        </w:rPr>
        <w:t xml:space="preserve">f </w:t>
      </w:r>
      <w:r>
        <w:rPr>
          <w:rFonts w:ascii="Arial" w:hAnsi="Arial" w:cs="Arial"/>
          <w:bCs/>
          <w:iCs/>
          <w:kern w:val="28"/>
          <w:sz w:val="36"/>
        </w:rPr>
        <w:t>t</w:t>
      </w:r>
      <w:r w:rsidRPr="00B41E87">
        <w:rPr>
          <w:rFonts w:ascii="Arial" w:hAnsi="Arial" w:cs="Arial"/>
          <w:bCs/>
          <w:iCs/>
          <w:kern w:val="28"/>
          <w:sz w:val="36"/>
        </w:rPr>
        <w:t xml:space="preserve">he Perception </w:t>
      </w:r>
      <w:r>
        <w:rPr>
          <w:rFonts w:ascii="Arial" w:hAnsi="Arial" w:cs="Arial"/>
          <w:bCs/>
          <w:iCs/>
          <w:kern w:val="28"/>
          <w:sz w:val="36"/>
        </w:rPr>
        <w:t>o</w:t>
      </w:r>
      <w:r w:rsidRPr="00B41E87">
        <w:rPr>
          <w:rFonts w:ascii="Arial" w:hAnsi="Arial" w:cs="Arial"/>
          <w:bCs/>
          <w:iCs/>
          <w:kern w:val="28"/>
          <w:sz w:val="36"/>
        </w:rPr>
        <w:t xml:space="preserve">f </w:t>
      </w:r>
      <w:r>
        <w:rPr>
          <w:rFonts w:ascii="Arial" w:hAnsi="Arial" w:cs="Arial"/>
          <w:bCs/>
          <w:iCs/>
          <w:kern w:val="28"/>
          <w:sz w:val="36"/>
        </w:rPr>
        <w:t>t</w:t>
      </w:r>
      <w:r w:rsidRPr="00B41E87">
        <w:rPr>
          <w:rFonts w:ascii="Arial" w:hAnsi="Arial" w:cs="Arial"/>
          <w:bCs/>
          <w:iCs/>
          <w:kern w:val="28"/>
          <w:sz w:val="36"/>
        </w:rPr>
        <w:t xml:space="preserve">he Academic Society Against Fraud Prevention Strategies </w:t>
      </w:r>
      <w:r>
        <w:rPr>
          <w:rFonts w:ascii="Arial" w:hAnsi="Arial" w:cs="Arial"/>
          <w:bCs/>
          <w:iCs/>
          <w:kern w:val="28"/>
          <w:sz w:val="36"/>
        </w:rPr>
        <w:t>i</w:t>
      </w:r>
      <w:r w:rsidRPr="00B41E87">
        <w:rPr>
          <w:rFonts w:ascii="Arial" w:hAnsi="Arial" w:cs="Arial"/>
          <w:bCs/>
          <w:iCs/>
          <w:kern w:val="28"/>
          <w:sz w:val="36"/>
        </w:rPr>
        <w:t>n Higher Education</w:t>
      </w:r>
    </w:p>
    <w:p w14:paraId="12E1900D" w14:textId="7903B0CE"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9AD394C" w14:textId="77777777" w:rsidR="002C57D2" w:rsidRPr="00FB3A86" w:rsidRDefault="002C57D2" w:rsidP="00441B6F">
      <w:pPr>
        <w:pStyle w:val="Affiliation"/>
        <w:spacing w:after="0" w:line="240" w:lineRule="auto"/>
        <w:jc w:val="both"/>
        <w:rPr>
          <w:rFonts w:ascii="Arial" w:hAnsi="Arial" w:cs="Arial"/>
        </w:rPr>
      </w:pPr>
    </w:p>
    <w:p w14:paraId="657C0853" w14:textId="38DE129E" w:rsidR="00B01FCD" w:rsidRPr="00FB3A86" w:rsidRDefault="00FE2A4C" w:rsidP="00441B6F">
      <w:pPr>
        <w:pStyle w:val="Copyright"/>
        <w:spacing w:after="0" w:line="240" w:lineRule="auto"/>
        <w:jc w:val="both"/>
        <w:rPr>
          <w:rFonts w:ascii="Arial" w:hAnsi="Arial" w:cs="Arial"/>
        </w:rPr>
        <w:sectPr w:rsidR="00B01FCD" w:rsidRPr="00FB3A86" w:rsidSect="005011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4E1E4B" wp14:editId="18C0D5FD">
                <wp:extent cx="5303520" cy="635"/>
                <wp:effectExtent l="13335" t="13335" r="17145" b="15240"/>
                <wp:docPr id="2674495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ABA1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25851AF" w14:textId="52AF61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14298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E14794" w14:textId="77777777" w:rsidTr="001E44FE">
        <w:tc>
          <w:tcPr>
            <w:tcW w:w="9576" w:type="dxa"/>
            <w:shd w:val="clear" w:color="auto" w:fill="F2F2F2"/>
          </w:tcPr>
          <w:p w14:paraId="2F4DCB63" w14:textId="77777777" w:rsidR="00E3114E" w:rsidRDefault="00E3114E" w:rsidP="00441B6F">
            <w:pPr>
              <w:pStyle w:val="Body"/>
              <w:spacing w:after="0"/>
              <w:rPr>
                <w:rFonts w:ascii="Arial" w:eastAsia="Calibri" w:hAnsi="Arial" w:cs="Arial"/>
                <w:b/>
                <w:szCs w:val="22"/>
              </w:rPr>
            </w:pPr>
          </w:p>
          <w:p w14:paraId="568063B7" w14:textId="7B6F223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B41E87">
              <w:rPr>
                <w:rFonts w:ascii="Arial" w:eastAsia="Calibri" w:hAnsi="Arial" w:cs="Arial"/>
                <w:b/>
                <w:szCs w:val="22"/>
              </w:rPr>
              <w:t xml:space="preserve"> </w:t>
            </w:r>
            <w:r w:rsidR="00B41E87" w:rsidRPr="00B41E87">
              <w:rPr>
                <w:rFonts w:ascii="Arial" w:eastAsia="Calibri" w:hAnsi="Arial" w:cs="Arial"/>
                <w:szCs w:val="22"/>
              </w:rPr>
              <w:t>Fraud in the higher education environment is becoming increasingly complex, involving a range of violations that span from academic manipulation to financial abuse. This study aims to analyze the differences in perceptions of fraud prevention strategies based on academic status (students, lecturers, and education personnel). Fraud prevention strategies are examined through four main dimensions: prevention, detection, investigation, and sanctions, as well as monitoring and evaluation.</w:t>
            </w:r>
          </w:p>
          <w:p w14:paraId="03766ACD" w14:textId="1560BF58" w:rsidR="00BA1B01" w:rsidRPr="00BA1B01" w:rsidRDefault="005547E2" w:rsidP="00441B6F">
            <w:pPr>
              <w:pStyle w:val="Body"/>
              <w:spacing w:after="0"/>
              <w:rPr>
                <w:rFonts w:ascii="Arial" w:eastAsia="Calibri" w:hAnsi="Arial" w:cs="Arial"/>
                <w:szCs w:val="22"/>
              </w:rPr>
            </w:pPr>
            <w:r>
              <w:rPr>
                <w:rFonts w:ascii="Arial" w:eastAsia="Calibri" w:hAnsi="Arial" w:cs="Arial"/>
                <w:b/>
                <w:szCs w:val="22"/>
              </w:rPr>
              <w:t>Population and Sample</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5547E2">
              <w:rPr>
                <w:rFonts w:ascii="Arial" w:eastAsia="Calibri" w:hAnsi="Arial" w:cs="Arial"/>
                <w:szCs w:val="22"/>
              </w:rPr>
              <w:t>The population in this study consisted of academicians in the college environment, including students, lecturers, and educational personnel. Sampling techniques were employed using purposive sampling, with participants meeting the criteria of having at least one year of experience in higher education institutions.</w:t>
            </w:r>
          </w:p>
          <w:p w14:paraId="70EBF79D" w14:textId="36B4C78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41E87" w:rsidRPr="00B41E87">
              <w:rPr>
                <w:rFonts w:ascii="Arial" w:eastAsia="Calibri" w:hAnsi="Arial" w:cs="Arial"/>
                <w:szCs w:val="22"/>
              </w:rPr>
              <w:t>A quantitative approach was employed in comparative drug design and multivariate analysis of variance (MANOVA) to analyze data from 161 respondents obtained through purposive sampling.</w:t>
            </w:r>
          </w:p>
          <w:p w14:paraId="27872445" w14:textId="72D5CE7B" w:rsidR="00BA1B01" w:rsidRPr="00B41E87" w:rsidRDefault="00BA1B01" w:rsidP="00B41E87">
            <w:pPr>
              <w:spacing w:line="23" w:lineRule="atLeast"/>
              <w:contextualSpacing/>
              <w:jc w:val="both"/>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41E87" w:rsidRPr="00B41E87">
              <w:rPr>
                <w:rFonts w:ascii="Arial" w:eastAsia="Calibri" w:hAnsi="Arial" w:cs="Arial"/>
                <w:szCs w:val="22"/>
              </w:rPr>
              <w:t xml:space="preserve">The instrument was adapted from the Fraud Triangle and Fraud Diamond theories, as well as the COSO control framework. The MANOVA results show that academic status has a significant effect on the perception of the fraud prevention strategy (p &lt; 0.05). Significant differences were found in the dimensions of detection, investigation, and monitoring, where lecturers had higher perceptions than students. </w:t>
            </w:r>
          </w:p>
          <w:p w14:paraId="096F0361" w14:textId="48FE24E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41E87" w:rsidRPr="00B41E87">
              <w:rPr>
                <w:rFonts w:ascii="Arial" w:eastAsia="Calibri" w:hAnsi="Arial" w:cs="Arial"/>
                <w:szCs w:val="22"/>
              </w:rPr>
              <w:t>This finding confirms the importance of a participatory approach to designing fraud prevention strategies that involve all elements of the academic community. Equitable anti-fraud literacy training is recommended to strengthen collective supervision and foster a culture of integrity in higher education institutions.</w:t>
            </w:r>
          </w:p>
        </w:tc>
      </w:tr>
    </w:tbl>
    <w:p w14:paraId="1783BA1B" w14:textId="77777777" w:rsidR="00636EB2" w:rsidRDefault="00636EB2" w:rsidP="00441B6F">
      <w:pPr>
        <w:pStyle w:val="Body"/>
        <w:spacing w:after="0"/>
        <w:rPr>
          <w:rFonts w:ascii="Arial" w:hAnsi="Arial" w:cs="Arial"/>
          <w:i/>
        </w:rPr>
      </w:pPr>
    </w:p>
    <w:p w14:paraId="21EB721F" w14:textId="77777777" w:rsidR="00B41E87" w:rsidRPr="003704CB" w:rsidRDefault="00A24E7E" w:rsidP="00B41E87">
      <w:pPr>
        <w:spacing w:line="23" w:lineRule="atLeast"/>
        <w:contextualSpacing/>
        <w:jc w:val="both"/>
        <w:rPr>
          <w:rFonts w:ascii="Times New Roman" w:hAnsi="Times New Roman"/>
          <w:sz w:val="24"/>
          <w:szCs w:val="24"/>
          <w:lang w:val="id-ID"/>
        </w:rPr>
      </w:pPr>
      <w:r>
        <w:rPr>
          <w:rFonts w:ascii="Arial" w:hAnsi="Arial" w:cs="Arial"/>
          <w:i/>
        </w:rPr>
        <w:t xml:space="preserve">Keywords: </w:t>
      </w:r>
      <w:r w:rsidR="00B41E87" w:rsidRPr="00B41E87">
        <w:rPr>
          <w:rFonts w:ascii="Arial" w:hAnsi="Arial" w:cs="Arial"/>
          <w:i/>
        </w:rPr>
        <w:t>Academic Status, Higher Education, Fraud, Prevention, Perception</w:t>
      </w:r>
    </w:p>
    <w:p w14:paraId="6B852C54" w14:textId="77777777" w:rsidR="00790ADA" w:rsidRDefault="00790ADA" w:rsidP="00441B6F">
      <w:pPr>
        <w:pStyle w:val="Body"/>
        <w:spacing w:after="0"/>
        <w:rPr>
          <w:rFonts w:ascii="Arial" w:hAnsi="Arial" w:cs="Arial"/>
          <w:i/>
        </w:rPr>
      </w:pPr>
    </w:p>
    <w:p w14:paraId="71F5FAD5" w14:textId="77777777" w:rsidR="005547E2" w:rsidRDefault="005547E2" w:rsidP="00441B6F">
      <w:pPr>
        <w:pStyle w:val="Body"/>
        <w:spacing w:after="0"/>
        <w:rPr>
          <w:rFonts w:ascii="Arial" w:hAnsi="Arial" w:cs="Arial"/>
          <w:i/>
        </w:rPr>
      </w:pPr>
    </w:p>
    <w:p w14:paraId="76210D95" w14:textId="77777777" w:rsidR="00505F06" w:rsidRDefault="00505F06" w:rsidP="00441B6F">
      <w:pPr>
        <w:pStyle w:val="Body"/>
        <w:spacing w:after="0"/>
        <w:rPr>
          <w:rFonts w:ascii="Arial" w:hAnsi="Arial" w:cs="Arial"/>
          <w:i/>
        </w:rPr>
      </w:pPr>
    </w:p>
    <w:p w14:paraId="558CF702" w14:textId="77777777" w:rsidR="005108F6" w:rsidRPr="00A24E7E" w:rsidRDefault="005108F6" w:rsidP="00441B6F">
      <w:pPr>
        <w:pStyle w:val="Body"/>
        <w:spacing w:after="0"/>
        <w:rPr>
          <w:rFonts w:ascii="Arial" w:hAnsi="Arial" w:cs="Arial"/>
          <w:i/>
        </w:rPr>
      </w:pPr>
    </w:p>
    <w:p w14:paraId="6D12F760" w14:textId="3C9FAF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CF13D8" w14:textId="77777777" w:rsidR="005108F6" w:rsidRDefault="005108F6" w:rsidP="005108F6">
      <w:pPr>
        <w:pStyle w:val="Body"/>
        <w:spacing w:after="0"/>
        <w:rPr>
          <w:rFonts w:ascii="Arial" w:hAnsi="Arial" w:cs="Arial"/>
        </w:rPr>
      </w:pPr>
    </w:p>
    <w:p w14:paraId="34FD6C18" w14:textId="627807C6" w:rsidR="005108F6" w:rsidRPr="005108F6" w:rsidRDefault="005108F6" w:rsidP="005108F6">
      <w:pPr>
        <w:pStyle w:val="Body"/>
        <w:spacing w:after="0"/>
        <w:rPr>
          <w:rFonts w:ascii="Arial" w:hAnsi="Arial" w:cs="Arial"/>
        </w:rPr>
      </w:pPr>
      <w:r w:rsidRPr="005108F6">
        <w:rPr>
          <w:rFonts w:ascii="Arial" w:hAnsi="Arial" w:cs="Arial"/>
        </w:rPr>
        <w:t xml:space="preserve">Fraud in tertiary institutions has received increasing attention in recent years. Various cases, such as manipulation of values, plagiarism, forgery of academic documents, misuse of research funds, and corruption of internal administration, have tarnished the reputation of higher education institutions in various countries, including Indonesia  </w:t>
      </w:r>
      <w:r w:rsidRPr="005108F6">
        <w:rPr>
          <w:rFonts w:ascii="Arial" w:hAnsi="Arial" w:cs="Arial"/>
        </w:rPr>
        <w:fldChar w:fldCharType="begin">
          <w:fldData xml:space="preserve">PEVuZE5vdGU+PENpdGU+PEF1dGhvcj5IYXJ0YW50bzwvQXV0aG9yPjxZZWFyPjIwMjU8L1llYXI+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</w:fldData>
        </w:fldChar>
      </w:r>
      <w:r w:rsidRPr="005108F6">
        <w:rPr>
          <w:rFonts w:ascii="Arial" w:hAnsi="Arial" w:cs="Arial"/>
        </w:rPr>
        <w:instrText xml:space="preserve"> ADDIN EN.CITE </w:instrText>
      </w:r>
      <w:r w:rsidRPr="005108F6">
        <w:rPr>
          <w:rFonts w:ascii="Arial" w:hAnsi="Arial" w:cs="Arial"/>
        </w:rPr>
        <w:fldChar w:fldCharType="begin">
          <w:fldData xml:space="preserve">PEVuZE5vdGU+PENpdGU+PEF1dGhvcj5IYXJ0YW50bzwvQXV0aG9yPjxZZWFyPjIwMjU8L1llYXI+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</w:fldData>
        </w:fldChar>
      </w:r>
      <w:r w:rsidRPr="005108F6">
        <w:rPr>
          <w:rFonts w:ascii="Arial" w:hAnsi="Arial" w:cs="Arial"/>
        </w:rPr>
        <w:instrText xml:space="preserve"> ADDIN EN.CITE.DATA </w:instrText>
      </w:r>
      <w:r w:rsidRPr="005108F6">
        <w:rPr>
          <w:rFonts w:ascii="Arial" w:hAnsi="Arial" w:cs="Arial"/>
        </w:rPr>
      </w:r>
      <w:r w:rsidRPr="005108F6">
        <w:rPr>
          <w:rFonts w:ascii="Arial" w:hAnsi="Arial" w:cs="Arial"/>
        </w:rPr>
        <w:fldChar w:fldCharType="end"/>
      </w:r>
      <w:r w:rsidRPr="005108F6">
        <w:rPr>
          <w:rFonts w:ascii="Arial" w:hAnsi="Arial" w:cs="Arial"/>
        </w:rPr>
      </w:r>
      <w:r w:rsidRPr="005108F6">
        <w:rPr>
          <w:rFonts w:ascii="Arial" w:hAnsi="Arial" w:cs="Arial"/>
        </w:rPr>
        <w:fldChar w:fldCharType="separate"/>
      </w:r>
      <w:r w:rsidRPr="005108F6">
        <w:rPr>
          <w:rFonts w:ascii="Arial" w:hAnsi="Arial" w:cs="Arial"/>
        </w:rPr>
        <w:t>(Hartanto, Rahayu, Maemunah, &amp; Hernawati, 2025; Julián &amp; Bonavia, 2021; Kirya, 2019)</w:t>
      </w:r>
      <w:r w:rsidRPr="005108F6">
        <w:rPr>
          <w:rFonts w:ascii="Arial" w:hAnsi="Arial" w:cs="Arial"/>
        </w:rPr>
        <w:fldChar w:fldCharType="end"/>
      </w:r>
      <w:r w:rsidRPr="005108F6">
        <w:rPr>
          <w:rFonts w:ascii="Arial" w:hAnsi="Arial" w:cs="Arial"/>
        </w:rPr>
        <w:t xml:space="preserve">. Fraud in higher </w:t>
      </w:r>
      <w:r w:rsidRPr="005108F6">
        <w:rPr>
          <w:rFonts w:ascii="Arial" w:hAnsi="Arial" w:cs="Arial"/>
        </w:rPr>
        <w:lastRenderedPageBreak/>
        <w:t xml:space="preserve">education has a long-term impact, including increased educational debt, loss of public confidence, and damage to academic integrity </w:t>
      </w:r>
      <w:r w:rsidRPr="005108F6">
        <w:rPr>
          <w:rFonts w:ascii="Arial" w:hAnsi="Arial" w:cs="Arial"/>
        </w:rPr>
        <w:fldChar w:fldCharType="begin"/>
      </w:r>
      <w:r w:rsidRPr="005108F6">
        <w:rPr>
          <w:rFonts w:ascii="Arial" w:hAnsi="Arial" w:cs="Arial"/>
        </w:rPr>
        <w:instrText xml:space="preserve"> ADDIN EN.CITE &lt;EndNote&gt;&lt;Cite&gt;&lt;Author&gt;Hartanto&lt;/Author&gt;&lt;Year&gt;2025&lt;/Year&gt;&lt;RecNum&gt;440&lt;/RecNum&gt;&lt;DisplayText&gt;(Hartanto et al., 2025; Smith &amp;amp; Darcus, 2021)&lt;/DisplayText&gt;&lt;record&gt;&lt;rec-number&gt;440&lt;/rec-number&gt;&lt;foreign-keys&gt;&lt;key app="EN" db-id="s2zxra50f5rxe9ezxwnpfswwa5vdvraddzst" timestamp="1742689281"&gt;440&lt;/key&gt;&lt;/foreign-keys&gt;&lt;ref-type name="Journal Article"&gt;17&lt;/ref-type&gt;&lt;contributors&gt;&lt;authors&gt;&lt;author&gt;Hartanto, Rudy&lt;/author&gt;&lt;author&gt;Rahayu, Dwi&lt;/author&gt;&lt;author&gt;Maemunah, Mey&lt;/author&gt;&lt;author&gt;Hernawati, Nopi&lt;/author&gt;&lt;/authors&gt;&lt;/contributors&gt;&lt;titles&gt;&lt;title&gt;Revealing perceptions of corruption behavior in indonesian higher education institutions&lt;/title&gt;&lt;secondary-title&gt;Multidisciplinary Science Journal&lt;/secondary-title&gt;&lt;/titles&gt;&lt;periodical&gt;&lt;full-title&gt;Multidisciplinary Science Journal&lt;/full-title&gt;&lt;/periodical&gt;&lt;pages&gt;2025390-2025390&lt;/pages&gt;&lt;volume&gt;7&lt;/volume&gt;&lt;number&gt;8&lt;/number&gt;&lt;dates&gt;&lt;year&gt;2025&lt;/year&gt;&lt;/dates&gt;&lt;isbn&gt;2675-1240&lt;/isbn&gt;&lt;urls&gt;&lt;/urls&gt;&lt;/record&gt;&lt;/Cite&gt;&lt;Cite&gt;&lt;Author&gt;Smith&lt;/Author&gt;&lt;Year&gt;2021&lt;/Year&gt;&lt;RecNum&gt;682&lt;/RecNum&gt;&lt;record&gt;&lt;rec-number&gt;682&lt;/rec-number&gt;&lt;foreign-keys&gt;&lt;key app="EN" db-id="s2zxra50f5rxe9ezxwnpfswwa5vdvraddzst" timestamp="1752390827"&gt;682&lt;/key&gt;&lt;/foreign-keys&gt;&lt;ref-type name="Journal Article"&gt;17&lt;/ref-type&gt;&lt;contributors&gt;&lt;authors&gt;&lt;author&gt;Smith, Robyn&lt;/author&gt;&lt;author&gt;Darcus, Joanna K&lt;/author&gt;&lt;/authors&gt;&lt;/contributors&gt;&lt;titles&gt;&lt;title&gt;How States Can Help Students Harmed by Higher Education Fraud&lt;/title&gt;&lt;/titles&gt;&lt;dates&gt;&lt;year&gt;2021&lt;/year&gt;&lt;/dates&gt;&lt;urls&gt;&lt;/urls&gt;&lt;/record&gt;&lt;/Cite&gt;&lt;/EndNote&gt;</w:instrText>
      </w:r>
      <w:r w:rsidRPr="005108F6">
        <w:rPr>
          <w:rFonts w:ascii="Arial" w:hAnsi="Arial" w:cs="Arial"/>
        </w:rPr>
        <w:fldChar w:fldCharType="separate"/>
      </w:r>
      <w:r w:rsidRPr="005108F6">
        <w:rPr>
          <w:rFonts w:ascii="Arial" w:hAnsi="Arial" w:cs="Arial"/>
        </w:rPr>
        <w:t>(Hartanto et al., 2025; Smith &amp; Darcus, 2021)</w:t>
      </w:r>
      <w:r w:rsidRPr="005108F6">
        <w:rPr>
          <w:rFonts w:ascii="Arial" w:hAnsi="Arial" w:cs="Arial"/>
        </w:rPr>
        <w:fldChar w:fldCharType="end"/>
      </w:r>
      <w:r w:rsidRPr="005108F6">
        <w:rPr>
          <w:rFonts w:ascii="Arial" w:hAnsi="Arial" w:cs="Arial"/>
        </w:rPr>
        <w:t>. Educational institutions, which should be the guardians of intellectual integrity, often become epicenters of ethical deviation and governance failure. This indicates that fraud control in the campus environment is insufficient solely through an administrative approach but requires a systemic, participatory, and integrated prevention strategy that encompasses all levels of the academic community.</w:t>
      </w:r>
    </w:p>
    <w:p w14:paraId="6DA71E9C" w14:textId="77777777" w:rsidR="005108F6" w:rsidRDefault="005108F6" w:rsidP="005108F6">
      <w:pPr>
        <w:pStyle w:val="Body"/>
        <w:spacing w:after="0"/>
        <w:rPr>
          <w:rFonts w:ascii="Arial" w:hAnsi="Arial" w:cs="Arial"/>
        </w:rPr>
      </w:pPr>
    </w:p>
    <w:p w14:paraId="7928A2CA" w14:textId="0278C195" w:rsidR="005108F6" w:rsidRPr="005108F6" w:rsidRDefault="005108F6" w:rsidP="005108F6">
      <w:pPr>
        <w:pStyle w:val="Body"/>
        <w:spacing w:after="0"/>
        <w:rPr>
          <w:rFonts w:ascii="Arial" w:hAnsi="Arial" w:cs="Arial"/>
        </w:rPr>
      </w:pPr>
      <w:r w:rsidRPr="005108F6">
        <w:rPr>
          <w:rFonts w:ascii="Arial" w:hAnsi="Arial" w:cs="Arial"/>
        </w:rPr>
        <w:t xml:space="preserve">Research conducted over the last decade has significantly contributed to our understanding of the structural dimensions of fraud prevention. </w:t>
      </w:r>
      <w:r w:rsidRPr="005108F6">
        <w:rPr>
          <w:rFonts w:ascii="Arial" w:hAnsi="Arial" w:cs="Arial"/>
        </w:rPr>
        <w:fldChar w:fldCharType="begin"/>
      </w:r>
      <w:r w:rsidRPr="005108F6">
        <w:rPr>
          <w:rFonts w:ascii="Arial" w:hAnsi="Arial" w:cs="Arial"/>
        </w:rPr>
        <w:instrText xml:space="preserve"> ADDIN EN.CITE &lt;EndNote&gt;&lt;Cite AuthorYear="1"&gt;&lt;Author&gt;Wolfe&lt;/Author&gt;&lt;Year&gt;2014&lt;/Year&gt;&lt;RecNum&gt;578&lt;/RecNum&gt;&lt;DisplayText&gt;Wolfe and Hermanson (2014)&lt;/DisplayText&gt;&lt;record&gt;&lt;rec-number&gt;578&lt;/rec-number&gt;&lt;foreign-keys&gt;&lt;key app="EN" db-id="s2zxra50f5rxe9ezxwnpfswwa5vdvraddzst" timestamp="1749057114"&gt;578&lt;/key&gt;&lt;/foreign-keys&gt;&lt;ref-type name="Journal Article"&gt;17&lt;/ref-type&gt;&lt;contributors&gt;&lt;authors&gt;&lt;author&gt;Wolfe, David T&lt;/author&gt;&lt;author&gt;Hermanson, Dana R&lt;/author&gt;&lt;/authors&gt;&lt;/contributors&gt;&lt;titles&gt;&lt;title&gt;The fraud diamond: Considering the four elements of fraud&lt;/title&gt;&lt;/titles&gt;&lt;dates&gt;&lt;year&gt;2014&lt;/year&gt;&lt;/dates&gt;&lt;urls&gt;&lt;/urls&gt;&lt;/record&gt;&lt;/Cite&gt;&lt;/EndNote&gt;</w:instrText>
      </w:r>
      <w:r w:rsidRPr="005108F6">
        <w:rPr>
          <w:rFonts w:ascii="Arial" w:hAnsi="Arial" w:cs="Arial"/>
        </w:rPr>
        <w:fldChar w:fldCharType="separate"/>
      </w:r>
      <w:r w:rsidRPr="005108F6">
        <w:rPr>
          <w:rFonts w:ascii="Arial" w:hAnsi="Arial" w:cs="Arial"/>
        </w:rPr>
        <w:t>Wolfe and Hermanson (2014)</w:t>
      </w:r>
      <w:r w:rsidRPr="005108F6">
        <w:rPr>
          <w:rFonts w:ascii="Arial" w:hAnsi="Arial" w:cs="Arial"/>
        </w:rPr>
        <w:fldChar w:fldCharType="end"/>
      </w:r>
      <w:r w:rsidRPr="005108F6">
        <w:rPr>
          <w:rFonts w:ascii="Arial" w:hAnsi="Arial" w:cs="Arial"/>
        </w:rPr>
        <w:t xml:space="preserve"> introduced the development of the Fraud Triangle Theory into the Fraud Diamond by adding capability elements, which emphasize the importance of the organizational system in detecting and preventing fraud. </w:t>
      </w:r>
      <w:r w:rsidRPr="005108F6">
        <w:rPr>
          <w:rFonts w:ascii="Arial" w:hAnsi="Arial" w:cs="Arial"/>
        </w:rPr>
        <w:fldChar w:fldCharType="begin"/>
      </w:r>
      <w:r w:rsidRPr="005108F6">
        <w:rPr>
          <w:rFonts w:ascii="Arial" w:hAnsi="Arial" w:cs="Arial"/>
        </w:rPr>
        <w:instrText xml:space="preserve"> ADDIN EN.CITE &lt;EndNote&gt;&lt;Cite AuthorYear="1"&gt;&lt;Author&gt;Omer&lt;/Author&gt;&lt;Year&gt;2018&lt;/Year&gt;&lt;RecNum&gt;674&lt;/RecNum&gt;&lt;DisplayText&gt;Omer, Sharp, and Wang (2018)&lt;/DisplayText&gt;&lt;record&gt;&lt;rec-number&gt;674&lt;/rec-number&gt;&lt;foreign-keys&gt;&lt;key app="EN" db-id="s2zxra50f5rxe9ezxwnpfswwa5vdvraddzst" timestamp="1752339841"&gt;674&lt;/key&gt;&lt;/foreign-keys&gt;&lt;ref-type name="Journal Article"&gt;17&lt;/ref-type&gt;&lt;contributors&gt;&lt;authors&gt;&lt;author&gt;Omer, Thomas C&lt;/author&gt;&lt;author&gt;Sharp, Nathan Y&lt;/author&gt;&lt;author&gt;Wang, Dechun&lt;/author&gt;&lt;/authors&gt;&lt;/contributors&gt;&lt;titles&gt;&lt;title&gt;The impact of religion on the going concern reporting decisions of local audit offices&lt;/title&gt;&lt;secondary-title&gt;Journal of Business Ethics&lt;/secondary-title&gt;&lt;/titles&gt;&lt;periodical&gt;&lt;full-title&gt;Journal of business ethics&lt;/full-title&gt;&lt;/periodical&gt;&lt;pages&gt;811-831&lt;/pages&gt;&lt;volume&gt;149&lt;/volume&gt;&lt;number&gt;4&lt;/number&gt;&lt;dates&gt;&lt;year&gt;2018&lt;/year&gt;&lt;/dates&gt;&lt;isbn&gt;0167-4544&lt;/isbn&gt;&lt;urls&gt;&lt;/urls&gt;&lt;/record&gt;&lt;/Cite&gt;&lt;/EndNote&gt;</w:instrText>
      </w:r>
      <w:r w:rsidRPr="005108F6">
        <w:rPr>
          <w:rFonts w:ascii="Arial" w:hAnsi="Arial" w:cs="Arial"/>
        </w:rPr>
        <w:fldChar w:fldCharType="separate"/>
      </w:r>
      <w:r w:rsidRPr="005108F6">
        <w:rPr>
          <w:rFonts w:ascii="Arial" w:hAnsi="Arial" w:cs="Arial"/>
        </w:rPr>
        <w:t>Omer, Sharp, and Wang (2018)</w:t>
      </w:r>
      <w:r w:rsidRPr="005108F6">
        <w:rPr>
          <w:rFonts w:ascii="Arial" w:hAnsi="Arial" w:cs="Arial"/>
        </w:rPr>
        <w:fldChar w:fldCharType="end"/>
      </w:r>
      <w:r w:rsidRPr="005108F6">
        <w:rPr>
          <w:rFonts w:ascii="Arial" w:hAnsi="Arial" w:cs="Arial"/>
        </w:rPr>
        <w:t xml:space="preserve"> demonstrate that the effectiveness of internal controls influences fraud prevention in the education sector. </w:t>
      </w:r>
      <w:r w:rsidRPr="005108F6">
        <w:rPr>
          <w:rFonts w:ascii="Arial" w:hAnsi="Arial" w:cs="Arial"/>
        </w:rPr>
        <w:fldChar w:fldCharType="begin"/>
      </w:r>
      <w:r w:rsidRPr="005108F6">
        <w:rPr>
          <w:rFonts w:ascii="Arial" w:hAnsi="Arial" w:cs="Arial"/>
        </w:rPr>
        <w:instrText xml:space="preserve"> ADDIN EN.CITE &lt;EndNote&gt;&lt;Cite AuthorYear="1"&gt;&lt;Author&gt;Dorminey&lt;/Author&gt;&lt;Year&gt;2012&lt;/Year&gt;&lt;RecNum&gt;675&lt;/RecNum&gt;&lt;DisplayText&gt;Dorminey, Fleming, Kranacher, and Riley Jr (2012)&lt;/DisplayText&gt;&lt;record&gt;&lt;rec-number&gt;675&lt;/rec-number&gt;&lt;foreign-keys&gt;&lt;key app="EN" db-id="s2zxra50f5rxe9ezxwnpfswwa5vdvraddzst" timestamp="1752342101"&gt;675&lt;/key&gt;&lt;/foreign-keys&gt;&lt;ref-type name="Journal Article"&gt;17&lt;/ref-type&gt;&lt;contributors&gt;&lt;authors&gt;&lt;author&gt;Dorminey, Jack&lt;/author&gt;&lt;author&gt;Fleming, A Scott&lt;/author&gt;&lt;author&gt;Kranacher, Mary-Jo&lt;/author&gt;&lt;author&gt;Riley Jr, Richard A&lt;/author&gt;&lt;/authors&gt;&lt;/contributors&gt;&lt;titles&gt;&lt;title&gt;The evolution of fraud theory&lt;/title&gt;&lt;secondary-title&gt;Issues in accounting education&lt;/secondary-title&gt;&lt;/titles&gt;&lt;periodical&gt;&lt;full-title&gt;Issues in accounting education&lt;/full-title&gt;&lt;/periodical&gt;&lt;pages&gt;555-579&lt;/pages&gt;&lt;volume&gt;27&lt;/volume&gt;&lt;number&gt;2&lt;/number&gt;&lt;dates&gt;&lt;year&gt;2012&lt;/year&gt;&lt;/dates&gt;&lt;isbn&gt;0739-3172&lt;/isbn&gt;&lt;urls&gt;&lt;/urls&gt;&lt;/record&gt;&lt;/Cite&gt;&lt;/EndNote&gt;</w:instrText>
      </w:r>
      <w:r w:rsidRPr="005108F6">
        <w:rPr>
          <w:rFonts w:ascii="Arial" w:hAnsi="Arial" w:cs="Arial"/>
        </w:rPr>
        <w:fldChar w:fldCharType="separate"/>
      </w:r>
      <w:r w:rsidRPr="005108F6">
        <w:rPr>
          <w:rFonts w:ascii="Arial" w:hAnsi="Arial" w:cs="Arial"/>
        </w:rPr>
        <w:t>Dorminey, Fleming, Kranacher, and Riley Jr (2012)</w:t>
      </w:r>
      <w:r w:rsidRPr="005108F6">
        <w:rPr>
          <w:rFonts w:ascii="Arial" w:hAnsi="Arial" w:cs="Arial"/>
        </w:rPr>
        <w:fldChar w:fldCharType="end"/>
      </w:r>
      <w:r w:rsidRPr="005108F6">
        <w:rPr>
          <w:rFonts w:ascii="Arial" w:hAnsi="Arial" w:cs="Arial"/>
        </w:rPr>
        <w:t xml:space="preserve"> emphasize that fraud is a dynamic process that requires a sustainable evaluation system. Conversely,</w:t>
      </w:r>
      <w:r w:rsidRPr="005108F6">
        <w:rPr>
          <w:rFonts w:ascii="Arial" w:hAnsi="Arial" w:cs="Arial"/>
        </w:rPr>
        <w:fldChar w:fldCharType="begin"/>
      </w:r>
      <w:r w:rsidRPr="005108F6">
        <w:rPr>
          <w:rFonts w:ascii="Arial" w:hAnsi="Arial" w:cs="Arial"/>
        </w:rPr>
        <w:instrText xml:space="preserve"> ADDIN EN.CITE &lt;EndNote&gt;&lt;Cite AuthorYear="1"&gt;&lt;Author&gt;Couchoux&lt;/Author&gt;&lt;Year&gt;2024&lt;/Year&gt;&lt;RecNum&gt;689&lt;/RecNum&gt;&lt;DisplayText&gt;Couchoux (2024)&lt;/DisplayText&gt;&lt;record&gt;&lt;rec-number&gt;689&lt;/rec-number&gt;&lt;foreign-keys&gt;&lt;key app="EN" db-id="s2zxra50f5rxe9ezxwnpfswwa5vdvraddzst" timestamp="1752396515"&gt;689&lt;/key&gt;&lt;/foreign-keys&gt;&lt;ref-type name="Journal Article"&gt;17&lt;/ref-type&gt;&lt;contributors&gt;&lt;authors&gt;&lt;author&gt;Couchoux, Oriane&lt;/author&gt;&lt;/authors&gt;&lt;/contributors&gt;&lt;titles&gt;&lt;title&gt;Navigating knowledge and ignorance in the boardroom: A study of audit committee members&amp;apos; oversight styles&lt;/title&gt;&lt;secondary-title&gt;Contemporary Accounting Research&lt;/secondary-title&gt;&lt;/titles&gt;&lt;periodical&gt;&lt;full-title&gt;Contemporary Accounting Research&lt;/full-title&gt;&lt;/periodical&gt;&lt;pages&gt;459-497&lt;/pages&gt;&lt;volume&gt;41&lt;/volume&gt;&lt;number&gt;1&lt;/number&gt;&lt;dates&gt;&lt;year&gt;2024&lt;/year&gt;&lt;/dates&gt;&lt;isbn&gt;0823-9150&lt;/isbn&gt;&lt;urls&gt;&lt;/urls&gt;&lt;/record&gt;&lt;/Cite&gt;&lt;/EndNote&gt;</w:instrText>
      </w:r>
      <w:r w:rsidRPr="005108F6">
        <w:rPr>
          <w:rFonts w:ascii="Arial" w:hAnsi="Arial" w:cs="Arial"/>
        </w:rPr>
        <w:fldChar w:fldCharType="separate"/>
      </w:r>
      <w:r w:rsidRPr="005108F6">
        <w:rPr>
          <w:rFonts w:ascii="Arial" w:hAnsi="Arial" w:cs="Arial"/>
        </w:rPr>
        <w:t>Couchoux (2024)</w:t>
      </w:r>
      <w:r w:rsidRPr="005108F6">
        <w:rPr>
          <w:rFonts w:ascii="Arial" w:hAnsi="Arial" w:cs="Arial"/>
        </w:rPr>
        <w:fldChar w:fldCharType="end"/>
      </w:r>
      <w:r w:rsidRPr="005108F6">
        <w:rPr>
          <w:rFonts w:ascii="Arial" w:hAnsi="Arial" w:cs="Arial"/>
        </w:rPr>
        <w:t xml:space="preserve"> and </w:t>
      </w:r>
      <w:r w:rsidRPr="005108F6">
        <w:rPr>
          <w:rFonts w:ascii="Arial" w:hAnsi="Arial" w:cs="Arial"/>
        </w:rPr>
        <w:fldChar w:fldCharType="begin"/>
      </w:r>
      <w:r w:rsidRPr="005108F6">
        <w:rPr>
          <w:rFonts w:ascii="Arial" w:hAnsi="Arial" w:cs="Arial"/>
        </w:rPr>
        <w:instrText xml:space="preserve"> ADDIN EN.CITE &lt;EndNote&gt;&lt;Cite AuthorYear="1"&gt;&lt;Author&gt;Resnik&lt;/Author&gt;&lt;Year&gt;2014&lt;/Year&gt;&lt;RecNum&gt;688&lt;/RecNum&gt;&lt;DisplayText&gt;Resnik (2014)&lt;/DisplayText&gt;&lt;record&gt;&lt;rec-number&gt;688&lt;/rec-number&gt;&lt;foreign-keys&gt;&lt;key app="EN" db-id="s2zxra50f5rxe9ezxwnpfswwa5vdvraddzst" timestamp="1752393435"&gt;688&lt;/key&gt;&lt;/foreign-keys&gt;&lt;ref-type name="Journal Article"&gt;17&lt;/ref-type&gt;&lt;contributors&gt;&lt;authors&gt;&lt;author&gt;Resnik, David B&lt;/author&gt;&lt;/authors&gt;&lt;/contributors&gt;&lt;titles&gt;&lt;title&gt;Science and money: problems and solutions&lt;/title&gt;&lt;secondary-title&gt;Journal of microbiology biology education&lt;/secondary-title&gt;&lt;/titles&gt;&lt;periodical&gt;&lt;full-title&gt;Journal of microbiology biology education&lt;/full-title&gt;&lt;/periodical&gt;&lt;pages&gt;159-161&lt;/pages&gt;&lt;volume&gt;15&lt;/volume&gt;&lt;number&gt;2&lt;/number&gt;&lt;dates&gt;&lt;year&gt;2014&lt;/year&gt;&lt;/dates&gt;&lt;isbn&gt;1935-7885&lt;/isbn&gt;&lt;urls&gt;&lt;/urls&gt;&lt;/record&gt;&lt;/Cite&gt;&lt;/EndNote&gt;</w:instrText>
      </w:r>
      <w:r w:rsidRPr="005108F6">
        <w:rPr>
          <w:rFonts w:ascii="Arial" w:hAnsi="Arial" w:cs="Arial"/>
        </w:rPr>
        <w:fldChar w:fldCharType="separate"/>
      </w:r>
      <w:r w:rsidRPr="005108F6">
        <w:rPr>
          <w:rFonts w:ascii="Arial" w:hAnsi="Arial" w:cs="Arial"/>
        </w:rPr>
        <w:t>Resnik (2014)</w:t>
      </w:r>
      <w:r w:rsidRPr="005108F6">
        <w:rPr>
          <w:rFonts w:ascii="Arial" w:hAnsi="Arial" w:cs="Arial"/>
        </w:rPr>
        <w:fldChar w:fldCharType="end"/>
      </w:r>
      <w:r w:rsidRPr="005108F6">
        <w:rPr>
          <w:rFonts w:ascii="Arial" w:hAnsi="Arial" w:cs="Arial"/>
        </w:rPr>
        <w:t xml:space="preserve"> emphasize the importance of integrating academic and financial supervision and fostering a strong culture of reporting. However, these studies generally still focus on the institutional and formal policy aspects and have not yet explored in depth the differences in perceptions and involvement of various elements of academics as policy implementers.</w:t>
      </w:r>
    </w:p>
    <w:p w14:paraId="577679A5" w14:textId="77777777" w:rsidR="005108F6" w:rsidRDefault="005108F6" w:rsidP="005108F6">
      <w:pPr>
        <w:pStyle w:val="Body"/>
        <w:spacing w:after="0"/>
        <w:rPr>
          <w:rFonts w:ascii="Arial" w:hAnsi="Arial" w:cs="Arial"/>
        </w:rPr>
      </w:pPr>
    </w:p>
    <w:p w14:paraId="26FA29ED" w14:textId="6935FEA2" w:rsidR="005108F6" w:rsidRPr="005108F6" w:rsidRDefault="005108F6" w:rsidP="005108F6">
      <w:pPr>
        <w:pStyle w:val="Body"/>
        <w:spacing w:after="0"/>
        <w:rPr>
          <w:rFonts w:ascii="Arial" w:hAnsi="Arial" w:cs="Arial"/>
        </w:rPr>
      </w:pPr>
      <w:r w:rsidRPr="005108F6">
        <w:rPr>
          <w:rFonts w:ascii="Arial" w:hAnsi="Arial" w:cs="Arial"/>
        </w:rPr>
        <w:t xml:space="preserve">Lecturers, students, and education personnel have different roles in the supervision and implementation of anti-fraud policies. Lecturers have a strategic role in academic control and ethical compliance </w:t>
      </w:r>
      <w:r w:rsidRPr="005108F6">
        <w:rPr>
          <w:rFonts w:ascii="Arial" w:hAnsi="Arial" w:cs="Arial"/>
        </w:rPr>
        <w:fldChar w:fldCharType="begin"/>
      </w:r>
      <w:r w:rsidRPr="005108F6">
        <w:rPr>
          <w:rFonts w:ascii="Arial" w:hAnsi="Arial" w:cs="Arial"/>
        </w:rPr>
        <w:instrText xml:space="preserve"> ADDIN EN.CITE &lt;EndNote&gt;&lt;Cite&gt;&lt;Author&gt;Aprilisanda&lt;/Author&gt;&lt;Year&gt;2018&lt;/Year&gt;&lt;RecNum&gt;673&lt;/RecNum&gt;&lt;DisplayText&gt;(Aprilisanda, Yuhertiana, &amp;amp; Priono, 2018)&lt;/DisplayText&gt;&lt;record&gt;&lt;rec-number&gt;673&lt;/rec-number&gt;&lt;foreign-keys&gt;&lt;key app="EN" db-id="s2zxra50f5rxe9ezxwnpfswwa5vdvraddzst" timestamp="1752339453"&gt;673&lt;/key&gt;&lt;/foreign-keys&gt;&lt;ref-type name="Journal Article"&gt;17&lt;/ref-type&gt;&lt;contributors&gt;&lt;authors&gt;&lt;author&gt;Aprilisanda, Invony Dwi&lt;/author&gt;&lt;author&gt;Yuhertiana, Indrawati&lt;/author&gt;&lt;author&gt;Priono, Hero&lt;/author&gt;&lt;/authors&gt;&lt;/contributors&gt;&lt;titles&gt;&lt;title&gt;Persepsi Dosen Akuntansi Terhadap Praktik Kecurangan Akademik Pada Upn “Veteran” Jawa Timur (Studi Pada Progdi Akuntansi)&lt;/title&gt;&lt;secondary-title&gt;BAJ: Behavioral Accounting Journal&lt;/secondary-title&gt;&lt;/titles&gt;&lt;periodical&gt;&lt;full-title&gt;BAJ: Behavioral Accounting Journal&lt;/full-title&gt;&lt;/periodical&gt;&lt;pages&gt;97-110&lt;/pages&gt;&lt;volume&gt;1&lt;/volume&gt;&lt;number&gt;1&lt;/number&gt;&lt;dates&gt;&lt;year&gt;2018&lt;/year&gt;&lt;/dates&gt;&lt;isbn&gt;2615-7004&lt;/isbn&gt;&lt;urls&gt;&lt;/urls&gt;&lt;/record&gt;&lt;/Cite&gt;&lt;/EndNote&gt;</w:instrText>
      </w:r>
      <w:r w:rsidRPr="005108F6">
        <w:rPr>
          <w:rFonts w:ascii="Arial" w:hAnsi="Arial" w:cs="Arial"/>
        </w:rPr>
        <w:fldChar w:fldCharType="separate"/>
      </w:r>
      <w:r w:rsidRPr="005108F6">
        <w:rPr>
          <w:rFonts w:ascii="Arial" w:hAnsi="Arial" w:cs="Arial"/>
        </w:rPr>
        <w:t>(Aprilisanda, Yuhertiana, &amp; Priono, 2018)</w:t>
      </w:r>
      <w:r w:rsidRPr="005108F6">
        <w:rPr>
          <w:rFonts w:ascii="Arial" w:hAnsi="Arial" w:cs="Arial"/>
        </w:rPr>
        <w:fldChar w:fldCharType="end"/>
      </w:r>
      <w:r w:rsidRPr="005108F6">
        <w:rPr>
          <w:rFonts w:ascii="Arial" w:hAnsi="Arial" w:cs="Arial"/>
        </w:rPr>
        <w:t xml:space="preserve">. Students are most closely involved with the academic evaluation system and administrative management, while educational staff play a role in the operational and management aspects of educational resources. Differences in access to information, responsibilities, and expectations within each group can lead to varying perceptions of the fraud prevention strategies implemented by an institution. If this difference is not understood and managed effectively, achieving optimal fraud prevention strategy effectiveness will be challenging. Therefore, preventing fraud at the tertiary level requires a holistic approach that applies to all stakeholders in the higher education environment </w:t>
      </w:r>
      <w:r w:rsidRPr="005108F6">
        <w:rPr>
          <w:rFonts w:ascii="Arial" w:hAnsi="Arial" w:cs="Arial"/>
        </w:rPr>
        <w:fldChar w:fldCharType="begin"/>
      </w:r>
      <w:r w:rsidRPr="005108F6">
        <w:rPr>
          <w:rFonts w:ascii="Arial" w:hAnsi="Arial" w:cs="Arial"/>
        </w:rPr>
        <w:instrText xml:space="preserve"> ADDIN EN.CITE &lt;EndNote&gt;&lt;Cite&gt;&lt;Author&gt;Rasheed&lt;/Author&gt;&lt;Year&gt;2023&lt;/Year&gt;&lt;RecNum&gt;679&lt;/RecNum&gt;&lt;DisplayText&gt;(Rasheed, 2023)&lt;/DisplayText&gt;&lt;record&gt;&lt;rec-number&gt;679&lt;/rec-number&gt;&lt;foreign-keys&gt;&lt;key app="EN" db-id="s2zxra50f5rxe9ezxwnpfswwa5vdvraddzst" timestamp="1752374892"&gt;679&lt;/key&gt;&lt;/foreign-keys&gt;&lt;ref-type name="Journal Article"&gt;17&lt;/ref-type&gt;&lt;contributors&gt;&lt;authors&gt;&lt;author&gt;Rasheed, Shofiu Adewuyi&lt;/author&gt;&lt;/authors&gt;&lt;/contributors&gt;&lt;titles&gt;&lt;title&gt;Students&amp;apos; view of causes, forms and solutions of lecturers&amp;apos; involvement in corrupt practices in tertiary educational institutions, Kwara State Nigeria&lt;/title&gt;&lt;secondary-title&gt;International journal of educational innovation research&lt;/secondary-title&gt;&lt;/titles&gt;&lt;periodical&gt;&lt;full-title&gt;International journal of educational innovation research&lt;/full-title&gt;&lt;/periodical&gt;&lt;pages&gt;200-209&lt;/pages&gt;&lt;volume&gt;2&lt;/volume&gt;&lt;number&gt;2&lt;/number&gt;&lt;dates&gt;&lt;year&gt;2023&lt;/year&gt;&lt;/dates&gt;&lt;isbn&gt;2810-0808&lt;/isbn&gt;&lt;urls&gt;&lt;/urls&gt;&lt;/record&gt;&lt;/Cite&gt;&lt;/EndNote&gt;</w:instrText>
      </w:r>
      <w:r w:rsidRPr="005108F6">
        <w:rPr>
          <w:rFonts w:ascii="Arial" w:hAnsi="Arial" w:cs="Arial"/>
        </w:rPr>
        <w:fldChar w:fldCharType="separate"/>
      </w:r>
      <w:r w:rsidRPr="005108F6">
        <w:rPr>
          <w:rFonts w:ascii="Arial" w:hAnsi="Arial" w:cs="Arial"/>
        </w:rPr>
        <w:t>(Rasheed, 2023)</w:t>
      </w:r>
      <w:r w:rsidRPr="005108F6">
        <w:rPr>
          <w:rFonts w:ascii="Arial" w:hAnsi="Arial" w:cs="Arial"/>
        </w:rPr>
        <w:fldChar w:fldCharType="end"/>
      </w:r>
      <w:r w:rsidRPr="005108F6">
        <w:rPr>
          <w:rFonts w:ascii="Arial" w:hAnsi="Arial" w:cs="Arial"/>
        </w:rPr>
        <w:t>.</w:t>
      </w:r>
    </w:p>
    <w:p w14:paraId="51330357" w14:textId="77777777" w:rsidR="005108F6" w:rsidRDefault="005108F6" w:rsidP="005108F6">
      <w:pPr>
        <w:pStyle w:val="Body"/>
        <w:spacing w:after="0"/>
        <w:rPr>
          <w:rFonts w:ascii="Arial" w:hAnsi="Arial" w:cs="Arial"/>
        </w:rPr>
      </w:pPr>
    </w:p>
    <w:p w14:paraId="66273D64" w14:textId="179BDB26" w:rsidR="005108F6" w:rsidRPr="005108F6" w:rsidRDefault="005108F6" w:rsidP="005108F6">
      <w:pPr>
        <w:pStyle w:val="Body"/>
        <w:spacing w:after="0"/>
        <w:rPr>
          <w:rFonts w:ascii="Arial" w:hAnsi="Arial" w:cs="Arial"/>
        </w:rPr>
      </w:pPr>
      <w:r w:rsidRPr="005108F6">
        <w:rPr>
          <w:rFonts w:ascii="Arial" w:hAnsi="Arial" w:cs="Arial"/>
        </w:rPr>
        <w:t>This study aims to identify this gap by examining the perceptions of the academic community regarding fraud prevention strategies in tertiary institutions using a multidimensional approach. This strategy comprises four main dimensions: prevention, detection, investigation, sanctions, and monitoring and evaluation. In contrast to previous studies that have only emphasized one or two aspects of the fraud control system, this study integrates the overall dimensions and tests differences in perceptions based on academic status using a multivariate statistical approach (MANOVA). Thus, this study offers novelty in two main aspects: first, in its comprehensive scope of dimensions in the fraud prevention strategy, and second, in its focus on testing differences in perceptions between academic roles, which have rarely been examined simultaneously.</w:t>
      </w:r>
    </w:p>
    <w:p w14:paraId="1C2F369A" w14:textId="77777777" w:rsidR="005108F6" w:rsidRDefault="005108F6" w:rsidP="005108F6">
      <w:pPr>
        <w:pStyle w:val="Body"/>
        <w:spacing w:after="0"/>
        <w:rPr>
          <w:rFonts w:ascii="Arial" w:hAnsi="Arial" w:cs="Arial"/>
        </w:rPr>
      </w:pPr>
    </w:p>
    <w:p w14:paraId="0A6B0C6F" w14:textId="78381FF7" w:rsidR="005108F6" w:rsidRPr="005108F6" w:rsidRDefault="005108F6" w:rsidP="005108F6">
      <w:pPr>
        <w:pStyle w:val="Body"/>
        <w:spacing w:after="0"/>
        <w:rPr>
          <w:rFonts w:ascii="Arial" w:hAnsi="Arial" w:cs="Arial"/>
        </w:rPr>
      </w:pPr>
      <w:r w:rsidRPr="005108F6">
        <w:rPr>
          <w:rFonts w:ascii="Arial" w:hAnsi="Arial" w:cs="Arial"/>
        </w:rPr>
        <w:t xml:space="preserve">This study is based on the theories of the Fraud Triangle </w:t>
      </w:r>
      <w:r w:rsidRPr="005108F6">
        <w:rPr>
          <w:rFonts w:ascii="Arial" w:hAnsi="Arial" w:cs="Arial"/>
        </w:rPr>
        <w:fldChar w:fldCharType="begin"/>
      </w:r>
      <w:r w:rsidRPr="005108F6">
        <w:rPr>
          <w:rFonts w:ascii="Arial" w:hAnsi="Arial" w:cs="Arial"/>
        </w:rPr>
        <w:instrText xml:space="preserve"> ADDIN EN.CITE &lt;EndNote&gt;&lt;Cite&gt;&lt;Author&gt;Cressey&lt;/Author&gt;&lt;Year&gt;1953&lt;/Year&gt;&lt;RecNum&gt;226&lt;/RecNum&gt;&lt;DisplayText&gt;(Cressey, 1953)&lt;/DisplayText&gt;&lt;record&gt;&lt;rec-number&gt;226&lt;/rec-number&gt;&lt;foreign-keys&gt;&lt;key app="EN" db-id="s2zxra50f5rxe9ezxwnpfswwa5vdvraddzst" timestamp="1723408264"&gt;226&lt;/key&gt;&lt;/foreign-keys&gt;&lt;ref-type name="Book"&gt;6&lt;/ref-type&gt;&lt;contributors&gt;&lt;authors&gt;&lt;author&gt;Cressey, Donald R&lt;/author&gt;&lt;/authors&gt;&lt;/contributors&gt;&lt;titles&gt;&lt;title&gt;Other People’s Money: A Study of the Social Psychology of Embezzlement&lt;/title&gt;&lt;/titles&gt;&lt;dates&gt;&lt;year&gt;1953&lt;/year&gt;&lt;/dates&gt;&lt;urls&gt;&lt;/urls&gt;&lt;/record&gt;&lt;/Cite&gt;&lt;/EndNote&gt;</w:instrText>
      </w:r>
      <w:r w:rsidRPr="005108F6">
        <w:rPr>
          <w:rFonts w:ascii="Arial" w:hAnsi="Arial" w:cs="Arial"/>
        </w:rPr>
        <w:fldChar w:fldCharType="separate"/>
      </w:r>
      <w:r w:rsidRPr="005108F6">
        <w:rPr>
          <w:rFonts w:ascii="Arial" w:hAnsi="Arial" w:cs="Arial"/>
        </w:rPr>
        <w:t>(Cressey, 1953)</w:t>
      </w:r>
      <w:r w:rsidRPr="005108F6">
        <w:rPr>
          <w:rFonts w:ascii="Arial" w:hAnsi="Arial" w:cs="Arial"/>
        </w:rPr>
        <w:fldChar w:fldCharType="end"/>
      </w:r>
      <w:r w:rsidRPr="005108F6">
        <w:rPr>
          <w:rFonts w:ascii="Arial" w:hAnsi="Arial" w:cs="Arial"/>
        </w:rPr>
        <w:t xml:space="preserve"> dan fraud diamond </w:t>
      </w:r>
      <w:r w:rsidRPr="005108F6">
        <w:rPr>
          <w:rFonts w:ascii="Arial" w:hAnsi="Arial" w:cs="Arial"/>
        </w:rPr>
        <w:fldChar w:fldCharType="begin"/>
      </w:r>
      <w:r w:rsidRPr="005108F6">
        <w:rPr>
          <w:rFonts w:ascii="Arial" w:hAnsi="Arial" w:cs="Arial"/>
        </w:rPr>
        <w:instrText xml:space="preserve"> ADDIN EN.CITE &lt;EndNote&gt;&lt;Cite&gt;&lt;Author&gt;Wolfe&lt;/Author&gt;&lt;Year&gt;2014&lt;/Year&gt;&lt;RecNum&gt;578&lt;/RecNum&gt;&lt;DisplayText&gt;(Wolfe &amp;amp; Hermanson, 2014)&lt;/DisplayText&gt;&lt;record&gt;&lt;rec-number&gt;578&lt;/rec-number&gt;&lt;foreign-keys&gt;&lt;key app="EN" db-id="s2zxra50f5rxe9ezxwnpfswwa5vdvraddzst" timestamp="1749057114"&gt;578&lt;/key&gt;&lt;/foreign-keys&gt;&lt;ref-type name="Journal Article"&gt;17&lt;/ref-type&gt;&lt;contributors&gt;&lt;authors&gt;&lt;author&gt;Wolfe, David T&lt;/author&gt;&lt;author&gt;Hermanson, Dana R&lt;/author&gt;&lt;/authors&gt;&lt;/contributors&gt;&lt;titles&gt;&lt;title&gt;The fraud diamond: Considering the four elements of fraud&lt;/title&gt;&lt;/titles&gt;&lt;dates&gt;&lt;year&gt;2014&lt;/year&gt;&lt;/dates&gt;&lt;urls&gt;&lt;/urls&gt;&lt;/record&gt;&lt;/Cite&gt;&lt;/EndNote&gt;</w:instrText>
      </w:r>
      <w:r w:rsidRPr="005108F6">
        <w:rPr>
          <w:rFonts w:ascii="Arial" w:hAnsi="Arial" w:cs="Arial"/>
        </w:rPr>
        <w:fldChar w:fldCharType="separate"/>
      </w:r>
      <w:r w:rsidRPr="005108F6">
        <w:rPr>
          <w:rFonts w:ascii="Arial" w:hAnsi="Arial" w:cs="Arial"/>
        </w:rPr>
        <w:t>(Wolfe &amp; Hermanson, 2014)</w:t>
      </w:r>
      <w:r w:rsidRPr="005108F6">
        <w:rPr>
          <w:rFonts w:ascii="Arial" w:hAnsi="Arial" w:cs="Arial"/>
        </w:rPr>
        <w:fldChar w:fldCharType="end"/>
      </w:r>
      <w:r w:rsidRPr="005108F6">
        <w:rPr>
          <w:rFonts w:ascii="Arial" w:hAnsi="Arial" w:cs="Arial"/>
        </w:rPr>
        <w:t xml:space="preserve">, which explain that fraud occurs due to the interaction between pressure, opportunities, rationalization, and an individual's capabilities within the system. In this context, fraud prevention strategies must be designed to minimize opportunities through policies, strengthen reporting systems to reduce pressure, and instill ethical values and sanction systems that reduce rationalization and increase deterrent effects. This framework is based on the principle of internal control from </w:t>
      </w:r>
      <w:r w:rsidRPr="005108F6">
        <w:rPr>
          <w:rFonts w:ascii="Arial" w:hAnsi="Arial" w:cs="Arial"/>
        </w:rPr>
        <w:fldChar w:fldCharType="begin"/>
      </w:r>
      <w:r w:rsidRPr="005108F6">
        <w:rPr>
          <w:rFonts w:ascii="Arial" w:hAnsi="Arial" w:cs="Arial"/>
        </w:rPr>
        <w:instrText xml:space="preserve"> ADDIN EN.CITE &lt;EndNote&gt;&lt;Cite AuthorYear="1"&gt;&lt;Author&gt;COSO&lt;/Author&gt;&lt;Year&gt;2013&lt;/Year&gt;&lt;RecNum&gt;135&lt;/RecNum&gt;&lt;DisplayText&gt;COSO (2013)&lt;/DisplayText&gt;&lt;record&gt;&lt;rec-number&gt;135&lt;/rec-number&gt;&lt;foreign-keys&gt;&lt;key app="EN" db-id="s2zxra50f5rxe9ezxwnpfswwa5vdvraddzst" timestamp="1717826018"&gt;135&lt;/key&gt;&lt;/foreign-keys&gt;&lt;ref-type name="Report"&gt;27&lt;/ref-type&gt;&lt;contributors&gt;&lt;authors&gt;&lt;author&gt;COSO&lt;/author&gt;&lt;/authors&gt;&lt;/contributors&gt;&lt;titles&gt;&lt;title&gt;Internal control-Integrated framework: Executive summary&lt;/title&gt;&lt;/titles&gt;&lt;dates&gt;&lt;year&gt;2013&lt;/year&gt;&lt;/dates&gt;&lt;publisher&gt;COSO&lt;/publisher&gt;&lt;urls&gt;&lt;/urls&gt;&lt;/record&gt;&lt;/Cite&gt;&lt;/EndNote&gt;</w:instrText>
      </w:r>
      <w:r w:rsidRPr="005108F6">
        <w:rPr>
          <w:rFonts w:ascii="Arial" w:hAnsi="Arial" w:cs="Arial"/>
        </w:rPr>
        <w:fldChar w:fldCharType="separate"/>
      </w:r>
      <w:r w:rsidRPr="005108F6">
        <w:rPr>
          <w:rFonts w:ascii="Arial" w:hAnsi="Arial" w:cs="Arial"/>
        </w:rPr>
        <w:t>COSO (2013)</w:t>
      </w:r>
      <w:r w:rsidRPr="005108F6">
        <w:rPr>
          <w:rFonts w:ascii="Arial" w:hAnsi="Arial" w:cs="Arial"/>
        </w:rPr>
        <w:fldChar w:fldCharType="end"/>
      </w:r>
      <w:r w:rsidRPr="005108F6">
        <w:rPr>
          <w:rFonts w:ascii="Arial" w:hAnsi="Arial" w:cs="Arial"/>
        </w:rPr>
        <w:t>, which serves as the basis for compiling the measurement indicators and instruments.</w:t>
      </w:r>
    </w:p>
    <w:p w14:paraId="3258BCD8" w14:textId="77777777" w:rsidR="005108F6" w:rsidRDefault="005108F6" w:rsidP="005108F6">
      <w:pPr>
        <w:pStyle w:val="Body"/>
        <w:spacing w:after="0"/>
        <w:rPr>
          <w:rFonts w:ascii="Arial" w:hAnsi="Arial" w:cs="Arial"/>
        </w:rPr>
      </w:pPr>
    </w:p>
    <w:p w14:paraId="47C8AF67" w14:textId="4CCB67C5" w:rsidR="005108F6" w:rsidRDefault="005108F6" w:rsidP="005108F6">
      <w:pPr>
        <w:pStyle w:val="Body"/>
        <w:spacing w:after="0"/>
        <w:rPr>
          <w:rFonts w:ascii="Arial" w:hAnsi="Arial" w:cs="Arial"/>
        </w:rPr>
      </w:pPr>
      <w:r w:rsidRPr="005108F6">
        <w:rPr>
          <w:rFonts w:ascii="Arial" w:hAnsi="Arial" w:cs="Arial"/>
        </w:rPr>
        <w:lastRenderedPageBreak/>
        <w:t>Given the complex challenges in the higher education environment and the lack of studies examining the specific roles of academics in preventing fraud, this research is important. The results of this study are expected to contribute theoretically to enriching the literature on anti-fraud strategies, particularly in understanding the role of fraud, as well as provide practical contributions in designing policies and providing evidence-based interventions. By understanding how lecturers, students, and education personnel perceive fraud prevention strategies differently, higher-education institutions can design approaches that are not only normative but also functional, adaptive, and participatory.</w:t>
      </w:r>
    </w:p>
    <w:p w14:paraId="0A5E2B2E" w14:textId="77777777" w:rsidR="005F4756" w:rsidRDefault="005F4756" w:rsidP="005108F6">
      <w:pPr>
        <w:pStyle w:val="Body"/>
        <w:spacing w:after="0"/>
        <w:rPr>
          <w:rFonts w:ascii="Arial" w:hAnsi="Arial" w:cs="Arial"/>
        </w:rPr>
      </w:pPr>
    </w:p>
    <w:p w14:paraId="024055F8" w14:textId="77777777" w:rsidR="005F4756" w:rsidRDefault="005F4756" w:rsidP="005F4756">
      <w:pPr>
        <w:pStyle w:val="Body"/>
        <w:spacing w:after="0"/>
        <w:rPr>
          <w:rFonts w:ascii="Arial" w:hAnsi="Arial" w:cs="Arial"/>
        </w:rPr>
      </w:pPr>
      <w:r w:rsidRPr="005F4756">
        <w:rPr>
          <w:rFonts w:ascii="Arial" w:hAnsi="Arial" w:cs="Arial"/>
        </w:rPr>
        <w:t xml:space="preserve">The academic society comprises three main elements: students, lecturers, and educational staff. Each plays a strategic role in fostering a culture of integrity on campus. The lecturer acts as an academic role model, conveying the values of integrity in teaching and being responsible for academic and administrative supervision </w:t>
      </w:r>
      <w:r w:rsidRPr="005F4756">
        <w:rPr>
          <w:rFonts w:ascii="Arial" w:hAnsi="Arial" w:cs="Arial"/>
        </w:rPr>
        <w:fldChar w:fldCharType="begin"/>
      </w:r>
      <w:r w:rsidRPr="005F4756">
        <w:rPr>
          <w:rFonts w:ascii="Arial" w:hAnsi="Arial" w:cs="Arial"/>
        </w:rPr>
        <w:instrText xml:space="preserve"> ADDIN EN.CITE &lt;EndNote&gt;&lt;Cite&gt;&lt;Author&gt;Hanim Fadzil&lt;/Author&gt;&lt;Year&gt;2005&lt;/Year&gt;&lt;RecNum&gt;676&lt;/RecNum&gt;&lt;DisplayText&gt;(Hanim Fadzil, Haron, &amp;amp; Jantan, 2005)&lt;/DisplayText&gt;&lt;record&gt;&lt;rec-number&gt;676&lt;/rec-number&gt;&lt;foreign-keys&gt;&lt;key app="EN" db-id="s2zxra50f5rxe9ezxwnpfswwa5vdvraddzst" timestamp="1752369344"&gt;676&lt;/key&gt;&lt;/foreign-keys&gt;&lt;ref-type name="Journal Article"&gt;17&lt;/ref-type&gt;&lt;contributors&gt;&lt;authors&gt;&lt;author&gt;Hanim Fadzil, Faudziah&lt;/author&gt;&lt;author&gt;Haron, Hasnah&lt;/author&gt;&lt;author&gt;Jantan, Muhamad&lt;/author&gt;&lt;/authors&gt;&lt;/contributors&gt;&lt;titles&gt;&lt;title&gt;Internal auditing practices and internal control system&lt;/title&gt;&lt;secondary-title&gt;Managerial auditing journal&lt;/secondary-title&gt;&lt;/titles&gt;&lt;periodical&gt;&lt;full-title&gt;Managerial Auditing Journal&lt;/full-title&gt;&lt;/periodical&gt;&lt;pages&gt;844-866&lt;/pages&gt;&lt;volume&gt;20&lt;/volume&gt;&lt;number&gt;8&lt;/number&gt;&lt;dates&gt;&lt;year&gt;2005&lt;/year&gt;&lt;/dates&gt;&lt;isbn&gt;0268-6902&lt;/isbn&gt;&lt;urls&gt;&lt;/urls&gt;&lt;/record&gt;&lt;/Cite&gt;&lt;/EndNote&gt;</w:instrText>
      </w:r>
      <w:r w:rsidRPr="005F4756">
        <w:rPr>
          <w:rFonts w:ascii="Arial" w:hAnsi="Arial" w:cs="Arial"/>
        </w:rPr>
        <w:fldChar w:fldCharType="separate"/>
      </w:r>
      <w:r w:rsidRPr="005F4756">
        <w:rPr>
          <w:rFonts w:ascii="Arial" w:hAnsi="Arial" w:cs="Arial"/>
        </w:rPr>
        <w:t>(Hanim Fadzil, Haron, &amp; Jantan, 2005)</w:t>
      </w:r>
      <w:r w:rsidRPr="005F4756">
        <w:rPr>
          <w:rFonts w:ascii="Arial" w:hAnsi="Arial" w:cs="Arial"/>
        </w:rPr>
        <w:fldChar w:fldCharType="end"/>
      </w:r>
      <w:r w:rsidRPr="005F4756">
        <w:rPr>
          <w:rFonts w:ascii="Arial" w:hAnsi="Arial" w:cs="Arial"/>
        </w:rPr>
        <w:t>. Students, as the primary actors in the learning process, have a moral responsibility to uphold the values of academic honesty and participate in institutional oversight.</w:t>
      </w:r>
    </w:p>
    <w:p w14:paraId="3EEC7C58" w14:textId="77777777" w:rsidR="005F4756" w:rsidRPr="005F4756" w:rsidRDefault="005F4756" w:rsidP="005F4756">
      <w:pPr>
        <w:pStyle w:val="Body"/>
        <w:spacing w:after="0"/>
        <w:rPr>
          <w:rFonts w:ascii="Arial" w:hAnsi="Arial" w:cs="Arial"/>
        </w:rPr>
      </w:pPr>
    </w:p>
    <w:p w14:paraId="792EABFC" w14:textId="77777777" w:rsidR="005F4756" w:rsidRDefault="005F4756" w:rsidP="005F4756">
      <w:pPr>
        <w:pStyle w:val="Body"/>
        <w:spacing w:after="0"/>
        <w:rPr>
          <w:rFonts w:ascii="Arial" w:hAnsi="Arial" w:cs="Arial"/>
        </w:rPr>
      </w:pPr>
      <w:r w:rsidRPr="005F4756">
        <w:rPr>
          <w:rFonts w:ascii="Arial" w:hAnsi="Arial" w:cs="Arial"/>
        </w:rPr>
        <w:fldChar w:fldCharType="begin"/>
      </w:r>
      <w:r w:rsidRPr="005F4756">
        <w:rPr>
          <w:rFonts w:ascii="Arial" w:hAnsi="Arial" w:cs="Arial"/>
        </w:rPr>
        <w:instrText xml:space="preserve"> ADDIN EN.CITE &lt;EndNote&gt;&lt;Cite AuthorYear="1"&gt;&lt;Author&gt;Fitriyah&lt;/Author&gt;&lt;Year&gt;2016&lt;/Year&gt;&lt;RecNum&gt;683&lt;/RecNum&gt;&lt;DisplayText&gt;Fitriyah (2016)&lt;/DisplayText&gt;&lt;record&gt;&lt;rec-number&gt;683&lt;/rec-number&gt;&lt;foreign-keys&gt;&lt;key app="EN" db-id="s2zxra50f5rxe9ezxwnpfswwa5vdvraddzst" timestamp="1752391123"&gt;683&lt;/key&gt;&lt;/foreign-keys&gt;&lt;ref-type name="Journal Article"&gt;17&lt;/ref-type&gt;&lt;contributors&gt;&lt;authors&gt;&lt;author&gt;Fitriyah, Fury Khristianty&lt;/author&gt;&lt;/authors&gt;&lt;/contributors&gt;&lt;titles&gt;&lt;title&gt;The role of the internal audit unit in detecting and preventing fraud at public Universities in West Java, Indonesia&lt;/title&gt;&lt;secondary-title&gt;International Scholarly Scientific Research Innovation&lt;/secondary-title&gt;&lt;/titles&gt;&lt;periodical&gt;&lt;full-title&gt;International Scholarly Scientific Research Innovation&lt;/full-title&gt;&lt;/periodical&gt;&lt;pages&gt;1802-1809&lt;/pages&gt;&lt;volume&gt;10&lt;/volume&gt;&lt;number&gt;5&lt;/number&gt;&lt;dates&gt;&lt;year&gt;2016&lt;/year&gt;&lt;/dates&gt;&lt;urls&gt;&lt;/urls&gt;&lt;/record&gt;&lt;/Cite&gt;&lt;/EndNote&gt;</w:instrText>
      </w:r>
      <w:r w:rsidRPr="005F4756">
        <w:rPr>
          <w:rFonts w:ascii="Arial" w:hAnsi="Arial" w:cs="Arial"/>
        </w:rPr>
        <w:fldChar w:fldCharType="separate"/>
      </w:r>
      <w:r w:rsidRPr="005F4756">
        <w:rPr>
          <w:rFonts w:ascii="Arial" w:hAnsi="Arial" w:cs="Arial"/>
        </w:rPr>
        <w:t>Fitriyah (2016)</w:t>
      </w:r>
      <w:r w:rsidRPr="005F4756">
        <w:rPr>
          <w:rFonts w:ascii="Arial" w:hAnsi="Arial" w:cs="Arial"/>
        </w:rPr>
        <w:fldChar w:fldCharType="end"/>
      </w:r>
      <w:r w:rsidRPr="005F4756">
        <w:rPr>
          <w:rFonts w:ascii="Arial" w:hAnsi="Arial" w:cs="Arial"/>
        </w:rPr>
        <w:t xml:space="preserve"> found that internal control weaknesses in public universities often create opportunities for fraud, particularly in the form of asset and financial deviations. Additionally, the lack of optimal function of the Internal Supervision Unit (SPI) is attributed to the absence of further supervision of SPI recommendations that the rector does not implement. Meanwhile, educational staff play a role in administrative and campus management, which is also vulnerable to fraud. According to </w:t>
      </w:r>
      <w:r w:rsidRPr="005F4756">
        <w:rPr>
          <w:rFonts w:ascii="Arial" w:hAnsi="Arial" w:cs="Arial"/>
        </w:rPr>
        <w:fldChar w:fldCharType="begin"/>
      </w:r>
      <w:r w:rsidRPr="005F4756">
        <w:rPr>
          <w:rFonts w:ascii="Arial" w:hAnsi="Arial" w:cs="Arial"/>
        </w:rPr>
        <w:instrText xml:space="preserve"> ADDIN EN.CITE &lt;EndNote&gt;&lt;Cite AuthorYear="1"&gt;&lt;Author&gt;Shonhadji&lt;/Author&gt;&lt;Year&gt;2024&lt;/Year&gt;&lt;RecNum&gt;658&lt;/RecNum&gt;&lt;DisplayText&gt;Shonhadji and Irwandi (2024)&lt;/DisplayText&gt;&lt;record&gt;&lt;rec-number&gt;658&lt;/rec-number&gt;&lt;foreign-keys&gt;&lt;key app="EN" db-id="s2zxra50f5rxe9ezxwnpfswwa5vdvraddzst" timestamp="1751919061"&gt;658&lt;/key&gt;&lt;/foreign-keys&gt;&lt;ref-type name="Journal Article"&gt;17&lt;/ref-type&gt;&lt;contributors&gt;&lt;authors&gt;&lt;author&gt;Shonhadji, Nanang&lt;/author&gt;&lt;author&gt;Irwandi, Soni Agus&lt;/author&gt;&lt;/authors&gt;&lt;/contributors&gt;&lt;titles&gt;&lt;title&gt;Fraud prevention in the Indonesian banking sector using anti-fraud strategy&lt;/title&gt;&lt;secondary-title&gt;Banks and Bank Systems&lt;/secondary-title&gt;&lt;/titles&gt;&lt;periodical&gt;&lt;full-title&gt;Banks and Bank Systems&lt;/full-title&gt;&lt;/periodical&gt;&lt;pages&gt;12&lt;/pages&gt;&lt;volume&gt;19&lt;/volume&gt;&lt;number&gt;1&lt;/number&gt;&lt;dates&gt;&lt;year&gt;2024&lt;/year&gt;&lt;/dates&gt;&lt;isbn&gt;1816-7403&lt;/isbn&gt;&lt;urls&gt;&lt;/urls&gt;&lt;/record&gt;&lt;/Cite&gt;&lt;/EndNote&gt;</w:instrText>
      </w:r>
      <w:r w:rsidRPr="005F4756">
        <w:rPr>
          <w:rFonts w:ascii="Arial" w:hAnsi="Arial" w:cs="Arial"/>
        </w:rPr>
        <w:fldChar w:fldCharType="separate"/>
      </w:r>
      <w:r w:rsidRPr="005F4756">
        <w:rPr>
          <w:rFonts w:ascii="Arial" w:hAnsi="Arial" w:cs="Arial"/>
        </w:rPr>
        <w:t>Shonhadji and Irwandi (2024)</w:t>
      </w:r>
      <w:r w:rsidRPr="005F4756">
        <w:rPr>
          <w:rFonts w:ascii="Arial" w:hAnsi="Arial" w:cs="Arial"/>
        </w:rPr>
        <w:fldChar w:fldCharType="end"/>
      </w:r>
      <w:r w:rsidRPr="005F4756">
        <w:rPr>
          <w:rFonts w:ascii="Arial" w:hAnsi="Arial" w:cs="Arial"/>
        </w:rPr>
        <w:t>, the success of implementing anti-fraud strategies is strongly influenced by the level of active involvement of all elements in the academic community. Therefore, empowering roles and increasing fraud literacy at all levels are essential for establishing a robust internal control system.</w:t>
      </w:r>
    </w:p>
    <w:p w14:paraId="46192F2B" w14:textId="77777777" w:rsidR="005F4756" w:rsidRDefault="005F4756" w:rsidP="005F4756">
      <w:pPr>
        <w:pStyle w:val="Body"/>
        <w:spacing w:after="0"/>
        <w:rPr>
          <w:rFonts w:ascii="Arial" w:hAnsi="Arial" w:cs="Arial"/>
        </w:rPr>
      </w:pPr>
    </w:p>
    <w:p w14:paraId="7E0E03B1" w14:textId="77777777" w:rsidR="005F4756" w:rsidRPr="005F4756" w:rsidRDefault="005F4756" w:rsidP="005F4756">
      <w:pPr>
        <w:pStyle w:val="Body"/>
        <w:spacing w:after="0"/>
        <w:rPr>
          <w:rFonts w:ascii="Arial" w:hAnsi="Arial" w:cs="Arial"/>
        </w:rPr>
      </w:pPr>
      <w:r w:rsidRPr="005F4756">
        <w:rPr>
          <w:rFonts w:ascii="Arial" w:hAnsi="Arial" w:cs="Arial"/>
        </w:rPr>
        <w:t xml:space="preserve">Fraud in the university environment is not limited to financial deviations; it also includes violations of academic ethics, administrative manipulation, and abuse of authority. In this context, fraud prevention is a crucial aspect of effective institutional governance </w:t>
      </w:r>
      <w:r w:rsidRPr="005F4756">
        <w:rPr>
          <w:rFonts w:ascii="Arial" w:hAnsi="Arial" w:cs="Arial"/>
        </w:rPr>
        <w:fldChar w:fldCharType="begin">
          <w:fldData xml:space="preserve">PEVuZE5vdGU+PENpdGU+PEF1dGhvcj5IYXJ0YW50bzwvQXV0aG9yPjxZZWFyPjIwMjQ8L1llYXI+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</w:fldData>
        </w:fldChar>
      </w:r>
      <w:r w:rsidRPr="005F4756">
        <w:rPr>
          <w:rFonts w:ascii="Arial" w:hAnsi="Arial" w:cs="Arial"/>
        </w:rPr>
        <w:instrText xml:space="preserve"> ADDIN EN.CITE </w:instrText>
      </w:r>
      <w:r w:rsidRPr="005F4756">
        <w:rPr>
          <w:rFonts w:ascii="Arial" w:hAnsi="Arial" w:cs="Arial"/>
        </w:rPr>
        <w:fldChar w:fldCharType="begin">
          <w:fldData xml:space="preserve">PEVuZE5vdGU+PENpdGU+PEF1dGhvcj5IYXJ0YW50bzwvQXV0aG9yPjxZZWFyPjIwMjQ8L1llYXI+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</w:fldData>
        </w:fldChar>
      </w:r>
      <w:r w:rsidRPr="005F4756">
        <w:rPr>
          <w:rFonts w:ascii="Arial" w:hAnsi="Arial" w:cs="Arial"/>
        </w:rPr>
        <w:instrText xml:space="preserve"> ADDIN EN.CITE.DATA </w:instrText>
      </w:r>
      <w:r w:rsidRPr="005F4756">
        <w:rPr>
          <w:rFonts w:ascii="Arial" w:hAnsi="Arial" w:cs="Arial"/>
        </w:rPr>
      </w:r>
      <w:r w:rsidRPr="005F4756">
        <w:rPr>
          <w:rFonts w:ascii="Arial" w:hAnsi="Arial" w:cs="Arial"/>
        </w:rPr>
        <w:fldChar w:fldCharType="end"/>
      </w:r>
      <w:r w:rsidRPr="005F4756">
        <w:rPr>
          <w:rFonts w:ascii="Arial" w:hAnsi="Arial" w:cs="Arial"/>
        </w:rPr>
      </w:r>
      <w:r w:rsidRPr="005F4756">
        <w:rPr>
          <w:rFonts w:ascii="Arial" w:hAnsi="Arial" w:cs="Arial"/>
        </w:rPr>
        <w:fldChar w:fldCharType="separate"/>
      </w:r>
      <w:r w:rsidRPr="005F4756">
        <w:rPr>
          <w:rFonts w:ascii="Arial" w:hAnsi="Arial" w:cs="Arial"/>
        </w:rPr>
        <w:t>(Hartanto &amp; Rahayu, 2024; Hartanto, Sukarmanto, Rahayu, Aulia, &amp; Puspita, 2024; Rahayu, 2023; Rahayu, Hartanto, Rohayati, &amp; Harni, 2024)</w:t>
      </w:r>
      <w:r w:rsidRPr="005F4756">
        <w:rPr>
          <w:rFonts w:ascii="Arial" w:hAnsi="Arial" w:cs="Arial"/>
        </w:rPr>
        <w:fldChar w:fldCharType="end"/>
      </w:r>
      <w:r w:rsidRPr="005F4756">
        <w:rPr>
          <w:rFonts w:ascii="Arial" w:hAnsi="Arial" w:cs="Arial"/>
        </w:rPr>
        <w:t xml:space="preserve">. </w:t>
      </w:r>
      <w:r w:rsidRPr="005F4756">
        <w:rPr>
          <w:rFonts w:ascii="Arial" w:hAnsi="Arial" w:cs="Arial"/>
        </w:rPr>
        <w:fldChar w:fldCharType="begin"/>
      </w:r>
      <w:r w:rsidRPr="005F4756">
        <w:rPr>
          <w:rFonts w:ascii="Arial" w:hAnsi="Arial" w:cs="Arial"/>
        </w:rPr>
        <w:instrText xml:space="preserve"> ADDIN EN.CITE &lt;EndNote&gt;&lt;Cite AuthorYear="1"&gt;&lt;Author&gt;Fitriyah&lt;/Author&gt;&lt;Year&gt;2016&lt;/Year&gt;&lt;RecNum&gt;683&lt;/RecNum&gt;&lt;DisplayText&gt;Fitriyah (2016)&lt;/DisplayText&gt;&lt;record&gt;&lt;rec-number&gt;683&lt;/rec-number&gt;&lt;foreign-keys&gt;&lt;key app="EN" db-id="s2zxra50f5rxe9ezxwnpfswwa5vdvraddzst" timestamp="1752391123"&gt;683&lt;/key&gt;&lt;/foreign-keys&gt;&lt;ref-type name="Journal Article"&gt;17&lt;/ref-type&gt;&lt;contributors&gt;&lt;authors&gt;&lt;author&gt;Fitriyah, Fury Khristianty&lt;/author&gt;&lt;/authors&gt;&lt;/contributors&gt;&lt;titles&gt;&lt;title&gt;The role of the internal audit unit in detecting and preventing fraud at public Universities in West Java, Indonesia&lt;/title&gt;&lt;secondary-title&gt;International Scholarly Scientific Research Innovation&lt;/secondary-title&gt;&lt;/titles&gt;&lt;periodical&gt;&lt;full-title&gt;International Scholarly Scientific Research Innovation&lt;/full-title&gt;&lt;/periodical&gt;&lt;pages&gt;1802-1809&lt;/pages&gt;&lt;volume&gt;10&lt;/volume&gt;&lt;number&gt;5&lt;/number&gt;&lt;dates&gt;&lt;year&gt;2016&lt;/year&gt;&lt;/dates&gt;&lt;urls&gt;&lt;/urls&gt;&lt;/record&gt;&lt;/Cite&gt;&lt;/EndNote&gt;</w:instrText>
      </w:r>
      <w:r w:rsidRPr="005F4756">
        <w:rPr>
          <w:rFonts w:ascii="Arial" w:hAnsi="Arial" w:cs="Arial"/>
        </w:rPr>
        <w:fldChar w:fldCharType="separate"/>
      </w:r>
      <w:r w:rsidRPr="005F4756">
        <w:rPr>
          <w:rFonts w:ascii="Arial" w:hAnsi="Arial" w:cs="Arial"/>
        </w:rPr>
        <w:t>Fitriyah (2016)</w:t>
      </w:r>
      <w:r w:rsidRPr="005F4756">
        <w:rPr>
          <w:rFonts w:ascii="Arial" w:hAnsi="Arial" w:cs="Arial"/>
        </w:rPr>
        <w:fldChar w:fldCharType="end"/>
      </w:r>
      <w:r w:rsidRPr="005F4756">
        <w:rPr>
          <w:rFonts w:ascii="Arial" w:hAnsi="Arial" w:cs="Arial"/>
        </w:rPr>
        <w:t xml:space="preserve"> also emphasized the importance of "tone at the top", namely, the role of top management (such as the Chancellor) in providing examples and commitment to a strong internal control system. When university leadership fails to follow up on SPI audit results, the effectiveness of fraud prevention is weakened. According to </w:t>
      </w:r>
      <w:r w:rsidRPr="005F4756">
        <w:rPr>
          <w:rFonts w:ascii="Arial" w:hAnsi="Arial" w:cs="Arial"/>
        </w:rPr>
        <w:fldChar w:fldCharType="begin"/>
      </w:r>
      <w:r w:rsidRPr="005F4756">
        <w:rPr>
          <w:rFonts w:ascii="Arial" w:hAnsi="Arial" w:cs="Arial"/>
        </w:rPr>
        <w:instrText xml:space="preserve"> ADDIN EN.CITE &lt;EndNote&gt;&lt;Cite AuthorYear="1"&gt;&lt;Author&gt;Abdullahi&lt;/Author&gt;&lt;Year&gt;2015&lt;/Year&gt;&lt;RecNum&gt;677&lt;/RecNum&gt;&lt;DisplayText&gt;Abdullahi, Mansor, and Nuhu (2015)&lt;/DisplayText&gt;&lt;record&gt;&lt;rec-number&gt;677&lt;/rec-number&gt;&lt;foreign-keys&gt;&lt;key app="EN" db-id="s2zxra50f5rxe9ezxwnpfswwa5vdvraddzst" timestamp="1752369586"&gt;677&lt;/key&gt;&lt;/foreign-keys&gt;&lt;ref-type name="Journal Article"&gt;17&lt;/ref-type&gt;&lt;contributors&gt;&lt;authors&gt;&lt;author&gt;Abdullahi, Rabi’u&lt;/author&gt;&lt;author&gt;Mansor, Noorhayati&lt;/author&gt;&lt;author&gt;Nuhu, Muhammad Shahir&lt;/author&gt;&lt;/authors&gt;&lt;/contributors&gt;&lt;titles&gt;&lt;title&gt;Fraud triangle theory and fraud diamond theory. Understanding the convergent and divergent for future research&lt;/title&gt;&lt;secondary-title&gt;International Journal of Academic Research in Accounting, Finance Management Sciences&lt;/secondary-title&gt;&lt;/titles&gt;&lt;periodical&gt;&lt;full-title&gt;International Journal of Academic Research in Accounting, Finance Management Sciences&lt;/full-title&gt;&lt;/periodical&gt;&lt;pages&gt;38-45&lt;/pages&gt;&lt;volume&gt;5&lt;/volume&gt;&lt;number&gt;4&lt;/number&gt;&lt;dates&gt;&lt;year&gt;2015&lt;/year&gt;&lt;/dates&gt;&lt;urls&gt;&lt;/urls&gt;&lt;/record&gt;&lt;/Cite&gt;&lt;/EndNote&gt;</w:instrText>
      </w:r>
      <w:r w:rsidRPr="005F4756">
        <w:rPr>
          <w:rFonts w:ascii="Arial" w:hAnsi="Arial" w:cs="Arial"/>
        </w:rPr>
        <w:fldChar w:fldCharType="separate"/>
      </w:r>
      <w:r w:rsidRPr="005F4756">
        <w:rPr>
          <w:rFonts w:ascii="Arial" w:hAnsi="Arial" w:cs="Arial"/>
        </w:rPr>
        <w:t>Abdullahi, Mansor, and Nuhu (2015)</w:t>
      </w:r>
      <w:r w:rsidRPr="005F4756">
        <w:rPr>
          <w:rFonts w:ascii="Arial" w:hAnsi="Arial" w:cs="Arial"/>
        </w:rPr>
        <w:fldChar w:fldCharType="end"/>
      </w:r>
      <w:r w:rsidRPr="005F4756">
        <w:rPr>
          <w:rFonts w:ascii="Arial" w:hAnsi="Arial" w:cs="Arial"/>
        </w:rPr>
        <w:t>, , fraud prevention strategies should be prepared in a multidimensional manner, encompassing preventive measures, early detection, investigation, and sanction systems, as well as sustainable monitoring and evaluation. This multidimensional approach is considered more effective because it can address the systemic weaknesses that allow fraud to occur. Solely administrative prevention is insufficient without the involvement of all elements of the academic community in fostering a culture of integrity and collective oversight. Therefore, this study adopts four main dimensions in measuring fraud prevention strategies: prevention, detection, investigation, and sanctions as well as monitoring and evaluation.</w:t>
      </w:r>
    </w:p>
    <w:p w14:paraId="7CD46249" w14:textId="77777777" w:rsidR="005F4756" w:rsidRPr="005F4756" w:rsidRDefault="005F4756" w:rsidP="005F4756">
      <w:pPr>
        <w:pStyle w:val="Body"/>
        <w:spacing w:after="0"/>
        <w:rPr>
          <w:rFonts w:ascii="Arial" w:hAnsi="Arial" w:cs="Arial"/>
        </w:rPr>
      </w:pPr>
    </w:p>
    <w:p w14:paraId="0DA4A3FA" w14:textId="77777777" w:rsidR="005F4756" w:rsidRDefault="005F4756" w:rsidP="005F4756">
      <w:pPr>
        <w:pStyle w:val="Body"/>
        <w:spacing w:after="0"/>
        <w:rPr>
          <w:rFonts w:ascii="Arial" w:hAnsi="Arial" w:cs="Arial"/>
        </w:rPr>
      </w:pPr>
      <w:r w:rsidRPr="005F4756">
        <w:rPr>
          <w:rFonts w:ascii="Arial" w:hAnsi="Arial" w:cs="Arial"/>
        </w:rPr>
        <w:t xml:space="preserve">Prevention is the first layer of the fraud control system. This dimension encompasses policies, organizational culture, and educational mechanisms aimed at reducing individual opportunities and motivation to deviate from the norm. Prevention is a crucial first step in mitigating fraud risk. Increasing public awareness of the consequences of fraud can be a significant preventive measure </w:t>
      </w:r>
      <w:r w:rsidRPr="005F4756">
        <w:rPr>
          <w:rFonts w:ascii="Arial" w:hAnsi="Arial" w:cs="Arial"/>
        </w:rPr>
        <w:fldChar w:fldCharType="begin"/>
      </w:r>
      <w:r w:rsidRPr="005F4756">
        <w:rPr>
          <w:rFonts w:ascii="Arial" w:hAnsi="Arial" w:cs="Arial"/>
        </w:rPr>
        <w:instrText xml:space="preserve"> ADDIN EN.CITE &lt;EndNote&gt;&lt;Cite&gt;&lt;Author&gt;Amasiatu&lt;/Author&gt;&lt;Year&gt;2018&lt;/Year&gt;&lt;RecNum&gt;686&lt;/RecNum&gt;&lt;DisplayText&gt;(Amasiatu &amp;amp; Shah, 2018)&lt;/DisplayText&gt;&lt;record&gt;&lt;rec-number&gt;686&lt;/rec-number&gt;&lt;foreign-keys&gt;&lt;key app="EN" db-id="s2zxra50f5rxe9ezxwnpfswwa5vdvraddzst" timestamp="1752392292"&gt;686&lt;/key&gt;&lt;/foreign-keys&gt;&lt;ref-type name="Journal Article"&gt;17&lt;/ref-type&gt;&lt;contributors&gt;&lt;authors&gt;&lt;author&gt;Amasiatu, Chioma Vivian&lt;/author&gt;&lt;author&gt;Shah, Mahmood Hussain&lt;/author&gt;&lt;/authors&gt;&lt;/contributors&gt;&lt;titles&gt;&lt;title&gt;First party fraud management: framework for the retail industry&lt;/title&gt;&lt;secondary-title&gt;International Journal of Retail Distribution Management&lt;/secondary-title&gt;&lt;/titles&gt;&lt;periodical&gt;&lt;full-title&gt;International Journal of Retail Distribution Management&lt;/full-title&gt;&lt;/periodical&gt;&lt;pages&gt;350-363&lt;/pages&gt;&lt;volume&gt;46&lt;/volume&gt;&lt;number&gt;4&lt;/number&gt;&lt;dates&gt;&lt;year&gt;2018&lt;/year&gt;&lt;/dates&gt;&lt;isbn&gt;0959-0552&lt;/isbn&gt;&lt;urls&gt;&lt;/urls&gt;&lt;/record&gt;&lt;/Cite&gt;&lt;/EndNote&gt;</w:instrText>
      </w:r>
      <w:r w:rsidRPr="005F4756">
        <w:rPr>
          <w:rFonts w:ascii="Arial" w:hAnsi="Arial" w:cs="Arial"/>
        </w:rPr>
        <w:fldChar w:fldCharType="separate"/>
      </w:r>
      <w:r w:rsidRPr="005F4756">
        <w:rPr>
          <w:rFonts w:ascii="Arial" w:hAnsi="Arial" w:cs="Arial"/>
        </w:rPr>
        <w:t>(Amasiatu &amp; Shah, 2018)</w:t>
      </w:r>
      <w:r w:rsidRPr="005F4756">
        <w:rPr>
          <w:rFonts w:ascii="Arial" w:hAnsi="Arial" w:cs="Arial"/>
        </w:rPr>
        <w:fldChar w:fldCharType="end"/>
      </w:r>
      <w:r w:rsidRPr="005F4756">
        <w:rPr>
          <w:rFonts w:ascii="Arial" w:hAnsi="Arial" w:cs="Arial"/>
        </w:rPr>
        <w:t xml:space="preserve">. Research indicates that effective risk management of cheating is most successful when implemented through robust prevention capabilities, where steps are taken to minimize the likelihood of fraud </w:t>
      </w:r>
      <w:r w:rsidRPr="005F4756">
        <w:rPr>
          <w:rFonts w:ascii="Arial" w:hAnsi="Arial" w:cs="Arial"/>
        </w:rPr>
        <w:fldChar w:fldCharType="begin"/>
      </w:r>
      <w:r w:rsidRPr="005F4756">
        <w:rPr>
          <w:rFonts w:ascii="Arial" w:hAnsi="Arial" w:cs="Arial"/>
        </w:rPr>
        <w:instrText xml:space="preserve"> ADDIN EN.CITE &lt;EndNote&gt;&lt;Cite&gt;&lt;Author&gt;Yusti&lt;/Author&gt;&lt;Year&gt;2021&lt;/Year&gt;&lt;RecNum&gt;687&lt;/RecNum&gt;&lt;DisplayText&gt;(Yusti, Triyadi, &amp;amp; Ramadhan, 2021)&lt;/DisplayText&gt;&lt;record&gt;&lt;rec-number&gt;687&lt;/rec-number&gt;&lt;foreign-keys&gt;&lt;key app="EN" db-id="s2zxra50f5rxe9ezxwnpfswwa5vdvraddzst" timestamp="1752392358"&gt;687&lt;/key&gt;&lt;/foreign-keys&gt;&lt;ref-type name="Journal Article"&gt;17&lt;/ref-type&gt;&lt;contributors&gt;&lt;authors&gt;&lt;author&gt;Yusti, Malinda&lt;/author&gt;&lt;author&gt;Triyadi, Triyadi&lt;/author&gt;&lt;author&gt;Ramadhan, Dona&lt;/author&gt;&lt;/authors&gt;&lt;/contributors&gt;&lt;titles&gt;&lt;title&gt;Analysis of the Root Causes of Fraud Using Risk Causal and Fraud Diamond Matrix: A Case Study on Retail Financing Company&lt;/title&gt;&lt;secondary-title&gt;Asia Pacific Fraud Journal&lt;/secondary-title&gt;&lt;/titles&gt;&lt;periodical&gt;&lt;full-title&gt;Asia Pacific Fraud Journal&lt;/full-title&gt;&lt;/periodical&gt;&lt;pages&gt;159-170&lt;/pages&gt;&lt;volume&gt;6&lt;/volume&gt;&lt;number&gt;1&lt;/number&gt;&lt;dates&gt;&lt;year&gt;2021&lt;/year&gt;&lt;/dates&gt;&lt;isbn&gt;2502-695X&lt;/isbn&gt;&lt;urls&gt;&lt;/urls&gt;&lt;/record&gt;&lt;/Cite&gt;&lt;/EndNote&gt;</w:instrText>
      </w:r>
      <w:r w:rsidRPr="005F4756">
        <w:rPr>
          <w:rFonts w:ascii="Arial" w:hAnsi="Arial" w:cs="Arial"/>
        </w:rPr>
        <w:fldChar w:fldCharType="separate"/>
      </w:r>
      <w:r w:rsidRPr="005F4756">
        <w:rPr>
          <w:rFonts w:ascii="Arial" w:hAnsi="Arial" w:cs="Arial"/>
        </w:rPr>
        <w:t>(Yusti, Triyadi, &amp; Ramadhan, 2021)</w:t>
      </w:r>
      <w:r w:rsidRPr="005F4756">
        <w:rPr>
          <w:rFonts w:ascii="Arial" w:hAnsi="Arial" w:cs="Arial"/>
        </w:rPr>
        <w:fldChar w:fldCharType="end"/>
      </w:r>
      <w:r w:rsidRPr="005F4756">
        <w:rPr>
          <w:rFonts w:ascii="Arial" w:hAnsi="Arial" w:cs="Arial"/>
        </w:rPr>
        <w:t>. Therefore, strong internal policies and awareness training for integrity can help strengthen these efforts.</w:t>
      </w:r>
    </w:p>
    <w:p w14:paraId="08FDD188" w14:textId="77777777" w:rsidR="005F4756" w:rsidRPr="005F4756" w:rsidRDefault="005F4756" w:rsidP="005F4756">
      <w:pPr>
        <w:pStyle w:val="Body"/>
        <w:spacing w:after="0"/>
        <w:rPr>
          <w:rFonts w:ascii="Arial" w:hAnsi="Arial" w:cs="Arial"/>
        </w:rPr>
      </w:pPr>
    </w:p>
    <w:p w14:paraId="003363EC" w14:textId="77777777" w:rsidR="005F4756" w:rsidRPr="005F4756" w:rsidRDefault="005F4756" w:rsidP="005F4756">
      <w:pPr>
        <w:pStyle w:val="Body"/>
        <w:spacing w:after="0"/>
        <w:rPr>
          <w:rFonts w:ascii="Arial" w:hAnsi="Arial" w:cs="Arial"/>
        </w:rPr>
      </w:pPr>
      <w:r w:rsidRPr="005F4756">
        <w:rPr>
          <w:rFonts w:ascii="Arial" w:hAnsi="Arial" w:cs="Arial"/>
        </w:rPr>
        <w:fldChar w:fldCharType="begin"/>
      </w:r>
      <w:r w:rsidRPr="005F4756">
        <w:rPr>
          <w:rFonts w:ascii="Arial" w:hAnsi="Arial" w:cs="Arial"/>
        </w:rPr>
        <w:instrText xml:space="preserve"> ADDIN EN.CITE &lt;EndNote&gt;&lt;Cite AuthorYear="1"&gt;&lt;Author&gt;Hanim Fadzil&lt;/Author&gt;&lt;Year&gt;2005&lt;/Year&gt;&lt;RecNum&gt;676&lt;/RecNum&gt;&lt;DisplayText&gt;Hanim Fadzil et al. (2005)&lt;/DisplayText&gt;&lt;record&gt;&lt;rec-number&gt;676&lt;/rec-number&gt;&lt;foreign-keys&gt;&lt;key app="EN" db-id="s2zxra50f5rxe9ezxwnpfswwa5vdvraddzst" timestamp="1752369344"&gt;676&lt;/key&gt;&lt;/foreign-keys&gt;&lt;ref-type name="Journal Article"&gt;17&lt;/ref-type&gt;&lt;contributors&gt;&lt;authors&gt;&lt;author&gt;Hanim Fadzil, Faudziah&lt;/author&gt;&lt;author&gt;Haron, Hasnah&lt;/author&gt;&lt;author&gt;Jantan, Muhamad&lt;/author&gt;&lt;/authors&gt;&lt;/contributors&gt;&lt;titles&gt;&lt;title&gt;Internal auditing practices and internal control system&lt;/title&gt;&lt;secondary-title&gt;Managerial auditing journal&lt;/secondary-title&gt;&lt;/titles&gt;&lt;periodical&gt;&lt;full-title&gt;Managerial Auditing Journal&lt;/full-title&gt;&lt;/periodical&gt;&lt;pages&gt;844-866&lt;/pages&gt;&lt;volume&gt;20&lt;/volume&gt;&lt;number&gt;8&lt;/number&gt;&lt;dates&gt;&lt;year&gt;2005&lt;/year&gt;&lt;/dates&gt;&lt;isbn&gt;0268-6902&lt;/isbn&gt;&lt;urls&gt;&lt;/urls&gt;&lt;/record&gt;&lt;/Cite&gt;&lt;/EndNote&gt;</w:instrText>
      </w:r>
      <w:r w:rsidRPr="005F4756">
        <w:rPr>
          <w:rFonts w:ascii="Arial" w:hAnsi="Arial" w:cs="Arial"/>
        </w:rPr>
        <w:fldChar w:fldCharType="separate"/>
      </w:r>
      <w:r w:rsidRPr="005F4756">
        <w:rPr>
          <w:rFonts w:ascii="Arial" w:hAnsi="Arial" w:cs="Arial"/>
        </w:rPr>
        <w:t>Hanim Fadzil et al. (2005)</w:t>
      </w:r>
      <w:r w:rsidRPr="005F4756">
        <w:rPr>
          <w:rFonts w:ascii="Arial" w:hAnsi="Arial" w:cs="Arial"/>
        </w:rPr>
        <w:fldChar w:fldCharType="end"/>
      </w:r>
      <w:r w:rsidRPr="005F4756">
        <w:rPr>
          <w:rFonts w:ascii="Arial" w:hAnsi="Arial" w:cs="Arial"/>
        </w:rPr>
        <w:t xml:space="preserve"> state that a good understanding of the principles of ethics and internal control systems will foster obedient behavior in adhering to regulations. One of the primary aspects of prevention is anti-fraud education and ethics that target all campus elements, including students. An academic code of ethics, which is explicitly communicated and consistently upheld, can serve as a collective reminder of the integrity standards that must be maintained </w:t>
      </w:r>
      <w:r w:rsidRPr="005F4756">
        <w:rPr>
          <w:rFonts w:ascii="Arial" w:hAnsi="Arial" w:cs="Arial"/>
        </w:rPr>
        <w:fldChar w:fldCharType="begin"/>
      </w:r>
      <w:r w:rsidRPr="005F4756">
        <w:rPr>
          <w:rFonts w:ascii="Arial" w:hAnsi="Arial" w:cs="Arial"/>
        </w:rPr>
        <w:instrText xml:space="preserve"> ADDIN EN.CITE &lt;EndNote&gt;&lt;Cite&gt;&lt;Author&gt;Rahayu&lt;/Author&gt;&lt;Year&gt;2024&lt;/Year&gt;&lt;RecNum&gt;69&lt;/RecNum&gt;&lt;DisplayText&gt;(Rahayu, 2024)&lt;/DisplayText&gt;&lt;record&gt;&lt;rec-number&gt;69&lt;/rec-number&gt;&lt;foreign-keys&gt;&lt;key app="EN" db-id="s2zxra50f5rxe9ezxwnpfswwa5vdvraddzst" timestamp="1712191832"&gt;69&lt;/key&gt;&lt;/foreign-keys&gt;&lt;ref-type name="Journal Article"&gt;17&lt;/ref-type&gt;&lt;contributors&gt;&lt;authors&gt;&lt;author&gt;Rahayu, Dwi&lt;/author&gt;&lt;/authors&gt;&lt;/contributors&gt;&lt;titles&gt;&lt;title&gt;Personal Values, Ethical Orientation, and Ethical Behavior in Accounting Students as Prospective Professional Accountants&lt;/title&gt;&lt;secondary-title&gt;JIAFE (Jurnal Ilmiah Akuntansi Fakultas Ekonomi)&lt;/secondary-title&gt;&lt;/titles&gt;&lt;periodical&gt;&lt;full-title&gt;JIAFE (Jurnal Ilmiah Akuntansi Fakultas Ekonomi)&lt;/full-title&gt;&lt;/periodical&gt;&lt;pages&gt;1-12&lt;/pages&gt;&lt;volume&gt;10&lt;/volume&gt;&lt;number&gt;1&lt;/number&gt;&lt;dates&gt;&lt;year&gt;2024&lt;/year&gt;&lt;/dates&gt;&lt;isbn&gt;2502-4159&lt;/isbn&gt;&lt;urls&gt;&lt;/urls&gt;&lt;/record&gt;&lt;/Cite&gt;&lt;/EndNote&gt;</w:instrText>
      </w:r>
      <w:r w:rsidRPr="005F4756">
        <w:rPr>
          <w:rFonts w:ascii="Arial" w:hAnsi="Arial" w:cs="Arial"/>
        </w:rPr>
        <w:fldChar w:fldCharType="separate"/>
      </w:r>
      <w:r w:rsidRPr="005F4756">
        <w:rPr>
          <w:rFonts w:ascii="Arial" w:hAnsi="Arial" w:cs="Arial"/>
        </w:rPr>
        <w:t>(Rahayu, 2024)</w:t>
      </w:r>
      <w:r w:rsidRPr="005F4756">
        <w:rPr>
          <w:rFonts w:ascii="Arial" w:hAnsi="Arial" w:cs="Arial"/>
        </w:rPr>
        <w:fldChar w:fldCharType="end"/>
      </w:r>
      <w:r w:rsidRPr="005F4756">
        <w:rPr>
          <w:rFonts w:ascii="Arial" w:hAnsi="Arial" w:cs="Arial"/>
        </w:rPr>
        <w:t>. The application of the reporting system (whistle-blowing mechanism) is also a crucial component of promoting transparency.</w:t>
      </w:r>
    </w:p>
    <w:p w14:paraId="57DC1868" w14:textId="77777777" w:rsidR="005F4756" w:rsidRPr="005108F6" w:rsidRDefault="005F4756" w:rsidP="005108F6">
      <w:pPr>
        <w:pStyle w:val="Body"/>
        <w:spacing w:after="0"/>
        <w:rPr>
          <w:rFonts w:ascii="Arial" w:hAnsi="Arial" w:cs="Arial"/>
        </w:rPr>
      </w:pPr>
    </w:p>
    <w:p w14:paraId="1BA36D1D" w14:textId="5080D2AA" w:rsidR="005108F6" w:rsidRDefault="005F4756" w:rsidP="00441B6F">
      <w:pPr>
        <w:pStyle w:val="Body"/>
        <w:spacing w:after="0"/>
        <w:rPr>
          <w:rFonts w:ascii="Arial" w:hAnsi="Arial" w:cs="Arial"/>
        </w:rPr>
      </w:pPr>
      <w:r w:rsidRPr="005F4756">
        <w:rPr>
          <w:rFonts w:ascii="Arial" w:hAnsi="Arial" w:cs="Arial"/>
        </w:rPr>
        <w:t xml:space="preserve">Detection is a stage at which the initial indication of fraud can be identified before it develops into a complex case. Higher education institutions need to have an internal audit system and information technology that can reveal patterns of administrative and academic deviations. </w:t>
      </w:r>
      <w:r w:rsidRPr="005F4756">
        <w:rPr>
          <w:rFonts w:ascii="Arial" w:hAnsi="Arial" w:cs="Arial"/>
        </w:rPr>
        <w:fldChar w:fldCharType="begin"/>
      </w:r>
      <w:r w:rsidRPr="005F4756">
        <w:rPr>
          <w:rFonts w:ascii="Arial" w:hAnsi="Arial" w:cs="Arial"/>
        </w:rPr>
        <w:instrText xml:space="preserve"> ADDIN EN.CITE &lt;EndNote&gt;&lt;Cite AuthorYear="1"&gt;&lt;Author&gt;McHaney&lt;/Author&gt;&lt;Year&gt;2016&lt;/Year&gt;&lt;RecNum&gt;690&lt;/RecNum&gt;&lt;DisplayText&gt;McHaney, Cronan, and Douglas (2016)&lt;/DisplayText&gt;&lt;record&gt;&lt;rec-number&gt;690&lt;/rec-number&gt;&lt;foreign-keys&gt;&lt;key app="EN" db-id="s2zxra50f5rxe9ezxwnpfswwa5vdvraddzst" timestamp="1752396932"&gt;690&lt;/key&gt;&lt;/foreign-keys&gt;&lt;ref-type name="Journal Article"&gt;17&lt;/ref-type&gt;&lt;contributors&gt;&lt;authors&gt;&lt;author&gt;McHaney, Roger&lt;/author&gt;&lt;author&gt;Cronan, Timothy Paul&lt;/author&gt;&lt;author&gt;Douglas, David E&lt;/author&gt;&lt;/authors&gt;&lt;/contributors&gt;&lt;titles&gt;&lt;title&gt;Academic integrity: Information systems education perspective&lt;/title&gt;&lt;secondary-title&gt;Journal of Information Systems Education&lt;/secondary-title&gt;&lt;/titles&gt;&lt;periodical&gt;&lt;full-title&gt;Journal of Information Systems Education&lt;/full-title&gt;&lt;/periodical&gt;&lt;pages&gt;153-158&lt;/pages&gt;&lt;volume&gt;27&lt;/volume&gt;&lt;number&gt;3&lt;/number&gt;&lt;dates&gt;&lt;year&gt;2016&lt;/year&gt;&lt;/dates&gt;&lt;isbn&gt;2574-3872&lt;/isbn&gt;&lt;urls&gt;&lt;/urls&gt;&lt;/record&gt;&lt;/Cite&gt;&lt;/EndNote&gt;</w:instrText>
      </w:r>
      <w:r w:rsidRPr="005F4756">
        <w:rPr>
          <w:rFonts w:ascii="Arial" w:hAnsi="Arial" w:cs="Arial"/>
        </w:rPr>
        <w:fldChar w:fldCharType="separate"/>
      </w:r>
      <w:r w:rsidRPr="005F4756">
        <w:rPr>
          <w:rFonts w:ascii="Arial" w:hAnsi="Arial" w:cs="Arial"/>
        </w:rPr>
        <w:t>McHaney, Cronan, and Douglas (2016)</w:t>
      </w:r>
      <w:r w:rsidRPr="005F4756">
        <w:rPr>
          <w:rFonts w:ascii="Arial" w:hAnsi="Arial" w:cs="Arial"/>
        </w:rPr>
        <w:fldChar w:fldCharType="end"/>
      </w:r>
      <w:r w:rsidRPr="005F4756">
        <w:rPr>
          <w:rFonts w:ascii="Arial" w:hAnsi="Arial" w:cs="Arial"/>
        </w:rPr>
        <w:t xml:space="preserve"> ) found that the use of academic information systems in an integrated manner contributed to reducing the likelihood of data manipulation and administrative fraud. Periodic audit implementation, both in the financial and academic domains, plays an important role in maintaining institutional accountability. In addition, according to </w:t>
      </w:r>
      <w:r w:rsidRPr="005F4756">
        <w:rPr>
          <w:rFonts w:ascii="Arial" w:hAnsi="Arial" w:cs="Arial"/>
        </w:rPr>
        <w:fldChar w:fldCharType="begin"/>
      </w:r>
      <w:r w:rsidRPr="005F4756">
        <w:rPr>
          <w:rFonts w:ascii="Arial" w:hAnsi="Arial" w:cs="Arial"/>
        </w:rPr>
        <w:instrText xml:space="preserve"> ADDIN EN.CITE &lt;EndNote&gt;&lt;Cite AuthorYear="1"&gt;&lt;Author&gt;Ullah&lt;/Author&gt;&lt;Year&gt;2022&lt;/Year&gt;&lt;RecNum&gt;691&lt;/RecNum&gt;&lt;DisplayText&gt;Ullah (2022)&lt;/DisplayText&gt;&lt;record&gt;&lt;rec-number&gt;691&lt;/rec-number&gt;&lt;foreign-keys&gt;&lt;key app="EN" db-id="s2zxra50f5rxe9ezxwnpfswwa5vdvraddzst" timestamp="1752397114"&gt;691&lt;/key&gt;&lt;/foreign-keys&gt;&lt;ref-type name="Journal Article"&gt;17&lt;/ref-type&gt;&lt;contributors&gt;&lt;authors&gt;&lt;author&gt;Ullah, Ikram&lt;/author&gt;&lt;/authors&gt;&lt;/contributors&gt;&lt;titles&gt;&lt;title&gt;Lest to Blame Students: The Role of Enforcers in Promoting Academic Dishonesty&lt;/title&gt;&lt;secondary-title&gt;Journal of Academic Ethics&lt;/secondary-title&gt;&lt;/titles&gt;&lt;periodical&gt;&lt;full-title&gt;Journal of Academic Ethics&lt;/full-title&gt;&lt;/periodical&gt;&lt;pages&gt;569-584&lt;/pages&gt;&lt;volume&gt;20&lt;/volume&gt;&lt;number&gt;4&lt;/number&gt;&lt;dates&gt;&lt;year&gt;2022&lt;/year&gt;&lt;/dates&gt;&lt;isbn&gt;1570-1727&lt;/isbn&gt;&lt;urls&gt;&lt;/urls&gt;&lt;/record&gt;&lt;/Cite&gt;&lt;/EndNote&gt;</w:instrText>
      </w:r>
      <w:r w:rsidRPr="005F4756">
        <w:rPr>
          <w:rFonts w:ascii="Arial" w:hAnsi="Arial" w:cs="Arial"/>
        </w:rPr>
        <w:fldChar w:fldCharType="separate"/>
      </w:r>
      <w:r w:rsidRPr="005F4756">
        <w:rPr>
          <w:rFonts w:ascii="Arial" w:hAnsi="Arial" w:cs="Arial"/>
        </w:rPr>
        <w:t>Ullah (2022)</w:t>
      </w:r>
      <w:r w:rsidRPr="005F4756">
        <w:rPr>
          <w:rFonts w:ascii="Arial" w:hAnsi="Arial" w:cs="Arial"/>
        </w:rPr>
        <w:fldChar w:fldCharType="end"/>
      </w:r>
      <w:r w:rsidRPr="005F4756">
        <w:rPr>
          <w:rFonts w:ascii="Arial" w:hAnsi="Arial" w:cs="Arial"/>
        </w:rPr>
        <w:t>, the effectiveness of detection is highly dependent on the clarity of the institutional procedure and response to incoming reports. When the academic community feels that the fraud report is taken seriously, trust in the supervisory system will increase.</w:t>
      </w:r>
    </w:p>
    <w:p w14:paraId="34868ED0" w14:textId="77777777" w:rsidR="005F4756" w:rsidRDefault="005F4756" w:rsidP="00441B6F">
      <w:pPr>
        <w:pStyle w:val="Body"/>
        <w:spacing w:after="0"/>
        <w:rPr>
          <w:rFonts w:ascii="Arial" w:hAnsi="Arial" w:cs="Arial"/>
        </w:rPr>
      </w:pPr>
    </w:p>
    <w:p w14:paraId="62D6FD94" w14:textId="35B8B49B" w:rsidR="005F4756" w:rsidRDefault="005F4756" w:rsidP="005F4756">
      <w:pPr>
        <w:pStyle w:val="Body"/>
        <w:spacing w:after="0"/>
        <w:rPr>
          <w:rFonts w:ascii="Arial" w:hAnsi="Arial" w:cs="Arial"/>
        </w:rPr>
      </w:pPr>
      <w:r w:rsidRPr="005F4756">
        <w:rPr>
          <w:rFonts w:ascii="Arial" w:hAnsi="Arial" w:cs="Arial"/>
        </w:rPr>
        <w:t xml:space="preserve">Investigations and sanctions are a form of institutional response to fraud reports or findings. In the context of higher education, the investigation process must be carried out transparently and fairly to avoid biased perception. Research by </w:t>
      </w:r>
      <w:r w:rsidRPr="005F4756">
        <w:rPr>
          <w:rFonts w:ascii="Arial" w:hAnsi="Arial" w:cs="Arial"/>
        </w:rPr>
        <w:fldChar w:fldCharType="begin"/>
      </w:r>
      <w:r w:rsidRPr="005F4756">
        <w:rPr>
          <w:rFonts w:ascii="Arial" w:hAnsi="Arial" w:cs="Arial"/>
        </w:rPr>
        <w:instrText xml:space="preserve"> ADDIN EN.CITE &lt;EndNote&gt;&lt;Cite AuthorYear="1"&gt;&lt;Author&gt;Kassem&lt;/Author&gt;&lt;Year&gt;2016&lt;/Year&gt;&lt;RecNum&gt;678&lt;/RecNum&gt;&lt;DisplayText&gt;Kassem and Higson (2016)&lt;/DisplayText&gt;&lt;record&gt;&lt;rec-number&gt;678&lt;/rec-number&gt;&lt;foreign-keys&gt;&lt;key app="EN" db-id="s2zxra50f5rxe9ezxwnpfswwa5vdvraddzst" timestamp="1752369760"&gt;678&lt;/key&gt;&lt;/foreign-keys&gt;&lt;ref-type name="Journal Article"&gt;17&lt;/ref-type&gt;&lt;contributors&gt;&lt;authors&gt;&lt;author&gt;Kassem, Rasha&lt;/author&gt;&lt;author&gt;Higson, Andrew W&lt;/author&gt;&lt;/authors&gt;&lt;/contributors&gt;&lt;titles&gt;&lt;title&gt;External auditors and corporate corruption: Implications for external audit regulators&lt;/title&gt;&lt;secondary-title&gt;Current Issues in Auditing&lt;/secondary-title&gt;&lt;/titles&gt;&lt;periodical&gt;&lt;full-title&gt;Current Issues in Auditing&lt;/full-title&gt;&lt;/periodical&gt;&lt;pages&gt;P1-P10&lt;/pages&gt;&lt;volume&gt;10&lt;/volume&gt;&lt;number&gt;1&lt;/number&gt;&lt;dates&gt;&lt;year&gt;2016&lt;/year&gt;&lt;/dates&gt;&lt;isbn&gt;1936-1270&lt;/isbn&gt;&lt;urls&gt;&lt;/urls&gt;&lt;/record&gt;&lt;/Cite&gt;&lt;/EndNote&gt;</w:instrText>
      </w:r>
      <w:r w:rsidRPr="005F4756">
        <w:rPr>
          <w:rFonts w:ascii="Arial" w:hAnsi="Arial" w:cs="Arial"/>
        </w:rPr>
        <w:fldChar w:fldCharType="separate"/>
      </w:r>
      <w:r w:rsidRPr="005F4756">
        <w:rPr>
          <w:rFonts w:ascii="Arial" w:hAnsi="Arial" w:cs="Arial"/>
        </w:rPr>
        <w:t>Kassem and Higson (2016)</w:t>
      </w:r>
      <w:r w:rsidRPr="005F4756">
        <w:rPr>
          <w:rFonts w:ascii="Arial" w:hAnsi="Arial" w:cs="Arial"/>
        </w:rPr>
        <w:fldChar w:fldCharType="end"/>
      </w:r>
      <w:r w:rsidRPr="005F4756">
        <w:rPr>
          <w:rFonts w:ascii="Arial" w:hAnsi="Arial" w:cs="Arial"/>
        </w:rPr>
        <w:t xml:space="preserve"> confirms that a strict and proportional sanction system for violations can increase the deterrent effect and strengthen institutional integrity. </w:t>
      </w:r>
      <w:r w:rsidRPr="005F4756">
        <w:rPr>
          <w:rFonts w:ascii="Arial" w:hAnsi="Arial" w:cs="Arial"/>
        </w:rPr>
        <w:fldChar w:fldCharType="begin"/>
      </w:r>
      <w:r w:rsidRPr="005F4756">
        <w:rPr>
          <w:rFonts w:ascii="Arial" w:hAnsi="Arial" w:cs="Arial"/>
        </w:rPr>
        <w:instrText xml:space="preserve"> ADDIN EN.CITE &lt;EndNote&gt;&lt;Cite AuthorYear="1"&gt;&lt;Author&gt;Cerda-Navarro&lt;/Author&gt;&lt;Year&gt;2022&lt;/Year&gt;&lt;RecNum&gt;692&lt;/RecNum&gt;&lt;DisplayText&gt;Cerda-Navarro, Touza, Morey-López, and Curiel (2022)&lt;/DisplayText&gt;&lt;record&gt;&lt;rec-number&gt;692&lt;/rec-number&gt;&lt;foreign-keys&gt;&lt;key app="EN" db-id="s2zxra50f5rxe9ezxwnpfswwa5vdvraddzst" timestamp="1752397293"&gt;692&lt;/key&gt;&lt;/foreign-keys&gt;&lt;ref-type name="Journal Article"&gt;17&lt;/ref-type&gt;&lt;contributors&gt;&lt;authors&gt;&lt;author&gt;Cerda-Navarro, Antoni&lt;/author&gt;&lt;author&gt;Touza, Carmen&lt;/author&gt;&lt;author&gt;Morey-López, Mercè&lt;/author&gt;&lt;author&gt;Curiel, Elvira&lt;/author&gt;&lt;/authors&gt;&lt;/contributors&gt;&lt;titles&gt;&lt;title&gt;Academic integrity policies against assessment fraud in postgraduate studies: An analysis of the situation in Spanish universities&lt;/title&gt;&lt;secondary-title&gt;Heliyon&lt;/secondary-title&gt;&lt;/titles&gt;&lt;periodical&gt;&lt;full-title&gt;Heliyon&lt;/full-title&gt;&lt;/periodical&gt;&lt;volume&gt;8&lt;/volume&gt;&lt;number&gt;3&lt;/number&gt;&lt;dates&gt;&lt;year&gt;2022&lt;/year&gt;&lt;/dates&gt;&lt;isbn&gt;2405-8440&lt;/isbn&gt;&lt;urls&gt;&lt;/urls&gt;&lt;/record&gt;&lt;/Cite&gt;&lt;/EndNote&gt;</w:instrText>
      </w:r>
      <w:r w:rsidRPr="005F4756">
        <w:rPr>
          <w:rFonts w:ascii="Arial" w:hAnsi="Arial" w:cs="Arial"/>
        </w:rPr>
        <w:fldChar w:fldCharType="separate"/>
      </w:r>
      <w:r w:rsidRPr="005F4756">
        <w:rPr>
          <w:rFonts w:ascii="Arial" w:hAnsi="Arial" w:cs="Arial"/>
        </w:rPr>
        <w:t>Cerda-Navarro, Touza, Morey-López, and Curiel (2022)</w:t>
      </w:r>
      <w:r w:rsidRPr="005F4756">
        <w:rPr>
          <w:rFonts w:ascii="Arial" w:hAnsi="Arial" w:cs="Arial"/>
        </w:rPr>
        <w:fldChar w:fldCharType="end"/>
      </w:r>
      <w:r w:rsidRPr="005F4756">
        <w:rPr>
          <w:rFonts w:ascii="Arial" w:hAnsi="Arial" w:cs="Arial"/>
        </w:rPr>
        <w:t xml:space="preserve"> emphasized the importance of the principle of zero tolerance towards violations of academic ethics. However, sanctions policies must also be balanced with equivalent treatment of all campus</w:t>
      </w:r>
      <w:r>
        <w:rPr>
          <w:rFonts w:ascii="Arial" w:hAnsi="Arial" w:cs="Arial"/>
        </w:rPr>
        <w:t xml:space="preserve"> </w:t>
      </w:r>
      <w:r w:rsidRPr="005F4756">
        <w:rPr>
          <w:rFonts w:ascii="Arial" w:hAnsi="Arial" w:cs="Arial"/>
        </w:rPr>
        <w:t>elements without discrimination. This confirms that procedural justice is the foundation of a credible internal law enforcement system.</w:t>
      </w:r>
    </w:p>
    <w:p w14:paraId="77E43218" w14:textId="77777777" w:rsidR="005F4756" w:rsidRDefault="005F4756" w:rsidP="005F4756">
      <w:pPr>
        <w:pStyle w:val="Body"/>
        <w:spacing w:after="0"/>
        <w:rPr>
          <w:rFonts w:ascii="Arial" w:hAnsi="Arial" w:cs="Arial"/>
        </w:rPr>
      </w:pPr>
    </w:p>
    <w:p w14:paraId="4773979C" w14:textId="77777777" w:rsidR="005F4756" w:rsidRDefault="005F4756" w:rsidP="005F4756">
      <w:pPr>
        <w:pStyle w:val="Body"/>
        <w:spacing w:after="0"/>
        <w:rPr>
          <w:rFonts w:ascii="Arial" w:hAnsi="Arial" w:cs="Arial"/>
        </w:rPr>
      </w:pPr>
      <w:r w:rsidRPr="005F4756">
        <w:rPr>
          <w:rFonts w:ascii="Arial" w:hAnsi="Arial" w:cs="Arial"/>
        </w:rPr>
        <w:t xml:space="preserve">Monitoring and Evaluation (M&amp;E) serves as a sustainable mechanism for strengthening fraud prevention strategies. </w:t>
      </w:r>
      <w:r w:rsidRPr="005F4756">
        <w:rPr>
          <w:rFonts w:ascii="Arial" w:hAnsi="Arial" w:cs="Arial"/>
        </w:rPr>
        <w:fldChar w:fldCharType="begin"/>
      </w:r>
      <w:r w:rsidRPr="005F4756">
        <w:rPr>
          <w:rFonts w:ascii="Arial" w:hAnsi="Arial" w:cs="Arial"/>
        </w:rPr>
        <w:instrText xml:space="preserve"> ADDIN EN.CITE &lt;EndNote&gt;&lt;Cite AuthorYear="1"&gt;&lt;Author&gt;Dorminey&lt;/Author&gt;&lt;Year&gt;2012&lt;/Year&gt;&lt;RecNum&gt;675&lt;/RecNum&gt;&lt;DisplayText&gt;Dorminey et al. (2012)&lt;/DisplayText&gt;&lt;record&gt;&lt;rec-number&gt;675&lt;/rec-number&gt;&lt;foreign-keys&gt;&lt;key app="EN" db-id="s2zxra50f5rxe9ezxwnpfswwa5vdvraddzst" timestamp="1752342101"&gt;675&lt;/key&gt;&lt;/foreign-keys&gt;&lt;ref-type name="Journal Article"&gt;17&lt;/ref-type&gt;&lt;contributors&gt;&lt;authors&gt;&lt;author&gt;Dorminey, Jack&lt;/author&gt;&lt;author&gt;Fleming, A Scott&lt;/author&gt;&lt;author&gt;Kranacher, Mary-Jo&lt;/author&gt;&lt;author&gt;Riley Jr, Richard A&lt;/author&gt;&lt;/authors&gt;&lt;/contributors&gt;&lt;titles&gt;&lt;title&gt;The evolution of fraud theory&lt;/title&gt;&lt;secondary-title&gt;Issues in accounting education&lt;/secondary-title&gt;&lt;/titles&gt;&lt;periodical&gt;&lt;full-title&gt;Issues in accounting education&lt;/full-title&gt;&lt;/periodical&gt;&lt;pages&gt;555-579&lt;/pages&gt;&lt;volume&gt;27&lt;/volume&gt;&lt;number&gt;2&lt;/number&gt;&lt;dates&gt;&lt;year&gt;2012&lt;/year&gt;&lt;/dates&gt;&lt;isbn&gt;0739-3172&lt;/isbn&gt;&lt;urls&gt;&lt;/urls&gt;&lt;/record&gt;&lt;/Cite&gt;&lt;/EndNote&gt;</w:instrText>
      </w:r>
      <w:r w:rsidRPr="005F4756">
        <w:rPr>
          <w:rFonts w:ascii="Arial" w:hAnsi="Arial" w:cs="Arial"/>
        </w:rPr>
        <w:fldChar w:fldCharType="separate"/>
      </w:r>
      <w:r w:rsidRPr="005F4756">
        <w:rPr>
          <w:rFonts w:ascii="Arial" w:hAnsi="Arial" w:cs="Arial"/>
        </w:rPr>
        <w:t>Dorminey et al. (2012)</w:t>
      </w:r>
      <w:r w:rsidRPr="005F4756">
        <w:rPr>
          <w:rFonts w:ascii="Arial" w:hAnsi="Arial" w:cs="Arial"/>
        </w:rPr>
        <w:fldChar w:fldCharType="end"/>
      </w:r>
      <w:r w:rsidRPr="005F4756">
        <w:rPr>
          <w:rFonts w:ascii="Arial" w:hAnsi="Arial" w:cs="Arial"/>
        </w:rPr>
        <w:t xml:space="preserve"> explain that the fraud prevention system is dynamic and requires regular evaluation to remain adaptive to changes in the risk environment. Evaluation is conducted on the effectiveness of policies, the implementation of audits, and follow-up on the findings or reports of fraud. In practice, M&amp;E activities can be realized through integrity training, student involvement, and staff involvement in the supervision forum, as well as the development of digital systems for reporting and monitoring cases. </w:t>
      </w:r>
      <w:r w:rsidRPr="005F4756">
        <w:rPr>
          <w:rFonts w:ascii="Arial" w:hAnsi="Arial" w:cs="Arial"/>
        </w:rPr>
        <w:fldChar w:fldCharType="begin"/>
      </w:r>
      <w:r w:rsidRPr="005F4756">
        <w:rPr>
          <w:rFonts w:ascii="Arial" w:hAnsi="Arial" w:cs="Arial"/>
        </w:rPr>
        <w:instrText xml:space="preserve"> ADDIN EN.CITE &lt;EndNote&gt;&lt;Cite AuthorYear="1"&gt;&lt;Author&gt;Abdullahi&lt;/Author&gt;&lt;Year&gt;2015&lt;/Year&gt;&lt;RecNum&gt;677&lt;/RecNum&gt;&lt;DisplayText&gt;Abdullahi et al. (2015)&lt;/DisplayText&gt;&lt;record&gt;&lt;rec-number&gt;677&lt;/rec-number&gt;&lt;foreign-keys&gt;&lt;key app="EN" db-id="s2zxra50f5rxe9ezxwnpfswwa5vdvraddzst" timestamp="1752369586"&gt;677&lt;/key&gt;&lt;/foreign-keys&gt;&lt;ref-type name="Journal Article"&gt;17&lt;/ref-type&gt;&lt;contributors&gt;&lt;authors&gt;&lt;author&gt;Abdullahi, Rabi’u&lt;/author&gt;&lt;author&gt;Mansor, Noorhayati&lt;/author&gt;&lt;author&gt;Nuhu, Muhammad Shahir&lt;/author&gt;&lt;/authors&gt;&lt;/contributors&gt;&lt;titles&gt;&lt;title&gt;Fraud triangle theory and fraud diamond theory. Understanding the convergent and divergent for future research&lt;/title&gt;&lt;secondary-title&gt;International Journal of Academic Research in Accounting, Finance Management Sciences&lt;/secondary-title&gt;&lt;/titles&gt;&lt;periodical&gt;&lt;full-title&gt;International Journal of Academic Research in Accounting, Finance Management Sciences&lt;/full-title&gt;&lt;/periodical&gt;&lt;pages&gt;38-45&lt;/pages&gt;&lt;volume&gt;5&lt;/volume&gt;&lt;number&gt;4&lt;/number&gt;&lt;dates&gt;&lt;year&gt;2015&lt;/year&gt;&lt;/dates&gt;&lt;urls&gt;&lt;/urls&gt;&lt;/record&gt;&lt;/Cite&gt;&lt;/EndNote&gt;</w:instrText>
      </w:r>
      <w:r w:rsidRPr="005F4756">
        <w:rPr>
          <w:rFonts w:ascii="Arial" w:hAnsi="Arial" w:cs="Arial"/>
        </w:rPr>
        <w:fldChar w:fldCharType="separate"/>
      </w:r>
      <w:r w:rsidRPr="005F4756">
        <w:rPr>
          <w:rFonts w:ascii="Arial" w:hAnsi="Arial" w:cs="Arial"/>
        </w:rPr>
        <w:t>Abdullahi et al. (2015)</w:t>
      </w:r>
      <w:r w:rsidRPr="005F4756">
        <w:rPr>
          <w:rFonts w:ascii="Arial" w:hAnsi="Arial" w:cs="Arial"/>
        </w:rPr>
        <w:fldChar w:fldCharType="end"/>
      </w:r>
      <w:r w:rsidRPr="005F4756">
        <w:rPr>
          <w:rFonts w:ascii="Arial" w:hAnsi="Arial" w:cs="Arial"/>
        </w:rPr>
        <w:t xml:space="preserve"> state that the success of the anti-fraud strategy is very dependent on the sustainability of the monitoring system and the willingness of institutions to learn from previous failures.</w:t>
      </w:r>
    </w:p>
    <w:p w14:paraId="0FFE2F8D" w14:textId="77777777" w:rsidR="00EA2624" w:rsidRDefault="00EA2624" w:rsidP="005F4756">
      <w:pPr>
        <w:pStyle w:val="Body"/>
        <w:spacing w:after="0"/>
        <w:rPr>
          <w:rFonts w:ascii="Arial" w:hAnsi="Arial" w:cs="Arial"/>
        </w:rPr>
      </w:pPr>
    </w:p>
    <w:p w14:paraId="1923C2ED" w14:textId="77777777" w:rsidR="00EA2624" w:rsidRPr="001628D8" w:rsidRDefault="00EA2624" w:rsidP="001628D8">
      <w:pPr>
        <w:pStyle w:val="Body"/>
        <w:spacing w:after="0"/>
        <w:rPr>
          <w:rFonts w:ascii="Arial" w:hAnsi="Arial" w:cs="Arial"/>
        </w:rPr>
      </w:pPr>
      <w:r w:rsidRPr="001628D8">
        <w:rPr>
          <w:rFonts w:ascii="Arial" w:hAnsi="Arial" w:cs="Arial"/>
        </w:rPr>
        <w:t xml:space="preserve">Based on the study of theory and findings in previous research, fraud prevention strategies in the tertiary environment are a multidimensional system that includes aspects of prevention, detection, investigation, and sanctions, as well as monitoring and evaluation. The effectiveness of applying this strategy is strongly influenced by the extent to which the academic community understands and is involved in the control system. A study conducted by Ramdhany et al. found that students and lecturers have different perceptions of academic fraud behavior and the importance of academic integrity </w:t>
      </w:r>
      <w:r w:rsidRPr="001628D8">
        <w:rPr>
          <w:rFonts w:ascii="Arial" w:hAnsi="Arial" w:cs="Arial"/>
        </w:rPr>
        <w:fldChar w:fldCharType="begin"/>
      </w:r>
      <w:r w:rsidRPr="001628D8">
        <w:rPr>
          <w:rFonts w:ascii="Arial" w:hAnsi="Arial" w:cs="Arial"/>
        </w:rPr>
        <w:instrText xml:space="preserve"> ADDIN EN.CITE &lt;EndNote&gt;&lt;Cite&gt;&lt;Author&gt;Ramdhany&lt;/Author&gt;&lt;Year&gt;2023&lt;/Year&gt;&lt;RecNum&gt;684&lt;/RecNum&gt;&lt;DisplayText&gt;(Ramdhany, Triantoro, Hardiana, &amp;amp; Mulyadi, 2023)&lt;/DisplayText&gt;&lt;record&gt;&lt;rec-number&gt;684&lt;/rec-number&gt;&lt;foreign-keys&gt;&lt;key app="EN" db-id="s2zxra50f5rxe9ezxwnpfswwa5vdvraddzst" timestamp="1752391935"&gt;684&lt;/key&gt;&lt;/foreign-keys&gt;&lt;ref-type name="Journal Article"&gt;17&lt;/ref-type&gt;&lt;contributors&gt;&lt;authors&gt;&lt;author&gt;Ramdhany, Muhamad Arief&lt;/author&gt;&lt;author&gt;Triantoro, Arvian&lt;/author&gt;&lt;author&gt;Hardiana, Raden Dian&lt;/author&gt;&lt;author&gt;Mulyadi, Hari&lt;/author&gt;&lt;/authors&gt;&lt;/contributors&gt;&lt;titles&gt;&lt;title&gt;Exploring organizational factors, academic fraud behaviors, and academic integrity of accounting students&lt;/title&gt;&lt;secondary-title&gt;Jurnal ASET&lt;/secondary-title&gt;&lt;/titles&gt;&lt;periodical&gt;&lt;full-title&gt;Jurnal ASET&lt;/full-title&gt;&lt;/periodical&gt;&lt;pages&gt;27-36&lt;/pages&gt;&lt;volume&gt;15&lt;/volume&gt;&lt;number&gt;1&lt;/number&gt;&lt;dates&gt;&lt;year&gt;2023&lt;/year&gt;&lt;/dates&gt;&lt;isbn&gt;2541-0342&lt;/isbn&gt;&lt;urls&gt;&lt;/urls&gt;&lt;/record&gt;&lt;/Cite&gt;&lt;/EndNote&gt;</w:instrText>
      </w:r>
      <w:r w:rsidRPr="001628D8">
        <w:rPr>
          <w:rFonts w:ascii="Arial" w:hAnsi="Arial" w:cs="Arial"/>
        </w:rPr>
        <w:fldChar w:fldCharType="separate"/>
      </w:r>
      <w:r w:rsidRPr="001628D8">
        <w:rPr>
          <w:rFonts w:ascii="Arial" w:hAnsi="Arial" w:cs="Arial"/>
        </w:rPr>
        <w:t>(Ramdhany, Triantoro, Hardiana, &amp; Mulyadi, 2023)</w:t>
      </w:r>
      <w:r w:rsidRPr="001628D8">
        <w:rPr>
          <w:rFonts w:ascii="Arial" w:hAnsi="Arial" w:cs="Arial"/>
        </w:rPr>
        <w:fldChar w:fldCharType="end"/>
      </w:r>
      <w:r w:rsidRPr="001628D8">
        <w:rPr>
          <w:rFonts w:ascii="Arial" w:hAnsi="Arial" w:cs="Arial"/>
        </w:rPr>
        <w:t xml:space="preserve">. The study revealed that institutional-level prevention efforts, including training and clear policies, can foster a stronger culture of integrity in the academic environment. Lecturers, students, and education personnel are the key actors in efforts to prevent corruption in the higher education environment </w:t>
      </w:r>
      <w:r w:rsidRPr="001628D8">
        <w:rPr>
          <w:rFonts w:ascii="Arial" w:hAnsi="Arial" w:cs="Arial"/>
        </w:rPr>
        <w:fldChar w:fldCharType="begin"/>
      </w:r>
      <w:r w:rsidRPr="001628D8">
        <w:rPr>
          <w:rFonts w:ascii="Arial" w:hAnsi="Arial" w:cs="Arial"/>
        </w:rPr>
        <w:instrText xml:space="preserve"> ADDIN EN.CITE &lt;EndNote&gt;&lt;Cite&gt;&lt;Author&gt;Kirya&lt;/Author&gt;&lt;Year&gt;2019&lt;/Year&gt;&lt;RecNum&gt;1&lt;/RecNum&gt;&lt;DisplayText&gt;(Kirya, 2019)&lt;/DisplayText&gt;&lt;record&gt;&lt;rec-number&gt;1&lt;/rec-number&gt;&lt;foreign-keys&gt;&lt;key app="EN" db-id="s2zxra50f5rxe9ezxwnpfswwa5vdvraddzst" timestamp="1710402753"&gt;1&lt;/key&gt;&lt;/foreign-keys&gt;&lt;ref-type name="Journal Article"&gt;17&lt;/ref-type&gt;&lt;contributors&gt;&lt;authors&gt;&lt;author&gt;Kirya, Monica&lt;/author&gt;&lt;/authors&gt;&lt;/contributors&gt;&lt;titles&gt;&lt;title&gt;Corruption in universities: Paths to integrity in the higher education subsector&lt;/title&gt;&lt;secondary-title&gt;Anti-Corruption Resource Centre&lt;/secondary-title&gt;&lt;/titles&gt;&lt;periodical&gt;&lt;full-title&gt;Anti-Corruption Resource Centre&lt;/full-title&gt;&lt;/periodical&gt;&lt;volume&gt;10&lt;/volume&gt;&lt;dates&gt;&lt;year&gt;2019&lt;/year&gt;&lt;/dates&gt;&lt;urls&gt;&lt;/urls&gt;&lt;/record&gt;&lt;/Cite&gt;&lt;/EndNote&gt;</w:instrText>
      </w:r>
      <w:r w:rsidRPr="001628D8">
        <w:rPr>
          <w:rFonts w:ascii="Arial" w:hAnsi="Arial" w:cs="Arial"/>
        </w:rPr>
        <w:fldChar w:fldCharType="separate"/>
      </w:r>
      <w:r w:rsidRPr="001628D8">
        <w:rPr>
          <w:rFonts w:ascii="Arial" w:hAnsi="Arial" w:cs="Arial"/>
        </w:rPr>
        <w:t>(Kirya, 2019)</w:t>
      </w:r>
      <w:r w:rsidRPr="001628D8">
        <w:rPr>
          <w:rFonts w:ascii="Arial" w:hAnsi="Arial" w:cs="Arial"/>
        </w:rPr>
        <w:fldChar w:fldCharType="end"/>
      </w:r>
      <w:r w:rsidRPr="001628D8">
        <w:rPr>
          <w:rFonts w:ascii="Arial" w:hAnsi="Arial" w:cs="Arial"/>
        </w:rPr>
        <w:t xml:space="preserve">. Ultimately, the existence of programs that combat academic fraud necessitates collaboration among all parties, including faculty, </w:t>
      </w:r>
      <w:r w:rsidRPr="001628D8">
        <w:rPr>
          <w:rFonts w:ascii="Arial" w:hAnsi="Arial" w:cs="Arial"/>
        </w:rPr>
        <w:lastRenderedPageBreak/>
        <w:t xml:space="preserve">students, and educational personnel, to foster an environment that promotes academic integrity </w:t>
      </w:r>
      <w:r w:rsidRPr="001628D8">
        <w:rPr>
          <w:rFonts w:ascii="Arial" w:hAnsi="Arial" w:cs="Arial"/>
        </w:rPr>
        <w:fldChar w:fldCharType="begin"/>
      </w:r>
      <w:r w:rsidRPr="001628D8">
        <w:rPr>
          <w:rFonts w:ascii="Arial" w:hAnsi="Arial" w:cs="Arial"/>
        </w:rPr>
        <w:instrText xml:space="preserve"> ADDIN EN.CITE &lt;EndNote&gt;&lt;Cite&gt;&lt;Author&gt;Aaron&lt;/Author&gt;&lt;Year&gt;2013&lt;/Year&gt;&lt;RecNum&gt;685&lt;/RecNum&gt;&lt;DisplayText&gt;(Aaron &amp;amp; Roche, 2013)&lt;/DisplayText&gt;&lt;record&gt;&lt;rec-number&gt;685&lt;/rec-number&gt;&lt;foreign-keys&gt;&lt;key app="EN" db-id="s2zxra50f5rxe9ezxwnpfswwa5vdvraddzst" timestamp="1752392070"&gt;685&lt;/key&gt;&lt;/foreign-keys&gt;&lt;ref-type name="Journal Article"&gt;17&lt;/ref-type&gt;&lt;contributors&gt;&lt;authors&gt;&lt;author&gt;Aaron, Lynn S&lt;/author&gt;&lt;author&gt;Roche, Catherine M&lt;/author&gt;&lt;/authors&gt;&lt;/contributors&gt;&lt;titles&gt;&lt;title&gt;Stemming the tide of academic dishonesty in higher education: It takes a village&lt;/title&gt;&lt;secondary-title&gt;Journal of Educational Technology Systems&lt;/secondary-title&gt;&lt;/titles&gt;&lt;periodical&gt;&lt;full-title&gt;Journal of Educational Technology Systems&lt;/full-title&gt;&lt;/periodical&gt;&lt;pages&gt;161-196&lt;/pages&gt;&lt;volume&gt;42&lt;/volume&gt;&lt;number&gt;2&lt;/number&gt;&lt;dates&gt;&lt;year&gt;2013&lt;/year&gt;&lt;/dates&gt;&lt;isbn&gt;0047-2395&lt;/isbn&gt;&lt;urls&gt;&lt;/urls&gt;&lt;/record&gt;&lt;/Cite&gt;&lt;/EndNote&gt;</w:instrText>
      </w:r>
      <w:r w:rsidRPr="001628D8">
        <w:rPr>
          <w:rFonts w:ascii="Arial" w:hAnsi="Arial" w:cs="Arial"/>
        </w:rPr>
        <w:fldChar w:fldCharType="separate"/>
      </w:r>
      <w:r w:rsidRPr="001628D8">
        <w:rPr>
          <w:rFonts w:ascii="Arial" w:hAnsi="Arial" w:cs="Arial"/>
        </w:rPr>
        <w:t>(Aaron &amp; Roche, 2013)</w:t>
      </w:r>
      <w:r w:rsidRPr="001628D8">
        <w:rPr>
          <w:rFonts w:ascii="Arial" w:hAnsi="Arial" w:cs="Arial"/>
        </w:rPr>
        <w:fldChar w:fldCharType="end"/>
      </w:r>
      <w:r w:rsidRPr="001628D8">
        <w:rPr>
          <w:rFonts w:ascii="Arial" w:hAnsi="Arial" w:cs="Arial"/>
        </w:rPr>
        <w:t>. Therefore, this research formulates the following hypotheses:</w:t>
      </w:r>
    </w:p>
    <w:p w14:paraId="0BF9C3DC" w14:textId="77777777" w:rsidR="00EA2624" w:rsidRPr="001628D8" w:rsidRDefault="00EA2624" w:rsidP="001628D8">
      <w:pPr>
        <w:pStyle w:val="Body"/>
        <w:spacing w:after="0"/>
        <w:rPr>
          <w:rFonts w:ascii="Arial" w:hAnsi="Arial" w:cs="Arial"/>
        </w:rPr>
      </w:pPr>
    </w:p>
    <w:p w14:paraId="07DB8686" w14:textId="77777777" w:rsidR="00EA2624" w:rsidRPr="001628D8" w:rsidRDefault="00EA2624" w:rsidP="001628D8">
      <w:pPr>
        <w:pStyle w:val="Body"/>
        <w:spacing w:after="0"/>
        <w:rPr>
          <w:rFonts w:ascii="Arial" w:hAnsi="Arial" w:cs="Arial"/>
        </w:rPr>
      </w:pPr>
      <w:r w:rsidRPr="001628D8">
        <w:rPr>
          <w:rFonts w:ascii="Arial" w:hAnsi="Arial" w:cs="Arial"/>
        </w:rPr>
        <w:t>H</w:t>
      </w:r>
      <w:r w:rsidRPr="001628D8">
        <w:rPr>
          <w:rFonts w:ascii="Cambria Math" w:hAnsi="Cambria Math" w:cs="Cambria Math"/>
        </w:rPr>
        <w:t>₁</w:t>
      </w:r>
      <w:r w:rsidRPr="001628D8">
        <w:rPr>
          <w:rFonts w:ascii="Arial" w:hAnsi="Arial" w:cs="Arial"/>
        </w:rPr>
        <w:t>: There are significant differences in perception of fraud prevention strategies based on academic status (students, lecturers, and education personnel) in the dimensions of prevention, detection, investigation, and sanctions, as well as monitoring and evaluation.</w:t>
      </w:r>
    </w:p>
    <w:p w14:paraId="0BC46D9E" w14:textId="77777777" w:rsidR="00EA2624" w:rsidRPr="001628D8" w:rsidRDefault="00EA2624" w:rsidP="001628D8">
      <w:pPr>
        <w:pStyle w:val="Body"/>
        <w:spacing w:after="0"/>
        <w:rPr>
          <w:rFonts w:ascii="Arial" w:hAnsi="Arial" w:cs="Arial"/>
        </w:rPr>
      </w:pPr>
    </w:p>
    <w:p w14:paraId="2E18E3CB" w14:textId="77777777" w:rsidR="00790ADA" w:rsidRPr="00FB3A86" w:rsidRDefault="00790ADA" w:rsidP="00441B6F">
      <w:pPr>
        <w:pStyle w:val="Body"/>
        <w:spacing w:after="0"/>
        <w:rPr>
          <w:rFonts w:ascii="Arial" w:hAnsi="Arial" w:cs="Arial"/>
        </w:rPr>
      </w:pPr>
    </w:p>
    <w:p w14:paraId="0BE7A942" w14:textId="6892742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4332660" w14:textId="77777777" w:rsidR="001628D8" w:rsidRDefault="001628D8" w:rsidP="00441B6F">
      <w:pPr>
        <w:pStyle w:val="Body"/>
        <w:spacing w:after="0"/>
        <w:rPr>
          <w:rFonts w:ascii="Arial" w:hAnsi="Arial" w:cs="Arial"/>
        </w:rPr>
      </w:pPr>
    </w:p>
    <w:p w14:paraId="5D506958" w14:textId="22CE6F5F" w:rsidR="001628D8" w:rsidRPr="001628D8" w:rsidRDefault="001628D8" w:rsidP="001628D8">
      <w:pPr>
        <w:pStyle w:val="Body"/>
        <w:spacing w:after="0"/>
        <w:rPr>
          <w:rFonts w:ascii="Arial" w:hAnsi="Arial" w:cs="Arial"/>
          <w:b/>
          <w:bCs/>
        </w:rPr>
      </w:pPr>
      <w:r w:rsidRPr="001628D8">
        <w:rPr>
          <w:rFonts w:ascii="Arial" w:hAnsi="Arial" w:cs="Arial"/>
          <w:b/>
          <w:bCs/>
        </w:rPr>
        <w:t>2.1 Research Approach and Design</w:t>
      </w:r>
    </w:p>
    <w:p w14:paraId="27663C2E" w14:textId="77777777" w:rsidR="001628D8" w:rsidRPr="001628D8" w:rsidRDefault="001628D8" w:rsidP="001628D8">
      <w:pPr>
        <w:pStyle w:val="Body"/>
        <w:spacing w:after="0"/>
        <w:rPr>
          <w:rFonts w:ascii="Arial" w:hAnsi="Arial" w:cs="Arial"/>
        </w:rPr>
      </w:pPr>
      <w:r w:rsidRPr="001628D8">
        <w:rPr>
          <w:rFonts w:ascii="Arial" w:hAnsi="Arial" w:cs="Arial"/>
        </w:rPr>
        <w:t>This study employs a quantitative approach with comparative drug design to analyze differences in the perception of fraud prevention strategies in the higher education environment based on academic status (students, lecturers, and education personnel). This approach was chosen to explore whether there are significant differences in the perception of the four dimensions of fraud prevention strategies —namely, prevention, detection, investigation, and monitoring —which are measured simultaneously and multivariately.</w:t>
      </w:r>
    </w:p>
    <w:p w14:paraId="181F66D0" w14:textId="77777777" w:rsidR="001628D8" w:rsidRPr="0001445F" w:rsidRDefault="001628D8" w:rsidP="001628D8">
      <w:pPr>
        <w:spacing w:line="23" w:lineRule="atLeast"/>
        <w:ind w:firstLine="426"/>
        <w:contextualSpacing/>
        <w:jc w:val="both"/>
        <w:rPr>
          <w:rFonts w:ascii="Times New Roman" w:hAnsi="Times New Roman"/>
          <w:b/>
          <w:bCs/>
          <w:sz w:val="24"/>
          <w:szCs w:val="24"/>
          <w:lang w:val="id-ID"/>
        </w:rPr>
      </w:pPr>
    </w:p>
    <w:p w14:paraId="07B7F296" w14:textId="01CC366D" w:rsidR="001628D8" w:rsidRPr="0001445F" w:rsidRDefault="0001445F" w:rsidP="0001445F">
      <w:pPr>
        <w:pStyle w:val="Body"/>
        <w:spacing w:after="0"/>
        <w:rPr>
          <w:rFonts w:ascii="Arial" w:hAnsi="Arial" w:cs="Arial"/>
          <w:b/>
          <w:bCs/>
        </w:rPr>
      </w:pPr>
      <w:r w:rsidRPr="0001445F">
        <w:rPr>
          <w:rFonts w:ascii="Arial" w:hAnsi="Arial" w:cs="Arial"/>
          <w:b/>
          <w:bCs/>
        </w:rPr>
        <w:t xml:space="preserve">2.2 </w:t>
      </w:r>
      <w:r w:rsidR="001628D8" w:rsidRPr="0001445F">
        <w:rPr>
          <w:rFonts w:ascii="Arial" w:hAnsi="Arial" w:cs="Arial"/>
          <w:b/>
          <w:bCs/>
        </w:rPr>
        <w:t>Population and sample</w:t>
      </w:r>
    </w:p>
    <w:p w14:paraId="36E220BC" w14:textId="77777777" w:rsidR="001628D8" w:rsidRPr="0001445F" w:rsidRDefault="001628D8" w:rsidP="0001445F">
      <w:pPr>
        <w:pStyle w:val="Body"/>
        <w:spacing w:after="0"/>
        <w:rPr>
          <w:rFonts w:ascii="Arial" w:hAnsi="Arial" w:cs="Arial"/>
        </w:rPr>
      </w:pPr>
      <w:r w:rsidRPr="0001445F">
        <w:rPr>
          <w:rFonts w:ascii="Arial" w:hAnsi="Arial" w:cs="Arial"/>
        </w:rPr>
        <w:t>The population in this study consisted of academicians in the college environment, including students, lecturers, and educational personnel. Sampling techniques were employed using purposive sampling, with participants meeting the criteria of having at least one year of experience in higher education institutions. The number of samples analyzed was 161 respondents, with the following distribution: students (n = 154), lecturers (n = 69), and education staff (n = 14). Although there was an imbalance between groups, the analysis technique used considered dishomogeneity through a robust statistical approach.</w:t>
      </w:r>
    </w:p>
    <w:p w14:paraId="1C0EA7A3" w14:textId="77777777" w:rsidR="001628D8" w:rsidRPr="003704CB" w:rsidRDefault="001628D8" w:rsidP="001628D8">
      <w:pPr>
        <w:spacing w:line="23" w:lineRule="atLeast"/>
        <w:ind w:firstLine="426"/>
        <w:contextualSpacing/>
        <w:jc w:val="both"/>
        <w:rPr>
          <w:rFonts w:ascii="Times New Roman" w:hAnsi="Times New Roman"/>
          <w:sz w:val="24"/>
          <w:szCs w:val="24"/>
          <w:lang w:val="id-ID"/>
        </w:rPr>
      </w:pPr>
    </w:p>
    <w:p w14:paraId="7941DBCC" w14:textId="49E1A4B8" w:rsidR="001628D8" w:rsidRPr="0001445F" w:rsidRDefault="0001445F" w:rsidP="0001445F">
      <w:pPr>
        <w:pStyle w:val="Body"/>
        <w:spacing w:after="0"/>
        <w:rPr>
          <w:rFonts w:ascii="Arial" w:hAnsi="Arial" w:cs="Arial"/>
          <w:b/>
          <w:bCs/>
        </w:rPr>
      </w:pPr>
      <w:r>
        <w:rPr>
          <w:rFonts w:ascii="Arial" w:hAnsi="Arial" w:cs="Arial"/>
          <w:b/>
          <w:bCs/>
        </w:rPr>
        <w:t xml:space="preserve">2.3 </w:t>
      </w:r>
      <w:r w:rsidR="001628D8" w:rsidRPr="0001445F">
        <w:rPr>
          <w:rFonts w:ascii="Arial" w:hAnsi="Arial" w:cs="Arial"/>
          <w:b/>
          <w:bCs/>
        </w:rPr>
        <w:t>Data Analysis Techniques</w:t>
      </w:r>
    </w:p>
    <w:p w14:paraId="6E9A1B2A" w14:textId="77777777" w:rsidR="001628D8" w:rsidRPr="0001445F" w:rsidRDefault="001628D8" w:rsidP="0001445F">
      <w:pPr>
        <w:pStyle w:val="Body"/>
        <w:spacing w:after="0"/>
        <w:rPr>
          <w:rFonts w:ascii="Arial" w:hAnsi="Arial" w:cs="Arial"/>
        </w:rPr>
      </w:pPr>
      <w:r w:rsidRPr="0001445F">
        <w:rPr>
          <w:rFonts w:ascii="Arial" w:hAnsi="Arial" w:cs="Arial"/>
        </w:rPr>
        <w:t>The instrument, in the form of a structured questionnaire, was developed based on literature and theories related to fraud prevention. The four main dimensions were measured using a series of statements on a 5-point Likert scale, ranging from 1 (strongly disagree) to 5 (strongly agree). Content validity was assessed through expert judgment, while instrument reliability was tested using Cronbach's alpha analysis, which yielded a coefficient value greater than 0.70 for all dimensions, indicating an adequate level of reliability. Furthermore, data were analyzed using the Multivariate Analysis of Variance (MANOVA) approach to test simultaneous differences in the four dimensions of the fraud prevention strategy based on academic status. Before performing MANOVA, the assumption test was carried out in the form of Box's M Test to test the homogeneity of the covariance matrix between groups and Levene’s Test to test the homogeneity of the variance of each dependent variable.</w:t>
      </w:r>
    </w:p>
    <w:p w14:paraId="04D4EACF" w14:textId="77777777" w:rsidR="0001445F" w:rsidRDefault="0001445F" w:rsidP="0001445F">
      <w:pPr>
        <w:pStyle w:val="Body"/>
        <w:spacing w:after="0"/>
        <w:rPr>
          <w:rFonts w:ascii="Arial" w:hAnsi="Arial" w:cs="Arial"/>
        </w:rPr>
      </w:pPr>
    </w:p>
    <w:p w14:paraId="2911166A" w14:textId="604CFEB9" w:rsidR="001628D8" w:rsidRPr="0001445F" w:rsidRDefault="001628D8" w:rsidP="0001445F">
      <w:pPr>
        <w:pStyle w:val="Body"/>
        <w:spacing w:after="0"/>
        <w:rPr>
          <w:rFonts w:ascii="Arial" w:hAnsi="Arial" w:cs="Arial"/>
        </w:rPr>
      </w:pPr>
      <w:r w:rsidRPr="0001445F">
        <w:rPr>
          <w:rFonts w:ascii="Arial" w:hAnsi="Arial" w:cs="Arial"/>
        </w:rPr>
        <w:t>Because there is a violation of the assumption of homogeneity (p &lt;0.05 in box’s m and several variables on the Levene’s Test), the interpretation of MANOVA is focused on the statistics of Pillai’s Trace, which is more robust to violating assumptions. In addition, to analyze differences between groups, the Between-Subjects Effects test was used, followed by the post-hoc Games-Howell test, because the number of samples was not balanced and the variance was not homogeneous. The analysis was conducted using the IBM SPSS Statistics software version 26.</w:t>
      </w:r>
    </w:p>
    <w:p w14:paraId="0F95B99A" w14:textId="77777777" w:rsidR="001628D8" w:rsidRPr="003704CB" w:rsidRDefault="001628D8" w:rsidP="001628D8">
      <w:pPr>
        <w:spacing w:line="23" w:lineRule="atLeast"/>
        <w:ind w:firstLine="426"/>
        <w:contextualSpacing/>
        <w:jc w:val="both"/>
        <w:rPr>
          <w:rFonts w:ascii="Times New Roman" w:hAnsi="Times New Roman"/>
          <w:sz w:val="24"/>
          <w:szCs w:val="24"/>
          <w:lang w:val="id-ID"/>
        </w:rPr>
      </w:pPr>
    </w:p>
    <w:p w14:paraId="7DFDFB4B" w14:textId="06DB4C8B" w:rsidR="001628D8" w:rsidRPr="0001445F" w:rsidRDefault="0001445F" w:rsidP="0001445F">
      <w:pPr>
        <w:pStyle w:val="Body"/>
        <w:spacing w:after="0"/>
        <w:rPr>
          <w:rFonts w:ascii="Arial" w:hAnsi="Arial" w:cs="Arial"/>
          <w:b/>
          <w:bCs/>
        </w:rPr>
      </w:pPr>
      <w:r>
        <w:rPr>
          <w:rFonts w:ascii="Arial" w:hAnsi="Arial" w:cs="Arial"/>
          <w:b/>
          <w:bCs/>
        </w:rPr>
        <w:t xml:space="preserve">2.4 </w:t>
      </w:r>
      <w:r w:rsidR="001628D8" w:rsidRPr="0001445F">
        <w:rPr>
          <w:rFonts w:ascii="Arial" w:hAnsi="Arial" w:cs="Arial"/>
          <w:b/>
          <w:bCs/>
        </w:rPr>
        <w:t>Variable Operationalization</w:t>
      </w:r>
    </w:p>
    <w:p w14:paraId="139E6ED9" w14:textId="77777777" w:rsidR="001628D8" w:rsidRPr="0001445F" w:rsidRDefault="001628D8" w:rsidP="0001445F">
      <w:pPr>
        <w:pStyle w:val="Body"/>
        <w:spacing w:after="0"/>
        <w:rPr>
          <w:rFonts w:ascii="Arial" w:hAnsi="Arial" w:cs="Arial"/>
        </w:rPr>
      </w:pPr>
      <w:r w:rsidRPr="0001445F">
        <w:rPr>
          <w:rFonts w:ascii="Arial" w:hAnsi="Arial" w:cs="Arial"/>
        </w:rPr>
        <w:t xml:space="preserve">This study employs an independent variable, namely the academic status of respondents (students, lecturers, and education staff), and four dependent variables that represent the dimensions of the fraud prevention strategy: Prevention, Detection, Investigation, and Monitoring. These four dimensions were adapted from the control framework </w:t>
      </w:r>
      <w:r w:rsidRPr="0001445F">
        <w:rPr>
          <w:rFonts w:ascii="Arial" w:hAnsi="Arial" w:cs="Arial"/>
        </w:rPr>
        <w:fldChar w:fldCharType="begin">
          <w:fldData xml:space="preserve">PEVuZE5vdGU+PENpdGU+PEF1dGhvcj5BYmR1bGxhaGk8L0F1dGhvcj48WWVhcj4yMDE1PC9ZZWFy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</w:fldData>
        </w:fldChar>
      </w:r>
      <w:r w:rsidRPr="0001445F">
        <w:rPr>
          <w:rFonts w:ascii="Arial" w:hAnsi="Arial" w:cs="Arial"/>
        </w:rPr>
        <w:instrText xml:space="preserve"> ADDIN EN.CITE </w:instrText>
      </w:r>
      <w:r w:rsidRPr="0001445F">
        <w:rPr>
          <w:rFonts w:ascii="Arial" w:hAnsi="Arial" w:cs="Arial"/>
        </w:rPr>
        <w:fldChar w:fldCharType="begin">
          <w:fldData xml:space="preserve">PEVuZE5vdGU+PENpdGU+PEF1dGhvcj5BYmR1bGxhaGk8L0F1dGhvcj48WWVhcj4yMDE1PC9ZZWFy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</w:fldData>
        </w:fldChar>
      </w:r>
      <w:r w:rsidRPr="0001445F">
        <w:rPr>
          <w:rFonts w:ascii="Arial" w:hAnsi="Arial" w:cs="Arial"/>
        </w:rPr>
        <w:instrText xml:space="preserve"> ADDIN EN.CITE.DATA </w:instrText>
      </w:r>
      <w:r w:rsidRPr="0001445F">
        <w:rPr>
          <w:rFonts w:ascii="Arial" w:hAnsi="Arial" w:cs="Arial"/>
        </w:rPr>
      </w:r>
      <w:r w:rsidRPr="0001445F">
        <w:rPr>
          <w:rFonts w:ascii="Arial" w:hAnsi="Arial" w:cs="Arial"/>
        </w:rPr>
        <w:fldChar w:fldCharType="end"/>
      </w:r>
      <w:r w:rsidRPr="0001445F">
        <w:rPr>
          <w:rFonts w:ascii="Arial" w:hAnsi="Arial" w:cs="Arial"/>
        </w:rPr>
      </w:r>
      <w:r w:rsidRPr="0001445F">
        <w:rPr>
          <w:rFonts w:ascii="Arial" w:hAnsi="Arial" w:cs="Arial"/>
        </w:rPr>
        <w:fldChar w:fldCharType="separate"/>
      </w:r>
      <w:r w:rsidRPr="0001445F">
        <w:rPr>
          <w:rFonts w:ascii="Arial" w:hAnsi="Arial" w:cs="Arial"/>
        </w:rPr>
        <w:t xml:space="preserve">(Abdullahi et al., </w:t>
      </w:r>
      <w:r w:rsidRPr="0001445F">
        <w:rPr>
          <w:rFonts w:ascii="Arial" w:hAnsi="Arial" w:cs="Arial"/>
        </w:rPr>
        <w:lastRenderedPageBreak/>
        <w:t>2015; COSO, 2013; Dorminey et al., 2012; Prenzler, 2020)</w:t>
      </w:r>
      <w:r w:rsidRPr="0001445F">
        <w:rPr>
          <w:rFonts w:ascii="Arial" w:hAnsi="Arial" w:cs="Arial"/>
        </w:rPr>
        <w:fldChar w:fldCharType="end"/>
      </w:r>
      <w:r w:rsidRPr="0001445F">
        <w:rPr>
          <w:rFonts w:ascii="Arial" w:hAnsi="Arial" w:cs="Arial"/>
        </w:rPr>
        <w:t>. Fraud is commonly used in the Governance of Public and Higher Education. Each dimension was measured using several indicators that were developed into questionnaire items. Fraud is commonly used in the Governance of Public and Higher Education. Each dimension was measured using several indicators that were developed into questionnaire items.</w:t>
      </w:r>
    </w:p>
    <w:p w14:paraId="400F4563" w14:textId="77777777" w:rsidR="001628D8" w:rsidRPr="0001445F" w:rsidRDefault="001628D8" w:rsidP="0001445F">
      <w:pPr>
        <w:pStyle w:val="Body"/>
        <w:spacing w:after="0"/>
        <w:rPr>
          <w:rFonts w:ascii="Arial" w:hAnsi="Arial" w:cs="Arial"/>
        </w:rPr>
      </w:pPr>
    </w:p>
    <w:p w14:paraId="1B98A23A" w14:textId="4DDA3F85" w:rsidR="001628D8" w:rsidRPr="0001445F" w:rsidRDefault="001628D8" w:rsidP="000E101C">
      <w:pPr>
        <w:pStyle w:val="Body"/>
        <w:spacing w:after="0"/>
        <w:rPr>
          <w:rFonts w:ascii="Arial" w:hAnsi="Arial" w:cs="Arial"/>
          <w:b/>
          <w:bCs/>
        </w:rPr>
      </w:pPr>
      <w:r w:rsidRPr="0001445F">
        <w:rPr>
          <w:rFonts w:ascii="Arial" w:hAnsi="Arial" w:cs="Arial"/>
          <w:b/>
          <w:bCs/>
        </w:rPr>
        <w:t>Tabel 1. Operational Variables</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550"/>
        <w:gridCol w:w="3988"/>
        <w:gridCol w:w="1134"/>
      </w:tblGrid>
      <w:tr w:rsidR="001628D8" w:rsidRPr="0001445F" w14:paraId="67D56746" w14:textId="77777777" w:rsidTr="009802BD">
        <w:tc>
          <w:tcPr>
            <w:tcW w:w="2254" w:type="dxa"/>
            <w:tcBorders>
              <w:top w:val="single" w:sz="4" w:space="0" w:color="auto"/>
              <w:bottom w:val="single" w:sz="4" w:space="0" w:color="auto"/>
            </w:tcBorders>
          </w:tcPr>
          <w:p w14:paraId="49945998"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Variable</w:t>
            </w:r>
          </w:p>
        </w:tc>
        <w:tc>
          <w:tcPr>
            <w:tcW w:w="1550" w:type="dxa"/>
            <w:tcBorders>
              <w:top w:val="single" w:sz="4" w:space="0" w:color="auto"/>
              <w:bottom w:val="single" w:sz="4" w:space="0" w:color="auto"/>
            </w:tcBorders>
          </w:tcPr>
          <w:p w14:paraId="5B3E03D8"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Dimensional</w:t>
            </w:r>
          </w:p>
        </w:tc>
        <w:tc>
          <w:tcPr>
            <w:tcW w:w="3988" w:type="dxa"/>
            <w:tcBorders>
              <w:top w:val="single" w:sz="4" w:space="0" w:color="auto"/>
              <w:bottom w:val="single" w:sz="4" w:space="0" w:color="auto"/>
            </w:tcBorders>
          </w:tcPr>
          <w:p w14:paraId="75265752"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Indicator</w:t>
            </w:r>
          </w:p>
        </w:tc>
        <w:tc>
          <w:tcPr>
            <w:tcW w:w="1134" w:type="dxa"/>
            <w:tcBorders>
              <w:top w:val="single" w:sz="4" w:space="0" w:color="auto"/>
              <w:bottom w:val="single" w:sz="4" w:space="0" w:color="auto"/>
            </w:tcBorders>
          </w:tcPr>
          <w:p w14:paraId="5AF0ED88"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Scale</w:t>
            </w:r>
          </w:p>
        </w:tc>
      </w:tr>
      <w:tr w:rsidR="001628D8" w:rsidRPr="0001445F" w14:paraId="40B965C7" w14:textId="77777777" w:rsidTr="009802BD">
        <w:tc>
          <w:tcPr>
            <w:tcW w:w="2254" w:type="dxa"/>
            <w:tcBorders>
              <w:top w:val="single" w:sz="4" w:space="0" w:color="auto"/>
            </w:tcBorders>
          </w:tcPr>
          <w:p w14:paraId="00E7E5B7"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Academic Status (X)</w:t>
            </w:r>
          </w:p>
        </w:tc>
        <w:tc>
          <w:tcPr>
            <w:tcW w:w="1550" w:type="dxa"/>
            <w:tcBorders>
              <w:top w:val="single" w:sz="4" w:space="0" w:color="auto"/>
            </w:tcBorders>
          </w:tcPr>
          <w:p w14:paraId="5B644591"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Academic Status</w:t>
            </w:r>
          </w:p>
        </w:tc>
        <w:tc>
          <w:tcPr>
            <w:tcW w:w="3988" w:type="dxa"/>
            <w:tcBorders>
              <w:top w:val="single" w:sz="4" w:space="0" w:color="auto"/>
            </w:tcBorders>
          </w:tcPr>
          <w:p w14:paraId="30CDAC56"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Students, Lecturers, Nominal Education Staff</w:t>
            </w:r>
          </w:p>
        </w:tc>
        <w:tc>
          <w:tcPr>
            <w:tcW w:w="1134" w:type="dxa"/>
            <w:tcBorders>
              <w:top w:val="single" w:sz="4" w:space="0" w:color="auto"/>
            </w:tcBorders>
            <w:vAlign w:val="center"/>
          </w:tcPr>
          <w:p w14:paraId="5D592A5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Nominal</w:t>
            </w:r>
          </w:p>
        </w:tc>
      </w:tr>
      <w:tr w:rsidR="001628D8" w:rsidRPr="0001445F" w14:paraId="74DBCCDE" w14:textId="77777777" w:rsidTr="009802BD">
        <w:tc>
          <w:tcPr>
            <w:tcW w:w="2254" w:type="dxa"/>
            <w:vMerge w:val="restart"/>
          </w:tcPr>
          <w:p w14:paraId="238262E7"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Fraud Prevention Strategy (Y)</w:t>
            </w:r>
          </w:p>
        </w:tc>
        <w:tc>
          <w:tcPr>
            <w:tcW w:w="1550" w:type="dxa"/>
            <w:vAlign w:val="center"/>
          </w:tcPr>
          <w:p w14:paraId="5C190910"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Prevention</w:t>
            </w:r>
          </w:p>
        </w:tc>
        <w:tc>
          <w:tcPr>
            <w:tcW w:w="3988" w:type="dxa"/>
            <w:vAlign w:val="center"/>
          </w:tcPr>
          <w:p w14:paraId="477DA026"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Understanding of anti-fraud policies, availability of procedures, and fraud literacy campaigns</w:t>
            </w:r>
          </w:p>
        </w:tc>
        <w:tc>
          <w:tcPr>
            <w:tcW w:w="1134" w:type="dxa"/>
            <w:vAlign w:val="center"/>
          </w:tcPr>
          <w:p w14:paraId="3975BCE1"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r w:rsidR="001628D8" w:rsidRPr="0001445F" w14:paraId="2470CF17" w14:textId="77777777" w:rsidTr="009802BD">
        <w:tc>
          <w:tcPr>
            <w:tcW w:w="2254" w:type="dxa"/>
            <w:vMerge/>
          </w:tcPr>
          <w:p w14:paraId="2F4F4547" w14:textId="77777777" w:rsidR="001628D8" w:rsidRPr="0001445F" w:rsidRDefault="001628D8" w:rsidP="0001445F">
            <w:pPr>
              <w:pStyle w:val="Body"/>
              <w:spacing w:after="0"/>
              <w:rPr>
                <w:rFonts w:ascii="Arial" w:eastAsia="Times New Roman" w:hAnsi="Arial" w:cs="Arial"/>
                <w:sz w:val="20"/>
                <w:szCs w:val="20"/>
              </w:rPr>
            </w:pPr>
          </w:p>
        </w:tc>
        <w:tc>
          <w:tcPr>
            <w:tcW w:w="1550" w:type="dxa"/>
            <w:vAlign w:val="center"/>
          </w:tcPr>
          <w:p w14:paraId="0F218C8A"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Detection</w:t>
            </w:r>
          </w:p>
        </w:tc>
        <w:tc>
          <w:tcPr>
            <w:tcW w:w="3988" w:type="dxa"/>
            <w:vAlign w:val="center"/>
          </w:tcPr>
          <w:p w14:paraId="15193226"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Internal reporting system, clarity of complaints mechanisms, involvement in reporting</w:t>
            </w:r>
          </w:p>
        </w:tc>
        <w:tc>
          <w:tcPr>
            <w:tcW w:w="1134" w:type="dxa"/>
            <w:vAlign w:val="center"/>
          </w:tcPr>
          <w:p w14:paraId="02A58F2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r w:rsidR="001628D8" w:rsidRPr="0001445F" w14:paraId="412B3438" w14:textId="77777777" w:rsidTr="009802BD">
        <w:tc>
          <w:tcPr>
            <w:tcW w:w="2254" w:type="dxa"/>
            <w:vMerge/>
          </w:tcPr>
          <w:p w14:paraId="16C560A1" w14:textId="77777777" w:rsidR="001628D8" w:rsidRPr="0001445F" w:rsidRDefault="001628D8" w:rsidP="0001445F">
            <w:pPr>
              <w:pStyle w:val="Body"/>
              <w:spacing w:after="0"/>
              <w:rPr>
                <w:rFonts w:ascii="Arial" w:eastAsia="Times New Roman" w:hAnsi="Arial" w:cs="Arial"/>
                <w:sz w:val="20"/>
                <w:szCs w:val="20"/>
              </w:rPr>
            </w:pPr>
          </w:p>
        </w:tc>
        <w:tc>
          <w:tcPr>
            <w:tcW w:w="1550" w:type="dxa"/>
            <w:vAlign w:val="center"/>
          </w:tcPr>
          <w:p w14:paraId="2D18BE9B"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Investigation</w:t>
            </w:r>
          </w:p>
        </w:tc>
        <w:tc>
          <w:tcPr>
            <w:tcW w:w="3988" w:type="dxa"/>
            <w:vAlign w:val="center"/>
          </w:tcPr>
          <w:p w14:paraId="29550A0A"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Further action on the fraud report, transparency of the investigation process, and accountability</w:t>
            </w:r>
          </w:p>
        </w:tc>
        <w:tc>
          <w:tcPr>
            <w:tcW w:w="1134" w:type="dxa"/>
            <w:vAlign w:val="center"/>
          </w:tcPr>
          <w:p w14:paraId="3E6EF148"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r w:rsidR="001628D8" w:rsidRPr="0001445F" w14:paraId="1FD5B1EE" w14:textId="77777777" w:rsidTr="009802BD">
        <w:tc>
          <w:tcPr>
            <w:tcW w:w="2254" w:type="dxa"/>
            <w:vMerge/>
            <w:tcBorders>
              <w:bottom w:val="single" w:sz="4" w:space="0" w:color="auto"/>
            </w:tcBorders>
          </w:tcPr>
          <w:p w14:paraId="317F12C0" w14:textId="77777777" w:rsidR="001628D8" w:rsidRPr="0001445F" w:rsidRDefault="001628D8" w:rsidP="0001445F">
            <w:pPr>
              <w:pStyle w:val="Body"/>
              <w:spacing w:after="0"/>
              <w:rPr>
                <w:rFonts w:ascii="Arial" w:eastAsia="Times New Roman" w:hAnsi="Arial" w:cs="Arial"/>
                <w:sz w:val="20"/>
                <w:szCs w:val="20"/>
              </w:rPr>
            </w:pPr>
          </w:p>
        </w:tc>
        <w:tc>
          <w:tcPr>
            <w:tcW w:w="1550" w:type="dxa"/>
            <w:tcBorders>
              <w:bottom w:val="single" w:sz="4" w:space="0" w:color="auto"/>
            </w:tcBorders>
            <w:vAlign w:val="center"/>
          </w:tcPr>
          <w:p w14:paraId="72FF116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Monitoring</w:t>
            </w:r>
          </w:p>
        </w:tc>
        <w:tc>
          <w:tcPr>
            <w:tcW w:w="3988" w:type="dxa"/>
            <w:tcBorders>
              <w:bottom w:val="single" w:sz="4" w:space="0" w:color="auto"/>
            </w:tcBorders>
            <w:vAlign w:val="center"/>
          </w:tcPr>
          <w:p w14:paraId="3E4AE14D"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Periodic evaluation, feedback on reports, and follow-up to recommendations.</w:t>
            </w:r>
          </w:p>
        </w:tc>
        <w:tc>
          <w:tcPr>
            <w:tcW w:w="1134" w:type="dxa"/>
            <w:tcBorders>
              <w:bottom w:val="single" w:sz="4" w:space="0" w:color="auto"/>
            </w:tcBorders>
            <w:vAlign w:val="center"/>
          </w:tcPr>
          <w:p w14:paraId="59B214D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bl>
    <w:p w14:paraId="6417B1AE" w14:textId="77777777" w:rsidR="001628D8" w:rsidRPr="003704CB" w:rsidRDefault="001628D8" w:rsidP="001628D8">
      <w:pPr>
        <w:spacing w:line="23" w:lineRule="atLeast"/>
        <w:contextualSpacing/>
        <w:rPr>
          <w:rFonts w:ascii="Times New Roman" w:hAnsi="Times New Roman"/>
          <w:sz w:val="24"/>
          <w:szCs w:val="24"/>
          <w:lang w:val="id-ID"/>
        </w:rPr>
      </w:pPr>
    </w:p>
    <w:p w14:paraId="4EBA4D5A" w14:textId="77777777" w:rsidR="001628D8" w:rsidRDefault="001628D8" w:rsidP="00441B6F">
      <w:pPr>
        <w:pStyle w:val="Body"/>
        <w:spacing w:after="0"/>
        <w:rPr>
          <w:rFonts w:ascii="Arial" w:hAnsi="Arial" w:cs="Arial"/>
        </w:rPr>
      </w:pPr>
    </w:p>
    <w:p w14:paraId="3795B29B" w14:textId="77777777" w:rsidR="00790ADA" w:rsidRPr="00FB3A86" w:rsidRDefault="00790ADA" w:rsidP="00441B6F">
      <w:pPr>
        <w:pStyle w:val="Body"/>
        <w:spacing w:after="0"/>
        <w:rPr>
          <w:rFonts w:ascii="Arial" w:hAnsi="Arial" w:cs="Arial"/>
        </w:rPr>
      </w:pPr>
    </w:p>
    <w:p w14:paraId="04F1C2D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E926AB" w14:textId="77777777" w:rsidR="009802BD" w:rsidRDefault="009802BD" w:rsidP="009802BD">
      <w:pPr>
        <w:pStyle w:val="Body"/>
        <w:spacing w:after="0"/>
        <w:rPr>
          <w:rFonts w:ascii="Arial" w:hAnsi="Arial" w:cs="Arial"/>
        </w:rPr>
      </w:pPr>
      <w:r w:rsidRPr="009802BD">
        <w:rPr>
          <w:rFonts w:ascii="Arial" w:hAnsi="Arial" w:cs="Arial"/>
        </w:rPr>
        <w:t>The results of the Analysis of Multivariate Analysis of Variance (MANOVA) show that the academic status of respondents has a significant significant influence on the combination of the four dimensions of the Fraud Prevention Strategy, namely Prevention, Detection, Investigation, and Monitoring (Wilks' Lambda = 0.904, F (8, 310) = 1,996, p = 0.047). The four main multivariate statistics (Pillai’s Trace, Wilks' Lambda, Hotel’s Trace, and Roy’s Largest Root) provide consistent results, indicate that academic status (students, lecturers, and education personnel) contribute to differences in perceptions of the aggregate fraud prevention strategies. The significance value below the threshold of 0.05 shows that there is at least one different strategy dimension significantly between academic status groups</w:t>
      </w:r>
    </w:p>
    <w:p w14:paraId="182F2C85" w14:textId="77777777" w:rsidR="009802BD" w:rsidRPr="009802BD" w:rsidRDefault="009802BD" w:rsidP="009802BD">
      <w:pPr>
        <w:pStyle w:val="Body"/>
        <w:spacing w:after="0"/>
        <w:rPr>
          <w:rFonts w:ascii="Arial" w:hAnsi="Arial" w:cs="Arial"/>
        </w:rPr>
      </w:pPr>
    </w:p>
    <w:p w14:paraId="3F7D54FF" w14:textId="77777777" w:rsidR="009802BD" w:rsidRPr="009802BD" w:rsidRDefault="009802BD" w:rsidP="009802BD">
      <w:pPr>
        <w:pStyle w:val="Body"/>
        <w:spacing w:after="0"/>
        <w:rPr>
          <w:rFonts w:ascii="Arial" w:hAnsi="Arial" w:cs="Arial"/>
          <w:b/>
          <w:bCs/>
        </w:rPr>
      </w:pPr>
      <w:r w:rsidRPr="009802BD">
        <w:rPr>
          <w:rFonts w:ascii="Arial" w:hAnsi="Arial" w:cs="Arial"/>
          <w:b/>
          <w:bCs/>
        </w:rPr>
        <w:t>Table 2. Multivariate Tests</w:t>
      </w:r>
    </w:p>
    <w:tbl>
      <w:tblPr>
        <w:tblW w:w="8076" w:type="dxa"/>
        <w:tblLayout w:type="fixed"/>
        <w:tblCellMar>
          <w:left w:w="0" w:type="dxa"/>
          <w:right w:w="0" w:type="dxa"/>
        </w:tblCellMar>
        <w:tblLook w:val="0000" w:firstRow="0" w:lastRow="0" w:firstColumn="0" w:lastColumn="0" w:noHBand="0" w:noVBand="0"/>
      </w:tblPr>
      <w:tblGrid>
        <w:gridCol w:w="1129"/>
        <w:gridCol w:w="1892"/>
        <w:gridCol w:w="1015"/>
        <w:gridCol w:w="1184"/>
        <w:gridCol w:w="1296"/>
        <w:gridCol w:w="851"/>
        <w:gridCol w:w="709"/>
      </w:tblGrid>
      <w:tr w:rsidR="009802BD" w:rsidRPr="009802BD" w14:paraId="1E138735" w14:textId="77777777" w:rsidTr="009802BD">
        <w:trPr>
          <w:cantSplit/>
        </w:trPr>
        <w:tc>
          <w:tcPr>
            <w:tcW w:w="3021" w:type="dxa"/>
            <w:gridSpan w:val="2"/>
            <w:tcBorders>
              <w:top w:val="single" w:sz="4" w:space="0" w:color="auto"/>
              <w:bottom w:val="single" w:sz="4" w:space="0" w:color="auto"/>
            </w:tcBorders>
            <w:shd w:val="clear" w:color="auto" w:fill="FFFFFF"/>
            <w:vAlign w:val="center"/>
          </w:tcPr>
          <w:p w14:paraId="4632A389" w14:textId="77777777" w:rsidR="009802BD" w:rsidRPr="009802BD" w:rsidRDefault="009802BD" w:rsidP="009802BD">
            <w:pPr>
              <w:pStyle w:val="Body"/>
              <w:spacing w:after="0"/>
              <w:rPr>
                <w:rFonts w:ascii="Arial" w:hAnsi="Arial" w:cs="Arial"/>
              </w:rPr>
            </w:pPr>
            <w:r w:rsidRPr="009802BD">
              <w:rPr>
                <w:rFonts w:ascii="Arial" w:hAnsi="Arial" w:cs="Arial"/>
              </w:rPr>
              <w:t>Effect</w:t>
            </w:r>
          </w:p>
        </w:tc>
        <w:tc>
          <w:tcPr>
            <w:tcW w:w="1015" w:type="dxa"/>
            <w:tcBorders>
              <w:top w:val="single" w:sz="4" w:space="0" w:color="auto"/>
              <w:bottom w:val="single" w:sz="4" w:space="0" w:color="auto"/>
            </w:tcBorders>
            <w:shd w:val="clear" w:color="auto" w:fill="FFFFFF"/>
            <w:vAlign w:val="center"/>
          </w:tcPr>
          <w:p w14:paraId="1FB8A400" w14:textId="77777777" w:rsidR="009802BD" w:rsidRPr="009802BD" w:rsidRDefault="009802BD" w:rsidP="009802BD">
            <w:pPr>
              <w:pStyle w:val="Body"/>
              <w:spacing w:after="0"/>
              <w:rPr>
                <w:rFonts w:ascii="Arial" w:hAnsi="Arial" w:cs="Arial"/>
              </w:rPr>
            </w:pPr>
            <w:r w:rsidRPr="009802BD">
              <w:rPr>
                <w:rFonts w:ascii="Arial" w:hAnsi="Arial" w:cs="Arial"/>
              </w:rPr>
              <w:t>Value</w:t>
            </w:r>
          </w:p>
        </w:tc>
        <w:tc>
          <w:tcPr>
            <w:tcW w:w="1184" w:type="dxa"/>
            <w:tcBorders>
              <w:top w:val="single" w:sz="4" w:space="0" w:color="auto"/>
              <w:bottom w:val="single" w:sz="4" w:space="0" w:color="auto"/>
            </w:tcBorders>
            <w:shd w:val="clear" w:color="auto" w:fill="FFFFFF"/>
            <w:vAlign w:val="center"/>
          </w:tcPr>
          <w:p w14:paraId="097856B1" w14:textId="77777777" w:rsidR="009802BD" w:rsidRPr="009802BD" w:rsidRDefault="009802BD" w:rsidP="009802BD">
            <w:pPr>
              <w:pStyle w:val="Body"/>
              <w:spacing w:after="0"/>
              <w:rPr>
                <w:rFonts w:ascii="Arial" w:hAnsi="Arial" w:cs="Arial"/>
              </w:rPr>
            </w:pPr>
            <w:r w:rsidRPr="009802BD">
              <w:rPr>
                <w:rFonts w:ascii="Arial" w:hAnsi="Arial" w:cs="Arial"/>
              </w:rPr>
              <w:t>F</w:t>
            </w:r>
          </w:p>
        </w:tc>
        <w:tc>
          <w:tcPr>
            <w:tcW w:w="1296" w:type="dxa"/>
            <w:tcBorders>
              <w:top w:val="single" w:sz="4" w:space="0" w:color="auto"/>
              <w:bottom w:val="single" w:sz="4" w:space="0" w:color="auto"/>
            </w:tcBorders>
            <w:shd w:val="clear" w:color="auto" w:fill="FFFFFF"/>
            <w:vAlign w:val="center"/>
          </w:tcPr>
          <w:p w14:paraId="68A26ABD" w14:textId="77777777" w:rsidR="009802BD" w:rsidRPr="009802BD" w:rsidRDefault="009802BD" w:rsidP="009802BD">
            <w:pPr>
              <w:pStyle w:val="Body"/>
              <w:spacing w:after="0"/>
              <w:rPr>
                <w:rFonts w:ascii="Arial" w:hAnsi="Arial" w:cs="Arial"/>
              </w:rPr>
            </w:pPr>
            <w:r w:rsidRPr="009802BD">
              <w:rPr>
                <w:rFonts w:ascii="Arial" w:hAnsi="Arial" w:cs="Arial"/>
              </w:rPr>
              <w:t>Hypothesis df</w:t>
            </w:r>
          </w:p>
        </w:tc>
        <w:tc>
          <w:tcPr>
            <w:tcW w:w="851" w:type="dxa"/>
            <w:tcBorders>
              <w:top w:val="single" w:sz="4" w:space="0" w:color="auto"/>
              <w:bottom w:val="single" w:sz="4" w:space="0" w:color="auto"/>
            </w:tcBorders>
            <w:shd w:val="clear" w:color="auto" w:fill="FFFFFF"/>
            <w:vAlign w:val="center"/>
          </w:tcPr>
          <w:p w14:paraId="39E5B578" w14:textId="77777777" w:rsidR="009802BD" w:rsidRPr="009802BD" w:rsidRDefault="009802BD" w:rsidP="009802BD">
            <w:pPr>
              <w:pStyle w:val="Body"/>
              <w:spacing w:after="0"/>
              <w:rPr>
                <w:rFonts w:ascii="Arial" w:hAnsi="Arial" w:cs="Arial"/>
              </w:rPr>
            </w:pPr>
            <w:r w:rsidRPr="009802BD">
              <w:rPr>
                <w:rFonts w:ascii="Arial" w:hAnsi="Arial" w:cs="Arial"/>
              </w:rPr>
              <w:t>Error df</w:t>
            </w:r>
          </w:p>
        </w:tc>
        <w:tc>
          <w:tcPr>
            <w:tcW w:w="709" w:type="dxa"/>
            <w:tcBorders>
              <w:top w:val="single" w:sz="4" w:space="0" w:color="auto"/>
              <w:bottom w:val="single" w:sz="4" w:space="0" w:color="auto"/>
            </w:tcBorders>
            <w:shd w:val="clear" w:color="auto" w:fill="FFFFFF"/>
            <w:vAlign w:val="center"/>
          </w:tcPr>
          <w:p w14:paraId="3C6F8A25" w14:textId="77777777" w:rsidR="009802BD" w:rsidRPr="009802BD" w:rsidRDefault="009802BD" w:rsidP="009802BD">
            <w:pPr>
              <w:pStyle w:val="Body"/>
              <w:spacing w:after="0"/>
              <w:rPr>
                <w:rFonts w:ascii="Arial" w:hAnsi="Arial" w:cs="Arial"/>
              </w:rPr>
            </w:pPr>
            <w:r w:rsidRPr="009802BD">
              <w:rPr>
                <w:rFonts w:ascii="Arial" w:hAnsi="Arial" w:cs="Arial"/>
              </w:rPr>
              <w:t>Sig.</w:t>
            </w:r>
          </w:p>
        </w:tc>
      </w:tr>
      <w:tr w:rsidR="009802BD" w:rsidRPr="009802BD" w14:paraId="7A22B2E8" w14:textId="77777777" w:rsidTr="009802BD">
        <w:trPr>
          <w:cantSplit/>
        </w:trPr>
        <w:tc>
          <w:tcPr>
            <w:tcW w:w="1129" w:type="dxa"/>
            <w:vMerge w:val="restart"/>
            <w:tcBorders>
              <w:top w:val="single" w:sz="4" w:space="0" w:color="auto"/>
            </w:tcBorders>
            <w:shd w:val="clear" w:color="auto" w:fill="FFFFFF"/>
          </w:tcPr>
          <w:p w14:paraId="6E36C6F4" w14:textId="77777777" w:rsidR="009802BD" w:rsidRPr="009802BD" w:rsidRDefault="009802BD" w:rsidP="009802BD">
            <w:pPr>
              <w:pStyle w:val="Body"/>
              <w:spacing w:after="0"/>
              <w:rPr>
                <w:rFonts w:ascii="Arial" w:hAnsi="Arial" w:cs="Arial"/>
              </w:rPr>
            </w:pPr>
            <w:r w:rsidRPr="009802BD">
              <w:rPr>
                <w:rFonts w:ascii="Arial" w:hAnsi="Arial" w:cs="Arial"/>
              </w:rPr>
              <w:t>Intercept</w:t>
            </w:r>
          </w:p>
        </w:tc>
        <w:tc>
          <w:tcPr>
            <w:tcW w:w="1892" w:type="dxa"/>
            <w:tcBorders>
              <w:top w:val="single" w:sz="4" w:space="0" w:color="auto"/>
            </w:tcBorders>
            <w:shd w:val="clear" w:color="auto" w:fill="FFFFFF"/>
          </w:tcPr>
          <w:p w14:paraId="467B8284" w14:textId="77777777" w:rsidR="009802BD" w:rsidRPr="009802BD" w:rsidRDefault="009802BD" w:rsidP="009802BD">
            <w:pPr>
              <w:pStyle w:val="Body"/>
              <w:spacing w:after="0"/>
              <w:rPr>
                <w:rFonts w:ascii="Arial" w:hAnsi="Arial" w:cs="Arial"/>
              </w:rPr>
            </w:pPr>
            <w:r w:rsidRPr="009802BD">
              <w:rPr>
                <w:rFonts w:ascii="Arial" w:hAnsi="Arial" w:cs="Arial"/>
              </w:rPr>
              <w:t>Pillai's Trace</w:t>
            </w:r>
          </w:p>
        </w:tc>
        <w:tc>
          <w:tcPr>
            <w:tcW w:w="1015" w:type="dxa"/>
            <w:tcBorders>
              <w:top w:val="single" w:sz="4" w:space="0" w:color="auto"/>
            </w:tcBorders>
            <w:shd w:val="clear" w:color="auto" w:fill="FFFFFF"/>
            <w:vAlign w:val="center"/>
          </w:tcPr>
          <w:p w14:paraId="0B4ACFCF" w14:textId="77777777" w:rsidR="009802BD" w:rsidRPr="009802BD" w:rsidRDefault="009802BD" w:rsidP="009802BD">
            <w:pPr>
              <w:pStyle w:val="Body"/>
              <w:spacing w:after="0"/>
              <w:rPr>
                <w:rFonts w:ascii="Arial" w:hAnsi="Arial" w:cs="Arial"/>
              </w:rPr>
            </w:pPr>
            <w:r w:rsidRPr="009802BD">
              <w:rPr>
                <w:rFonts w:ascii="Arial" w:hAnsi="Arial" w:cs="Arial"/>
              </w:rPr>
              <w:t>.982</w:t>
            </w:r>
          </w:p>
        </w:tc>
        <w:tc>
          <w:tcPr>
            <w:tcW w:w="1184" w:type="dxa"/>
            <w:tcBorders>
              <w:top w:val="single" w:sz="4" w:space="0" w:color="auto"/>
            </w:tcBorders>
            <w:shd w:val="clear" w:color="auto" w:fill="FFFFFF"/>
            <w:vAlign w:val="center"/>
          </w:tcPr>
          <w:p w14:paraId="5012E11C"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tcBorders>
              <w:top w:val="single" w:sz="4" w:space="0" w:color="auto"/>
            </w:tcBorders>
            <w:shd w:val="clear" w:color="auto" w:fill="FFFFFF"/>
            <w:vAlign w:val="center"/>
          </w:tcPr>
          <w:p w14:paraId="7F52CFC0"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tcBorders>
              <w:top w:val="single" w:sz="4" w:space="0" w:color="auto"/>
            </w:tcBorders>
            <w:shd w:val="clear" w:color="auto" w:fill="FFFFFF"/>
            <w:vAlign w:val="center"/>
          </w:tcPr>
          <w:p w14:paraId="26F8FE20"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tcBorders>
              <w:top w:val="single" w:sz="4" w:space="0" w:color="auto"/>
            </w:tcBorders>
            <w:shd w:val="clear" w:color="auto" w:fill="FFFFFF"/>
            <w:vAlign w:val="center"/>
          </w:tcPr>
          <w:p w14:paraId="3939D164"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792910B1" w14:textId="77777777" w:rsidTr="009802BD">
        <w:trPr>
          <w:cantSplit/>
        </w:trPr>
        <w:tc>
          <w:tcPr>
            <w:tcW w:w="1129" w:type="dxa"/>
            <w:vMerge/>
            <w:shd w:val="clear" w:color="auto" w:fill="FFFFFF"/>
          </w:tcPr>
          <w:p w14:paraId="2036565C" w14:textId="77777777" w:rsidR="009802BD" w:rsidRPr="009802BD" w:rsidRDefault="009802BD" w:rsidP="009802BD">
            <w:pPr>
              <w:pStyle w:val="Body"/>
              <w:spacing w:after="0"/>
              <w:rPr>
                <w:rFonts w:ascii="Arial" w:hAnsi="Arial" w:cs="Arial"/>
              </w:rPr>
            </w:pPr>
          </w:p>
        </w:tc>
        <w:tc>
          <w:tcPr>
            <w:tcW w:w="1892" w:type="dxa"/>
            <w:shd w:val="clear" w:color="auto" w:fill="FFFFFF"/>
          </w:tcPr>
          <w:p w14:paraId="5F9BC66F" w14:textId="77777777" w:rsidR="009802BD" w:rsidRPr="009802BD" w:rsidRDefault="009802BD" w:rsidP="009802BD">
            <w:pPr>
              <w:pStyle w:val="Body"/>
              <w:spacing w:after="0"/>
              <w:rPr>
                <w:rFonts w:ascii="Arial" w:hAnsi="Arial" w:cs="Arial"/>
              </w:rPr>
            </w:pPr>
            <w:r w:rsidRPr="009802BD">
              <w:rPr>
                <w:rFonts w:ascii="Arial" w:hAnsi="Arial" w:cs="Arial"/>
              </w:rPr>
              <w:t>Wilks' Lambda</w:t>
            </w:r>
          </w:p>
        </w:tc>
        <w:tc>
          <w:tcPr>
            <w:tcW w:w="1015" w:type="dxa"/>
            <w:shd w:val="clear" w:color="auto" w:fill="FFFFFF"/>
            <w:vAlign w:val="center"/>
          </w:tcPr>
          <w:p w14:paraId="7618874F" w14:textId="77777777" w:rsidR="009802BD" w:rsidRPr="009802BD" w:rsidRDefault="009802BD" w:rsidP="009802BD">
            <w:pPr>
              <w:pStyle w:val="Body"/>
              <w:spacing w:after="0"/>
              <w:rPr>
                <w:rFonts w:ascii="Arial" w:hAnsi="Arial" w:cs="Arial"/>
              </w:rPr>
            </w:pPr>
            <w:r w:rsidRPr="009802BD">
              <w:rPr>
                <w:rFonts w:ascii="Arial" w:hAnsi="Arial" w:cs="Arial"/>
              </w:rPr>
              <w:t>.018</w:t>
            </w:r>
          </w:p>
        </w:tc>
        <w:tc>
          <w:tcPr>
            <w:tcW w:w="1184" w:type="dxa"/>
            <w:shd w:val="clear" w:color="auto" w:fill="FFFFFF"/>
            <w:vAlign w:val="center"/>
          </w:tcPr>
          <w:p w14:paraId="260BCCA0"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shd w:val="clear" w:color="auto" w:fill="FFFFFF"/>
            <w:vAlign w:val="center"/>
          </w:tcPr>
          <w:p w14:paraId="2DB5D165"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shd w:val="clear" w:color="auto" w:fill="FFFFFF"/>
            <w:vAlign w:val="center"/>
          </w:tcPr>
          <w:p w14:paraId="332EDD2B"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shd w:val="clear" w:color="auto" w:fill="FFFFFF"/>
            <w:vAlign w:val="center"/>
          </w:tcPr>
          <w:p w14:paraId="27E78D6B"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7A498DC1" w14:textId="77777777" w:rsidTr="009802BD">
        <w:trPr>
          <w:cantSplit/>
        </w:trPr>
        <w:tc>
          <w:tcPr>
            <w:tcW w:w="1129" w:type="dxa"/>
            <w:vMerge/>
            <w:shd w:val="clear" w:color="auto" w:fill="FFFFFF"/>
          </w:tcPr>
          <w:p w14:paraId="377259CD" w14:textId="77777777" w:rsidR="009802BD" w:rsidRPr="009802BD" w:rsidRDefault="009802BD" w:rsidP="009802BD">
            <w:pPr>
              <w:pStyle w:val="Body"/>
              <w:spacing w:after="0"/>
              <w:rPr>
                <w:rFonts w:ascii="Arial" w:hAnsi="Arial" w:cs="Arial"/>
              </w:rPr>
            </w:pPr>
          </w:p>
        </w:tc>
        <w:tc>
          <w:tcPr>
            <w:tcW w:w="1892" w:type="dxa"/>
            <w:shd w:val="clear" w:color="auto" w:fill="FFFFFF"/>
          </w:tcPr>
          <w:p w14:paraId="38EBDEEC" w14:textId="77777777" w:rsidR="009802BD" w:rsidRPr="009802BD" w:rsidRDefault="009802BD" w:rsidP="009802BD">
            <w:pPr>
              <w:pStyle w:val="Body"/>
              <w:spacing w:after="0"/>
              <w:rPr>
                <w:rFonts w:ascii="Arial" w:hAnsi="Arial" w:cs="Arial"/>
              </w:rPr>
            </w:pPr>
            <w:r w:rsidRPr="009802BD">
              <w:rPr>
                <w:rFonts w:ascii="Arial" w:hAnsi="Arial" w:cs="Arial"/>
              </w:rPr>
              <w:t>Hotelling's Trace</w:t>
            </w:r>
          </w:p>
        </w:tc>
        <w:tc>
          <w:tcPr>
            <w:tcW w:w="1015" w:type="dxa"/>
            <w:shd w:val="clear" w:color="auto" w:fill="FFFFFF"/>
            <w:vAlign w:val="center"/>
          </w:tcPr>
          <w:p w14:paraId="4BD3C838" w14:textId="77777777" w:rsidR="009802BD" w:rsidRPr="009802BD" w:rsidRDefault="009802BD" w:rsidP="009802BD">
            <w:pPr>
              <w:pStyle w:val="Body"/>
              <w:spacing w:after="0"/>
              <w:rPr>
                <w:rFonts w:ascii="Arial" w:hAnsi="Arial" w:cs="Arial"/>
              </w:rPr>
            </w:pPr>
            <w:r w:rsidRPr="009802BD">
              <w:rPr>
                <w:rFonts w:ascii="Arial" w:hAnsi="Arial" w:cs="Arial"/>
              </w:rPr>
              <w:t>55.950</w:t>
            </w:r>
          </w:p>
        </w:tc>
        <w:tc>
          <w:tcPr>
            <w:tcW w:w="1184" w:type="dxa"/>
            <w:shd w:val="clear" w:color="auto" w:fill="FFFFFF"/>
            <w:vAlign w:val="center"/>
          </w:tcPr>
          <w:p w14:paraId="16B4E6EF"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shd w:val="clear" w:color="auto" w:fill="FFFFFF"/>
            <w:vAlign w:val="center"/>
          </w:tcPr>
          <w:p w14:paraId="350C2974"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shd w:val="clear" w:color="auto" w:fill="FFFFFF"/>
            <w:vAlign w:val="center"/>
          </w:tcPr>
          <w:p w14:paraId="2E9F1DAF"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shd w:val="clear" w:color="auto" w:fill="FFFFFF"/>
            <w:vAlign w:val="center"/>
          </w:tcPr>
          <w:p w14:paraId="2942948C"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19434B19" w14:textId="77777777" w:rsidTr="009802BD">
        <w:trPr>
          <w:cantSplit/>
        </w:trPr>
        <w:tc>
          <w:tcPr>
            <w:tcW w:w="1129" w:type="dxa"/>
            <w:vMerge/>
            <w:shd w:val="clear" w:color="auto" w:fill="FFFFFF"/>
          </w:tcPr>
          <w:p w14:paraId="72D02F94" w14:textId="77777777" w:rsidR="009802BD" w:rsidRPr="009802BD" w:rsidRDefault="009802BD" w:rsidP="009802BD">
            <w:pPr>
              <w:pStyle w:val="Body"/>
              <w:spacing w:after="0"/>
              <w:rPr>
                <w:rFonts w:ascii="Arial" w:hAnsi="Arial" w:cs="Arial"/>
              </w:rPr>
            </w:pPr>
          </w:p>
        </w:tc>
        <w:tc>
          <w:tcPr>
            <w:tcW w:w="1892" w:type="dxa"/>
            <w:shd w:val="clear" w:color="auto" w:fill="FFFFFF"/>
          </w:tcPr>
          <w:p w14:paraId="37BE3461" w14:textId="77777777" w:rsidR="009802BD" w:rsidRPr="009802BD" w:rsidRDefault="009802BD" w:rsidP="009802BD">
            <w:pPr>
              <w:pStyle w:val="Body"/>
              <w:spacing w:after="0"/>
              <w:rPr>
                <w:rFonts w:ascii="Arial" w:hAnsi="Arial" w:cs="Arial"/>
              </w:rPr>
            </w:pPr>
            <w:r w:rsidRPr="009802BD">
              <w:rPr>
                <w:rFonts w:ascii="Arial" w:hAnsi="Arial" w:cs="Arial"/>
              </w:rPr>
              <w:t>Roy's Largest Root</w:t>
            </w:r>
          </w:p>
        </w:tc>
        <w:tc>
          <w:tcPr>
            <w:tcW w:w="1015" w:type="dxa"/>
            <w:shd w:val="clear" w:color="auto" w:fill="FFFFFF"/>
            <w:vAlign w:val="center"/>
          </w:tcPr>
          <w:p w14:paraId="16EC5192" w14:textId="77777777" w:rsidR="009802BD" w:rsidRPr="009802BD" w:rsidRDefault="009802BD" w:rsidP="009802BD">
            <w:pPr>
              <w:pStyle w:val="Body"/>
              <w:spacing w:after="0"/>
              <w:rPr>
                <w:rFonts w:ascii="Arial" w:hAnsi="Arial" w:cs="Arial"/>
              </w:rPr>
            </w:pPr>
            <w:r w:rsidRPr="009802BD">
              <w:rPr>
                <w:rFonts w:ascii="Arial" w:hAnsi="Arial" w:cs="Arial"/>
              </w:rPr>
              <w:t>55.950</w:t>
            </w:r>
          </w:p>
        </w:tc>
        <w:tc>
          <w:tcPr>
            <w:tcW w:w="1184" w:type="dxa"/>
            <w:shd w:val="clear" w:color="auto" w:fill="FFFFFF"/>
            <w:vAlign w:val="center"/>
          </w:tcPr>
          <w:p w14:paraId="030209D6"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shd w:val="clear" w:color="auto" w:fill="FFFFFF"/>
            <w:vAlign w:val="center"/>
          </w:tcPr>
          <w:p w14:paraId="00400846"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shd w:val="clear" w:color="auto" w:fill="FFFFFF"/>
            <w:vAlign w:val="center"/>
          </w:tcPr>
          <w:p w14:paraId="338A1B62"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shd w:val="clear" w:color="auto" w:fill="FFFFFF"/>
            <w:vAlign w:val="center"/>
          </w:tcPr>
          <w:p w14:paraId="544940AF"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65560687" w14:textId="77777777" w:rsidTr="009802BD">
        <w:trPr>
          <w:cantSplit/>
        </w:trPr>
        <w:tc>
          <w:tcPr>
            <w:tcW w:w="1129" w:type="dxa"/>
            <w:vMerge w:val="restart"/>
            <w:shd w:val="clear" w:color="auto" w:fill="FFFFFF"/>
          </w:tcPr>
          <w:p w14:paraId="0E083C9E" w14:textId="77777777" w:rsidR="009802BD" w:rsidRDefault="009802BD" w:rsidP="009802BD">
            <w:pPr>
              <w:pStyle w:val="Body"/>
              <w:spacing w:after="0"/>
              <w:rPr>
                <w:rFonts w:ascii="Arial" w:hAnsi="Arial" w:cs="Arial"/>
              </w:rPr>
            </w:pPr>
            <w:r w:rsidRPr="009802BD">
              <w:rPr>
                <w:rFonts w:ascii="Arial" w:hAnsi="Arial" w:cs="Arial"/>
              </w:rPr>
              <w:t>Status</w:t>
            </w:r>
          </w:p>
          <w:p w14:paraId="45A4C989" w14:textId="188AA152" w:rsidR="009802BD" w:rsidRPr="009802BD" w:rsidRDefault="009802BD" w:rsidP="009802BD">
            <w:pPr>
              <w:pStyle w:val="Body"/>
              <w:spacing w:after="0"/>
              <w:rPr>
                <w:rFonts w:ascii="Arial" w:hAnsi="Arial" w:cs="Arial"/>
              </w:rPr>
            </w:pPr>
            <w:r w:rsidRPr="009802BD">
              <w:rPr>
                <w:rFonts w:ascii="Arial" w:hAnsi="Arial" w:cs="Arial"/>
              </w:rPr>
              <w:t>A</w:t>
            </w:r>
            <w:r>
              <w:rPr>
                <w:rFonts w:ascii="Arial" w:hAnsi="Arial" w:cs="Arial"/>
              </w:rPr>
              <w:t>cademic</w:t>
            </w:r>
          </w:p>
        </w:tc>
        <w:tc>
          <w:tcPr>
            <w:tcW w:w="1892" w:type="dxa"/>
            <w:shd w:val="clear" w:color="auto" w:fill="FFFFFF"/>
          </w:tcPr>
          <w:p w14:paraId="5DD4633C" w14:textId="77777777" w:rsidR="009802BD" w:rsidRPr="009802BD" w:rsidRDefault="009802BD" w:rsidP="009802BD">
            <w:pPr>
              <w:pStyle w:val="Body"/>
              <w:spacing w:after="0"/>
              <w:rPr>
                <w:rFonts w:ascii="Arial" w:hAnsi="Arial" w:cs="Arial"/>
              </w:rPr>
            </w:pPr>
            <w:r w:rsidRPr="009802BD">
              <w:rPr>
                <w:rFonts w:ascii="Arial" w:hAnsi="Arial" w:cs="Arial"/>
              </w:rPr>
              <w:t>Pillai's Trace</w:t>
            </w:r>
          </w:p>
        </w:tc>
        <w:tc>
          <w:tcPr>
            <w:tcW w:w="1015" w:type="dxa"/>
            <w:shd w:val="clear" w:color="auto" w:fill="FFFFFF"/>
            <w:vAlign w:val="center"/>
          </w:tcPr>
          <w:p w14:paraId="37EFE62A" w14:textId="77777777" w:rsidR="009802BD" w:rsidRPr="009802BD" w:rsidRDefault="009802BD" w:rsidP="009802BD">
            <w:pPr>
              <w:pStyle w:val="Body"/>
              <w:spacing w:after="0"/>
              <w:rPr>
                <w:rFonts w:ascii="Arial" w:hAnsi="Arial" w:cs="Arial"/>
              </w:rPr>
            </w:pPr>
            <w:r w:rsidRPr="009802BD">
              <w:rPr>
                <w:rFonts w:ascii="Arial" w:hAnsi="Arial" w:cs="Arial"/>
              </w:rPr>
              <w:t>.098</w:t>
            </w:r>
          </w:p>
        </w:tc>
        <w:tc>
          <w:tcPr>
            <w:tcW w:w="1184" w:type="dxa"/>
            <w:shd w:val="clear" w:color="auto" w:fill="FFFFFF"/>
            <w:vAlign w:val="center"/>
          </w:tcPr>
          <w:p w14:paraId="095DAC48" w14:textId="77777777" w:rsidR="009802BD" w:rsidRPr="009802BD" w:rsidRDefault="009802BD" w:rsidP="009802BD">
            <w:pPr>
              <w:pStyle w:val="Body"/>
              <w:spacing w:after="0"/>
              <w:rPr>
                <w:rFonts w:ascii="Arial" w:hAnsi="Arial" w:cs="Arial"/>
              </w:rPr>
            </w:pPr>
            <w:r w:rsidRPr="009802BD">
              <w:rPr>
                <w:rFonts w:ascii="Arial" w:hAnsi="Arial" w:cs="Arial"/>
              </w:rPr>
              <w:t>2.006</w:t>
            </w:r>
          </w:p>
        </w:tc>
        <w:tc>
          <w:tcPr>
            <w:tcW w:w="1296" w:type="dxa"/>
            <w:shd w:val="clear" w:color="auto" w:fill="FFFFFF"/>
            <w:vAlign w:val="center"/>
          </w:tcPr>
          <w:p w14:paraId="69A70385" w14:textId="77777777" w:rsidR="009802BD" w:rsidRPr="009802BD" w:rsidRDefault="009802BD" w:rsidP="009802BD">
            <w:pPr>
              <w:pStyle w:val="Body"/>
              <w:spacing w:after="0"/>
              <w:rPr>
                <w:rFonts w:ascii="Arial" w:hAnsi="Arial" w:cs="Arial"/>
              </w:rPr>
            </w:pPr>
            <w:r w:rsidRPr="009802BD">
              <w:rPr>
                <w:rFonts w:ascii="Arial" w:hAnsi="Arial" w:cs="Arial"/>
              </w:rPr>
              <w:t>8.000</w:t>
            </w:r>
          </w:p>
        </w:tc>
        <w:tc>
          <w:tcPr>
            <w:tcW w:w="851" w:type="dxa"/>
            <w:shd w:val="clear" w:color="auto" w:fill="FFFFFF"/>
            <w:vAlign w:val="center"/>
          </w:tcPr>
          <w:p w14:paraId="473EFC74" w14:textId="77777777" w:rsidR="009802BD" w:rsidRPr="009802BD" w:rsidRDefault="009802BD" w:rsidP="009802BD">
            <w:pPr>
              <w:pStyle w:val="Body"/>
              <w:spacing w:after="0"/>
              <w:rPr>
                <w:rFonts w:ascii="Arial" w:hAnsi="Arial" w:cs="Arial"/>
              </w:rPr>
            </w:pPr>
            <w:r w:rsidRPr="009802BD">
              <w:rPr>
                <w:rFonts w:ascii="Arial" w:hAnsi="Arial" w:cs="Arial"/>
              </w:rPr>
              <w:t>312.000</w:t>
            </w:r>
          </w:p>
        </w:tc>
        <w:tc>
          <w:tcPr>
            <w:tcW w:w="709" w:type="dxa"/>
            <w:shd w:val="clear" w:color="auto" w:fill="FFFFFF"/>
            <w:vAlign w:val="center"/>
          </w:tcPr>
          <w:p w14:paraId="5667C0A3" w14:textId="77777777" w:rsidR="009802BD" w:rsidRPr="009802BD" w:rsidRDefault="009802BD" w:rsidP="009802BD">
            <w:pPr>
              <w:pStyle w:val="Body"/>
              <w:spacing w:after="0"/>
              <w:rPr>
                <w:rFonts w:ascii="Arial" w:hAnsi="Arial" w:cs="Arial"/>
              </w:rPr>
            </w:pPr>
            <w:r w:rsidRPr="009802BD">
              <w:rPr>
                <w:rFonts w:ascii="Arial" w:hAnsi="Arial" w:cs="Arial"/>
              </w:rPr>
              <w:t>.045</w:t>
            </w:r>
          </w:p>
        </w:tc>
      </w:tr>
      <w:tr w:rsidR="009802BD" w:rsidRPr="009802BD" w14:paraId="44800B4F" w14:textId="77777777" w:rsidTr="009802BD">
        <w:trPr>
          <w:cantSplit/>
        </w:trPr>
        <w:tc>
          <w:tcPr>
            <w:tcW w:w="1129" w:type="dxa"/>
            <w:vMerge/>
            <w:shd w:val="clear" w:color="auto" w:fill="FFFFFF"/>
          </w:tcPr>
          <w:p w14:paraId="304556AA" w14:textId="77777777" w:rsidR="009802BD" w:rsidRPr="009802BD" w:rsidRDefault="009802BD" w:rsidP="009802BD">
            <w:pPr>
              <w:pStyle w:val="Body"/>
              <w:spacing w:after="0"/>
              <w:rPr>
                <w:rFonts w:ascii="Arial" w:hAnsi="Arial" w:cs="Arial"/>
              </w:rPr>
            </w:pPr>
          </w:p>
        </w:tc>
        <w:tc>
          <w:tcPr>
            <w:tcW w:w="1892" w:type="dxa"/>
            <w:shd w:val="clear" w:color="auto" w:fill="FFFFFF"/>
          </w:tcPr>
          <w:p w14:paraId="6F1A87A1" w14:textId="77777777" w:rsidR="009802BD" w:rsidRPr="009802BD" w:rsidRDefault="009802BD" w:rsidP="009802BD">
            <w:pPr>
              <w:pStyle w:val="Body"/>
              <w:spacing w:after="0"/>
              <w:rPr>
                <w:rFonts w:ascii="Arial" w:hAnsi="Arial" w:cs="Arial"/>
              </w:rPr>
            </w:pPr>
            <w:r w:rsidRPr="009802BD">
              <w:rPr>
                <w:rFonts w:ascii="Arial" w:hAnsi="Arial" w:cs="Arial"/>
              </w:rPr>
              <w:t>Wilks' Lambda</w:t>
            </w:r>
          </w:p>
        </w:tc>
        <w:tc>
          <w:tcPr>
            <w:tcW w:w="1015" w:type="dxa"/>
            <w:shd w:val="clear" w:color="auto" w:fill="FFFFFF"/>
            <w:vAlign w:val="center"/>
          </w:tcPr>
          <w:p w14:paraId="67D21D74" w14:textId="77777777" w:rsidR="009802BD" w:rsidRPr="009802BD" w:rsidRDefault="009802BD" w:rsidP="009802BD">
            <w:pPr>
              <w:pStyle w:val="Body"/>
              <w:spacing w:after="0"/>
              <w:rPr>
                <w:rFonts w:ascii="Arial" w:hAnsi="Arial" w:cs="Arial"/>
              </w:rPr>
            </w:pPr>
            <w:r w:rsidRPr="009802BD">
              <w:rPr>
                <w:rFonts w:ascii="Arial" w:hAnsi="Arial" w:cs="Arial"/>
              </w:rPr>
              <w:t>.904</w:t>
            </w:r>
          </w:p>
        </w:tc>
        <w:tc>
          <w:tcPr>
            <w:tcW w:w="1184" w:type="dxa"/>
            <w:shd w:val="clear" w:color="auto" w:fill="FFFFFF"/>
            <w:vAlign w:val="center"/>
          </w:tcPr>
          <w:p w14:paraId="02C0CFA0" w14:textId="77777777" w:rsidR="009802BD" w:rsidRPr="009802BD" w:rsidRDefault="009802BD" w:rsidP="009802BD">
            <w:pPr>
              <w:pStyle w:val="Body"/>
              <w:spacing w:after="0"/>
              <w:rPr>
                <w:rFonts w:ascii="Arial" w:hAnsi="Arial" w:cs="Arial"/>
              </w:rPr>
            </w:pPr>
            <w:r w:rsidRPr="009802BD">
              <w:rPr>
                <w:rFonts w:ascii="Arial" w:hAnsi="Arial" w:cs="Arial"/>
              </w:rPr>
              <w:t>1.996b</w:t>
            </w:r>
          </w:p>
        </w:tc>
        <w:tc>
          <w:tcPr>
            <w:tcW w:w="1296" w:type="dxa"/>
            <w:shd w:val="clear" w:color="auto" w:fill="FFFFFF"/>
            <w:vAlign w:val="center"/>
          </w:tcPr>
          <w:p w14:paraId="39E9D07E" w14:textId="77777777" w:rsidR="009802BD" w:rsidRPr="009802BD" w:rsidRDefault="009802BD" w:rsidP="009802BD">
            <w:pPr>
              <w:pStyle w:val="Body"/>
              <w:spacing w:after="0"/>
              <w:rPr>
                <w:rFonts w:ascii="Arial" w:hAnsi="Arial" w:cs="Arial"/>
              </w:rPr>
            </w:pPr>
            <w:r w:rsidRPr="009802BD">
              <w:rPr>
                <w:rFonts w:ascii="Arial" w:hAnsi="Arial" w:cs="Arial"/>
              </w:rPr>
              <w:t>8.000</w:t>
            </w:r>
          </w:p>
        </w:tc>
        <w:tc>
          <w:tcPr>
            <w:tcW w:w="851" w:type="dxa"/>
            <w:shd w:val="clear" w:color="auto" w:fill="FFFFFF"/>
            <w:vAlign w:val="center"/>
          </w:tcPr>
          <w:p w14:paraId="59F0416C" w14:textId="77777777" w:rsidR="009802BD" w:rsidRPr="009802BD" w:rsidRDefault="009802BD" w:rsidP="009802BD">
            <w:pPr>
              <w:pStyle w:val="Body"/>
              <w:spacing w:after="0"/>
              <w:rPr>
                <w:rFonts w:ascii="Arial" w:hAnsi="Arial" w:cs="Arial"/>
              </w:rPr>
            </w:pPr>
            <w:r w:rsidRPr="009802BD">
              <w:rPr>
                <w:rFonts w:ascii="Arial" w:hAnsi="Arial" w:cs="Arial"/>
              </w:rPr>
              <w:t>310.000</w:t>
            </w:r>
          </w:p>
        </w:tc>
        <w:tc>
          <w:tcPr>
            <w:tcW w:w="709" w:type="dxa"/>
            <w:shd w:val="clear" w:color="auto" w:fill="FFFFFF"/>
            <w:vAlign w:val="center"/>
          </w:tcPr>
          <w:p w14:paraId="710AC04C" w14:textId="77777777" w:rsidR="009802BD" w:rsidRPr="009802BD" w:rsidRDefault="009802BD" w:rsidP="009802BD">
            <w:pPr>
              <w:pStyle w:val="Body"/>
              <w:spacing w:after="0"/>
              <w:rPr>
                <w:rFonts w:ascii="Arial" w:hAnsi="Arial" w:cs="Arial"/>
              </w:rPr>
            </w:pPr>
            <w:r w:rsidRPr="009802BD">
              <w:rPr>
                <w:rFonts w:ascii="Arial" w:hAnsi="Arial" w:cs="Arial"/>
              </w:rPr>
              <w:t>.047</w:t>
            </w:r>
          </w:p>
        </w:tc>
      </w:tr>
      <w:tr w:rsidR="009802BD" w:rsidRPr="009802BD" w14:paraId="364BC829" w14:textId="77777777" w:rsidTr="009802BD">
        <w:trPr>
          <w:cantSplit/>
        </w:trPr>
        <w:tc>
          <w:tcPr>
            <w:tcW w:w="1129" w:type="dxa"/>
            <w:vMerge/>
            <w:shd w:val="clear" w:color="auto" w:fill="FFFFFF"/>
          </w:tcPr>
          <w:p w14:paraId="7F3EBE85" w14:textId="77777777" w:rsidR="009802BD" w:rsidRPr="009802BD" w:rsidRDefault="009802BD" w:rsidP="009802BD">
            <w:pPr>
              <w:pStyle w:val="Body"/>
              <w:spacing w:after="0"/>
              <w:rPr>
                <w:rFonts w:ascii="Arial" w:hAnsi="Arial" w:cs="Arial"/>
              </w:rPr>
            </w:pPr>
          </w:p>
        </w:tc>
        <w:tc>
          <w:tcPr>
            <w:tcW w:w="1892" w:type="dxa"/>
            <w:shd w:val="clear" w:color="auto" w:fill="FFFFFF"/>
          </w:tcPr>
          <w:p w14:paraId="251FF8F1" w14:textId="77777777" w:rsidR="009802BD" w:rsidRPr="009802BD" w:rsidRDefault="009802BD" w:rsidP="009802BD">
            <w:pPr>
              <w:pStyle w:val="Body"/>
              <w:spacing w:after="0"/>
              <w:rPr>
                <w:rFonts w:ascii="Arial" w:hAnsi="Arial" w:cs="Arial"/>
              </w:rPr>
            </w:pPr>
            <w:r w:rsidRPr="009802BD">
              <w:rPr>
                <w:rFonts w:ascii="Arial" w:hAnsi="Arial" w:cs="Arial"/>
              </w:rPr>
              <w:t>Hotelling's Trace</w:t>
            </w:r>
          </w:p>
        </w:tc>
        <w:tc>
          <w:tcPr>
            <w:tcW w:w="1015" w:type="dxa"/>
            <w:shd w:val="clear" w:color="auto" w:fill="FFFFFF"/>
            <w:vAlign w:val="center"/>
          </w:tcPr>
          <w:p w14:paraId="569DFC82" w14:textId="77777777" w:rsidR="009802BD" w:rsidRPr="009802BD" w:rsidRDefault="009802BD" w:rsidP="009802BD">
            <w:pPr>
              <w:pStyle w:val="Body"/>
              <w:spacing w:after="0"/>
              <w:rPr>
                <w:rFonts w:ascii="Arial" w:hAnsi="Arial" w:cs="Arial"/>
              </w:rPr>
            </w:pPr>
            <w:r w:rsidRPr="009802BD">
              <w:rPr>
                <w:rFonts w:ascii="Arial" w:hAnsi="Arial" w:cs="Arial"/>
              </w:rPr>
              <w:t>.103</w:t>
            </w:r>
          </w:p>
        </w:tc>
        <w:tc>
          <w:tcPr>
            <w:tcW w:w="1184" w:type="dxa"/>
            <w:shd w:val="clear" w:color="auto" w:fill="FFFFFF"/>
            <w:vAlign w:val="center"/>
          </w:tcPr>
          <w:p w14:paraId="05ECE198" w14:textId="77777777" w:rsidR="009802BD" w:rsidRPr="009802BD" w:rsidRDefault="009802BD" w:rsidP="009802BD">
            <w:pPr>
              <w:pStyle w:val="Body"/>
              <w:spacing w:after="0"/>
              <w:rPr>
                <w:rFonts w:ascii="Arial" w:hAnsi="Arial" w:cs="Arial"/>
              </w:rPr>
            </w:pPr>
            <w:r w:rsidRPr="009802BD">
              <w:rPr>
                <w:rFonts w:ascii="Arial" w:hAnsi="Arial" w:cs="Arial"/>
              </w:rPr>
              <w:t>1.985</w:t>
            </w:r>
          </w:p>
        </w:tc>
        <w:tc>
          <w:tcPr>
            <w:tcW w:w="1296" w:type="dxa"/>
            <w:shd w:val="clear" w:color="auto" w:fill="FFFFFF"/>
            <w:vAlign w:val="center"/>
          </w:tcPr>
          <w:p w14:paraId="6B9739F1" w14:textId="77777777" w:rsidR="009802BD" w:rsidRPr="009802BD" w:rsidRDefault="009802BD" w:rsidP="009802BD">
            <w:pPr>
              <w:pStyle w:val="Body"/>
              <w:spacing w:after="0"/>
              <w:rPr>
                <w:rFonts w:ascii="Arial" w:hAnsi="Arial" w:cs="Arial"/>
              </w:rPr>
            </w:pPr>
            <w:r w:rsidRPr="009802BD">
              <w:rPr>
                <w:rFonts w:ascii="Arial" w:hAnsi="Arial" w:cs="Arial"/>
              </w:rPr>
              <w:t>8.000</w:t>
            </w:r>
          </w:p>
        </w:tc>
        <w:tc>
          <w:tcPr>
            <w:tcW w:w="851" w:type="dxa"/>
            <w:shd w:val="clear" w:color="auto" w:fill="FFFFFF"/>
            <w:vAlign w:val="center"/>
          </w:tcPr>
          <w:p w14:paraId="2396B575" w14:textId="77777777" w:rsidR="009802BD" w:rsidRPr="009802BD" w:rsidRDefault="009802BD" w:rsidP="009802BD">
            <w:pPr>
              <w:pStyle w:val="Body"/>
              <w:spacing w:after="0"/>
              <w:rPr>
                <w:rFonts w:ascii="Arial" w:hAnsi="Arial" w:cs="Arial"/>
              </w:rPr>
            </w:pPr>
            <w:r w:rsidRPr="009802BD">
              <w:rPr>
                <w:rFonts w:ascii="Arial" w:hAnsi="Arial" w:cs="Arial"/>
              </w:rPr>
              <w:t>308.000</w:t>
            </w:r>
          </w:p>
        </w:tc>
        <w:tc>
          <w:tcPr>
            <w:tcW w:w="709" w:type="dxa"/>
            <w:shd w:val="clear" w:color="auto" w:fill="FFFFFF"/>
            <w:vAlign w:val="center"/>
          </w:tcPr>
          <w:p w14:paraId="67BC1A59" w14:textId="77777777" w:rsidR="009802BD" w:rsidRPr="009802BD" w:rsidRDefault="009802BD" w:rsidP="009802BD">
            <w:pPr>
              <w:pStyle w:val="Body"/>
              <w:spacing w:after="0"/>
              <w:rPr>
                <w:rFonts w:ascii="Arial" w:hAnsi="Arial" w:cs="Arial"/>
              </w:rPr>
            </w:pPr>
            <w:r w:rsidRPr="009802BD">
              <w:rPr>
                <w:rFonts w:ascii="Arial" w:hAnsi="Arial" w:cs="Arial"/>
              </w:rPr>
              <w:t>.048</w:t>
            </w:r>
          </w:p>
        </w:tc>
      </w:tr>
      <w:tr w:rsidR="009802BD" w:rsidRPr="009802BD" w14:paraId="4801476E" w14:textId="77777777" w:rsidTr="009802BD">
        <w:trPr>
          <w:cantSplit/>
        </w:trPr>
        <w:tc>
          <w:tcPr>
            <w:tcW w:w="1129" w:type="dxa"/>
            <w:vMerge/>
            <w:tcBorders>
              <w:bottom w:val="single" w:sz="4" w:space="0" w:color="auto"/>
            </w:tcBorders>
            <w:shd w:val="clear" w:color="auto" w:fill="FFFFFF"/>
          </w:tcPr>
          <w:p w14:paraId="144AA217" w14:textId="77777777" w:rsidR="009802BD" w:rsidRPr="009802BD" w:rsidRDefault="009802BD" w:rsidP="009802BD">
            <w:pPr>
              <w:pStyle w:val="Body"/>
              <w:spacing w:after="0"/>
              <w:rPr>
                <w:rFonts w:ascii="Arial" w:hAnsi="Arial" w:cs="Arial"/>
              </w:rPr>
            </w:pPr>
          </w:p>
        </w:tc>
        <w:tc>
          <w:tcPr>
            <w:tcW w:w="1892" w:type="dxa"/>
            <w:tcBorders>
              <w:bottom w:val="single" w:sz="4" w:space="0" w:color="auto"/>
            </w:tcBorders>
            <w:shd w:val="clear" w:color="auto" w:fill="FFFFFF"/>
          </w:tcPr>
          <w:p w14:paraId="0E3913FE" w14:textId="77777777" w:rsidR="009802BD" w:rsidRPr="009802BD" w:rsidRDefault="009802BD" w:rsidP="009802BD">
            <w:pPr>
              <w:pStyle w:val="Body"/>
              <w:spacing w:after="0"/>
              <w:rPr>
                <w:rFonts w:ascii="Arial" w:hAnsi="Arial" w:cs="Arial"/>
              </w:rPr>
            </w:pPr>
            <w:r w:rsidRPr="009802BD">
              <w:rPr>
                <w:rFonts w:ascii="Arial" w:hAnsi="Arial" w:cs="Arial"/>
              </w:rPr>
              <w:t>Roy's Largest Root</w:t>
            </w:r>
          </w:p>
        </w:tc>
        <w:tc>
          <w:tcPr>
            <w:tcW w:w="1015" w:type="dxa"/>
            <w:tcBorders>
              <w:bottom w:val="single" w:sz="4" w:space="0" w:color="auto"/>
            </w:tcBorders>
            <w:shd w:val="clear" w:color="auto" w:fill="FFFFFF"/>
            <w:vAlign w:val="center"/>
          </w:tcPr>
          <w:p w14:paraId="3EC09D43" w14:textId="77777777" w:rsidR="009802BD" w:rsidRPr="009802BD" w:rsidRDefault="009802BD" w:rsidP="009802BD">
            <w:pPr>
              <w:pStyle w:val="Body"/>
              <w:spacing w:after="0"/>
              <w:rPr>
                <w:rFonts w:ascii="Arial" w:hAnsi="Arial" w:cs="Arial"/>
              </w:rPr>
            </w:pPr>
            <w:r w:rsidRPr="009802BD">
              <w:rPr>
                <w:rFonts w:ascii="Arial" w:hAnsi="Arial" w:cs="Arial"/>
              </w:rPr>
              <w:t>.063</w:t>
            </w:r>
          </w:p>
        </w:tc>
        <w:tc>
          <w:tcPr>
            <w:tcW w:w="1184" w:type="dxa"/>
            <w:tcBorders>
              <w:bottom w:val="single" w:sz="4" w:space="0" w:color="auto"/>
            </w:tcBorders>
            <w:shd w:val="clear" w:color="auto" w:fill="FFFFFF"/>
            <w:vAlign w:val="center"/>
          </w:tcPr>
          <w:p w14:paraId="7E5DF0B2" w14:textId="77777777" w:rsidR="009802BD" w:rsidRPr="009802BD" w:rsidRDefault="009802BD" w:rsidP="009802BD">
            <w:pPr>
              <w:pStyle w:val="Body"/>
              <w:spacing w:after="0"/>
              <w:rPr>
                <w:rFonts w:ascii="Arial" w:hAnsi="Arial" w:cs="Arial"/>
              </w:rPr>
            </w:pPr>
            <w:r w:rsidRPr="009802BD">
              <w:rPr>
                <w:rFonts w:ascii="Arial" w:hAnsi="Arial" w:cs="Arial"/>
              </w:rPr>
              <w:t>2.444c</w:t>
            </w:r>
          </w:p>
        </w:tc>
        <w:tc>
          <w:tcPr>
            <w:tcW w:w="1296" w:type="dxa"/>
            <w:tcBorders>
              <w:bottom w:val="single" w:sz="4" w:space="0" w:color="auto"/>
            </w:tcBorders>
            <w:shd w:val="clear" w:color="auto" w:fill="FFFFFF"/>
            <w:vAlign w:val="center"/>
          </w:tcPr>
          <w:p w14:paraId="74E7E94D"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tcBorders>
              <w:bottom w:val="single" w:sz="4" w:space="0" w:color="auto"/>
            </w:tcBorders>
            <w:shd w:val="clear" w:color="auto" w:fill="FFFFFF"/>
            <w:vAlign w:val="center"/>
          </w:tcPr>
          <w:p w14:paraId="7FEE2CEC" w14:textId="77777777" w:rsidR="009802BD" w:rsidRPr="009802BD" w:rsidRDefault="009802BD" w:rsidP="009802BD">
            <w:pPr>
              <w:pStyle w:val="Body"/>
              <w:spacing w:after="0"/>
              <w:rPr>
                <w:rFonts w:ascii="Arial" w:hAnsi="Arial" w:cs="Arial"/>
              </w:rPr>
            </w:pPr>
            <w:r w:rsidRPr="009802BD">
              <w:rPr>
                <w:rFonts w:ascii="Arial" w:hAnsi="Arial" w:cs="Arial"/>
              </w:rPr>
              <w:t>156.000</w:t>
            </w:r>
          </w:p>
        </w:tc>
        <w:tc>
          <w:tcPr>
            <w:tcW w:w="709" w:type="dxa"/>
            <w:tcBorders>
              <w:bottom w:val="single" w:sz="4" w:space="0" w:color="auto"/>
            </w:tcBorders>
            <w:shd w:val="clear" w:color="auto" w:fill="FFFFFF"/>
            <w:vAlign w:val="center"/>
          </w:tcPr>
          <w:p w14:paraId="6F3E66F9" w14:textId="77777777" w:rsidR="009802BD" w:rsidRPr="009802BD" w:rsidRDefault="009802BD" w:rsidP="009802BD">
            <w:pPr>
              <w:pStyle w:val="Body"/>
              <w:spacing w:after="0"/>
              <w:rPr>
                <w:rFonts w:ascii="Arial" w:hAnsi="Arial" w:cs="Arial"/>
              </w:rPr>
            </w:pPr>
            <w:r w:rsidRPr="009802BD">
              <w:rPr>
                <w:rFonts w:ascii="Arial" w:hAnsi="Arial" w:cs="Arial"/>
              </w:rPr>
              <w:t>.049</w:t>
            </w:r>
          </w:p>
        </w:tc>
      </w:tr>
    </w:tbl>
    <w:p w14:paraId="45A04A55" w14:textId="77777777" w:rsidR="009802BD" w:rsidRDefault="009802BD" w:rsidP="009802BD">
      <w:pPr>
        <w:pStyle w:val="Body"/>
        <w:spacing w:after="0"/>
        <w:rPr>
          <w:rFonts w:ascii="Arial" w:hAnsi="Arial" w:cs="Arial"/>
        </w:rPr>
      </w:pPr>
      <w:r w:rsidRPr="009802BD">
        <w:rPr>
          <w:rFonts w:ascii="Arial" w:hAnsi="Arial" w:cs="Arial"/>
        </w:rPr>
        <w:t xml:space="preserve">Further analysis through the Between-Subjects Effects test strengthens these findings, where significance is obtained in three of the four dependent variables. No significant effect of academic status on the prevention dimension (F = 1,576; p = 0.210), but there is a significant difference in the detection dimension (F = 3,170; p = 0.045), investigation (F = 3,531; p = 0.032), and monitoring (F = 3,535; p = 0.031). Although the coefficient of determination (R²) is relatively small for the three significant variables (3.9%), this finding shows a significant contribution from academic status in influencing the perception of the effectiveness of the implementation of fraud prevention strategies, especially in operational and evaluative </w:t>
      </w:r>
      <w:r w:rsidRPr="009802BD">
        <w:rPr>
          <w:rFonts w:ascii="Arial" w:hAnsi="Arial" w:cs="Arial"/>
        </w:rPr>
        <w:lastRenderedPageBreak/>
        <w:t>aspects. Thus, these results confirm that the differentiation of roles and experiences between academic groups has implications for the way they view, assess, and respond to fraud control policies within the Higher Education Institution.</w:t>
      </w:r>
    </w:p>
    <w:p w14:paraId="3AD75A81" w14:textId="77777777" w:rsidR="009802BD" w:rsidRPr="009802BD" w:rsidRDefault="009802BD" w:rsidP="009802BD">
      <w:pPr>
        <w:pStyle w:val="Body"/>
        <w:spacing w:after="0"/>
        <w:rPr>
          <w:rFonts w:ascii="Arial" w:hAnsi="Arial" w:cs="Arial"/>
        </w:rPr>
      </w:pPr>
    </w:p>
    <w:p w14:paraId="315067EF" w14:textId="77777777" w:rsidR="009802BD" w:rsidRPr="009802BD" w:rsidRDefault="009802BD" w:rsidP="009802BD">
      <w:pPr>
        <w:pStyle w:val="Body"/>
        <w:spacing w:after="0"/>
        <w:rPr>
          <w:rFonts w:ascii="Arial" w:hAnsi="Arial" w:cs="Arial"/>
          <w:b/>
          <w:bCs/>
        </w:rPr>
      </w:pPr>
      <w:r w:rsidRPr="009802BD">
        <w:rPr>
          <w:rFonts w:ascii="Arial" w:hAnsi="Arial" w:cs="Arial"/>
          <w:b/>
          <w:bCs/>
        </w:rPr>
        <w:t>Table 3. Tests of Between-Subjects Effects</w:t>
      </w:r>
    </w:p>
    <w:tbl>
      <w:tblPr>
        <w:tblW w:w="807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785"/>
        <w:gridCol w:w="1612"/>
        <w:gridCol w:w="1491"/>
        <w:gridCol w:w="494"/>
        <w:gridCol w:w="1276"/>
        <w:gridCol w:w="851"/>
        <w:gridCol w:w="567"/>
      </w:tblGrid>
      <w:tr w:rsidR="009802BD" w:rsidRPr="009802BD" w14:paraId="0E9CE015" w14:textId="77777777" w:rsidTr="009802BD">
        <w:trPr>
          <w:cantSplit/>
        </w:trPr>
        <w:tc>
          <w:tcPr>
            <w:tcW w:w="1785" w:type="dxa"/>
            <w:tcBorders>
              <w:top w:val="single" w:sz="4" w:space="0" w:color="auto"/>
              <w:bottom w:val="single" w:sz="4" w:space="0" w:color="auto"/>
            </w:tcBorders>
            <w:shd w:val="clear" w:color="auto" w:fill="FFFFFF"/>
            <w:vAlign w:val="center"/>
          </w:tcPr>
          <w:p w14:paraId="74B0197B" w14:textId="77777777" w:rsidR="009802BD" w:rsidRPr="009802BD" w:rsidRDefault="009802BD" w:rsidP="009802BD">
            <w:pPr>
              <w:pStyle w:val="Body"/>
              <w:spacing w:after="0"/>
              <w:jc w:val="center"/>
              <w:rPr>
                <w:rFonts w:ascii="Arial" w:hAnsi="Arial" w:cs="Arial"/>
              </w:rPr>
            </w:pPr>
            <w:r w:rsidRPr="009802BD">
              <w:rPr>
                <w:rFonts w:ascii="Arial" w:hAnsi="Arial" w:cs="Arial"/>
              </w:rPr>
              <w:t>Source</w:t>
            </w:r>
          </w:p>
        </w:tc>
        <w:tc>
          <w:tcPr>
            <w:tcW w:w="1612" w:type="dxa"/>
            <w:tcBorders>
              <w:top w:val="single" w:sz="4" w:space="0" w:color="auto"/>
              <w:bottom w:val="single" w:sz="4" w:space="0" w:color="auto"/>
            </w:tcBorders>
            <w:shd w:val="clear" w:color="auto" w:fill="FFFFFF"/>
            <w:vAlign w:val="center"/>
          </w:tcPr>
          <w:p w14:paraId="22CE85D6" w14:textId="77777777" w:rsidR="009802BD" w:rsidRPr="009802BD" w:rsidRDefault="009802BD" w:rsidP="009802BD">
            <w:pPr>
              <w:pStyle w:val="Body"/>
              <w:spacing w:after="0"/>
              <w:jc w:val="center"/>
              <w:rPr>
                <w:rFonts w:ascii="Arial" w:hAnsi="Arial" w:cs="Arial"/>
              </w:rPr>
            </w:pPr>
            <w:r w:rsidRPr="009802BD">
              <w:rPr>
                <w:rFonts w:ascii="Arial" w:hAnsi="Arial" w:cs="Arial"/>
              </w:rPr>
              <w:t>Dependent Variable</w:t>
            </w:r>
          </w:p>
        </w:tc>
        <w:tc>
          <w:tcPr>
            <w:tcW w:w="1491" w:type="dxa"/>
            <w:tcBorders>
              <w:top w:val="single" w:sz="4" w:space="0" w:color="auto"/>
              <w:bottom w:val="single" w:sz="4" w:space="0" w:color="auto"/>
            </w:tcBorders>
            <w:shd w:val="clear" w:color="auto" w:fill="FFFFFF"/>
            <w:vAlign w:val="center"/>
          </w:tcPr>
          <w:p w14:paraId="67F129D9" w14:textId="77777777" w:rsidR="009802BD" w:rsidRPr="009802BD" w:rsidRDefault="009802BD" w:rsidP="009802BD">
            <w:pPr>
              <w:pStyle w:val="Body"/>
              <w:spacing w:after="0"/>
              <w:jc w:val="center"/>
              <w:rPr>
                <w:rFonts w:ascii="Arial" w:hAnsi="Arial" w:cs="Arial"/>
              </w:rPr>
            </w:pPr>
            <w:r w:rsidRPr="009802BD">
              <w:rPr>
                <w:rFonts w:ascii="Arial" w:hAnsi="Arial" w:cs="Arial"/>
              </w:rPr>
              <w:t>Type III Sum of Squares</w:t>
            </w:r>
          </w:p>
        </w:tc>
        <w:tc>
          <w:tcPr>
            <w:tcW w:w="494" w:type="dxa"/>
            <w:tcBorders>
              <w:top w:val="single" w:sz="4" w:space="0" w:color="auto"/>
              <w:bottom w:val="single" w:sz="4" w:space="0" w:color="auto"/>
            </w:tcBorders>
            <w:shd w:val="clear" w:color="auto" w:fill="FFFFFF"/>
            <w:vAlign w:val="center"/>
          </w:tcPr>
          <w:p w14:paraId="29DF5222" w14:textId="77777777" w:rsidR="009802BD" w:rsidRPr="009802BD" w:rsidRDefault="009802BD" w:rsidP="009802BD">
            <w:pPr>
              <w:pStyle w:val="Body"/>
              <w:spacing w:after="0"/>
              <w:jc w:val="center"/>
              <w:rPr>
                <w:rFonts w:ascii="Arial" w:hAnsi="Arial" w:cs="Arial"/>
              </w:rPr>
            </w:pPr>
            <w:r w:rsidRPr="009802BD">
              <w:rPr>
                <w:rFonts w:ascii="Arial" w:hAnsi="Arial" w:cs="Arial"/>
              </w:rPr>
              <w:t>df</w:t>
            </w:r>
          </w:p>
        </w:tc>
        <w:tc>
          <w:tcPr>
            <w:tcW w:w="1276" w:type="dxa"/>
            <w:tcBorders>
              <w:top w:val="single" w:sz="4" w:space="0" w:color="auto"/>
              <w:bottom w:val="single" w:sz="4" w:space="0" w:color="auto"/>
            </w:tcBorders>
            <w:shd w:val="clear" w:color="auto" w:fill="FFFFFF"/>
            <w:vAlign w:val="center"/>
          </w:tcPr>
          <w:p w14:paraId="775EB631" w14:textId="77777777" w:rsidR="009802BD" w:rsidRPr="009802BD" w:rsidRDefault="009802BD" w:rsidP="009802BD">
            <w:pPr>
              <w:pStyle w:val="Body"/>
              <w:spacing w:after="0"/>
              <w:jc w:val="center"/>
              <w:rPr>
                <w:rFonts w:ascii="Arial" w:hAnsi="Arial" w:cs="Arial"/>
              </w:rPr>
            </w:pPr>
            <w:r w:rsidRPr="009802BD">
              <w:rPr>
                <w:rFonts w:ascii="Arial" w:hAnsi="Arial" w:cs="Arial"/>
              </w:rPr>
              <w:t>Mean Square</w:t>
            </w:r>
          </w:p>
        </w:tc>
        <w:tc>
          <w:tcPr>
            <w:tcW w:w="851" w:type="dxa"/>
            <w:tcBorders>
              <w:top w:val="single" w:sz="4" w:space="0" w:color="auto"/>
              <w:bottom w:val="single" w:sz="4" w:space="0" w:color="auto"/>
            </w:tcBorders>
            <w:shd w:val="clear" w:color="auto" w:fill="FFFFFF"/>
            <w:vAlign w:val="center"/>
          </w:tcPr>
          <w:p w14:paraId="07807FD3" w14:textId="77777777" w:rsidR="009802BD" w:rsidRPr="009802BD" w:rsidRDefault="009802BD" w:rsidP="009802BD">
            <w:pPr>
              <w:pStyle w:val="Body"/>
              <w:spacing w:after="0"/>
              <w:jc w:val="center"/>
              <w:rPr>
                <w:rFonts w:ascii="Arial" w:hAnsi="Arial" w:cs="Arial"/>
              </w:rPr>
            </w:pPr>
            <w:r w:rsidRPr="009802BD">
              <w:rPr>
                <w:rFonts w:ascii="Arial" w:hAnsi="Arial" w:cs="Arial"/>
              </w:rPr>
              <w:t>F</w:t>
            </w:r>
          </w:p>
        </w:tc>
        <w:tc>
          <w:tcPr>
            <w:tcW w:w="567" w:type="dxa"/>
            <w:tcBorders>
              <w:top w:val="single" w:sz="4" w:space="0" w:color="auto"/>
              <w:bottom w:val="single" w:sz="4" w:space="0" w:color="auto"/>
            </w:tcBorders>
            <w:shd w:val="clear" w:color="auto" w:fill="FFFFFF"/>
            <w:vAlign w:val="center"/>
          </w:tcPr>
          <w:p w14:paraId="67B4653E" w14:textId="77777777" w:rsidR="009802BD" w:rsidRPr="009802BD" w:rsidRDefault="009802BD" w:rsidP="009802BD">
            <w:pPr>
              <w:pStyle w:val="Body"/>
              <w:spacing w:after="0"/>
              <w:jc w:val="center"/>
              <w:rPr>
                <w:rFonts w:ascii="Arial" w:hAnsi="Arial" w:cs="Arial"/>
              </w:rPr>
            </w:pPr>
            <w:r w:rsidRPr="009802BD">
              <w:rPr>
                <w:rFonts w:ascii="Arial" w:hAnsi="Arial" w:cs="Arial"/>
              </w:rPr>
              <w:t>Sig.</w:t>
            </w:r>
          </w:p>
        </w:tc>
      </w:tr>
      <w:tr w:rsidR="009802BD" w:rsidRPr="009802BD" w14:paraId="6D3332E4" w14:textId="77777777" w:rsidTr="009802BD">
        <w:trPr>
          <w:cantSplit/>
        </w:trPr>
        <w:tc>
          <w:tcPr>
            <w:tcW w:w="1785" w:type="dxa"/>
            <w:vMerge w:val="restart"/>
            <w:tcBorders>
              <w:top w:val="single" w:sz="4" w:space="0" w:color="auto"/>
            </w:tcBorders>
            <w:shd w:val="clear" w:color="auto" w:fill="FFFFFF"/>
          </w:tcPr>
          <w:p w14:paraId="334D2FF7" w14:textId="77777777" w:rsidR="009802BD" w:rsidRPr="009802BD" w:rsidRDefault="009802BD" w:rsidP="009802BD">
            <w:pPr>
              <w:pStyle w:val="Body"/>
              <w:spacing w:after="0"/>
              <w:rPr>
                <w:rFonts w:ascii="Arial" w:hAnsi="Arial" w:cs="Arial"/>
              </w:rPr>
            </w:pPr>
            <w:r w:rsidRPr="009802BD">
              <w:rPr>
                <w:rFonts w:ascii="Arial" w:hAnsi="Arial" w:cs="Arial"/>
              </w:rPr>
              <w:t>Academic Status</w:t>
            </w:r>
          </w:p>
        </w:tc>
        <w:tc>
          <w:tcPr>
            <w:tcW w:w="1612" w:type="dxa"/>
            <w:tcBorders>
              <w:top w:val="single" w:sz="4" w:space="0" w:color="auto"/>
            </w:tcBorders>
            <w:shd w:val="clear" w:color="auto" w:fill="FFFFFF"/>
          </w:tcPr>
          <w:p w14:paraId="3335E242" w14:textId="77777777" w:rsidR="009802BD" w:rsidRPr="009802BD" w:rsidRDefault="009802BD" w:rsidP="009802BD">
            <w:pPr>
              <w:pStyle w:val="Body"/>
              <w:spacing w:after="0"/>
              <w:rPr>
                <w:rFonts w:ascii="Arial" w:hAnsi="Arial" w:cs="Arial"/>
              </w:rPr>
            </w:pPr>
            <w:r w:rsidRPr="009802BD">
              <w:rPr>
                <w:rFonts w:ascii="Arial" w:hAnsi="Arial" w:cs="Arial"/>
              </w:rPr>
              <w:t>Prevention</w:t>
            </w:r>
          </w:p>
        </w:tc>
        <w:tc>
          <w:tcPr>
            <w:tcW w:w="1491" w:type="dxa"/>
            <w:tcBorders>
              <w:top w:val="single" w:sz="4" w:space="0" w:color="auto"/>
            </w:tcBorders>
            <w:shd w:val="clear" w:color="auto" w:fill="FFFFFF"/>
            <w:vAlign w:val="center"/>
          </w:tcPr>
          <w:p w14:paraId="3535DB6A" w14:textId="77777777" w:rsidR="009802BD" w:rsidRPr="009802BD" w:rsidRDefault="009802BD" w:rsidP="009802BD">
            <w:pPr>
              <w:pStyle w:val="Body"/>
              <w:spacing w:after="0"/>
              <w:rPr>
                <w:rFonts w:ascii="Arial" w:hAnsi="Arial" w:cs="Arial"/>
              </w:rPr>
            </w:pPr>
            <w:r w:rsidRPr="009802BD">
              <w:rPr>
                <w:rFonts w:ascii="Arial" w:hAnsi="Arial" w:cs="Arial"/>
              </w:rPr>
              <w:t>.883</w:t>
            </w:r>
          </w:p>
        </w:tc>
        <w:tc>
          <w:tcPr>
            <w:tcW w:w="494" w:type="dxa"/>
            <w:tcBorders>
              <w:top w:val="single" w:sz="4" w:space="0" w:color="auto"/>
            </w:tcBorders>
            <w:shd w:val="clear" w:color="auto" w:fill="FFFFFF"/>
            <w:vAlign w:val="center"/>
          </w:tcPr>
          <w:p w14:paraId="6E2F3863"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tcBorders>
              <w:top w:val="single" w:sz="4" w:space="0" w:color="auto"/>
            </w:tcBorders>
            <w:shd w:val="clear" w:color="auto" w:fill="FFFFFF"/>
            <w:vAlign w:val="center"/>
          </w:tcPr>
          <w:p w14:paraId="249327BA" w14:textId="77777777" w:rsidR="009802BD" w:rsidRPr="009802BD" w:rsidRDefault="009802BD" w:rsidP="009802BD">
            <w:pPr>
              <w:pStyle w:val="Body"/>
              <w:spacing w:after="0"/>
              <w:rPr>
                <w:rFonts w:ascii="Arial" w:hAnsi="Arial" w:cs="Arial"/>
              </w:rPr>
            </w:pPr>
            <w:r w:rsidRPr="009802BD">
              <w:rPr>
                <w:rFonts w:ascii="Arial" w:hAnsi="Arial" w:cs="Arial"/>
              </w:rPr>
              <w:t>.442</w:t>
            </w:r>
          </w:p>
        </w:tc>
        <w:tc>
          <w:tcPr>
            <w:tcW w:w="851" w:type="dxa"/>
            <w:tcBorders>
              <w:top w:val="single" w:sz="4" w:space="0" w:color="auto"/>
            </w:tcBorders>
            <w:shd w:val="clear" w:color="auto" w:fill="FFFFFF"/>
            <w:vAlign w:val="center"/>
          </w:tcPr>
          <w:p w14:paraId="3C67C47E" w14:textId="77777777" w:rsidR="009802BD" w:rsidRPr="009802BD" w:rsidRDefault="009802BD" w:rsidP="009802BD">
            <w:pPr>
              <w:pStyle w:val="Body"/>
              <w:spacing w:after="0"/>
              <w:rPr>
                <w:rFonts w:ascii="Arial" w:hAnsi="Arial" w:cs="Arial"/>
              </w:rPr>
            </w:pPr>
            <w:r w:rsidRPr="009802BD">
              <w:rPr>
                <w:rFonts w:ascii="Arial" w:hAnsi="Arial" w:cs="Arial"/>
              </w:rPr>
              <w:t>1.576</w:t>
            </w:r>
          </w:p>
        </w:tc>
        <w:tc>
          <w:tcPr>
            <w:tcW w:w="567" w:type="dxa"/>
            <w:tcBorders>
              <w:top w:val="single" w:sz="4" w:space="0" w:color="auto"/>
            </w:tcBorders>
            <w:shd w:val="clear" w:color="auto" w:fill="FFFFFF"/>
            <w:vAlign w:val="center"/>
          </w:tcPr>
          <w:p w14:paraId="73E9D8E8" w14:textId="77777777" w:rsidR="009802BD" w:rsidRPr="009802BD" w:rsidRDefault="009802BD" w:rsidP="009802BD">
            <w:pPr>
              <w:pStyle w:val="Body"/>
              <w:spacing w:after="0"/>
              <w:rPr>
                <w:rFonts w:ascii="Arial" w:hAnsi="Arial" w:cs="Arial"/>
              </w:rPr>
            </w:pPr>
            <w:r w:rsidRPr="009802BD">
              <w:rPr>
                <w:rFonts w:ascii="Arial" w:hAnsi="Arial" w:cs="Arial"/>
              </w:rPr>
              <w:t>.210</w:t>
            </w:r>
          </w:p>
        </w:tc>
      </w:tr>
      <w:tr w:rsidR="009802BD" w:rsidRPr="009802BD" w14:paraId="6AACAF75" w14:textId="77777777" w:rsidTr="009802BD">
        <w:trPr>
          <w:cantSplit/>
        </w:trPr>
        <w:tc>
          <w:tcPr>
            <w:tcW w:w="1785" w:type="dxa"/>
            <w:vMerge/>
            <w:shd w:val="clear" w:color="auto" w:fill="FFFFFF"/>
          </w:tcPr>
          <w:p w14:paraId="60344359" w14:textId="77777777" w:rsidR="009802BD" w:rsidRPr="009802BD" w:rsidRDefault="009802BD" w:rsidP="009802BD">
            <w:pPr>
              <w:pStyle w:val="Body"/>
              <w:spacing w:after="0"/>
              <w:rPr>
                <w:rFonts w:ascii="Arial" w:hAnsi="Arial" w:cs="Arial"/>
              </w:rPr>
            </w:pPr>
          </w:p>
        </w:tc>
        <w:tc>
          <w:tcPr>
            <w:tcW w:w="1612" w:type="dxa"/>
            <w:shd w:val="clear" w:color="auto" w:fill="FFFFFF"/>
          </w:tcPr>
          <w:p w14:paraId="5008842C" w14:textId="77777777" w:rsidR="009802BD" w:rsidRPr="009802BD" w:rsidRDefault="009802BD" w:rsidP="009802BD">
            <w:pPr>
              <w:pStyle w:val="Body"/>
              <w:spacing w:after="0"/>
              <w:rPr>
                <w:rFonts w:ascii="Arial" w:hAnsi="Arial" w:cs="Arial"/>
              </w:rPr>
            </w:pPr>
            <w:r w:rsidRPr="009802BD">
              <w:rPr>
                <w:rFonts w:ascii="Arial" w:hAnsi="Arial" w:cs="Arial"/>
              </w:rPr>
              <w:t>Detection</w:t>
            </w:r>
          </w:p>
        </w:tc>
        <w:tc>
          <w:tcPr>
            <w:tcW w:w="1491" w:type="dxa"/>
            <w:shd w:val="clear" w:color="auto" w:fill="FFFFFF"/>
            <w:vAlign w:val="center"/>
          </w:tcPr>
          <w:p w14:paraId="71C379D4" w14:textId="77777777" w:rsidR="009802BD" w:rsidRPr="009802BD" w:rsidRDefault="009802BD" w:rsidP="009802BD">
            <w:pPr>
              <w:pStyle w:val="Body"/>
              <w:spacing w:after="0"/>
              <w:rPr>
                <w:rFonts w:ascii="Arial" w:hAnsi="Arial" w:cs="Arial"/>
              </w:rPr>
            </w:pPr>
            <w:r w:rsidRPr="009802BD">
              <w:rPr>
                <w:rFonts w:ascii="Arial" w:hAnsi="Arial" w:cs="Arial"/>
              </w:rPr>
              <w:t>1.488</w:t>
            </w:r>
          </w:p>
        </w:tc>
        <w:tc>
          <w:tcPr>
            <w:tcW w:w="494" w:type="dxa"/>
            <w:shd w:val="clear" w:color="auto" w:fill="FFFFFF"/>
            <w:vAlign w:val="center"/>
          </w:tcPr>
          <w:p w14:paraId="73259ECB"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shd w:val="clear" w:color="auto" w:fill="FFFFFF"/>
            <w:vAlign w:val="center"/>
          </w:tcPr>
          <w:p w14:paraId="0549B76D" w14:textId="77777777" w:rsidR="009802BD" w:rsidRPr="009802BD" w:rsidRDefault="009802BD" w:rsidP="009802BD">
            <w:pPr>
              <w:pStyle w:val="Body"/>
              <w:spacing w:after="0"/>
              <w:rPr>
                <w:rFonts w:ascii="Arial" w:hAnsi="Arial" w:cs="Arial"/>
              </w:rPr>
            </w:pPr>
            <w:r w:rsidRPr="009802BD">
              <w:rPr>
                <w:rFonts w:ascii="Arial" w:hAnsi="Arial" w:cs="Arial"/>
              </w:rPr>
              <w:t>.744</w:t>
            </w:r>
          </w:p>
        </w:tc>
        <w:tc>
          <w:tcPr>
            <w:tcW w:w="851" w:type="dxa"/>
            <w:shd w:val="clear" w:color="auto" w:fill="FFFFFF"/>
            <w:vAlign w:val="center"/>
          </w:tcPr>
          <w:p w14:paraId="780E96CD" w14:textId="77777777" w:rsidR="009802BD" w:rsidRPr="009802BD" w:rsidRDefault="009802BD" w:rsidP="009802BD">
            <w:pPr>
              <w:pStyle w:val="Body"/>
              <w:spacing w:after="0"/>
              <w:rPr>
                <w:rFonts w:ascii="Arial" w:hAnsi="Arial" w:cs="Arial"/>
              </w:rPr>
            </w:pPr>
            <w:r w:rsidRPr="009802BD">
              <w:rPr>
                <w:rFonts w:ascii="Arial" w:hAnsi="Arial" w:cs="Arial"/>
              </w:rPr>
              <w:t>3.170</w:t>
            </w:r>
          </w:p>
        </w:tc>
        <w:tc>
          <w:tcPr>
            <w:tcW w:w="567" w:type="dxa"/>
            <w:shd w:val="clear" w:color="auto" w:fill="FFFFFF"/>
            <w:vAlign w:val="center"/>
          </w:tcPr>
          <w:p w14:paraId="62BC3E3E" w14:textId="77777777" w:rsidR="009802BD" w:rsidRPr="009802BD" w:rsidRDefault="009802BD" w:rsidP="009802BD">
            <w:pPr>
              <w:pStyle w:val="Body"/>
              <w:spacing w:after="0"/>
              <w:rPr>
                <w:rFonts w:ascii="Arial" w:hAnsi="Arial" w:cs="Arial"/>
              </w:rPr>
            </w:pPr>
            <w:r w:rsidRPr="009802BD">
              <w:rPr>
                <w:rFonts w:ascii="Arial" w:hAnsi="Arial" w:cs="Arial"/>
              </w:rPr>
              <w:t>.045</w:t>
            </w:r>
          </w:p>
        </w:tc>
      </w:tr>
      <w:tr w:rsidR="009802BD" w:rsidRPr="009802BD" w14:paraId="72CE6DCF" w14:textId="77777777" w:rsidTr="009802BD">
        <w:trPr>
          <w:cantSplit/>
        </w:trPr>
        <w:tc>
          <w:tcPr>
            <w:tcW w:w="1785" w:type="dxa"/>
            <w:vMerge/>
            <w:shd w:val="clear" w:color="auto" w:fill="FFFFFF"/>
          </w:tcPr>
          <w:p w14:paraId="7DD3FAA9" w14:textId="77777777" w:rsidR="009802BD" w:rsidRPr="009802BD" w:rsidRDefault="009802BD" w:rsidP="009802BD">
            <w:pPr>
              <w:pStyle w:val="Body"/>
              <w:spacing w:after="0"/>
              <w:rPr>
                <w:rFonts w:ascii="Arial" w:hAnsi="Arial" w:cs="Arial"/>
              </w:rPr>
            </w:pPr>
          </w:p>
        </w:tc>
        <w:tc>
          <w:tcPr>
            <w:tcW w:w="1612" w:type="dxa"/>
            <w:shd w:val="clear" w:color="auto" w:fill="FFFFFF"/>
          </w:tcPr>
          <w:p w14:paraId="48441975" w14:textId="77777777" w:rsidR="009802BD" w:rsidRPr="009802BD" w:rsidRDefault="009802BD" w:rsidP="009802BD">
            <w:pPr>
              <w:pStyle w:val="Body"/>
              <w:spacing w:after="0"/>
              <w:rPr>
                <w:rFonts w:ascii="Arial" w:hAnsi="Arial" w:cs="Arial"/>
              </w:rPr>
            </w:pPr>
            <w:r w:rsidRPr="009802BD">
              <w:rPr>
                <w:rFonts w:ascii="Arial" w:hAnsi="Arial" w:cs="Arial"/>
              </w:rPr>
              <w:t>Investigation</w:t>
            </w:r>
          </w:p>
        </w:tc>
        <w:tc>
          <w:tcPr>
            <w:tcW w:w="1491" w:type="dxa"/>
            <w:shd w:val="clear" w:color="auto" w:fill="FFFFFF"/>
            <w:vAlign w:val="center"/>
          </w:tcPr>
          <w:p w14:paraId="77918547" w14:textId="77777777" w:rsidR="009802BD" w:rsidRPr="009802BD" w:rsidRDefault="009802BD" w:rsidP="009802BD">
            <w:pPr>
              <w:pStyle w:val="Body"/>
              <w:spacing w:after="0"/>
              <w:rPr>
                <w:rFonts w:ascii="Arial" w:hAnsi="Arial" w:cs="Arial"/>
              </w:rPr>
            </w:pPr>
            <w:r w:rsidRPr="009802BD">
              <w:rPr>
                <w:rFonts w:ascii="Arial" w:hAnsi="Arial" w:cs="Arial"/>
              </w:rPr>
              <w:t>1.249</w:t>
            </w:r>
          </w:p>
        </w:tc>
        <w:tc>
          <w:tcPr>
            <w:tcW w:w="494" w:type="dxa"/>
            <w:shd w:val="clear" w:color="auto" w:fill="FFFFFF"/>
            <w:vAlign w:val="center"/>
          </w:tcPr>
          <w:p w14:paraId="24B2E497"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shd w:val="clear" w:color="auto" w:fill="FFFFFF"/>
            <w:vAlign w:val="center"/>
          </w:tcPr>
          <w:p w14:paraId="7DF828A1" w14:textId="77777777" w:rsidR="009802BD" w:rsidRPr="009802BD" w:rsidRDefault="009802BD" w:rsidP="009802BD">
            <w:pPr>
              <w:pStyle w:val="Body"/>
              <w:spacing w:after="0"/>
              <w:rPr>
                <w:rFonts w:ascii="Arial" w:hAnsi="Arial" w:cs="Arial"/>
              </w:rPr>
            </w:pPr>
            <w:r w:rsidRPr="009802BD">
              <w:rPr>
                <w:rFonts w:ascii="Arial" w:hAnsi="Arial" w:cs="Arial"/>
              </w:rPr>
              <w:t>.625</w:t>
            </w:r>
          </w:p>
        </w:tc>
        <w:tc>
          <w:tcPr>
            <w:tcW w:w="851" w:type="dxa"/>
            <w:shd w:val="clear" w:color="auto" w:fill="FFFFFF"/>
            <w:vAlign w:val="center"/>
          </w:tcPr>
          <w:p w14:paraId="343B9609" w14:textId="77777777" w:rsidR="009802BD" w:rsidRPr="009802BD" w:rsidRDefault="009802BD" w:rsidP="009802BD">
            <w:pPr>
              <w:pStyle w:val="Body"/>
              <w:spacing w:after="0"/>
              <w:rPr>
                <w:rFonts w:ascii="Arial" w:hAnsi="Arial" w:cs="Arial"/>
              </w:rPr>
            </w:pPr>
            <w:r w:rsidRPr="009802BD">
              <w:rPr>
                <w:rFonts w:ascii="Arial" w:hAnsi="Arial" w:cs="Arial"/>
              </w:rPr>
              <w:t>3.531</w:t>
            </w:r>
          </w:p>
        </w:tc>
        <w:tc>
          <w:tcPr>
            <w:tcW w:w="567" w:type="dxa"/>
            <w:shd w:val="clear" w:color="auto" w:fill="FFFFFF"/>
            <w:vAlign w:val="center"/>
          </w:tcPr>
          <w:p w14:paraId="6CF7A052" w14:textId="77777777" w:rsidR="009802BD" w:rsidRPr="009802BD" w:rsidRDefault="009802BD" w:rsidP="009802BD">
            <w:pPr>
              <w:pStyle w:val="Body"/>
              <w:spacing w:after="0"/>
              <w:rPr>
                <w:rFonts w:ascii="Arial" w:hAnsi="Arial" w:cs="Arial"/>
              </w:rPr>
            </w:pPr>
            <w:r w:rsidRPr="009802BD">
              <w:rPr>
                <w:rFonts w:ascii="Arial" w:hAnsi="Arial" w:cs="Arial"/>
              </w:rPr>
              <w:t>.032</w:t>
            </w:r>
          </w:p>
        </w:tc>
      </w:tr>
      <w:tr w:rsidR="009802BD" w:rsidRPr="009802BD" w14:paraId="1AB3E1C4" w14:textId="77777777" w:rsidTr="009802BD">
        <w:trPr>
          <w:cantSplit/>
        </w:trPr>
        <w:tc>
          <w:tcPr>
            <w:tcW w:w="1785" w:type="dxa"/>
            <w:vMerge/>
            <w:shd w:val="clear" w:color="auto" w:fill="FFFFFF"/>
          </w:tcPr>
          <w:p w14:paraId="7457A07F" w14:textId="77777777" w:rsidR="009802BD" w:rsidRPr="009802BD" w:rsidRDefault="009802BD" w:rsidP="009802BD">
            <w:pPr>
              <w:pStyle w:val="Body"/>
              <w:spacing w:after="0"/>
              <w:rPr>
                <w:rFonts w:ascii="Arial" w:hAnsi="Arial" w:cs="Arial"/>
              </w:rPr>
            </w:pPr>
          </w:p>
        </w:tc>
        <w:tc>
          <w:tcPr>
            <w:tcW w:w="1612" w:type="dxa"/>
            <w:shd w:val="clear" w:color="auto" w:fill="FFFFFF"/>
          </w:tcPr>
          <w:p w14:paraId="60B5238B" w14:textId="77777777" w:rsidR="009802BD" w:rsidRPr="009802BD" w:rsidRDefault="009802BD" w:rsidP="009802BD">
            <w:pPr>
              <w:pStyle w:val="Body"/>
              <w:spacing w:after="0"/>
              <w:rPr>
                <w:rFonts w:ascii="Arial" w:hAnsi="Arial" w:cs="Arial"/>
              </w:rPr>
            </w:pPr>
            <w:r w:rsidRPr="009802BD">
              <w:rPr>
                <w:rFonts w:ascii="Arial" w:hAnsi="Arial" w:cs="Arial"/>
              </w:rPr>
              <w:t>Monitoring</w:t>
            </w:r>
          </w:p>
        </w:tc>
        <w:tc>
          <w:tcPr>
            <w:tcW w:w="1491" w:type="dxa"/>
            <w:shd w:val="clear" w:color="auto" w:fill="FFFFFF"/>
            <w:vAlign w:val="center"/>
          </w:tcPr>
          <w:p w14:paraId="20216BA2" w14:textId="77777777" w:rsidR="009802BD" w:rsidRPr="009802BD" w:rsidRDefault="009802BD" w:rsidP="009802BD">
            <w:pPr>
              <w:pStyle w:val="Body"/>
              <w:spacing w:after="0"/>
              <w:rPr>
                <w:rFonts w:ascii="Arial" w:hAnsi="Arial" w:cs="Arial"/>
              </w:rPr>
            </w:pPr>
            <w:r w:rsidRPr="009802BD">
              <w:rPr>
                <w:rFonts w:ascii="Arial" w:hAnsi="Arial" w:cs="Arial"/>
              </w:rPr>
              <w:t>1.403</w:t>
            </w:r>
          </w:p>
        </w:tc>
        <w:tc>
          <w:tcPr>
            <w:tcW w:w="494" w:type="dxa"/>
            <w:shd w:val="clear" w:color="auto" w:fill="FFFFFF"/>
            <w:vAlign w:val="center"/>
          </w:tcPr>
          <w:p w14:paraId="3D2ADB0D"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shd w:val="clear" w:color="auto" w:fill="FFFFFF"/>
            <w:vAlign w:val="center"/>
          </w:tcPr>
          <w:p w14:paraId="30225A37" w14:textId="77777777" w:rsidR="009802BD" w:rsidRPr="009802BD" w:rsidRDefault="009802BD" w:rsidP="009802BD">
            <w:pPr>
              <w:pStyle w:val="Body"/>
              <w:spacing w:after="0"/>
              <w:rPr>
                <w:rFonts w:ascii="Arial" w:hAnsi="Arial" w:cs="Arial"/>
              </w:rPr>
            </w:pPr>
            <w:r w:rsidRPr="009802BD">
              <w:rPr>
                <w:rFonts w:ascii="Arial" w:hAnsi="Arial" w:cs="Arial"/>
              </w:rPr>
              <w:t>.702</w:t>
            </w:r>
          </w:p>
        </w:tc>
        <w:tc>
          <w:tcPr>
            <w:tcW w:w="851" w:type="dxa"/>
            <w:shd w:val="clear" w:color="auto" w:fill="FFFFFF"/>
            <w:vAlign w:val="center"/>
          </w:tcPr>
          <w:p w14:paraId="30EBB750" w14:textId="77777777" w:rsidR="009802BD" w:rsidRPr="009802BD" w:rsidRDefault="009802BD" w:rsidP="009802BD">
            <w:pPr>
              <w:pStyle w:val="Body"/>
              <w:spacing w:after="0"/>
              <w:rPr>
                <w:rFonts w:ascii="Arial" w:hAnsi="Arial" w:cs="Arial"/>
              </w:rPr>
            </w:pPr>
            <w:r w:rsidRPr="009802BD">
              <w:rPr>
                <w:rFonts w:ascii="Arial" w:hAnsi="Arial" w:cs="Arial"/>
              </w:rPr>
              <w:t>3.535</w:t>
            </w:r>
          </w:p>
        </w:tc>
        <w:tc>
          <w:tcPr>
            <w:tcW w:w="567" w:type="dxa"/>
            <w:shd w:val="clear" w:color="auto" w:fill="FFFFFF"/>
            <w:vAlign w:val="center"/>
          </w:tcPr>
          <w:p w14:paraId="5DE44EE7" w14:textId="77777777" w:rsidR="009802BD" w:rsidRPr="009802BD" w:rsidRDefault="009802BD" w:rsidP="009802BD">
            <w:pPr>
              <w:pStyle w:val="Body"/>
              <w:spacing w:after="0"/>
              <w:rPr>
                <w:rFonts w:ascii="Arial" w:hAnsi="Arial" w:cs="Arial"/>
              </w:rPr>
            </w:pPr>
            <w:r w:rsidRPr="009802BD">
              <w:rPr>
                <w:rFonts w:ascii="Arial" w:hAnsi="Arial" w:cs="Arial"/>
              </w:rPr>
              <w:t>.031</w:t>
            </w:r>
          </w:p>
        </w:tc>
      </w:tr>
      <w:tr w:rsidR="009802BD" w:rsidRPr="009802BD" w14:paraId="5D17C500" w14:textId="77777777" w:rsidTr="009802BD">
        <w:trPr>
          <w:cantSplit/>
        </w:trPr>
        <w:tc>
          <w:tcPr>
            <w:tcW w:w="8076" w:type="dxa"/>
            <w:gridSpan w:val="7"/>
            <w:shd w:val="clear" w:color="auto" w:fill="FFFFFF"/>
          </w:tcPr>
          <w:p w14:paraId="01E8DA9F" w14:textId="77777777" w:rsidR="009802BD" w:rsidRPr="009802BD" w:rsidRDefault="009802BD" w:rsidP="009802BD">
            <w:pPr>
              <w:pStyle w:val="Body"/>
              <w:spacing w:after="0"/>
              <w:rPr>
                <w:rFonts w:ascii="Arial" w:hAnsi="Arial" w:cs="Arial"/>
              </w:rPr>
            </w:pPr>
            <w:r w:rsidRPr="009802BD">
              <w:rPr>
                <w:rFonts w:ascii="Arial" w:hAnsi="Arial" w:cs="Arial"/>
              </w:rPr>
              <w:t>R Squared = ,039 (Adjusted R Squared = ,026)</w:t>
            </w:r>
          </w:p>
        </w:tc>
      </w:tr>
    </w:tbl>
    <w:p w14:paraId="73ED7687" w14:textId="77777777" w:rsidR="009802BD" w:rsidRPr="009802BD" w:rsidRDefault="009802BD" w:rsidP="009802BD">
      <w:pPr>
        <w:pStyle w:val="Body"/>
        <w:spacing w:after="0"/>
        <w:rPr>
          <w:rFonts w:ascii="Arial" w:hAnsi="Arial" w:cs="Arial"/>
        </w:rPr>
      </w:pPr>
    </w:p>
    <w:p w14:paraId="77E90E9A" w14:textId="3FBD6555" w:rsidR="009802BD" w:rsidRPr="009802BD" w:rsidRDefault="009802BD" w:rsidP="009802BD">
      <w:pPr>
        <w:pStyle w:val="Body"/>
        <w:spacing w:after="0"/>
        <w:rPr>
          <w:rFonts w:ascii="Arial" w:hAnsi="Arial" w:cs="Arial"/>
        </w:rPr>
      </w:pPr>
      <w:r w:rsidRPr="009802BD">
        <w:rPr>
          <w:rFonts w:ascii="Arial" w:hAnsi="Arial" w:cs="Arial"/>
        </w:rPr>
        <w:t xml:space="preserve">To ensure the assumption of variance homogeneity in ANOVA analysis, a Levene test is conducted for each dependent variable. The test results in Table </w:t>
      </w:r>
      <w:r>
        <w:rPr>
          <w:rFonts w:ascii="Arial" w:hAnsi="Arial" w:cs="Arial"/>
        </w:rPr>
        <w:t>4</w:t>
      </w:r>
      <w:r w:rsidRPr="009802BD">
        <w:rPr>
          <w:rFonts w:ascii="Arial" w:hAnsi="Arial" w:cs="Arial"/>
        </w:rPr>
        <w:t xml:space="preserve"> indicate that three of the four variables —prevention (p = 0.038), detection (p = 0.005), and investigation (p = 0.015) —do not meet the assumptions of homogeneity, as the significance values are below the threshold of 0.05. Only monitoring variables that meet the assumptions of variance homogeneity (p = 0.061). Based on this condition, the selection of the Post Hoc method using the games approach is considered the most appropriate, as this method does not require the same variance and is suitable for use when group distributions are not balanced.</w:t>
      </w:r>
    </w:p>
    <w:p w14:paraId="42E229FF" w14:textId="77777777" w:rsidR="009802BD" w:rsidRPr="009802BD" w:rsidRDefault="009802BD" w:rsidP="009802BD">
      <w:pPr>
        <w:pStyle w:val="Body"/>
        <w:spacing w:after="0"/>
        <w:rPr>
          <w:rFonts w:ascii="Arial" w:hAnsi="Arial" w:cs="Arial"/>
        </w:rPr>
      </w:pPr>
    </w:p>
    <w:p w14:paraId="797205CF" w14:textId="3F0CACD6" w:rsidR="009802BD" w:rsidRPr="00F24388" w:rsidRDefault="009802BD" w:rsidP="009802BD">
      <w:pPr>
        <w:pStyle w:val="Body"/>
        <w:spacing w:after="0"/>
        <w:rPr>
          <w:rFonts w:ascii="Arial" w:hAnsi="Arial" w:cs="Arial"/>
          <w:b/>
          <w:bCs/>
        </w:rPr>
      </w:pPr>
      <w:r w:rsidRPr="00F24388">
        <w:rPr>
          <w:rFonts w:ascii="Arial" w:hAnsi="Arial" w:cs="Arial"/>
          <w:b/>
          <w:bCs/>
        </w:rPr>
        <w:t>Tabel 4. Levene's Test of Equality of Error Variance</w:t>
      </w:r>
    </w:p>
    <w:tbl>
      <w:tblPr>
        <w:tblW w:w="6755" w:type="dxa"/>
        <w:tblLayout w:type="fixed"/>
        <w:tblCellMar>
          <w:left w:w="0" w:type="dxa"/>
          <w:right w:w="0" w:type="dxa"/>
        </w:tblCellMar>
        <w:tblLook w:val="0000" w:firstRow="0" w:lastRow="0" w:firstColumn="0" w:lastColumn="0" w:noHBand="0" w:noVBand="0"/>
      </w:tblPr>
      <w:tblGrid>
        <w:gridCol w:w="2694"/>
        <w:gridCol w:w="1014"/>
        <w:gridCol w:w="1014"/>
        <w:gridCol w:w="1014"/>
        <w:gridCol w:w="1019"/>
      </w:tblGrid>
      <w:tr w:rsidR="009802BD" w:rsidRPr="009802BD" w14:paraId="2F74C2D5" w14:textId="77777777" w:rsidTr="00F24388">
        <w:trPr>
          <w:cantSplit/>
        </w:trPr>
        <w:tc>
          <w:tcPr>
            <w:tcW w:w="2694" w:type="dxa"/>
            <w:tcBorders>
              <w:top w:val="single" w:sz="4" w:space="0" w:color="auto"/>
              <w:bottom w:val="single" w:sz="4" w:space="0" w:color="auto"/>
            </w:tcBorders>
            <w:shd w:val="clear" w:color="auto" w:fill="FFFFFF"/>
            <w:vAlign w:val="bottom"/>
          </w:tcPr>
          <w:p w14:paraId="2655BECD" w14:textId="5CA02139" w:rsidR="009802BD" w:rsidRPr="009802BD" w:rsidRDefault="00F24388" w:rsidP="009802BD">
            <w:pPr>
              <w:pStyle w:val="Body"/>
              <w:spacing w:after="0"/>
              <w:rPr>
                <w:rFonts w:ascii="Arial" w:hAnsi="Arial" w:cs="Arial"/>
              </w:rPr>
            </w:pPr>
            <w:r>
              <w:rPr>
                <w:rFonts w:ascii="Arial" w:hAnsi="Arial" w:cs="Arial"/>
              </w:rPr>
              <w:t>Dependent Variable</w:t>
            </w:r>
          </w:p>
        </w:tc>
        <w:tc>
          <w:tcPr>
            <w:tcW w:w="1014" w:type="dxa"/>
            <w:tcBorders>
              <w:top w:val="single" w:sz="4" w:space="0" w:color="auto"/>
              <w:bottom w:val="single" w:sz="4" w:space="0" w:color="auto"/>
            </w:tcBorders>
            <w:shd w:val="clear" w:color="auto" w:fill="FFFFFF"/>
            <w:vAlign w:val="bottom"/>
          </w:tcPr>
          <w:p w14:paraId="428587D4" w14:textId="77777777" w:rsidR="009802BD" w:rsidRPr="009802BD" w:rsidRDefault="009802BD" w:rsidP="009802BD">
            <w:pPr>
              <w:pStyle w:val="Body"/>
              <w:spacing w:after="0"/>
              <w:rPr>
                <w:rFonts w:ascii="Arial" w:hAnsi="Arial" w:cs="Arial"/>
              </w:rPr>
            </w:pPr>
            <w:r w:rsidRPr="009802BD">
              <w:rPr>
                <w:rFonts w:ascii="Arial" w:hAnsi="Arial" w:cs="Arial"/>
              </w:rPr>
              <w:t>F</w:t>
            </w:r>
          </w:p>
        </w:tc>
        <w:tc>
          <w:tcPr>
            <w:tcW w:w="1014" w:type="dxa"/>
            <w:tcBorders>
              <w:top w:val="single" w:sz="4" w:space="0" w:color="auto"/>
              <w:bottom w:val="single" w:sz="4" w:space="0" w:color="auto"/>
            </w:tcBorders>
            <w:shd w:val="clear" w:color="auto" w:fill="FFFFFF"/>
            <w:vAlign w:val="bottom"/>
          </w:tcPr>
          <w:p w14:paraId="17B8A330" w14:textId="77777777" w:rsidR="009802BD" w:rsidRPr="009802BD" w:rsidRDefault="009802BD" w:rsidP="009802BD">
            <w:pPr>
              <w:pStyle w:val="Body"/>
              <w:spacing w:after="0"/>
              <w:rPr>
                <w:rFonts w:ascii="Arial" w:hAnsi="Arial" w:cs="Arial"/>
              </w:rPr>
            </w:pPr>
            <w:r w:rsidRPr="009802BD">
              <w:rPr>
                <w:rFonts w:ascii="Arial" w:hAnsi="Arial" w:cs="Arial"/>
              </w:rPr>
              <w:t>df1</w:t>
            </w:r>
          </w:p>
        </w:tc>
        <w:tc>
          <w:tcPr>
            <w:tcW w:w="1014" w:type="dxa"/>
            <w:tcBorders>
              <w:top w:val="single" w:sz="4" w:space="0" w:color="auto"/>
              <w:bottom w:val="single" w:sz="4" w:space="0" w:color="auto"/>
            </w:tcBorders>
            <w:shd w:val="clear" w:color="auto" w:fill="FFFFFF"/>
            <w:vAlign w:val="bottom"/>
          </w:tcPr>
          <w:p w14:paraId="215933BE" w14:textId="77777777" w:rsidR="009802BD" w:rsidRPr="009802BD" w:rsidRDefault="009802BD" w:rsidP="009802BD">
            <w:pPr>
              <w:pStyle w:val="Body"/>
              <w:spacing w:after="0"/>
              <w:rPr>
                <w:rFonts w:ascii="Arial" w:hAnsi="Arial" w:cs="Arial"/>
              </w:rPr>
            </w:pPr>
            <w:r w:rsidRPr="009802BD">
              <w:rPr>
                <w:rFonts w:ascii="Arial" w:hAnsi="Arial" w:cs="Arial"/>
              </w:rPr>
              <w:t>df2</w:t>
            </w:r>
          </w:p>
        </w:tc>
        <w:tc>
          <w:tcPr>
            <w:tcW w:w="1019" w:type="dxa"/>
            <w:tcBorders>
              <w:top w:val="single" w:sz="4" w:space="0" w:color="auto"/>
              <w:bottom w:val="single" w:sz="4" w:space="0" w:color="auto"/>
            </w:tcBorders>
            <w:shd w:val="clear" w:color="auto" w:fill="FFFFFF"/>
            <w:vAlign w:val="bottom"/>
          </w:tcPr>
          <w:p w14:paraId="7622C88D" w14:textId="77777777" w:rsidR="009802BD" w:rsidRPr="009802BD" w:rsidRDefault="009802BD" w:rsidP="009802BD">
            <w:pPr>
              <w:pStyle w:val="Body"/>
              <w:spacing w:after="0"/>
              <w:rPr>
                <w:rFonts w:ascii="Arial" w:hAnsi="Arial" w:cs="Arial"/>
              </w:rPr>
            </w:pPr>
            <w:r w:rsidRPr="009802BD">
              <w:rPr>
                <w:rFonts w:ascii="Arial" w:hAnsi="Arial" w:cs="Arial"/>
              </w:rPr>
              <w:t>Sig.</w:t>
            </w:r>
          </w:p>
        </w:tc>
      </w:tr>
      <w:tr w:rsidR="009802BD" w:rsidRPr="009802BD" w14:paraId="2CC87935" w14:textId="77777777" w:rsidTr="00F24388">
        <w:trPr>
          <w:cantSplit/>
        </w:trPr>
        <w:tc>
          <w:tcPr>
            <w:tcW w:w="2694" w:type="dxa"/>
            <w:tcBorders>
              <w:top w:val="single" w:sz="4" w:space="0" w:color="auto"/>
            </w:tcBorders>
            <w:shd w:val="clear" w:color="auto" w:fill="FFFFFF"/>
          </w:tcPr>
          <w:p w14:paraId="2D6337BA" w14:textId="77777777" w:rsidR="009802BD" w:rsidRPr="009802BD" w:rsidRDefault="009802BD" w:rsidP="009802BD">
            <w:pPr>
              <w:pStyle w:val="Body"/>
              <w:spacing w:after="0"/>
              <w:rPr>
                <w:rFonts w:ascii="Arial" w:hAnsi="Arial" w:cs="Arial"/>
              </w:rPr>
            </w:pPr>
            <w:r w:rsidRPr="009802BD">
              <w:rPr>
                <w:rFonts w:ascii="Arial" w:hAnsi="Arial" w:cs="Arial"/>
              </w:rPr>
              <w:t>Prevention</w:t>
            </w:r>
          </w:p>
        </w:tc>
        <w:tc>
          <w:tcPr>
            <w:tcW w:w="1014" w:type="dxa"/>
            <w:tcBorders>
              <w:top w:val="single" w:sz="4" w:space="0" w:color="auto"/>
            </w:tcBorders>
            <w:shd w:val="clear" w:color="auto" w:fill="FFFFFF"/>
            <w:vAlign w:val="center"/>
          </w:tcPr>
          <w:p w14:paraId="525DA5F3" w14:textId="77777777" w:rsidR="009802BD" w:rsidRPr="009802BD" w:rsidRDefault="009802BD" w:rsidP="009802BD">
            <w:pPr>
              <w:pStyle w:val="Body"/>
              <w:spacing w:after="0"/>
              <w:rPr>
                <w:rFonts w:ascii="Arial" w:hAnsi="Arial" w:cs="Arial"/>
              </w:rPr>
            </w:pPr>
            <w:r w:rsidRPr="009802BD">
              <w:rPr>
                <w:rFonts w:ascii="Arial" w:hAnsi="Arial" w:cs="Arial"/>
              </w:rPr>
              <w:t>3.350</w:t>
            </w:r>
          </w:p>
        </w:tc>
        <w:tc>
          <w:tcPr>
            <w:tcW w:w="1014" w:type="dxa"/>
            <w:tcBorders>
              <w:top w:val="single" w:sz="4" w:space="0" w:color="auto"/>
            </w:tcBorders>
            <w:shd w:val="clear" w:color="auto" w:fill="FFFFFF"/>
            <w:vAlign w:val="center"/>
          </w:tcPr>
          <w:p w14:paraId="6DB42AC6"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tcBorders>
              <w:top w:val="single" w:sz="4" w:space="0" w:color="auto"/>
            </w:tcBorders>
            <w:shd w:val="clear" w:color="auto" w:fill="FFFFFF"/>
            <w:vAlign w:val="center"/>
          </w:tcPr>
          <w:p w14:paraId="33D9E36B"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tcBorders>
              <w:top w:val="single" w:sz="4" w:space="0" w:color="auto"/>
            </w:tcBorders>
            <w:shd w:val="clear" w:color="auto" w:fill="FFFFFF"/>
            <w:vAlign w:val="center"/>
          </w:tcPr>
          <w:p w14:paraId="48F65284" w14:textId="77777777" w:rsidR="009802BD" w:rsidRPr="009802BD" w:rsidRDefault="009802BD" w:rsidP="009802BD">
            <w:pPr>
              <w:pStyle w:val="Body"/>
              <w:spacing w:after="0"/>
              <w:rPr>
                <w:rFonts w:ascii="Arial" w:hAnsi="Arial" w:cs="Arial"/>
              </w:rPr>
            </w:pPr>
            <w:r w:rsidRPr="009802BD">
              <w:rPr>
                <w:rFonts w:ascii="Arial" w:hAnsi="Arial" w:cs="Arial"/>
              </w:rPr>
              <w:t>.038</w:t>
            </w:r>
          </w:p>
        </w:tc>
      </w:tr>
      <w:tr w:rsidR="009802BD" w:rsidRPr="009802BD" w14:paraId="253D247B" w14:textId="77777777" w:rsidTr="00F24388">
        <w:trPr>
          <w:cantSplit/>
        </w:trPr>
        <w:tc>
          <w:tcPr>
            <w:tcW w:w="2694" w:type="dxa"/>
            <w:shd w:val="clear" w:color="auto" w:fill="FFFFFF"/>
          </w:tcPr>
          <w:p w14:paraId="21DEA545" w14:textId="77777777" w:rsidR="009802BD" w:rsidRPr="009802BD" w:rsidRDefault="009802BD" w:rsidP="009802BD">
            <w:pPr>
              <w:pStyle w:val="Body"/>
              <w:spacing w:after="0"/>
              <w:rPr>
                <w:rFonts w:ascii="Arial" w:hAnsi="Arial" w:cs="Arial"/>
              </w:rPr>
            </w:pPr>
            <w:r w:rsidRPr="009802BD">
              <w:rPr>
                <w:rFonts w:ascii="Arial" w:hAnsi="Arial" w:cs="Arial"/>
              </w:rPr>
              <w:t>Detection</w:t>
            </w:r>
          </w:p>
        </w:tc>
        <w:tc>
          <w:tcPr>
            <w:tcW w:w="1014" w:type="dxa"/>
            <w:shd w:val="clear" w:color="auto" w:fill="FFFFFF"/>
            <w:vAlign w:val="center"/>
          </w:tcPr>
          <w:p w14:paraId="757718B0" w14:textId="77777777" w:rsidR="009802BD" w:rsidRPr="009802BD" w:rsidRDefault="009802BD" w:rsidP="009802BD">
            <w:pPr>
              <w:pStyle w:val="Body"/>
              <w:spacing w:after="0"/>
              <w:rPr>
                <w:rFonts w:ascii="Arial" w:hAnsi="Arial" w:cs="Arial"/>
              </w:rPr>
            </w:pPr>
            <w:r w:rsidRPr="009802BD">
              <w:rPr>
                <w:rFonts w:ascii="Arial" w:hAnsi="Arial" w:cs="Arial"/>
              </w:rPr>
              <w:t>5.547</w:t>
            </w:r>
          </w:p>
        </w:tc>
        <w:tc>
          <w:tcPr>
            <w:tcW w:w="1014" w:type="dxa"/>
            <w:shd w:val="clear" w:color="auto" w:fill="FFFFFF"/>
            <w:vAlign w:val="center"/>
          </w:tcPr>
          <w:p w14:paraId="74FB02DB"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shd w:val="clear" w:color="auto" w:fill="FFFFFF"/>
            <w:vAlign w:val="center"/>
          </w:tcPr>
          <w:p w14:paraId="5CA9938D"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shd w:val="clear" w:color="auto" w:fill="FFFFFF"/>
            <w:vAlign w:val="center"/>
          </w:tcPr>
          <w:p w14:paraId="708E7C22" w14:textId="77777777" w:rsidR="009802BD" w:rsidRPr="009802BD" w:rsidRDefault="009802BD" w:rsidP="009802BD">
            <w:pPr>
              <w:pStyle w:val="Body"/>
              <w:spacing w:after="0"/>
              <w:rPr>
                <w:rFonts w:ascii="Arial" w:hAnsi="Arial" w:cs="Arial"/>
              </w:rPr>
            </w:pPr>
            <w:r w:rsidRPr="009802BD">
              <w:rPr>
                <w:rFonts w:ascii="Arial" w:hAnsi="Arial" w:cs="Arial"/>
              </w:rPr>
              <w:t>.005</w:t>
            </w:r>
          </w:p>
        </w:tc>
      </w:tr>
      <w:tr w:rsidR="009802BD" w:rsidRPr="009802BD" w14:paraId="37FCBFC6" w14:textId="77777777" w:rsidTr="00F24388">
        <w:trPr>
          <w:cantSplit/>
        </w:trPr>
        <w:tc>
          <w:tcPr>
            <w:tcW w:w="2694" w:type="dxa"/>
            <w:shd w:val="clear" w:color="auto" w:fill="FFFFFF"/>
          </w:tcPr>
          <w:p w14:paraId="35AD4D8A" w14:textId="77777777" w:rsidR="009802BD" w:rsidRPr="009802BD" w:rsidRDefault="009802BD" w:rsidP="009802BD">
            <w:pPr>
              <w:pStyle w:val="Body"/>
              <w:spacing w:after="0"/>
              <w:rPr>
                <w:rFonts w:ascii="Arial" w:hAnsi="Arial" w:cs="Arial"/>
              </w:rPr>
            </w:pPr>
            <w:r w:rsidRPr="009802BD">
              <w:rPr>
                <w:rFonts w:ascii="Arial" w:hAnsi="Arial" w:cs="Arial"/>
              </w:rPr>
              <w:t>Investigation</w:t>
            </w:r>
          </w:p>
        </w:tc>
        <w:tc>
          <w:tcPr>
            <w:tcW w:w="1014" w:type="dxa"/>
            <w:shd w:val="clear" w:color="auto" w:fill="FFFFFF"/>
            <w:vAlign w:val="center"/>
          </w:tcPr>
          <w:p w14:paraId="54846C37" w14:textId="77777777" w:rsidR="009802BD" w:rsidRPr="009802BD" w:rsidRDefault="009802BD" w:rsidP="009802BD">
            <w:pPr>
              <w:pStyle w:val="Body"/>
              <w:spacing w:after="0"/>
              <w:rPr>
                <w:rFonts w:ascii="Arial" w:hAnsi="Arial" w:cs="Arial"/>
              </w:rPr>
            </w:pPr>
            <w:r w:rsidRPr="009802BD">
              <w:rPr>
                <w:rFonts w:ascii="Arial" w:hAnsi="Arial" w:cs="Arial"/>
              </w:rPr>
              <w:t>4.341</w:t>
            </w:r>
          </w:p>
        </w:tc>
        <w:tc>
          <w:tcPr>
            <w:tcW w:w="1014" w:type="dxa"/>
            <w:shd w:val="clear" w:color="auto" w:fill="FFFFFF"/>
            <w:vAlign w:val="center"/>
          </w:tcPr>
          <w:p w14:paraId="773865F3"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shd w:val="clear" w:color="auto" w:fill="FFFFFF"/>
            <w:vAlign w:val="center"/>
          </w:tcPr>
          <w:p w14:paraId="49AC11AA"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shd w:val="clear" w:color="auto" w:fill="FFFFFF"/>
            <w:vAlign w:val="center"/>
          </w:tcPr>
          <w:p w14:paraId="692E804C" w14:textId="77777777" w:rsidR="009802BD" w:rsidRPr="009802BD" w:rsidRDefault="009802BD" w:rsidP="009802BD">
            <w:pPr>
              <w:pStyle w:val="Body"/>
              <w:spacing w:after="0"/>
              <w:rPr>
                <w:rFonts w:ascii="Arial" w:hAnsi="Arial" w:cs="Arial"/>
              </w:rPr>
            </w:pPr>
            <w:r w:rsidRPr="009802BD">
              <w:rPr>
                <w:rFonts w:ascii="Arial" w:hAnsi="Arial" w:cs="Arial"/>
              </w:rPr>
              <w:t>.015</w:t>
            </w:r>
          </w:p>
        </w:tc>
      </w:tr>
      <w:tr w:rsidR="009802BD" w:rsidRPr="009802BD" w14:paraId="75B13D43" w14:textId="77777777" w:rsidTr="00F24388">
        <w:trPr>
          <w:cantSplit/>
        </w:trPr>
        <w:tc>
          <w:tcPr>
            <w:tcW w:w="2694" w:type="dxa"/>
            <w:tcBorders>
              <w:bottom w:val="single" w:sz="4" w:space="0" w:color="auto"/>
            </w:tcBorders>
            <w:shd w:val="clear" w:color="auto" w:fill="FFFFFF"/>
          </w:tcPr>
          <w:p w14:paraId="7655D270" w14:textId="77777777" w:rsidR="009802BD" w:rsidRPr="009802BD" w:rsidRDefault="009802BD" w:rsidP="009802BD">
            <w:pPr>
              <w:pStyle w:val="Body"/>
              <w:spacing w:after="0"/>
              <w:rPr>
                <w:rFonts w:ascii="Arial" w:hAnsi="Arial" w:cs="Arial"/>
              </w:rPr>
            </w:pPr>
            <w:r w:rsidRPr="009802BD">
              <w:rPr>
                <w:rFonts w:ascii="Arial" w:hAnsi="Arial" w:cs="Arial"/>
              </w:rPr>
              <w:t>Monitoring</w:t>
            </w:r>
          </w:p>
        </w:tc>
        <w:tc>
          <w:tcPr>
            <w:tcW w:w="1014" w:type="dxa"/>
            <w:tcBorders>
              <w:bottom w:val="single" w:sz="4" w:space="0" w:color="auto"/>
            </w:tcBorders>
            <w:shd w:val="clear" w:color="auto" w:fill="FFFFFF"/>
            <w:vAlign w:val="center"/>
          </w:tcPr>
          <w:p w14:paraId="557705C7" w14:textId="77777777" w:rsidR="009802BD" w:rsidRPr="009802BD" w:rsidRDefault="009802BD" w:rsidP="009802BD">
            <w:pPr>
              <w:pStyle w:val="Body"/>
              <w:spacing w:after="0"/>
              <w:rPr>
                <w:rFonts w:ascii="Arial" w:hAnsi="Arial" w:cs="Arial"/>
              </w:rPr>
            </w:pPr>
            <w:r w:rsidRPr="009802BD">
              <w:rPr>
                <w:rFonts w:ascii="Arial" w:hAnsi="Arial" w:cs="Arial"/>
              </w:rPr>
              <w:t>2.849</w:t>
            </w:r>
          </w:p>
        </w:tc>
        <w:tc>
          <w:tcPr>
            <w:tcW w:w="1014" w:type="dxa"/>
            <w:tcBorders>
              <w:bottom w:val="single" w:sz="4" w:space="0" w:color="auto"/>
            </w:tcBorders>
            <w:shd w:val="clear" w:color="auto" w:fill="FFFFFF"/>
            <w:vAlign w:val="center"/>
          </w:tcPr>
          <w:p w14:paraId="52257D22"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tcBorders>
              <w:bottom w:val="single" w:sz="4" w:space="0" w:color="auto"/>
            </w:tcBorders>
            <w:shd w:val="clear" w:color="auto" w:fill="FFFFFF"/>
            <w:vAlign w:val="center"/>
          </w:tcPr>
          <w:p w14:paraId="033E5307"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tcBorders>
              <w:bottom w:val="single" w:sz="4" w:space="0" w:color="auto"/>
            </w:tcBorders>
            <w:shd w:val="clear" w:color="auto" w:fill="FFFFFF"/>
            <w:vAlign w:val="center"/>
          </w:tcPr>
          <w:p w14:paraId="0903E693" w14:textId="77777777" w:rsidR="009802BD" w:rsidRPr="009802BD" w:rsidRDefault="009802BD" w:rsidP="009802BD">
            <w:pPr>
              <w:pStyle w:val="Body"/>
              <w:spacing w:after="0"/>
              <w:rPr>
                <w:rFonts w:ascii="Arial" w:hAnsi="Arial" w:cs="Arial"/>
              </w:rPr>
            </w:pPr>
            <w:r w:rsidRPr="009802BD">
              <w:rPr>
                <w:rFonts w:ascii="Arial" w:hAnsi="Arial" w:cs="Arial"/>
              </w:rPr>
              <w:t>.061</w:t>
            </w:r>
          </w:p>
        </w:tc>
      </w:tr>
    </w:tbl>
    <w:p w14:paraId="2B883C73" w14:textId="77777777" w:rsidR="009802BD" w:rsidRPr="009802BD" w:rsidRDefault="009802BD" w:rsidP="009802BD">
      <w:pPr>
        <w:pStyle w:val="Body"/>
        <w:spacing w:after="0"/>
        <w:rPr>
          <w:rFonts w:ascii="Arial" w:hAnsi="Arial" w:cs="Arial"/>
        </w:rPr>
      </w:pPr>
    </w:p>
    <w:p w14:paraId="2483E1EB" w14:textId="77777777" w:rsidR="009802BD" w:rsidRDefault="009802BD" w:rsidP="009802BD">
      <w:pPr>
        <w:pStyle w:val="Body"/>
        <w:spacing w:after="0"/>
        <w:rPr>
          <w:rFonts w:ascii="Arial" w:hAnsi="Arial" w:cs="Arial"/>
        </w:rPr>
      </w:pPr>
      <w:r w:rsidRPr="009802BD">
        <w:rPr>
          <w:rFonts w:ascii="Arial" w:hAnsi="Arial" w:cs="Arial"/>
        </w:rPr>
        <w:t>The results of further analysis using the Post Hoc Games-Howell test in Table 4 showed a difference in the perception of the Fraud Prevention Strategy based on the academic status of respondents, which consisted of students, lecturers, and education personnel. Although there was no significant difference in the prevention dimension among the three groups (P &gt; 0.05), further analysis revealed that lecturers tended to have higher perceptions than the other groups, although this difference was not statistically significant. In the detection dimension, a significant difference was found between students and lecturers (p = 0.002), where lecturers showed a higher perception of the effectiveness of procedures and ability to detect potential fraud. Meanwhile, there was no significant difference between students and education personnel or between education staff and lecturers.</w:t>
      </w:r>
    </w:p>
    <w:p w14:paraId="57801619" w14:textId="77777777" w:rsidR="009802BD" w:rsidRPr="009802BD" w:rsidRDefault="009802BD" w:rsidP="009802BD">
      <w:pPr>
        <w:pStyle w:val="Body"/>
        <w:spacing w:after="0"/>
        <w:rPr>
          <w:rFonts w:ascii="Arial" w:hAnsi="Arial" w:cs="Arial"/>
        </w:rPr>
      </w:pPr>
    </w:p>
    <w:p w14:paraId="727EBB8D" w14:textId="77777777" w:rsidR="009802BD" w:rsidRPr="009802BD" w:rsidRDefault="009802BD" w:rsidP="009802BD">
      <w:pPr>
        <w:pStyle w:val="Body"/>
        <w:spacing w:after="0"/>
        <w:rPr>
          <w:rFonts w:ascii="Arial" w:hAnsi="Arial" w:cs="Arial"/>
        </w:rPr>
      </w:pPr>
      <w:r w:rsidRPr="009802BD">
        <w:rPr>
          <w:rFonts w:ascii="Arial" w:hAnsi="Arial" w:cs="Arial"/>
        </w:rPr>
        <w:t xml:space="preserve">Similar findings were observed in the investigation dimension, where significant differences re-emerged between students and lecturers (p = 0.012). The lecturer consistently shows a higher level of understanding and attention to the reporting and investigation of fraud than the students. Educational staff occupy the middle position, but the difference between students and lecturers is not statistically significant. The same pattern was observed in the monitoring dimension, where significant differences were found between students and lecturers (p = 0.006), with lecturers exhibiting higher perceptions of aspects related to supervision and evaluation of fraud prevention strategies. Overall, these results suggest that lecturers perceive fraud prevention efforts as stronger than students, particularly in terms of detection, investigation, and monitoring. Conversely, educational staff did not show significant differences in perception compared with the other two groups. This shows the existence of constructive differences in understanding the roles and responsibilities of fraud prevention in </w:t>
      </w:r>
      <w:r w:rsidRPr="009802BD">
        <w:rPr>
          <w:rFonts w:ascii="Arial" w:hAnsi="Arial" w:cs="Arial"/>
        </w:rPr>
        <w:lastRenderedPageBreak/>
        <w:t>the tertiary environment, which is likely to be influenced by the level of functional involvement and exposure to academic institutional governance policy.</w:t>
      </w:r>
    </w:p>
    <w:p w14:paraId="02EDFF7F" w14:textId="77777777" w:rsidR="009802BD" w:rsidRPr="009802BD" w:rsidRDefault="009802BD" w:rsidP="009802BD">
      <w:pPr>
        <w:pStyle w:val="Body"/>
        <w:spacing w:after="0"/>
        <w:rPr>
          <w:rFonts w:ascii="Arial" w:hAnsi="Arial" w:cs="Arial"/>
        </w:rPr>
      </w:pPr>
    </w:p>
    <w:p w14:paraId="7F6F5492" w14:textId="3F7F7BE5" w:rsidR="009802BD" w:rsidRPr="009802BD" w:rsidRDefault="009802BD" w:rsidP="009802BD">
      <w:pPr>
        <w:pStyle w:val="Body"/>
        <w:spacing w:after="0"/>
        <w:rPr>
          <w:rFonts w:ascii="Arial" w:hAnsi="Arial" w:cs="Arial"/>
          <w:b/>
          <w:bCs/>
        </w:rPr>
      </w:pPr>
      <w:r w:rsidRPr="009802BD">
        <w:rPr>
          <w:rFonts w:ascii="Arial" w:hAnsi="Arial" w:cs="Arial"/>
          <w:b/>
          <w:bCs/>
        </w:rPr>
        <w:t>Table 5. Post Hoc Games-Howell Test</w:t>
      </w:r>
    </w:p>
    <w:tbl>
      <w:tblPr>
        <w:tblW w:w="8500" w:type="dxa"/>
        <w:jc w:val="center"/>
        <w:tblLayout w:type="fixed"/>
        <w:tblCellMar>
          <w:left w:w="0" w:type="dxa"/>
          <w:right w:w="0" w:type="dxa"/>
        </w:tblCellMar>
        <w:tblLook w:val="0000" w:firstRow="0" w:lastRow="0" w:firstColumn="0" w:lastColumn="0" w:noHBand="0" w:noVBand="0"/>
      </w:tblPr>
      <w:tblGrid>
        <w:gridCol w:w="1129"/>
        <w:gridCol w:w="1701"/>
        <w:gridCol w:w="1275"/>
        <w:gridCol w:w="1134"/>
        <w:gridCol w:w="851"/>
        <w:gridCol w:w="709"/>
        <w:gridCol w:w="850"/>
        <w:gridCol w:w="851"/>
      </w:tblGrid>
      <w:tr w:rsidR="009802BD" w:rsidRPr="009802BD" w14:paraId="15D48737" w14:textId="77777777" w:rsidTr="009802BD">
        <w:trPr>
          <w:cantSplit/>
          <w:tblHeader/>
          <w:jc w:val="center"/>
        </w:trPr>
        <w:tc>
          <w:tcPr>
            <w:tcW w:w="1129" w:type="dxa"/>
            <w:vMerge w:val="restart"/>
            <w:tcBorders>
              <w:top w:val="single" w:sz="4" w:space="0" w:color="auto"/>
            </w:tcBorders>
            <w:shd w:val="clear" w:color="auto" w:fill="FFFFFF"/>
            <w:vAlign w:val="center"/>
          </w:tcPr>
          <w:p w14:paraId="6D0C5009" w14:textId="77777777" w:rsidR="009802BD" w:rsidRPr="009802BD" w:rsidRDefault="009802BD" w:rsidP="009802BD">
            <w:pPr>
              <w:pStyle w:val="Body"/>
              <w:spacing w:after="0"/>
              <w:rPr>
                <w:rFonts w:ascii="Arial" w:hAnsi="Arial" w:cs="Arial"/>
              </w:rPr>
            </w:pPr>
            <w:r w:rsidRPr="009802BD">
              <w:rPr>
                <w:rFonts w:ascii="Arial" w:hAnsi="Arial" w:cs="Arial"/>
              </w:rPr>
              <w:t>Dependent Variable</w:t>
            </w:r>
          </w:p>
        </w:tc>
        <w:tc>
          <w:tcPr>
            <w:tcW w:w="1701" w:type="dxa"/>
            <w:vMerge w:val="restart"/>
            <w:tcBorders>
              <w:top w:val="single" w:sz="4" w:space="0" w:color="auto"/>
            </w:tcBorders>
            <w:shd w:val="clear" w:color="auto" w:fill="FFFFFF"/>
            <w:vAlign w:val="center"/>
          </w:tcPr>
          <w:p w14:paraId="0C6768E0" w14:textId="77777777" w:rsidR="009802BD" w:rsidRPr="009802BD" w:rsidRDefault="009802BD" w:rsidP="009802BD">
            <w:pPr>
              <w:pStyle w:val="Body"/>
              <w:spacing w:after="0"/>
              <w:rPr>
                <w:rFonts w:ascii="Arial" w:hAnsi="Arial" w:cs="Arial"/>
              </w:rPr>
            </w:pPr>
            <w:r w:rsidRPr="009802BD">
              <w:rPr>
                <w:rFonts w:ascii="Arial" w:hAnsi="Arial" w:cs="Arial"/>
              </w:rPr>
              <w:t>(I) Status_ Akademik</w:t>
            </w:r>
          </w:p>
        </w:tc>
        <w:tc>
          <w:tcPr>
            <w:tcW w:w="1275" w:type="dxa"/>
            <w:vMerge w:val="restart"/>
            <w:tcBorders>
              <w:top w:val="single" w:sz="4" w:space="0" w:color="auto"/>
            </w:tcBorders>
            <w:shd w:val="clear" w:color="auto" w:fill="FFFFFF"/>
            <w:vAlign w:val="center"/>
          </w:tcPr>
          <w:p w14:paraId="762F19BC" w14:textId="77777777" w:rsidR="009802BD" w:rsidRPr="009802BD" w:rsidRDefault="009802BD" w:rsidP="009802BD">
            <w:pPr>
              <w:pStyle w:val="Body"/>
              <w:spacing w:after="0"/>
              <w:rPr>
                <w:rFonts w:ascii="Arial" w:hAnsi="Arial" w:cs="Arial"/>
              </w:rPr>
            </w:pPr>
            <w:r w:rsidRPr="009802BD">
              <w:rPr>
                <w:rFonts w:ascii="Arial" w:hAnsi="Arial" w:cs="Arial"/>
              </w:rPr>
              <w:t>(J) Status_ Akademik</w:t>
            </w:r>
          </w:p>
        </w:tc>
        <w:tc>
          <w:tcPr>
            <w:tcW w:w="1134" w:type="dxa"/>
            <w:vMerge w:val="restart"/>
            <w:tcBorders>
              <w:top w:val="single" w:sz="4" w:space="0" w:color="auto"/>
            </w:tcBorders>
            <w:shd w:val="clear" w:color="auto" w:fill="FFFFFF"/>
            <w:vAlign w:val="center"/>
          </w:tcPr>
          <w:p w14:paraId="07FB42A0" w14:textId="77777777" w:rsidR="009802BD" w:rsidRPr="009802BD" w:rsidRDefault="009802BD" w:rsidP="009802BD">
            <w:pPr>
              <w:pStyle w:val="Body"/>
              <w:spacing w:after="0"/>
              <w:rPr>
                <w:rFonts w:ascii="Arial" w:hAnsi="Arial" w:cs="Arial"/>
              </w:rPr>
            </w:pPr>
            <w:r w:rsidRPr="009802BD">
              <w:rPr>
                <w:rFonts w:ascii="Arial" w:hAnsi="Arial" w:cs="Arial"/>
              </w:rPr>
              <w:t>Mean Difference (I-J)</w:t>
            </w:r>
          </w:p>
        </w:tc>
        <w:tc>
          <w:tcPr>
            <w:tcW w:w="851" w:type="dxa"/>
            <w:vMerge w:val="restart"/>
            <w:tcBorders>
              <w:top w:val="single" w:sz="4" w:space="0" w:color="auto"/>
            </w:tcBorders>
            <w:shd w:val="clear" w:color="auto" w:fill="FFFFFF"/>
            <w:vAlign w:val="center"/>
          </w:tcPr>
          <w:p w14:paraId="4D37BB62" w14:textId="77777777" w:rsidR="009802BD" w:rsidRPr="009802BD" w:rsidRDefault="009802BD" w:rsidP="009802BD">
            <w:pPr>
              <w:pStyle w:val="Body"/>
              <w:spacing w:after="0"/>
              <w:rPr>
                <w:rFonts w:ascii="Arial" w:hAnsi="Arial" w:cs="Arial"/>
              </w:rPr>
            </w:pPr>
            <w:r w:rsidRPr="009802BD">
              <w:rPr>
                <w:rFonts w:ascii="Arial" w:hAnsi="Arial" w:cs="Arial"/>
              </w:rPr>
              <w:t>Std. Error</w:t>
            </w:r>
          </w:p>
        </w:tc>
        <w:tc>
          <w:tcPr>
            <w:tcW w:w="709" w:type="dxa"/>
            <w:vMerge w:val="restart"/>
            <w:tcBorders>
              <w:top w:val="single" w:sz="4" w:space="0" w:color="auto"/>
            </w:tcBorders>
            <w:shd w:val="clear" w:color="auto" w:fill="FFFFFF"/>
            <w:vAlign w:val="center"/>
          </w:tcPr>
          <w:p w14:paraId="6E1C6E79" w14:textId="77777777" w:rsidR="009802BD" w:rsidRPr="009802BD" w:rsidRDefault="009802BD" w:rsidP="009802BD">
            <w:pPr>
              <w:pStyle w:val="Body"/>
              <w:spacing w:after="0"/>
              <w:rPr>
                <w:rFonts w:ascii="Arial" w:hAnsi="Arial" w:cs="Arial"/>
              </w:rPr>
            </w:pPr>
            <w:r w:rsidRPr="009802BD">
              <w:rPr>
                <w:rFonts w:ascii="Arial" w:hAnsi="Arial" w:cs="Arial"/>
              </w:rPr>
              <w:t>Sig.</w:t>
            </w:r>
          </w:p>
        </w:tc>
        <w:tc>
          <w:tcPr>
            <w:tcW w:w="1701" w:type="dxa"/>
            <w:gridSpan w:val="2"/>
            <w:tcBorders>
              <w:top w:val="single" w:sz="4" w:space="0" w:color="auto"/>
            </w:tcBorders>
            <w:shd w:val="clear" w:color="auto" w:fill="FFFFFF"/>
            <w:vAlign w:val="center"/>
          </w:tcPr>
          <w:p w14:paraId="53C709EC" w14:textId="77777777" w:rsidR="009802BD" w:rsidRPr="009802BD" w:rsidRDefault="009802BD" w:rsidP="009802BD">
            <w:pPr>
              <w:pStyle w:val="Body"/>
              <w:spacing w:after="0"/>
              <w:rPr>
                <w:rFonts w:ascii="Arial" w:hAnsi="Arial" w:cs="Arial"/>
              </w:rPr>
            </w:pPr>
            <w:r w:rsidRPr="009802BD">
              <w:rPr>
                <w:rFonts w:ascii="Arial" w:hAnsi="Arial" w:cs="Arial"/>
              </w:rPr>
              <w:t>95% Confidence Interval</w:t>
            </w:r>
          </w:p>
        </w:tc>
      </w:tr>
      <w:tr w:rsidR="009802BD" w:rsidRPr="009802BD" w14:paraId="6852DBF6" w14:textId="77777777" w:rsidTr="009802BD">
        <w:trPr>
          <w:cantSplit/>
          <w:tblHeader/>
          <w:jc w:val="center"/>
        </w:trPr>
        <w:tc>
          <w:tcPr>
            <w:tcW w:w="1129" w:type="dxa"/>
            <w:vMerge/>
            <w:tcBorders>
              <w:bottom w:val="single" w:sz="4" w:space="0" w:color="auto"/>
            </w:tcBorders>
            <w:shd w:val="clear" w:color="auto" w:fill="FFFFFF"/>
            <w:vAlign w:val="center"/>
          </w:tcPr>
          <w:p w14:paraId="155412B6" w14:textId="77777777" w:rsidR="009802BD" w:rsidRPr="009802BD" w:rsidRDefault="009802BD" w:rsidP="009802BD">
            <w:pPr>
              <w:pStyle w:val="Body"/>
              <w:spacing w:after="0"/>
              <w:rPr>
                <w:rFonts w:ascii="Arial" w:hAnsi="Arial" w:cs="Arial"/>
              </w:rPr>
            </w:pPr>
          </w:p>
        </w:tc>
        <w:tc>
          <w:tcPr>
            <w:tcW w:w="1701" w:type="dxa"/>
            <w:vMerge/>
            <w:tcBorders>
              <w:bottom w:val="single" w:sz="4" w:space="0" w:color="auto"/>
            </w:tcBorders>
            <w:shd w:val="clear" w:color="auto" w:fill="FFFFFF"/>
            <w:vAlign w:val="center"/>
          </w:tcPr>
          <w:p w14:paraId="555E9FC4" w14:textId="77777777" w:rsidR="009802BD" w:rsidRPr="009802BD" w:rsidRDefault="009802BD" w:rsidP="009802BD">
            <w:pPr>
              <w:pStyle w:val="Body"/>
              <w:spacing w:after="0"/>
              <w:rPr>
                <w:rFonts w:ascii="Arial" w:hAnsi="Arial" w:cs="Arial"/>
              </w:rPr>
            </w:pPr>
          </w:p>
        </w:tc>
        <w:tc>
          <w:tcPr>
            <w:tcW w:w="1275" w:type="dxa"/>
            <w:vMerge/>
            <w:tcBorders>
              <w:bottom w:val="single" w:sz="4" w:space="0" w:color="auto"/>
            </w:tcBorders>
            <w:shd w:val="clear" w:color="auto" w:fill="FFFFFF"/>
            <w:vAlign w:val="center"/>
          </w:tcPr>
          <w:p w14:paraId="2A23FF44" w14:textId="77777777" w:rsidR="009802BD" w:rsidRPr="009802BD" w:rsidRDefault="009802BD" w:rsidP="009802BD">
            <w:pPr>
              <w:pStyle w:val="Body"/>
              <w:spacing w:after="0"/>
              <w:rPr>
                <w:rFonts w:ascii="Arial" w:hAnsi="Arial" w:cs="Arial"/>
              </w:rPr>
            </w:pPr>
          </w:p>
        </w:tc>
        <w:tc>
          <w:tcPr>
            <w:tcW w:w="1134" w:type="dxa"/>
            <w:vMerge/>
            <w:tcBorders>
              <w:bottom w:val="single" w:sz="4" w:space="0" w:color="auto"/>
            </w:tcBorders>
            <w:shd w:val="clear" w:color="auto" w:fill="FFFFFF"/>
            <w:vAlign w:val="center"/>
          </w:tcPr>
          <w:p w14:paraId="42049E1B" w14:textId="77777777" w:rsidR="009802BD" w:rsidRPr="009802BD" w:rsidRDefault="009802BD" w:rsidP="009802BD">
            <w:pPr>
              <w:pStyle w:val="Body"/>
              <w:spacing w:after="0"/>
              <w:rPr>
                <w:rFonts w:ascii="Arial" w:hAnsi="Arial" w:cs="Arial"/>
              </w:rPr>
            </w:pPr>
          </w:p>
        </w:tc>
        <w:tc>
          <w:tcPr>
            <w:tcW w:w="851" w:type="dxa"/>
            <w:vMerge/>
            <w:tcBorders>
              <w:bottom w:val="single" w:sz="4" w:space="0" w:color="auto"/>
            </w:tcBorders>
            <w:shd w:val="clear" w:color="auto" w:fill="FFFFFF"/>
            <w:vAlign w:val="center"/>
          </w:tcPr>
          <w:p w14:paraId="463259CF" w14:textId="77777777" w:rsidR="009802BD" w:rsidRPr="009802BD" w:rsidRDefault="009802BD" w:rsidP="009802BD">
            <w:pPr>
              <w:pStyle w:val="Body"/>
              <w:spacing w:after="0"/>
              <w:rPr>
                <w:rFonts w:ascii="Arial" w:hAnsi="Arial" w:cs="Arial"/>
              </w:rPr>
            </w:pPr>
          </w:p>
        </w:tc>
        <w:tc>
          <w:tcPr>
            <w:tcW w:w="709" w:type="dxa"/>
            <w:vMerge/>
            <w:tcBorders>
              <w:bottom w:val="single" w:sz="4" w:space="0" w:color="auto"/>
            </w:tcBorders>
            <w:shd w:val="clear" w:color="auto" w:fill="FFFFFF"/>
            <w:vAlign w:val="center"/>
          </w:tcPr>
          <w:p w14:paraId="14AC3889" w14:textId="77777777" w:rsidR="009802BD" w:rsidRPr="009802BD" w:rsidRDefault="009802BD" w:rsidP="009802BD">
            <w:pPr>
              <w:pStyle w:val="Body"/>
              <w:spacing w:after="0"/>
              <w:rPr>
                <w:rFonts w:ascii="Arial" w:hAnsi="Arial" w:cs="Arial"/>
              </w:rPr>
            </w:pPr>
          </w:p>
        </w:tc>
        <w:tc>
          <w:tcPr>
            <w:tcW w:w="850" w:type="dxa"/>
            <w:tcBorders>
              <w:bottom w:val="single" w:sz="4" w:space="0" w:color="auto"/>
            </w:tcBorders>
            <w:shd w:val="clear" w:color="auto" w:fill="FFFFFF"/>
            <w:vAlign w:val="center"/>
          </w:tcPr>
          <w:p w14:paraId="2E01AD8C" w14:textId="77777777" w:rsidR="009802BD" w:rsidRPr="009802BD" w:rsidRDefault="009802BD" w:rsidP="009802BD">
            <w:pPr>
              <w:pStyle w:val="Body"/>
              <w:spacing w:after="0"/>
              <w:rPr>
                <w:rFonts w:ascii="Arial" w:hAnsi="Arial" w:cs="Arial"/>
              </w:rPr>
            </w:pPr>
            <w:r w:rsidRPr="009802BD">
              <w:rPr>
                <w:rFonts w:ascii="Arial" w:hAnsi="Arial" w:cs="Arial"/>
              </w:rPr>
              <w:t>Lower Bound</w:t>
            </w:r>
          </w:p>
        </w:tc>
        <w:tc>
          <w:tcPr>
            <w:tcW w:w="851" w:type="dxa"/>
            <w:tcBorders>
              <w:bottom w:val="single" w:sz="4" w:space="0" w:color="auto"/>
            </w:tcBorders>
            <w:shd w:val="clear" w:color="auto" w:fill="FFFFFF"/>
            <w:vAlign w:val="center"/>
          </w:tcPr>
          <w:p w14:paraId="116B9C2B" w14:textId="77777777" w:rsidR="009802BD" w:rsidRPr="009802BD" w:rsidRDefault="009802BD" w:rsidP="009802BD">
            <w:pPr>
              <w:pStyle w:val="Body"/>
              <w:spacing w:after="0"/>
              <w:rPr>
                <w:rFonts w:ascii="Arial" w:hAnsi="Arial" w:cs="Arial"/>
              </w:rPr>
            </w:pPr>
            <w:r w:rsidRPr="009802BD">
              <w:rPr>
                <w:rFonts w:ascii="Arial" w:hAnsi="Arial" w:cs="Arial"/>
              </w:rPr>
              <w:t>Upper Bound</w:t>
            </w:r>
          </w:p>
        </w:tc>
      </w:tr>
      <w:tr w:rsidR="009802BD" w:rsidRPr="009802BD" w14:paraId="7A0716D0" w14:textId="77777777" w:rsidTr="009802BD">
        <w:trPr>
          <w:cantSplit/>
          <w:jc w:val="center"/>
        </w:trPr>
        <w:tc>
          <w:tcPr>
            <w:tcW w:w="1129" w:type="dxa"/>
            <w:vMerge w:val="restart"/>
            <w:tcBorders>
              <w:top w:val="single" w:sz="4" w:space="0" w:color="auto"/>
            </w:tcBorders>
            <w:shd w:val="clear" w:color="auto" w:fill="FFFFFF"/>
          </w:tcPr>
          <w:p w14:paraId="4DCD4B00" w14:textId="77777777" w:rsidR="009802BD" w:rsidRPr="009802BD" w:rsidRDefault="009802BD" w:rsidP="009802BD">
            <w:pPr>
              <w:pStyle w:val="Body"/>
              <w:spacing w:after="0"/>
              <w:rPr>
                <w:rFonts w:ascii="Arial" w:hAnsi="Arial" w:cs="Arial"/>
              </w:rPr>
            </w:pPr>
            <w:r w:rsidRPr="009802BD">
              <w:rPr>
                <w:rFonts w:ascii="Arial" w:hAnsi="Arial" w:cs="Arial"/>
              </w:rPr>
              <w:t>Prevention</w:t>
            </w:r>
          </w:p>
        </w:tc>
        <w:tc>
          <w:tcPr>
            <w:tcW w:w="1701" w:type="dxa"/>
            <w:vMerge w:val="restart"/>
            <w:tcBorders>
              <w:top w:val="single" w:sz="4" w:space="0" w:color="auto"/>
            </w:tcBorders>
            <w:shd w:val="clear" w:color="auto" w:fill="FFFFFF"/>
          </w:tcPr>
          <w:p w14:paraId="57C328A6"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tcBorders>
              <w:top w:val="single" w:sz="4" w:space="0" w:color="auto"/>
            </w:tcBorders>
            <w:shd w:val="clear" w:color="auto" w:fill="FFFFFF"/>
          </w:tcPr>
          <w:p w14:paraId="74FB467D"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tcBorders>
              <w:top w:val="single" w:sz="4" w:space="0" w:color="auto"/>
            </w:tcBorders>
            <w:shd w:val="clear" w:color="auto" w:fill="FFFFFF"/>
            <w:vAlign w:val="center"/>
          </w:tcPr>
          <w:p w14:paraId="66CC0F9C" w14:textId="77777777" w:rsidR="009802BD" w:rsidRPr="009802BD" w:rsidRDefault="009802BD" w:rsidP="009802BD">
            <w:pPr>
              <w:pStyle w:val="Body"/>
              <w:spacing w:after="0"/>
              <w:rPr>
                <w:rFonts w:ascii="Arial" w:hAnsi="Arial" w:cs="Arial"/>
              </w:rPr>
            </w:pPr>
            <w:r w:rsidRPr="009802BD">
              <w:rPr>
                <w:rFonts w:ascii="Arial" w:hAnsi="Arial" w:cs="Arial"/>
              </w:rPr>
              <w:t>-.0644</w:t>
            </w:r>
          </w:p>
        </w:tc>
        <w:tc>
          <w:tcPr>
            <w:tcW w:w="851" w:type="dxa"/>
            <w:tcBorders>
              <w:top w:val="single" w:sz="4" w:space="0" w:color="auto"/>
            </w:tcBorders>
            <w:shd w:val="clear" w:color="auto" w:fill="FFFFFF"/>
            <w:vAlign w:val="center"/>
          </w:tcPr>
          <w:p w14:paraId="3D7FCA95" w14:textId="77777777" w:rsidR="009802BD" w:rsidRPr="009802BD" w:rsidRDefault="009802BD" w:rsidP="009802BD">
            <w:pPr>
              <w:pStyle w:val="Body"/>
              <w:spacing w:after="0"/>
              <w:rPr>
                <w:rFonts w:ascii="Arial" w:hAnsi="Arial" w:cs="Arial"/>
              </w:rPr>
            </w:pPr>
            <w:r w:rsidRPr="009802BD">
              <w:rPr>
                <w:rFonts w:ascii="Arial" w:hAnsi="Arial" w:cs="Arial"/>
              </w:rPr>
              <w:t>.15807</w:t>
            </w:r>
          </w:p>
        </w:tc>
        <w:tc>
          <w:tcPr>
            <w:tcW w:w="709" w:type="dxa"/>
            <w:tcBorders>
              <w:top w:val="single" w:sz="4" w:space="0" w:color="auto"/>
            </w:tcBorders>
            <w:shd w:val="clear" w:color="auto" w:fill="FFFFFF"/>
            <w:vAlign w:val="center"/>
          </w:tcPr>
          <w:p w14:paraId="6A8B9A15" w14:textId="77777777" w:rsidR="009802BD" w:rsidRPr="009802BD" w:rsidRDefault="009802BD" w:rsidP="009802BD">
            <w:pPr>
              <w:pStyle w:val="Body"/>
              <w:spacing w:after="0"/>
              <w:rPr>
                <w:rFonts w:ascii="Arial" w:hAnsi="Arial" w:cs="Arial"/>
              </w:rPr>
            </w:pPr>
            <w:r w:rsidRPr="009802BD">
              <w:rPr>
                <w:rFonts w:ascii="Arial" w:hAnsi="Arial" w:cs="Arial"/>
              </w:rPr>
              <w:t>.913</w:t>
            </w:r>
          </w:p>
        </w:tc>
        <w:tc>
          <w:tcPr>
            <w:tcW w:w="850" w:type="dxa"/>
            <w:tcBorders>
              <w:top w:val="single" w:sz="4" w:space="0" w:color="auto"/>
            </w:tcBorders>
            <w:shd w:val="clear" w:color="auto" w:fill="FFFFFF"/>
            <w:vAlign w:val="center"/>
          </w:tcPr>
          <w:p w14:paraId="08A2FD4F" w14:textId="77777777" w:rsidR="009802BD" w:rsidRPr="009802BD" w:rsidRDefault="009802BD" w:rsidP="009802BD">
            <w:pPr>
              <w:pStyle w:val="Body"/>
              <w:spacing w:after="0"/>
              <w:rPr>
                <w:rFonts w:ascii="Arial" w:hAnsi="Arial" w:cs="Arial"/>
              </w:rPr>
            </w:pPr>
            <w:r w:rsidRPr="009802BD">
              <w:rPr>
                <w:rFonts w:ascii="Arial" w:hAnsi="Arial" w:cs="Arial"/>
              </w:rPr>
              <w:t>-.4843</w:t>
            </w:r>
          </w:p>
        </w:tc>
        <w:tc>
          <w:tcPr>
            <w:tcW w:w="851" w:type="dxa"/>
            <w:tcBorders>
              <w:top w:val="single" w:sz="4" w:space="0" w:color="auto"/>
            </w:tcBorders>
            <w:shd w:val="clear" w:color="auto" w:fill="FFFFFF"/>
            <w:vAlign w:val="center"/>
          </w:tcPr>
          <w:p w14:paraId="6FDC85D4" w14:textId="77777777" w:rsidR="009802BD" w:rsidRPr="009802BD" w:rsidRDefault="009802BD" w:rsidP="009802BD">
            <w:pPr>
              <w:pStyle w:val="Body"/>
              <w:spacing w:after="0"/>
              <w:rPr>
                <w:rFonts w:ascii="Arial" w:hAnsi="Arial" w:cs="Arial"/>
              </w:rPr>
            </w:pPr>
            <w:r w:rsidRPr="009802BD">
              <w:rPr>
                <w:rFonts w:ascii="Arial" w:hAnsi="Arial" w:cs="Arial"/>
              </w:rPr>
              <w:t>.3554</w:t>
            </w:r>
          </w:p>
        </w:tc>
      </w:tr>
      <w:tr w:rsidR="009802BD" w:rsidRPr="009802BD" w14:paraId="54F3679B" w14:textId="77777777" w:rsidTr="009802BD">
        <w:trPr>
          <w:cantSplit/>
          <w:jc w:val="center"/>
        </w:trPr>
        <w:tc>
          <w:tcPr>
            <w:tcW w:w="1129" w:type="dxa"/>
            <w:vMerge/>
            <w:shd w:val="clear" w:color="auto" w:fill="FFFFFF"/>
          </w:tcPr>
          <w:p w14:paraId="7D03330D"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7ECA85E9" w14:textId="77777777" w:rsidR="009802BD" w:rsidRPr="009802BD" w:rsidRDefault="009802BD" w:rsidP="009802BD">
            <w:pPr>
              <w:pStyle w:val="Body"/>
              <w:spacing w:after="0"/>
              <w:rPr>
                <w:rFonts w:ascii="Arial" w:hAnsi="Arial" w:cs="Arial"/>
              </w:rPr>
            </w:pPr>
          </w:p>
        </w:tc>
        <w:tc>
          <w:tcPr>
            <w:tcW w:w="1275" w:type="dxa"/>
            <w:shd w:val="clear" w:color="auto" w:fill="FFFFFF"/>
          </w:tcPr>
          <w:p w14:paraId="3A803627"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63AA4F68" w14:textId="77777777" w:rsidR="009802BD" w:rsidRPr="009802BD" w:rsidRDefault="009802BD" w:rsidP="009802BD">
            <w:pPr>
              <w:pStyle w:val="Body"/>
              <w:spacing w:after="0"/>
              <w:rPr>
                <w:rFonts w:ascii="Arial" w:hAnsi="Arial" w:cs="Arial"/>
              </w:rPr>
            </w:pPr>
            <w:r w:rsidRPr="009802BD">
              <w:rPr>
                <w:rFonts w:ascii="Arial" w:hAnsi="Arial" w:cs="Arial"/>
              </w:rPr>
              <w:t>-.2048*</w:t>
            </w:r>
          </w:p>
        </w:tc>
        <w:tc>
          <w:tcPr>
            <w:tcW w:w="851" w:type="dxa"/>
            <w:shd w:val="clear" w:color="auto" w:fill="FFFFFF"/>
            <w:vAlign w:val="center"/>
          </w:tcPr>
          <w:p w14:paraId="17B52F70" w14:textId="77777777" w:rsidR="009802BD" w:rsidRPr="009802BD" w:rsidRDefault="009802BD" w:rsidP="009802BD">
            <w:pPr>
              <w:pStyle w:val="Body"/>
              <w:spacing w:after="0"/>
              <w:rPr>
                <w:rFonts w:ascii="Arial" w:hAnsi="Arial" w:cs="Arial"/>
              </w:rPr>
            </w:pPr>
            <w:r w:rsidRPr="009802BD">
              <w:rPr>
                <w:rFonts w:ascii="Arial" w:hAnsi="Arial" w:cs="Arial"/>
              </w:rPr>
              <w:t>.07609</w:t>
            </w:r>
          </w:p>
        </w:tc>
        <w:tc>
          <w:tcPr>
            <w:tcW w:w="709" w:type="dxa"/>
            <w:shd w:val="clear" w:color="auto" w:fill="FFFFFF"/>
            <w:vAlign w:val="center"/>
          </w:tcPr>
          <w:p w14:paraId="1CE98952" w14:textId="77777777" w:rsidR="009802BD" w:rsidRPr="009802BD" w:rsidRDefault="009802BD" w:rsidP="009802BD">
            <w:pPr>
              <w:pStyle w:val="Body"/>
              <w:spacing w:after="0"/>
              <w:rPr>
                <w:rFonts w:ascii="Arial" w:hAnsi="Arial" w:cs="Arial"/>
              </w:rPr>
            </w:pPr>
            <w:r w:rsidRPr="009802BD">
              <w:rPr>
                <w:rFonts w:ascii="Arial" w:hAnsi="Arial" w:cs="Arial"/>
              </w:rPr>
              <w:t>.024</w:t>
            </w:r>
          </w:p>
        </w:tc>
        <w:tc>
          <w:tcPr>
            <w:tcW w:w="850" w:type="dxa"/>
            <w:shd w:val="clear" w:color="auto" w:fill="FFFFFF"/>
            <w:vAlign w:val="center"/>
          </w:tcPr>
          <w:p w14:paraId="4645DA04" w14:textId="77777777" w:rsidR="009802BD" w:rsidRPr="009802BD" w:rsidRDefault="009802BD" w:rsidP="009802BD">
            <w:pPr>
              <w:pStyle w:val="Body"/>
              <w:spacing w:after="0"/>
              <w:rPr>
                <w:rFonts w:ascii="Arial" w:hAnsi="Arial" w:cs="Arial"/>
              </w:rPr>
            </w:pPr>
            <w:r w:rsidRPr="009802BD">
              <w:rPr>
                <w:rFonts w:ascii="Arial" w:hAnsi="Arial" w:cs="Arial"/>
              </w:rPr>
              <w:t>-.3870</w:t>
            </w:r>
          </w:p>
        </w:tc>
        <w:tc>
          <w:tcPr>
            <w:tcW w:w="851" w:type="dxa"/>
            <w:shd w:val="clear" w:color="auto" w:fill="FFFFFF"/>
            <w:vAlign w:val="center"/>
          </w:tcPr>
          <w:p w14:paraId="00C9B362" w14:textId="77777777" w:rsidR="009802BD" w:rsidRPr="009802BD" w:rsidRDefault="009802BD" w:rsidP="009802BD">
            <w:pPr>
              <w:pStyle w:val="Body"/>
              <w:spacing w:after="0"/>
              <w:rPr>
                <w:rFonts w:ascii="Arial" w:hAnsi="Arial" w:cs="Arial"/>
              </w:rPr>
            </w:pPr>
            <w:r w:rsidRPr="009802BD">
              <w:rPr>
                <w:rFonts w:ascii="Arial" w:hAnsi="Arial" w:cs="Arial"/>
              </w:rPr>
              <w:t>-.0226</w:t>
            </w:r>
          </w:p>
        </w:tc>
      </w:tr>
      <w:tr w:rsidR="009802BD" w:rsidRPr="009802BD" w14:paraId="7ED9FDFC" w14:textId="77777777" w:rsidTr="009802BD">
        <w:trPr>
          <w:cantSplit/>
          <w:jc w:val="center"/>
        </w:trPr>
        <w:tc>
          <w:tcPr>
            <w:tcW w:w="1129" w:type="dxa"/>
            <w:vMerge/>
            <w:shd w:val="clear" w:color="auto" w:fill="FFFFFF"/>
          </w:tcPr>
          <w:p w14:paraId="18DA7736"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101BFFA7"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1D2B6384"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24957B1F" w14:textId="77777777" w:rsidR="009802BD" w:rsidRPr="009802BD" w:rsidRDefault="009802BD" w:rsidP="009802BD">
            <w:pPr>
              <w:pStyle w:val="Body"/>
              <w:spacing w:after="0"/>
              <w:rPr>
                <w:rFonts w:ascii="Arial" w:hAnsi="Arial" w:cs="Arial"/>
              </w:rPr>
            </w:pPr>
            <w:r w:rsidRPr="009802BD">
              <w:rPr>
                <w:rFonts w:ascii="Arial" w:hAnsi="Arial" w:cs="Arial"/>
              </w:rPr>
              <w:t>.0644</w:t>
            </w:r>
          </w:p>
        </w:tc>
        <w:tc>
          <w:tcPr>
            <w:tcW w:w="851" w:type="dxa"/>
            <w:shd w:val="clear" w:color="auto" w:fill="FFFFFF"/>
            <w:vAlign w:val="center"/>
          </w:tcPr>
          <w:p w14:paraId="15A128A2" w14:textId="77777777" w:rsidR="009802BD" w:rsidRPr="009802BD" w:rsidRDefault="009802BD" w:rsidP="009802BD">
            <w:pPr>
              <w:pStyle w:val="Body"/>
              <w:spacing w:after="0"/>
              <w:rPr>
                <w:rFonts w:ascii="Arial" w:hAnsi="Arial" w:cs="Arial"/>
              </w:rPr>
            </w:pPr>
            <w:r w:rsidRPr="009802BD">
              <w:rPr>
                <w:rFonts w:ascii="Arial" w:hAnsi="Arial" w:cs="Arial"/>
              </w:rPr>
              <w:t>.15807</w:t>
            </w:r>
          </w:p>
        </w:tc>
        <w:tc>
          <w:tcPr>
            <w:tcW w:w="709" w:type="dxa"/>
            <w:shd w:val="clear" w:color="auto" w:fill="FFFFFF"/>
            <w:vAlign w:val="center"/>
          </w:tcPr>
          <w:p w14:paraId="62A0968E" w14:textId="77777777" w:rsidR="009802BD" w:rsidRPr="009802BD" w:rsidRDefault="009802BD" w:rsidP="009802BD">
            <w:pPr>
              <w:pStyle w:val="Body"/>
              <w:spacing w:after="0"/>
              <w:rPr>
                <w:rFonts w:ascii="Arial" w:hAnsi="Arial" w:cs="Arial"/>
              </w:rPr>
            </w:pPr>
            <w:r w:rsidRPr="009802BD">
              <w:rPr>
                <w:rFonts w:ascii="Arial" w:hAnsi="Arial" w:cs="Arial"/>
              </w:rPr>
              <w:t>.913</w:t>
            </w:r>
          </w:p>
        </w:tc>
        <w:tc>
          <w:tcPr>
            <w:tcW w:w="850" w:type="dxa"/>
            <w:shd w:val="clear" w:color="auto" w:fill="FFFFFF"/>
            <w:vAlign w:val="center"/>
          </w:tcPr>
          <w:p w14:paraId="45BCBF45" w14:textId="77777777" w:rsidR="009802BD" w:rsidRPr="009802BD" w:rsidRDefault="009802BD" w:rsidP="009802BD">
            <w:pPr>
              <w:pStyle w:val="Body"/>
              <w:spacing w:after="0"/>
              <w:rPr>
                <w:rFonts w:ascii="Arial" w:hAnsi="Arial" w:cs="Arial"/>
              </w:rPr>
            </w:pPr>
            <w:r w:rsidRPr="009802BD">
              <w:rPr>
                <w:rFonts w:ascii="Arial" w:hAnsi="Arial" w:cs="Arial"/>
              </w:rPr>
              <w:t>-.3554</w:t>
            </w:r>
          </w:p>
        </w:tc>
        <w:tc>
          <w:tcPr>
            <w:tcW w:w="851" w:type="dxa"/>
            <w:shd w:val="clear" w:color="auto" w:fill="FFFFFF"/>
            <w:vAlign w:val="center"/>
          </w:tcPr>
          <w:p w14:paraId="7502934E" w14:textId="77777777" w:rsidR="009802BD" w:rsidRPr="009802BD" w:rsidRDefault="009802BD" w:rsidP="009802BD">
            <w:pPr>
              <w:pStyle w:val="Body"/>
              <w:spacing w:after="0"/>
              <w:rPr>
                <w:rFonts w:ascii="Arial" w:hAnsi="Arial" w:cs="Arial"/>
              </w:rPr>
            </w:pPr>
            <w:r w:rsidRPr="009802BD">
              <w:rPr>
                <w:rFonts w:ascii="Arial" w:hAnsi="Arial" w:cs="Arial"/>
              </w:rPr>
              <w:t>.4843</w:t>
            </w:r>
          </w:p>
        </w:tc>
      </w:tr>
      <w:tr w:rsidR="009802BD" w:rsidRPr="009802BD" w14:paraId="3905DD77" w14:textId="77777777" w:rsidTr="009802BD">
        <w:trPr>
          <w:cantSplit/>
          <w:jc w:val="center"/>
        </w:trPr>
        <w:tc>
          <w:tcPr>
            <w:tcW w:w="1129" w:type="dxa"/>
            <w:vMerge/>
            <w:shd w:val="clear" w:color="auto" w:fill="FFFFFF"/>
          </w:tcPr>
          <w:p w14:paraId="0BF1A70F"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50A29D53" w14:textId="77777777" w:rsidR="009802BD" w:rsidRPr="009802BD" w:rsidRDefault="009802BD" w:rsidP="009802BD">
            <w:pPr>
              <w:pStyle w:val="Body"/>
              <w:spacing w:after="0"/>
              <w:rPr>
                <w:rFonts w:ascii="Arial" w:hAnsi="Arial" w:cs="Arial"/>
              </w:rPr>
            </w:pPr>
          </w:p>
        </w:tc>
        <w:tc>
          <w:tcPr>
            <w:tcW w:w="1275" w:type="dxa"/>
            <w:shd w:val="clear" w:color="auto" w:fill="FFFFFF"/>
          </w:tcPr>
          <w:p w14:paraId="097A5FCF"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36BA35D5" w14:textId="77777777" w:rsidR="009802BD" w:rsidRPr="009802BD" w:rsidRDefault="009802BD" w:rsidP="009802BD">
            <w:pPr>
              <w:pStyle w:val="Body"/>
              <w:spacing w:after="0"/>
              <w:rPr>
                <w:rFonts w:ascii="Arial" w:hAnsi="Arial" w:cs="Arial"/>
              </w:rPr>
            </w:pPr>
            <w:r w:rsidRPr="009802BD">
              <w:rPr>
                <w:rFonts w:ascii="Arial" w:hAnsi="Arial" w:cs="Arial"/>
              </w:rPr>
              <w:t>-.1404</w:t>
            </w:r>
          </w:p>
        </w:tc>
        <w:tc>
          <w:tcPr>
            <w:tcW w:w="851" w:type="dxa"/>
            <w:shd w:val="clear" w:color="auto" w:fill="FFFFFF"/>
            <w:vAlign w:val="center"/>
          </w:tcPr>
          <w:p w14:paraId="20AFF79C" w14:textId="77777777" w:rsidR="009802BD" w:rsidRPr="009802BD" w:rsidRDefault="009802BD" w:rsidP="009802BD">
            <w:pPr>
              <w:pStyle w:val="Body"/>
              <w:spacing w:after="0"/>
              <w:rPr>
                <w:rFonts w:ascii="Arial" w:hAnsi="Arial" w:cs="Arial"/>
              </w:rPr>
            </w:pPr>
            <w:r w:rsidRPr="009802BD">
              <w:rPr>
                <w:rFonts w:ascii="Arial" w:hAnsi="Arial" w:cs="Arial"/>
              </w:rPr>
              <w:t>.16009</w:t>
            </w:r>
          </w:p>
        </w:tc>
        <w:tc>
          <w:tcPr>
            <w:tcW w:w="709" w:type="dxa"/>
            <w:shd w:val="clear" w:color="auto" w:fill="FFFFFF"/>
            <w:vAlign w:val="center"/>
          </w:tcPr>
          <w:p w14:paraId="19BADD3D" w14:textId="77777777" w:rsidR="009802BD" w:rsidRPr="009802BD" w:rsidRDefault="009802BD" w:rsidP="009802BD">
            <w:pPr>
              <w:pStyle w:val="Body"/>
              <w:spacing w:after="0"/>
              <w:rPr>
                <w:rFonts w:ascii="Arial" w:hAnsi="Arial" w:cs="Arial"/>
              </w:rPr>
            </w:pPr>
            <w:r w:rsidRPr="009802BD">
              <w:rPr>
                <w:rFonts w:ascii="Arial" w:hAnsi="Arial" w:cs="Arial"/>
              </w:rPr>
              <w:t>.664</w:t>
            </w:r>
          </w:p>
        </w:tc>
        <w:tc>
          <w:tcPr>
            <w:tcW w:w="850" w:type="dxa"/>
            <w:shd w:val="clear" w:color="auto" w:fill="FFFFFF"/>
            <w:vAlign w:val="center"/>
          </w:tcPr>
          <w:p w14:paraId="30C61E2A" w14:textId="77777777" w:rsidR="009802BD" w:rsidRPr="009802BD" w:rsidRDefault="009802BD" w:rsidP="009802BD">
            <w:pPr>
              <w:pStyle w:val="Body"/>
              <w:spacing w:after="0"/>
              <w:rPr>
                <w:rFonts w:ascii="Arial" w:hAnsi="Arial" w:cs="Arial"/>
              </w:rPr>
            </w:pPr>
            <w:r w:rsidRPr="009802BD">
              <w:rPr>
                <w:rFonts w:ascii="Arial" w:hAnsi="Arial" w:cs="Arial"/>
              </w:rPr>
              <w:t>-.5632</w:t>
            </w:r>
          </w:p>
        </w:tc>
        <w:tc>
          <w:tcPr>
            <w:tcW w:w="851" w:type="dxa"/>
            <w:shd w:val="clear" w:color="auto" w:fill="FFFFFF"/>
            <w:vAlign w:val="center"/>
          </w:tcPr>
          <w:p w14:paraId="3B800328" w14:textId="77777777" w:rsidR="009802BD" w:rsidRPr="009802BD" w:rsidRDefault="009802BD" w:rsidP="009802BD">
            <w:pPr>
              <w:pStyle w:val="Body"/>
              <w:spacing w:after="0"/>
              <w:rPr>
                <w:rFonts w:ascii="Arial" w:hAnsi="Arial" w:cs="Arial"/>
              </w:rPr>
            </w:pPr>
            <w:r w:rsidRPr="009802BD">
              <w:rPr>
                <w:rFonts w:ascii="Arial" w:hAnsi="Arial" w:cs="Arial"/>
              </w:rPr>
              <w:t>.2825</w:t>
            </w:r>
          </w:p>
        </w:tc>
      </w:tr>
      <w:tr w:rsidR="009802BD" w:rsidRPr="009802BD" w14:paraId="51ABFB58" w14:textId="77777777" w:rsidTr="009802BD">
        <w:trPr>
          <w:cantSplit/>
          <w:jc w:val="center"/>
        </w:trPr>
        <w:tc>
          <w:tcPr>
            <w:tcW w:w="1129" w:type="dxa"/>
            <w:vMerge/>
            <w:shd w:val="clear" w:color="auto" w:fill="FFFFFF"/>
          </w:tcPr>
          <w:p w14:paraId="310DE018"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7C5AC598"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415B3FFF"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64B2E324" w14:textId="77777777" w:rsidR="009802BD" w:rsidRPr="009802BD" w:rsidRDefault="009802BD" w:rsidP="009802BD">
            <w:pPr>
              <w:pStyle w:val="Body"/>
              <w:spacing w:after="0"/>
              <w:rPr>
                <w:rFonts w:ascii="Arial" w:hAnsi="Arial" w:cs="Arial"/>
              </w:rPr>
            </w:pPr>
            <w:r w:rsidRPr="009802BD">
              <w:rPr>
                <w:rFonts w:ascii="Arial" w:hAnsi="Arial" w:cs="Arial"/>
              </w:rPr>
              <w:t>.2048*</w:t>
            </w:r>
          </w:p>
        </w:tc>
        <w:tc>
          <w:tcPr>
            <w:tcW w:w="851" w:type="dxa"/>
            <w:shd w:val="clear" w:color="auto" w:fill="FFFFFF"/>
            <w:vAlign w:val="center"/>
          </w:tcPr>
          <w:p w14:paraId="3DC0BD30" w14:textId="77777777" w:rsidR="009802BD" w:rsidRPr="009802BD" w:rsidRDefault="009802BD" w:rsidP="009802BD">
            <w:pPr>
              <w:pStyle w:val="Body"/>
              <w:spacing w:after="0"/>
              <w:rPr>
                <w:rFonts w:ascii="Arial" w:hAnsi="Arial" w:cs="Arial"/>
              </w:rPr>
            </w:pPr>
            <w:r w:rsidRPr="009802BD">
              <w:rPr>
                <w:rFonts w:ascii="Arial" w:hAnsi="Arial" w:cs="Arial"/>
              </w:rPr>
              <w:t>.07609</w:t>
            </w:r>
          </w:p>
        </w:tc>
        <w:tc>
          <w:tcPr>
            <w:tcW w:w="709" w:type="dxa"/>
            <w:shd w:val="clear" w:color="auto" w:fill="FFFFFF"/>
            <w:vAlign w:val="center"/>
          </w:tcPr>
          <w:p w14:paraId="26269D80" w14:textId="77777777" w:rsidR="009802BD" w:rsidRPr="009802BD" w:rsidRDefault="009802BD" w:rsidP="009802BD">
            <w:pPr>
              <w:pStyle w:val="Body"/>
              <w:spacing w:after="0"/>
              <w:rPr>
                <w:rFonts w:ascii="Arial" w:hAnsi="Arial" w:cs="Arial"/>
              </w:rPr>
            </w:pPr>
            <w:r w:rsidRPr="009802BD">
              <w:rPr>
                <w:rFonts w:ascii="Arial" w:hAnsi="Arial" w:cs="Arial"/>
              </w:rPr>
              <w:t>.024</w:t>
            </w:r>
          </w:p>
        </w:tc>
        <w:tc>
          <w:tcPr>
            <w:tcW w:w="850" w:type="dxa"/>
            <w:shd w:val="clear" w:color="auto" w:fill="FFFFFF"/>
            <w:vAlign w:val="center"/>
          </w:tcPr>
          <w:p w14:paraId="327500C8" w14:textId="77777777" w:rsidR="009802BD" w:rsidRPr="009802BD" w:rsidRDefault="009802BD" w:rsidP="009802BD">
            <w:pPr>
              <w:pStyle w:val="Body"/>
              <w:spacing w:after="0"/>
              <w:rPr>
                <w:rFonts w:ascii="Arial" w:hAnsi="Arial" w:cs="Arial"/>
              </w:rPr>
            </w:pPr>
            <w:r w:rsidRPr="009802BD">
              <w:rPr>
                <w:rFonts w:ascii="Arial" w:hAnsi="Arial" w:cs="Arial"/>
              </w:rPr>
              <w:t>.0226</w:t>
            </w:r>
          </w:p>
        </w:tc>
        <w:tc>
          <w:tcPr>
            <w:tcW w:w="851" w:type="dxa"/>
            <w:shd w:val="clear" w:color="auto" w:fill="FFFFFF"/>
            <w:vAlign w:val="center"/>
          </w:tcPr>
          <w:p w14:paraId="4DABC4DC" w14:textId="77777777" w:rsidR="009802BD" w:rsidRPr="009802BD" w:rsidRDefault="009802BD" w:rsidP="009802BD">
            <w:pPr>
              <w:pStyle w:val="Body"/>
              <w:spacing w:after="0"/>
              <w:rPr>
                <w:rFonts w:ascii="Arial" w:hAnsi="Arial" w:cs="Arial"/>
              </w:rPr>
            </w:pPr>
            <w:r w:rsidRPr="009802BD">
              <w:rPr>
                <w:rFonts w:ascii="Arial" w:hAnsi="Arial" w:cs="Arial"/>
              </w:rPr>
              <w:t>.3870</w:t>
            </w:r>
          </w:p>
        </w:tc>
      </w:tr>
      <w:tr w:rsidR="009802BD" w:rsidRPr="009802BD" w14:paraId="13619A8A" w14:textId="77777777" w:rsidTr="009802BD">
        <w:trPr>
          <w:cantSplit/>
          <w:jc w:val="center"/>
        </w:trPr>
        <w:tc>
          <w:tcPr>
            <w:tcW w:w="1129" w:type="dxa"/>
            <w:vMerge/>
            <w:shd w:val="clear" w:color="auto" w:fill="FFFFFF"/>
          </w:tcPr>
          <w:p w14:paraId="4DD64D7D"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31678B2E" w14:textId="77777777" w:rsidR="009802BD" w:rsidRPr="009802BD" w:rsidRDefault="009802BD" w:rsidP="009802BD">
            <w:pPr>
              <w:pStyle w:val="Body"/>
              <w:spacing w:after="0"/>
              <w:rPr>
                <w:rFonts w:ascii="Arial" w:hAnsi="Arial" w:cs="Arial"/>
              </w:rPr>
            </w:pPr>
          </w:p>
        </w:tc>
        <w:tc>
          <w:tcPr>
            <w:tcW w:w="1275" w:type="dxa"/>
            <w:shd w:val="clear" w:color="auto" w:fill="FFFFFF"/>
          </w:tcPr>
          <w:p w14:paraId="6C532439"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4CA1879B" w14:textId="77777777" w:rsidR="009802BD" w:rsidRPr="009802BD" w:rsidRDefault="009802BD" w:rsidP="009802BD">
            <w:pPr>
              <w:pStyle w:val="Body"/>
              <w:spacing w:after="0"/>
              <w:rPr>
                <w:rFonts w:ascii="Arial" w:hAnsi="Arial" w:cs="Arial"/>
              </w:rPr>
            </w:pPr>
            <w:r w:rsidRPr="009802BD">
              <w:rPr>
                <w:rFonts w:ascii="Arial" w:hAnsi="Arial" w:cs="Arial"/>
              </w:rPr>
              <w:t>.1404</w:t>
            </w:r>
          </w:p>
        </w:tc>
        <w:tc>
          <w:tcPr>
            <w:tcW w:w="851" w:type="dxa"/>
            <w:shd w:val="clear" w:color="auto" w:fill="FFFFFF"/>
            <w:vAlign w:val="center"/>
          </w:tcPr>
          <w:p w14:paraId="6BDC2A89" w14:textId="77777777" w:rsidR="009802BD" w:rsidRPr="009802BD" w:rsidRDefault="009802BD" w:rsidP="009802BD">
            <w:pPr>
              <w:pStyle w:val="Body"/>
              <w:spacing w:after="0"/>
              <w:rPr>
                <w:rFonts w:ascii="Arial" w:hAnsi="Arial" w:cs="Arial"/>
              </w:rPr>
            </w:pPr>
            <w:r w:rsidRPr="009802BD">
              <w:rPr>
                <w:rFonts w:ascii="Arial" w:hAnsi="Arial" w:cs="Arial"/>
              </w:rPr>
              <w:t>.16009</w:t>
            </w:r>
          </w:p>
        </w:tc>
        <w:tc>
          <w:tcPr>
            <w:tcW w:w="709" w:type="dxa"/>
            <w:shd w:val="clear" w:color="auto" w:fill="FFFFFF"/>
            <w:vAlign w:val="center"/>
          </w:tcPr>
          <w:p w14:paraId="7858B2D1" w14:textId="77777777" w:rsidR="009802BD" w:rsidRPr="009802BD" w:rsidRDefault="009802BD" w:rsidP="009802BD">
            <w:pPr>
              <w:pStyle w:val="Body"/>
              <w:spacing w:after="0"/>
              <w:rPr>
                <w:rFonts w:ascii="Arial" w:hAnsi="Arial" w:cs="Arial"/>
              </w:rPr>
            </w:pPr>
            <w:r w:rsidRPr="009802BD">
              <w:rPr>
                <w:rFonts w:ascii="Arial" w:hAnsi="Arial" w:cs="Arial"/>
              </w:rPr>
              <w:t>.664</w:t>
            </w:r>
          </w:p>
        </w:tc>
        <w:tc>
          <w:tcPr>
            <w:tcW w:w="850" w:type="dxa"/>
            <w:shd w:val="clear" w:color="auto" w:fill="FFFFFF"/>
            <w:vAlign w:val="center"/>
          </w:tcPr>
          <w:p w14:paraId="7DD0EF3D" w14:textId="77777777" w:rsidR="009802BD" w:rsidRPr="009802BD" w:rsidRDefault="009802BD" w:rsidP="009802BD">
            <w:pPr>
              <w:pStyle w:val="Body"/>
              <w:spacing w:after="0"/>
              <w:rPr>
                <w:rFonts w:ascii="Arial" w:hAnsi="Arial" w:cs="Arial"/>
              </w:rPr>
            </w:pPr>
            <w:r w:rsidRPr="009802BD">
              <w:rPr>
                <w:rFonts w:ascii="Arial" w:hAnsi="Arial" w:cs="Arial"/>
              </w:rPr>
              <w:t>-.2825</w:t>
            </w:r>
          </w:p>
        </w:tc>
        <w:tc>
          <w:tcPr>
            <w:tcW w:w="851" w:type="dxa"/>
            <w:shd w:val="clear" w:color="auto" w:fill="FFFFFF"/>
            <w:vAlign w:val="center"/>
          </w:tcPr>
          <w:p w14:paraId="5376E5FA" w14:textId="77777777" w:rsidR="009802BD" w:rsidRPr="009802BD" w:rsidRDefault="009802BD" w:rsidP="009802BD">
            <w:pPr>
              <w:pStyle w:val="Body"/>
              <w:spacing w:after="0"/>
              <w:rPr>
                <w:rFonts w:ascii="Arial" w:hAnsi="Arial" w:cs="Arial"/>
              </w:rPr>
            </w:pPr>
            <w:r w:rsidRPr="009802BD">
              <w:rPr>
                <w:rFonts w:ascii="Arial" w:hAnsi="Arial" w:cs="Arial"/>
              </w:rPr>
              <w:t>.5632</w:t>
            </w:r>
          </w:p>
        </w:tc>
      </w:tr>
      <w:tr w:rsidR="009802BD" w:rsidRPr="009802BD" w14:paraId="036AE146" w14:textId="77777777" w:rsidTr="009802BD">
        <w:trPr>
          <w:cantSplit/>
          <w:jc w:val="center"/>
        </w:trPr>
        <w:tc>
          <w:tcPr>
            <w:tcW w:w="1129" w:type="dxa"/>
            <w:vMerge w:val="restart"/>
            <w:shd w:val="clear" w:color="auto" w:fill="FFFFFF"/>
          </w:tcPr>
          <w:p w14:paraId="22725722" w14:textId="77777777" w:rsidR="009802BD" w:rsidRPr="009802BD" w:rsidRDefault="009802BD" w:rsidP="009802BD">
            <w:pPr>
              <w:pStyle w:val="Body"/>
              <w:spacing w:after="0"/>
              <w:rPr>
                <w:rFonts w:ascii="Arial" w:hAnsi="Arial" w:cs="Arial"/>
              </w:rPr>
            </w:pPr>
            <w:r w:rsidRPr="009802BD">
              <w:rPr>
                <w:rFonts w:ascii="Arial" w:hAnsi="Arial" w:cs="Arial"/>
              </w:rPr>
              <w:t>Detection</w:t>
            </w:r>
          </w:p>
        </w:tc>
        <w:tc>
          <w:tcPr>
            <w:tcW w:w="1701" w:type="dxa"/>
            <w:vMerge w:val="restart"/>
            <w:shd w:val="clear" w:color="auto" w:fill="FFFFFF"/>
          </w:tcPr>
          <w:p w14:paraId="17857345"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shd w:val="clear" w:color="auto" w:fill="FFFFFF"/>
          </w:tcPr>
          <w:p w14:paraId="75A3CF37"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2851772E" w14:textId="77777777" w:rsidR="009802BD" w:rsidRPr="009802BD" w:rsidRDefault="009802BD" w:rsidP="009802BD">
            <w:pPr>
              <w:pStyle w:val="Body"/>
              <w:spacing w:after="0"/>
              <w:rPr>
                <w:rFonts w:ascii="Arial" w:hAnsi="Arial" w:cs="Arial"/>
              </w:rPr>
            </w:pPr>
            <w:r w:rsidRPr="009802BD">
              <w:rPr>
                <w:rFonts w:ascii="Arial" w:hAnsi="Arial" w:cs="Arial"/>
              </w:rPr>
              <w:t>-.0483</w:t>
            </w:r>
          </w:p>
        </w:tc>
        <w:tc>
          <w:tcPr>
            <w:tcW w:w="851" w:type="dxa"/>
            <w:shd w:val="clear" w:color="auto" w:fill="FFFFFF"/>
            <w:vAlign w:val="center"/>
          </w:tcPr>
          <w:p w14:paraId="5855DF79" w14:textId="77777777" w:rsidR="009802BD" w:rsidRPr="009802BD" w:rsidRDefault="009802BD" w:rsidP="009802BD">
            <w:pPr>
              <w:pStyle w:val="Body"/>
              <w:spacing w:after="0"/>
              <w:rPr>
                <w:rFonts w:ascii="Arial" w:hAnsi="Arial" w:cs="Arial"/>
              </w:rPr>
            </w:pPr>
            <w:r w:rsidRPr="009802BD">
              <w:rPr>
                <w:rFonts w:ascii="Arial" w:hAnsi="Arial" w:cs="Arial"/>
              </w:rPr>
              <w:t>.14091</w:t>
            </w:r>
          </w:p>
        </w:tc>
        <w:tc>
          <w:tcPr>
            <w:tcW w:w="709" w:type="dxa"/>
            <w:shd w:val="clear" w:color="auto" w:fill="FFFFFF"/>
            <w:vAlign w:val="center"/>
          </w:tcPr>
          <w:p w14:paraId="716B14E6" w14:textId="77777777" w:rsidR="009802BD" w:rsidRPr="009802BD" w:rsidRDefault="009802BD" w:rsidP="009802BD">
            <w:pPr>
              <w:pStyle w:val="Body"/>
              <w:spacing w:after="0"/>
              <w:rPr>
                <w:rFonts w:ascii="Arial" w:hAnsi="Arial" w:cs="Arial"/>
              </w:rPr>
            </w:pPr>
            <w:r w:rsidRPr="009802BD">
              <w:rPr>
                <w:rFonts w:ascii="Arial" w:hAnsi="Arial" w:cs="Arial"/>
              </w:rPr>
              <w:t>.938</w:t>
            </w:r>
          </w:p>
        </w:tc>
        <w:tc>
          <w:tcPr>
            <w:tcW w:w="850" w:type="dxa"/>
            <w:shd w:val="clear" w:color="auto" w:fill="FFFFFF"/>
            <w:vAlign w:val="center"/>
          </w:tcPr>
          <w:p w14:paraId="340DA3A2" w14:textId="77777777" w:rsidR="009802BD" w:rsidRPr="009802BD" w:rsidRDefault="009802BD" w:rsidP="009802BD">
            <w:pPr>
              <w:pStyle w:val="Body"/>
              <w:spacing w:after="0"/>
              <w:rPr>
                <w:rFonts w:ascii="Arial" w:hAnsi="Arial" w:cs="Arial"/>
              </w:rPr>
            </w:pPr>
            <w:r w:rsidRPr="009802BD">
              <w:rPr>
                <w:rFonts w:ascii="Arial" w:hAnsi="Arial" w:cs="Arial"/>
              </w:rPr>
              <w:t>-.4220</w:t>
            </w:r>
          </w:p>
        </w:tc>
        <w:tc>
          <w:tcPr>
            <w:tcW w:w="851" w:type="dxa"/>
            <w:shd w:val="clear" w:color="auto" w:fill="FFFFFF"/>
            <w:vAlign w:val="center"/>
          </w:tcPr>
          <w:p w14:paraId="0A4B3CDF" w14:textId="77777777" w:rsidR="009802BD" w:rsidRPr="009802BD" w:rsidRDefault="009802BD" w:rsidP="009802BD">
            <w:pPr>
              <w:pStyle w:val="Body"/>
              <w:spacing w:after="0"/>
              <w:rPr>
                <w:rFonts w:ascii="Arial" w:hAnsi="Arial" w:cs="Arial"/>
              </w:rPr>
            </w:pPr>
            <w:r w:rsidRPr="009802BD">
              <w:rPr>
                <w:rFonts w:ascii="Arial" w:hAnsi="Arial" w:cs="Arial"/>
              </w:rPr>
              <w:t>.3255</w:t>
            </w:r>
          </w:p>
        </w:tc>
      </w:tr>
      <w:tr w:rsidR="009802BD" w:rsidRPr="009802BD" w14:paraId="6010CD3C" w14:textId="77777777" w:rsidTr="009802BD">
        <w:trPr>
          <w:cantSplit/>
          <w:jc w:val="center"/>
        </w:trPr>
        <w:tc>
          <w:tcPr>
            <w:tcW w:w="1129" w:type="dxa"/>
            <w:vMerge/>
            <w:shd w:val="clear" w:color="auto" w:fill="FFFFFF"/>
          </w:tcPr>
          <w:p w14:paraId="3650FEFD"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5C531177" w14:textId="77777777" w:rsidR="009802BD" w:rsidRPr="009802BD" w:rsidRDefault="009802BD" w:rsidP="009802BD">
            <w:pPr>
              <w:pStyle w:val="Body"/>
              <w:spacing w:after="0"/>
              <w:rPr>
                <w:rFonts w:ascii="Arial" w:hAnsi="Arial" w:cs="Arial"/>
              </w:rPr>
            </w:pPr>
          </w:p>
        </w:tc>
        <w:tc>
          <w:tcPr>
            <w:tcW w:w="1275" w:type="dxa"/>
            <w:shd w:val="clear" w:color="auto" w:fill="FFFFFF"/>
          </w:tcPr>
          <w:p w14:paraId="79D1EF19"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05CE8F5E" w14:textId="77777777" w:rsidR="009802BD" w:rsidRPr="009802BD" w:rsidRDefault="009802BD" w:rsidP="009802BD">
            <w:pPr>
              <w:pStyle w:val="Body"/>
              <w:spacing w:after="0"/>
              <w:rPr>
                <w:rFonts w:ascii="Arial" w:hAnsi="Arial" w:cs="Arial"/>
              </w:rPr>
            </w:pPr>
            <w:r w:rsidRPr="009802BD">
              <w:rPr>
                <w:rFonts w:ascii="Arial" w:hAnsi="Arial" w:cs="Arial"/>
              </w:rPr>
              <w:t>-.2672*</w:t>
            </w:r>
          </w:p>
        </w:tc>
        <w:tc>
          <w:tcPr>
            <w:tcW w:w="851" w:type="dxa"/>
            <w:shd w:val="clear" w:color="auto" w:fill="FFFFFF"/>
            <w:vAlign w:val="center"/>
          </w:tcPr>
          <w:p w14:paraId="605EB13C" w14:textId="77777777" w:rsidR="009802BD" w:rsidRPr="009802BD" w:rsidRDefault="009802BD" w:rsidP="009802BD">
            <w:pPr>
              <w:pStyle w:val="Body"/>
              <w:spacing w:after="0"/>
              <w:rPr>
                <w:rFonts w:ascii="Arial" w:hAnsi="Arial" w:cs="Arial"/>
              </w:rPr>
            </w:pPr>
            <w:r w:rsidRPr="009802BD">
              <w:rPr>
                <w:rFonts w:ascii="Arial" w:hAnsi="Arial" w:cs="Arial"/>
              </w:rPr>
              <w:t>.07386</w:t>
            </w:r>
          </w:p>
        </w:tc>
        <w:tc>
          <w:tcPr>
            <w:tcW w:w="709" w:type="dxa"/>
            <w:shd w:val="clear" w:color="auto" w:fill="FFFFFF"/>
            <w:vAlign w:val="center"/>
          </w:tcPr>
          <w:p w14:paraId="2BC22B75" w14:textId="77777777" w:rsidR="009802BD" w:rsidRPr="009802BD" w:rsidRDefault="009802BD" w:rsidP="009802BD">
            <w:pPr>
              <w:pStyle w:val="Body"/>
              <w:spacing w:after="0"/>
              <w:rPr>
                <w:rFonts w:ascii="Arial" w:hAnsi="Arial" w:cs="Arial"/>
              </w:rPr>
            </w:pPr>
            <w:r w:rsidRPr="009802BD">
              <w:rPr>
                <w:rFonts w:ascii="Arial" w:hAnsi="Arial" w:cs="Arial"/>
              </w:rPr>
              <w:t>.002</w:t>
            </w:r>
          </w:p>
        </w:tc>
        <w:tc>
          <w:tcPr>
            <w:tcW w:w="850" w:type="dxa"/>
            <w:shd w:val="clear" w:color="auto" w:fill="FFFFFF"/>
            <w:vAlign w:val="center"/>
          </w:tcPr>
          <w:p w14:paraId="5309E71E" w14:textId="77777777" w:rsidR="009802BD" w:rsidRPr="009802BD" w:rsidRDefault="009802BD" w:rsidP="009802BD">
            <w:pPr>
              <w:pStyle w:val="Body"/>
              <w:spacing w:after="0"/>
              <w:rPr>
                <w:rFonts w:ascii="Arial" w:hAnsi="Arial" w:cs="Arial"/>
              </w:rPr>
            </w:pPr>
            <w:r w:rsidRPr="009802BD">
              <w:rPr>
                <w:rFonts w:ascii="Arial" w:hAnsi="Arial" w:cs="Arial"/>
              </w:rPr>
              <w:t>-.4447</w:t>
            </w:r>
          </w:p>
        </w:tc>
        <w:tc>
          <w:tcPr>
            <w:tcW w:w="851" w:type="dxa"/>
            <w:shd w:val="clear" w:color="auto" w:fill="FFFFFF"/>
            <w:vAlign w:val="center"/>
          </w:tcPr>
          <w:p w14:paraId="3DF44BE8" w14:textId="77777777" w:rsidR="009802BD" w:rsidRPr="009802BD" w:rsidRDefault="009802BD" w:rsidP="009802BD">
            <w:pPr>
              <w:pStyle w:val="Body"/>
              <w:spacing w:after="0"/>
              <w:rPr>
                <w:rFonts w:ascii="Arial" w:hAnsi="Arial" w:cs="Arial"/>
              </w:rPr>
            </w:pPr>
            <w:r w:rsidRPr="009802BD">
              <w:rPr>
                <w:rFonts w:ascii="Arial" w:hAnsi="Arial" w:cs="Arial"/>
              </w:rPr>
              <w:t>-.0897</w:t>
            </w:r>
          </w:p>
        </w:tc>
      </w:tr>
      <w:tr w:rsidR="009802BD" w:rsidRPr="009802BD" w14:paraId="69AF6316" w14:textId="77777777" w:rsidTr="009802BD">
        <w:trPr>
          <w:cantSplit/>
          <w:jc w:val="center"/>
        </w:trPr>
        <w:tc>
          <w:tcPr>
            <w:tcW w:w="1129" w:type="dxa"/>
            <w:vMerge/>
            <w:shd w:val="clear" w:color="auto" w:fill="FFFFFF"/>
          </w:tcPr>
          <w:p w14:paraId="7F9E5B59"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79235C64"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5C9C5A4B"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7540D3B9" w14:textId="77777777" w:rsidR="009802BD" w:rsidRPr="009802BD" w:rsidRDefault="009802BD" w:rsidP="009802BD">
            <w:pPr>
              <w:pStyle w:val="Body"/>
              <w:spacing w:after="0"/>
              <w:rPr>
                <w:rFonts w:ascii="Arial" w:hAnsi="Arial" w:cs="Arial"/>
              </w:rPr>
            </w:pPr>
            <w:r w:rsidRPr="009802BD">
              <w:rPr>
                <w:rFonts w:ascii="Arial" w:hAnsi="Arial" w:cs="Arial"/>
              </w:rPr>
              <w:t>.0483</w:t>
            </w:r>
          </w:p>
        </w:tc>
        <w:tc>
          <w:tcPr>
            <w:tcW w:w="851" w:type="dxa"/>
            <w:shd w:val="clear" w:color="auto" w:fill="FFFFFF"/>
            <w:vAlign w:val="center"/>
          </w:tcPr>
          <w:p w14:paraId="5307504D" w14:textId="77777777" w:rsidR="009802BD" w:rsidRPr="009802BD" w:rsidRDefault="009802BD" w:rsidP="009802BD">
            <w:pPr>
              <w:pStyle w:val="Body"/>
              <w:spacing w:after="0"/>
              <w:rPr>
                <w:rFonts w:ascii="Arial" w:hAnsi="Arial" w:cs="Arial"/>
              </w:rPr>
            </w:pPr>
            <w:r w:rsidRPr="009802BD">
              <w:rPr>
                <w:rFonts w:ascii="Arial" w:hAnsi="Arial" w:cs="Arial"/>
              </w:rPr>
              <w:t>.14091</w:t>
            </w:r>
          </w:p>
        </w:tc>
        <w:tc>
          <w:tcPr>
            <w:tcW w:w="709" w:type="dxa"/>
            <w:shd w:val="clear" w:color="auto" w:fill="FFFFFF"/>
            <w:vAlign w:val="center"/>
          </w:tcPr>
          <w:p w14:paraId="5AA0699F" w14:textId="77777777" w:rsidR="009802BD" w:rsidRPr="009802BD" w:rsidRDefault="009802BD" w:rsidP="009802BD">
            <w:pPr>
              <w:pStyle w:val="Body"/>
              <w:spacing w:after="0"/>
              <w:rPr>
                <w:rFonts w:ascii="Arial" w:hAnsi="Arial" w:cs="Arial"/>
              </w:rPr>
            </w:pPr>
            <w:r w:rsidRPr="009802BD">
              <w:rPr>
                <w:rFonts w:ascii="Arial" w:hAnsi="Arial" w:cs="Arial"/>
              </w:rPr>
              <w:t>.938</w:t>
            </w:r>
          </w:p>
        </w:tc>
        <w:tc>
          <w:tcPr>
            <w:tcW w:w="850" w:type="dxa"/>
            <w:shd w:val="clear" w:color="auto" w:fill="FFFFFF"/>
            <w:vAlign w:val="center"/>
          </w:tcPr>
          <w:p w14:paraId="5700D5D2" w14:textId="77777777" w:rsidR="009802BD" w:rsidRPr="009802BD" w:rsidRDefault="009802BD" w:rsidP="009802BD">
            <w:pPr>
              <w:pStyle w:val="Body"/>
              <w:spacing w:after="0"/>
              <w:rPr>
                <w:rFonts w:ascii="Arial" w:hAnsi="Arial" w:cs="Arial"/>
              </w:rPr>
            </w:pPr>
            <w:r w:rsidRPr="009802BD">
              <w:rPr>
                <w:rFonts w:ascii="Arial" w:hAnsi="Arial" w:cs="Arial"/>
              </w:rPr>
              <w:t>-.3255</w:t>
            </w:r>
          </w:p>
        </w:tc>
        <w:tc>
          <w:tcPr>
            <w:tcW w:w="851" w:type="dxa"/>
            <w:shd w:val="clear" w:color="auto" w:fill="FFFFFF"/>
            <w:vAlign w:val="center"/>
          </w:tcPr>
          <w:p w14:paraId="5617CA0E" w14:textId="77777777" w:rsidR="009802BD" w:rsidRPr="009802BD" w:rsidRDefault="009802BD" w:rsidP="009802BD">
            <w:pPr>
              <w:pStyle w:val="Body"/>
              <w:spacing w:after="0"/>
              <w:rPr>
                <w:rFonts w:ascii="Arial" w:hAnsi="Arial" w:cs="Arial"/>
              </w:rPr>
            </w:pPr>
            <w:r w:rsidRPr="009802BD">
              <w:rPr>
                <w:rFonts w:ascii="Arial" w:hAnsi="Arial" w:cs="Arial"/>
              </w:rPr>
              <w:t>.4220</w:t>
            </w:r>
          </w:p>
        </w:tc>
      </w:tr>
      <w:tr w:rsidR="009802BD" w:rsidRPr="009802BD" w14:paraId="795C7A3F" w14:textId="77777777" w:rsidTr="009802BD">
        <w:trPr>
          <w:cantSplit/>
          <w:jc w:val="center"/>
        </w:trPr>
        <w:tc>
          <w:tcPr>
            <w:tcW w:w="1129" w:type="dxa"/>
            <w:vMerge/>
            <w:shd w:val="clear" w:color="auto" w:fill="FFFFFF"/>
          </w:tcPr>
          <w:p w14:paraId="08792155"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2A00614B" w14:textId="77777777" w:rsidR="009802BD" w:rsidRPr="009802BD" w:rsidRDefault="009802BD" w:rsidP="009802BD">
            <w:pPr>
              <w:pStyle w:val="Body"/>
              <w:spacing w:after="0"/>
              <w:rPr>
                <w:rFonts w:ascii="Arial" w:hAnsi="Arial" w:cs="Arial"/>
              </w:rPr>
            </w:pPr>
          </w:p>
        </w:tc>
        <w:tc>
          <w:tcPr>
            <w:tcW w:w="1275" w:type="dxa"/>
            <w:shd w:val="clear" w:color="auto" w:fill="FFFFFF"/>
          </w:tcPr>
          <w:p w14:paraId="6BA1428D"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2482FFEE" w14:textId="77777777" w:rsidR="009802BD" w:rsidRPr="009802BD" w:rsidRDefault="009802BD" w:rsidP="009802BD">
            <w:pPr>
              <w:pStyle w:val="Body"/>
              <w:spacing w:after="0"/>
              <w:rPr>
                <w:rFonts w:ascii="Arial" w:hAnsi="Arial" w:cs="Arial"/>
              </w:rPr>
            </w:pPr>
            <w:r w:rsidRPr="009802BD">
              <w:rPr>
                <w:rFonts w:ascii="Arial" w:hAnsi="Arial" w:cs="Arial"/>
              </w:rPr>
              <w:t>-.2189</w:t>
            </w:r>
          </w:p>
        </w:tc>
        <w:tc>
          <w:tcPr>
            <w:tcW w:w="851" w:type="dxa"/>
            <w:shd w:val="clear" w:color="auto" w:fill="FFFFFF"/>
            <w:vAlign w:val="center"/>
          </w:tcPr>
          <w:p w14:paraId="50A105BB" w14:textId="77777777" w:rsidR="009802BD" w:rsidRPr="009802BD" w:rsidRDefault="009802BD" w:rsidP="009802BD">
            <w:pPr>
              <w:pStyle w:val="Body"/>
              <w:spacing w:after="0"/>
              <w:rPr>
                <w:rFonts w:ascii="Arial" w:hAnsi="Arial" w:cs="Arial"/>
              </w:rPr>
            </w:pPr>
            <w:r w:rsidRPr="009802BD">
              <w:rPr>
                <w:rFonts w:ascii="Arial" w:hAnsi="Arial" w:cs="Arial"/>
              </w:rPr>
              <w:t>.14504</w:t>
            </w:r>
          </w:p>
        </w:tc>
        <w:tc>
          <w:tcPr>
            <w:tcW w:w="709" w:type="dxa"/>
            <w:shd w:val="clear" w:color="auto" w:fill="FFFFFF"/>
            <w:vAlign w:val="center"/>
          </w:tcPr>
          <w:p w14:paraId="4C65C095" w14:textId="77777777" w:rsidR="009802BD" w:rsidRPr="009802BD" w:rsidRDefault="009802BD" w:rsidP="009802BD">
            <w:pPr>
              <w:pStyle w:val="Body"/>
              <w:spacing w:after="0"/>
              <w:rPr>
                <w:rFonts w:ascii="Arial" w:hAnsi="Arial" w:cs="Arial"/>
              </w:rPr>
            </w:pPr>
            <w:r w:rsidRPr="009802BD">
              <w:rPr>
                <w:rFonts w:ascii="Arial" w:hAnsi="Arial" w:cs="Arial"/>
              </w:rPr>
              <w:t>.317</w:t>
            </w:r>
          </w:p>
        </w:tc>
        <w:tc>
          <w:tcPr>
            <w:tcW w:w="850" w:type="dxa"/>
            <w:shd w:val="clear" w:color="auto" w:fill="FFFFFF"/>
            <w:vAlign w:val="center"/>
          </w:tcPr>
          <w:p w14:paraId="7699F250" w14:textId="77777777" w:rsidR="009802BD" w:rsidRPr="009802BD" w:rsidRDefault="009802BD" w:rsidP="009802BD">
            <w:pPr>
              <w:pStyle w:val="Body"/>
              <w:spacing w:after="0"/>
              <w:rPr>
                <w:rFonts w:ascii="Arial" w:hAnsi="Arial" w:cs="Arial"/>
              </w:rPr>
            </w:pPr>
            <w:r w:rsidRPr="009802BD">
              <w:rPr>
                <w:rFonts w:ascii="Arial" w:hAnsi="Arial" w:cs="Arial"/>
              </w:rPr>
              <w:t>-.5989</w:t>
            </w:r>
          </w:p>
        </w:tc>
        <w:tc>
          <w:tcPr>
            <w:tcW w:w="851" w:type="dxa"/>
            <w:shd w:val="clear" w:color="auto" w:fill="FFFFFF"/>
            <w:vAlign w:val="center"/>
          </w:tcPr>
          <w:p w14:paraId="0AF1CD45" w14:textId="77777777" w:rsidR="009802BD" w:rsidRPr="009802BD" w:rsidRDefault="009802BD" w:rsidP="009802BD">
            <w:pPr>
              <w:pStyle w:val="Body"/>
              <w:spacing w:after="0"/>
              <w:rPr>
                <w:rFonts w:ascii="Arial" w:hAnsi="Arial" w:cs="Arial"/>
              </w:rPr>
            </w:pPr>
            <w:r w:rsidRPr="009802BD">
              <w:rPr>
                <w:rFonts w:ascii="Arial" w:hAnsi="Arial" w:cs="Arial"/>
              </w:rPr>
              <w:t>.1610</w:t>
            </w:r>
          </w:p>
        </w:tc>
      </w:tr>
      <w:tr w:rsidR="009802BD" w:rsidRPr="009802BD" w14:paraId="535B2699" w14:textId="77777777" w:rsidTr="009802BD">
        <w:trPr>
          <w:cantSplit/>
          <w:jc w:val="center"/>
        </w:trPr>
        <w:tc>
          <w:tcPr>
            <w:tcW w:w="1129" w:type="dxa"/>
            <w:vMerge/>
            <w:shd w:val="clear" w:color="auto" w:fill="FFFFFF"/>
          </w:tcPr>
          <w:p w14:paraId="6BCACD34"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5E2F29B7"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52604BFD"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53500213" w14:textId="77777777" w:rsidR="009802BD" w:rsidRPr="009802BD" w:rsidRDefault="009802BD" w:rsidP="009802BD">
            <w:pPr>
              <w:pStyle w:val="Body"/>
              <w:spacing w:after="0"/>
              <w:rPr>
                <w:rFonts w:ascii="Arial" w:hAnsi="Arial" w:cs="Arial"/>
              </w:rPr>
            </w:pPr>
            <w:r w:rsidRPr="009802BD">
              <w:rPr>
                <w:rFonts w:ascii="Arial" w:hAnsi="Arial" w:cs="Arial"/>
              </w:rPr>
              <w:t>.2672*</w:t>
            </w:r>
          </w:p>
        </w:tc>
        <w:tc>
          <w:tcPr>
            <w:tcW w:w="851" w:type="dxa"/>
            <w:shd w:val="clear" w:color="auto" w:fill="FFFFFF"/>
            <w:vAlign w:val="center"/>
          </w:tcPr>
          <w:p w14:paraId="3F6C7296" w14:textId="77777777" w:rsidR="009802BD" w:rsidRPr="009802BD" w:rsidRDefault="009802BD" w:rsidP="009802BD">
            <w:pPr>
              <w:pStyle w:val="Body"/>
              <w:spacing w:after="0"/>
              <w:rPr>
                <w:rFonts w:ascii="Arial" w:hAnsi="Arial" w:cs="Arial"/>
              </w:rPr>
            </w:pPr>
            <w:r w:rsidRPr="009802BD">
              <w:rPr>
                <w:rFonts w:ascii="Arial" w:hAnsi="Arial" w:cs="Arial"/>
              </w:rPr>
              <w:t>.07386</w:t>
            </w:r>
          </w:p>
        </w:tc>
        <w:tc>
          <w:tcPr>
            <w:tcW w:w="709" w:type="dxa"/>
            <w:shd w:val="clear" w:color="auto" w:fill="FFFFFF"/>
            <w:vAlign w:val="center"/>
          </w:tcPr>
          <w:p w14:paraId="3E74BC9C" w14:textId="77777777" w:rsidR="009802BD" w:rsidRPr="009802BD" w:rsidRDefault="009802BD" w:rsidP="009802BD">
            <w:pPr>
              <w:pStyle w:val="Body"/>
              <w:spacing w:after="0"/>
              <w:rPr>
                <w:rFonts w:ascii="Arial" w:hAnsi="Arial" w:cs="Arial"/>
              </w:rPr>
            </w:pPr>
            <w:r w:rsidRPr="009802BD">
              <w:rPr>
                <w:rFonts w:ascii="Arial" w:hAnsi="Arial" w:cs="Arial"/>
              </w:rPr>
              <w:t>.002</w:t>
            </w:r>
          </w:p>
        </w:tc>
        <w:tc>
          <w:tcPr>
            <w:tcW w:w="850" w:type="dxa"/>
            <w:shd w:val="clear" w:color="auto" w:fill="FFFFFF"/>
            <w:vAlign w:val="center"/>
          </w:tcPr>
          <w:p w14:paraId="1F747787" w14:textId="77777777" w:rsidR="009802BD" w:rsidRPr="009802BD" w:rsidRDefault="009802BD" w:rsidP="009802BD">
            <w:pPr>
              <w:pStyle w:val="Body"/>
              <w:spacing w:after="0"/>
              <w:rPr>
                <w:rFonts w:ascii="Arial" w:hAnsi="Arial" w:cs="Arial"/>
              </w:rPr>
            </w:pPr>
            <w:r w:rsidRPr="009802BD">
              <w:rPr>
                <w:rFonts w:ascii="Arial" w:hAnsi="Arial" w:cs="Arial"/>
              </w:rPr>
              <w:t>.0897</w:t>
            </w:r>
          </w:p>
        </w:tc>
        <w:tc>
          <w:tcPr>
            <w:tcW w:w="851" w:type="dxa"/>
            <w:shd w:val="clear" w:color="auto" w:fill="FFFFFF"/>
            <w:vAlign w:val="center"/>
          </w:tcPr>
          <w:p w14:paraId="521A3B20" w14:textId="77777777" w:rsidR="009802BD" w:rsidRPr="009802BD" w:rsidRDefault="009802BD" w:rsidP="009802BD">
            <w:pPr>
              <w:pStyle w:val="Body"/>
              <w:spacing w:after="0"/>
              <w:rPr>
                <w:rFonts w:ascii="Arial" w:hAnsi="Arial" w:cs="Arial"/>
              </w:rPr>
            </w:pPr>
            <w:r w:rsidRPr="009802BD">
              <w:rPr>
                <w:rFonts w:ascii="Arial" w:hAnsi="Arial" w:cs="Arial"/>
              </w:rPr>
              <w:t>.4447</w:t>
            </w:r>
          </w:p>
        </w:tc>
      </w:tr>
      <w:tr w:rsidR="009802BD" w:rsidRPr="009802BD" w14:paraId="0FF705FD" w14:textId="77777777" w:rsidTr="009802BD">
        <w:trPr>
          <w:cantSplit/>
          <w:jc w:val="center"/>
        </w:trPr>
        <w:tc>
          <w:tcPr>
            <w:tcW w:w="1129" w:type="dxa"/>
            <w:vMerge/>
            <w:shd w:val="clear" w:color="auto" w:fill="FFFFFF"/>
          </w:tcPr>
          <w:p w14:paraId="6AE48B9A"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5CCC92D9" w14:textId="77777777" w:rsidR="009802BD" w:rsidRPr="009802BD" w:rsidRDefault="009802BD" w:rsidP="009802BD">
            <w:pPr>
              <w:pStyle w:val="Body"/>
              <w:spacing w:after="0"/>
              <w:rPr>
                <w:rFonts w:ascii="Arial" w:hAnsi="Arial" w:cs="Arial"/>
              </w:rPr>
            </w:pPr>
          </w:p>
        </w:tc>
        <w:tc>
          <w:tcPr>
            <w:tcW w:w="1275" w:type="dxa"/>
            <w:shd w:val="clear" w:color="auto" w:fill="FFFFFF"/>
          </w:tcPr>
          <w:p w14:paraId="2F2A6B12"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095A5C05" w14:textId="77777777" w:rsidR="009802BD" w:rsidRPr="009802BD" w:rsidRDefault="009802BD" w:rsidP="009802BD">
            <w:pPr>
              <w:pStyle w:val="Body"/>
              <w:spacing w:after="0"/>
              <w:rPr>
                <w:rFonts w:ascii="Arial" w:hAnsi="Arial" w:cs="Arial"/>
              </w:rPr>
            </w:pPr>
            <w:r w:rsidRPr="009802BD">
              <w:rPr>
                <w:rFonts w:ascii="Arial" w:hAnsi="Arial" w:cs="Arial"/>
              </w:rPr>
              <w:t>.2189</w:t>
            </w:r>
          </w:p>
        </w:tc>
        <w:tc>
          <w:tcPr>
            <w:tcW w:w="851" w:type="dxa"/>
            <w:shd w:val="clear" w:color="auto" w:fill="FFFFFF"/>
            <w:vAlign w:val="center"/>
          </w:tcPr>
          <w:p w14:paraId="6A88F46B" w14:textId="77777777" w:rsidR="009802BD" w:rsidRPr="009802BD" w:rsidRDefault="009802BD" w:rsidP="009802BD">
            <w:pPr>
              <w:pStyle w:val="Body"/>
              <w:spacing w:after="0"/>
              <w:rPr>
                <w:rFonts w:ascii="Arial" w:hAnsi="Arial" w:cs="Arial"/>
              </w:rPr>
            </w:pPr>
            <w:r w:rsidRPr="009802BD">
              <w:rPr>
                <w:rFonts w:ascii="Arial" w:hAnsi="Arial" w:cs="Arial"/>
              </w:rPr>
              <w:t>.14504</w:t>
            </w:r>
          </w:p>
        </w:tc>
        <w:tc>
          <w:tcPr>
            <w:tcW w:w="709" w:type="dxa"/>
            <w:shd w:val="clear" w:color="auto" w:fill="FFFFFF"/>
            <w:vAlign w:val="center"/>
          </w:tcPr>
          <w:p w14:paraId="2315AD73" w14:textId="77777777" w:rsidR="009802BD" w:rsidRPr="009802BD" w:rsidRDefault="009802BD" w:rsidP="009802BD">
            <w:pPr>
              <w:pStyle w:val="Body"/>
              <w:spacing w:after="0"/>
              <w:rPr>
                <w:rFonts w:ascii="Arial" w:hAnsi="Arial" w:cs="Arial"/>
              </w:rPr>
            </w:pPr>
            <w:r w:rsidRPr="009802BD">
              <w:rPr>
                <w:rFonts w:ascii="Arial" w:hAnsi="Arial" w:cs="Arial"/>
              </w:rPr>
              <w:t>.317</w:t>
            </w:r>
          </w:p>
        </w:tc>
        <w:tc>
          <w:tcPr>
            <w:tcW w:w="850" w:type="dxa"/>
            <w:shd w:val="clear" w:color="auto" w:fill="FFFFFF"/>
            <w:vAlign w:val="center"/>
          </w:tcPr>
          <w:p w14:paraId="11ABE2EE" w14:textId="77777777" w:rsidR="009802BD" w:rsidRPr="009802BD" w:rsidRDefault="009802BD" w:rsidP="009802BD">
            <w:pPr>
              <w:pStyle w:val="Body"/>
              <w:spacing w:after="0"/>
              <w:rPr>
                <w:rFonts w:ascii="Arial" w:hAnsi="Arial" w:cs="Arial"/>
              </w:rPr>
            </w:pPr>
            <w:r w:rsidRPr="009802BD">
              <w:rPr>
                <w:rFonts w:ascii="Arial" w:hAnsi="Arial" w:cs="Arial"/>
              </w:rPr>
              <w:t>-.1610</w:t>
            </w:r>
          </w:p>
        </w:tc>
        <w:tc>
          <w:tcPr>
            <w:tcW w:w="851" w:type="dxa"/>
            <w:shd w:val="clear" w:color="auto" w:fill="FFFFFF"/>
            <w:vAlign w:val="center"/>
          </w:tcPr>
          <w:p w14:paraId="0A2D8940" w14:textId="77777777" w:rsidR="009802BD" w:rsidRPr="009802BD" w:rsidRDefault="009802BD" w:rsidP="009802BD">
            <w:pPr>
              <w:pStyle w:val="Body"/>
              <w:spacing w:after="0"/>
              <w:rPr>
                <w:rFonts w:ascii="Arial" w:hAnsi="Arial" w:cs="Arial"/>
              </w:rPr>
            </w:pPr>
            <w:r w:rsidRPr="009802BD">
              <w:rPr>
                <w:rFonts w:ascii="Arial" w:hAnsi="Arial" w:cs="Arial"/>
              </w:rPr>
              <w:t>.5989</w:t>
            </w:r>
          </w:p>
        </w:tc>
      </w:tr>
      <w:tr w:rsidR="009802BD" w:rsidRPr="009802BD" w14:paraId="57F79CC4" w14:textId="77777777" w:rsidTr="009802BD">
        <w:trPr>
          <w:cantSplit/>
          <w:jc w:val="center"/>
        </w:trPr>
        <w:tc>
          <w:tcPr>
            <w:tcW w:w="1129" w:type="dxa"/>
            <w:vMerge w:val="restart"/>
            <w:shd w:val="clear" w:color="auto" w:fill="FFFFFF"/>
          </w:tcPr>
          <w:p w14:paraId="12AD750F" w14:textId="77777777" w:rsidR="009802BD" w:rsidRPr="009802BD" w:rsidRDefault="009802BD" w:rsidP="009802BD">
            <w:pPr>
              <w:pStyle w:val="Body"/>
              <w:spacing w:after="0"/>
              <w:rPr>
                <w:rFonts w:ascii="Arial" w:hAnsi="Arial" w:cs="Arial"/>
              </w:rPr>
            </w:pPr>
            <w:r w:rsidRPr="009802BD">
              <w:rPr>
                <w:rFonts w:ascii="Arial" w:hAnsi="Arial" w:cs="Arial"/>
              </w:rPr>
              <w:t>Investigation</w:t>
            </w:r>
          </w:p>
        </w:tc>
        <w:tc>
          <w:tcPr>
            <w:tcW w:w="1701" w:type="dxa"/>
            <w:vMerge w:val="restart"/>
            <w:shd w:val="clear" w:color="auto" w:fill="FFFFFF"/>
          </w:tcPr>
          <w:p w14:paraId="23707221"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shd w:val="clear" w:color="auto" w:fill="FFFFFF"/>
          </w:tcPr>
          <w:p w14:paraId="2BD71FE0"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76EE9D94" w14:textId="77777777" w:rsidR="009802BD" w:rsidRPr="009802BD" w:rsidRDefault="009802BD" w:rsidP="009802BD">
            <w:pPr>
              <w:pStyle w:val="Body"/>
              <w:spacing w:after="0"/>
              <w:rPr>
                <w:rFonts w:ascii="Arial" w:hAnsi="Arial" w:cs="Arial"/>
              </w:rPr>
            </w:pPr>
            <w:r w:rsidRPr="009802BD">
              <w:rPr>
                <w:rFonts w:ascii="Arial" w:hAnsi="Arial" w:cs="Arial"/>
              </w:rPr>
              <w:t>.1415</w:t>
            </w:r>
          </w:p>
        </w:tc>
        <w:tc>
          <w:tcPr>
            <w:tcW w:w="851" w:type="dxa"/>
            <w:shd w:val="clear" w:color="auto" w:fill="FFFFFF"/>
            <w:vAlign w:val="center"/>
          </w:tcPr>
          <w:p w14:paraId="3B20225D" w14:textId="77777777" w:rsidR="009802BD" w:rsidRPr="009802BD" w:rsidRDefault="009802BD" w:rsidP="009802BD">
            <w:pPr>
              <w:pStyle w:val="Body"/>
              <w:spacing w:after="0"/>
              <w:rPr>
                <w:rFonts w:ascii="Arial" w:hAnsi="Arial" w:cs="Arial"/>
              </w:rPr>
            </w:pPr>
            <w:r w:rsidRPr="009802BD">
              <w:rPr>
                <w:rFonts w:ascii="Arial" w:hAnsi="Arial" w:cs="Arial"/>
              </w:rPr>
              <w:t>.15102</w:t>
            </w:r>
          </w:p>
        </w:tc>
        <w:tc>
          <w:tcPr>
            <w:tcW w:w="709" w:type="dxa"/>
            <w:shd w:val="clear" w:color="auto" w:fill="FFFFFF"/>
            <w:vAlign w:val="center"/>
          </w:tcPr>
          <w:p w14:paraId="5AD31D54" w14:textId="77777777" w:rsidR="009802BD" w:rsidRPr="009802BD" w:rsidRDefault="009802BD" w:rsidP="009802BD">
            <w:pPr>
              <w:pStyle w:val="Body"/>
              <w:spacing w:after="0"/>
              <w:rPr>
                <w:rFonts w:ascii="Arial" w:hAnsi="Arial" w:cs="Arial"/>
              </w:rPr>
            </w:pPr>
            <w:r w:rsidRPr="009802BD">
              <w:rPr>
                <w:rFonts w:ascii="Arial" w:hAnsi="Arial" w:cs="Arial"/>
              </w:rPr>
              <w:t>.629</w:t>
            </w:r>
          </w:p>
        </w:tc>
        <w:tc>
          <w:tcPr>
            <w:tcW w:w="850" w:type="dxa"/>
            <w:shd w:val="clear" w:color="auto" w:fill="FFFFFF"/>
            <w:vAlign w:val="center"/>
          </w:tcPr>
          <w:p w14:paraId="70190DA8" w14:textId="77777777" w:rsidR="009802BD" w:rsidRPr="009802BD" w:rsidRDefault="009802BD" w:rsidP="009802BD">
            <w:pPr>
              <w:pStyle w:val="Body"/>
              <w:spacing w:after="0"/>
              <w:rPr>
                <w:rFonts w:ascii="Arial" w:hAnsi="Arial" w:cs="Arial"/>
              </w:rPr>
            </w:pPr>
            <w:r w:rsidRPr="009802BD">
              <w:rPr>
                <w:rFonts w:ascii="Arial" w:hAnsi="Arial" w:cs="Arial"/>
              </w:rPr>
              <w:t>-.2639</w:t>
            </w:r>
          </w:p>
        </w:tc>
        <w:tc>
          <w:tcPr>
            <w:tcW w:w="851" w:type="dxa"/>
            <w:shd w:val="clear" w:color="auto" w:fill="FFFFFF"/>
            <w:vAlign w:val="center"/>
          </w:tcPr>
          <w:p w14:paraId="0C2DE6B0" w14:textId="77777777" w:rsidR="009802BD" w:rsidRPr="009802BD" w:rsidRDefault="009802BD" w:rsidP="009802BD">
            <w:pPr>
              <w:pStyle w:val="Body"/>
              <w:spacing w:after="0"/>
              <w:rPr>
                <w:rFonts w:ascii="Arial" w:hAnsi="Arial" w:cs="Arial"/>
              </w:rPr>
            </w:pPr>
            <w:r w:rsidRPr="009802BD">
              <w:rPr>
                <w:rFonts w:ascii="Arial" w:hAnsi="Arial" w:cs="Arial"/>
              </w:rPr>
              <w:t>.5469</w:t>
            </w:r>
          </w:p>
        </w:tc>
      </w:tr>
      <w:tr w:rsidR="009802BD" w:rsidRPr="009802BD" w14:paraId="13B74FC7" w14:textId="77777777" w:rsidTr="009802BD">
        <w:trPr>
          <w:cantSplit/>
          <w:jc w:val="center"/>
        </w:trPr>
        <w:tc>
          <w:tcPr>
            <w:tcW w:w="1129" w:type="dxa"/>
            <w:vMerge/>
            <w:shd w:val="clear" w:color="auto" w:fill="FFFFFF"/>
          </w:tcPr>
          <w:p w14:paraId="5145F932"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0475E5E2" w14:textId="77777777" w:rsidR="009802BD" w:rsidRPr="009802BD" w:rsidRDefault="009802BD" w:rsidP="009802BD">
            <w:pPr>
              <w:pStyle w:val="Body"/>
              <w:spacing w:after="0"/>
              <w:rPr>
                <w:rFonts w:ascii="Arial" w:hAnsi="Arial" w:cs="Arial"/>
              </w:rPr>
            </w:pPr>
          </w:p>
        </w:tc>
        <w:tc>
          <w:tcPr>
            <w:tcW w:w="1275" w:type="dxa"/>
            <w:shd w:val="clear" w:color="auto" w:fill="FFFFFF"/>
          </w:tcPr>
          <w:p w14:paraId="3A00C61A"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4ABC935C" w14:textId="77777777" w:rsidR="009802BD" w:rsidRPr="009802BD" w:rsidRDefault="009802BD" w:rsidP="009802BD">
            <w:pPr>
              <w:pStyle w:val="Body"/>
              <w:spacing w:after="0"/>
              <w:rPr>
                <w:rFonts w:ascii="Arial" w:hAnsi="Arial" w:cs="Arial"/>
              </w:rPr>
            </w:pPr>
            <w:r w:rsidRPr="009802BD">
              <w:rPr>
                <w:rFonts w:ascii="Arial" w:hAnsi="Arial" w:cs="Arial"/>
              </w:rPr>
              <w:t>-.2112*</w:t>
            </w:r>
          </w:p>
        </w:tc>
        <w:tc>
          <w:tcPr>
            <w:tcW w:w="851" w:type="dxa"/>
            <w:shd w:val="clear" w:color="auto" w:fill="FFFFFF"/>
            <w:vAlign w:val="center"/>
          </w:tcPr>
          <w:p w14:paraId="3F6E07F0" w14:textId="77777777" w:rsidR="009802BD" w:rsidRPr="009802BD" w:rsidRDefault="009802BD" w:rsidP="009802BD">
            <w:pPr>
              <w:pStyle w:val="Body"/>
              <w:spacing w:after="0"/>
              <w:rPr>
                <w:rFonts w:ascii="Arial" w:hAnsi="Arial" w:cs="Arial"/>
              </w:rPr>
            </w:pPr>
            <w:r w:rsidRPr="009802BD">
              <w:rPr>
                <w:rFonts w:ascii="Arial" w:hAnsi="Arial" w:cs="Arial"/>
              </w:rPr>
              <w:t>.07060</w:t>
            </w:r>
          </w:p>
        </w:tc>
        <w:tc>
          <w:tcPr>
            <w:tcW w:w="709" w:type="dxa"/>
            <w:shd w:val="clear" w:color="auto" w:fill="FFFFFF"/>
            <w:vAlign w:val="center"/>
          </w:tcPr>
          <w:p w14:paraId="7B336204" w14:textId="77777777" w:rsidR="009802BD" w:rsidRPr="009802BD" w:rsidRDefault="009802BD" w:rsidP="009802BD">
            <w:pPr>
              <w:pStyle w:val="Body"/>
              <w:spacing w:after="0"/>
              <w:rPr>
                <w:rFonts w:ascii="Arial" w:hAnsi="Arial" w:cs="Arial"/>
              </w:rPr>
            </w:pPr>
            <w:r w:rsidRPr="009802BD">
              <w:rPr>
                <w:rFonts w:ascii="Arial" w:hAnsi="Arial" w:cs="Arial"/>
              </w:rPr>
              <w:t>.012</w:t>
            </w:r>
          </w:p>
        </w:tc>
        <w:tc>
          <w:tcPr>
            <w:tcW w:w="850" w:type="dxa"/>
            <w:shd w:val="clear" w:color="auto" w:fill="FFFFFF"/>
            <w:vAlign w:val="center"/>
          </w:tcPr>
          <w:p w14:paraId="7D443FDE" w14:textId="77777777" w:rsidR="009802BD" w:rsidRPr="009802BD" w:rsidRDefault="009802BD" w:rsidP="009802BD">
            <w:pPr>
              <w:pStyle w:val="Body"/>
              <w:spacing w:after="0"/>
              <w:rPr>
                <w:rFonts w:ascii="Arial" w:hAnsi="Arial" w:cs="Arial"/>
              </w:rPr>
            </w:pPr>
            <w:r w:rsidRPr="009802BD">
              <w:rPr>
                <w:rFonts w:ascii="Arial" w:hAnsi="Arial" w:cs="Arial"/>
              </w:rPr>
              <w:t>-.3820</w:t>
            </w:r>
          </w:p>
        </w:tc>
        <w:tc>
          <w:tcPr>
            <w:tcW w:w="851" w:type="dxa"/>
            <w:shd w:val="clear" w:color="auto" w:fill="FFFFFF"/>
            <w:vAlign w:val="center"/>
          </w:tcPr>
          <w:p w14:paraId="3E5310C6" w14:textId="77777777" w:rsidR="009802BD" w:rsidRPr="009802BD" w:rsidRDefault="009802BD" w:rsidP="009802BD">
            <w:pPr>
              <w:pStyle w:val="Body"/>
              <w:spacing w:after="0"/>
              <w:rPr>
                <w:rFonts w:ascii="Arial" w:hAnsi="Arial" w:cs="Arial"/>
              </w:rPr>
            </w:pPr>
            <w:r w:rsidRPr="009802BD">
              <w:rPr>
                <w:rFonts w:ascii="Arial" w:hAnsi="Arial" w:cs="Arial"/>
              </w:rPr>
              <w:t>-.0404</w:t>
            </w:r>
          </w:p>
        </w:tc>
      </w:tr>
      <w:tr w:rsidR="009802BD" w:rsidRPr="009802BD" w14:paraId="53785831" w14:textId="77777777" w:rsidTr="009802BD">
        <w:trPr>
          <w:cantSplit/>
          <w:jc w:val="center"/>
        </w:trPr>
        <w:tc>
          <w:tcPr>
            <w:tcW w:w="1129" w:type="dxa"/>
            <w:vMerge/>
            <w:shd w:val="clear" w:color="auto" w:fill="FFFFFF"/>
          </w:tcPr>
          <w:p w14:paraId="7A7C4295"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0C133E4D"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5949C04D"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7D6329E1" w14:textId="77777777" w:rsidR="009802BD" w:rsidRPr="009802BD" w:rsidRDefault="009802BD" w:rsidP="009802BD">
            <w:pPr>
              <w:pStyle w:val="Body"/>
              <w:spacing w:after="0"/>
              <w:rPr>
                <w:rFonts w:ascii="Arial" w:hAnsi="Arial" w:cs="Arial"/>
              </w:rPr>
            </w:pPr>
            <w:r w:rsidRPr="009802BD">
              <w:rPr>
                <w:rFonts w:ascii="Arial" w:hAnsi="Arial" w:cs="Arial"/>
              </w:rPr>
              <w:t>-.1415</w:t>
            </w:r>
          </w:p>
        </w:tc>
        <w:tc>
          <w:tcPr>
            <w:tcW w:w="851" w:type="dxa"/>
            <w:shd w:val="clear" w:color="auto" w:fill="FFFFFF"/>
            <w:vAlign w:val="center"/>
          </w:tcPr>
          <w:p w14:paraId="604A89C2" w14:textId="77777777" w:rsidR="009802BD" w:rsidRPr="009802BD" w:rsidRDefault="009802BD" w:rsidP="009802BD">
            <w:pPr>
              <w:pStyle w:val="Body"/>
              <w:spacing w:after="0"/>
              <w:rPr>
                <w:rFonts w:ascii="Arial" w:hAnsi="Arial" w:cs="Arial"/>
              </w:rPr>
            </w:pPr>
            <w:r w:rsidRPr="009802BD">
              <w:rPr>
                <w:rFonts w:ascii="Arial" w:hAnsi="Arial" w:cs="Arial"/>
              </w:rPr>
              <w:t>.15102</w:t>
            </w:r>
          </w:p>
        </w:tc>
        <w:tc>
          <w:tcPr>
            <w:tcW w:w="709" w:type="dxa"/>
            <w:shd w:val="clear" w:color="auto" w:fill="FFFFFF"/>
            <w:vAlign w:val="center"/>
          </w:tcPr>
          <w:p w14:paraId="2693BC68" w14:textId="77777777" w:rsidR="009802BD" w:rsidRPr="009802BD" w:rsidRDefault="009802BD" w:rsidP="009802BD">
            <w:pPr>
              <w:pStyle w:val="Body"/>
              <w:spacing w:after="0"/>
              <w:rPr>
                <w:rFonts w:ascii="Arial" w:hAnsi="Arial" w:cs="Arial"/>
              </w:rPr>
            </w:pPr>
            <w:r w:rsidRPr="009802BD">
              <w:rPr>
                <w:rFonts w:ascii="Arial" w:hAnsi="Arial" w:cs="Arial"/>
              </w:rPr>
              <w:t>.629</w:t>
            </w:r>
          </w:p>
        </w:tc>
        <w:tc>
          <w:tcPr>
            <w:tcW w:w="850" w:type="dxa"/>
            <w:shd w:val="clear" w:color="auto" w:fill="FFFFFF"/>
            <w:vAlign w:val="center"/>
          </w:tcPr>
          <w:p w14:paraId="0CAFAEF6" w14:textId="77777777" w:rsidR="009802BD" w:rsidRPr="009802BD" w:rsidRDefault="009802BD" w:rsidP="009802BD">
            <w:pPr>
              <w:pStyle w:val="Body"/>
              <w:spacing w:after="0"/>
              <w:rPr>
                <w:rFonts w:ascii="Arial" w:hAnsi="Arial" w:cs="Arial"/>
              </w:rPr>
            </w:pPr>
            <w:r w:rsidRPr="009802BD">
              <w:rPr>
                <w:rFonts w:ascii="Arial" w:hAnsi="Arial" w:cs="Arial"/>
              </w:rPr>
              <w:t>-.5469</w:t>
            </w:r>
          </w:p>
        </w:tc>
        <w:tc>
          <w:tcPr>
            <w:tcW w:w="851" w:type="dxa"/>
            <w:shd w:val="clear" w:color="auto" w:fill="FFFFFF"/>
            <w:vAlign w:val="center"/>
          </w:tcPr>
          <w:p w14:paraId="4AD7CA4A" w14:textId="77777777" w:rsidR="009802BD" w:rsidRPr="009802BD" w:rsidRDefault="009802BD" w:rsidP="009802BD">
            <w:pPr>
              <w:pStyle w:val="Body"/>
              <w:spacing w:after="0"/>
              <w:rPr>
                <w:rFonts w:ascii="Arial" w:hAnsi="Arial" w:cs="Arial"/>
              </w:rPr>
            </w:pPr>
            <w:r w:rsidRPr="009802BD">
              <w:rPr>
                <w:rFonts w:ascii="Arial" w:hAnsi="Arial" w:cs="Arial"/>
              </w:rPr>
              <w:t>.2639</w:t>
            </w:r>
          </w:p>
        </w:tc>
      </w:tr>
      <w:tr w:rsidR="009802BD" w:rsidRPr="009802BD" w14:paraId="2CC339A0" w14:textId="77777777" w:rsidTr="009802BD">
        <w:trPr>
          <w:cantSplit/>
          <w:jc w:val="center"/>
        </w:trPr>
        <w:tc>
          <w:tcPr>
            <w:tcW w:w="1129" w:type="dxa"/>
            <w:vMerge/>
            <w:shd w:val="clear" w:color="auto" w:fill="FFFFFF"/>
          </w:tcPr>
          <w:p w14:paraId="4ADC2B70"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7B7B4725" w14:textId="77777777" w:rsidR="009802BD" w:rsidRPr="009802BD" w:rsidRDefault="009802BD" w:rsidP="009802BD">
            <w:pPr>
              <w:pStyle w:val="Body"/>
              <w:spacing w:after="0"/>
              <w:rPr>
                <w:rFonts w:ascii="Arial" w:hAnsi="Arial" w:cs="Arial"/>
              </w:rPr>
            </w:pPr>
          </w:p>
        </w:tc>
        <w:tc>
          <w:tcPr>
            <w:tcW w:w="1275" w:type="dxa"/>
            <w:shd w:val="clear" w:color="auto" w:fill="FFFFFF"/>
          </w:tcPr>
          <w:p w14:paraId="43654004"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1E55B0BF" w14:textId="77777777" w:rsidR="009802BD" w:rsidRPr="009802BD" w:rsidRDefault="009802BD" w:rsidP="009802BD">
            <w:pPr>
              <w:pStyle w:val="Body"/>
              <w:spacing w:after="0"/>
              <w:rPr>
                <w:rFonts w:ascii="Arial" w:hAnsi="Arial" w:cs="Arial"/>
              </w:rPr>
            </w:pPr>
            <w:r w:rsidRPr="009802BD">
              <w:rPr>
                <w:rFonts w:ascii="Arial" w:hAnsi="Arial" w:cs="Arial"/>
              </w:rPr>
              <w:t>-.3527</w:t>
            </w:r>
          </w:p>
        </w:tc>
        <w:tc>
          <w:tcPr>
            <w:tcW w:w="851" w:type="dxa"/>
            <w:shd w:val="clear" w:color="auto" w:fill="FFFFFF"/>
            <w:vAlign w:val="center"/>
          </w:tcPr>
          <w:p w14:paraId="586A5A50" w14:textId="77777777" w:rsidR="009802BD" w:rsidRPr="009802BD" w:rsidRDefault="009802BD" w:rsidP="009802BD">
            <w:pPr>
              <w:pStyle w:val="Body"/>
              <w:spacing w:after="0"/>
              <w:rPr>
                <w:rFonts w:ascii="Arial" w:hAnsi="Arial" w:cs="Arial"/>
              </w:rPr>
            </w:pPr>
            <w:r w:rsidRPr="009802BD">
              <w:rPr>
                <w:rFonts w:ascii="Arial" w:hAnsi="Arial" w:cs="Arial"/>
              </w:rPr>
              <w:t>.15734</w:t>
            </w:r>
          </w:p>
        </w:tc>
        <w:tc>
          <w:tcPr>
            <w:tcW w:w="709" w:type="dxa"/>
            <w:shd w:val="clear" w:color="auto" w:fill="FFFFFF"/>
            <w:vAlign w:val="center"/>
          </w:tcPr>
          <w:p w14:paraId="0317A17B" w14:textId="77777777" w:rsidR="009802BD" w:rsidRPr="009802BD" w:rsidRDefault="009802BD" w:rsidP="009802BD">
            <w:pPr>
              <w:pStyle w:val="Body"/>
              <w:spacing w:after="0"/>
              <w:rPr>
                <w:rFonts w:ascii="Arial" w:hAnsi="Arial" w:cs="Arial"/>
              </w:rPr>
            </w:pPr>
            <w:r w:rsidRPr="009802BD">
              <w:rPr>
                <w:rFonts w:ascii="Arial" w:hAnsi="Arial" w:cs="Arial"/>
              </w:rPr>
              <w:t>.100</w:t>
            </w:r>
          </w:p>
        </w:tc>
        <w:tc>
          <w:tcPr>
            <w:tcW w:w="850" w:type="dxa"/>
            <w:shd w:val="clear" w:color="auto" w:fill="FFFFFF"/>
            <w:vAlign w:val="center"/>
          </w:tcPr>
          <w:p w14:paraId="3C9AAD2C" w14:textId="77777777" w:rsidR="009802BD" w:rsidRPr="009802BD" w:rsidRDefault="009802BD" w:rsidP="009802BD">
            <w:pPr>
              <w:pStyle w:val="Body"/>
              <w:spacing w:after="0"/>
              <w:rPr>
                <w:rFonts w:ascii="Arial" w:hAnsi="Arial" w:cs="Arial"/>
              </w:rPr>
            </w:pPr>
            <w:r w:rsidRPr="009802BD">
              <w:rPr>
                <w:rFonts w:ascii="Arial" w:hAnsi="Arial" w:cs="Arial"/>
              </w:rPr>
              <w:t>-.7667</w:t>
            </w:r>
          </w:p>
        </w:tc>
        <w:tc>
          <w:tcPr>
            <w:tcW w:w="851" w:type="dxa"/>
            <w:shd w:val="clear" w:color="auto" w:fill="FFFFFF"/>
            <w:vAlign w:val="center"/>
          </w:tcPr>
          <w:p w14:paraId="14F24163" w14:textId="77777777" w:rsidR="009802BD" w:rsidRPr="009802BD" w:rsidRDefault="009802BD" w:rsidP="009802BD">
            <w:pPr>
              <w:pStyle w:val="Body"/>
              <w:spacing w:after="0"/>
              <w:rPr>
                <w:rFonts w:ascii="Arial" w:hAnsi="Arial" w:cs="Arial"/>
              </w:rPr>
            </w:pPr>
            <w:r w:rsidRPr="009802BD">
              <w:rPr>
                <w:rFonts w:ascii="Arial" w:hAnsi="Arial" w:cs="Arial"/>
              </w:rPr>
              <w:t>.0613</w:t>
            </w:r>
          </w:p>
        </w:tc>
      </w:tr>
      <w:tr w:rsidR="009802BD" w:rsidRPr="009802BD" w14:paraId="728FD320" w14:textId="77777777" w:rsidTr="009802BD">
        <w:trPr>
          <w:cantSplit/>
          <w:jc w:val="center"/>
        </w:trPr>
        <w:tc>
          <w:tcPr>
            <w:tcW w:w="1129" w:type="dxa"/>
            <w:vMerge/>
            <w:shd w:val="clear" w:color="auto" w:fill="FFFFFF"/>
          </w:tcPr>
          <w:p w14:paraId="58866D9D"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38280C9B"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737877B6"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6F958669" w14:textId="77777777" w:rsidR="009802BD" w:rsidRPr="009802BD" w:rsidRDefault="009802BD" w:rsidP="009802BD">
            <w:pPr>
              <w:pStyle w:val="Body"/>
              <w:spacing w:after="0"/>
              <w:rPr>
                <w:rFonts w:ascii="Arial" w:hAnsi="Arial" w:cs="Arial"/>
              </w:rPr>
            </w:pPr>
            <w:r w:rsidRPr="009802BD">
              <w:rPr>
                <w:rFonts w:ascii="Arial" w:hAnsi="Arial" w:cs="Arial"/>
              </w:rPr>
              <w:t>.2112*</w:t>
            </w:r>
          </w:p>
        </w:tc>
        <w:tc>
          <w:tcPr>
            <w:tcW w:w="851" w:type="dxa"/>
            <w:shd w:val="clear" w:color="auto" w:fill="FFFFFF"/>
            <w:vAlign w:val="center"/>
          </w:tcPr>
          <w:p w14:paraId="56526FBE" w14:textId="77777777" w:rsidR="009802BD" w:rsidRPr="009802BD" w:rsidRDefault="009802BD" w:rsidP="009802BD">
            <w:pPr>
              <w:pStyle w:val="Body"/>
              <w:spacing w:after="0"/>
              <w:rPr>
                <w:rFonts w:ascii="Arial" w:hAnsi="Arial" w:cs="Arial"/>
              </w:rPr>
            </w:pPr>
            <w:r w:rsidRPr="009802BD">
              <w:rPr>
                <w:rFonts w:ascii="Arial" w:hAnsi="Arial" w:cs="Arial"/>
              </w:rPr>
              <w:t>.07060</w:t>
            </w:r>
          </w:p>
        </w:tc>
        <w:tc>
          <w:tcPr>
            <w:tcW w:w="709" w:type="dxa"/>
            <w:shd w:val="clear" w:color="auto" w:fill="FFFFFF"/>
            <w:vAlign w:val="center"/>
          </w:tcPr>
          <w:p w14:paraId="3395A0C5" w14:textId="77777777" w:rsidR="009802BD" w:rsidRPr="009802BD" w:rsidRDefault="009802BD" w:rsidP="009802BD">
            <w:pPr>
              <w:pStyle w:val="Body"/>
              <w:spacing w:after="0"/>
              <w:rPr>
                <w:rFonts w:ascii="Arial" w:hAnsi="Arial" w:cs="Arial"/>
              </w:rPr>
            </w:pPr>
            <w:r w:rsidRPr="009802BD">
              <w:rPr>
                <w:rFonts w:ascii="Arial" w:hAnsi="Arial" w:cs="Arial"/>
              </w:rPr>
              <w:t>.012</w:t>
            </w:r>
          </w:p>
        </w:tc>
        <w:tc>
          <w:tcPr>
            <w:tcW w:w="850" w:type="dxa"/>
            <w:shd w:val="clear" w:color="auto" w:fill="FFFFFF"/>
            <w:vAlign w:val="center"/>
          </w:tcPr>
          <w:p w14:paraId="0E4569C1" w14:textId="77777777" w:rsidR="009802BD" w:rsidRPr="009802BD" w:rsidRDefault="009802BD" w:rsidP="009802BD">
            <w:pPr>
              <w:pStyle w:val="Body"/>
              <w:spacing w:after="0"/>
              <w:rPr>
                <w:rFonts w:ascii="Arial" w:hAnsi="Arial" w:cs="Arial"/>
              </w:rPr>
            </w:pPr>
            <w:r w:rsidRPr="009802BD">
              <w:rPr>
                <w:rFonts w:ascii="Arial" w:hAnsi="Arial" w:cs="Arial"/>
              </w:rPr>
              <w:t>.0404</w:t>
            </w:r>
          </w:p>
        </w:tc>
        <w:tc>
          <w:tcPr>
            <w:tcW w:w="851" w:type="dxa"/>
            <w:shd w:val="clear" w:color="auto" w:fill="FFFFFF"/>
            <w:vAlign w:val="center"/>
          </w:tcPr>
          <w:p w14:paraId="17F6CFD5" w14:textId="77777777" w:rsidR="009802BD" w:rsidRPr="009802BD" w:rsidRDefault="009802BD" w:rsidP="009802BD">
            <w:pPr>
              <w:pStyle w:val="Body"/>
              <w:spacing w:after="0"/>
              <w:rPr>
                <w:rFonts w:ascii="Arial" w:hAnsi="Arial" w:cs="Arial"/>
              </w:rPr>
            </w:pPr>
            <w:r w:rsidRPr="009802BD">
              <w:rPr>
                <w:rFonts w:ascii="Arial" w:hAnsi="Arial" w:cs="Arial"/>
              </w:rPr>
              <w:t>.3820</w:t>
            </w:r>
          </w:p>
        </w:tc>
      </w:tr>
      <w:tr w:rsidR="009802BD" w:rsidRPr="009802BD" w14:paraId="5B48D55B" w14:textId="77777777" w:rsidTr="009802BD">
        <w:trPr>
          <w:cantSplit/>
          <w:jc w:val="center"/>
        </w:trPr>
        <w:tc>
          <w:tcPr>
            <w:tcW w:w="1129" w:type="dxa"/>
            <w:vMerge/>
            <w:shd w:val="clear" w:color="auto" w:fill="FFFFFF"/>
          </w:tcPr>
          <w:p w14:paraId="12A36E09"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22C1090B" w14:textId="77777777" w:rsidR="009802BD" w:rsidRPr="009802BD" w:rsidRDefault="009802BD" w:rsidP="009802BD">
            <w:pPr>
              <w:pStyle w:val="Body"/>
              <w:spacing w:after="0"/>
              <w:rPr>
                <w:rFonts w:ascii="Arial" w:hAnsi="Arial" w:cs="Arial"/>
              </w:rPr>
            </w:pPr>
          </w:p>
        </w:tc>
        <w:tc>
          <w:tcPr>
            <w:tcW w:w="1275" w:type="dxa"/>
            <w:shd w:val="clear" w:color="auto" w:fill="FFFFFF"/>
          </w:tcPr>
          <w:p w14:paraId="6284A032"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150276A8" w14:textId="77777777" w:rsidR="009802BD" w:rsidRPr="009802BD" w:rsidRDefault="009802BD" w:rsidP="009802BD">
            <w:pPr>
              <w:pStyle w:val="Body"/>
              <w:spacing w:after="0"/>
              <w:rPr>
                <w:rFonts w:ascii="Arial" w:hAnsi="Arial" w:cs="Arial"/>
              </w:rPr>
            </w:pPr>
            <w:r w:rsidRPr="009802BD">
              <w:rPr>
                <w:rFonts w:ascii="Arial" w:hAnsi="Arial" w:cs="Arial"/>
              </w:rPr>
              <w:t>.3527</w:t>
            </w:r>
          </w:p>
        </w:tc>
        <w:tc>
          <w:tcPr>
            <w:tcW w:w="851" w:type="dxa"/>
            <w:shd w:val="clear" w:color="auto" w:fill="FFFFFF"/>
            <w:vAlign w:val="center"/>
          </w:tcPr>
          <w:p w14:paraId="1A8ED25E" w14:textId="77777777" w:rsidR="009802BD" w:rsidRPr="009802BD" w:rsidRDefault="009802BD" w:rsidP="009802BD">
            <w:pPr>
              <w:pStyle w:val="Body"/>
              <w:spacing w:after="0"/>
              <w:rPr>
                <w:rFonts w:ascii="Arial" w:hAnsi="Arial" w:cs="Arial"/>
              </w:rPr>
            </w:pPr>
            <w:r w:rsidRPr="009802BD">
              <w:rPr>
                <w:rFonts w:ascii="Arial" w:hAnsi="Arial" w:cs="Arial"/>
              </w:rPr>
              <w:t>.15734</w:t>
            </w:r>
          </w:p>
        </w:tc>
        <w:tc>
          <w:tcPr>
            <w:tcW w:w="709" w:type="dxa"/>
            <w:shd w:val="clear" w:color="auto" w:fill="FFFFFF"/>
            <w:vAlign w:val="center"/>
          </w:tcPr>
          <w:p w14:paraId="742910A0" w14:textId="77777777" w:rsidR="009802BD" w:rsidRPr="009802BD" w:rsidRDefault="009802BD" w:rsidP="009802BD">
            <w:pPr>
              <w:pStyle w:val="Body"/>
              <w:spacing w:after="0"/>
              <w:rPr>
                <w:rFonts w:ascii="Arial" w:hAnsi="Arial" w:cs="Arial"/>
              </w:rPr>
            </w:pPr>
            <w:r w:rsidRPr="009802BD">
              <w:rPr>
                <w:rFonts w:ascii="Arial" w:hAnsi="Arial" w:cs="Arial"/>
              </w:rPr>
              <w:t>.100</w:t>
            </w:r>
          </w:p>
        </w:tc>
        <w:tc>
          <w:tcPr>
            <w:tcW w:w="850" w:type="dxa"/>
            <w:shd w:val="clear" w:color="auto" w:fill="FFFFFF"/>
            <w:vAlign w:val="center"/>
          </w:tcPr>
          <w:p w14:paraId="666FB7F8" w14:textId="77777777" w:rsidR="009802BD" w:rsidRPr="009802BD" w:rsidRDefault="009802BD" w:rsidP="009802BD">
            <w:pPr>
              <w:pStyle w:val="Body"/>
              <w:spacing w:after="0"/>
              <w:rPr>
                <w:rFonts w:ascii="Arial" w:hAnsi="Arial" w:cs="Arial"/>
              </w:rPr>
            </w:pPr>
            <w:r w:rsidRPr="009802BD">
              <w:rPr>
                <w:rFonts w:ascii="Arial" w:hAnsi="Arial" w:cs="Arial"/>
              </w:rPr>
              <w:t>-.0613</w:t>
            </w:r>
          </w:p>
        </w:tc>
        <w:tc>
          <w:tcPr>
            <w:tcW w:w="851" w:type="dxa"/>
            <w:shd w:val="clear" w:color="auto" w:fill="FFFFFF"/>
            <w:vAlign w:val="center"/>
          </w:tcPr>
          <w:p w14:paraId="66F18A05" w14:textId="77777777" w:rsidR="009802BD" w:rsidRPr="009802BD" w:rsidRDefault="009802BD" w:rsidP="009802BD">
            <w:pPr>
              <w:pStyle w:val="Body"/>
              <w:spacing w:after="0"/>
              <w:rPr>
                <w:rFonts w:ascii="Arial" w:hAnsi="Arial" w:cs="Arial"/>
              </w:rPr>
            </w:pPr>
            <w:r w:rsidRPr="009802BD">
              <w:rPr>
                <w:rFonts w:ascii="Arial" w:hAnsi="Arial" w:cs="Arial"/>
              </w:rPr>
              <w:t>.7667</w:t>
            </w:r>
          </w:p>
        </w:tc>
      </w:tr>
      <w:tr w:rsidR="009802BD" w:rsidRPr="009802BD" w14:paraId="31C78CA5" w14:textId="77777777" w:rsidTr="009802BD">
        <w:trPr>
          <w:cantSplit/>
          <w:jc w:val="center"/>
        </w:trPr>
        <w:tc>
          <w:tcPr>
            <w:tcW w:w="1129" w:type="dxa"/>
            <w:vMerge w:val="restart"/>
            <w:shd w:val="clear" w:color="auto" w:fill="FFFFFF"/>
          </w:tcPr>
          <w:p w14:paraId="142DE159" w14:textId="77777777" w:rsidR="009802BD" w:rsidRPr="009802BD" w:rsidRDefault="009802BD" w:rsidP="009802BD">
            <w:pPr>
              <w:pStyle w:val="Body"/>
              <w:spacing w:after="0"/>
              <w:rPr>
                <w:rFonts w:ascii="Arial" w:hAnsi="Arial" w:cs="Arial"/>
              </w:rPr>
            </w:pPr>
            <w:r w:rsidRPr="009802BD">
              <w:rPr>
                <w:rFonts w:ascii="Arial" w:hAnsi="Arial" w:cs="Arial"/>
              </w:rPr>
              <w:t>Monitoring</w:t>
            </w:r>
          </w:p>
        </w:tc>
        <w:tc>
          <w:tcPr>
            <w:tcW w:w="1701" w:type="dxa"/>
            <w:vMerge w:val="restart"/>
            <w:shd w:val="clear" w:color="auto" w:fill="FFFFFF"/>
          </w:tcPr>
          <w:p w14:paraId="3F2ACC47"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shd w:val="clear" w:color="auto" w:fill="FFFFFF"/>
          </w:tcPr>
          <w:p w14:paraId="67EB9B6E"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54B6AA6B" w14:textId="77777777" w:rsidR="009802BD" w:rsidRPr="009802BD" w:rsidRDefault="009802BD" w:rsidP="009802BD">
            <w:pPr>
              <w:pStyle w:val="Body"/>
              <w:spacing w:after="0"/>
              <w:rPr>
                <w:rFonts w:ascii="Arial" w:hAnsi="Arial" w:cs="Arial"/>
              </w:rPr>
            </w:pPr>
            <w:r w:rsidRPr="009802BD">
              <w:rPr>
                <w:rFonts w:ascii="Arial" w:hAnsi="Arial" w:cs="Arial"/>
              </w:rPr>
              <w:t>.0182</w:t>
            </w:r>
          </w:p>
        </w:tc>
        <w:tc>
          <w:tcPr>
            <w:tcW w:w="851" w:type="dxa"/>
            <w:shd w:val="clear" w:color="auto" w:fill="FFFFFF"/>
            <w:vAlign w:val="center"/>
          </w:tcPr>
          <w:p w14:paraId="7EB4B471" w14:textId="77777777" w:rsidR="009802BD" w:rsidRPr="009802BD" w:rsidRDefault="009802BD" w:rsidP="009802BD">
            <w:pPr>
              <w:pStyle w:val="Body"/>
              <w:spacing w:after="0"/>
              <w:rPr>
                <w:rFonts w:ascii="Arial" w:hAnsi="Arial" w:cs="Arial"/>
              </w:rPr>
            </w:pPr>
            <w:r w:rsidRPr="009802BD">
              <w:rPr>
                <w:rFonts w:ascii="Arial" w:hAnsi="Arial" w:cs="Arial"/>
              </w:rPr>
              <w:t>.14475</w:t>
            </w:r>
          </w:p>
        </w:tc>
        <w:tc>
          <w:tcPr>
            <w:tcW w:w="709" w:type="dxa"/>
            <w:shd w:val="clear" w:color="auto" w:fill="FFFFFF"/>
            <w:vAlign w:val="center"/>
          </w:tcPr>
          <w:p w14:paraId="757B50A1" w14:textId="77777777" w:rsidR="009802BD" w:rsidRPr="009802BD" w:rsidRDefault="009802BD" w:rsidP="009802BD">
            <w:pPr>
              <w:pStyle w:val="Body"/>
              <w:spacing w:after="0"/>
              <w:rPr>
                <w:rFonts w:ascii="Arial" w:hAnsi="Arial" w:cs="Arial"/>
              </w:rPr>
            </w:pPr>
            <w:r w:rsidRPr="009802BD">
              <w:rPr>
                <w:rFonts w:ascii="Arial" w:hAnsi="Arial" w:cs="Arial"/>
              </w:rPr>
              <w:t>.991</w:t>
            </w:r>
          </w:p>
        </w:tc>
        <w:tc>
          <w:tcPr>
            <w:tcW w:w="850" w:type="dxa"/>
            <w:shd w:val="clear" w:color="auto" w:fill="FFFFFF"/>
            <w:vAlign w:val="center"/>
          </w:tcPr>
          <w:p w14:paraId="16D11AD0" w14:textId="77777777" w:rsidR="009802BD" w:rsidRPr="009802BD" w:rsidRDefault="009802BD" w:rsidP="009802BD">
            <w:pPr>
              <w:pStyle w:val="Body"/>
              <w:spacing w:after="0"/>
              <w:rPr>
                <w:rFonts w:ascii="Arial" w:hAnsi="Arial" w:cs="Arial"/>
              </w:rPr>
            </w:pPr>
            <w:r w:rsidRPr="009802BD">
              <w:rPr>
                <w:rFonts w:ascii="Arial" w:hAnsi="Arial" w:cs="Arial"/>
              </w:rPr>
              <w:t>-.3686</w:t>
            </w:r>
          </w:p>
        </w:tc>
        <w:tc>
          <w:tcPr>
            <w:tcW w:w="851" w:type="dxa"/>
            <w:shd w:val="clear" w:color="auto" w:fill="FFFFFF"/>
            <w:vAlign w:val="center"/>
          </w:tcPr>
          <w:p w14:paraId="6EFE6DCF" w14:textId="77777777" w:rsidR="009802BD" w:rsidRPr="009802BD" w:rsidRDefault="009802BD" w:rsidP="009802BD">
            <w:pPr>
              <w:pStyle w:val="Body"/>
              <w:spacing w:after="0"/>
              <w:rPr>
                <w:rFonts w:ascii="Arial" w:hAnsi="Arial" w:cs="Arial"/>
              </w:rPr>
            </w:pPr>
            <w:r w:rsidRPr="009802BD">
              <w:rPr>
                <w:rFonts w:ascii="Arial" w:hAnsi="Arial" w:cs="Arial"/>
              </w:rPr>
              <w:t>.4050</w:t>
            </w:r>
          </w:p>
        </w:tc>
      </w:tr>
      <w:tr w:rsidR="009802BD" w:rsidRPr="009802BD" w14:paraId="0B8E53E5" w14:textId="77777777" w:rsidTr="009802BD">
        <w:trPr>
          <w:cantSplit/>
          <w:jc w:val="center"/>
        </w:trPr>
        <w:tc>
          <w:tcPr>
            <w:tcW w:w="1129" w:type="dxa"/>
            <w:vMerge/>
            <w:shd w:val="clear" w:color="auto" w:fill="FFFFFF"/>
          </w:tcPr>
          <w:p w14:paraId="4F6B65E4"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6630AE66" w14:textId="77777777" w:rsidR="009802BD" w:rsidRPr="009802BD" w:rsidRDefault="009802BD" w:rsidP="009802BD">
            <w:pPr>
              <w:pStyle w:val="Body"/>
              <w:spacing w:after="0"/>
              <w:rPr>
                <w:rFonts w:ascii="Arial" w:hAnsi="Arial" w:cs="Arial"/>
              </w:rPr>
            </w:pPr>
          </w:p>
        </w:tc>
        <w:tc>
          <w:tcPr>
            <w:tcW w:w="1275" w:type="dxa"/>
            <w:shd w:val="clear" w:color="auto" w:fill="FFFFFF"/>
          </w:tcPr>
          <w:p w14:paraId="749F5F56"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21194FBE" w14:textId="77777777" w:rsidR="009802BD" w:rsidRPr="009802BD" w:rsidRDefault="009802BD" w:rsidP="009802BD">
            <w:pPr>
              <w:pStyle w:val="Body"/>
              <w:spacing w:after="0"/>
              <w:rPr>
                <w:rFonts w:ascii="Arial" w:hAnsi="Arial" w:cs="Arial"/>
              </w:rPr>
            </w:pPr>
            <w:r w:rsidRPr="009802BD">
              <w:rPr>
                <w:rFonts w:ascii="Arial" w:hAnsi="Arial" w:cs="Arial"/>
              </w:rPr>
              <w:t>-.2560*</w:t>
            </w:r>
          </w:p>
        </w:tc>
        <w:tc>
          <w:tcPr>
            <w:tcW w:w="851" w:type="dxa"/>
            <w:shd w:val="clear" w:color="auto" w:fill="FFFFFF"/>
            <w:vAlign w:val="center"/>
          </w:tcPr>
          <w:p w14:paraId="6314FC45" w14:textId="77777777" w:rsidR="009802BD" w:rsidRPr="009802BD" w:rsidRDefault="009802BD" w:rsidP="009802BD">
            <w:pPr>
              <w:pStyle w:val="Body"/>
              <w:spacing w:after="0"/>
              <w:rPr>
                <w:rFonts w:ascii="Arial" w:hAnsi="Arial" w:cs="Arial"/>
              </w:rPr>
            </w:pPr>
            <w:r w:rsidRPr="009802BD">
              <w:rPr>
                <w:rFonts w:ascii="Arial" w:hAnsi="Arial" w:cs="Arial"/>
              </w:rPr>
              <w:t>.07863</w:t>
            </w:r>
          </w:p>
        </w:tc>
        <w:tc>
          <w:tcPr>
            <w:tcW w:w="709" w:type="dxa"/>
            <w:shd w:val="clear" w:color="auto" w:fill="FFFFFF"/>
            <w:vAlign w:val="center"/>
          </w:tcPr>
          <w:p w14:paraId="371ED183" w14:textId="77777777" w:rsidR="009802BD" w:rsidRPr="009802BD" w:rsidRDefault="009802BD" w:rsidP="009802BD">
            <w:pPr>
              <w:pStyle w:val="Body"/>
              <w:spacing w:after="0"/>
              <w:rPr>
                <w:rFonts w:ascii="Arial" w:hAnsi="Arial" w:cs="Arial"/>
              </w:rPr>
            </w:pPr>
            <w:r w:rsidRPr="009802BD">
              <w:rPr>
                <w:rFonts w:ascii="Arial" w:hAnsi="Arial" w:cs="Arial"/>
              </w:rPr>
              <w:t>.006</w:t>
            </w:r>
          </w:p>
        </w:tc>
        <w:tc>
          <w:tcPr>
            <w:tcW w:w="850" w:type="dxa"/>
            <w:shd w:val="clear" w:color="auto" w:fill="FFFFFF"/>
            <w:vAlign w:val="center"/>
          </w:tcPr>
          <w:p w14:paraId="34585E64" w14:textId="77777777" w:rsidR="009802BD" w:rsidRPr="009802BD" w:rsidRDefault="009802BD" w:rsidP="009802BD">
            <w:pPr>
              <w:pStyle w:val="Body"/>
              <w:spacing w:after="0"/>
              <w:rPr>
                <w:rFonts w:ascii="Arial" w:hAnsi="Arial" w:cs="Arial"/>
              </w:rPr>
            </w:pPr>
            <w:r w:rsidRPr="009802BD">
              <w:rPr>
                <w:rFonts w:ascii="Arial" w:hAnsi="Arial" w:cs="Arial"/>
              </w:rPr>
              <w:t>-.4466</w:t>
            </w:r>
          </w:p>
        </w:tc>
        <w:tc>
          <w:tcPr>
            <w:tcW w:w="851" w:type="dxa"/>
            <w:shd w:val="clear" w:color="auto" w:fill="FFFFFF"/>
            <w:vAlign w:val="center"/>
          </w:tcPr>
          <w:p w14:paraId="3D29E6F7" w14:textId="77777777" w:rsidR="009802BD" w:rsidRPr="009802BD" w:rsidRDefault="009802BD" w:rsidP="009802BD">
            <w:pPr>
              <w:pStyle w:val="Body"/>
              <w:spacing w:after="0"/>
              <w:rPr>
                <w:rFonts w:ascii="Arial" w:hAnsi="Arial" w:cs="Arial"/>
              </w:rPr>
            </w:pPr>
            <w:r w:rsidRPr="009802BD">
              <w:rPr>
                <w:rFonts w:ascii="Arial" w:hAnsi="Arial" w:cs="Arial"/>
              </w:rPr>
              <w:t>-.0654</w:t>
            </w:r>
          </w:p>
        </w:tc>
      </w:tr>
      <w:tr w:rsidR="009802BD" w:rsidRPr="009802BD" w14:paraId="6911E4E3" w14:textId="77777777" w:rsidTr="009802BD">
        <w:trPr>
          <w:cantSplit/>
          <w:jc w:val="center"/>
        </w:trPr>
        <w:tc>
          <w:tcPr>
            <w:tcW w:w="1129" w:type="dxa"/>
            <w:vMerge/>
            <w:shd w:val="clear" w:color="auto" w:fill="FFFFFF"/>
          </w:tcPr>
          <w:p w14:paraId="6E353A93"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0B151710"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43226574"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199AE62A" w14:textId="77777777" w:rsidR="009802BD" w:rsidRPr="009802BD" w:rsidRDefault="009802BD" w:rsidP="009802BD">
            <w:pPr>
              <w:pStyle w:val="Body"/>
              <w:spacing w:after="0"/>
              <w:rPr>
                <w:rFonts w:ascii="Arial" w:hAnsi="Arial" w:cs="Arial"/>
              </w:rPr>
            </w:pPr>
            <w:r w:rsidRPr="009802BD">
              <w:rPr>
                <w:rFonts w:ascii="Arial" w:hAnsi="Arial" w:cs="Arial"/>
              </w:rPr>
              <w:t>-.0182</w:t>
            </w:r>
          </w:p>
        </w:tc>
        <w:tc>
          <w:tcPr>
            <w:tcW w:w="851" w:type="dxa"/>
            <w:shd w:val="clear" w:color="auto" w:fill="FFFFFF"/>
            <w:vAlign w:val="center"/>
          </w:tcPr>
          <w:p w14:paraId="667C969F" w14:textId="77777777" w:rsidR="009802BD" w:rsidRPr="009802BD" w:rsidRDefault="009802BD" w:rsidP="009802BD">
            <w:pPr>
              <w:pStyle w:val="Body"/>
              <w:spacing w:after="0"/>
              <w:rPr>
                <w:rFonts w:ascii="Arial" w:hAnsi="Arial" w:cs="Arial"/>
              </w:rPr>
            </w:pPr>
            <w:r w:rsidRPr="009802BD">
              <w:rPr>
                <w:rFonts w:ascii="Arial" w:hAnsi="Arial" w:cs="Arial"/>
              </w:rPr>
              <w:t>.14475</w:t>
            </w:r>
          </w:p>
        </w:tc>
        <w:tc>
          <w:tcPr>
            <w:tcW w:w="709" w:type="dxa"/>
            <w:shd w:val="clear" w:color="auto" w:fill="FFFFFF"/>
            <w:vAlign w:val="center"/>
          </w:tcPr>
          <w:p w14:paraId="54AB48E6" w14:textId="77777777" w:rsidR="009802BD" w:rsidRPr="009802BD" w:rsidRDefault="009802BD" w:rsidP="009802BD">
            <w:pPr>
              <w:pStyle w:val="Body"/>
              <w:spacing w:after="0"/>
              <w:rPr>
                <w:rFonts w:ascii="Arial" w:hAnsi="Arial" w:cs="Arial"/>
              </w:rPr>
            </w:pPr>
            <w:r w:rsidRPr="009802BD">
              <w:rPr>
                <w:rFonts w:ascii="Arial" w:hAnsi="Arial" w:cs="Arial"/>
              </w:rPr>
              <w:t>.991</w:t>
            </w:r>
          </w:p>
        </w:tc>
        <w:tc>
          <w:tcPr>
            <w:tcW w:w="850" w:type="dxa"/>
            <w:shd w:val="clear" w:color="auto" w:fill="FFFFFF"/>
            <w:vAlign w:val="center"/>
          </w:tcPr>
          <w:p w14:paraId="4A18720D" w14:textId="77777777" w:rsidR="009802BD" w:rsidRPr="009802BD" w:rsidRDefault="009802BD" w:rsidP="009802BD">
            <w:pPr>
              <w:pStyle w:val="Body"/>
              <w:spacing w:after="0"/>
              <w:rPr>
                <w:rFonts w:ascii="Arial" w:hAnsi="Arial" w:cs="Arial"/>
              </w:rPr>
            </w:pPr>
            <w:r w:rsidRPr="009802BD">
              <w:rPr>
                <w:rFonts w:ascii="Arial" w:hAnsi="Arial" w:cs="Arial"/>
              </w:rPr>
              <w:t>-.4050</w:t>
            </w:r>
          </w:p>
        </w:tc>
        <w:tc>
          <w:tcPr>
            <w:tcW w:w="851" w:type="dxa"/>
            <w:shd w:val="clear" w:color="auto" w:fill="FFFFFF"/>
            <w:vAlign w:val="center"/>
          </w:tcPr>
          <w:p w14:paraId="26DC360A" w14:textId="77777777" w:rsidR="009802BD" w:rsidRPr="009802BD" w:rsidRDefault="009802BD" w:rsidP="009802BD">
            <w:pPr>
              <w:pStyle w:val="Body"/>
              <w:spacing w:after="0"/>
              <w:rPr>
                <w:rFonts w:ascii="Arial" w:hAnsi="Arial" w:cs="Arial"/>
              </w:rPr>
            </w:pPr>
            <w:r w:rsidRPr="009802BD">
              <w:rPr>
                <w:rFonts w:ascii="Arial" w:hAnsi="Arial" w:cs="Arial"/>
              </w:rPr>
              <w:t>.3686</w:t>
            </w:r>
          </w:p>
        </w:tc>
      </w:tr>
      <w:tr w:rsidR="009802BD" w:rsidRPr="009802BD" w14:paraId="12EDAD03" w14:textId="77777777" w:rsidTr="009802BD">
        <w:trPr>
          <w:cantSplit/>
          <w:jc w:val="center"/>
        </w:trPr>
        <w:tc>
          <w:tcPr>
            <w:tcW w:w="1129" w:type="dxa"/>
            <w:vMerge/>
            <w:shd w:val="clear" w:color="auto" w:fill="FFFFFF"/>
          </w:tcPr>
          <w:p w14:paraId="6E86CEB3"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44B49AFE" w14:textId="77777777" w:rsidR="009802BD" w:rsidRPr="009802BD" w:rsidRDefault="009802BD" w:rsidP="009802BD">
            <w:pPr>
              <w:pStyle w:val="Body"/>
              <w:spacing w:after="0"/>
              <w:rPr>
                <w:rFonts w:ascii="Arial" w:hAnsi="Arial" w:cs="Arial"/>
              </w:rPr>
            </w:pPr>
          </w:p>
        </w:tc>
        <w:tc>
          <w:tcPr>
            <w:tcW w:w="1275" w:type="dxa"/>
            <w:shd w:val="clear" w:color="auto" w:fill="FFFFFF"/>
          </w:tcPr>
          <w:p w14:paraId="5FAAE6C0"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3A6343D8" w14:textId="77777777" w:rsidR="009802BD" w:rsidRPr="009802BD" w:rsidRDefault="009802BD" w:rsidP="009802BD">
            <w:pPr>
              <w:pStyle w:val="Body"/>
              <w:spacing w:after="0"/>
              <w:rPr>
                <w:rFonts w:ascii="Arial" w:hAnsi="Arial" w:cs="Arial"/>
              </w:rPr>
            </w:pPr>
            <w:r w:rsidRPr="009802BD">
              <w:rPr>
                <w:rFonts w:ascii="Arial" w:hAnsi="Arial" w:cs="Arial"/>
              </w:rPr>
              <w:t>-.2742</w:t>
            </w:r>
          </w:p>
        </w:tc>
        <w:tc>
          <w:tcPr>
            <w:tcW w:w="851" w:type="dxa"/>
            <w:shd w:val="clear" w:color="auto" w:fill="FFFFFF"/>
            <w:vAlign w:val="center"/>
          </w:tcPr>
          <w:p w14:paraId="0D2E851F" w14:textId="77777777" w:rsidR="009802BD" w:rsidRPr="009802BD" w:rsidRDefault="009802BD" w:rsidP="009802BD">
            <w:pPr>
              <w:pStyle w:val="Body"/>
              <w:spacing w:after="0"/>
              <w:rPr>
                <w:rFonts w:ascii="Arial" w:hAnsi="Arial" w:cs="Arial"/>
              </w:rPr>
            </w:pPr>
            <w:r w:rsidRPr="009802BD">
              <w:rPr>
                <w:rFonts w:ascii="Arial" w:hAnsi="Arial" w:cs="Arial"/>
              </w:rPr>
              <w:t>.15398</w:t>
            </w:r>
          </w:p>
        </w:tc>
        <w:tc>
          <w:tcPr>
            <w:tcW w:w="709" w:type="dxa"/>
            <w:shd w:val="clear" w:color="auto" w:fill="FFFFFF"/>
            <w:vAlign w:val="center"/>
          </w:tcPr>
          <w:p w14:paraId="4CB5ACF5" w14:textId="77777777" w:rsidR="009802BD" w:rsidRPr="009802BD" w:rsidRDefault="009802BD" w:rsidP="009802BD">
            <w:pPr>
              <w:pStyle w:val="Body"/>
              <w:spacing w:after="0"/>
              <w:rPr>
                <w:rFonts w:ascii="Arial" w:hAnsi="Arial" w:cs="Arial"/>
              </w:rPr>
            </w:pPr>
            <w:r w:rsidRPr="009802BD">
              <w:rPr>
                <w:rFonts w:ascii="Arial" w:hAnsi="Arial" w:cs="Arial"/>
              </w:rPr>
              <w:t>.210</w:t>
            </w:r>
          </w:p>
        </w:tc>
        <w:tc>
          <w:tcPr>
            <w:tcW w:w="850" w:type="dxa"/>
            <w:shd w:val="clear" w:color="auto" w:fill="FFFFFF"/>
            <w:vAlign w:val="center"/>
          </w:tcPr>
          <w:p w14:paraId="70B923C5" w14:textId="77777777" w:rsidR="009802BD" w:rsidRPr="009802BD" w:rsidRDefault="009802BD" w:rsidP="009802BD">
            <w:pPr>
              <w:pStyle w:val="Body"/>
              <w:spacing w:after="0"/>
              <w:rPr>
                <w:rFonts w:ascii="Arial" w:hAnsi="Arial" w:cs="Arial"/>
              </w:rPr>
            </w:pPr>
            <w:r w:rsidRPr="009802BD">
              <w:rPr>
                <w:rFonts w:ascii="Arial" w:hAnsi="Arial" w:cs="Arial"/>
              </w:rPr>
              <w:t>-.6746</w:t>
            </w:r>
          </w:p>
        </w:tc>
        <w:tc>
          <w:tcPr>
            <w:tcW w:w="851" w:type="dxa"/>
            <w:shd w:val="clear" w:color="auto" w:fill="FFFFFF"/>
            <w:vAlign w:val="center"/>
          </w:tcPr>
          <w:p w14:paraId="099E2492" w14:textId="77777777" w:rsidR="009802BD" w:rsidRPr="009802BD" w:rsidRDefault="009802BD" w:rsidP="009802BD">
            <w:pPr>
              <w:pStyle w:val="Body"/>
              <w:spacing w:after="0"/>
              <w:rPr>
                <w:rFonts w:ascii="Arial" w:hAnsi="Arial" w:cs="Arial"/>
              </w:rPr>
            </w:pPr>
            <w:r w:rsidRPr="009802BD">
              <w:rPr>
                <w:rFonts w:ascii="Arial" w:hAnsi="Arial" w:cs="Arial"/>
              </w:rPr>
              <w:t>.1262</w:t>
            </w:r>
          </w:p>
        </w:tc>
      </w:tr>
      <w:tr w:rsidR="009802BD" w:rsidRPr="009802BD" w14:paraId="6946F3F3" w14:textId="77777777" w:rsidTr="009802BD">
        <w:trPr>
          <w:cantSplit/>
          <w:jc w:val="center"/>
        </w:trPr>
        <w:tc>
          <w:tcPr>
            <w:tcW w:w="1129" w:type="dxa"/>
            <w:vMerge/>
            <w:shd w:val="clear" w:color="auto" w:fill="FFFFFF"/>
          </w:tcPr>
          <w:p w14:paraId="431319DE"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4ED421F4"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3B277258"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735A789A" w14:textId="77777777" w:rsidR="009802BD" w:rsidRPr="009802BD" w:rsidRDefault="009802BD" w:rsidP="009802BD">
            <w:pPr>
              <w:pStyle w:val="Body"/>
              <w:spacing w:after="0"/>
              <w:rPr>
                <w:rFonts w:ascii="Arial" w:hAnsi="Arial" w:cs="Arial"/>
              </w:rPr>
            </w:pPr>
            <w:r w:rsidRPr="009802BD">
              <w:rPr>
                <w:rFonts w:ascii="Arial" w:hAnsi="Arial" w:cs="Arial"/>
              </w:rPr>
              <w:t>.2560*</w:t>
            </w:r>
          </w:p>
        </w:tc>
        <w:tc>
          <w:tcPr>
            <w:tcW w:w="851" w:type="dxa"/>
            <w:shd w:val="clear" w:color="auto" w:fill="FFFFFF"/>
            <w:vAlign w:val="center"/>
          </w:tcPr>
          <w:p w14:paraId="70D19597" w14:textId="77777777" w:rsidR="009802BD" w:rsidRPr="009802BD" w:rsidRDefault="009802BD" w:rsidP="009802BD">
            <w:pPr>
              <w:pStyle w:val="Body"/>
              <w:spacing w:after="0"/>
              <w:rPr>
                <w:rFonts w:ascii="Arial" w:hAnsi="Arial" w:cs="Arial"/>
              </w:rPr>
            </w:pPr>
            <w:r w:rsidRPr="009802BD">
              <w:rPr>
                <w:rFonts w:ascii="Arial" w:hAnsi="Arial" w:cs="Arial"/>
              </w:rPr>
              <w:t>.07863</w:t>
            </w:r>
          </w:p>
        </w:tc>
        <w:tc>
          <w:tcPr>
            <w:tcW w:w="709" w:type="dxa"/>
            <w:shd w:val="clear" w:color="auto" w:fill="FFFFFF"/>
            <w:vAlign w:val="center"/>
          </w:tcPr>
          <w:p w14:paraId="3364C68E" w14:textId="77777777" w:rsidR="009802BD" w:rsidRPr="009802BD" w:rsidRDefault="009802BD" w:rsidP="009802BD">
            <w:pPr>
              <w:pStyle w:val="Body"/>
              <w:spacing w:after="0"/>
              <w:rPr>
                <w:rFonts w:ascii="Arial" w:hAnsi="Arial" w:cs="Arial"/>
              </w:rPr>
            </w:pPr>
            <w:r w:rsidRPr="009802BD">
              <w:rPr>
                <w:rFonts w:ascii="Arial" w:hAnsi="Arial" w:cs="Arial"/>
              </w:rPr>
              <w:t>.006</w:t>
            </w:r>
          </w:p>
        </w:tc>
        <w:tc>
          <w:tcPr>
            <w:tcW w:w="850" w:type="dxa"/>
            <w:shd w:val="clear" w:color="auto" w:fill="FFFFFF"/>
            <w:vAlign w:val="center"/>
          </w:tcPr>
          <w:p w14:paraId="3C220370" w14:textId="77777777" w:rsidR="009802BD" w:rsidRPr="009802BD" w:rsidRDefault="009802BD" w:rsidP="009802BD">
            <w:pPr>
              <w:pStyle w:val="Body"/>
              <w:spacing w:after="0"/>
              <w:rPr>
                <w:rFonts w:ascii="Arial" w:hAnsi="Arial" w:cs="Arial"/>
              </w:rPr>
            </w:pPr>
            <w:r w:rsidRPr="009802BD">
              <w:rPr>
                <w:rFonts w:ascii="Arial" w:hAnsi="Arial" w:cs="Arial"/>
              </w:rPr>
              <w:t>.0654</w:t>
            </w:r>
          </w:p>
        </w:tc>
        <w:tc>
          <w:tcPr>
            <w:tcW w:w="851" w:type="dxa"/>
            <w:shd w:val="clear" w:color="auto" w:fill="FFFFFF"/>
            <w:vAlign w:val="center"/>
          </w:tcPr>
          <w:p w14:paraId="7FEAAEF5" w14:textId="77777777" w:rsidR="009802BD" w:rsidRPr="009802BD" w:rsidRDefault="009802BD" w:rsidP="009802BD">
            <w:pPr>
              <w:pStyle w:val="Body"/>
              <w:spacing w:after="0"/>
              <w:rPr>
                <w:rFonts w:ascii="Arial" w:hAnsi="Arial" w:cs="Arial"/>
              </w:rPr>
            </w:pPr>
            <w:r w:rsidRPr="009802BD">
              <w:rPr>
                <w:rFonts w:ascii="Arial" w:hAnsi="Arial" w:cs="Arial"/>
              </w:rPr>
              <w:t>.4466</w:t>
            </w:r>
          </w:p>
        </w:tc>
      </w:tr>
      <w:tr w:rsidR="009802BD" w:rsidRPr="009802BD" w14:paraId="4C416824" w14:textId="77777777" w:rsidTr="009802BD">
        <w:trPr>
          <w:cantSplit/>
          <w:jc w:val="center"/>
        </w:trPr>
        <w:tc>
          <w:tcPr>
            <w:tcW w:w="1129" w:type="dxa"/>
            <w:vMerge/>
            <w:tcBorders>
              <w:bottom w:val="single" w:sz="4" w:space="0" w:color="auto"/>
            </w:tcBorders>
            <w:shd w:val="clear" w:color="auto" w:fill="FFFFFF"/>
          </w:tcPr>
          <w:p w14:paraId="6209905C" w14:textId="77777777" w:rsidR="009802BD" w:rsidRPr="009802BD" w:rsidRDefault="009802BD" w:rsidP="009802BD">
            <w:pPr>
              <w:pStyle w:val="Body"/>
              <w:spacing w:after="0"/>
              <w:rPr>
                <w:rFonts w:ascii="Arial" w:hAnsi="Arial" w:cs="Arial"/>
              </w:rPr>
            </w:pPr>
          </w:p>
        </w:tc>
        <w:tc>
          <w:tcPr>
            <w:tcW w:w="1701" w:type="dxa"/>
            <w:vMerge/>
            <w:tcBorders>
              <w:bottom w:val="single" w:sz="4" w:space="0" w:color="auto"/>
            </w:tcBorders>
            <w:shd w:val="clear" w:color="auto" w:fill="FFFFFF"/>
          </w:tcPr>
          <w:p w14:paraId="23F40685" w14:textId="77777777" w:rsidR="009802BD" w:rsidRPr="009802BD" w:rsidRDefault="009802BD" w:rsidP="009802BD">
            <w:pPr>
              <w:pStyle w:val="Body"/>
              <w:spacing w:after="0"/>
              <w:rPr>
                <w:rFonts w:ascii="Arial" w:hAnsi="Arial" w:cs="Arial"/>
              </w:rPr>
            </w:pPr>
          </w:p>
        </w:tc>
        <w:tc>
          <w:tcPr>
            <w:tcW w:w="1275" w:type="dxa"/>
            <w:tcBorders>
              <w:bottom w:val="single" w:sz="4" w:space="0" w:color="auto"/>
            </w:tcBorders>
            <w:shd w:val="clear" w:color="auto" w:fill="FFFFFF"/>
          </w:tcPr>
          <w:p w14:paraId="63AAE1C6"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tcBorders>
              <w:bottom w:val="single" w:sz="4" w:space="0" w:color="auto"/>
            </w:tcBorders>
            <w:shd w:val="clear" w:color="auto" w:fill="FFFFFF"/>
            <w:vAlign w:val="center"/>
          </w:tcPr>
          <w:p w14:paraId="2DA45162" w14:textId="77777777" w:rsidR="009802BD" w:rsidRPr="009802BD" w:rsidRDefault="009802BD" w:rsidP="009802BD">
            <w:pPr>
              <w:pStyle w:val="Body"/>
              <w:spacing w:after="0"/>
              <w:rPr>
                <w:rFonts w:ascii="Arial" w:hAnsi="Arial" w:cs="Arial"/>
              </w:rPr>
            </w:pPr>
            <w:r w:rsidRPr="009802BD">
              <w:rPr>
                <w:rFonts w:ascii="Arial" w:hAnsi="Arial" w:cs="Arial"/>
              </w:rPr>
              <w:t>.2742</w:t>
            </w:r>
          </w:p>
        </w:tc>
        <w:tc>
          <w:tcPr>
            <w:tcW w:w="851" w:type="dxa"/>
            <w:tcBorders>
              <w:bottom w:val="single" w:sz="4" w:space="0" w:color="auto"/>
            </w:tcBorders>
            <w:shd w:val="clear" w:color="auto" w:fill="FFFFFF"/>
            <w:vAlign w:val="center"/>
          </w:tcPr>
          <w:p w14:paraId="13D2D806" w14:textId="77777777" w:rsidR="009802BD" w:rsidRPr="009802BD" w:rsidRDefault="009802BD" w:rsidP="009802BD">
            <w:pPr>
              <w:pStyle w:val="Body"/>
              <w:spacing w:after="0"/>
              <w:rPr>
                <w:rFonts w:ascii="Arial" w:hAnsi="Arial" w:cs="Arial"/>
              </w:rPr>
            </w:pPr>
            <w:r w:rsidRPr="009802BD">
              <w:rPr>
                <w:rFonts w:ascii="Arial" w:hAnsi="Arial" w:cs="Arial"/>
              </w:rPr>
              <w:t>.15398</w:t>
            </w:r>
          </w:p>
        </w:tc>
        <w:tc>
          <w:tcPr>
            <w:tcW w:w="709" w:type="dxa"/>
            <w:tcBorders>
              <w:bottom w:val="single" w:sz="4" w:space="0" w:color="auto"/>
            </w:tcBorders>
            <w:shd w:val="clear" w:color="auto" w:fill="FFFFFF"/>
            <w:vAlign w:val="center"/>
          </w:tcPr>
          <w:p w14:paraId="1AB6133B" w14:textId="77777777" w:rsidR="009802BD" w:rsidRPr="009802BD" w:rsidRDefault="009802BD" w:rsidP="009802BD">
            <w:pPr>
              <w:pStyle w:val="Body"/>
              <w:spacing w:after="0"/>
              <w:rPr>
                <w:rFonts w:ascii="Arial" w:hAnsi="Arial" w:cs="Arial"/>
              </w:rPr>
            </w:pPr>
            <w:r w:rsidRPr="009802BD">
              <w:rPr>
                <w:rFonts w:ascii="Arial" w:hAnsi="Arial" w:cs="Arial"/>
              </w:rPr>
              <w:t>.210</w:t>
            </w:r>
          </w:p>
        </w:tc>
        <w:tc>
          <w:tcPr>
            <w:tcW w:w="850" w:type="dxa"/>
            <w:tcBorders>
              <w:bottom w:val="single" w:sz="4" w:space="0" w:color="auto"/>
            </w:tcBorders>
            <w:shd w:val="clear" w:color="auto" w:fill="FFFFFF"/>
            <w:vAlign w:val="center"/>
          </w:tcPr>
          <w:p w14:paraId="560C88FC" w14:textId="77777777" w:rsidR="009802BD" w:rsidRPr="009802BD" w:rsidRDefault="009802BD" w:rsidP="009802BD">
            <w:pPr>
              <w:pStyle w:val="Body"/>
              <w:spacing w:after="0"/>
              <w:rPr>
                <w:rFonts w:ascii="Arial" w:hAnsi="Arial" w:cs="Arial"/>
              </w:rPr>
            </w:pPr>
            <w:r w:rsidRPr="009802BD">
              <w:rPr>
                <w:rFonts w:ascii="Arial" w:hAnsi="Arial" w:cs="Arial"/>
              </w:rPr>
              <w:t>-.1262</w:t>
            </w:r>
          </w:p>
        </w:tc>
        <w:tc>
          <w:tcPr>
            <w:tcW w:w="851" w:type="dxa"/>
            <w:tcBorders>
              <w:bottom w:val="single" w:sz="4" w:space="0" w:color="auto"/>
            </w:tcBorders>
            <w:shd w:val="clear" w:color="auto" w:fill="FFFFFF"/>
            <w:vAlign w:val="center"/>
          </w:tcPr>
          <w:p w14:paraId="39F0217C" w14:textId="77777777" w:rsidR="009802BD" w:rsidRPr="009802BD" w:rsidRDefault="009802BD" w:rsidP="009802BD">
            <w:pPr>
              <w:pStyle w:val="Body"/>
              <w:spacing w:after="0"/>
              <w:rPr>
                <w:rFonts w:ascii="Arial" w:hAnsi="Arial" w:cs="Arial"/>
              </w:rPr>
            </w:pPr>
            <w:r w:rsidRPr="009802BD">
              <w:rPr>
                <w:rFonts w:ascii="Arial" w:hAnsi="Arial" w:cs="Arial"/>
              </w:rPr>
              <w:t>.6746</w:t>
            </w:r>
          </w:p>
        </w:tc>
      </w:tr>
    </w:tbl>
    <w:p w14:paraId="3E93F4D9" w14:textId="77777777" w:rsidR="009802BD" w:rsidRDefault="009802BD" w:rsidP="009802BD">
      <w:pPr>
        <w:pStyle w:val="Body"/>
        <w:spacing w:after="0"/>
        <w:rPr>
          <w:rFonts w:ascii="Arial" w:hAnsi="Arial" w:cs="Arial"/>
        </w:rPr>
      </w:pPr>
    </w:p>
    <w:p w14:paraId="6C2E455D" w14:textId="00D9CCD7" w:rsidR="009802BD" w:rsidRPr="009802BD" w:rsidRDefault="009802BD" w:rsidP="009802BD">
      <w:pPr>
        <w:pStyle w:val="Body"/>
        <w:spacing w:after="0"/>
        <w:rPr>
          <w:rFonts w:ascii="Arial" w:hAnsi="Arial" w:cs="Arial"/>
        </w:rPr>
      </w:pPr>
      <w:r w:rsidRPr="009802BD">
        <w:rPr>
          <w:rFonts w:ascii="Arial" w:hAnsi="Arial" w:cs="Arial"/>
        </w:rPr>
        <w:t>Post-hoc results confirmed that lecturers had significantly higher perceptions than students in the detection (p = 0.002), investigation (p = 0.012), and monitoring (p = 0.006) dimensions. Conversely, no significant differences were found between lecturers and education personnel, or between students and education personnel. This finding indicates that lecturers, as key actors in academic processes and institutional governance, have a higher level of awareness and participation in fraud detection and evaluation strategies. In contrast, students and education personnel tended to have lower and relatively similar perceptions. This difference can be attributed to variations in the structural positions, formal responsibilities, and levels of access to anti-fraud institutional policies.</w:t>
      </w:r>
    </w:p>
    <w:p w14:paraId="4627FE71" w14:textId="77777777" w:rsidR="009802BD" w:rsidRPr="009802BD" w:rsidRDefault="009802BD" w:rsidP="009802BD">
      <w:pPr>
        <w:pStyle w:val="Body"/>
        <w:spacing w:after="0"/>
        <w:rPr>
          <w:rFonts w:ascii="Arial" w:hAnsi="Arial" w:cs="Arial"/>
        </w:rPr>
      </w:pPr>
    </w:p>
    <w:p w14:paraId="0759000F" w14:textId="77777777" w:rsidR="009802BD" w:rsidRPr="009802BD" w:rsidRDefault="009802BD" w:rsidP="009802BD">
      <w:pPr>
        <w:pStyle w:val="Body"/>
        <w:spacing w:after="0"/>
        <w:rPr>
          <w:rFonts w:ascii="Arial" w:hAnsi="Arial" w:cs="Arial"/>
        </w:rPr>
      </w:pPr>
      <w:r w:rsidRPr="009802BD">
        <w:rPr>
          <w:rFonts w:ascii="Arial" w:hAnsi="Arial" w:cs="Arial"/>
        </w:rPr>
        <w:t>This finding empirically supports Research Hypothesis (H</w:t>
      </w:r>
      <w:r w:rsidRPr="009802BD">
        <w:rPr>
          <w:rFonts w:ascii="Cambria Math" w:hAnsi="Cambria Math" w:cs="Cambria Math"/>
        </w:rPr>
        <w:t>₁</w:t>
      </w:r>
      <w:r w:rsidRPr="009802BD">
        <w:rPr>
          <w:rFonts w:ascii="Arial" w:hAnsi="Arial" w:cs="Arial"/>
        </w:rPr>
        <w:t xml:space="preserve">), which states that there are differences in the perception of fraud prevention strategies based on the academic status of </w:t>
      </w:r>
      <w:r w:rsidRPr="009802BD">
        <w:rPr>
          <w:rFonts w:ascii="Arial" w:hAnsi="Arial" w:cs="Arial"/>
        </w:rPr>
        <w:lastRenderedPageBreak/>
        <w:t xml:space="preserve">the four strategy dimensions. In particular, significant differences were found in three of the four dimensions: detection, investigation, and sanctions, as well as monitoring and evaluation. Although no significant differences were found in the prevention dimension, the overall results still showed that academic status is a factor that distinguishes individual perceptions of the effectiveness of anti-fraud strategies in tertiary institutions. This suggests that the primary research hypothesis is partially supported, reinforcing the theoretical framework of this study. In general, it can be said that monitoring involving students and lecturers can increase the effectiveness of reporting and continuous improvement of the internal control system </w:t>
      </w:r>
      <w:r w:rsidRPr="009802BD">
        <w:rPr>
          <w:rFonts w:ascii="Arial" w:hAnsi="Arial" w:cs="Arial"/>
        </w:rPr>
        <w:fldChar w:fldCharType="begin"/>
      </w:r>
      <w:r w:rsidRPr="009802BD">
        <w:rPr>
          <w:rFonts w:ascii="Arial" w:hAnsi="Arial" w:cs="Arial"/>
        </w:rPr>
        <w:instrText xml:space="preserve"> ADDIN EN.CITE &lt;EndNote&gt;&lt;Cite&gt;&lt;Author&gt;Lituhayu&lt;/Author&gt;&lt;Year&gt;2023&lt;/Year&gt;&lt;RecNum&gt;681&lt;/RecNum&gt;&lt;DisplayText&gt;(Lituhayu, Rahman, Muluk, &amp;amp; Huda, 2023)&lt;/DisplayText&gt;&lt;record&gt;&lt;rec-number&gt;681&lt;/rec-number&gt;&lt;foreign-keys&gt;&lt;key app="EN" db-id="s2zxra50f5rxe9ezxwnpfswwa5vdvraddzst" timestamp="1752386362"&gt;681&lt;/key&gt;&lt;/foreign-keys&gt;&lt;ref-type name="Journal Article"&gt;17&lt;/ref-type&gt;&lt;contributors&gt;&lt;authors&gt;&lt;author&gt;Lituhayu, Dyah&lt;/author&gt;&lt;author&gt;Rahman, Amni Zarkasyi&lt;/author&gt;&lt;author&gt;Muluk, Mujibur Rahman Khairul&lt;/author&gt;&lt;author&gt;Huda, Mohammad Nurul&lt;/author&gt;&lt;/authors&gt;&lt;/contributors&gt;&lt;titles&gt;&lt;title&gt;Anti-corruption education policy outputs for combatting corruption in Indonesia: applying the theory of planned behaviour&lt;/title&gt;&lt;secondary-title&gt;Journal of Contemporary Governance Public Policy&lt;/secondary-title&gt;&lt;/titles&gt;&lt;periodical&gt;&lt;full-title&gt;Journal of Contemporary Governance Public Policy&lt;/full-title&gt;&lt;/periodical&gt;&lt;pages&gt;195-214&lt;/pages&gt;&lt;volume&gt;4&lt;/volume&gt;&lt;number&gt;2&lt;/number&gt;&lt;dates&gt;&lt;year&gt;2023&lt;/year&gt;&lt;/dates&gt;&lt;isbn&gt;2722-3973&lt;/isbn&gt;&lt;urls&gt;&lt;/urls&gt;&lt;/record&gt;&lt;/Cite&gt;&lt;/EndNote&gt;</w:instrText>
      </w:r>
      <w:r w:rsidRPr="009802BD">
        <w:rPr>
          <w:rFonts w:ascii="Arial" w:hAnsi="Arial" w:cs="Arial"/>
        </w:rPr>
        <w:fldChar w:fldCharType="separate"/>
      </w:r>
      <w:r w:rsidRPr="009802BD">
        <w:rPr>
          <w:rFonts w:ascii="Arial" w:hAnsi="Arial" w:cs="Arial"/>
        </w:rPr>
        <w:t>(Lituhayu, Rahman, Muluk, &amp; Huda, 2023)</w:t>
      </w:r>
      <w:r w:rsidRPr="009802BD">
        <w:rPr>
          <w:rFonts w:ascii="Arial" w:hAnsi="Arial" w:cs="Arial"/>
        </w:rPr>
        <w:fldChar w:fldCharType="end"/>
      </w:r>
      <w:r w:rsidRPr="009802BD">
        <w:rPr>
          <w:rFonts w:ascii="Arial" w:hAnsi="Arial" w:cs="Arial"/>
        </w:rPr>
        <w:t>.</w:t>
      </w:r>
    </w:p>
    <w:p w14:paraId="54BB2EA2" w14:textId="77777777" w:rsidR="009802BD" w:rsidRDefault="009802BD" w:rsidP="009802BD">
      <w:pPr>
        <w:pStyle w:val="Body"/>
        <w:spacing w:after="0"/>
        <w:rPr>
          <w:rFonts w:ascii="Arial" w:hAnsi="Arial" w:cs="Arial"/>
        </w:rPr>
      </w:pPr>
    </w:p>
    <w:p w14:paraId="7C63EC1A" w14:textId="6A01738F" w:rsidR="009802BD" w:rsidRPr="009802BD" w:rsidRDefault="009802BD" w:rsidP="009802BD">
      <w:pPr>
        <w:pStyle w:val="Body"/>
        <w:spacing w:after="0"/>
        <w:rPr>
          <w:rFonts w:ascii="Arial" w:hAnsi="Arial" w:cs="Arial"/>
        </w:rPr>
      </w:pPr>
      <w:r w:rsidRPr="009802BD">
        <w:rPr>
          <w:rFonts w:ascii="Arial" w:hAnsi="Arial" w:cs="Arial"/>
        </w:rPr>
        <w:t xml:space="preserve">The results of this study align with the research findings of </w:t>
      </w:r>
      <w:r w:rsidRPr="009802BD">
        <w:rPr>
          <w:rFonts w:ascii="Arial" w:hAnsi="Arial" w:cs="Arial"/>
        </w:rPr>
        <w:fldChar w:fldCharType="begin"/>
      </w:r>
      <w:r w:rsidRPr="009802BD">
        <w:rPr>
          <w:rFonts w:ascii="Arial" w:hAnsi="Arial" w:cs="Arial"/>
        </w:rPr>
        <w:instrText xml:space="preserve"> ADDIN EN.CITE &lt;EndNote&gt;&lt;Cite AuthorYear="1"&gt;&lt;Author&gt;Hanim Fadzil&lt;/Author&gt;&lt;Year&gt;2005&lt;/Year&gt;&lt;RecNum&gt;676&lt;/RecNum&gt;&lt;DisplayText&gt;Hanim Fadzil et al. (2005)&lt;/DisplayText&gt;&lt;record&gt;&lt;rec-number&gt;676&lt;/rec-number&gt;&lt;foreign-keys&gt;&lt;key app="EN" db-id="s2zxra50f5rxe9ezxwnpfswwa5vdvraddzst" timestamp="1752369344"&gt;676&lt;/key&gt;&lt;/foreign-keys&gt;&lt;ref-type name="Journal Article"&gt;17&lt;/ref-type&gt;&lt;contributors&gt;&lt;authors&gt;&lt;author&gt;Hanim Fadzil, Faudziah&lt;/author&gt;&lt;author&gt;Haron, Hasnah&lt;/author&gt;&lt;author&gt;Jantan, Muhamad&lt;/author&gt;&lt;/authors&gt;&lt;/contributors&gt;&lt;titles&gt;&lt;title&gt;Internal auditing practices and internal control system&lt;/title&gt;&lt;secondary-title&gt;Managerial auditing journal&lt;/secondary-title&gt;&lt;/titles&gt;&lt;periodical&gt;&lt;full-title&gt;Managerial Auditing Journal&lt;/full-title&gt;&lt;/periodical&gt;&lt;pages&gt;844-866&lt;/pages&gt;&lt;volume&gt;20&lt;/volume&gt;&lt;number&gt;8&lt;/number&gt;&lt;dates&gt;&lt;year&gt;2005&lt;/year&gt;&lt;/dates&gt;&lt;isbn&gt;0268-6902&lt;/isbn&gt;&lt;urls&gt;&lt;/urls&gt;&lt;/record&gt;&lt;/Cite&gt;&lt;/EndNote&gt;</w:instrText>
      </w:r>
      <w:r w:rsidRPr="009802BD">
        <w:rPr>
          <w:rFonts w:ascii="Arial" w:hAnsi="Arial" w:cs="Arial"/>
        </w:rPr>
        <w:fldChar w:fldCharType="separate"/>
      </w:r>
      <w:r w:rsidRPr="009802BD">
        <w:rPr>
          <w:rFonts w:ascii="Arial" w:hAnsi="Arial" w:cs="Arial"/>
        </w:rPr>
        <w:t>Hanim Fadzil et al. (2005)</w:t>
      </w:r>
      <w:r w:rsidRPr="009802BD">
        <w:rPr>
          <w:rFonts w:ascii="Arial" w:hAnsi="Arial" w:cs="Arial"/>
        </w:rPr>
        <w:fldChar w:fldCharType="end"/>
      </w:r>
      <w:r w:rsidRPr="009802BD">
        <w:rPr>
          <w:rFonts w:ascii="Arial" w:hAnsi="Arial" w:cs="Arial"/>
        </w:rPr>
        <w:t xml:space="preserve"> , which indicate that lecturers tend to have a more comprehensive understanding of internal control mechanisms and fraud reporting than students because of their professional roles and responsibilities in maintaining the institution's integrity. In this context, lecturers have greater access to training, academic forums, and internal reporting systems, which shape their perceptions of the importance of fraud detection and investigation systems. The findings of this study align with those of </w:t>
      </w:r>
      <w:r w:rsidRPr="009802BD">
        <w:rPr>
          <w:rFonts w:ascii="Arial" w:hAnsi="Arial" w:cs="Arial"/>
        </w:rPr>
        <w:fldChar w:fldCharType="begin"/>
      </w:r>
      <w:r w:rsidRPr="009802BD">
        <w:rPr>
          <w:rFonts w:ascii="Arial" w:hAnsi="Arial" w:cs="Arial"/>
        </w:rPr>
        <w:instrText xml:space="preserve"> ADDIN EN.CITE &lt;EndNote&gt;&lt;Cite AuthorYear="1"&gt;&lt;Author&gt;Fitriyah&lt;/Author&gt;&lt;Year&gt;2016&lt;/Year&gt;&lt;RecNum&gt;683&lt;/RecNum&gt;&lt;DisplayText&gt;Fitriyah (2016)&lt;/DisplayText&gt;&lt;record&gt;&lt;rec-number&gt;683&lt;/rec-number&gt;&lt;foreign-keys&gt;&lt;key app="EN" db-id="s2zxra50f5rxe9ezxwnpfswwa5vdvraddzst" timestamp="1752391123"&gt;683&lt;/key&gt;&lt;/foreign-keys&gt;&lt;ref-type name="Journal Article"&gt;17&lt;/ref-type&gt;&lt;contributors&gt;&lt;authors&gt;&lt;author&gt;Fitriyah, Fury Khristianty&lt;/author&gt;&lt;/authors&gt;&lt;/contributors&gt;&lt;titles&gt;&lt;title&gt;The role of the internal audit unit in detecting and preventing fraud at public Universities in West Java, Indonesia&lt;/title&gt;&lt;secondary-title&gt;International Scholarly Scientific Research Innovation&lt;/secondary-title&gt;&lt;/titles&gt;&lt;periodical&gt;&lt;full-title&gt;International Scholarly Scientific Research Innovation&lt;/full-title&gt;&lt;/periodical&gt;&lt;pages&gt;1802-1809&lt;/pages&gt;&lt;volume&gt;10&lt;/volume&gt;&lt;number&gt;5&lt;/number&gt;&lt;dates&gt;&lt;year&gt;2016&lt;/year&gt;&lt;/dates&gt;&lt;urls&gt;&lt;/urls&gt;&lt;/record&gt;&lt;/Cite&gt;&lt;/EndNote&gt;</w:instrText>
      </w:r>
      <w:r w:rsidRPr="009802BD">
        <w:rPr>
          <w:rFonts w:ascii="Arial" w:hAnsi="Arial" w:cs="Arial"/>
        </w:rPr>
        <w:fldChar w:fldCharType="separate"/>
      </w:r>
      <w:r w:rsidRPr="009802BD">
        <w:rPr>
          <w:rFonts w:ascii="Arial" w:hAnsi="Arial" w:cs="Arial"/>
        </w:rPr>
        <w:t>Fitriyah (2016)</w:t>
      </w:r>
      <w:r w:rsidRPr="009802BD">
        <w:rPr>
          <w:rFonts w:ascii="Arial" w:hAnsi="Arial" w:cs="Arial"/>
        </w:rPr>
        <w:fldChar w:fldCharType="end"/>
      </w:r>
      <w:r w:rsidRPr="009802BD">
        <w:rPr>
          <w:rFonts w:ascii="Arial" w:hAnsi="Arial" w:cs="Arial"/>
        </w:rPr>
        <w:t xml:space="preserve"> , who showed that lecturers and internal auditors are more exposed to training, audits, and policy information related to fraud prevention than students and education personnel. Conversely, students, who are often not directly involved in administrative activities or organizational decision-making, have a limited structural understanding of this mechanism.</w:t>
      </w:r>
    </w:p>
    <w:p w14:paraId="17C24F72" w14:textId="77777777" w:rsidR="009802BD" w:rsidRDefault="009802BD" w:rsidP="009802BD">
      <w:pPr>
        <w:pStyle w:val="Body"/>
        <w:spacing w:after="0"/>
        <w:rPr>
          <w:rFonts w:ascii="Arial" w:hAnsi="Arial" w:cs="Arial"/>
        </w:rPr>
      </w:pPr>
    </w:p>
    <w:p w14:paraId="2065AB8A" w14:textId="68FEF322" w:rsidR="009802BD" w:rsidRPr="009802BD" w:rsidRDefault="009802BD" w:rsidP="009802BD">
      <w:pPr>
        <w:pStyle w:val="Body"/>
        <w:spacing w:after="0"/>
        <w:rPr>
          <w:rFonts w:ascii="Arial" w:hAnsi="Arial" w:cs="Arial"/>
        </w:rPr>
      </w:pPr>
      <w:r w:rsidRPr="009802BD">
        <w:rPr>
          <w:rFonts w:ascii="Arial" w:hAnsi="Arial" w:cs="Arial"/>
        </w:rPr>
        <w:t xml:space="preserve">Lecturers, as part of academic management, tend to be more aware of the risk of fraud and are more likely to be exposed to anti-corruption training and internal audit procedures than other employees. This finding is consistent with the results of this study, where lecturers have a significantly higher perception than students in the monitoring aspect, which includes continuing evaluation and reporting on follow-up of fraud. Meanwhile, the education staff did not show significant differences compared with the other two groups. These results reflect a tendency often found in administrative roles but not typically involved in strategic decision-making or academic processes. </w:t>
      </w:r>
      <w:r w:rsidRPr="009802BD">
        <w:rPr>
          <w:rFonts w:ascii="Arial" w:hAnsi="Arial" w:cs="Arial"/>
        </w:rPr>
        <w:fldChar w:fldCharType="begin"/>
      </w:r>
      <w:r w:rsidRPr="009802BD">
        <w:rPr>
          <w:rFonts w:ascii="Arial" w:hAnsi="Arial" w:cs="Arial"/>
        </w:rPr>
        <w:instrText xml:space="preserve"> ADDIN EN.CITE &lt;EndNote&gt;&lt;Cite AuthorYear="1"&gt;&lt;Author&gt;Abdullahi&lt;/Author&gt;&lt;Year&gt;2015&lt;/Year&gt;&lt;RecNum&gt;677&lt;/RecNum&gt;&lt;DisplayText&gt;Abdullahi et al. (2015)&lt;/DisplayText&gt;&lt;record&gt;&lt;rec-number&gt;677&lt;/rec-number&gt;&lt;foreign-keys&gt;&lt;key app="EN" db-id="s2zxra50f5rxe9ezxwnpfswwa5vdvraddzst" timestamp="1752369586"&gt;677&lt;/key&gt;&lt;/foreign-keys&gt;&lt;ref-type name="Journal Article"&gt;17&lt;/ref-type&gt;&lt;contributors&gt;&lt;authors&gt;&lt;author&gt;Abdullahi, Rabi’u&lt;/author&gt;&lt;author&gt;Mansor, Noorhayati&lt;/author&gt;&lt;author&gt;Nuhu, Muhammad Shahir&lt;/author&gt;&lt;/authors&gt;&lt;/contributors&gt;&lt;titles&gt;&lt;title&gt;Fraud triangle theory and fraud diamond theory. Understanding the convergent and divergent for future research&lt;/title&gt;&lt;secondary-title&gt;International Journal of Academic Research in Accounting, Finance Management Sciences&lt;/secondary-title&gt;&lt;/titles&gt;&lt;periodical&gt;&lt;full-title&gt;International Journal of Academic Research in Accounting, Finance Management Sciences&lt;/full-title&gt;&lt;/periodical&gt;&lt;pages&gt;38-45&lt;/pages&gt;&lt;volume&gt;5&lt;/volume&gt;&lt;number&gt;4&lt;/number&gt;&lt;dates&gt;&lt;year&gt;2015&lt;/year&gt;&lt;/dates&gt;&lt;urls&gt;&lt;/urls&gt;&lt;/record&gt;&lt;/Cite&gt;&lt;/EndNote&gt;</w:instrText>
      </w:r>
      <w:r w:rsidRPr="009802BD">
        <w:rPr>
          <w:rFonts w:ascii="Arial" w:hAnsi="Arial" w:cs="Arial"/>
        </w:rPr>
        <w:fldChar w:fldCharType="separate"/>
      </w:r>
      <w:r w:rsidRPr="009802BD">
        <w:rPr>
          <w:rFonts w:ascii="Arial" w:hAnsi="Arial" w:cs="Arial"/>
        </w:rPr>
        <w:t>Abdullahi et al. (2015)</w:t>
      </w:r>
      <w:r w:rsidRPr="009802BD">
        <w:rPr>
          <w:rFonts w:ascii="Arial" w:hAnsi="Arial" w:cs="Arial"/>
        </w:rPr>
        <w:fldChar w:fldCharType="end"/>
      </w:r>
      <w:r w:rsidRPr="009802BD">
        <w:rPr>
          <w:rFonts w:ascii="Arial" w:hAnsi="Arial" w:cs="Arial"/>
        </w:rPr>
        <w:t xml:space="preserve"> also suggest that non-academic staff have a more neutral perception of the fraud control system, likely due to their limited involvement in the core academic process and policy supervision.</w:t>
      </w:r>
    </w:p>
    <w:p w14:paraId="77729DFA" w14:textId="77777777" w:rsidR="009802BD" w:rsidRPr="009802BD" w:rsidRDefault="009802BD" w:rsidP="009802BD">
      <w:pPr>
        <w:pStyle w:val="Body"/>
        <w:spacing w:after="0"/>
        <w:rPr>
          <w:rFonts w:ascii="Arial" w:hAnsi="Arial" w:cs="Arial"/>
        </w:rPr>
      </w:pPr>
      <w:r w:rsidRPr="009802BD">
        <w:rPr>
          <w:rFonts w:ascii="Arial" w:hAnsi="Arial" w:cs="Arial"/>
        </w:rPr>
        <w:t xml:space="preserve">Theoretically, these findings support the framework of the fraud triangle and diamond fraud, where the perception of fraud prevention and detection is influenced not only by rationality and pressure factors but also by capacity and access to institutional information </w:t>
      </w:r>
      <w:r w:rsidRPr="009802BD">
        <w:rPr>
          <w:rFonts w:ascii="Arial" w:hAnsi="Arial" w:cs="Arial"/>
        </w:rPr>
        <w:fldChar w:fldCharType="begin"/>
      </w:r>
      <w:r w:rsidRPr="009802BD">
        <w:rPr>
          <w:rFonts w:ascii="Arial" w:hAnsi="Arial" w:cs="Arial"/>
        </w:rPr>
        <w:instrText xml:space="preserve"> ADDIN EN.CITE &lt;EndNote&gt;&lt;Cite&gt;&lt;Author&gt;Dorminey&lt;/Author&gt;&lt;Year&gt;2012&lt;/Year&gt;&lt;RecNum&gt;675&lt;/RecNum&gt;&lt;DisplayText&gt;(Dorminey et al., 2012)&lt;/DisplayText&gt;&lt;record&gt;&lt;rec-number&gt;675&lt;/rec-number&gt;&lt;foreign-keys&gt;&lt;key app="EN" db-id="s2zxra50f5rxe9ezxwnpfswwa5vdvraddzst" timestamp="1752342101"&gt;675&lt;/key&gt;&lt;/foreign-keys&gt;&lt;ref-type name="Journal Article"&gt;17&lt;/ref-type&gt;&lt;contributors&gt;&lt;authors&gt;&lt;author&gt;Dorminey, Jack&lt;/author&gt;&lt;author&gt;Fleming, A Scott&lt;/author&gt;&lt;author&gt;Kranacher, Mary-Jo&lt;/author&gt;&lt;author&gt;Riley Jr, Richard A&lt;/author&gt;&lt;/authors&gt;&lt;/contributors&gt;&lt;titles&gt;&lt;title&gt;The evolution of fraud theory&lt;/title&gt;&lt;secondary-title&gt;Issues in accounting education&lt;/secondary-title&gt;&lt;/titles&gt;&lt;periodical&gt;&lt;full-title&gt;Issues in accounting education&lt;/full-title&gt;&lt;/periodical&gt;&lt;pages&gt;555-579&lt;/pages&gt;&lt;volume&gt;27&lt;/volume&gt;&lt;number&gt;2&lt;/number&gt;&lt;dates&gt;&lt;year&gt;2012&lt;/year&gt;&lt;/dates&gt;&lt;isbn&gt;0739-3172&lt;/isbn&gt;&lt;urls&gt;&lt;/urls&gt;&lt;/record&gt;&lt;/Cite&gt;&lt;/EndNote&gt;</w:instrText>
      </w:r>
      <w:r w:rsidRPr="009802BD">
        <w:rPr>
          <w:rFonts w:ascii="Arial" w:hAnsi="Arial" w:cs="Arial"/>
        </w:rPr>
        <w:fldChar w:fldCharType="separate"/>
      </w:r>
      <w:r w:rsidRPr="009802BD">
        <w:rPr>
          <w:rFonts w:ascii="Arial" w:hAnsi="Arial" w:cs="Arial"/>
        </w:rPr>
        <w:t>(Dorminey et al., 2012)</w:t>
      </w:r>
      <w:r w:rsidRPr="009802BD">
        <w:rPr>
          <w:rFonts w:ascii="Arial" w:hAnsi="Arial" w:cs="Arial"/>
        </w:rPr>
        <w:fldChar w:fldCharType="end"/>
      </w:r>
      <w:r w:rsidRPr="009802BD">
        <w:rPr>
          <w:rFonts w:ascii="Arial" w:hAnsi="Arial" w:cs="Arial"/>
        </w:rPr>
        <w:t>. This implies that differences in roles and exposure to the internal control system affect the level of understanding and concern for preventing fraud in the Higher Education environment.</w:t>
      </w:r>
    </w:p>
    <w:p w14:paraId="5396EB0D" w14:textId="03237FA7" w:rsidR="00790ADA" w:rsidRPr="00FB3A86" w:rsidRDefault="00790ADA" w:rsidP="009802BD">
      <w:pPr>
        <w:rPr>
          <w:rFonts w:ascii="Arial" w:hAnsi="Arial" w:cs="Arial"/>
        </w:rPr>
      </w:pPr>
    </w:p>
    <w:p w14:paraId="5FC4231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5F534A" w14:textId="64835768" w:rsidR="00B01FCD" w:rsidRDefault="00B01FCD" w:rsidP="00441B6F">
      <w:pPr>
        <w:pStyle w:val="Body"/>
        <w:spacing w:after="0"/>
        <w:rPr>
          <w:rFonts w:ascii="Arial" w:hAnsi="Arial" w:cs="Arial"/>
        </w:rPr>
      </w:pPr>
    </w:p>
    <w:p w14:paraId="06DBF768" w14:textId="77777777" w:rsidR="009802BD" w:rsidRDefault="009802BD" w:rsidP="009802BD">
      <w:pPr>
        <w:pStyle w:val="Body"/>
        <w:spacing w:after="0"/>
        <w:rPr>
          <w:rFonts w:ascii="Arial" w:hAnsi="Arial" w:cs="Arial"/>
        </w:rPr>
      </w:pPr>
      <w:r w:rsidRPr="009802BD">
        <w:rPr>
          <w:rFonts w:ascii="Arial" w:hAnsi="Arial" w:cs="Arial"/>
        </w:rPr>
        <w:t>Overall, the findings of this study suggest that the differences significantly influence the effectiveness of fraud prevention strategies in the higher education environment, particularly in the roles, positions, and levels of involvement among internal campus actors, including lecturers, students, and education personnel. Lecturers tend to have a higher perception of aspects related to the detection, investigation, and monitoring of fraud compared to other groups, which reflects their strategic role in the academic governance system. Conversely, students and education personnel show lower and relatively similar perceptions, indicating their limited access to institutional information and internal supervision systems.</w:t>
      </w:r>
    </w:p>
    <w:p w14:paraId="69739458" w14:textId="77777777" w:rsidR="009802BD" w:rsidRPr="009802BD" w:rsidRDefault="009802BD" w:rsidP="009802BD">
      <w:pPr>
        <w:pStyle w:val="Body"/>
        <w:spacing w:after="0"/>
        <w:rPr>
          <w:rFonts w:ascii="Arial" w:hAnsi="Arial" w:cs="Arial"/>
        </w:rPr>
      </w:pPr>
    </w:p>
    <w:p w14:paraId="3FAEF4F9" w14:textId="77777777" w:rsidR="009802BD" w:rsidRDefault="009802BD" w:rsidP="009802BD">
      <w:pPr>
        <w:pStyle w:val="Body"/>
        <w:spacing w:after="0"/>
        <w:rPr>
          <w:rFonts w:ascii="Arial" w:hAnsi="Arial" w:cs="Arial"/>
        </w:rPr>
      </w:pPr>
      <w:r w:rsidRPr="009802BD">
        <w:rPr>
          <w:rFonts w:ascii="Arial" w:hAnsi="Arial" w:cs="Arial"/>
        </w:rPr>
        <w:t xml:space="preserve">Therefore, to ensure that fraud prevention strategies run effectively and sustainably, an approach is needed that not only emphasizes normative aspects through regulations and policies but also fosters participation by increasing anti-fraud literacy at all levels of the </w:t>
      </w:r>
      <w:r w:rsidRPr="009802BD">
        <w:rPr>
          <w:rFonts w:ascii="Arial" w:hAnsi="Arial" w:cs="Arial"/>
        </w:rPr>
        <w:lastRenderedPageBreak/>
        <w:t>academic community. The implementation of Sustainable Training, Inclusive Policy Socialization, and Empowering the Roles of Students and Educational Personnel in the Internal Control System is a strategic step that the management of higher education institutions must consider. Thus, the prevention of fraud can be internalized as part of a collective and responsible organizational culture.</w:t>
      </w:r>
    </w:p>
    <w:p w14:paraId="73835B98" w14:textId="77777777" w:rsidR="009802BD" w:rsidRPr="009802BD" w:rsidRDefault="009802BD" w:rsidP="009802BD">
      <w:pPr>
        <w:pStyle w:val="Body"/>
        <w:spacing w:after="0"/>
        <w:rPr>
          <w:rFonts w:ascii="Arial" w:hAnsi="Arial" w:cs="Arial"/>
        </w:rPr>
      </w:pPr>
    </w:p>
    <w:p w14:paraId="79ED62B6" w14:textId="35F8C408" w:rsidR="009802BD" w:rsidRDefault="009802BD" w:rsidP="009802BD">
      <w:pPr>
        <w:pStyle w:val="Body"/>
        <w:spacing w:after="0"/>
        <w:rPr>
          <w:rFonts w:ascii="Arial" w:hAnsi="Arial" w:cs="Arial"/>
        </w:rPr>
      </w:pPr>
      <w:r w:rsidRPr="009802BD">
        <w:rPr>
          <w:rFonts w:ascii="Arial" w:hAnsi="Arial" w:cs="Arial"/>
        </w:rPr>
        <w:t>Although this research has made an initial contribution to understanding the dynamics of perception to fraud prevention strategies based on academic status, several directions of further research need to be considered. First, subsequent research can expand the scope of institutions to compare the pattern of perceptions between types of tertiary institutions (Negeri vs. Private), or between countries and different education systems. Second, the use of a qualitative or mixed method (mixed methods) can enrich the understanding of contextual factors that affect the perception and involvement of actors in fraud prevention. Third, future research can also integrate the psychological dimensions or organizational culture to explain the variation of perceptions that are not only sourced from formal roles, but also from the internal values of individuals and institutions. Finally, the development and testing of anti-fraud literacy intervention models based on academic roles can make a significant practical contribution to higher education governance, leading to greater transparency and accountability.</w:t>
      </w:r>
    </w:p>
    <w:p w14:paraId="2A0B2E81" w14:textId="77777777" w:rsidR="00790ADA" w:rsidRPr="00FB3A86" w:rsidRDefault="00790ADA" w:rsidP="00441B6F">
      <w:pPr>
        <w:pStyle w:val="Body"/>
        <w:spacing w:after="0"/>
        <w:rPr>
          <w:rFonts w:ascii="Arial" w:hAnsi="Arial" w:cs="Arial"/>
        </w:rPr>
      </w:pPr>
    </w:p>
    <w:p w14:paraId="37607A5F" w14:textId="16208529" w:rsidR="002B685A" w:rsidRDefault="002B685A" w:rsidP="00441B6F">
      <w:pPr>
        <w:pStyle w:val="ReferHead"/>
        <w:spacing w:after="0"/>
        <w:jc w:val="both"/>
        <w:rPr>
          <w:rFonts w:ascii="Arial" w:hAnsi="Arial" w:cs="Arial"/>
          <w:bCs/>
        </w:rPr>
      </w:pPr>
      <w:r w:rsidRPr="002B685A">
        <w:rPr>
          <w:rFonts w:ascii="Arial" w:hAnsi="Arial" w:cs="Arial"/>
          <w:bCs/>
        </w:rPr>
        <w:t>Consent</w:t>
      </w:r>
    </w:p>
    <w:p w14:paraId="0B4372EB" w14:textId="77777777" w:rsidR="002B685A" w:rsidRPr="002B685A" w:rsidRDefault="002B685A" w:rsidP="00441B6F">
      <w:pPr>
        <w:pStyle w:val="ReferHead"/>
        <w:spacing w:after="0"/>
        <w:jc w:val="both"/>
        <w:rPr>
          <w:rFonts w:ascii="Arial" w:hAnsi="Arial" w:cs="Arial"/>
          <w:bCs/>
        </w:rPr>
      </w:pPr>
    </w:p>
    <w:p w14:paraId="19F82B71" w14:textId="76BBBC18" w:rsidR="001A29D8" w:rsidRDefault="000E101C" w:rsidP="00441B6F">
      <w:pPr>
        <w:pStyle w:val="ReferHead"/>
        <w:spacing w:after="0"/>
        <w:jc w:val="both"/>
        <w:rPr>
          <w:rFonts w:ascii="Arial" w:hAnsi="Arial" w:cs="Arial"/>
          <w:b w:val="0"/>
          <w:caps w:val="0"/>
          <w:sz w:val="20"/>
        </w:rPr>
      </w:pPr>
      <w:r w:rsidRPr="000E101C">
        <w:rPr>
          <w:rFonts w:ascii="Arial" w:hAnsi="Arial" w:cs="Arial"/>
          <w:b w:val="0"/>
          <w:caps w:val="0"/>
          <w:sz w:val="20"/>
        </w:rPr>
        <w:t>As</w:t>
      </w:r>
      <w:r>
        <w:rPr>
          <w:rFonts w:ascii="Arial" w:hAnsi="Arial" w:cs="Arial"/>
          <w:b w:val="0"/>
          <w:caps w:val="0"/>
          <w:sz w:val="20"/>
        </w:rPr>
        <w:t xml:space="preserve"> </w:t>
      </w:r>
      <w:r w:rsidRPr="000E101C">
        <w:rPr>
          <w:rFonts w:ascii="Arial" w:hAnsi="Arial" w:cs="Arial"/>
          <w:b w:val="0"/>
          <w:caps w:val="0"/>
          <w:sz w:val="20"/>
        </w:rPr>
        <w:t>per</w:t>
      </w:r>
      <w:r>
        <w:rPr>
          <w:rFonts w:ascii="Arial" w:hAnsi="Arial" w:cs="Arial"/>
          <w:b w:val="0"/>
          <w:caps w:val="0"/>
          <w:sz w:val="20"/>
        </w:rPr>
        <w:t xml:space="preserve"> </w:t>
      </w:r>
      <w:r w:rsidRPr="000E101C">
        <w:rPr>
          <w:rFonts w:ascii="Arial" w:hAnsi="Arial" w:cs="Arial"/>
          <w:b w:val="0"/>
          <w:caps w:val="0"/>
          <w:sz w:val="20"/>
        </w:rPr>
        <w:t>international</w:t>
      </w:r>
      <w:r>
        <w:rPr>
          <w:rFonts w:ascii="Arial" w:hAnsi="Arial" w:cs="Arial"/>
          <w:b w:val="0"/>
          <w:caps w:val="0"/>
          <w:sz w:val="20"/>
        </w:rPr>
        <w:t xml:space="preserve"> </w:t>
      </w:r>
      <w:r w:rsidRPr="000E101C">
        <w:rPr>
          <w:rFonts w:ascii="Arial" w:hAnsi="Arial" w:cs="Arial"/>
          <w:b w:val="0"/>
          <w:caps w:val="0"/>
          <w:sz w:val="20"/>
        </w:rPr>
        <w:t>standards</w:t>
      </w:r>
      <w:r>
        <w:rPr>
          <w:rFonts w:ascii="Arial" w:hAnsi="Arial" w:cs="Arial"/>
          <w:b w:val="0"/>
          <w:caps w:val="0"/>
          <w:sz w:val="20"/>
        </w:rPr>
        <w:t xml:space="preserve"> </w:t>
      </w:r>
      <w:r w:rsidRPr="000E101C">
        <w:rPr>
          <w:rFonts w:ascii="Arial" w:hAnsi="Arial" w:cs="Arial"/>
          <w:b w:val="0"/>
          <w:caps w:val="0"/>
          <w:sz w:val="20"/>
        </w:rPr>
        <w:t>or</w:t>
      </w:r>
      <w:r>
        <w:rPr>
          <w:rFonts w:ascii="Arial" w:hAnsi="Arial" w:cs="Arial"/>
          <w:b w:val="0"/>
          <w:caps w:val="0"/>
          <w:sz w:val="20"/>
        </w:rPr>
        <w:t xml:space="preserve"> </w:t>
      </w:r>
      <w:r w:rsidRPr="000E101C">
        <w:rPr>
          <w:rFonts w:ascii="Arial" w:hAnsi="Arial" w:cs="Arial"/>
          <w:b w:val="0"/>
          <w:caps w:val="0"/>
          <w:sz w:val="20"/>
        </w:rPr>
        <w:t>university standards, respondents’</w:t>
      </w:r>
      <w:r>
        <w:rPr>
          <w:rFonts w:ascii="Arial" w:hAnsi="Arial" w:cs="Arial"/>
          <w:b w:val="0"/>
          <w:caps w:val="0"/>
          <w:sz w:val="20"/>
        </w:rPr>
        <w:t xml:space="preserve"> </w:t>
      </w:r>
      <w:r w:rsidRPr="000E101C">
        <w:rPr>
          <w:rFonts w:ascii="Arial" w:hAnsi="Arial" w:cs="Arial"/>
          <w:b w:val="0"/>
          <w:caps w:val="0"/>
          <w:sz w:val="20"/>
        </w:rPr>
        <w:t>written</w:t>
      </w:r>
      <w:r>
        <w:rPr>
          <w:rFonts w:ascii="Arial" w:hAnsi="Arial" w:cs="Arial"/>
          <w:b w:val="0"/>
          <w:caps w:val="0"/>
          <w:sz w:val="20"/>
        </w:rPr>
        <w:t xml:space="preserve"> </w:t>
      </w:r>
      <w:r w:rsidRPr="000E101C">
        <w:rPr>
          <w:rFonts w:ascii="Arial" w:hAnsi="Arial" w:cs="Arial"/>
          <w:b w:val="0"/>
          <w:caps w:val="0"/>
          <w:sz w:val="20"/>
        </w:rPr>
        <w:t>consent</w:t>
      </w:r>
      <w:r>
        <w:rPr>
          <w:rFonts w:ascii="Arial" w:hAnsi="Arial" w:cs="Arial"/>
          <w:b w:val="0"/>
          <w:caps w:val="0"/>
          <w:sz w:val="20"/>
        </w:rPr>
        <w:t xml:space="preserve"> </w:t>
      </w:r>
      <w:r w:rsidRPr="000E101C">
        <w:rPr>
          <w:rFonts w:ascii="Arial" w:hAnsi="Arial" w:cs="Arial"/>
          <w:b w:val="0"/>
          <w:caps w:val="0"/>
          <w:sz w:val="20"/>
        </w:rPr>
        <w:t>has been collected and preserved by the author(s).</w:t>
      </w:r>
    </w:p>
    <w:p w14:paraId="63D972D0" w14:textId="77777777" w:rsidR="00FE3724" w:rsidRDefault="00FE3724" w:rsidP="00441B6F">
      <w:pPr>
        <w:pStyle w:val="ReferHead"/>
        <w:spacing w:after="0"/>
        <w:jc w:val="both"/>
        <w:rPr>
          <w:rFonts w:ascii="Arial" w:hAnsi="Arial" w:cs="Arial"/>
          <w:b w:val="0"/>
          <w:caps w:val="0"/>
          <w:sz w:val="20"/>
        </w:rPr>
      </w:pPr>
    </w:p>
    <w:p w14:paraId="297BDC07" w14:textId="77777777" w:rsidR="00FE3724" w:rsidRPr="00FE3724" w:rsidRDefault="00FE3724" w:rsidP="00FE3724">
      <w:pPr>
        <w:spacing w:after="200" w:line="276" w:lineRule="auto"/>
        <w:jc w:val="both"/>
        <w:outlineLvl w:val="0"/>
        <w:rPr>
          <w:rFonts w:ascii="Arial" w:eastAsiaTheme="minorEastAsia" w:hAnsi="Arial" w:cs="Arial"/>
          <w:sz w:val="22"/>
          <w:szCs w:val="22"/>
          <w:lang w:val="en-GB" w:eastAsia="en-GB"/>
        </w:rPr>
      </w:pPr>
      <w:r w:rsidRPr="00FE3724">
        <w:rPr>
          <w:rFonts w:ascii="Arial" w:eastAsiaTheme="minorEastAsia" w:hAnsi="Arial" w:cs="Arial"/>
          <w:b/>
          <w:bCs/>
          <w:sz w:val="22"/>
          <w:szCs w:val="22"/>
          <w:lang w:val="en-GB" w:eastAsia="en-GB"/>
        </w:rPr>
        <w:t>COMPETING INTERESTS DISCLAIMER:</w:t>
      </w:r>
    </w:p>
    <w:p w14:paraId="0FB4CF63" w14:textId="77777777" w:rsidR="00FE3724" w:rsidRPr="00FE3724" w:rsidRDefault="00FE3724" w:rsidP="00FE3724">
      <w:pPr>
        <w:spacing w:after="200" w:line="276" w:lineRule="auto"/>
        <w:rPr>
          <w:rFonts w:asciiTheme="minorHAnsi" w:eastAsiaTheme="minorEastAsia" w:hAnsiTheme="minorHAnsi" w:cstheme="minorBidi"/>
          <w:sz w:val="22"/>
          <w:szCs w:val="22"/>
          <w:lang w:val="en-GB" w:eastAsia="en-GB"/>
        </w:rPr>
      </w:pPr>
      <w:r w:rsidRPr="00FE372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C143E45" w14:textId="6CDE0666" w:rsidR="0041027F" w:rsidRPr="00F469F0" w:rsidRDefault="0041027F" w:rsidP="00441B6F">
      <w:pPr>
        <w:pStyle w:val="ReferHead"/>
        <w:spacing w:after="0"/>
        <w:jc w:val="both"/>
        <w:rPr>
          <w:rFonts w:ascii="Arial" w:hAnsi="Arial" w:cs="Arial"/>
          <w:b w:val="0"/>
          <w:caps w:val="0"/>
          <w:sz w:val="20"/>
          <w:u w:val="single"/>
        </w:rPr>
      </w:pPr>
    </w:p>
    <w:p w14:paraId="521F02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B53B46C" w14:textId="77777777" w:rsidR="009802BD" w:rsidRPr="000E101C" w:rsidRDefault="00EA2624" w:rsidP="009802BD">
      <w:pPr>
        <w:pStyle w:val="EndNoteBibliography"/>
        <w:ind w:left="720" w:hanging="720"/>
        <w:rPr>
          <w:rFonts w:ascii="Arial" w:hAnsi="Arial" w:cs="Arial"/>
          <w:sz w:val="20"/>
        </w:rPr>
      </w:pPr>
      <w:r w:rsidRPr="000E101C">
        <w:rPr>
          <w:rFonts w:ascii="Arial" w:hAnsi="Arial" w:cs="Arial"/>
          <w:b/>
          <w:sz w:val="20"/>
        </w:rPr>
        <w:fldChar w:fldCharType="begin"/>
      </w:r>
      <w:r w:rsidRPr="000E101C">
        <w:rPr>
          <w:rFonts w:ascii="Arial" w:hAnsi="Arial" w:cs="Arial"/>
          <w:b/>
          <w:sz w:val="20"/>
        </w:rPr>
        <w:instrText xml:space="preserve"> ADDIN EN.REFLIST </w:instrText>
      </w:r>
      <w:r w:rsidRPr="000E101C">
        <w:rPr>
          <w:rFonts w:ascii="Arial" w:hAnsi="Arial" w:cs="Arial"/>
          <w:b/>
          <w:sz w:val="20"/>
        </w:rPr>
        <w:fldChar w:fldCharType="separate"/>
      </w:r>
      <w:r w:rsidR="009802BD" w:rsidRPr="000E101C">
        <w:rPr>
          <w:rFonts w:ascii="Arial" w:hAnsi="Arial" w:cs="Arial"/>
          <w:sz w:val="20"/>
        </w:rPr>
        <w:t xml:space="preserve">Aaron, L. S., &amp; Roche, C. M. (2013). Stemming the tide of academic dishonesty in higher education: It takes a village. </w:t>
      </w:r>
      <w:r w:rsidR="009802BD" w:rsidRPr="000E101C">
        <w:rPr>
          <w:rFonts w:ascii="Arial" w:hAnsi="Arial" w:cs="Arial"/>
          <w:i/>
          <w:sz w:val="20"/>
        </w:rPr>
        <w:t>Journal of Educational Technology Systems, 42</w:t>
      </w:r>
      <w:r w:rsidR="009802BD" w:rsidRPr="000E101C">
        <w:rPr>
          <w:rFonts w:ascii="Arial" w:hAnsi="Arial" w:cs="Arial"/>
          <w:sz w:val="20"/>
        </w:rPr>
        <w:t xml:space="preserve">(2), 161-196. </w:t>
      </w:r>
    </w:p>
    <w:p w14:paraId="032FD738"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Abdullahi, R. u., Mansor, N., &amp; Nuhu, M. S. (2015). Fraud triangle theory and fraud diamond theory. Understanding the convergent and divergent for future research. </w:t>
      </w:r>
      <w:r w:rsidRPr="000E101C">
        <w:rPr>
          <w:rFonts w:ascii="Arial" w:hAnsi="Arial" w:cs="Arial"/>
          <w:i/>
          <w:sz w:val="20"/>
        </w:rPr>
        <w:t>International Journal of Academic Research in Accounting, Finance Management Sciences, 5</w:t>
      </w:r>
      <w:r w:rsidRPr="000E101C">
        <w:rPr>
          <w:rFonts w:ascii="Arial" w:hAnsi="Arial" w:cs="Arial"/>
          <w:sz w:val="20"/>
        </w:rPr>
        <w:t xml:space="preserve">(4), 38-45. </w:t>
      </w:r>
    </w:p>
    <w:p w14:paraId="6C0C94D0"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Amasiatu, C. V., &amp; Shah, M. H. (2018). First party fraud management: framework for the retail industry. </w:t>
      </w:r>
      <w:r w:rsidRPr="000E101C">
        <w:rPr>
          <w:rFonts w:ascii="Arial" w:hAnsi="Arial" w:cs="Arial"/>
          <w:i/>
          <w:sz w:val="20"/>
        </w:rPr>
        <w:t>International Journal of Retail Distribution Management, 46</w:t>
      </w:r>
      <w:r w:rsidRPr="000E101C">
        <w:rPr>
          <w:rFonts w:ascii="Arial" w:hAnsi="Arial" w:cs="Arial"/>
          <w:sz w:val="20"/>
        </w:rPr>
        <w:t xml:space="preserve">(4), 350-363. </w:t>
      </w:r>
    </w:p>
    <w:p w14:paraId="0E1EC820"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Aprilisanda, I. D., Yuhertiana, I., &amp; Priono, H. (2018). Persepsi Dosen Akuntansi Terhadap Praktik Kecurangan Akademik Pada Upn “Veteran” Jawa Timur (Studi Pada Progdi Akuntansi). </w:t>
      </w:r>
      <w:r w:rsidRPr="000E101C">
        <w:rPr>
          <w:rFonts w:ascii="Arial" w:hAnsi="Arial" w:cs="Arial"/>
          <w:i/>
          <w:sz w:val="20"/>
        </w:rPr>
        <w:t>BAJ: Behavioral Accounting Journal, 1</w:t>
      </w:r>
      <w:r w:rsidRPr="000E101C">
        <w:rPr>
          <w:rFonts w:ascii="Arial" w:hAnsi="Arial" w:cs="Arial"/>
          <w:sz w:val="20"/>
        </w:rPr>
        <w:t xml:space="preserve">(1), 97-110. </w:t>
      </w:r>
    </w:p>
    <w:p w14:paraId="1C1BB5C3"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Cerda-Navarro, A., Touza, C., Morey-López, M., &amp; Curiel, E. (2022). Academic integrity policies against assessment fraud in postgraduate studies: An analysis of the situation in Spanish universities. </w:t>
      </w:r>
      <w:r w:rsidRPr="000E101C">
        <w:rPr>
          <w:rFonts w:ascii="Arial" w:hAnsi="Arial" w:cs="Arial"/>
          <w:i/>
          <w:sz w:val="20"/>
        </w:rPr>
        <w:t>Heliyon, 8</w:t>
      </w:r>
      <w:r w:rsidRPr="000E101C">
        <w:rPr>
          <w:rFonts w:ascii="Arial" w:hAnsi="Arial" w:cs="Arial"/>
          <w:sz w:val="20"/>
        </w:rPr>
        <w:t xml:space="preserve">(3). </w:t>
      </w:r>
    </w:p>
    <w:p w14:paraId="46614FB5"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COSO. (2013). </w:t>
      </w:r>
      <w:r w:rsidRPr="000E101C">
        <w:rPr>
          <w:rFonts w:ascii="Arial" w:hAnsi="Arial" w:cs="Arial"/>
          <w:i/>
          <w:sz w:val="20"/>
        </w:rPr>
        <w:t>Internal control-Integrated framework: Executive summary</w:t>
      </w:r>
      <w:r w:rsidRPr="000E101C">
        <w:rPr>
          <w:rFonts w:ascii="Arial" w:hAnsi="Arial" w:cs="Arial"/>
          <w:sz w:val="20"/>
        </w:rPr>
        <w:t xml:space="preserve">. Retrieved from </w:t>
      </w:r>
    </w:p>
    <w:p w14:paraId="5EC1826E"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Couchoux, O. (2024). Navigating knowledge and ignorance in the boardroom: A study of audit committee members' oversight styles. </w:t>
      </w:r>
      <w:r w:rsidRPr="000E101C">
        <w:rPr>
          <w:rFonts w:ascii="Arial" w:hAnsi="Arial" w:cs="Arial"/>
          <w:i/>
          <w:sz w:val="20"/>
        </w:rPr>
        <w:t>Contemporary Accounting Research, 41</w:t>
      </w:r>
      <w:r w:rsidRPr="000E101C">
        <w:rPr>
          <w:rFonts w:ascii="Arial" w:hAnsi="Arial" w:cs="Arial"/>
          <w:sz w:val="20"/>
        </w:rPr>
        <w:t xml:space="preserve">(1), 459-497. </w:t>
      </w:r>
    </w:p>
    <w:p w14:paraId="12D2E0B2"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lastRenderedPageBreak/>
        <w:t xml:space="preserve">Cressey, D. R. (1953). </w:t>
      </w:r>
      <w:r w:rsidRPr="000E101C">
        <w:rPr>
          <w:rFonts w:ascii="Arial" w:hAnsi="Arial" w:cs="Arial"/>
          <w:i/>
          <w:sz w:val="20"/>
        </w:rPr>
        <w:t>Other People’s Money: A Study of the Social Psychology of Embezzlement</w:t>
      </w:r>
      <w:r w:rsidRPr="000E101C">
        <w:rPr>
          <w:rFonts w:ascii="Arial" w:hAnsi="Arial" w:cs="Arial"/>
          <w:sz w:val="20"/>
        </w:rPr>
        <w:t>.</w:t>
      </w:r>
    </w:p>
    <w:p w14:paraId="4BC3453D"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Dorminey, J., Fleming, A. S., Kranacher, M.-J., &amp; Riley Jr, R. A. (2012). The evolution of fraud theory. </w:t>
      </w:r>
      <w:r w:rsidRPr="000E101C">
        <w:rPr>
          <w:rFonts w:ascii="Arial" w:hAnsi="Arial" w:cs="Arial"/>
          <w:i/>
          <w:sz w:val="20"/>
        </w:rPr>
        <w:t>Issues in accounting education, 27</w:t>
      </w:r>
      <w:r w:rsidRPr="000E101C">
        <w:rPr>
          <w:rFonts w:ascii="Arial" w:hAnsi="Arial" w:cs="Arial"/>
          <w:sz w:val="20"/>
        </w:rPr>
        <w:t xml:space="preserve">(2), 555-579. </w:t>
      </w:r>
    </w:p>
    <w:p w14:paraId="6D2DD74D"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Fitriyah, F. K. (2016). The role of the internal audit unit in detecting and preventing fraud at public Universities in West Java, Indonesia. </w:t>
      </w:r>
      <w:r w:rsidRPr="000E101C">
        <w:rPr>
          <w:rFonts w:ascii="Arial" w:hAnsi="Arial" w:cs="Arial"/>
          <w:i/>
          <w:sz w:val="20"/>
        </w:rPr>
        <w:t>International Scholarly Scientific Research Innovation, 10</w:t>
      </w:r>
      <w:r w:rsidRPr="000E101C">
        <w:rPr>
          <w:rFonts w:ascii="Arial" w:hAnsi="Arial" w:cs="Arial"/>
          <w:sz w:val="20"/>
        </w:rPr>
        <w:t xml:space="preserve">(5), 1802-1809. </w:t>
      </w:r>
    </w:p>
    <w:p w14:paraId="1199FC71"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Hanim Fadzil, F., Haron, H., &amp; Jantan, M. (2005). Internal auditing practices and internal control system. </w:t>
      </w:r>
      <w:r w:rsidRPr="000E101C">
        <w:rPr>
          <w:rFonts w:ascii="Arial" w:hAnsi="Arial" w:cs="Arial"/>
          <w:i/>
          <w:sz w:val="20"/>
        </w:rPr>
        <w:t>Managerial Auditing Journal, 20</w:t>
      </w:r>
      <w:r w:rsidRPr="000E101C">
        <w:rPr>
          <w:rFonts w:ascii="Arial" w:hAnsi="Arial" w:cs="Arial"/>
          <w:sz w:val="20"/>
        </w:rPr>
        <w:t xml:space="preserve">(8), 844-866. </w:t>
      </w:r>
    </w:p>
    <w:p w14:paraId="0453DCED"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Hartanto, R., &amp; Rahayu, D. (2024). Implementation of Good Corporate Governance in Improving Company Financial Performance (A Case Study of PT. Industri Jamu dan Farmasi Sido Muncul Tbk). </w:t>
      </w:r>
      <w:r w:rsidRPr="000E101C">
        <w:rPr>
          <w:rFonts w:ascii="Arial" w:hAnsi="Arial" w:cs="Arial"/>
          <w:i/>
          <w:sz w:val="20"/>
        </w:rPr>
        <w:t>Insight Management Business, 2</w:t>
      </w:r>
      <w:r w:rsidRPr="000E101C">
        <w:rPr>
          <w:rFonts w:ascii="Arial" w:hAnsi="Arial" w:cs="Arial"/>
          <w:sz w:val="20"/>
        </w:rPr>
        <w:t xml:space="preserve">(1), 13-23. </w:t>
      </w:r>
    </w:p>
    <w:p w14:paraId="109CAE7D"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Hartanto, R., Rahayu, D., Maemunah, M., &amp; Hernawati, N. (2025). Revealing perceptions of corruption behavior in indonesian higher education institutions. </w:t>
      </w:r>
      <w:r w:rsidRPr="000E101C">
        <w:rPr>
          <w:rFonts w:ascii="Arial" w:hAnsi="Arial" w:cs="Arial"/>
          <w:i/>
          <w:sz w:val="20"/>
        </w:rPr>
        <w:t>Multidisciplinary Science Journal, 7</w:t>
      </w:r>
      <w:r w:rsidRPr="000E101C">
        <w:rPr>
          <w:rFonts w:ascii="Arial" w:hAnsi="Arial" w:cs="Arial"/>
          <w:sz w:val="20"/>
        </w:rPr>
        <w:t xml:space="preserve">(8), 2025390-2025390. </w:t>
      </w:r>
    </w:p>
    <w:p w14:paraId="70CE11FD"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Hartanto, R., Sukarmanto, E., Rahayu, D., Aulia, A. T., &amp; Puspita, N. D. (2024). Peran Struktur Tata Kelola dalam Mencegah Kecurangan Internal di Perbankan Indonesia. </w:t>
      </w:r>
      <w:r w:rsidRPr="000E101C">
        <w:rPr>
          <w:rFonts w:ascii="Arial" w:hAnsi="Arial" w:cs="Arial"/>
          <w:i/>
          <w:sz w:val="20"/>
        </w:rPr>
        <w:t>Jurnal Akuntansi Berkelanjutan Indonesia, 7</w:t>
      </w:r>
      <w:r w:rsidRPr="000E101C">
        <w:rPr>
          <w:rFonts w:ascii="Arial" w:hAnsi="Arial" w:cs="Arial"/>
          <w:sz w:val="20"/>
        </w:rPr>
        <w:t xml:space="preserve">(1), 52-63. </w:t>
      </w:r>
    </w:p>
    <w:p w14:paraId="6B85693B"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Julián, M., &amp; Bonavia, T. (2021). Understanding unethical behaviors at the university level: A multiple regression analysis. </w:t>
      </w:r>
      <w:r w:rsidRPr="000E101C">
        <w:rPr>
          <w:rFonts w:ascii="Arial" w:hAnsi="Arial" w:cs="Arial"/>
          <w:i/>
          <w:sz w:val="20"/>
        </w:rPr>
        <w:t>Ethics Behavior, 31</w:t>
      </w:r>
      <w:r w:rsidRPr="000E101C">
        <w:rPr>
          <w:rFonts w:ascii="Arial" w:hAnsi="Arial" w:cs="Arial"/>
          <w:sz w:val="20"/>
        </w:rPr>
        <w:t xml:space="preserve">(4), 257-269. </w:t>
      </w:r>
    </w:p>
    <w:p w14:paraId="7D1B4811"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Kassem, R., &amp; Higson, A. W. (2016). External auditors and corporate corruption: Implications for external audit regulators. </w:t>
      </w:r>
      <w:r w:rsidRPr="000E101C">
        <w:rPr>
          <w:rFonts w:ascii="Arial" w:hAnsi="Arial" w:cs="Arial"/>
          <w:i/>
          <w:sz w:val="20"/>
        </w:rPr>
        <w:t>Current Issues in Auditing, 10</w:t>
      </w:r>
      <w:r w:rsidRPr="000E101C">
        <w:rPr>
          <w:rFonts w:ascii="Arial" w:hAnsi="Arial" w:cs="Arial"/>
          <w:sz w:val="20"/>
        </w:rPr>
        <w:t xml:space="preserve">(1), P1-P10. </w:t>
      </w:r>
    </w:p>
    <w:p w14:paraId="21719748"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Kirya, M. (2019). Corruption in universities: Paths to integrity in the higher education subsector. </w:t>
      </w:r>
      <w:r w:rsidRPr="000E101C">
        <w:rPr>
          <w:rFonts w:ascii="Arial" w:hAnsi="Arial" w:cs="Arial"/>
          <w:i/>
          <w:sz w:val="20"/>
        </w:rPr>
        <w:t>Anti-Corruption Resource Centre, 10</w:t>
      </w:r>
      <w:r w:rsidRPr="000E101C">
        <w:rPr>
          <w:rFonts w:ascii="Arial" w:hAnsi="Arial" w:cs="Arial"/>
          <w:sz w:val="20"/>
        </w:rPr>
        <w:t xml:space="preserve">. </w:t>
      </w:r>
    </w:p>
    <w:p w14:paraId="7B274BED"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Lituhayu, D., Rahman, A. Z., Muluk, M. R. K., &amp; Huda, M. N. (2023). Anti-corruption education policy outputs for combatting corruption in Indonesia: applying the theory of planned behaviour. </w:t>
      </w:r>
      <w:r w:rsidRPr="000E101C">
        <w:rPr>
          <w:rFonts w:ascii="Arial" w:hAnsi="Arial" w:cs="Arial"/>
          <w:i/>
          <w:sz w:val="20"/>
        </w:rPr>
        <w:t>Journal of Contemporary Governance Public Policy, 4</w:t>
      </w:r>
      <w:r w:rsidRPr="000E101C">
        <w:rPr>
          <w:rFonts w:ascii="Arial" w:hAnsi="Arial" w:cs="Arial"/>
          <w:sz w:val="20"/>
        </w:rPr>
        <w:t xml:space="preserve">(2), 195-214. </w:t>
      </w:r>
    </w:p>
    <w:p w14:paraId="577DDED2"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McHaney, R., Cronan, T. P., &amp; Douglas, D. E. (2016). Academic integrity: Information systems education perspective. </w:t>
      </w:r>
      <w:r w:rsidRPr="000E101C">
        <w:rPr>
          <w:rFonts w:ascii="Arial" w:hAnsi="Arial" w:cs="Arial"/>
          <w:i/>
          <w:sz w:val="20"/>
        </w:rPr>
        <w:t>Journal of Information Systems Education, 27</w:t>
      </w:r>
      <w:r w:rsidRPr="000E101C">
        <w:rPr>
          <w:rFonts w:ascii="Arial" w:hAnsi="Arial" w:cs="Arial"/>
          <w:sz w:val="20"/>
        </w:rPr>
        <w:t xml:space="preserve">(3), 153-158. </w:t>
      </w:r>
    </w:p>
    <w:p w14:paraId="36EA1EA7"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Omer, T. C., Sharp, N. Y., &amp; Wang, D. (2018). The impact of religion on the going concern reporting decisions of local audit offices. </w:t>
      </w:r>
      <w:r w:rsidRPr="000E101C">
        <w:rPr>
          <w:rFonts w:ascii="Arial" w:hAnsi="Arial" w:cs="Arial"/>
          <w:i/>
          <w:sz w:val="20"/>
        </w:rPr>
        <w:t>Journal of business ethics, 149</w:t>
      </w:r>
      <w:r w:rsidRPr="000E101C">
        <w:rPr>
          <w:rFonts w:ascii="Arial" w:hAnsi="Arial" w:cs="Arial"/>
          <w:sz w:val="20"/>
        </w:rPr>
        <w:t xml:space="preserve">(4), 811-831. </w:t>
      </w:r>
    </w:p>
    <w:p w14:paraId="68B4A42E"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Prenzler, T. (2020). What works in fraud prevention: A review of real-world intervention projects. </w:t>
      </w:r>
      <w:r w:rsidRPr="000E101C">
        <w:rPr>
          <w:rFonts w:ascii="Arial" w:hAnsi="Arial" w:cs="Arial"/>
          <w:i/>
          <w:sz w:val="20"/>
        </w:rPr>
        <w:t>Journal of Criminological Research, Policy Practice, 6</w:t>
      </w:r>
      <w:r w:rsidRPr="000E101C">
        <w:rPr>
          <w:rFonts w:ascii="Arial" w:hAnsi="Arial" w:cs="Arial"/>
          <w:sz w:val="20"/>
        </w:rPr>
        <w:t xml:space="preserve">(1), 83-96. </w:t>
      </w:r>
    </w:p>
    <w:p w14:paraId="529DCC87"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Rahayu, D. (2023). Pengaruh Mekanisme Good Corporate Governance dan Periode Terjadi Covid19 Terhadap Kecurangan Laporan Keuangan Perbankan Indonesia. </w:t>
      </w:r>
      <w:r w:rsidRPr="000E101C">
        <w:rPr>
          <w:rFonts w:ascii="Arial" w:hAnsi="Arial" w:cs="Arial"/>
          <w:i/>
          <w:sz w:val="20"/>
        </w:rPr>
        <w:t>Jurnal Ekonomi Manajemen dan Akuntansi (JEMSI), 9</w:t>
      </w:r>
      <w:r w:rsidRPr="000E101C">
        <w:rPr>
          <w:rFonts w:ascii="Arial" w:hAnsi="Arial" w:cs="Arial"/>
          <w:sz w:val="20"/>
        </w:rPr>
        <w:t xml:space="preserve">(3), 762-773. </w:t>
      </w:r>
    </w:p>
    <w:p w14:paraId="3BE412D1"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Rahayu, D. (2024). Personal Values, Ethical Orientation, and Ethical Behavior in Accounting Students as Prospective Professional Accountants. </w:t>
      </w:r>
      <w:r w:rsidRPr="000E101C">
        <w:rPr>
          <w:rFonts w:ascii="Arial" w:hAnsi="Arial" w:cs="Arial"/>
          <w:i/>
          <w:sz w:val="20"/>
        </w:rPr>
        <w:t>JIAFE (Jurnal Ilmiah Akuntansi Fakultas Ekonomi), 10</w:t>
      </w:r>
      <w:r w:rsidRPr="000E101C">
        <w:rPr>
          <w:rFonts w:ascii="Arial" w:hAnsi="Arial" w:cs="Arial"/>
          <w:sz w:val="20"/>
        </w:rPr>
        <w:t xml:space="preserve">(1), 1-12. </w:t>
      </w:r>
    </w:p>
    <w:p w14:paraId="6504811A"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Rahayu, D., Hartanto, R., Rohayati, I., &amp; Harni, R. (2024). Fraud Prevention Strategies In Indonesian MSMEs: The Significance of Honesty And Internal Control Factors. </w:t>
      </w:r>
      <w:r w:rsidRPr="000E101C">
        <w:rPr>
          <w:rFonts w:ascii="Arial" w:hAnsi="Arial" w:cs="Arial"/>
          <w:i/>
          <w:sz w:val="20"/>
        </w:rPr>
        <w:t>Jurnal Akuntansi, Keuangan, Perpajakan dan Tata Kelola Perusahaan, 1</w:t>
      </w:r>
      <w:r w:rsidRPr="000E101C">
        <w:rPr>
          <w:rFonts w:ascii="Arial" w:hAnsi="Arial" w:cs="Arial"/>
          <w:sz w:val="20"/>
        </w:rPr>
        <w:t xml:space="preserve">(4), 427-440. </w:t>
      </w:r>
    </w:p>
    <w:p w14:paraId="79C648F2"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Ramdhany, M. A., Triantoro, A., Hardiana, R. D., &amp; Mulyadi, H. (2023). Exploring organizational factors, academic fraud behaviors, and academic integrity of accounting students. </w:t>
      </w:r>
      <w:r w:rsidRPr="000E101C">
        <w:rPr>
          <w:rFonts w:ascii="Arial" w:hAnsi="Arial" w:cs="Arial"/>
          <w:i/>
          <w:sz w:val="20"/>
        </w:rPr>
        <w:t>Jurnal ASET, 15</w:t>
      </w:r>
      <w:r w:rsidRPr="000E101C">
        <w:rPr>
          <w:rFonts w:ascii="Arial" w:hAnsi="Arial" w:cs="Arial"/>
          <w:sz w:val="20"/>
        </w:rPr>
        <w:t xml:space="preserve">(1), 27-36. </w:t>
      </w:r>
    </w:p>
    <w:p w14:paraId="12F74190"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Rasheed, S. A. (2023). Students' view of causes, forms and solutions of lecturers' involvement in corrupt practices in tertiary educational institutions, Kwara State Nigeria. </w:t>
      </w:r>
      <w:r w:rsidRPr="000E101C">
        <w:rPr>
          <w:rFonts w:ascii="Arial" w:hAnsi="Arial" w:cs="Arial"/>
          <w:i/>
          <w:sz w:val="20"/>
        </w:rPr>
        <w:t>International journal of educational innovation research, 2</w:t>
      </w:r>
      <w:r w:rsidRPr="000E101C">
        <w:rPr>
          <w:rFonts w:ascii="Arial" w:hAnsi="Arial" w:cs="Arial"/>
          <w:sz w:val="20"/>
        </w:rPr>
        <w:t xml:space="preserve">(2), 200-209. </w:t>
      </w:r>
    </w:p>
    <w:p w14:paraId="59EF2046"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Resnik, D. B. (2014). Science and money: problems and solutions. </w:t>
      </w:r>
      <w:r w:rsidRPr="000E101C">
        <w:rPr>
          <w:rFonts w:ascii="Arial" w:hAnsi="Arial" w:cs="Arial"/>
          <w:i/>
          <w:sz w:val="20"/>
        </w:rPr>
        <w:t>Journal of microbiology biology education, 15</w:t>
      </w:r>
      <w:r w:rsidRPr="000E101C">
        <w:rPr>
          <w:rFonts w:ascii="Arial" w:hAnsi="Arial" w:cs="Arial"/>
          <w:sz w:val="20"/>
        </w:rPr>
        <w:t xml:space="preserve">(2), 159-161. </w:t>
      </w:r>
    </w:p>
    <w:p w14:paraId="732C0918"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Shonhadji, N., &amp; Irwandi, S. A. (2024). Fraud prevention in the Indonesian banking sector using anti-fraud strategy. </w:t>
      </w:r>
      <w:r w:rsidRPr="000E101C">
        <w:rPr>
          <w:rFonts w:ascii="Arial" w:hAnsi="Arial" w:cs="Arial"/>
          <w:i/>
          <w:sz w:val="20"/>
        </w:rPr>
        <w:t>Banks and Bank Systems, 19</w:t>
      </w:r>
      <w:r w:rsidRPr="000E101C">
        <w:rPr>
          <w:rFonts w:ascii="Arial" w:hAnsi="Arial" w:cs="Arial"/>
          <w:sz w:val="20"/>
        </w:rPr>
        <w:t xml:space="preserve">(1), 12. </w:t>
      </w:r>
    </w:p>
    <w:p w14:paraId="18F01EFE"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lastRenderedPageBreak/>
        <w:t xml:space="preserve">Smith, R., &amp; Darcus, J. K. (2021). How States Can Help Students Harmed by Higher Education Fraud. </w:t>
      </w:r>
    </w:p>
    <w:p w14:paraId="429E97E5"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Ullah, I. (2022). Lest to Blame Students: The Role of Enforcers in Promoting Academic Dishonesty. </w:t>
      </w:r>
      <w:r w:rsidRPr="000E101C">
        <w:rPr>
          <w:rFonts w:ascii="Arial" w:hAnsi="Arial" w:cs="Arial"/>
          <w:i/>
          <w:sz w:val="20"/>
        </w:rPr>
        <w:t>Journal of Academic Ethics, 20</w:t>
      </w:r>
      <w:r w:rsidRPr="000E101C">
        <w:rPr>
          <w:rFonts w:ascii="Arial" w:hAnsi="Arial" w:cs="Arial"/>
          <w:sz w:val="20"/>
        </w:rPr>
        <w:t xml:space="preserve">(4), 569-584. </w:t>
      </w:r>
    </w:p>
    <w:p w14:paraId="09E28373"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Wolfe, D. T., &amp; Hermanson, D. R. (2014). The fraud diamond: Considering the four elements of fraud. </w:t>
      </w:r>
    </w:p>
    <w:p w14:paraId="236A417B" w14:textId="77777777" w:rsidR="009802BD" w:rsidRPr="000E101C" w:rsidRDefault="009802BD" w:rsidP="009802BD">
      <w:pPr>
        <w:pStyle w:val="EndNoteBibliography"/>
        <w:ind w:left="720" w:hanging="720"/>
        <w:rPr>
          <w:rFonts w:ascii="Arial" w:hAnsi="Arial" w:cs="Arial"/>
          <w:sz w:val="20"/>
        </w:rPr>
      </w:pPr>
      <w:r w:rsidRPr="000E101C">
        <w:rPr>
          <w:rFonts w:ascii="Arial" w:hAnsi="Arial" w:cs="Arial"/>
          <w:sz w:val="20"/>
        </w:rPr>
        <w:t xml:space="preserve">Yusti, M., Triyadi, T., &amp; Ramadhan, D. (2021). Analysis of the Root Causes of Fraud Using Risk Causal and Fraud Diamond Matrix: A Case Study on Retail Financing Company. </w:t>
      </w:r>
      <w:r w:rsidRPr="000E101C">
        <w:rPr>
          <w:rFonts w:ascii="Arial" w:hAnsi="Arial" w:cs="Arial"/>
          <w:i/>
          <w:sz w:val="20"/>
        </w:rPr>
        <w:t>Asia Pacific Fraud Journal, 6</w:t>
      </w:r>
      <w:r w:rsidRPr="000E101C">
        <w:rPr>
          <w:rFonts w:ascii="Arial" w:hAnsi="Arial" w:cs="Arial"/>
          <w:sz w:val="20"/>
        </w:rPr>
        <w:t xml:space="preserve">(1), 159-170. </w:t>
      </w:r>
    </w:p>
    <w:p w14:paraId="571C267A" w14:textId="534DEB73" w:rsidR="004D4277" w:rsidRPr="000E101C" w:rsidRDefault="00EA2624" w:rsidP="000E101C">
      <w:pPr>
        <w:pStyle w:val="Appendix"/>
        <w:spacing w:after="0"/>
        <w:jc w:val="both"/>
        <w:rPr>
          <w:rFonts w:ascii="Arial" w:hAnsi="Arial" w:cs="Arial"/>
          <w:b w:val="0"/>
        </w:rPr>
        <w:sectPr w:rsidR="004D4277" w:rsidRPr="000E101C" w:rsidSect="005011E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0E101C">
        <w:rPr>
          <w:rFonts w:ascii="Arial" w:hAnsi="Arial" w:cs="Arial"/>
          <w:b w:val="0"/>
          <w:sz w:val="20"/>
        </w:rPr>
        <w:fldChar w:fldCharType="end"/>
      </w:r>
    </w:p>
    <w:p w14:paraId="4F9306A7" w14:textId="77777777" w:rsidR="00EA2624" w:rsidRDefault="00EA2624" w:rsidP="000E101C">
      <w:pPr>
        <w:pStyle w:val="Appendix"/>
        <w:spacing w:after="0"/>
        <w:jc w:val="both"/>
        <w:rPr>
          <w:rFonts w:ascii="Arial" w:hAnsi="Arial" w:cs="Arial"/>
          <w:b w:val="0"/>
        </w:rPr>
      </w:pPr>
    </w:p>
    <w:sectPr w:rsidR="00EA2624" w:rsidSect="005011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9F9B7" w14:textId="77777777" w:rsidR="00CF092B" w:rsidRDefault="00CF092B" w:rsidP="00C37E61">
      <w:r>
        <w:separator/>
      </w:r>
    </w:p>
  </w:endnote>
  <w:endnote w:type="continuationSeparator" w:id="0">
    <w:p w14:paraId="7E4E82A4" w14:textId="77777777" w:rsidR="00CF092B" w:rsidRDefault="00CF09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92C4" w14:textId="77777777" w:rsidR="005011E3" w:rsidRDefault="00501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62C9" w14:textId="77777777" w:rsidR="005011E3" w:rsidRDefault="005011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4C00" w14:textId="11C1E431" w:rsidR="00754C9A" w:rsidRPr="005011E3" w:rsidRDefault="00754C9A" w:rsidP="005011E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1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30B83" w14:textId="77777777" w:rsidR="00CF092B" w:rsidRDefault="00CF092B" w:rsidP="00C37E61">
      <w:r>
        <w:separator/>
      </w:r>
    </w:p>
  </w:footnote>
  <w:footnote w:type="continuationSeparator" w:id="0">
    <w:p w14:paraId="259AF6D8" w14:textId="77777777" w:rsidR="00CF092B" w:rsidRDefault="00CF09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FEAE" w14:textId="33C7EC3D" w:rsidR="005011E3" w:rsidRDefault="005011E3">
    <w:pPr>
      <w:pStyle w:val="Header"/>
    </w:pPr>
    <w:r>
      <w:rPr>
        <w:noProof/>
      </w:rPr>
      <w:pict w14:anchorId="58043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EE3A" w14:textId="7AF624F1" w:rsidR="005011E3" w:rsidRDefault="005011E3">
    <w:pPr>
      <w:pStyle w:val="Header"/>
    </w:pPr>
    <w:r>
      <w:rPr>
        <w:noProof/>
      </w:rPr>
      <w:pict w14:anchorId="38E66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600B" w14:textId="3FEFB575" w:rsidR="00296529" w:rsidRPr="00296529" w:rsidRDefault="005011E3" w:rsidP="00296529">
    <w:pPr>
      <w:ind w:left="2160"/>
      <w:jc w:val="center"/>
      <w:rPr>
        <w:rFonts w:ascii="Times New Roman" w:eastAsia="Calibri" w:hAnsi="Times New Roman"/>
        <w:i/>
        <w:sz w:val="18"/>
        <w:szCs w:val="22"/>
      </w:rPr>
    </w:pPr>
    <w:r>
      <w:rPr>
        <w:noProof/>
      </w:rPr>
      <w:pict w14:anchorId="56777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0F33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42327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9692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7313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C1F9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8B29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4CEA" w14:textId="143DDC67" w:rsidR="005011E3" w:rsidRDefault="005011E3">
    <w:pPr>
      <w:pStyle w:val="Header"/>
    </w:pPr>
    <w:r>
      <w:rPr>
        <w:noProof/>
      </w:rPr>
      <w:pict w14:anchorId="759FF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284F" w14:textId="5B43CF58" w:rsidR="005011E3" w:rsidRDefault="005011E3">
    <w:pPr>
      <w:pStyle w:val="Header"/>
    </w:pPr>
    <w:r>
      <w:rPr>
        <w:noProof/>
      </w:rPr>
      <w:pict w14:anchorId="54124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B24E" w14:textId="34465032" w:rsidR="005011E3" w:rsidRDefault="005011E3">
    <w:pPr>
      <w:pStyle w:val="Header"/>
    </w:pPr>
    <w:r>
      <w:rPr>
        <w:noProof/>
      </w:rPr>
      <w:pict w14:anchorId="1527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738F0"/>
    <w:multiLevelType w:val="multilevel"/>
    <w:tmpl w:val="67689C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zxra50f5rxe9ezxwnpfswwa5vdvraddzst&quot;&gt;RUDY&lt;record-ids&gt;&lt;item&gt;1&lt;/item&gt;&lt;item&gt;33&lt;/item&gt;&lt;item&gt;69&lt;/item&gt;&lt;item&gt;135&lt;/item&gt;&lt;item&gt;169&lt;/item&gt;&lt;item&gt;170&lt;/item&gt;&lt;item&gt;215&lt;/item&gt;&lt;item&gt;219&lt;/item&gt;&lt;item&gt;226&lt;/item&gt;&lt;item&gt;440&lt;/item&gt;&lt;item&gt;578&lt;/item&gt;&lt;item&gt;658&lt;/item&gt;&lt;item&gt;673&lt;/item&gt;&lt;item&gt;674&lt;/item&gt;&lt;item&gt;675&lt;/item&gt;&lt;item&gt;676&lt;/item&gt;&lt;item&gt;677&lt;/item&gt;&lt;item&gt;678&lt;/item&gt;&lt;item&gt;679&lt;/item&gt;&lt;item&gt;680&lt;/item&gt;&lt;item&gt;681&lt;/item&gt;&lt;item&gt;682&lt;/item&gt;&lt;item&gt;683&lt;/item&gt;&lt;item&gt;684&lt;/item&gt;&lt;item&gt;685&lt;/item&gt;&lt;item&gt;686&lt;/item&gt;&lt;item&gt;687&lt;/item&gt;&lt;item&gt;688&lt;/item&gt;&lt;item&gt;689&lt;/item&gt;&lt;item&gt;690&lt;/item&gt;&lt;item&gt;691&lt;/item&gt;&lt;item&gt;692&lt;/item&gt;&lt;/record-ids&gt;&lt;/item&gt;&lt;/Libraries&gt;"/>
  </w:docVars>
  <w:rsids>
    <w:rsidRoot w:val="00AA6219"/>
    <w:rsid w:val="00000F8F"/>
    <w:rsid w:val="0001445F"/>
    <w:rsid w:val="00030174"/>
    <w:rsid w:val="0004579C"/>
    <w:rsid w:val="000A47FA"/>
    <w:rsid w:val="000A65D3"/>
    <w:rsid w:val="000B1E33"/>
    <w:rsid w:val="000B3A3D"/>
    <w:rsid w:val="000D689F"/>
    <w:rsid w:val="000E101C"/>
    <w:rsid w:val="000E7B7B"/>
    <w:rsid w:val="000E7D62"/>
    <w:rsid w:val="00103357"/>
    <w:rsid w:val="00123C9F"/>
    <w:rsid w:val="00126190"/>
    <w:rsid w:val="00130F17"/>
    <w:rsid w:val="001320BF"/>
    <w:rsid w:val="001628D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375"/>
    <w:rsid w:val="00283105"/>
    <w:rsid w:val="00284C4C"/>
    <w:rsid w:val="00287E68"/>
    <w:rsid w:val="00296529"/>
    <w:rsid w:val="002A60E8"/>
    <w:rsid w:val="002B27FB"/>
    <w:rsid w:val="002B685A"/>
    <w:rsid w:val="002C57D2"/>
    <w:rsid w:val="002E0D56"/>
    <w:rsid w:val="00315186"/>
    <w:rsid w:val="00325403"/>
    <w:rsid w:val="0033343E"/>
    <w:rsid w:val="003512C2"/>
    <w:rsid w:val="00371FB6"/>
    <w:rsid w:val="003763C1"/>
    <w:rsid w:val="00376BBE"/>
    <w:rsid w:val="0039224F"/>
    <w:rsid w:val="003A43A4"/>
    <w:rsid w:val="003A7E18"/>
    <w:rsid w:val="003C4C86"/>
    <w:rsid w:val="003C6258"/>
    <w:rsid w:val="003E2904"/>
    <w:rsid w:val="003E4E5B"/>
    <w:rsid w:val="00401927"/>
    <w:rsid w:val="0041027F"/>
    <w:rsid w:val="00412475"/>
    <w:rsid w:val="00423789"/>
    <w:rsid w:val="00440F43"/>
    <w:rsid w:val="00441B6F"/>
    <w:rsid w:val="00446221"/>
    <w:rsid w:val="00450E62"/>
    <w:rsid w:val="004539DB"/>
    <w:rsid w:val="00471A80"/>
    <w:rsid w:val="004D305E"/>
    <w:rsid w:val="004D4277"/>
    <w:rsid w:val="005011E3"/>
    <w:rsid w:val="00502516"/>
    <w:rsid w:val="00505F06"/>
    <w:rsid w:val="00506828"/>
    <w:rsid w:val="005108F6"/>
    <w:rsid w:val="0052472D"/>
    <w:rsid w:val="0053056E"/>
    <w:rsid w:val="005547E2"/>
    <w:rsid w:val="00554FDA"/>
    <w:rsid w:val="005655F1"/>
    <w:rsid w:val="005C784C"/>
    <w:rsid w:val="005D17F6"/>
    <w:rsid w:val="005E5539"/>
    <w:rsid w:val="005F4756"/>
    <w:rsid w:val="00602BF5"/>
    <w:rsid w:val="00617FDD"/>
    <w:rsid w:val="0062252C"/>
    <w:rsid w:val="00633614"/>
    <w:rsid w:val="00633F68"/>
    <w:rsid w:val="00636EB2"/>
    <w:rsid w:val="006375B8"/>
    <w:rsid w:val="0066510A"/>
    <w:rsid w:val="00673F9F"/>
    <w:rsid w:val="00686953"/>
    <w:rsid w:val="00687DEA"/>
    <w:rsid w:val="00687E67"/>
    <w:rsid w:val="006909B5"/>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31A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02B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E87"/>
    <w:rsid w:val="00B52583"/>
    <w:rsid w:val="00B52896"/>
    <w:rsid w:val="00B8180E"/>
    <w:rsid w:val="00B95236"/>
    <w:rsid w:val="00B96BD9"/>
    <w:rsid w:val="00BA1B01"/>
    <w:rsid w:val="00BA2641"/>
    <w:rsid w:val="00BB37AA"/>
    <w:rsid w:val="00BC53A0"/>
    <w:rsid w:val="00BE62AD"/>
    <w:rsid w:val="00BF121F"/>
    <w:rsid w:val="00BF1F80"/>
    <w:rsid w:val="00C10C48"/>
    <w:rsid w:val="00C166EF"/>
    <w:rsid w:val="00C17EB0"/>
    <w:rsid w:val="00C27F5F"/>
    <w:rsid w:val="00C30A0F"/>
    <w:rsid w:val="00C37E61"/>
    <w:rsid w:val="00C70F1B"/>
    <w:rsid w:val="00C71A47"/>
    <w:rsid w:val="00C7464C"/>
    <w:rsid w:val="00C85588"/>
    <w:rsid w:val="00CD6755"/>
    <w:rsid w:val="00CD6856"/>
    <w:rsid w:val="00CE0089"/>
    <w:rsid w:val="00CE793C"/>
    <w:rsid w:val="00CF092B"/>
    <w:rsid w:val="00CF193C"/>
    <w:rsid w:val="00D13E51"/>
    <w:rsid w:val="00D173F1"/>
    <w:rsid w:val="00D74CB0"/>
    <w:rsid w:val="00D8295D"/>
    <w:rsid w:val="00DC2A65"/>
    <w:rsid w:val="00DE15F0"/>
    <w:rsid w:val="00DE5663"/>
    <w:rsid w:val="00DE6229"/>
    <w:rsid w:val="00DE78AA"/>
    <w:rsid w:val="00E053D0"/>
    <w:rsid w:val="00E15994"/>
    <w:rsid w:val="00E3114E"/>
    <w:rsid w:val="00E31A70"/>
    <w:rsid w:val="00E35B02"/>
    <w:rsid w:val="00E66496"/>
    <w:rsid w:val="00E66B35"/>
    <w:rsid w:val="00E66E10"/>
    <w:rsid w:val="00E769F6"/>
    <w:rsid w:val="00E8407C"/>
    <w:rsid w:val="00E84F3C"/>
    <w:rsid w:val="00EA012C"/>
    <w:rsid w:val="00EA2624"/>
    <w:rsid w:val="00EC6A55"/>
    <w:rsid w:val="00ED0288"/>
    <w:rsid w:val="00EE52CB"/>
    <w:rsid w:val="00EF581D"/>
    <w:rsid w:val="00EF7FD8"/>
    <w:rsid w:val="00F06F59"/>
    <w:rsid w:val="00F17988"/>
    <w:rsid w:val="00F24388"/>
    <w:rsid w:val="00F336A4"/>
    <w:rsid w:val="00F469F0"/>
    <w:rsid w:val="00F53273"/>
    <w:rsid w:val="00F755E4"/>
    <w:rsid w:val="00F77D02"/>
    <w:rsid w:val="00FB3A86"/>
    <w:rsid w:val="00FD36C8"/>
    <w:rsid w:val="00FE2A4C"/>
    <w:rsid w:val="00FE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1E34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02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EA2624"/>
    <w:pPr>
      <w:jc w:val="center"/>
    </w:pPr>
    <w:rPr>
      <w:rFonts w:cs="Helvetica"/>
      <w:noProof/>
      <w:sz w:val="22"/>
    </w:rPr>
  </w:style>
  <w:style w:type="character" w:customStyle="1" w:styleId="BodyChar">
    <w:name w:val="Body Char"/>
    <w:basedOn w:val="DefaultParagraphFont"/>
    <w:link w:val="Body"/>
    <w:rsid w:val="00EA2624"/>
    <w:rPr>
      <w:rFonts w:ascii="Helvetica" w:hAnsi="Helvetica"/>
    </w:rPr>
  </w:style>
  <w:style w:type="character" w:customStyle="1" w:styleId="EndNoteBibliographyTitleChar">
    <w:name w:val="EndNote Bibliography Title Char"/>
    <w:basedOn w:val="BodyChar"/>
    <w:link w:val="EndNoteBibliographyTitle"/>
    <w:rsid w:val="00EA2624"/>
    <w:rPr>
      <w:rFonts w:ascii="Helvetica" w:hAnsi="Helvetica" w:cs="Helvetica"/>
      <w:noProof/>
      <w:sz w:val="22"/>
    </w:rPr>
  </w:style>
  <w:style w:type="paragraph" w:customStyle="1" w:styleId="EndNoteBibliography">
    <w:name w:val="EndNote Bibliography"/>
    <w:basedOn w:val="Normal"/>
    <w:link w:val="EndNoteBibliographyChar"/>
    <w:rsid w:val="00EA2624"/>
    <w:pPr>
      <w:jc w:val="both"/>
    </w:pPr>
    <w:rPr>
      <w:rFonts w:cs="Helvetica"/>
      <w:noProof/>
      <w:sz w:val="22"/>
    </w:rPr>
  </w:style>
  <w:style w:type="character" w:customStyle="1" w:styleId="EndNoteBibliographyChar">
    <w:name w:val="EndNote Bibliography Char"/>
    <w:basedOn w:val="BodyChar"/>
    <w:link w:val="EndNoteBibliography"/>
    <w:rsid w:val="00EA2624"/>
    <w:rPr>
      <w:rFonts w:ascii="Helvetica" w:hAnsi="Helvetica" w:cs="Helvetica"/>
      <w:noProof/>
      <w:sz w:val="22"/>
    </w:rPr>
  </w:style>
  <w:style w:type="paragraph" w:styleId="ListParagraph">
    <w:name w:val="List Paragraph"/>
    <w:basedOn w:val="Normal"/>
    <w:uiPriority w:val="34"/>
    <w:qFormat/>
    <w:rsid w:val="001628D8"/>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character" w:customStyle="1" w:styleId="Heading3Char">
    <w:name w:val="Heading 3 Char"/>
    <w:basedOn w:val="DefaultParagraphFont"/>
    <w:link w:val="Heading3"/>
    <w:uiPriority w:val="9"/>
    <w:rsid w:val="009802B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FCE5-9CAE-49B7-B974-CCED364B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430</TotalTime>
  <Pages>12</Pages>
  <Words>10545</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cp:revision>
  <cp:lastPrinted>1999-07-06T11:00:00Z</cp:lastPrinted>
  <dcterms:created xsi:type="dcterms:W3CDTF">2025-07-16T23:07:00Z</dcterms:created>
  <dcterms:modified xsi:type="dcterms:W3CDTF">2025-07-17T10:13:00Z</dcterms:modified>
</cp:coreProperties>
</file>