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2EB18" w14:textId="77777777" w:rsidR="00754C9A" w:rsidRDefault="00754C9A" w:rsidP="00441B6F">
      <w:pPr>
        <w:pStyle w:val="Title"/>
        <w:spacing w:after="0"/>
        <w:jc w:val="both"/>
        <w:rPr>
          <w:rFonts w:ascii="Arial" w:hAnsi="Arial" w:cs="Arial"/>
        </w:rPr>
      </w:pPr>
    </w:p>
    <w:p w14:paraId="66F1C591" w14:textId="77777777" w:rsidR="00BC6E23" w:rsidRDefault="00BC6E23" w:rsidP="000A79A4">
      <w:pPr>
        <w:ind w:left="720"/>
        <w:jc w:val="right"/>
        <w:rPr>
          <w:rFonts w:ascii="Times New Roman" w:hAnsi="Times New Roman"/>
          <w:sz w:val="36"/>
          <w:szCs w:val="36"/>
          <w:lang w:val="en-IN"/>
        </w:rPr>
      </w:pPr>
      <w:r w:rsidRPr="00BC6E23">
        <w:rPr>
          <w:rFonts w:ascii="Times New Roman" w:hAnsi="Times New Roman"/>
          <w:sz w:val="36"/>
          <w:szCs w:val="36"/>
          <w:lang w:val="en-IN"/>
        </w:rPr>
        <w:t>Review Article</w:t>
      </w:r>
    </w:p>
    <w:p w14:paraId="64354150" w14:textId="77777777" w:rsidR="000A79A4" w:rsidRPr="00F63657" w:rsidRDefault="000A79A4" w:rsidP="000A79A4">
      <w:pPr>
        <w:ind w:left="720"/>
        <w:jc w:val="right"/>
        <w:rPr>
          <w:rFonts w:ascii="Times New Roman" w:hAnsi="Times New Roman"/>
          <w:sz w:val="36"/>
          <w:szCs w:val="36"/>
          <w:lang w:val="en-IN"/>
        </w:rPr>
      </w:pPr>
      <w:r w:rsidRPr="00F63657">
        <w:rPr>
          <w:rFonts w:ascii="Times New Roman" w:hAnsi="Times New Roman"/>
          <w:sz w:val="36"/>
          <w:szCs w:val="36"/>
          <w:lang w:val="en-IN"/>
        </w:rPr>
        <w:t>Endodontic Microsurgery: A Paradigm Shift in Modern Endodontic practice</w:t>
      </w:r>
    </w:p>
    <w:p w14:paraId="6A177AA5" w14:textId="77777777" w:rsidR="00A258C3" w:rsidRPr="00790ADA" w:rsidRDefault="00A258C3" w:rsidP="00441B6F">
      <w:pPr>
        <w:pStyle w:val="Author"/>
        <w:spacing w:line="240" w:lineRule="auto"/>
        <w:jc w:val="both"/>
        <w:rPr>
          <w:rFonts w:ascii="Arial" w:hAnsi="Arial" w:cs="Arial"/>
          <w:sz w:val="36"/>
        </w:rPr>
      </w:pPr>
    </w:p>
    <w:p w14:paraId="5AD5F741" w14:textId="77777777" w:rsidR="000A79A4" w:rsidRPr="006A42E1" w:rsidRDefault="000A79A4" w:rsidP="000A79A4">
      <w:pPr>
        <w:jc w:val="right"/>
        <w:rPr>
          <w:rFonts w:ascii="Arial" w:hAnsi="Arial" w:cs="Arial"/>
          <w:b/>
          <w:i/>
        </w:rPr>
      </w:pPr>
    </w:p>
    <w:p w14:paraId="5D7B6422" w14:textId="77777777" w:rsidR="002C57D2" w:rsidRPr="00FB3A86" w:rsidRDefault="002C57D2" w:rsidP="00441B6F">
      <w:pPr>
        <w:pStyle w:val="Affiliation"/>
        <w:spacing w:after="0" w:line="240" w:lineRule="auto"/>
        <w:jc w:val="both"/>
        <w:rPr>
          <w:rFonts w:ascii="Arial" w:hAnsi="Arial" w:cs="Arial"/>
        </w:rPr>
      </w:pPr>
    </w:p>
    <w:p w14:paraId="61BD5F4A" w14:textId="77777777" w:rsidR="00B01FCD" w:rsidRDefault="00F05A7C" w:rsidP="00441B6F">
      <w:pPr>
        <w:pStyle w:val="Copyright"/>
        <w:spacing w:after="0" w:line="240" w:lineRule="auto"/>
        <w:jc w:val="both"/>
        <w:rPr>
          <w:rFonts w:ascii="Arial" w:hAnsi="Arial" w:cs="Arial"/>
          <w:b/>
        </w:rPr>
      </w:pPr>
      <w:r>
        <w:rPr>
          <w:rFonts w:ascii="Arial" w:hAnsi="Arial" w:cs="Arial"/>
          <w:noProof/>
        </w:rPr>
        <mc:AlternateContent>
          <mc:Choice Requires="wps">
            <w:drawing>
              <wp:inline distT="0" distB="0" distL="0" distR="0" wp14:anchorId="4EE02615" wp14:editId="0821C528">
                <wp:extent cx="5303520" cy="0"/>
                <wp:effectExtent l="17145" t="10160" r="13335" b="1841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D312B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EKiBB8CAAA8BAAADgAAAAAAAAAAAAAAAAAuAgAAZHJzL2Uyb0RvYy54bWxQSwECLQAUAAYA&#10;CAAAACEAEUgwYNYAAAACAQAADwAAAAAAAAAAAAAAAAB5BAAAZHJzL2Rvd25yZXYueG1sUEsFBgAA&#10;AAAEAAQA8wAAAHwFAAAAAA==&#10;" strokeweight="1.5pt">
                <w10:anchorlock/>
              </v:shape>
            </w:pict>
          </mc:Fallback>
        </mc:AlternateContent>
      </w:r>
      <w:r w:rsidR="000A45CA" w:rsidRPr="000A45CA">
        <w:rPr>
          <w:rFonts w:ascii="Arial" w:hAnsi="Arial" w:cs="Arial"/>
          <w:b/>
        </w:rPr>
        <w:t>ABSTRACT</w:t>
      </w:r>
    </w:p>
    <w:p w14:paraId="38FD8C26" w14:textId="77777777" w:rsidR="000A45CA" w:rsidRPr="00FB3A86" w:rsidRDefault="000A45CA" w:rsidP="00441B6F">
      <w:pPr>
        <w:pStyle w:val="Copyright"/>
        <w:spacing w:after="0" w:line="240" w:lineRule="auto"/>
        <w:jc w:val="both"/>
        <w:rPr>
          <w:rFonts w:ascii="Arial" w:hAnsi="Arial" w:cs="Arial"/>
        </w:rPr>
        <w:sectPr w:rsidR="000A45CA" w:rsidRPr="00FB3A86" w:rsidSect="00B551C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6322864" w14:textId="77777777" w:rsidTr="00790FAF">
        <w:tc>
          <w:tcPr>
            <w:tcW w:w="8424" w:type="dxa"/>
            <w:shd w:val="clear" w:color="auto" w:fill="F2F2F2"/>
          </w:tcPr>
          <w:p w14:paraId="71F667B7" w14:textId="77777777" w:rsidR="000A79A4" w:rsidRPr="000A79A4" w:rsidRDefault="000A79A4" w:rsidP="000A79A4">
            <w:pPr>
              <w:rPr>
                <w:rFonts w:ascii="Arial" w:hAnsi="Arial" w:cs="Arial"/>
                <w:sz w:val="22"/>
                <w:szCs w:val="22"/>
              </w:rPr>
            </w:pPr>
            <w:r w:rsidRPr="000A79A4">
              <w:rPr>
                <w:rFonts w:ascii="Arial" w:hAnsi="Arial" w:cs="Arial"/>
                <w:b/>
                <w:sz w:val="22"/>
                <w:szCs w:val="22"/>
              </w:rPr>
              <w:t>Background:</w:t>
            </w:r>
            <w:r w:rsidRPr="000A79A4">
              <w:rPr>
                <w:rFonts w:ascii="Arial" w:hAnsi="Arial" w:cs="Arial"/>
                <w:sz w:val="22"/>
                <w:szCs w:val="22"/>
              </w:rPr>
              <w:t xml:space="preserve"> Endodontic microsurgery represents the evolution of traditional apical surgery, integrating magnification, illumination, microsurgical instruments, and biocompatible materials to manage persistent periapical pathologies that are not amenable to conventional root canal treatment alone.</w:t>
            </w:r>
            <w:r w:rsidRPr="000A79A4">
              <w:rPr>
                <w:rFonts w:ascii="Arial" w:hAnsi="Arial" w:cs="Arial"/>
                <w:sz w:val="22"/>
                <w:szCs w:val="22"/>
              </w:rPr>
              <w:br/>
            </w:r>
            <w:r w:rsidRPr="000A79A4">
              <w:rPr>
                <w:rFonts w:ascii="Arial" w:hAnsi="Arial" w:cs="Arial"/>
                <w:sz w:val="22"/>
                <w:szCs w:val="22"/>
              </w:rPr>
              <w:br/>
            </w:r>
            <w:r w:rsidRPr="000A79A4">
              <w:rPr>
                <w:rFonts w:ascii="Arial" w:hAnsi="Arial" w:cs="Arial"/>
                <w:b/>
                <w:sz w:val="22"/>
                <w:szCs w:val="22"/>
              </w:rPr>
              <w:t>Aim:</w:t>
            </w:r>
            <w:r w:rsidRPr="000A79A4">
              <w:rPr>
                <w:rFonts w:ascii="Arial" w:hAnsi="Arial" w:cs="Arial"/>
                <w:sz w:val="22"/>
                <w:szCs w:val="22"/>
              </w:rPr>
              <w:t xml:space="preserve"> This review provides an updated overview of the principles, indications, advances, techniques, and clinical outcomes of endodontic microsurgery.</w:t>
            </w:r>
            <w:r w:rsidRPr="000A79A4">
              <w:rPr>
                <w:rFonts w:ascii="Arial" w:hAnsi="Arial" w:cs="Arial"/>
                <w:sz w:val="22"/>
                <w:szCs w:val="22"/>
              </w:rPr>
              <w:br/>
            </w:r>
            <w:r w:rsidRPr="000A79A4">
              <w:rPr>
                <w:rFonts w:ascii="Arial" w:hAnsi="Arial" w:cs="Arial"/>
                <w:sz w:val="22"/>
                <w:szCs w:val="22"/>
              </w:rPr>
              <w:br/>
            </w:r>
            <w:r w:rsidRPr="000A79A4">
              <w:rPr>
                <w:rFonts w:ascii="Arial" w:hAnsi="Arial" w:cs="Arial"/>
                <w:b/>
                <w:sz w:val="22"/>
                <w:szCs w:val="22"/>
              </w:rPr>
              <w:t>Methods</w:t>
            </w:r>
            <w:r w:rsidRPr="000A79A4">
              <w:rPr>
                <w:rFonts w:ascii="Arial" w:hAnsi="Arial" w:cs="Arial"/>
                <w:sz w:val="22"/>
                <w:szCs w:val="22"/>
              </w:rPr>
              <w:t>: A literature review was conducted using PubMed, Scopus, and Google Scholar databases for studies published in the last two decades focusing on clinical outcomes, microsurgical techniques, and recent innovations in endodontic microsurgery.</w:t>
            </w:r>
            <w:r w:rsidRPr="000A79A4">
              <w:rPr>
                <w:rFonts w:ascii="Arial" w:hAnsi="Arial" w:cs="Arial"/>
                <w:sz w:val="22"/>
                <w:szCs w:val="22"/>
              </w:rPr>
              <w:br/>
            </w:r>
            <w:r w:rsidRPr="000A79A4">
              <w:rPr>
                <w:rFonts w:ascii="Arial" w:hAnsi="Arial" w:cs="Arial"/>
                <w:sz w:val="22"/>
                <w:szCs w:val="22"/>
              </w:rPr>
              <w:br/>
            </w:r>
            <w:r w:rsidRPr="000A79A4">
              <w:rPr>
                <w:rFonts w:ascii="Arial" w:hAnsi="Arial" w:cs="Arial"/>
                <w:b/>
                <w:sz w:val="22"/>
                <w:szCs w:val="22"/>
              </w:rPr>
              <w:t>Results:</w:t>
            </w:r>
            <w:r w:rsidRPr="000A79A4">
              <w:rPr>
                <w:rFonts w:ascii="Arial" w:hAnsi="Arial" w:cs="Arial"/>
                <w:sz w:val="22"/>
                <w:szCs w:val="22"/>
              </w:rPr>
              <w:t xml:space="preserve"> Modern microsurgical approaches demonstrate superior success rates compared to conventional techniques, primarily due to enhanced visualization, minimal invasive protocols, and the use of biocompatible root-end filling materials such as MTA and </w:t>
            </w:r>
            <w:proofErr w:type="spellStart"/>
            <w:r w:rsidRPr="000A79A4">
              <w:rPr>
                <w:rFonts w:ascii="Arial" w:hAnsi="Arial" w:cs="Arial"/>
                <w:sz w:val="22"/>
                <w:szCs w:val="22"/>
              </w:rPr>
              <w:t>bioceramics</w:t>
            </w:r>
            <w:proofErr w:type="spellEnd"/>
            <w:r w:rsidRPr="000A79A4">
              <w:rPr>
                <w:rFonts w:ascii="Arial" w:hAnsi="Arial" w:cs="Arial"/>
                <w:sz w:val="22"/>
                <w:szCs w:val="22"/>
              </w:rPr>
              <w:t>.</w:t>
            </w:r>
            <w:r w:rsidRPr="000A79A4">
              <w:rPr>
                <w:rFonts w:ascii="Arial" w:hAnsi="Arial" w:cs="Arial"/>
                <w:sz w:val="22"/>
                <w:szCs w:val="22"/>
              </w:rPr>
              <w:br/>
            </w:r>
            <w:r w:rsidRPr="000A79A4">
              <w:rPr>
                <w:rFonts w:ascii="Arial" w:hAnsi="Arial" w:cs="Arial"/>
                <w:sz w:val="22"/>
                <w:szCs w:val="22"/>
              </w:rPr>
              <w:br/>
            </w:r>
            <w:r w:rsidRPr="000A79A4">
              <w:rPr>
                <w:rFonts w:ascii="Arial" w:hAnsi="Arial" w:cs="Arial"/>
                <w:b/>
                <w:sz w:val="22"/>
                <w:szCs w:val="22"/>
              </w:rPr>
              <w:t>Conclusion:</w:t>
            </w:r>
            <w:r w:rsidRPr="000A79A4">
              <w:rPr>
                <w:rFonts w:ascii="Arial" w:hAnsi="Arial" w:cs="Arial"/>
                <w:sz w:val="22"/>
                <w:szCs w:val="22"/>
              </w:rPr>
              <w:t xml:space="preserve"> Endodontic microsurgery is a predictable treatment option when nonsurgical endodontic retreatment is not feasible or has failed. Continued advancements in microsurgical armamentarium and biomaterials promise to further improve treatment outcomes.</w:t>
            </w:r>
            <w:r w:rsidRPr="000A79A4">
              <w:rPr>
                <w:rFonts w:ascii="Arial" w:hAnsi="Arial" w:cs="Arial"/>
                <w:sz w:val="22"/>
                <w:szCs w:val="22"/>
              </w:rPr>
              <w:br/>
            </w:r>
            <w:r w:rsidRPr="000A79A4">
              <w:rPr>
                <w:rFonts w:ascii="Arial" w:hAnsi="Arial" w:cs="Arial"/>
                <w:sz w:val="22"/>
                <w:szCs w:val="22"/>
              </w:rPr>
              <w:br/>
            </w:r>
            <w:r w:rsidRPr="000A79A4">
              <w:rPr>
                <w:rFonts w:ascii="Arial" w:hAnsi="Arial" w:cs="Arial"/>
                <w:b/>
                <w:sz w:val="22"/>
                <w:szCs w:val="22"/>
              </w:rPr>
              <w:t>Keywords</w:t>
            </w:r>
            <w:r w:rsidRPr="000A79A4">
              <w:rPr>
                <w:rFonts w:ascii="Arial" w:hAnsi="Arial" w:cs="Arial"/>
                <w:sz w:val="22"/>
                <w:szCs w:val="22"/>
              </w:rPr>
              <w:t>: Endodontic microsurgery, apical surgery, periapical lesions, root-end filling, magnification, dental operating microscope.</w:t>
            </w:r>
          </w:p>
          <w:p w14:paraId="14F5D67D" w14:textId="77777777"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3D4459E6" w14:textId="77777777" w:rsidR="00B52896" w:rsidRDefault="00B52896" w:rsidP="00790FAF">
      <w:pPr>
        <w:pStyle w:val="Body"/>
        <w:spacing w:after="0"/>
        <w:rPr>
          <w:rFonts w:ascii="Arial" w:hAnsi="Arial" w:cs="Arial"/>
          <w:i/>
          <w:sz w:val="18"/>
        </w:rPr>
      </w:pPr>
      <w:r w:rsidRPr="004539DB">
        <w:rPr>
          <w:rFonts w:ascii="Arial" w:hAnsi="Arial" w:cs="Arial"/>
          <w:i/>
          <w:sz w:val="18"/>
        </w:rPr>
        <w:t xml:space="preserve"> </w:t>
      </w:r>
    </w:p>
    <w:p w14:paraId="023990AB" w14:textId="77777777" w:rsidR="0024282C" w:rsidRDefault="0024282C" w:rsidP="00441B6F">
      <w:pPr>
        <w:pStyle w:val="Body"/>
        <w:spacing w:after="0"/>
        <w:rPr>
          <w:rFonts w:ascii="Arial" w:hAnsi="Arial" w:cs="Arial"/>
          <w:i/>
          <w:sz w:val="18"/>
        </w:rPr>
      </w:pPr>
    </w:p>
    <w:p w14:paraId="756FA7DD" w14:textId="77777777" w:rsidR="00505F06" w:rsidRPr="00A24E7E" w:rsidRDefault="00505F06" w:rsidP="00441B6F">
      <w:pPr>
        <w:pStyle w:val="Body"/>
        <w:spacing w:after="0"/>
        <w:rPr>
          <w:rFonts w:ascii="Arial" w:hAnsi="Arial" w:cs="Arial"/>
          <w:i/>
        </w:rPr>
      </w:pPr>
    </w:p>
    <w:p w14:paraId="5787CEE2" w14:textId="77777777" w:rsidR="000A79A4" w:rsidRPr="000A79A4" w:rsidRDefault="000A79A4" w:rsidP="000A79A4">
      <w:pPr>
        <w:pStyle w:val="Heading1"/>
        <w:spacing w:line="360" w:lineRule="auto"/>
        <w:rPr>
          <w:rFonts w:cs="Arial"/>
          <w:sz w:val="22"/>
          <w:szCs w:val="22"/>
        </w:rPr>
      </w:pPr>
      <w:r w:rsidRPr="000A79A4">
        <w:rPr>
          <w:rFonts w:cs="Arial"/>
          <w:sz w:val="22"/>
          <w:szCs w:val="22"/>
        </w:rPr>
        <w:t>Introduction</w:t>
      </w:r>
    </w:p>
    <w:p w14:paraId="10189FC7" w14:textId="77777777" w:rsidR="000A79A4" w:rsidRPr="000A79A4" w:rsidRDefault="000A79A4" w:rsidP="000A79A4">
      <w:pPr>
        <w:spacing w:line="360" w:lineRule="auto"/>
        <w:rPr>
          <w:rFonts w:ascii="Arial" w:hAnsi="Arial" w:cs="Arial"/>
          <w:sz w:val="22"/>
          <w:szCs w:val="22"/>
        </w:rPr>
      </w:pPr>
      <w:r w:rsidRPr="000A79A4">
        <w:rPr>
          <w:rFonts w:ascii="Arial" w:hAnsi="Arial" w:cs="Arial"/>
          <w:sz w:val="22"/>
          <w:szCs w:val="22"/>
        </w:rPr>
        <w:t xml:space="preserve">At the beginning of the 90s, the new era of endodontic microsurgery began. Several important developments were introduced in microsurgical endodontics: the surgical operating microscope, </w:t>
      </w:r>
      <w:proofErr w:type="spellStart"/>
      <w:r w:rsidRPr="000A79A4">
        <w:rPr>
          <w:rFonts w:ascii="Arial" w:hAnsi="Arial" w:cs="Arial"/>
          <w:sz w:val="22"/>
          <w:szCs w:val="22"/>
        </w:rPr>
        <w:t>microinstruments</w:t>
      </w:r>
      <w:proofErr w:type="spellEnd"/>
      <w:r w:rsidRPr="000A79A4">
        <w:rPr>
          <w:rFonts w:ascii="Arial" w:hAnsi="Arial" w:cs="Arial"/>
          <w:sz w:val="22"/>
          <w:szCs w:val="22"/>
        </w:rPr>
        <w:t xml:space="preserve">, the ultrasonic root-end preparation and the use of more biologically acceptable, biocompatible, root-end filling materials. (Kim &amp; </w:t>
      </w:r>
      <w:r w:rsidRPr="000A79A4">
        <w:rPr>
          <w:rFonts w:ascii="Arial" w:hAnsi="Arial" w:cs="Arial"/>
          <w:sz w:val="22"/>
          <w:szCs w:val="22"/>
        </w:rPr>
        <w:lastRenderedPageBreak/>
        <w:t xml:space="preserve">Kratchman, 2006) The concurrent development of better techniques has resulted in greater understanding of the apical anatomy, greater treatment success and a more favorable patient </w:t>
      </w:r>
      <w:proofErr w:type="spellStart"/>
      <w:r w:rsidRPr="000A79A4">
        <w:rPr>
          <w:rFonts w:ascii="Arial" w:hAnsi="Arial" w:cs="Arial"/>
          <w:sz w:val="22"/>
          <w:szCs w:val="22"/>
        </w:rPr>
        <w:t>response.The</w:t>
      </w:r>
      <w:proofErr w:type="spellEnd"/>
      <w:r w:rsidRPr="000A79A4">
        <w:rPr>
          <w:rFonts w:ascii="Arial" w:hAnsi="Arial" w:cs="Arial"/>
          <w:sz w:val="22"/>
          <w:szCs w:val="22"/>
        </w:rPr>
        <w:t xml:space="preserve"> incorporation of the new technology has evolved the classical apicoectomy into modern microsurgical endodontics. All steps of microsurgical endodontics are carried out under varying degrees of magnifications, including anesthesia, flap preparation, osteotomy, identification of root apices, root-end resection, inflammatory tissue removal, observation of the resected root surface, root-end preparation, root-end filling, and suturing. (Ananad, Soujanya, Raju, &amp; Swathi, 2015)</w:t>
      </w:r>
    </w:p>
    <w:p w14:paraId="1BB64972" w14:textId="77777777" w:rsidR="000A79A4" w:rsidRPr="000A79A4" w:rsidRDefault="000A79A4" w:rsidP="000A79A4">
      <w:pPr>
        <w:spacing w:line="360" w:lineRule="auto"/>
        <w:rPr>
          <w:rFonts w:ascii="Arial" w:hAnsi="Arial" w:cs="Arial"/>
          <w:sz w:val="22"/>
          <w:szCs w:val="22"/>
        </w:rPr>
      </w:pPr>
      <w:r w:rsidRPr="000A79A4">
        <w:rPr>
          <w:rFonts w:ascii="Arial" w:hAnsi="Arial" w:cs="Arial"/>
          <w:sz w:val="22"/>
          <w:szCs w:val="22"/>
        </w:rPr>
        <w:t xml:space="preserve">Conventional nonsurgical endodontic therapy achieves high success rates; however, persistent periapical lesions may require surgical intervention. The concept of endodontic microsurgery has transformed traditional apical surgery into a precise, minimally invasive procedure with better prognosis. By incorporating magnification, advanced illumination, microsurgical instruments, ultrasonic </w:t>
      </w:r>
      <w:proofErr w:type="spellStart"/>
      <w:r w:rsidRPr="000A79A4">
        <w:rPr>
          <w:rFonts w:ascii="Arial" w:hAnsi="Arial" w:cs="Arial"/>
          <w:sz w:val="22"/>
          <w:szCs w:val="22"/>
        </w:rPr>
        <w:t>retropreparation</w:t>
      </w:r>
      <w:proofErr w:type="spellEnd"/>
      <w:r w:rsidRPr="000A79A4">
        <w:rPr>
          <w:rFonts w:ascii="Arial" w:hAnsi="Arial" w:cs="Arial"/>
          <w:sz w:val="22"/>
          <w:szCs w:val="22"/>
        </w:rPr>
        <w:t>, and biocompatible materials, clinicians can manage complex cases with improved precision and outcomes. (Pinto et al., 2020)</w:t>
      </w:r>
    </w:p>
    <w:p w14:paraId="3B2C5E13" w14:textId="77777777" w:rsidR="000A79A4" w:rsidRPr="000A79A4" w:rsidRDefault="000A79A4" w:rsidP="000A79A4">
      <w:pPr>
        <w:spacing w:line="360" w:lineRule="auto"/>
        <w:rPr>
          <w:rFonts w:ascii="Arial" w:hAnsi="Arial" w:cs="Arial"/>
          <w:sz w:val="22"/>
          <w:szCs w:val="22"/>
        </w:rPr>
      </w:pPr>
      <w:r w:rsidRPr="000A79A4">
        <w:rPr>
          <w:rFonts w:ascii="Arial" w:hAnsi="Arial" w:cs="Arial"/>
          <w:sz w:val="22"/>
          <w:szCs w:val="22"/>
        </w:rPr>
        <w:t xml:space="preserve">In a recent article, Setzer et al.3,4 conducted a metanalysis and a systematic review of the literature. The authors compared the outcomes of contemporary root-end surgery techniques with </w:t>
      </w:r>
      <w:proofErr w:type="spellStart"/>
      <w:r w:rsidRPr="000A79A4">
        <w:rPr>
          <w:rFonts w:ascii="Arial" w:hAnsi="Arial" w:cs="Arial"/>
          <w:sz w:val="22"/>
          <w:szCs w:val="22"/>
        </w:rPr>
        <w:t>microinstruments</w:t>
      </w:r>
      <w:proofErr w:type="spellEnd"/>
      <w:r w:rsidRPr="000A79A4">
        <w:rPr>
          <w:rFonts w:ascii="Arial" w:hAnsi="Arial" w:cs="Arial"/>
          <w:sz w:val="22"/>
          <w:szCs w:val="22"/>
        </w:rPr>
        <w:t xml:space="preserve"> and only loupes or no visualization aids with the outcomes of endodontic microsurgery using the same instruments and materials but with high power magnification as provided by the surgical operating microscope. The conclusion of the study was that the probability for success was significantly greater if the surgical procedure was performed using the high power magnification rendered by the dental operating microscope. This conclusion is in agreement with the most recent literature,5-10 and depending on different studies, a success rate of 98% has been described. (Setzer, Shah, Kohli, </w:t>
      </w:r>
      <w:proofErr w:type="spellStart"/>
      <w:r w:rsidRPr="000A79A4">
        <w:rPr>
          <w:rFonts w:ascii="Arial" w:hAnsi="Arial" w:cs="Arial"/>
          <w:sz w:val="22"/>
          <w:szCs w:val="22"/>
        </w:rPr>
        <w:t>Karabucak</w:t>
      </w:r>
      <w:proofErr w:type="spellEnd"/>
      <w:r w:rsidRPr="000A79A4">
        <w:rPr>
          <w:rFonts w:ascii="Arial" w:hAnsi="Arial" w:cs="Arial"/>
          <w:sz w:val="22"/>
          <w:szCs w:val="22"/>
        </w:rPr>
        <w:t>, &amp; Kim, 2010)</w:t>
      </w:r>
    </w:p>
    <w:p w14:paraId="3021D991" w14:textId="77777777" w:rsidR="000A79A4" w:rsidRPr="000A79A4" w:rsidRDefault="000A79A4" w:rsidP="000A79A4">
      <w:pPr>
        <w:spacing w:line="360" w:lineRule="auto"/>
        <w:rPr>
          <w:rFonts w:ascii="Arial" w:hAnsi="Arial" w:cs="Arial"/>
          <w:sz w:val="22"/>
          <w:szCs w:val="22"/>
        </w:rPr>
      </w:pPr>
      <w:r w:rsidRPr="000A79A4">
        <w:rPr>
          <w:rFonts w:ascii="Arial" w:hAnsi="Arial" w:cs="Arial"/>
          <w:sz w:val="22"/>
          <w:szCs w:val="22"/>
        </w:rPr>
        <w:t xml:space="preserve">The dental operating microscope has become an integral part of endodontic practice, both for nonsurgical and surgical therapy, and today it is considered indispensable to achieve excellence. Besides the obvious benefits for clinical practice, evidence has become available that demonstrates better outcomes compared to treatment without vision enhancement. Treatment rendered using the </w:t>
      </w:r>
      <w:r w:rsidRPr="000A79A4">
        <w:rPr>
          <w:rFonts w:ascii="Arial" w:hAnsi="Arial" w:cs="Arial"/>
          <w:sz w:val="22"/>
          <w:szCs w:val="22"/>
        </w:rPr>
        <w:lastRenderedPageBreak/>
        <w:t xml:space="preserve">dental operating microscope results in superior care for patients, and modern endodontic therapy is more effective because of it. (Ng, Mann, &amp; </w:t>
      </w:r>
      <w:proofErr w:type="spellStart"/>
      <w:r w:rsidRPr="000A79A4">
        <w:rPr>
          <w:rFonts w:ascii="Arial" w:hAnsi="Arial" w:cs="Arial"/>
          <w:sz w:val="22"/>
          <w:szCs w:val="22"/>
        </w:rPr>
        <w:t>Gulabivala</w:t>
      </w:r>
      <w:proofErr w:type="spellEnd"/>
      <w:r w:rsidRPr="000A79A4">
        <w:rPr>
          <w:rFonts w:ascii="Arial" w:hAnsi="Arial" w:cs="Arial"/>
          <w:sz w:val="22"/>
          <w:szCs w:val="22"/>
        </w:rPr>
        <w:t>, 2008)</w:t>
      </w:r>
    </w:p>
    <w:p w14:paraId="1DA46146" w14:textId="77777777" w:rsidR="000A79A4" w:rsidRPr="000A79A4" w:rsidRDefault="000A79A4" w:rsidP="000A79A4">
      <w:pPr>
        <w:spacing w:line="360" w:lineRule="auto"/>
        <w:rPr>
          <w:rFonts w:ascii="Arial" w:hAnsi="Arial" w:cs="Arial"/>
          <w:sz w:val="22"/>
          <w:szCs w:val="22"/>
        </w:rPr>
      </w:pPr>
      <w:r w:rsidRPr="000A79A4">
        <w:rPr>
          <w:rFonts w:ascii="Arial" w:hAnsi="Arial" w:cs="Arial"/>
          <w:sz w:val="22"/>
          <w:szCs w:val="22"/>
        </w:rPr>
        <w:t>For this reason, it is correct to speak in terms of “Micro” (because the use of the microscope is today mandatory to perform the entire procedure) and then “surgical endodontics” because, as stated before, it is an endodontic procedure performed through a surgical flap, and not a surgical procedure performed just to remove periapical inflammatory tissue. Therefore, it is something that is pertinent to the endodontist and must be carried out with the knowledge, the skill and the hand of the endodontist. He or she will take care of cleaning, shaping and three-dimensionally obturating the root canal system with a surgical approach, only because (this is what happens most of the time) the root canal system was not negotiable without surgery. (Pecora &amp; Pecora, 2015)</w:t>
      </w:r>
    </w:p>
    <w:p w14:paraId="46348CDA" w14:textId="77777777" w:rsidR="000A79A4" w:rsidRPr="000A79A4" w:rsidRDefault="000A79A4" w:rsidP="000A79A4">
      <w:pPr>
        <w:spacing w:line="360" w:lineRule="auto"/>
        <w:rPr>
          <w:rFonts w:ascii="Arial" w:hAnsi="Arial" w:cs="Arial"/>
          <w:sz w:val="22"/>
          <w:szCs w:val="22"/>
        </w:rPr>
      </w:pPr>
    </w:p>
    <w:p w14:paraId="690C598A" w14:textId="77777777" w:rsidR="000A79A4" w:rsidRPr="000A79A4" w:rsidRDefault="000A79A4" w:rsidP="000A79A4">
      <w:pPr>
        <w:spacing w:line="360" w:lineRule="auto"/>
        <w:rPr>
          <w:rFonts w:ascii="Arial" w:hAnsi="Arial" w:cs="Arial"/>
          <w:b/>
          <w:bCs/>
          <w:sz w:val="22"/>
          <w:szCs w:val="22"/>
        </w:rPr>
      </w:pPr>
      <w:r w:rsidRPr="000A79A4">
        <w:rPr>
          <w:rFonts w:ascii="Arial" w:hAnsi="Arial" w:cs="Arial"/>
          <w:b/>
          <w:bCs/>
          <w:sz w:val="22"/>
          <w:szCs w:val="22"/>
        </w:rPr>
        <w:t>Historical Background</w:t>
      </w:r>
    </w:p>
    <w:p w14:paraId="19D3F4E0" w14:textId="77777777" w:rsidR="000A79A4" w:rsidRPr="000A79A4" w:rsidRDefault="000A79A4" w:rsidP="000A79A4">
      <w:pPr>
        <w:spacing w:line="360" w:lineRule="auto"/>
        <w:rPr>
          <w:rFonts w:ascii="Arial" w:hAnsi="Arial" w:cs="Arial"/>
          <w:sz w:val="22"/>
          <w:szCs w:val="22"/>
        </w:rPr>
      </w:pPr>
      <w:r w:rsidRPr="000A79A4">
        <w:rPr>
          <w:rFonts w:ascii="Arial" w:hAnsi="Arial" w:cs="Arial"/>
          <w:sz w:val="22"/>
          <w:szCs w:val="22"/>
        </w:rPr>
        <w:t>The roots of endodontic surgery date back to the 19th century, with early apical resections performed without magnification. The term 'endodontic microsurgery' was popularized in the 1990s following the introduction of the dental operating microscope (DOM) and microsurgical instruments. Pioneers like Kim and Rubinstein established microsurgery principles, highlighting the importance of precise root-end management, effective hemostasis, and use of modern biomaterials. (Izawa, Kim, Pecora, &amp; Rubinstein, 1994; Rubinstein &amp; Kim, 1999)</w:t>
      </w:r>
    </w:p>
    <w:p w14:paraId="736604DF" w14:textId="77777777" w:rsidR="00A03B96" w:rsidRPr="000A79A4" w:rsidRDefault="00A03B96" w:rsidP="000A79A4">
      <w:pPr>
        <w:pStyle w:val="Body"/>
        <w:spacing w:after="0" w:line="360" w:lineRule="auto"/>
        <w:jc w:val="left"/>
        <w:rPr>
          <w:rFonts w:ascii="Arial" w:hAnsi="Arial" w:cs="Arial"/>
          <w:sz w:val="22"/>
          <w:szCs w:val="22"/>
        </w:rPr>
      </w:pPr>
    </w:p>
    <w:p w14:paraId="2BD5D480" w14:textId="77777777" w:rsidR="00A03B96" w:rsidRDefault="00A03B96" w:rsidP="00441B6F">
      <w:pPr>
        <w:pStyle w:val="Body"/>
        <w:spacing w:after="0"/>
        <w:rPr>
          <w:rFonts w:ascii="Arial" w:hAnsi="Arial" w:cs="Arial"/>
        </w:rPr>
      </w:pPr>
    </w:p>
    <w:p w14:paraId="45460525" w14:textId="77777777" w:rsidR="000A79A4" w:rsidRPr="000A79A4" w:rsidRDefault="000A79A4" w:rsidP="000A79A4">
      <w:pPr>
        <w:spacing w:line="360" w:lineRule="auto"/>
        <w:jc w:val="both"/>
        <w:rPr>
          <w:rFonts w:ascii="Arial" w:hAnsi="Arial" w:cs="Arial"/>
          <w:b/>
          <w:bCs/>
          <w:sz w:val="22"/>
          <w:szCs w:val="22"/>
        </w:rPr>
      </w:pPr>
      <w:r w:rsidRPr="000A79A4">
        <w:rPr>
          <w:rFonts w:ascii="Arial" w:hAnsi="Arial" w:cs="Arial"/>
          <w:b/>
          <w:bCs/>
          <w:sz w:val="22"/>
          <w:szCs w:val="22"/>
        </w:rPr>
        <w:t xml:space="preserve">2. MATERIALS AND METHODS </w:t>
      </w:r>
    </w:p>
    <w:p w14:paraId="2A4043B2" w14:textId="77777777" w:rsidR="000A79A4" w:rsidRPr="000A79A4" w:rsidRDefault="000A79A4" w:rsidP="000A79A4">
      <w:pPr>
        <w:spacing w:line="360" w:lineRule="auto"/>
        <w:jc w:val="both"/>
        <w:rPr>
          <w:rFonts w:ascii="Arial" w:hAnsi="Arial" w:cs="Arial"/>
          <w:b/>
          <w:sz w:val="22"/>
          <w:szCs w:val="22"/>
        </w:rPr>
      </w:pPr>
      <w:r w:rsidRPr="000A79A4">
        <w:rPr>
          <w:rFonts w:ascii="Arial" w:hAnsi="Arial" w:cs="Arial"/>
          <w:b/>
          <w:sz w:val="22"/>
          <w:szCs w:val="22"/>
        </w:rPr>
        <w:t>2.1 Protocol and Registration</w:t>
      </w:r>
    </w:p>
    <w:p w14:paraId="7E71C2AD" w14:textId="77777777" w:rsidR="000A79A4" w:rsidRPr="000A79A4" w:rsidRDefault="000A79A4" w:rsidP="000A79A4">
      <w:pPr>
        <w:spacing w:line="360" w:lineRule="auto"/>
        <w:jc w:val="both"/>
        <w:rPr>
          <w:rFonts w:ascii="Arial" w:hAnsi="Arial" w:cs="Arial"/>
          <w:b/>
          <w:sz w:val="22"/>
          <w:szCs w:val="22"/>
        </w:rPr>
      </w:pPr>
      <w:r w:rsidRPr="000A79A4">
        <w:rPr>
          <w:rFonts w:ascii="Arial" w:hAnsi="Arial" w:cs="Arial"/>
          <w:sz w:val="22"/>
          <w:szCs w:val="22"/>
        </w:rPr>
        <w:t xml:space="preserve"> In order to ensure transparency and reproducibility of the review process, this systematic review adhered to the Preferred Reporting Items for Systematic Reviews and Meta-Analyses (PRISMA) 2020 standards. The PROSPERO international database for systematic reviews has the review protocol prospectively registered. (Page et al., 2021; PROSPERO, 2025)</w:t>
      </w:r>
    </w:p>
    <w:p w14:paraId="6D465DD5" w14:textId="77777777" w:rsidR="000A79A4" w:rsidRPr="000A79A4" w:rsidRDefault="000A79A4" w:rsidP="000A79A4">
      <w:pPr>
        <w:tabs>
          <w:tab w:val="left" w:pos="2748"/>
        </w:tabs>
        <w:spacing w:line="360" w:lineRule="auto"/>
        <w:jc w:val="both"/>
        <w:rPr>
          <w:rFonts w:ascii="Arial" w:hAnsi="Arial" w:cs="Arial"/>
          <w:b/>
          <w:bCs/>
          <w:sz w:val="22"/>
          <w:szCs w:val="22"/>
        </w:rPr>
      </w:pPr>
    </w:p>
    <w:p w14:paraId="3F8A9F4D" w14:textId="77777777" w:rsidR="000A79A4" w:rsidRPr="000A79A4" w:rsidRDefault="000A79A4" w:rsidP="000A79A4">
      <w:pPr>
        <w:tabs>
          <w:tab w:val="left" w:pos="2748"/>
        </w:tabs>
        <w:spacing w:line="360" w:lineRule="auto"/>
        <w:jc w:val="both"/>
        <w:rPr>
          <w:rFonts w:ascii="Arial" w:hAnsi="Arial" w:cs="Arial"/>
          <w:b/>
          <w:bCs/>
          <w:sz w:val="22"/>
          <w:szCs w:val="22"/>
        </w:rPr>
      </w:pPr>
      <w:r w:rsidRPr="000A79A4">
        <w:rPr>
          <w:rFonts w:ascii="Arial" w:hAnsi="Arial" w:cs="Arial"/>
          <w:b/>
          <w:bCs/>
          <w:sz w:val="22"/>
          <w:szCs w:val="22"/>
        </w:rPr>
        <w:t xml:space="preserve">2.2 Eligibility criteria </w:t>
      </w:r>
      <w:r w:rsidRPr="000A79A4">
        <w:rPr>
          <w:rFonts w:ascii="Arial" w:hAnsi="Arial" w:cs="Arial"/>
          <w:b/>
          <w:bCs/>
          <w:sz w:val="22"/>
          <w:szCs w:val="22"/>
        </w:rPr>
        <w:tab/>
      </w:r>
    </w:p>
    <w:p w14:paraId="440E2E9B" w14:textId="77777777" w:rsidR="000A79A4" w:rsidRPr="000A79A4" w:rsidRDefault="000A79A4" w:rsidP="000A79A4">
      <w:pPr>
        <w:spacing w:line="360" w:lineRule="auto"/>
        <w:jc w:val="both"/>
        <w:rPr>
          <w:rFonts w:ascii="Arial" w:hAnsi="Arial" w:cs="Arial"/>
          <w:sz w:val="22"/>
          <w:szCs w:val="22"/>
        </w:rPr>
      </w:pPr>
      <w:r w:rsidRPr="000A79A4">
        <w:rPr>
          <w:rFonts w:ascii="Arial" w:hAnsi="Arial" w:cs="Arial"/>
          <w:sz w:val="22"/>
          <w:szCs w:val="22"/>
        </w:rPr>
        <w:lastRenderedPageBreak/>
        <w:t xml:space="preserve">Studies that met the following requirements were deemed qualified: original research papers released between January 2005 and </w:t>
      </w:r>
      <w:proofErr w:type="spellStart"/>
      <w:r w:rsidRPr="000A79A4">
        <w:rPr>
          <w:rFonts w:ascii="Arial" w:hAnsi="Arial" w:cs="Arial"/>
          <w:sz w:val="22"/>
          <w:szCs w:val="22"/>
        </w:rPr>
        <w:t>may</w:t>
      </w:r>
      <w:proofErr w:type="spellEnd"/>
      <w:r w:rsidRPr="000A79A4">
        <w:rPr>
          <w:rFonts w:ascii="Arial" w:hAnsi="Arial" w:cs="Arial"/>
          <w:sz w:val="22"/>
          <w:szCs w:val="22"/>
        </w:rPr>
        <w:t xml:space="preserve"> </w:t>
      </w:r>
      <w:proofErr w:type="gramStart"/>
      <w:r w:rsidRPr="000A79A4">
        <w:rPr>
          <w:rFonts w:ascii="Arial" w:hAnsi="Arial" w:cs="Arial"/>
          <w:sz w:val="22"/>
          <w:szCs w:val="22"/>
        </w:rPr>
        <w:t>2025;  studies</w:t>
      </w:r>
      <w:proofErr w:type="gramEnd"/>
      <w:r w:rsidRPr="000A79A4">
        <w:rPr>
          <w:rFonts w:ascii="Arial" w:hAnsi="Arial" w:cs="Arial"/>
          <w:sz w:val="22"/>
          <w:szCs w:val="22"/>
        </w:rPr>
        <w:t xml:space="preserve"> investigating the application of nanodiamonds in endodontics, including material enhancements, drug transport, antibacterial activity, or regenerative therapy; and English-language publications. Reviews, editorials, commentaries, conference abstracts without complete data, studies unrelated to endodontics, and publications in languages other than English were also excluded. (Lee et al., 2015)</w:t>
      </w:r>
    </w:p>
    <w:p w14:paraId="6F1EBDC8" w14:textId="77777777" w:rsidR="000A79A4" w:rsidRPr="000A79A4" w:rsidRDefault="000A79A4" w:rsidP="000A79A4">
      <w:pPr>
        <w:spacing w:line="360" w:lineRule="auto"/>
        <w:jc w:val="both"/>
        <w:rPr>
          <w:rFonts w:ascii="Arial" w:hAnsi="Arial" w:cs="Arial"/>
          <w:b/>
          <w:bCs/>
          <w:sz w:val="22"/>
          <w:szCs w:val="22"/>
        </w:rPr>
      </w:pPr>
    </w:p>
    <w:p w14:paraId="09639AD2" w14:textId="77777777" w:rsidR="000A79A4" w:rsidRPr="000A79A4" w:rsidRDefault="000A79A4" w:rsidP="000A79A4">
      <w:pPr>
        <w:spacing w:line="360" w:lineRule="auto"/>
        <w:jc w:val="both"/>
        <w:rPr>
          <w:rFonts w:ascii="Arial" w:hAnsi="Arial" w:cs="Arial"/>
          <w:b/>
          <w:bCs/>
          <w:sz w:val="22"/>
          <w:szCs w:val="22"/>
        </w:rPr>
      </w:pPr>
      <w:r w:rsidRPr="000A79A4">
        <w:rPr>
          <w:rFonts w:ascii="Arial" w:hAnsi="Arial" w:cs="Arial"/>
          <w:b/>
          <w:bCs/>
          <w:sz w:val="22"/>
          <w:szCs w:val="22"/>
        </w:rPr>
        <w:t xml:space="preserve">2.3 Search Strategy and Information sources </w:t>
      </w:r>
    </w:p>
    <w:p w14:paraId="4D3712D3" w14:textId="77777777" w:rsidR="000A79A4" w:rsidRPr="000A79A4" w:rsidRDefault="000A79A4" w:rsidP="000A79A4">
      <w:pPr>
        <w:spacing w:line="360" w:lineRule="auto"/>
        <w:jc w:val="both"/>
        <w:rPr>
          <w:rFonts w:ascii="Arial" w:hAnsi="Arial" w:cs="Arial"/>
          <w:sz w:val="22"/>
          <w:szCs w:val="22"/>
        </w:rPr>
      </w:pPr>
      <w:r w:rsidRPr="000A79A4">
        <w:rPr>
          <w:rFonts w:ascii="Arial" w:hAnsi="Arial" w:cs="Arial"/>
          <w:sz w:val="22"/>
          <w:szCs w:val="22"/>
        </w:rPr>
        <w:t>A thorough search of the literature was done using five internet databases: PubMed, Scopus, Web of Science, Embase, and the Cochrane Library. Medical Subject Headings (</w:t>
      </w:r>
      <w:proofErr w:type="spellStart"/>
      <w:r w:rsidRPr="000A79A4">
        <w:rPr>
          <w:rFonts w:ascii="Arial" w:hAnsi="Arial" w:cs="Arial"/>
          <w:sz w:val="22"/>
          <w:szCs w:val="22"/>
        </w:rPr>
        <w:t>MeSH</w:t>
      </w:r>
      <w:proofErr w:type="spellEnd"/>
      <w:r w:rsidRPr="000A79A4">
        <w:rPr>
          <w:rFonts w:ascii="Arial" w:hAnsi="Arial" w:cs="Arial"/>
          <w:sz w:val="22"/>
          <w:szCs w:val="22"/>
        </w:rPr>
        <w:t xml:space="preserve">) and free-text keywords related to endodontics and microsurgery were used in the search approach. The primary search phrases were "dental www.ejpmr.com │ Vol 12, Issue 6, 2025. pulp," "endodontics," "microsurgery," "microscopes," "microsurgical instruments," and "microscopic endodontics." The search was narrowed and broadened using </w:t>
      </w:r>
      <w:proofErr w:type="spellStart"/>
      <w:r w:rsidRPr="000A79A4">
        <w:rPr>
          <w:rFonts w:ascii="Arial" w:hAnsi="Arial" w:cs="Arial"/>
          <w:sz w:val="22"/>
          <w:szCs w:val="22"/>
        </w:rPr>
        <w:t>boolean</w:t>
      </w:r>
      <w:proofErr w:type="spellEnd"/>
      <w:r w:rsidRPr="000A79A4">
        <w:rPr>
          <w:rFonts w:ascii="Arial" w:hAnsi="Arial" w:cs="Arial"/>
          <w:sz w:val="22"/>
          <w:szCs w:val="22"/>
        </w:rPr>
        <w:t xml:space="preserve"> operators (AND, OR). The search was conducted between the database's creation until May 2025. In order to find any other relevant papers, the reference lists of the included studies and relevant reviews were additionally manually searched. (Bramer et al., 2017)</w:t>
      </w:r>
    </w:p>
    <w:p w14:paraId="54DA0CC1" w14:textId="77777777" w:rsidR="000A79A4" w:rsidRPr="000A79A4" w:rsidRDefault="000A79A4" w:rsidP="000A79A4">
      <w:pPr>
        <w:spacing w:line="360" w:lineRule="auto"/>
        <w:jc w:val="both"/>
        <w:rPr>
          <w:rFonts w:ascii="Arial" w:hAnsi="Arial" w:cs="Arial"/>
          <w:b/>
          <w:bCs/>
          <w:sz w:val="22"/>
          <w:szCs w:val="22"/>
        </w:rPr>
      </w:pPr>
    </w:p>
    <w:p w14:paraId="4C283BBA" w14:textId="77777777" w:rsidR="000A79A4" w:rsidRPr="000A79A4" w:rsidRDefault="000A79A4" w:rsidP="000A79A4">
      <w:pPr>
        <w:spacing w:line="360" w:lineRule="auto"/>
        <w:jc w:val="both"/>
        <w:rPr>
          <w:rFonts w:ascii="Arial" w:hAnsi="Arial" w:cs="Arial"/>
          <w:b/>
          <w:bCs/>
          <w:sz w:val="22"/>
          <w:szCs w:val="22"/>
        </w:rPr>
      </w:pPr>
      <w:r w:rsidRPr="000A79A4">
        <w:rPr>
          <w:rFonts w:ascii="Arial" w:hAnsi="Arial" w:cs="Arial"/>
          <w:b/>
          <w:bCs/>
          <w:sz w:val="22"/>
          <w:szCs w:val="22"/>
        </w:rPr>
        <w:t>2.4 Study selection</w:t>
      </w:r>
    </w:p>
    <w:p w14:paraId="3E8832D3" w14:textId="77777777" w:rsidR="000A79A4" w:rsidRPr="000A79A4" w:rsidRDefault="000A79A4" w:rsidP="000A79A4">
      <w:pPr>
        <w:pStyle w:val="NormalWeb"/>
        <w:spacing w:line="360" w:lineRule="auto"/>
        <w:rPr>
          <w:rFonts w:ascii="Arial" w:eastAsia="Times New Roman" w:hAnsi="Arial" w:cs="Arial"/>
          <w:sz w:val="22"/>
          <w:szCs w:val="22"/>
          <w:lang w:val="en-IN" w:eastAsia="en-IN"/>
        </w:rPr>
      </w:pPr>
      <w:r w:rsidRPr="000A79A4">
        <w:rPr>
          <w:rFonts w:ascii="Arial" w:hAnsi="Arial" w:cs="Arial"/>
          <w:sz w:val="22"/>
          <w:szCs w:val="22"/>
        </w:rPr>
        <w:t xml:space="preserve"> The initial screening of the articles produced by the database searches was done by two independent reviewers (Reviewer A and Reviewer B) using the titles and abstracts. At this stage, articles that blatantly failed the inclusion requirements were eliminated. After that, full-text versions of publications that might be pertinent were assessed separately to determine whether they qualified for inclusion. 2.5 Data extraction </w:t>
      </w:r>
      <w:proofErr w:type="gramStart"/>
      <w:r w:rsidRPr="000A79A4">
        <w:rPr>
          <w:rFonts w:ascii="Arial" w:hAnsi="Arial" w:cs="Arial"/>
          <w:sz w:val="22"/>
          <w:szCs w:val="22"/>
        </w:rPr>
        <w:t>To</w:t>
      </w:r>
      <w:proofErr w:type="gramEnd"/>
      <w:r w:rsidRPr="000A79A4">
        <w:rPr>
          <w:rFonts w:ascii="Arial" w:hAnsi="Arial" w:cs="Arial"/>
          <w:sz w:val="22"/>
          <w:szCs w:val="22"/>
        </w:rPr>
        <w:t xml:space="preserve"> be consistent, a </w:t>
      </w:r>
      <w:proofErr w:type="spellStart"/>
      <w:r w:rsidRPr="000A79A4">
        <w:rPr>
          <w:rFonts w:ascii="Arial" w:hAnsi="Arial" w:cs="Arial"/>
          <w:sz w:val="22"/>
          <w:szCs w:val="22"/>
        </w:rPr>
        <w:t>standardised</w:t>
      </w:r>
      <w:proofErr w:type="spellEnd"/>
      <w:r w:rsidRPr="000A79A4">
        <w:rPr>
          <w:rFonts w:ascii="Arial" w:hAnsi="Arial" w:cs="Arial"/>
          <w:sz w:val="22"/>
          <w:szCs w:val="22"/>
        </w:rPr>
        <w:t xml:space="preserve"> data extraction form was developed and pilot tested. Two reviewers independently extracted the following data from each of the included studies: outcome measures, most significant findings, authors, year, study design, form and properties of the </w:t>
      </w:r>
      <w:proofErr w:type="spellStart"/>
      <w:r w:rsidRPr="000A79A4">
        <w:rPr>
          <w:rFonts w:ascii="Arial" w:hAnsi="Arial" w:cs="Arial"/>
          <w:sz w:val="22"/>
          <w:szCs w:val="22"/>
        </w:rPr>
        <w:t>nanodiamonds</w:t>
      </w:r>
      <w:proofErr w:type="spellEnd"/>
      <w:r w:rsidRPr="000A79A4">
        <w:rPr>
          <w:rFonts w:ascii="Arial" w:hAnsi="Arial" w:cs="Arial"/>
          <w:sz w:val="22"/>
          <w:szCs w:val="22"/>
        </w:rPr>
        <w:t xml:space="preserve"> used (size, </w:t>
      </w:r>
      <w:proofErr w:type="spellStart"/>
      <w:r w:rsidRPr="000A79A4">
        <w:rPr>
          <w:rFonts w:ascii="Arial" w:hAnsi="Arial" w:cs="Arial"/>
          <w:sz w:val="22"/>
          <w:szCs w:val="22"/>
        </w:rPr>
        <w:t>functionalisation</w:t>
      </w:r>
      <w:proofErr w:type="spellEnd"/>
      <w:r w:rsidRPr="000A79A4">
        <w:rPr>
          <w:rFonts w:ascii="Arial" w:hAnsi="Arial" w:cs="Arial"/>
          <w:sz w:val="22"/>
          <w:szCs w:val="22"/>
        </w:rPr>
        <w:t xml:space="preserve">), study model (in vitro, in vivo, material development), and intended application in endodontics (e.g., antimicrobial action, drug delivery, reinforcement). </w:t>
      </w:r>
      <w:r w:rsidRPr="000A79A4">
        <w:rPr>
          <w:rFonts w:ascii="Arial" w:hAnsi="Arial" w:cs="Arial"/>
          <w:sz w:val="22"/>
          <w:szCs w:val="22"/>
        </w:rPr>
        <w:lastRenderedPageBreak/>
        <w:t>disagreements. regenerative therapy, material Consensus was used to settle 2.6 Risk of bias assessment Based on research design, the included studies' methodological quality and bias risk were assessed. In Reliability and reporting quality were evaluated for the in vitro investigations using the Toxicological data Reliability Assessment Tool (</w:t>
      </w:r>
      <w:proofErr w:type="spellStart"/>
      <w:r w:rsidRPr="000A79A4">
        <w:rPr>
          <w:rFonts w:ascii="Arial" w:hAnsi="Arial" w:cs="Arial"/>
          <w:sz w:val="22"/>
          <w:szCs w:val="22"/>
        </w:rPr>
        <w:t>ToxRTool</w:t>
      </w:r>
      <w:proofErr w:type="spellEnd"/>
      <w:r w:rsidRPr="000A79A4">
        <w:rPr>
          <w:rFonts w:ascii="Arial" w:hAnsi="Arial" w:cs="Arial"/>
          <w:sz w:val="22"/>
          <w:szCs w:val="22"/>
        </w:rPr>
        <w:t>) checklist. Selection bias, performance bias, detection bias, attrition bias, reporting bias, and other potential causes of bias were all examined in the evaluation of animal research using the systematic Review Centre for Laboratory Animal Experimentation (SYRCLE) risk of bias tool. The Cochrane Risk of Bias tool 2.0 (</w:t>
      </w:r>
      <w:proofErr w:type="spellStart"/>
      <w:r w:rsidRPr="000A79A4">
        <w:rPr>
          <w:rFonts w:ascii="Arial" w:hAnsi="Arial" w:cs="Arial"/>
          <w:sz w:val="22"/>
          <w:szCs w:val="22"/>
        </w:rPr>
        <w:t>RoB</w:t>
      </w:r>
      <w:proofErr w:type="spellEnd"/>
      <w:r w:rsidRPr="000A79A4">
        <w:rPr>
          <w:rFonts w:ascii="Arial" w:hAnsi="Arial" w:cs="Arial"/>
          <w:sz w:val="22"/>
          <w:szCs w:val="22"/>
        </w:rPr>
        <w:t xml:space="preserve"> 2.0) would be used to assess bias in </w:t>
      </w:r>
      <w:proofErr w:type="spellStart"/>
      <w:r w:rsidRPr="000A79A4">
        <w:rPr>
          <w:rFonts w:ascii="Arial" w:hAnsi="Arial" w:cs="Arial"/>
          <w:sz w:val="22"/>
          <w:szCs w:val="22"/>
        </w:rPr>
        <w:t>randomised</w:t>
      </w:r>
      <w:proofErr w:type="spellEnd"/>
      <w:r w:rsidRPr="000A79A4">
        <w:rPr>
          <w:rFonts w:ascii="Arial" w:hAnsi="Arial" w:cs="Arial"/>
          <w:sz w:val="22"/>
          <w:szCs w:val="22"/>
        </w:rPr>
        <w:t xml:space="preserve"> controlled trials if any human studies were discovered. Two reviewers conducted the evaluations independently, and disagreements were settled by consensus or third-party adjudication. 2.7 Data </w:t>
      </w:r>
      <w:proofErr w:type="spellStart"/>
      <w:r w:rsidRPr="000A79A4">
        <w:rPr>
          <w:rFonts w:ascii="Arial" w:hAnsi="Arial" w:cs="Arial"/>
          <w:sz w:val="22"/>
          <w:szCs w:val="22"/>
        </w:rPr>
        <w:t>Synynthesis</w:t>
      </w:r>
      <w:proofErr w:type="spellEnd"/>
      <w:r w:rsidRPr="000A79A4">
        <w:rPr>
          <w:rFonts w:ascii="Arial" w:hAnsi="Arial" w:cs="Arial"/>
          <w:sz w:val="22"/>
          <w:szCs w:val="22"/>
        </w:rPr>
        <w:t xml:space="preserve"> and Analysis A quantitative meta-analysis was deemed inappropriate due to the anticipated variability in study design, interventions, outcome measures, and models. This led to a qualitative narrative synthesis. According to the primary applications of nanodiamonds in endodontics— antimicrobial action, drug delivery systems, material strengthening, and regenerative endodontics—the extracted data were </w:t>
      </w:r>
      <w:proofErr w:type="spellStart"/>
      <w:r w:rsidRPr="000A79A4">
        <w:rPr>
          <w:rFonts w:ascii="Arial" w:hAnsi="Arial" w:cs="Arial"/>
          <w:sz w:val="22"/>
          <w:szCs w:val="22"/>
        </w:rPr>
        <w:t>categorised</w:t>
      </w:r>
      <w:proofErr w:type="spellEnd"/>
      <w:r w:rsidRPr="000A79A4">
        <w:rPr>
          <w:rFonts w:ascii="Arial" w:hAnsi="Arial" w:cs="Arial"/>
          <w:sz w:val="22"/>
          <w:szCs w:val="22"/>
        </w:rPr>
        <w:t xml:space="preserve"> thematically. To provide a comprehensive picture of the state of the current research, the key conclusions, patterns, and methodological strengths and shortcomings were compiled and </w:t>
      </w:r>
      <w:proofErr w:type="spellStart"/>
      <w:r w:rsidRPr="000A79A4">
        <w:rPr>
          <w:rFonts w:ascii="Arial" w:hAnsi="Arial" w:cs="Arial"/>
          <w:sz w:val="22"/>
          <w:szCs w:val="22"/>
        </w:rPr>
        <w:t>analysed</w:t>
      </w:r>
      <w:proofErr w:type="spellEnd"/>
      <w:r w:rsidRPr="000A79A4">
        <w:rPr>
          <w:rFonts w:ascii="Arial" w:hAnsi="Arial" w:cs="Arial"/>
          <w:sz w:val="22"/>
          <w:szCs w:val="22"/>
        </w:rPr>
        <w:t xml:space="preserve"> within the framework of the investigations.</w:t>
      </w:r>
      <w:r w:rsidRPr="000A79A4">
        <w:rPr>
          <w:rStyle w:val="HeaderChar"/>
          <w:rFonts w:ascii="Arial" w:hAnsi="Arial" w:cs="Arial"/>
          <w:sz w:val="22"/>
          <w:szCs w:val="22"/>
        </w:rPr>
        <w:t xml:space="preserve"> (</w:t>
      </w:r>
      <w:r w:rsidRPr="000A79A4">
        <w:rPr>
          <w:rFonts w:ascii="Arial" w:eastAsia="Times New Roman" w:hAnsi="Arial" w:cs="Arial"/>
          <w:i/>
          <w:iCs/>
          <w:sz w:val="22"/>
          <w:szCs w:val="22"/>
          <w:lang w:val="en-IN" w:eastAsia="en-IN"/>
        </w:rPr>
        <w:t xml:space="preserve">Schmidt et al., 2021; </w:t>
      </w:r>
      <w:proofErr w:type="spellStart"/>
      <w:r w:rsidRPr="000A79A4">
        <w:rPr>
          <w:rFonts w:ascii="Arial" w:eastAsia="Times New Roman" w:hAnsi="Arial" w:cs="Arial"/>
          <w:i/>
          <w:iCs/>
          <w:sz w:val="22"/>
          <w:szCs w:val="22"/>
          <w:lang w:val="en-IN" w:eastAsia="en-IN"/>
        </w:rPr>
        <w:t>Hooijmans</w:t>
      </w:r>
      <w:proofErr w:type="spellEnd"/>
      <w:r w:rsidRPr="000A79A4">
        <w:rPr>
          <w:rFonts w:ascii="Arial" w:eastAsia="Times New Roman" w:hAnsi="Arial" w:cs="Arial"/>
          <w:i/>
          <w:iCs/>
          <w:sz w:val="22"/>
          <w:szCs w:val="22"/>
          <w:lang w:val="en-IN" w:eastAsia="en-IN"/>
        </w:rPr>
        <w:t xml:space="preserve"> et al., 2014; Cochrane Methods, 2025)</w:t>
      </w:r>
    </w:p>
    <w:p w14:paraId="0A12A3D8" w14:textId="77777777" w:rsidR="000A79A4" w:rsidRDefault="000A79A4" w:rsidP="000A79A4">
      <w:pPr>
        <w:jc w:val="both"/>
      </w:pPr>
    </w:p>
    <w:p w14:paraId="08244B1F" w14:textId="77777777" w:rsidR="000A79A4" w:rsidRDefault="000A79A4" w:rsidP="000A79A4">
      <w:pPr>
        <w:jc w:val="both"/>
        <w:rPr>
          <w:b/>
          <w:bCs/>
        </w:rPr>
      </w:pPr>
    </w:p>
    <w:p w14:paraId="736299D5" w14:textId="77777777" w:rsidR="000A79A4" w:rsidRPr="000A79A4" w:rsidRDefault="000A79A4" w:rsidP="000A79A4">
      <w:pPr>
        <w:spacing w:line="360" w:lineRule="auto"/>
        <w:jc w:val="both"/>
        <w:rPr>
          <w:rFonts w:ascii="Arial" w:hAnsi="Arial" w:cs="Arial"/>
          <w:b/>
          <w:bCs/>
          <w:sz w:val="22"/>
          <w:szCs w:val="22"/>
        </w:rPr>
      </w:pPr>
      <w:r w:rsidRPr="000A79A4">
        <w:rPr>
          <w:rFonts w:ascii="Arial" w:hAnsi="Arial" w:cs="Arial"/>
          <w:b/>
          <w:bCs/>
          <w:sz w:val="22"/>
          <w:szCs w:val="22"/>
        </w:rPr>
        <w:t>3. RESULTS</w:t>
      </w:r>
    </w:p>
    <w:p w14:paraId="28B47BB6" w14:textId="77777777" w:rsidR="000A79A4" w:rsidRPr="000A79A4" w:rsidRDefault="000A79A4" w:rsidP="000A79A4">
      <w:pPr>
        <w:spacing w:line="360" w:lineRule="auto"/>
        <w:jc w:val="both"/>
        <w:rPr>
          <w:rFonts w:ascii="Arial" w:hAnsi="Arial" w:cs="Arial"/>
          <w:b/>
          <w:bCs/>
          <w:sz w:val="22"/>
          <w:szCs w:val="22"/>
        </w:rPr>
      </w:pPr>
      <w:r w:rsidRPr="000A79A4">
        <w:rPr>
          <w:rFonts w:ascii="Arial" w:hAnsi="Arial" w:cs="Arial"/>
          <w:sz w:val="22"/>
          <w:szCs w:val="22"/>
        </w:rPr>
        <w:t xml:space="preserve"> Study Selection and Characteristics 231 articles were initially found through the database search. 180 records were screened based on title and abstract after duplicates were eliminated. 48 full-text articles were assessed for eligibility during this screening. Ultimately, 30 studies that were part of this systematic review met the requirements for inclusion. These included five material development investigations, seven animal studies, and eighteen in vitro experiments. The included papers, which ranged in date from 2008 to 2024 and were from various </w:t>
      </w:r>
      <w:r w:rsidRPr="000A79A4">
        <w:rPr>
          <w:rFonts w:ascii="Arial" w:hAnsi="Arial" w:cs="Arial"/>
          <w:sz w:val="22"/>
          <w:szCs w:val="22"/>
        </w:rPr>
        <w:lastRenderedPageBreak/>
        <w:t>countries, demonstrate the global interest applications. in microsurgery for endodontic.</w:t>
      </w:r>
    </w:p>
    <w:p w14:paraId="2EFACE5C" w14:textId="77777777" w:rsidR="000A79A4" w:rsidRPr="000A79A4" w:rsidRDefault="000A79A4" w:rsidP="000A79A4">
      <w:pPr>
        <w:spacing w:line="360" w:lineRule="auto"/>
        <w:jc w:val="both"/>
        <w:rPr>
          <w:rFonts w:ascii="Arial" w:hAnsi="Arial" w:cs="Arial"/>
          <w:sz w:val="22"/>
          <w:szCs w:val="22"/>
        </w:rPr>
      </w:pPr>
    </w:p>
    <w:p w14:paraId="66CB5FB5" w14:textId="77777777" w:rsidR="000A79A4" w:rsidRPr="000A79A4" w:rsidRDefault="000A79A4" w:rsidP="000A79A4">
      <w:pPr>
        <w:spacing w:line="360" w:lineRule="auto"/>
        <w:jc w:val="both"/>
        <w:rPr>
          <w:rFonts w:ascii="Arial" w:hAnsi="Arial" w:cs="Arial"/>
          <w:b/>
          <w:sz w:val="22"/>
          <w:szCs w:val="22"/>
        </w:rPr>
      </w:pPr>
      <w:r w:rsidRPr="000A79A4">
        <w:rPr>
          <w:rFonts w:ascii="Arial" w:hAnsi="Arial" w:cs="Arial"/>
          <w:b/>
          <w:sz w:val="22"/>
          <w:szCs w:val="22"/>
        </w:rPr>
        <w:t>3.1 Indications for Endodontic Microsurgery</w:t>
      </w:r>
    </w:p>
    <w:p w14:paraId="23239D1D"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Endodontic microsurgery is indicated when nonsurgical root canal treatment (NSRCT) or retreatment is either not feasible or has failed, and the tooth is still strategically important.</w:t>
      </w:r>
    </w:p>
    <w:p w14:paraId="284F2CC4"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 Primary Indications</w:t>
      </w:r>
    </w:p>
    <w:p w14:paraId="00751CC5" w14:textId="77777777" w:rsidR="000A79A4" w:rsidRPr="000A79A4" w:rsidRDefault="000A79A4" w:rsidP="000A79A4">
      <w:pPr>
        <w:numPr>
          <w:ilvl w:val="0"/>
          <w:numId w:val="34"/>
        </w:numPr>
        <w:spacing w:after="200" w:line="360" w:lineRule="auto"/>
        <w:jc w:val="both"/>
        <w:rPr>
          <w:rFonts w:ascii="Arial" w:hAnsi="Arial" w:cs="Arial"/>
          <w:sz w:val="22"/>
          <w:szCs w:val="22"/>
          <w:lang w:val="en-IN"/>
        </w:rPr>
      </w:pPr>
      <w:r w:rsidRPr="000A79A4">
        <w:rPr>
          <w:rFonts w:ascii="Arial" w:hAnsi="Arial" w:cs="Arial"/>
          <w:sz w:val="22"/>
          <w:szCs w:val="22"/>
          <w:lang w:val="en-IN"/>
        </w:rPr>
        <w:t>Persistent periapical pathology despite adequate NSRCT.</w:t>
      </w:r>
    </w:p>
    <w:p w14:paraId="27DD6292" w14:textId="77777777" w:rsidR="000A79A4" w:rsidRPr="000A79A4" w:rsidRDefault="000A79A4" w:rsidP="000A79A4">
      <w:pPr>
        <w:numPr>
          <w:ilvl w:val="0"/>
          <w:numId w:val="34"/>
        </w:numPr>
        <w:spacing w:after="200" w:line="360" w:lineRule="auto"/>
        <w:jc w:val="both"/>
        <w:rPr>
          <w:rFonts w:ascii="Arial" w:hAnsi="Arial" w:cs="Arial"/>
          <w:sz w:val="22"/>
          <w:szCs w:val="22"/>
          <w:lang w:val="en-IN"/>
        </w:rPr>
      </w:pPr>
      <w:r w:rsidRPr="000A79A4">
        <w:rPr>
          <w:rFonts w:ascii="Arial" w:hAnsi="Arial" w:cs="Arial"/>
          <w:sz w:val="22"/>
          <w:szCs w:val="22"/>
          <w:lang w:val="en-IN"/>
        </w:rPr>
        <w:t>Obstructed canals due to:</w:t>
      </w:r>
    </w:p>
    <w:p w14:paraId="731B4CEF" w14:textId="77777777" w:rsidR="000A79A4" w:rsidRPr="000A79A4" w:rsidRDefault="000A79A4" w:rsidP="000A79A4">
      <w:pPr>
        <w:numPr>
          <w:ilvl w:val="1"/>
          <w:numId w:val="34"/>
        </w:numPr>
        <w:spacing w:after="200" w:line="360" w:lineRule="auto"/>
        <w:jc w:val="both"/>
        <w:rPr>
          <w:rFonts w:ascii="Arial" w:hAnsi="Arial" w:cs="Arial"/>
          <w:sz w:val="22"/>
          <w:szCs w:val="22"/>
          <w:lang w:val="en-IN"/>
        </w:rPr>
      </w:pPr>
      <w:r w:rsidRPr="000A79A4">
        <w:rPr>
          <w:rFonts w:ascii="Arial" w:hAnsi="Arial" w:cs="Arial"/>
          <w:sz w:val="22"/>
          <w:szCs w:val="22"/>
          <w:lang w:val="en-IN"/>
        </w:rPr>
        <w:t>Calcification</w:t>
      </w:r>
    </w:p>
    <w:p w14:paraId="7963669E" w14:textId="77777777" w:rsidR="000A79A4" w:rsidRPr="000A79A4" w:rsidRDefault="000A79A4" w:rsidP="000A79A4">
      <w:pPr>
        <w:numPr>
          <w:ilvl w:val="1"/>
          <w:numId w:val="34"/>
        </w:numPr>
        <w:spacing w:after="200" w:line="360" w:lineRule="auto"/>
        <w:jc w:val="both"/>
        <w:rPr>
          <w:rFonts w:ascii="Arial" w:hAnsi="Arial" w:cs="Arial"/>
          <w:sz w:val="22"/>
          <w:szCs w:val="22"/>
          <w:lang w:val="en-IN"/>
        </w:rPr>
      </w:pPr>
      <w:r w:rsidRPr="000A79A4">
        <w:rPr>
          <w:rFonts w:ascii="Arial" w:hAnsi="Arial" w:cs="Arial"/>
          <w:sz w:val="22"/>
          <w:szCs w:val="22"/>
          <w:lang w:val="en-IN"/>
        </w:rPr>
        <w:t>Separated instruments</w:t>
      </w:r>
    </w:p>
    <w:p w14:paraId="7564B24F" w14:textId="77777777" w:rsidR="000A79A4" w:rsidRPr="000A79A4" w:rsidRDefault="000A79A4" w:rsidP="000A79A4">
      <w:pPr>
        <w:numPr>
          <w:ilvl w:val="1"/>
          <w:numId w:val="34"/>
        </w:numPr>
        <w:spacing w:after="200" w:line="360" w:lineRule="auto"/>
        <w:jc w:val="both"/>
        <w:rPr>
          <w:rFonts w:ascii="Arial" w:hAnsi="Arial" w:cs="Arial"/>
          <w:sz w:val="22"/>
          <w:szCs w:val="22"/>
          <w:lang w:val="en-IN"/>
        </w:rPr>
      </w:pPr>
      <w:r w:rsidRPr="000A79A4">
        <w:rPr>
          <w:rFonts w:ascii="Arial" w:hAnsi="Arial" w:cs="Arial"/>
          <w:sz w:val="22"/>
          <w:szCs w:val="22"/>
          <w:lang w:val="en-IN"/>
        </w:rPr>
        <w:t>Posts or crowns preventing orthograde access</w:t>
      </w:r>
    </w:p>
    <w:p w14:paraId="331964BB" w14:textId="77777777" w:rsidR="000A79A4" w:rsidRPr="000A79A4" w:rsidRDefault="000A79A4" w:rsidP="000A79A4">
      <w:pPr>
        <w:numPr>
          <w:ilvl w:val="0"/>
          <w:numId w:val="34"/>
        </w:numPr>
        <w:spacing w:after="200" w:line="360" w:lineRule="auto"/>
        <w:jc w:val="both"/>
        <w:rPr>
          <w:rFonts w:ascii="Arial" w:hAnsi="Arial" w:cs="Arial"/>
          <w:sz w:val="22"/>
          <w:szCs w:val="22"/>
          <w:lang w:val="en-IN"/>
        </w:rPr>
      </w:pPr>
      <w:r w:rsidRPr="000A79A4">
        <w:rPr>
          <w:rFonts w:ascii="Arial" w:hAnsi="Arial" w:cs="Arial"/>
          <w:sz w:val="22"/>
          <w:szCs w:val="22"/>
          <w:lang w:val="en-IN"/>
        </w:rPr>
        <w:t>Overfilling or overextension of filling material causing periapical irritation.</w:t>
      </w:r>
    </w:p>
    <w:p w14:paraId="703A204A" w14:textId="77777777" w:rsidR="000A79A4" w:rsidRPr="000A79A4" w:rsidRDefault="000A79A4" w:rsidP="000A79A4">
      <w:pPr>
        <w:numPr>
          <w:ilvl w:val="0"/>
          <w:numId w:val="34"/>
        </w:numPr>
        <w:spacing w:after="200" w:line="360" w:lineRule="auto"/>
        <w:jc w:val="both"/>
        <w:rPr>
          <w:rFonts w:ascii="Arial" w:hAnsi="Arial" w:cs="Arial"/>
          <w:sz w:val="22"/>
          <w:szCs w:val="22"/>
          <w:lang w:val="en-IN"/>
        </w:rPr>
      </w:pPr>
      <w:r w:rsidRPr="000A79A4">
        <w:rPr>
          <w:rFonts w:ascii="Arial" w:hAnsi="Arial" w:cs="Arial"/>
          <w:sz w:val="22"/>
          <w:szCs w:val="22"/>
          <w:lang w:val="en-IN"/>
        </w:rPr>
        <w:t>Large periapical cysts or granulomas not resolving.</w:t>
      </w:r>
    </w:p>
    <w:p w14:paraId="00F5A63B" w14:textId="77777777" w:rsidR="000A79A4" w:rsidRPr="000A79A4" w:rsidRDefault="000A79A4" w:rsidP="000A79A4">
      <w:pPr>
        <w:numPr>
          <w:ilvl w:val="0"/>
          <w:numId w:val="34"/>
        </w:numPr>
        <w:spacing w:after="200" w:line="360" w:lineRule="auto"/>
        <w:jc w:val="both"/>
        <w:rPr>
          <w:rFonts w:ascii="Arial" w:hAnsi="Arial" w:cs="Arial"/>
          <w:sz w:val="22"/>
          <w:szCs w:val="22"/>
          <w:lang w:val="en-IN"/>
        </w:rPr>
      </w:pPr>
      <w:r w:rsidRPr="000A79A4">
        <w:rPr>
          <w:rFonts w:ascii="Arial" w:hAnsi="Arial" w:cs="Arial"/>
          <w:sz w:val="22"/>
          <w:szCs w:val="22"/>
          <w:lang w:val="en-IN"/>
        </w:rPr>
        <w:t>Root perforations near the apex or in inaccessible areas.</w:t>
      </w:r>
    </w:p>
    <w:p w14:paraId="6AF6D5E9" w14:textId="77777777" w:rsidR="000A79A4" w:rsidRPr="000A79A4" w:rsidRDefault="000A79A4" w:rsidP="000A79A4">
      <w:pPr>
        <w:numPr>
          <w:ilvl w:val="0"/>
          <w:numId w:val="34"/>
        </w:numPr>
        <w:spacing w:after="200" w:line="360" w:lineRule="auto"/>
        <w:jc w:val="both"/>
        <w:rPr>
          <w:rFonts w:ascii="Arial" w:hAnsi="Arial" w:cs="Arial"/>
          <w:sz w:val="22"/>
          <w:szCs w:val="22"/>
          <w:lang w:val="en-IN"/>
        </w:rPr>
      </w:pPr>
      <w:r w:rsidRPr="000A79A4">
        <w:rPr>
          <w:rFonts w:ascii="Arial" w:hAnsi="Arial" w:cs="Arial"/>
          <w:sz w:val="22"/>
          <w:szCs w:val="22"/>
          <w:lang w:val="en-IN"/>
        </w:rPr>
        <w:t>Root-end fractures, vertical root fractures (only in selected cases).</w:t>
      </w:r>
    </w:p>
    <w:p w14:paraId="1A79397E" w14:textId="77777777" w:rsidR="000A79A4" w:rsidRPr="000A79A4" w:rsidRDefault="000A79A4" w:rsidP="000A79A4">
      <w:pPr>
        <w:numPr>
          <w:ilvl w:val="0"/>
          <w:numId w:val="34"/>
        </w:numPr>
        <w:spacing w:after="200" w:line="360" w:lineRule="auto"/>
        <w:jc w:val="both"/>
        <w:rPr>
          <w:rFonts w:ascii="Arial" w:hAnsi="Arial" w:cs="Arial"/>
          <w:sz w:val="22"/>
          <w:szCs w:val="22"/>
          <w:lang w:val="en-IN"/>
        </w:rPr>
      </w:pPr>
      <w:r w:rsidRPr="000A79A4">
        <w:rPr>
          <w:rFonts w:ascii="Arial" w:hAnsi="Arial" w:cs="Arial"/>
          <w:sz w:val="22"/>
          <w:szCs w:val="22"/>
          <w:lang w:val="en-IN"/>
        </w:rPr>
        <w:t>Persistent sinus tract or draining fistula not responding to retreatment.</w:t>
      </w:r>
    </w:p>
    <w:p w14:paraId="379F60BA" w14:textId="77777777" w:rsidR="000A79A4" w:rsidRPr="000A79A4" w:rsidRDefault="000A79A4" w:rsidP="000A79A4">
      <w:pPr>
        <w:numPr>
          <w:ilvl w:val="0"/>
          <w:numId w:val="34"/>
        </w:numPr>
        <w:spacing w:after="200" w:line="360" w:lineRule="auto"/>
        <w:jc w:val="both"/>
        <w:rPr>
          <w:rFonts w:ascii="Arial" w:hAnsi="Arial" w:cs="Arial"/>
          <w:sz w:val="22"/>
          <w:szCs w:val="22"/>
          <w:lang w:val="en-IN"/>
        </w:rPr>
      </w:pPr>
      <w:r w:rsidRPr="000A79A4">
        <w:rPr>
          <w:rFonts w:ascii="Arial" w:hAnsi="Arial" w:cs="Arial"/>
          <w:sz w:val="22"/>
          <w:szCs w:val="22"/>
          <w:lang w:val="en-IN"/>
        </w:rPr>
        <w:t>Procedural errors such as ledges or transportations that prevent full debridement and obturation.</w:t>
      </w:r>
    </w:p>
    <w:p w14:paraId="784EA41F" w14:textId="77777777" w:rsidR="000A79A4" w:rsidRPr="000A79A4" w:rsidRDefault="000A79A4" w:rsidP="000A79A4">
      <w:pPr>
        <w:numPr>
          <w:ilvl w:val="0"/>
          <w:numId w:val="34"/>
        </w:numPr>
        <w:spacing w:after="200" w:line="360" w:lineRule="auto"/>
        <w:jc w:val="both"/>
        <w:rPr>
          <w:rFonts w:ascii="Arial" w:hAnsi="Arial" w:cs="Arial"/>
          <w:sz w:val="22"/>
          <w:szCs w:val="22"/>
          <w:lang w:val="en-IN"/>
        </w:rPr>
      </w:pPr>
      <w:r w:rsidRPr="000A79A4">
        <w:rPr>
          <w:rFonts w:ascii="Arial" w:hAnsi="Arial" w:cs="Arial"/>
          <w:sz w:val="22"/>
          <w:szCs w:val="22"/>
          <w:lang w:val="en-IN"/>
        </w:rPr>
        <w:t>Biopsy requirement for suspicious periapical lesions.</w:t>
      </w:r>
    </w:p>
    <w:p w14:paraId="7BFB3052" w14:textId="77777777" w:rsidR="000A79A4" w:rsidRPr="000A79A4" w:rsidRDefault="000A79A4" w:rsidP="000A79A4">
      <w:pPr>
        <w:numPr>
          <w:ilvl w:val="0"/>
          <w:numId w:val="34"/>
        </w:numPr>
        <w:spacing w:after="200" w:line="360" w:lineRule="auto"/>
        <w:jc w:val="both"/>
        <w:rPr>
          <w:rFonts w:ascii="Arial" w:hAnsi="Arial" w:cs="Arial"/>
          <w:sz w:val="22"/>
          <w:szCs w:val="22"/>
          <w:lang w:val="en-IN"/>
        </w:rPr>
      </w:pPr>
      <w:r w:rsidRPr="000A79A4">
        <w:rPr>
          <w:rFonts w:ascii="Arial" w:hAnsi="Arial" w:cs="Arial"/>
          <w:sz w:val="22"/>
          <w:szCs w:val="22"/>
          <w:lang w:val="en-IN"/>
        </w:rPr>
        <w:t>Management of external or internal root resorption at or near the apex.</w:t>
      </w:r>
    </w:p>
    <w:p w14:paraId="6E79ABC1"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 Other Considerations</w:t>
      </w:r>
    </w:p>
    <w:p w14:paraId="4CBEEF97" w14:textId="77777777" w:rsidR="000A79A4" w:rsidRPr="000A79A4" w:rsidRDefault="000A79A4" w:rsidP="000A79A4">
      <w:pPr>
        <w:numPr>
          <w:ilvl w:val="0"/>
          <w:numId w:val="35"/>
        </w:numPr>
        <w:spacing w:after="200" w:line="360" w:lineRule="auto"/>
        <w:jc w:val="both"/>
        <w:rPr>
          <w:rFonts w:ascii="Arial" w:hAnsi="Arial" w:cs="Arial"/>
          <w:sz w:val="22"/>
          <w:szCs w:val="22"/>
          <w:lang w:val="en-IN"/>
        </w:rPr>
      </w:pPr>
      <w:r w:rsidRPr="000A79A4">
        <w:rPr>
          <w:rFonts w:ascii="Arial" w:hAnsi="Arial" w:cs="Arial"/>
          <w:sz w:val="22"/>
          <w:szCs w:val="22"/>
          <w:lang w:val="en-IN"/>
        </w:rPr>
        <w:t>Patient unwilling or unable to undergo retreatment.</w:t>
      </w:r>
    </w:p>
    <w:p w14:paraId="53FA6406" w14:textId="77777777" w:rsidR="000A79A4" w:rsidRPr="000A79A4" w:rsidRDefault="000A79A4" w:rsidP="000A79A4">
      <w:pPr>
        <w:numPr>
          <w:ilvl w:val="0"/>
          <w:numId w:val="35"/>
        </w:numPr>
        <w:spacing w:after="200" w:line="360" w:lineRule="auto"/>
        <w:jc w:val="both"/>
        <w:rPr>
          <w:rFonts w:ascii="Arial" w:hAnsi="Arial" w:cs="Arial"/>
          <w:sz w:val="22"/>
          <w:szCs w:val="22"/>
          <w:lang w:val="en-IN"/>
        </w:rPr>
      </w:pPr>
      <w:r w:rsidRPr="000A79A4">
        <w:rPr>
          <w:rFonts w:ascii="Arial" w:hAnsi="Arial" w:cs="Arial"/>
          <w:sz w:val="22"/>
          <w:szCs w:val="22"/>
          <w:lang w:val="en-IN"/>
        </w:rPr>
        <w:t>Strategic teeth (e.g., abutment teeth) where preservation is critical.</w:t>
      </w:r>
    </w:p>
    <w:p w14:paraId="47DC10CC" w14:textId="77777777" w:rsidR="000A79A4" w:rsidRPr="000A79A4" w:rsidRDefault="000A79A4" w:rsidP="000A79A4">
      <w:pPr>
        <w:numPr>
          <w:ilvl w:val="0"/>
          <w:numId w:val="35"/>
        </w:numPr>
        <w:spacing w:after="200" w:line="360" w:lineRule="auto"/>
        <w:jc w:val="both"/>
        <w:rPr>
          <w:rFonts w:ascii="Arial" w:hAnsi="Arial" w:cs="Arial"/>
          <w:sz w:val="22"/>
          <w:szCs w:val="22"/>
          <w:lang w:val="en-IN"/>
        </w:rPr>
      </w:pPr>
      <w:r w:rsidRPr="000A79A4">
        <w:rPr>
          <w:rFonts w:ascii="Arial" w:hAnsi="Arial" w:cs="Arial"/>
          <w:sz w:val="22"/>
          <w:szCs w:val="22"/>
          <w:lang w:val="en-IN"/>
        </w:rPr>
        <w:lastRenderedPageBreak/>
        <w:t>Anatomic variation like complex canal configurations making retreatment impossible.</w:t>
      </w:r>
    </w:p>
    <w:p w14:paraId="607D3B0C" w14:textId="77777777" w:rsidR="000A79A4" w:rsidRPr="000A79A4" w:rsidRDefault="000A79A4" w:rsidP="000A79A4">
      <w:pPr>
        <w:spacing w:line="360" w:lineRule="auto"/>
        <w:jc w:val="both"/>
        <w:rPr>
          <w:rFonts w:ascii="Arial" w:hAnsi="Arial" w:cs="Arial"/>
          <w:sz w:val="22"/>
          <w:szCs w:val="22"/>
        </w:rPr>
      </w:pPr>
    </w:p>
    <w:p w14:paraId="3F4F2C80"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 xml:space="preserve">3.2 </w:t>
      </w:r>
      <w:r w:rsidRPr="000A79A4">
        <w:rPr>
          <w:rFonts w:ascii="Arial" w:hAnsi="Arial" w:cs="Arial"/>
          <w:b/>
          <w:sz w:val="22"/>
          <w:szCs w:val="22"/>
          <w:lang w:val="en-IN"/>
        </w:rPr>
        <w:t>Microsurgical Armamentarium</w:t>
      </w:r>
    </w:p>
    <w:p w14:paraId="5B6B0EFA"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Magnification and Illumination</w:t>
      </w:r>
    </w:p>
    <w:p w14:paraId="352A7CEA"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The integration of microscopic magnification and intense, shadow-free illumination has revolutionized endodontic surgery. These advancements make endodontic microsurgery a predictable, minimally invasive, and highly successful option for managing apical pathosis in challenging cases.</w:t>
      </w:r>
    </w:p>
    <w:p w14:paraId="3A06ECA8" w14:textId="77777777" w:rsidR="000A79A4" w:rsidRPr="000A79A4" w:rsidRDefault="000A79A4" w:rsidP="000A79A4">
      <w:pPr>
        <w:spacing w:line="360" w:lineRule="auto"/>
        <w:jc w:val="both"/>
        <w:rPr>
          <w:rFonts w:ascii="Arial" w:hAnsi="Arial" w:cs="Arial"/>
          <w:sz w:val="22"/>
          <w:szCs w:val="22"/>
          <w:lang w:val="en-IN"/>
        </w:rPr>
      </w:pPr>
    </w:p>
    <w:p w14:paraId="36B1C618" w14:textId="77777777" w:rsidR="000A79A4" w:rsidRPr="000A79A4" w:rsidRDefault="000A79A4" w:rsidP="000A79A4">
      <w:pPr>
        <w:spacing w:line="360" w:lineRule="auto"/>
        <w:jc w:val="both"/>
        <w:rPr>
          <w:rFonts w:ascii="Arial" w:hAnsi="Arial" w:cs="Arial"/>
          <w:sz w:val="22"/>
          <w:szCs w:val="22"/>
          <w:lang w:val="en-IN"/>
        </w:rPr>
      </w:pPr>
      <w:r w:rsidRPr="00F05A7C">
        <w:rPr>
          <w:rFonts w:ascii="Arial" w:hAnsi="Arial" w:cs="Arial"/>
          <w:b/>
          <w:i/>
          <w:sz w:val="22"/>
          <w:szCs w:val="22"/>
          <w:lang w:val="en-IN"/>
        </w:rPr>
        <w:t>1. Dental Operating Microscope (DOM)</w:t>
      </w:r>
    </w:p>
    <w:p w14:paraId="5D09511F" w14:textId="77777777" w:rsidR="000A79A4" w:rsidRPr="000A79A4" w:rsidRDefault="000A79A4" w:rsidP="000A79A4">
      <w:pPr>
        <w:numPr>
          <w:ilvl w:val="0"/>
          <w:numId w:val="36"/>
        </w:numPr>
        <w:spacing w:after="200" w:line="360" w:lineRule="auto"/>
        <w:jc w:val="both"/>
        <w:rPr>
          <w:rFonts w:ascii="Arial" w:hAnsi="Arial" w:cs="Arial"/>
          <w:sz w:val="22"/>
          <w:szCs w:val="22"/>
          <w:lang w:val="en-IN"/>
        </w:rPr>
      </w:pPr>
      <w:r w:rsidRPr="000A79A4">
        <w:rPr>
          <w:rFonts w:ascii="Arial" w:hAnsi="Arial" w:cs="Arial"/>
          <w:sz w:val="22"/>
          <w:szCs w:val="22"/>
          <w:lang w:val="en-IN"/>
        </w:rPr>
        <w:t>Gold standard in EMS.</w:t>
      </w:r>
    </w:p>
    <w:p w14:paraId="4979FA43" w14:textId="77777777" w:rsidR="000A79A4" w:rsidRPr="000A79A4" w:rsidRDefault="000A79A4" w:rsidP="000A79A4">
      <w:pPr>
        <w:numPr>
          <w:ilvl w:val="0"/>
          <w:numId w:val="36"/>
        </w:numPr>
        <w:spacing w:after="200" w:line="360" w:lineRule="auto"/>
        <w:jc w:val="both"/>
        <w:rPr>
          <w:rFonts w:ascii="Arial" w:hAnsi="Arial" w:cs="Arial"/>
          <w:sz w:val="22"/>
          <w:szCs w:val="22"/>
          <w:lang w:val="en-IN"/>
        </w:rPr>
      </w:pPr>
      <w:r w:rsidRPr="000A79A4">
        <w:rPr>
          <w:rFonts w:ascii="Arial" w:hAnsi="Arial" w:cs="Arial"/>
          <w:sz w:val="22"/>
          <w:szCs w:val="22"/>
          <w:lang w:val="en-IN"/>
        </w:rPr>
        <w:t>Offers 4× to 25× magnification with coaxial illumination.</w:t>
      </w:r>
    </w:p>
    <w:p w14:paraId="6782BAAC" w14:textId="77777777" w:rsidR="000A79A4" w:rsidRPr="000A79A4" w:rsidRDefault="000A79A4" w:rsidP="000A79A4">
      <w:pPr>
        <w:numPr>
          <w:ilvl w:val="0"/>
          <w:numId w:val="36"/>
        </w:numPr>
        <w:spacing w:after="200" w:line="360" w:lineRule="auto"/>
        <w:jc w:val="both"/>
        <w:rPr>
          <w:rFonts w:ascii="Arial" w:hAnsi="Arial" w:cs="Arial"/>
          <w:sz w:val="22"/>
          <w:szCs w:val="22"/>
          <w:lang w:val="en-IN"/>
        </w:rPr>
      </w:pPr>
      <w:r w:rsidRPr="000A79A4">
        <w:rPr>
          <w:rFonts w:ascii="Arial" w:hAnsi="Arial" w:cs="Arial"/>
          <w:sz w:val="22"/>
          <w:szCs w:val="22"/>
          <w:lang w:val="en-IN"/>
        </w:rPr>
        <w:t>Facilitates precise root-end resection, retrograde cavity prep, and accurate placement of filling material.</w:t>
      </w:r>
    </w:p>
    <w:p w14:paraId="1D404CA0" w14:textId="77777777" w:rsidR="000A79A4" w:rsidRDefault="000A79A4" w:rsidP="000A79A4">
      <w:pPr>
        <w:numPr>
          <w:ilvl w:val="0"/>
          <w:numId w:val="36"/>
        </w:numPr>
        <w:spacing w:after="200" w:line="360" w:lineRule="auto"/>
        <w:jc w:val="both"/>
        <w:rPr>
          <w:rFonts w:ascii="Arial" w:hAnsi="Arial" w:cs="Arial"/>
          <w:sz w:val="22"/>
          <w:szCs w:val="22"/>
          <w:lang w:val="en-IN"/>
        </w:rPr>
      </w:pPr>
      <w:r w:rsidRPr="000A79A4">
        <w:rPr>
          <w:rFonts w:ascii="Arial" w:hAnsi="Arial" w:cs="Arial"/>
          <w:sz w:val="22"/>
          <w:szCs w:val="22"/>
          <w:lang w:val="en-IN"/>
        </w:rPr>
        <w:t>Enables documentation via integrated camera systems.</w:t>
      </w:r>
    </w:p>
    <w:p w14:paraId="46C85E6E" w14:textId="77777777" w:rsidR="000A79A4" w:rsidRDefault="000A79A4" w:rsidP="000A79A4">
      <w:pPr>
        <w:spacing w:line="360" w:lineRule="auto"/>
        <w:ind w:left="720"/>
        <w:jc w:val="both"/>
        <w:rPr>
          <w:rFonts w:ascii="Arial" w:hAnsi="Arial" w:cs="Arial"/>
          <w:sz w:val="22"/>
          <w:szCs w:val="22"/>
          <w:lang w:val="en-IN"/>
        </w:rPr>
      </w:pPr>
      <w:r w:rsidRPr="000A79A4">
        <w:rPr>
          <w:rFonts w:ascii="Arial" w:hAnsi="Arial" w:cs="Arial"/>
          <w:noProof/>
          <w:sz w:val="22"/>
          <w:szCs w:val="22"/>
        </w:rPr>
        <w:drawing>
          <wp:inline distT="0" distB="0" distL="0" distR="0" wp14:anchorId="129534A0" wp14:editId="01108E3C">
            <wp:extent cx="1386840" cy="1587663"/>
            <wp:effectExtent l="0" t="0" r="3810" b="0"/>
            <wp:docPr id="1" name="Picture 1" descr="How to Choose a Dental Microscope Manufacturer &amp; Supp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Choose a Dental Microscope Manufacturer &amp; Suppli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7278" cy="1588164"/>
                    </a:xfrm>
                    <a:prstGeom prst="rect">
                      <a:avLst/>
                    </a:prstGeom>
                    <a:noFill/>
                    <a:ln>
                      <a:noFill/>
                    </a:ln>
                  </pic:spPr>
                </pic:pic>
              </a:graphicData>
            </a:graphic>
          </wp:inline>
        </w:drawing>
      </w:r>
    </w:p>
    <w:p w14:paraId="0FDB86AB" w14:textId="1A7E3DF3" w:rsidR="004F4960" w:rsidRDefault="004F4960" w:rsidP="000A79A4">
      <w:pPr>
        <w:spacing w:line="360" w:lineRule="auto"/>
        <w:ind w:left="720"/>
        <w:jc w:val="both"/>
        <w:rPr>
          <w:rFonts w:ascii="Arial" w:hAnsi="Arial" w:cs="Arial"/>
          <w:sz w:val="22"/>
          <w:szCs w:val="22"/>
          <w:lang w:val="en-IN"/>
        </w:rPr>
      </w:pPr>
      <w:r w:rsidRPr="004F4960">
        <w:rPr>
          <w:rFonts w:ascii="Arial" w:hAnsi="Arial" w:cs="Arial"/>
          <w:sz w:val="22"/>
          <w:szCs w:val="22"/>
          <w:lang w:val="en-IN"/>
        </w:rPr>
        <w:t xml:space="preserve">FIG 1.  </w:t>
      </w:r>
      <w:r>
        <w:rPr>
          <w:rFonts w:ascii="Arial" w:hAnsi="Arial" w:cs="Arial"/>
          <w:sz w:val="22"/>
          <w:szCs w:val="22"/>
          <w:lang w:val="en-IN"/>
        </w:rPr>
        <w:t xml:space="preserve">  </w:t>
      </w:r>
      <w:r w:rsidRPr="004F4960">
        <w:rPr>
          <w:rFonts w:ascii="Arial" w:hAnsi="Arial" w:cs="Arial"/>
          <w:sz w:val="22"/>
          <w:szCs w:val="22"/>
          <w:lang w:val="en-IN"/>
        </w:rPr>
        <w:t xml:space="preserve"> </w:t>
      </w:r>
      <w:r w:rsidR="00AF5B14" w:rsidRPr="00AF5B14">
        <w:rPr>
          <w:rFonts w:ascii="Arial" w:hAnsi="Arial" w:cs="Arial"/>
          <w:sz w:val="22"/>
          <w:szCs w:val="22"/>
          <w:lang w:val="en-IN"/>
        </w:rPr>
        <w:t xml:space="preserve">Dental Operating Microscope </w:t>
      </w:r>
    </w:p>
    <w:p w14:paraId="73CA0664" w14:textId="77777777" w:rsidR="004F4960" w:rsidRPr="000A79A4" w:rsidRDefault="004F4960" w:rsidP="000A79A4">
      <w:pPr>
        <w:spacing w:line="360" w:lineRule="auto"/>
        <w:ind w:left="720"/>
        <w:jc w:val="both"/>
        <w:rPr>
          <w:rFonts w:ascii="Arial" w:hAnsi="Arial" w:cs="Arial"/>
          <w:sz w:val="22"/>
          <w:szCs w:val="22"/>
          <w:lang w:val="en-IN"/>
        </w:rPr>
      </w:pPr>
    </w:p>
    <w:p w14:paraId="286413FB"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2. Surgical Loupes</w:t>
      </w:r>
    </w:p>
    <w:p w14:paraId="225F3C28" w14:textId="77777777" w:rsidR="000A79A4" w:rsidRPr="000A79A4" w:rsidRDefault="000A79A4" w:rsidP="000A79A4">
      <w:pPr>
        <w:numPr>
          <w:ilvl w:val="0"/>
          <w:numId w:val="37"/>
        </w:numPr>
        <w:spacing w:after="200" w:line="360" w:lineRule="auto"/>
        <w:jc w:val="both"/>
        <w:rPr>
          <w:rFonts w:ascii="Arial" w:hAnsi="Arial" w:cs="Arial"/>
          <w:sz w:val="22"/>
          <w:szCs w:val="22"/>
          <w:lang w:val="en-IN"/>
        </w:rPr>
      </w:pPr>
      <w:r w:rsidRPr="000A79A4">
        <w:rPr>
          <w:rFonts w:ascii="Arial" w:hAnsi="Arial" w:cs="Arial"/>
          <w:sz w:val="22"/>
          <w:szCs w:val="22"/>
          <w:lang w:val="en-IN"/>
        </w:rPr>
        <w:t>2.5× to 5× magnification.</w:t>
      </w:r>
    </w:p>
    <w:p w14:paraId="3A93984F" w14:textId="77777777" w:rsidR="000A79A4" w:rsidRPr="000A79A4" w:rsidRDefault="000A79A4" w:rsidP="000A79A4">
      <w:pPr>
        <w:numPr>
          <w:ilvl w:val="0"/>
          <w:numId w:val="37"/>
        </w:numPr>
        <w:spacing w:after="200" w:line="360" w:lineRule="auto"/>
        <w:jc w:val="both"/>
        <w:rPr>
          <w:rFonts w:ascii="Arial" w:hAnsi="Arial" w:cs="Arial"/>
          <w:sz w:val="22"/>
          <w:szCs w:val="22"/>
          <w:lang w:val="en-IN"/>
        </w:rPr>
      </w:pPr>
      <w:r w:rsidRPr="000A79A4">
        <w:rPr>
          <w:rFonts w:ascii="Arial" w:hAnsi="Arial" w:cs="Arial"/>
          <w:sz w:val="22"/>
          <w:szCs w:val="22"/>
          <w:lang w:val="en-IN"/>
        </w:rPr>
        <w:t>Portable and commonly used in minor procedures.</w:t>
      </w:r>
    </w:p>
    <w:p w14:paraId="4B46D701" w14:textId="77777777" w:rsidR="000A79A4" w:rsidRPr="000A79A4" w:rsidRDefault="000A79A4" w:rsidP="000A79A4">
      <w:pPr>
        <w:numPr>
          <w:ilvl w:val="0"/>
          <w:numId w:val="37"/>
        </w:numPr>
        <w:spacing w:after="200" w:line="360" w:lineRule="auto"/>
        <w:jc w:val="both"/>
        <w:rPr>
          <w:rFonts w:ascii="Arial" w:hAnsi="Arial" w:cs="Arial"/>
          <w:sz w:val="22"/>
          <w:szCs w:val="22"/>
          <w:lang w:val="en-IN"/>
        </w:rPr>
      </w:pPr>
      <w:r w:rsidRPr="000A79A4">
        <w:rPr>
          <w:rFonts w:ascii="Arial" w:hAnsi="Arial" w:cs="Arial"/>
          <w:sz w:val="22"/>
          <w:szCs w:val="22"/>
          <w:lang w:val="en-IN"/>
        </w:rPr>
        <w:t>Limited by lack of co-axial lighting and depth perception compared to DOM.</w:t>
      </w:r>
    </w:p>
    <w:p w14:paraId="77B32610" w14:textId="77777777" w:rsidR="000A79A4" w:rsidRDefault="000A79A4" w:rsidP="000A79A4">
      <w:pPr>
        <w:spacing w:line="360" w:lineRule="auto"/>
        <w:ind w:left="720"/>
        <w:jc w:val="both"/>
        <w:rPr>
          <w:rFonts w:ascii="Arial" w:hAnsi="Arial" w:cs="Arial"/>
          <w:sz w:val="22"/>
          <w:szCs w:val="22"/>
          <w:lang w:val="en-IN"/>
        </w:rPr>
      </w:pPr>
      <w:r w:rsidRPr="000A79A4">
        <w:rPr>
          <w:rFonts w:ascii="Arial" w:hAnsi="Arial" w:cs="Arial"/>
          <w:noProof/>
          <w:sz w:val="22"/>
          <w:szCs w:val="22"/>
        </w:rPr>
        <w:lastRenderedPageBreak/>
        <w:drawing>
          <wp:inline distT="0" distB="0" distL="0" distR="0" wp14:anchorId="732D386F" wp14:editId="3AAEFD90">
            <wp:extent cx="2285999" cy="1280160"/>
            <wp:effectExtent l="0" t="0" r="635" b="0"/>
            <wp:docPr id="2" name="Picture 2" descr="https://5.imimg.com/data5/ANDROID/Default/2020/10/TD/WX/ZD/27260210/product-jpeg-1000x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5.imimg.com/data5/ANDROID/Default/2020/10/TD/WX/ZD/27260210/product-jpeg-1000x100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00943" cy="1288529"/>
                    </a:xfrm>
                    <a:prstGeom prst="rect">
                      <a:avLst/>
                    </a:prstGeom>
                    <a:noFill/>
                    <a:ln>
                      <a:noFill/>
                    </a:ln>
                  </pic:spPr>
                </pic:pic>
              </a:graphicData>
            </a:graphic>
          </wp:inline>
        </w:drawing>
      </w:r>
    </w:p>
    <w:p w14:paraId="2EC838D0" w14:textId="361C1E2E" w:rsidR="009B17BF" w:rsidRPr="000A79A4" w:rsidRDefault="009B17BF" w:rsidP="000A79A4">
      <w:pPr>
        <w:spacing w:line="360" w:lineRule="auto"/>
        <w:ind w:left="720"/>
        <w:jc w:val="both"/>
        <w:rPr>
          <w:rFonts w:ascii="Arial" w:hAnsi="Arial" w:cs="Arial"/>
          <w:sz w:val="22"/>
          <w:szCs w:val="22"/>
          <w:lang w:val="en-IN"/>
        </w:rPr>
      </w:pPr>
      <w:r>
        <w:rPr>
          <w:rFonts w:ascii="Arial" w:hAnsi="Arial" w:cs="Arial"/>
          <w:sz w:val="22"/>
          <w:szCs w:val="22"/>
          <w:lang w:val="en-IN"/>
        </w:rPr>
        <w:t xml:space="preserve">FIG 2. </w:t>
      </w:r>
      <w:r w:rsidR="00AF5B14" w:rsidRPr="00AF5B14">
        <w:rPr>
          <w:rFonts w:ascii="Arial" w:hAnsi="Arial" w:cs="Arial"/>
          <w:sz w:val="22"/>
          <w:szCs w:val="22"/>
          <w:lang w:val="en-IN"/>
        </w:rPr>
        <w:t>Surgical Loupes</w:t>
      </w:r>
    </w:p>
    <w:p w14:paraId="523846EC" w14:textId="77777777" w:rsidR="000A79A4" w:rsidRPr="000A79A4" w:rsidRDefault="000A79A4" w:rsidP="000A79A4">
      <w:pPr>
        <w:spacing w:line="360" w:lineRule="auto"/>
        <w:ind w:left="720"/>
        <w:jc w:val="both"/>
        <w:rPr>
          <w:rFonts w:ascii="Arial" w:hAnsi="Arial" w:cs="Arial"/>
          <w:sz w:val="22"/>
          <w:szCs w:val="22"/>
          <w:lang w:val="en-IN"/>
        </w:rPr>
      </w:pPr>
    </w:p>
    <w:p w14:paraId="5405B0E3"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3. Endoscopes</w:t>
      </w:r>
    </w:p>
    <w:p w14:paraId="795FD68B" w14:textId="77777777" w:rsidR="000A79A4" w:rsidRPr="000A79A4" w:rsidRDefault="000A79A4" w:rsidP="000A79A4">
      <w:pPr>
        <w:numPr>
          <w:ilvl w:val="0"/>
          <w:numId w:val="38"/>
        </w:numPr>
        <w:spacing w:after="200" w:line="360" w:lineRule="auto"/>
        <w:jc w:val="both"/>
        <w:rPr>
          <w:rFonts w:ascii="Arial" w:hAnsi="Arial" w:cs="Arial"/>
          <w:sz w:val="22"/>
          <w:szCs w:val="22"/>
          <w:lang w:val="en-IN"/>
        </w:rPr>
      </w:pPr>
      <w:r w:rsidRPr="000A79A4">
        <w:rPr>
          <w:rFonts w:ascii="Arial" w:hAnsi="Arial" w:cs="Arial"/>
          <w:sz w:val="22"/>
          <w:szCs w:val="22"/>
          <w:lang w:val="en-IN"/>
        </w:rPr>
        <w:t>Used in restricted access areas or complex anatomical zones.</w:t>
      </w:r>
    </w:p>
    <w:p w14:paraId="6CB689C8" w14:textId="77777777" w:rsidR="000A79A4" w:rsidRPr="000A79A4" w:rsidRDefault="000A79A4" w:rsidP="000A79A4">
      <w:pPr>
        <w:numPr>
          <w:ilvl w:val="0"/>
          <w:numId w:val="38"/>
        </w:numPr>
        <w:spacing w:after="200" w:line="360" w:lineRule="auto"/>
        <w:jc w:val="both"/>
        <w:rPr>
          <w:rFonts w:ascii="Arial" w:hAnsi="Arial" w:cs="Arial"/>
          <w:sz w:val="22"/>
          <w:szCs w:val="22"/>
          <w:lang w:val="en-IN"/>
        </w:rPr>
      </w:pPr>
      <w:r w:rsidRPr="000A79A4">
        <w:rPr>
          <w:rFonts w:ascii="Arial" w:hAnsi="Arial" w:cs="Arial"/>
          <w:sz w:val="22"/>
          <w:szCs w:val="22"/>
          <w:lang w:val="en-IN"/>
        </w:rPr>
        <w:t>Provide angled viewing; however, not as widely adopted due to learning curve.</w:t>
      </w:r>
    </w:p>
    <w:p w14:paraId="31D09E17"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Illumination Tools</w:t>
      </w:r>
    </w:p>
    <w:p w14:paraId="2B4DA981"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1. Co-axial Illumination in DOM</w:t>
      </w:r>
    </w:p>
    <w:p w14:paraId="5D6C88D6" w14:textId="77777777" w:rsidR="000A79A4" w:rsidRPr="000A79A4" w:rsidRDefault="000A79A4" w:rsidP="000A79A4">
      <w:pPr>
        <w:numPr>
          <w:ilvl w:val="0"/>
          <w:numId w:val="39"/>
        </w:numPr>
        <w:spacing w:after="200" w:line="360" w:lineRule="auto"/>
        <w:jc w:val="both"/>
        <w:rPr>
          <w:rFonts w:ascii="Arial" w:hAnsi="Arial" w:cs="Arial"/>
          <w:sz w:val="22"/>
          <w:szCs w:val="22"/>
          <w:lang w:val="en-IN"/>
        </w:rPr>
      </w:pPr>
      <w:r w:rsidRPr="000A79A4">
        <w:rPr>
          <w:rFonts w:ascii="Arial" w:hAnsi="Arial" w:cs="Arial"/>
          <w:sz w:val="22"/>
          <w:szCs w:val="22"/>
          <w:lang w:val="en-IN"/>
        </w:rPr>
        <w:t>Light travels parallel to the line of sight—eliminates shadows.</w:t>
      </w:r>
    </w:p>
    <w:p w14:paraId="27CA64D1" w14:textId="77777777" w:rsidR="000A79A4" w:rsidRPr="000A79A4" w:rsidRDefault="000A79A4" w:rsidP="000A79A4">
      <w:pPr>
        <w:numPr>
          <w:ilvl w:val="0"/>
          <w:numId w:val="39"/>
        </w:numPr>
        <w:spacing w:after="200" w:line="360" w:lineRule="auto"/>
        <w:jc w:val="both"/>
        <w:rPr>
          <w:rFonts w:ascii="Arial" w:hAnsi="Arial" w:cs="Arial"/>
          <w:sz w:val="22"/>
          <w:szCs w:val="22"/>
          <w:lang w:val="en-IN"/>
        </w:rPr>
      </w:pPr>
      <w:r w:rsidRPr="000A79A4">
        <w:rPr>
          <w:rFonts w:ascii="Arial" w:hAnsi="Arial" w:cs="Arial"/>
          <w:sz w:val="22"/>
          <w:szCs w:val="22"/>
          <w:lang w:val="en-IN"/>
        </w:rPr>
        <w:t>Provides excellent visualization even in deep or narrow surgical sites.</w:t>
      </w:r>
    </w:p>
    <w:p w14:paraId="1A8A6F0F"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2. Fiber Optic Illumination</w:t>
      </w:r>
    </w:p>
    <w:p w14:paraId="4BD350B7" w14:textId="77777777" w:rsidR="000A79A4" w:rsidRPr="000A79A4" w:rsidRDefault="000A79A4" w:rsidP="000A79A4">
      <w:pPr>
        <w:numPr>
          <w:ilvl w:val="0"/>
          <w:numId w:val="40"/>
        </w:numPr>
        <w:spacing w:after="200" w:line="360" w:lineRule="auto"/>
        <w:jc w:val="both"/>
        <w:rPr>
          <w:rFonts w:ascii="Arial" w:hAnsi="Arial" w:cs="Arial"/>
          <w:sz w:val="22"/>
          <w:szCs w:val="22"/>
          <w:lang w:val="en-IN"/>
        </w:rPr>
      </w:pPr>
      <w:r w:rsidRPr="000A79A4">
        <w:rPr>
          <w:rFonts w:ascii="Arial" w:hAnsi="Arial" w:cs="Arial"/>
          <w:sz w:val="22"/>
          <w:szCs w:val="22"/>
          <w:lang w:val="en-IN"/>
        </w:rPr>
        <w:t>Built into microsurgical handpieces or headlamps.</w:t>
      </w:r>
    </w:p>
    <w:p w14:paraId="04CC5427" w14:textId="77777777" w:rsidR="000A79A4" w:rsidRPr="000A79A4" w:rsidRDefault="000A79A4" w:rsidP="000A79A4">
      <w:pPr>
        <w:numPr>
          <w:ilvl w:val="0"/>
          <w:numId w:val="40"/>
        </w:numPr>
        <w:spacing w:after="200" w:line="360" w:lineRule="auto"/>
        <w:jc w:val="both"/>
        <w:rPr>
          <w:rFonts w:ascii="Arial" w:hAnsi="Arial" w:cs="Arial"/>
          <w:sz w:val="22"/>
          <w:szCs w:val="22"/>
          <w:lang w:val="en-IN"/>
        </w:rPr>
      </w:pPr>
      <w:r w:rsidRPr="000A79A4">
        <w:rPr>
          <w:rFonts w:ascii="Arial" w:hAnsi="Arial" w:cs="Arial"/>
          <w:sz w:val="22"/>
          <w:szCs w:val="22"/>
          <w:lang w:val="en-IN"/>
        </w:rPr>
        <w:t>Enhances tissue contrast and reduces eye strain.</w:t>
      </w:r>
    </w:p>
    <w:p w14:paraId="2DC4FD36"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3. LED Headlamps (for use with loupes)</w:t>
      </w:r>
    </w:p>
    <w:p w14:paraId="7932DE6D" w14:textId="77777777" w:rsidR="000A79A4" w:rsidRPr="000A79A4" w:rsidRDefault="000A79A4" w:rsidP="000A79A4">
      <w:pPr>
        <w:numPr>
          <w:ilvl w:val="0"/>
          <w:numId w:val="41"/>
        </w:numPr>
        <w:spacing w:after="200" w:line="360" w:lineRule="auto"/>
        <w:jc w:val="both"/>
        <w:rPr>
          <w:rFonts w:ascii="Arial" w:hAnsi="Arial" w:cs="Arial"/>
          <w:sz w:val="22"/>
          <w:szCs w:val="22"/>
          <w:lang w:val="en-IN"/>
        </w:rPr>
      </w:pPr>
      <w:r w:rsidRPr="000A79A4">
        <w:rPr>
          <w:rFonts w:ascii="Arial" w:hAnsi="Arial" w:cs="Arial"/>
          <w:sz w:val="22"/>
          <w:szCs w:val="22"/>
          <w:lang w:val="en-IN"/>
        </w:rPr>
        <w:t>Light mounted on the operator’s head.</w:t>
      </w:r>
    </w:p>
    <w:p w14:paraId="2F8BE553" w14:textId="77777777" w:rsidR="000A79A4" w:rsidRPr="000A79A4" w:rsidRDefault="000A79A4" w:rsidP="000A79A4">
      <w:pPr>
        <w:numPr>
          <w:ilvl w:val="0"/>
          <w:numId w:val="41"/>
        </w:numPr>
        <w:spacing w:after="200" w:line="360" w:lineRule="auto"/>
        <w:jc w:val="both"/>
        <w:rPr>
          <w:rFonts w:ascii="Arial" w:hAnsi="Arial" w:cs="Arial"/>
          <w:sz w:val="22"/>
          <w:szCs w:val="22"/>
          <w:lang w:val="en-IN"/>
        </w:rPr>
      </w:pPr>
      <w:r w:rsidRPr="000A79A4">
        <w:rPr>
          <w:rFonts w:ascii="Arial" w:hAnsi="Arial" w:cs="Arial"/>
          <w:sz w:val="22"/>
          <w:szCs w:val="22"/>
          <w:lang w:val="en-IN"/>
        </w:rPr>
        <w:t>Not coaxial; may create shadows in deep surgical fields.</w:t>
      </w:r>
    </w:p>
    <w:p w14:paraId="24E96005" w14:textId="77777777" w:rsidR="000A79A4" w:rsidRPr="000A79A4" w:rsidRDefault="000A79A4" w:rsidP="000A79A4">
      <w:pPr>
        <w:spacing w:line="360" w:lineRule="auto"/>
        <w:jc w:val="both"/>
        <w:rPr>
          <w:rFonts w:ascii="Arial" w:hAnsi="Arial" w:cs="Arial"/>
          <w:sz w:val="22"/>
          <w:szCs w:val="22"/>
          <w:lang w:val="en-IN"/>
        </w:rPr>
      </w:pPr>
    </w:p>
    <w:p w14:paraId="28156281" w14:textId="77777777" w:rsidR="000A79A4" w:rsidRPr="000A79A4" w:rsidRDefault="000A79A4" w:rsidP="000A79A4">
      <w:pPr>
        <w:spacing w:line="360" w:lineRule="auto"/>
        <w:jc w:val="both"/>
        <w:rPr>
          <w:rFonts w:ascii="Arial" w:hAnsi="Arial" w:cs="Arial"/>
          <w:sz w:val="22"/>
          <w:szCs w:val="22"/>
          <w:lang w:val="en-IN"/>
        </w:rPr>
      </w:pPr>
    </w:p>
    <w:p w14:paraId="5770BBAA"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 xml:space="preserve">3.3 Irrigation and </w:t>
      </w:r>
      <w:proofErr w:type="spellStart"/>
      <w:r w:rsidRPr="000A79A4">
        <w:rPr>
          <w:rFonts w:ascii="Arial" w:hAnsi="Arial" w:cs="Arial"/>
          <w:sz w:val="22"/>
          <w:szCs w:val="22"/>
          <w:lang w:val="en-IN"/>
        </w:rPr>
        <w:t>Hemostasis</w:t>
      </w:r>
      <w:proofErr w:type="spellEnd"/>
    </w:p>
    <w:p w14:paraId="1ADC4991" w14:textId="77777777" w:rsidR="000A79A4" w:rsidRPr="000A79A4" w:rsidRDefault="000A79A4" w:rsidP="000A79A4">
      <w:pPr>
        <w:numPr>
          <w:ilvl w:val="0"/>
          <w:numId w:val="31"/>
        </w:numPr>
        <w:spacing w:after="200" w:line="360" w:lineRule="auto"/>
        <w:jc w:val="both"/>
        <w:rPr>
          <w:rFonts w:ascii="Arial" w:hAnsi="Arial" w:cs="Arial"/>
          <w:sz w:val="22"/>
          <w:szCs w:val="22"/>
          <w:lang w:val="en-IN"/>
        </w:rPr>
      </w:pPr>
      <w:r w:rsidRPr="000A79A4">
        <w:rPr>
          <w:rFonts w:ascii="Arial" w:hAnsi="Arial" w:cs="Arial"/>
          <w:sz w:val="22"/>
          <w:szCs w:val="22"/>
          <w:lang w:val="en-IN"/>
        </w:rPr>
        <w:t xml:space="preserve">Use of </w:t>
      </w:r>
      <w:proofErr w:type="spellStart"/>
      <w:r w:rsidRPr="000A79A4">
        <w:rPr>
          <w:rFonts w:ascii="Arial" w:hAnsi="Arial" w:cs="Arial"/>
          <w:sz w:val="22"/>
          <w:szCs w:val="22"/>
          <w:lang w:val="en-IN"/>
        </w:rPr>
        <w:t>hemostatic</w:t>
      </w:r>
      <w:proofErr w:type="spellEnd"/>
      <w:r w:rsidRPr="000A79A4">
        <w:rPr>
          <w:rFonts w:ascii="Arial" w:hAnsi="Arial" w:cs="Arial"/>
          <w:sz w:val="22"/>
          <w:szCs w:val="22"/>
          <w:lang w:val="en-IN"/>
        </w:rPr>
        <w:t xml:space="preserve"> agents such as epinephrine pellets, ferric </w:t>
      </w:r>
      <w:proofErr w:type="spellStart"/>
      <w:r w:rsidRPr="000A79A4">
        <w:rPr>
          <w:rFonts w:ascii="Arial" w:hAnsi="Arial" w:cs="Arial"/>
          <w:sz w:val="22"/>
          <w:szCs w:val="22"/>
          <w:lang w:val="en-IN"/>
        </w:rPr>
        <w:t>sulfate</w:t>
      </w:r>
      <w:proofErr w:type="spellEnd"/>
      <w:r w:rsidRPr="000A79A4">
        <w:rPr>
          <w:rFonts w:ascii="Arial" w:hAnsi="Arial" w:cs="Arial"/>
          <w:sz w:val="22"/>
          <w:szCs w:val="22"/>
          <w:lang w:val="en-IN"/>
        </w:rPr>
        <w:t xml:space="preserve">, or calcium </w:t>
      </w:r>
      <w:proofErr w:type="spellStart"/>
      <w:r w:rsidRPr="000A79A4">
        <w:rPr>
          <w:rFonts w:ascii="Arial" w:hAnsi="Arial" w:cs="Arial"/>
          <w:sz w:val="22"/>
          <w:szCs w:val="22"/>
          <w:lang w:val="en-IN"/>
        </w:rPr>
        <w:t>sulfate</w:t>
      </w:r>
      <w:proofErr w:type="spellEnd"/>
      <w:r w:rsidRPr="000A79A4">
        <w:rPr>
          <w:rFonts w:ascii="Arial" w:hAnsi="Arial" w:cs="Arial"/>
          <w:sz w:val="22"/>
          <w:szCs w:val="22"/>
          <w:lang w:val="en-IN"/>
        </w:rPr>
        <w:t xml:space="preserve"> barriers.</w:t>
      </w:r>
    </w:p>
    <w:p w14:paraId="0FFF0D3B" w14:textId="77777777" w:rsidR="000A79A4" w:rsidRPr="000A79A4" w:rsidRDefault="000A79A4" w:rsidP="000A79A4">
      <w:pPr>
        <w:numPr>
          <w:ilvl w:val="0"/>
          <w:numId w:val="31"/>
        </w:numPr>
        <w:spacing w:after="200" w:line="360" w:lineRule="auto"/>
        <w:jc w:val="both"/>
        <w:rPr>
          <w:rFonts w:ascii="Arial" w:hAnsi="Arial" w:cs="Arial"/>
          <w:sz w:val="22"/>
          <w:szCs w:val="22"/>
          <w:lang w:val="en-IN"/>
        </w:rPr>
      </w:pPr>
      <w:r w:rsidRPr="000A79A4">
        <w:rPr>
          <w:rFonts w:ascii="Arial" w:hAnsi="Arial" w:cs="Arial"/>
          <w:sz w:val="22"/>
          <w:szCs w:val="22"/>
          <w:lang w:val="en-IN"/>
        </w:rPr>
        <w:t xml:space="preserve">Ultrasonic activation of </w:t>
      </w:r>
      <w:proofErr w:type="spellStart"/>
      <w:r w:rsidRPr="000A79A4">
        <w:rPr>
          <w:rFonts w:ascii="Arial" w:hAnsi="Arial" w:cs="Arial"/>
          <w:sz w:val="22"/>
          <w:szCs w:val="22"/>
          <w:lang w:val="en-IN"/>
        </w:rPr>
        <w:t>irrigants</w:t>
      </w:r>
      <w:proofErr w:type="spellEnd"/>
      <w:r w:rsidRPr="000A79A4">
        <w:rPr>
          <w:rFonts w:ascii="Arial" w:hAnsi="Arial" w:cs="Arial"/>
          <w:sz w:val="22"/>
          <w:szCs w:val="22"/>
          <w:lang w:val="en-IN"/>
        </w:rPr>
        <w:t xml:space="preserve"> to disinfect the surgical crypt.</w:t>
      </w:r>
    </w:p>
    <w:p w14:paraId="46AB43D6" w14:textId="77777777" w:rsidR="000A79A4" w:rsidRPr="000A79A4" w:rsidRDefault="000A79A4" w:rsidP="000A79A4">
      <w:pPr>
        <w:spacing w:line="360" w:lineRule="auto"/>
        <w:jc w:val="both"/>
        <w:rPr>
          <w:rFonts w:ascii="Arial" w:hAnsi="Arial" w:cs="Arial"/>
          <w:sz w:val="22"/>
          <w:szCs w:val="22"/>
          <w:lang w:val="en-IN"/>
        </w:rPr>
      </w:pPr>
    </w:p>
    <w:p w14:paraId="33563372" w14:textId="77777777" w:rsidR="000A79A4" w:rsidRPr="00F05A7C" w:rsidRDefault="000A79A4" w:rsidP="000A79A4">
      <w:pPr>
        <w:spacing w:line="360" w:lineRule="auto"/>
        <w:jc w:val="both"/>
        <w:rPr>
          <w:rFonts w:ascii="Arial" w:hAnsi="Arial" w:cs="Arial"/>
          <w:b/>
          <w:i/>
          <w:sz w:val="22"/>
          <w:szCs w:val="22"/>
          <w:lang w:val="en-IN"/>
        </w:rPr>
      </w:pPr>
      <w:r w:rsidRPr="00F05A7C">
        <w:rPr>
          <w:rFonts w:ascii="Arial" w:hAnsi="Arial" w:cs="Arial"/>
          <w:b/>
          <w:i/>
          <w:sz w:val="22"/>
          <w:szCs w:val="22"/>
          <w:lang w:val="en-IN"/>
        </w:rPr>
        <w:t>4. Root-End Resection and Retrograde Filling</w:t>
      </w:r>
    </w:p>
    <w:p w14:paraId="0D0079EE" w14:textId="77777777" w:rsidR="00790FAF" w:rsidRPr="000A79A4" w:rsidRDefault="00790FAF" w:rsidP="000A79A4">
      <w:pPr>
        <w:spacing w:line="360" w:lineRule="auto"/>
        <w:jc w:val="both"/>
        <w:rPr>
          <w:rFonts w:ascii="Arial" w:hAnsi="Arial" w:cs="Arial"/>
          <w:sz w:val="22"/>
          <w:szCs w:val="22"/>
          <w:lang w:val="en-IN"/>
        </w:rPr>
      </w:pPr>
    </w:p>
    <w:p w14:paraId="665246F2"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1. Root-End Resection</w:t>
      </w:r>
    </w:p>
    <w:p w14:paraId="7D78A78C"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 xml:space="preserve"> Recent Considerations:</w:t>
      </w:r>
    </w:p>
    <w:p w14:paraId="18C0ACCF" w14:textId="77777777" w:rsidR="000A79A4" w:rsidRPr="000A79A4" w:rsidRDefault="000A79A4" w:rsidP="000A79A4">
      <w:pPr>
        <w:numPr>
          <w:ilvl w:val="0"/>
          <w:numId w:val="42"/>
        </w:numPr>
        <w:spacing w:after="200" w:line="360" w:lineRule="auto"/>
        <w:jc w:val="both"/>
        <w:rPr>
          <w:rFonts w:ascii="Arial" w:hAnsi="Arial" w:cs="Arial"/>
          <w:sz w:val="22"/>
          <w:szCs w:val="22"/>
          <w:lang w:val="en-IN"/>
        </w:rPr>
      </w:pPr>
      <w:r w:rsidRPr="000A79A4">
        <w:rPr>
          <w:rFonts w:ascii="Arial" w:hAnsi="Arial" w:cs="Arial"/>
          <w:sz w:val="22"/>
          <w:szCs w:val="22"/>
          <w:lang w:val="en-IN"/>
        </w:rPr>
        <w:t>Length of Resection:</w:t>
      </w:r>
    </w:p>
    <w:p w14:paraId="32B239EC" w14:textId="77777777" w:rsidR="000A79A4" w:rsidRPr="000A79A4" w:rsidRDefault="000A79A4" w:rsidP="000A79A4">
      <w:pPr>
        <w:numPr>
          <w:ilvl w:val="1"/>
          <w:numId w:val="42"/>
        </w:numPr>
        <w:spacing w:after="200" w:line="360" w:lineRule="auto"/>
        <w:jc w:val="both"/>
        <w:rPr>
          <w:rFonts w:ascii="Arial" w:hAnsi="Arial" w:cs="Arial"/>
          <w:sz w:val="22"/>
          <w:szCs w:val="22"/>
          <w:lang w:val="en-IN"/>
        </w:rPr>
      </w:pPr>
      <w:r w:rsidRPr="000A79A4">
        <w:rPr>
          <w:rFonts w:ascii="Arial" w:hAnsi="Arial" w:cs="Arial"/>
          <w:sz w:val="22"/>
          <w:szCs w:val="22"/>
          <w:lang w:val="en-IN"/>
        </w:rPr>
        <w:t>3 mm apical resection is still the gold standard.</w:t>
      </w:r>
    </w:p>
    <w:p w14:paraId="7A64D977" w14:textId="77777777" w:rsidR="000A79A4" w:rsidRPr="000A79A4" w:rsidRDefault="000A79A4" w:rsidP="000A79A4">
      <w:pPr>
        <w:numPr>
          <w:ilvl w:val="1"/>
          <w:numId w:val="42"/>
        </w:numPr>
        <w:spacing w:after="200" w:line="360" w:lineRule="auto"/>
        <w:jc w:val="both"/>
        <w:rPr>
          <w:rFonts w:ascii="Arial" w:hAnsi="Arial" w:cs="Arial"/>
          <w:sz w:val="22"/>
          <w:szCs w:val="22"/>
          <w:lang w:val="en-IN"/>
        </w:rPr>
      </w:pPr>
      <w:r w:rsidRPr="000A79A4">
        <w:rPr>
          <w:rFonts w:ascii="Arial" w:hAnsi="Arial" w:cs="Arial"/>
          <w:sz w:val="22"/>
          <w:szCs w:val="22"/>
          <w:lang w:val="en-IN"/>
        </w:rPr>
        <w:t xml:space="preserve">Removes ~98% of lateral canals and apical ramifications (Kim &amp; </w:t>
      </w:r>
      <w:proofErr w:type="spellStart"/>
      <w:r w:rsidRPr="000A79A4">
        <w:rPr>
          <w:rFonts w:ascii="Arial" w:hAnsi="Arial" w:cs="Arial"/>
          <w:sz w:val="22"/>
          <w:szCs w:val="22"/>
          <w:lang w:val="en-IN"/>
        </w:rPr>
        <w:t>Kratchman</w:t>
      </w:r>
      <w:proofErr w:type="spellEnd"/>
      <w:r w:rsidRPr="000A79A4">
        <w:rPr>
          <w:rFonts w:ascii="Arial" w:hAnsi="Arial" w:cs="Arial"/>
          <w:sz w:val="22"/>
          <w:szCs w:val="22"/>
          <w:lang w:val="en-IN"/>
        </w:rPr>
        <w:t xml:space="preserve">, </w:t>
      </w:r>
      <w:r w:rsidRPr="000A79A4">
        <w:rPr>
          <w:rFonts w:ascii="Arial" w:hAnsi="Arial" w:cs="Arial"/>
          <w:i/>
          <w:iCs/>
          <w:sz w:val="22"/>
          <w:szCs w:val="22"/>
          <w:lang w:val="en-IN"/>
        </w:rPr>
        <w:t xml:space="preserve">J </w:t>
      </w:r>
      <w:proofErr w:type="spellStart"/>
      <w:r w:rsidRPr="000A79A4">
        <w:rPr>
          <w:rFonts w:ascii="Arial" w:hAnsi="Arial" w:cs="Arial"/>
          <w:i/>
          <w:iCs/>
          <w:sz w:val="22"/>
          <w:szCs w:val="22"/>
          <w:lang w:val="en-IN"/>
        </w:rPr>
        <w:t>Endod</w:t>
      </w:r>
      <w:proofErr w:type="spellEnd"/>
      <w:r w:rsidRPr="000A79A4">
        <w:rPr>
          <w:rFonts w:ascii="Arial" w:hAnsi="Arial" w:cs="Arial"/>
          <w:sz w:val="22"/>
          <w:szCs w:val="22"/>
          <w:lang w:val="en-IN"/>
        </w:rPr>
        <w:t>, 2006).</w:t>
      </w:r>
    </w:p>
    <w:p w14:paraId="09F7960E" w14:textId="77777777" w:rsidR="000A79A4" w:rsidRPr="000A79A4" w:rsidRDefault="000A79A4" w:rsidP="000A79A4">
      <w:pPr>
        <w:numPr>
          <w:ilvl w:val="1"/>
          <w:numId w:val="42"/>
        </w:numPr>
        <w:spacing w:after="200" w:line="360" w:lineRule="auto"/>
        <w:jc w:val="both"/>
        <w:rPr>
          <w:rFonts w:ascii="Arial" w:hAnsi="Arial" w:cs="Arial"/>
          <w:sz w:val="22"/>
          <w:szCs w:val="22"/>
          <w:lang w:val="en-IN"/>
        </w:rPr>
      </w:pPr>
      <w:r w:rsidRPr="000A79A4">
        <w:rPr>
          <w:rFonts w:ascii="Arial" w:hAnsi="Arial" w:cs="Arial"/>
          <w:sz w:val="22"/>
          <w:szCs w:val="22"/>
          <w:lang w:val="en-IN"/>
        </w:rPr>
        <w:t xml:space="preserve">Supported by Setzer et al. 2010 and </w:t>
      </w:r>
      <w:proofErr w:type="spellStart"/>
      <w:r w:rsidRPr="000A79A4">
        <w:rPr>
          <w:rFonts w:ascii="Arial" w:hAnsi="Arial" w:cs="Arial"/>
          <w:sz w:val="22"/>
          <w:szCs w:val="22"/>
          <w:lang w:val="en-IN"/>
        </w:rPr>
        <w:t>Tsesis</w:t>
      </w:r>
      <w:proofErr w:type="spellEnd"/>
      <w:r w:rsidRPr="000A79A4">
        <w:rPr>
          <w:rFonts w:ascii="Arial" w:hAnsi="Arial" w:cs="Arial"/>
          <w:sz w:val="22"/>
          <w:szCs w:val="22"/>
          <w:lang w:val="en-IN"/>
        </w:rPr>
        <w:t xml:space="preserve"> et al. 2013, showing that longer resections do not improve outcomes but may weaken the root.</w:t>
      </w:r>
    </w:p>
    <w:p w14:paraId="7A44593F" w14:textId="77777777" w:rsidR="000A79A4" w:rsidRDefault="000A79A4" w:rsidP="000A79A4">
      <w:pPr>
        <w:spacing w:line="360" w:lineRule="auto"/>
        <w:ind w:left="1440"/>
        <w:jc w:val="both"/>
        <w:rPr>
          <w:rFonts w:ascii="Arial" w:hAnsi="Arial" w:cs="Arial"/>
          <w:sz w:val="22"/>
          <w:szCs w:val="22"/>
          <w:lang w:val="en-IN"/>
        </w:rPr>
      </w:pPr>
      <w:r w:rsidRPr="000A79A4">
        <w:rPr>
          <w:rFonts w:ascii="Arial" w:hAnsi="Arial" w:cs="Arial"/>
          <w:noProof/>
          <w:sz w:val="22"/>
          <w:szCs w:val="22"/>
        </w:rPr>
        <w:drawing>
          <wp:inline distT="0" distB="0" distL="0" distR="0" wp14:anchorId="72C45605" wp14:editId="7124F3E7">
            <wp:extent cx="1447800" cy="14699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447800" cy="1469904"/>
                    </a:xfrm>
                    <a:prstGeom prst="rect">
                      <a:avLst/>
                    </a:prstGeom>
                  </pic:spPr>
                </pic:pic>
              </a:graphicData>
            </a:graphic>
          </wp:inline>
        </w:drawing>
      </w:r>
    </w:p>
    <w:p w14:paraId="2B20AEA3" w14:textId="75657FB0" w:rsidR="00946259" w:rsidRDefault="00946259" w:rsidP="000A79A4">
      <w:pPr>
        <w:spacing w:line="360" w:lineRule="auto"/>
        <w:ind w:left="1440"/>
        <w:jc w:val="both"/>
        <w:rPr>
          <w:rFonts w:ascii="Arial" w:hAnsi="Arial" w:cs="Arial"/>
          <w:sz w:val="22"/>
          <w:szCs w:val="22"/>
          <w:lang w:val="en-IN"/>
        </w:rPr>
      </w:pPr>
      <w:r>
        <w:rPr>
          <w:rFonts w:ascii="Arial" w:hAnsi="Arial" w:cs="Arial"/>
          <w:sz w:val="22"/>
          <w:szCs w:val="22"/>
          <w:lang w:val="en-IN"/>
        </w:rPr>
        <w:t xml:space="preserve">FIG 3. </w:t>
      </w:r>
      <w:r w:rsidR="00AF5B14" w:rsidRPr="00AF5B14">
        <w:rPr>
          <w:rFonts w:ascii="Arial" w:hAnsi="Arial" w:cs="Arial"/>
          <w:sz w:val="22"/>
          <w:szCs w:val="22"/>
          <w:lang w:val="en-IN"/>
        </w:rPr>
        <w:t>Root-End Resection and Retrograde Filling</w:t>
      </w:r>
    </w:p>
    <w:p w14:paraId="1FD87AA9" w14:textId="77777777" w:rsidR="00946259" w:rsidRPr="000A79A4" w:rsidRDefault="00946259" w:rsidP="000A79A4">
      <w:pPr>
        <w:spacing w:line="360" w:lineRule="auto"/>
        <w:ind w:left="1440"/>
        <w:jc w:val="both"/>
        <w:rPr>
          <w:rFonts w:ascii="Arial" w:hAnsi="Arial" w:cs="Arial"/>
          <w:sz w:val="22"/>
          <w:szCs w:val="22"/>
          <w:lang w:val="en-IN"/>
        </w:rPr>
      </w:pPr>
    </w:p>
    <w:p w14:paraId="4EE657E5" w14:textId="77777777" w:rsidR="000A79A4" w:rsidRPr="000A79A4" w:rsidRDefault="000A79A4" w:rsidP="000A79A4">
      <w:pPr>
        <w:numPr>
          <w:ilvl w:val="0"/>
          <w:numId w:val="42"/>
        </w:numPr>
        <w:spacing w:after="200" w:line="360" w:lineRule="auto"/>
        <w:jc w:val="both"/>
        <w:rPr>
          <w:rFonts w:ascii="Arial" w:hAnsi="Arial" w:cs="Arial"/>
          <w:sz w:val="22"/>
          <w:szCs w:val="22"/>
          <w:lang w:val="en-IN"/>
        </w:rPr>
      </w:pPr>
      <w:r w:rsidRPr="000A79A4">
        <w:rPr>
          <w:rFonts w:ascii="Arial" w:hAnsi="Arial" w:cs="Arial"/>
          <w:sz w:val="22"/>
          <w:szCs w:val="22"/>
          <w:lang w:val="en-IN"/>
        </w:rPr>
        <w:t>Bevel Angle:</w:t>
      </w:r>
    </w:p>
    <w:p w14:paraId="75C6D65D" w14:textId="77777777" w:rsidR="000A79A4" w:rsidRPr="000A79A4" w:rsidRDefault="000A79A4" w:rsidP="000A79A4">
      <w:pPr>
        <w:numPr>
          <w:ilvl w:val="1"/>
          <w:numId w:val="42"/>
        </w:numPr>
        <w:spacing w:after="200" w:line="360" w:lineRule="auto"/>
        <w:jc w:val="both"/>
        <w:rPr>
          <w:rFonts w:ascii="Arial" w:hAnsi="Arial" w:cs="Arial"/>
          <w:sz w:val="22"/>
          <w:szCs w:val="22"/>
          <w:lang w:val="en-IN"/>
        </w:rPr>
      </w:pPr>
      <w:r w:rsidRPr="000A79A4">
        <w:rPr>
          <w:rFonts w:ascii="Arial" w:hAnsi="Arial" w:cs="Arial"/>
          <w:sz w:val="22"/>
          <w:szCs w:val="22"/>
          <w:lang w:val="en-IN"/>
        </w:rPr>
        <w:t xml:space="preserve">Modern practice </w:t>
      </w:r>
      <w:proofErr w:type="spellStart"/>
      <w:r w:rsidRPr="000A79A4">
        <w:rPr>
          <w:rFonts w:ascii="Arial" w:hAnsi="Arial" w:cs="Arial"/>
          <w:sz w:val="22"/>
          <w:szCs w:val="22"/>
          <w:lang w:val="en-IN"/>
        </w:rPr>
        <w:t>favors</w:t>
      </w:r>
      <w:proofErr w:type="spellEnd"/>
      <w:r w:rsidRPr="000A79A4">
        <w:rPr>
          <w:rFonts w:ascii="Arial" w:hAnsi="Arial" w:cs="Arial"/>
          <w:sz w:val="22"/>
          <w:szCs w:val="22"/>
          <w:lang w:val="en-IN"/>
        </w:rPr>
        <w:t xml:space="preserve"> 0°–10° bevels, rather than traditional 45°.</w:t>
      </w:r>
    </w:p>
    <w:p w14:paraId="681A9662" w14:textId="77777777" w:rsidR="000A79A4" w:rsidRPr="000A79A4" w:rsidRDefault="000A79A4" w:rsidP="000A79A4">
      <w:pPr>
        <w:numPr>
          <w:ilvl w:val="1"/>
          <w:numId w:val="42"/>
        </w:numPr>
        <w:spacing w:after="200" w:line="360" w:lineRule="auto"/>
        <w:jc w:val="both"/>
        <w:rPr>
          <w:rFonts w:ascii="Arial" w:hAnsi="Arial" w:cs="Arial"/>
          <w:sz w:val="22"/>
          <w:szCs w:val="22"/>
          <w:lang w:val="en-IN"/>
        </w:rPr>
      </w:pPr>
      <w:r w:rsidRPr="000A79A4">
        <w:rPr>
          <w:rFonts w:ascii="Arial" w:hAnsi="Arial" w:cs="Arial"/>
          <w:sz w:val="22"/>
          <w:szCs w:val="22"/>
          <w:lang w:val="en-IN"/>
        </w:rPr>
        <w:t>Minimizes dentinal tubule exposure and reduces microleakage risk.</w:t>
      </w:r>
    </w:p>
    <w:p w14:paraId="5F081D51" w14:textId="77777777" w:rsidR="000A79A4" w:rsidRPr="000A79A4" w:rsidRDefault="000A79A4" w:rsidP="000A79A4">
      <w:pPr>
        <w:numPr>
          <w:ilvl w:val="1"/>
          <w:numId w:val="42"/>
        </w:numPr>
        <w:spacing w:after="200" w:line="360" w:lineRule="auto"/>
        <w:jc w:val="both"/>
        <w:rPr>
          <w:rFonts w:ascii="Arial" w:hAnsi="Arial" w:cs="Arial"/>
          <w:sz w:val="22"/>
          <w:szCs w:val="22"/>
          <w:lang w:val="en-IN"/>
        </w:rPr>
      </w:pPr>
      <w:r w:rsidRPr="000A79A4">
        <w:rPr>
          <w:rFonts w:ascii="Arial" w:hAnsi="Arial" w:cs="Arial"/>
          <w:sz w:val="22"/>
          <w:szCs w:val="22"/>
          <w:lang w:val="en-IN"/>
        </w:rPr>
        <w:t>A flat bevel (0°) ensures perpendicular access for ultrasonic preparation.</w:t>
      </w:r>
    </w:p>
    <w:p w14:paraId="5559A5F5" w14:textId="77777777" w:rsidR="000A79A4" w:rsidRDefault="000A79A4" w:rsidP="000A79A4">
      <w:pPr>
        <w:spacing w:line="360" w:lineRule="auto"/>
        <w:ind w:left="1440"/>
        <w:jc w:val="both"/>
        <w:rPr>
          <w:rFonts w:ascii="Arial" w:hAnsi="Arial" w:cs="Arial"/>
          <w:sz w:val="22"/>
          <w:szCs w:val="22"/>
          <w:lang w:val="en-IN"/>
        </w:rPr>
      </w:pPr>
      <w:r w:rsidRPr="000A79A4">
        <w:rPr>
          <w:rFonts w:ascii="Arial" w:hAnsi="Arial" w:cs="Arial"/>
          <w:noProof/>
          <w:sz w:val="22"/>
          <w:szCs w:val="22"/>
        </w:rPr>
        <w:lastRenderedPageBreak/>
        <w:drawing>
          <wp:inline distT="0" distB="0" distL="0" distR="0" wp14:anchorId="31ADC8F3" wp14:editId="7302D8A2">
            <wp:extent cx="1798320" cy="1288349"/>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98320" cy="1288349"/>
                    </a:xfrm>
                    <a:prstGeom prst="rect">
                      <a:avLst/>
                    </a:prstGeom>
                  </pic:spPr>
                </pic:pic>
              </a:graphicData>
            </a:graphic>
          </wp:inline>
        </w:drawing>
      </w:r>
    </w:p>
    <w:p w14:paraId="6B4099AB" w14:textId="7580165C" w:rsidR="003B3696" w:rsidRDefault="003B3696" w:rsidP="000A79A4">
      <w:pPr>
        <w:spacing w:line="360" w:lineRule="auto"/>
        <w:ind w:left="1440"/>
        <w:jc w:val="both"/>
        <w:rPr>
          <w:rFonts w:ascii="Arial" w:hAnsi="Arial" w:cs="Arial"/>
          <w:sz w:val="22"/>
          <w:szCs w:val="22"/>
          <w:lang w:val="en-IN"/>
        </w:rPr>
      </w:pPr>
      <w:r>
        <w:rPr>
          <w:rFonts w:ascii="Arial" w:hAnsi="Arial" w:cs="Arial"/>
          <w:sz w:val="22"/>
          <w:szCs w:val="22"/>
          <w:lang w:val="en-IN"/>
        </w:rPr>
        <w:t xml:space="preserve">FIG 4. </w:t>
      </w:r>
      <w:r w:rsidR="00AF5B14" w:rsidRPr="00AF5B14">
        <w:rPr>
          <w:rFonts w:ascii="Arial" w:hAnsi="Arial" w:cs="Arial"/>
          <w:sz w:val="22"/>
          <w:szCs w:val="22"/>
          <w:lang w:val="en-IN"/>
        </w:rPr>
        <w:t>Bevel Angle</w:t>
      </w:r>
    </w:p>
    <w:p w14:paraId="28542404" w14:textId="77777777" w:rsidR="003B3696" w:rsidRDefault="003B3696" w:rsidP="000A79A4">
      <w:pPr>
        <w:spacing w:line="360" w:lineRule="auto"/>
        <w:ind w:left="1440"/>
        <w:jc w:val="both"/>
        <w:rPr>
          <w:rFonts w:ascii="Arial" w:hAnsi="Arial" w:cs="Arial"/>
          <w:sz w:val="22"/>
          <w:szCs w:val="22"/>
          <w:lang w:val="en-IN"/>
        </w:rPr>
      </w:pPr>
    </w:p>
    <w:p w14:paraId="3EF680B3" w14:textId="77777777" w:rsidR="003B3696" w:rsidRPr="000A79A4" w:rsidRDefault="003B3696" w:rsidP="000A79A4">
      <w:pPr>
        <w:spacing w:line="360" w:lineRule="auto"/>
        <w:ind w:left="1440"/>
        <w:jc w:val="both"/>
        <w:rPr>
          <w:rFonts w:ascii="Arial" w:hAnsi="Arial" w:cs="Arial"/>
          <w:sz w:val="22"/>
          <w:szCs w:val="22"/>
          <w:lang w:val="en-IN"/>
        </w:rPr>
      </w:pPr>
    </w:p>
    <w:p w14:paraId="11B4254D" w14:textId="77777777" w:rsidR="000A79A4" w:rsidRPr="000A79A4" w:rsidRDefault="000A79A4" w:rsidP="000A79A4">
      <w:pPr>
        <w:numPr>
          <w:ilvl w:val="0"/>
          <w:numId w:val="42"/>
        </w:numPr>
        <w:spacing w:after="200" w:line="360" w:lineRule="auto"/>
        <w:jc w:val="both"/>
        <w:rPr>
          <w:rFonts w:ascii="Arial" w:hAnsi="Arial" w:cs="Arial"/>
          <w:sz w:val="22"/>
          <w:szCs w:val="22"/>
          <w:lang w:val="en-IN"/>
        </w:rPr>
      </w:pPr>
      <w:r w:rsidRPr="000A79A4">
        <w:rPr>
          <w:rFonts w:ascii="Arial" w:hAnsi="Arial" w:cs="Arial"/>
          <w:sz w:val="22"/>
          <w:szCs w:val="22"/>
          <w:lang w:val="en-IN"/>
        </w:rPr>
        <w:t>Microscopic Inspection:</w:t>
      </w:r>
    </w:p>
    <w:p w14:paraId="4707BF62" w14:textId="77777777" w:rsidR="000A79A4" w:rsidRPr="000A79A4" w:rsidRDefault="000A79A4" w:rsidP="000A79A4">
      <w:pPr>
        <w:numPr>
          <w:ilvl w:val="1"/>
          <w:numId w:val="42"/>
        </w:numPr>
        <w:spacing w:after="200" w:line="360" w:lineRule="auto"/>
        <w:jc w:val="both"/>
        <w:rPr>
          <w:rFonts w:ascii="Arial" w:hAnsi="Arial" w:cs="Arial"/>
          <w:sz w:val="22"/>
          <w:szCs w:val="22"/>
          <w:lang w:val="en-IN"/>
        </w:rPr>
      </w:pPr>
      <w:r w:rsidRPr="000A79A4">
        <w:rPr>
          <w:rFonts w:ascii="Arial" w:hAnsi="Arial" w:cs="Arial"/>
          <w:sz w:val="22"/>
          <w:szCs w:val="22"/>
          <w:lang w:val="en-IN"/>
        </w:rPr>
        <w:t>Use of methylene blue dye or indigo carmine under a dental operating microscope helps detect:</w:t>
      </w:r>
    </w:p>
    <w:p w14:paraId="0F45E63A" w14:textId="77777777" w:rsidR="000A79A4" w:rsidRPr="000A79A4" w:rsidRDefault="000A79A4" w:rsidP="000A79A4">
      <w:pPr>
        <w:numPr>
          <w:ilvl w:val="2"/>
          <w:numId w:val="42"/>
        </w:numPr>
        <w:spacing w:after="200" w:line="360" w:lineRule="auto"/>
        <w:jc w:val="both"/>
        <w:rPr>
          <w:rFonts w:ascii="Arial" w:hAnsi="Arial" w:cs="Arial"/>
          <w:sz w:val="22"/>
          <w:szCs w:val="22"/>
          <w:lang w:val="en-IN"/>
        </w:rPr>
      </w:pPr>
      <w:r w:rsidRPr="000A79A4">
        <w:rPr>
          <w:rFonts w:ascii="Arial" w:hAnsi="Arial" w:cs="Arial"/>
          <w:sz w:val="22"/>
          <w:szCs w:val="22"/>
          <w:lang w:val="en-IN"/>
        </w:rPr>
        <w:t>Vertical root fractures</w:t>
      </w:r>
    </w:p>
    <w:p w14:paraId="079DE776" w14:textId="77777777" w:rsidR="000A79A4" w:rsidRPr="000A79A4" w:rsidRDefault="000A79A4" w:rsidP="000A79A4">
      <w:pPr>
        <w:numPr>
          <w:ilvl w:val="2"/>
          <w:numId w:val="42"/>
        </w:numPr>
        <w:spacing w:after="200" w:line="360" w:lineRule="auto"/>
        <w:jc w:val="both"/>
        <w:rPr>
          <w:rFonts w:ascii="Arial" w:hAnsi="Arial" w:cs="Arial"/>
          <w:sz w:val="22"/>
          <w:szCs w:val="22"/>
          <w:lang w:val="en-IN"/>
        </w:rPr>
      </w:pPr>
      <w:r w:rsidRPr="000A79A4">
        <w:rPr>
          <w:rFonts w:ascii="Arial" w:hAnsi="Arial" w:cs="Arial"/>
          <w:sz w:val="22"/>
          <w:szCs w:val="22"/>
          <w:lang w:val="en-IN"/>
        </w:rPr>
        <w:t>Missed canals</w:t>
      </w:r>
    </w:p>
    <w:p w14:paraId="4FC549AC" w14:textId="77777777" w:rsidR="000A79A4" w:rsidRPr="000A79A4" w:rsidRDefault="000A79A4" w:rsidP="000A79A4">
      <w:pPr>
        <w:numPr>
          <w:ilvl w:val="2"/>
          <w:numId w:val="42"/>
        </w:numPr>
        <w:spacing w:after="200" w:line="360" w:lineRule="auto"/>
        <w:jc w:val="both"/>
        <w:rPr>
          <w:rFonts w:ascii="Arial" w:hAnsi="Arial" w:cs="Arial"/>
          <w:sz w:val="22"/>
          <w:szCs w:val="22"/>
          <w:lang w:val="en-IN"/>
        </w:rPr>
      </w:pPr>
      <w:r w:rsidRPr="000A79A4">
        <w:rPr>
          <w:rFonts w:ascii="Arial" w:hAnsi="Arial" w:cs="Arial"/>
          <w:sz w:val="22"/>
          <w:szCs w:val="22"/>
          <w:lang w:val="en-IN"/>
        </w:rPr>
        <w:t>Isthmuses</w:t>
      </w:r>
    </w:p>
    <w:p w14:paraId="5EA820FA" w14:textId="77777777" w:rsidR="000A79A4" w:rsidRPr="000A79A4" w:rsidRDefault="000A79A4" w:rsidP="000A79A4">
      <w:pPr>
        <w:numPr>
          <w:ilvl w:val="1"/>
          <w:numId w:val="42"/>
        </w:numPr>
        <w:spacing w:after="200" w:line="360" w:lineRule="auto"/>
        <w:jc w:val="both"/>
        <w:rPr>
          <w:rFonts w:ascii="Arial" w:hAnsi="Arial" w:cs="Arial"/>
          <w:sz w:val="22"/>
          <w:szCs w:val="22"/>
          <w:lang w:val="en-IN"/>
        </w:rPr>
      </w:pPr>
      <w:r w:rsidRPr="000A79A4">
        <w:rPr>
          <w:rFonts w:ascii="Arial" w:hAnsi="Arial" w:cs="Arial"/>
          <w:sz w:val="22"/>
          <w:szCs w:val="22"/>
          <w:lang w:val="en-IN"/>
        </w:rPr>
        <w:t xml:space="preserve">Recommended by Rubinstein &amp; Kim (1999) and </w:t>
      </w:r>
      <w:proofErr w:type="spellStart"/>
      <w:r w:rsidRPr="000A79A4">
        <w:rPr>
          <w:rFonts w:ascii="Arial" w:hAnsi="Arial" w:cs="Arial"/>
          <w:sz w:val="22"/>
          <w:szCs w:val="22"/>
          <w:lang w:val="en-IN"/>
        </w:rPr>
        <w:t>Tsesis</w:t>
      </w:r>
      <w:proofErr w:type="spellEnd"/>
      <w:r w:rsidRPr="000A79A4">
        <w:rPr>
          <w:rFonts w:ascii="Arial" w:hAnsi="Arial" w:cs="Arial"/>
          <w:sz w:val="22"/>
          <w:szCs w:val="22"/>
          <w:lang w:val="en-IN"/>
        </w:rPr>
        <w:t xml:space="preserve"> et al. (2013).</w:t>
      </w:r>
    </w:p>
    <w:p w14:paraId="7305FA53" w14:textId="77777777" w:rsidR="000A79A4" w:rsidRPr="000A79A4" w:rsidRDefault="000A79A4" w:rsidP="000A79A4">
      <w:pPr>
        <w:numPr>
          <w:ilvl w:val="0"/>
          <w:numId w:val="42"/>
        </w:numPr>
        <w:spacing w:after="200" w:line="360" w:lineRule="auto"/>
        <w:jc w:val="both"/>
        <w:rPr>
          <w:rFonts w:ascii="Arial" w:hAnsi="Arial" w:cs="Arial"/>
          <w:sz w:val="22"/>
          <w:szCs w:val="22"/>
          <w:lang w:val="en-IN"/>
        </w:rPr>
      </w:pPr>
      <w:r w:rsidRPr="000A79A4">
        <w:rPr>
          <w:rFonts w:ascii="Arial" w:hAnsi="Arial" w:cs="Arial"/>
          <w:sz w:val="22"/>
          <w:szCs w:val="22"/>
          <w:lang w:val="en-IN"/>
        </w:rPr>
        <w:t>Piezoelectric and Ultrasonic Cutting Tools:</w:t>
      </w:r>
    </w:p>
    <w:p w14:paraId="47612462" w14:textId="77777777" w:rsidR="000A79A4" w:rsidRPr="000A79A4" w:rsidRDefault="000A79A4" w:rsidP="000A79A4">
      <w:pPr>
        <w:numPr>
          <w:ilvl w:val="1"/>
          <w:numId w:val="42"/>
        </w:numPr>
        <w:spacing w:after="200" w:line="360" w:lineRule="auto"/>
        <w:jc w:val="both"/>
        <w:rPr>
          <w:rFonts w:ascii="Arial" w:hAnsi="Arial" w:cs="Arial"/>
          <w:sz w:val="22"/>
          <w:szCs w:val="22"/>
          <w:lang w:val="en-IN"/>
        </w:rPr>
      </w:pPr>
      <w:r w:rsidRPr="000A79A4">
        <w:rPr>
          <w:rFonts w:ascii="Arial" w:hAnsi="Arial" w:cs="Arial"/>
          <w:sz w:val="22"/>
          <w:szCs w:val="22"/>
          <w:lang w:val="en-IN"/>
        </w:rPr>
        <w:t>Piezo systems allow atraumatic bone cutting with improved control.</w:t>
      </w:r>
    </w:p>
    <w:p w14:paraId="74BDA288" w14:textId="77777777" w:rsidR="000A79A4" w:rsidRPr="000A79A4" w:rsidRDefault="000A79A4" w:rsidP="000A79A4">
      <w:pPr>
        <w:numPr>
          <w:ilvl w:val="1"/>
          <w:numId w:val="42"/>
        </w:numPr>
        <w:spacing w:after="200" w:line="360" w:lineRule="auto"/>
        <w:jc w:val="both"/>
        <w:rPr>
          <w:rFonts w:ascii="Arial" w:hAnsi="Arial" w:cs="Arial"/>
          <w:sz w:val="22"/>
          <w:szCs w:val="22"/>
          <w:lang w:val="en-IN"/>
        </w:rPr>
      </w:pPr>
      <w:r w:rsidRPr="000A79A4">
        <w:rPr>
          <w:rFonts w:ascii="Arial" w:hAnsi="Arial" w:cs="Arial"/>
          <w:sz w:val="22"/>
          <w:szCs w:val="22"/>
          <w:lang w:val="en-IN"/>
        </w:rPr>
        <w:t>Ultrasonic tips ensure clean, conservative apical cuts without smear layer.</w:t>
      </w:r>
    </w:p>
    <w:p w14:paraId="2A1140EE" w14:textId="77777777" w:rsidR="000A79A4" w:rsidRPr="000A79A4" w:rsidRDefault="000A79A4" w:rsidP="000A79A4">
      <w:pPr>
        <w:spacing w:line="360" w:lineRule="auto"/>
        <w:jc w:val="both"/>
        <w:rPr>
          <w:rFonts w:ascii="Arial" w:hAnsi="Arial" w:cs="Arial"/>
          <w:sz w:val="22"/>
          <w:szCs w:val="22"/>
          <w:lang w:val="en-IN"/>
        </w:rPr>
      </w:pPr>
    </w:p>
    <w:p w14:paraId="72F4B84F"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2. Retrograde Cavity Preparation</w:t>
      </w:r>
    </w:p>
    <w:p w14:paraId="314FA456"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Recent Considerations:</w:t>
      </w:r>
    </w:p>
    <w:p w14:paraId="576057F9" w14:textId="77777777" w:rsidR="000A79A4" w:rsidRPr="000A79A4" w:rsidRDefault="000A79A4" w:rsidP="000A79A4">
      <w:pPr>
        <w:numPr>
          <w:ilvl w:val="0"/>
          <w:numId w:val="43"/>
        </w:numPr>
        <w:spacing w:after="200" w:line="360" w:lineRule="auto"/>
        <w:jc w:val="both"/>
        <w:rPr>
          <w:rFonts w:ascii="Arial" w:hAnsi="Arial" w:cs="Arial"/>
          <w:sz w:val="22"/>
          <w:szCs w:val="22"/>
          <w:lang w:val="en-IN"/>
        </w:rPr>
      </w:pPr>
      <w:r w:rsidRPr="000A79A4">
        <w:rPr>
          <w:rFonts w:ascii="Arial" w:hAnsi="Arial" w:cs="Arial"/>
          <w:sz w:val="22"/>
          <w:szCs w:val="22"/>
          <w:lang w:val="en-IN"/>
        </w:rPr>
        <w:t>Ultrasonic Preparation Over Bur:</w:t>
      </w:r>
    </w:p>
    <w:p w14:paraId="261BD868" w14:textId="77777777" w:rsidR="000A79A4" w:rsidRPr="000A79A4" w:rsidRDefault="000A79A4" w:rsidP="000A79A4">
      <w:pPr>
        <w:numPr>
          <w:ilvl w:val="1"/>
          <w:numId w:val="43"/>
        </w:numPr>
        <w:spacing w:after="200" w:line="360" w:lineRule="auto"/>
        <w:jc w:val="both"/>
        <w:rPr>
          <w:rFonts w:ascii="Arial" w:hAnsi="Arial" w:cs="Arial"/>
          <w:sz w:val="22"/>
          <w:szCs w:val="22"/>
          <w:lang w:val="en-IN"/>
        </w:rPr>
      </w:pPr>
      <w:r w:rsidRPr="000A79A4">
        <w:rPr>
          <w:rFonts w:ascii="Arial" w:hAnsi="Arial" w:cs="Arial"/>
          <w:sz w:val="22"/>
          <w:szCs w:val="22"/>
          <w:lang w:val="en-IN"/>
        </w:rPr>
        <w:t xml:space="preserve">Studies confirm ultrasonic retro-prep results in more </w:t>
      </w:r>
      <w:proofErr w:type="spellStart"/>
      <w:r w:rsidRPr="000A79A4">
        <w:rPr>
          <w:rFonts w:ascii="Arial" w:hAnsi="Arial" w:cs="Arial"/>
          <w:sz w:val="22"/>
          <w:szCs w:val="22"/>
          <w:lang w:val="en-IN"/>
        </w:rPr>
        <w:t>centered</w:t>
      </w:r>
      <w:proofErr w:type="spellEnd"/>
      <w:r w:rsidRPr="000A79A4">
        <w:rPr>
          <w:rFonts w:ascii="Arial" w:hAnsi="Arial" w:cs="Arial"/>
          <w:sz w:val="22"/>
          <w:szCs w:val="22"/>
          <w:lang w:val="en-IN"/>
        </w:rPr>
        <w:t>, conservative, and parallel cavities with fewer microcracks (von Arx et al., 2007).</w:t>
      </w:r>
    </w:p>
    <w:p w14:paraId="1549C54E" w14:textId="77777777" w:rsidR="000A79A4" w:rsidRPr="000A79A4" w:rsidRDefault="000A79A4" w:rsidP="000A79A4">
      <w:pPr>
        <w:numPr>
          <w:ilvl w:val="1"/>
          <w:numId w:val="43"/>
        </w:numPr>
        <w:spacing w:after="200" w:line="360" w:lineRule="auto"/>
        <w:jc w:val="both"/>
        <w:rPr>
          <w:rFonts w:ascii="Arial" w:hAnsi="Arial" w:cs="Arial"/>
          <w:sz w:val="22"/>
          <w:szCs w:val="22"/>
          <w:lang w:val="en-IN"/>
        </w:rPr>
      </w:pPr>
      <w:r w:rsidRPr="000A79A4">
        <w:rPr>
          <w:rFonts w:ascii="Arial" w:hAnsi="Arial" w:cs="Arial"/>
          <w:sz w:val="22"/>
          <w:szCs w:val="22"/>
          <w:lang w:val="en-IN"/>
        </w:rPr>
        <w:lastRenderedPageBreak/>
        <w:t>Reduces the need for flared bevels.</w:t>
      </w:r>
    </w:p>
    <w:p w14:paraId="4A230BAA" w14:textId="77777777" w:rsidR="000A79A4" w:rsidRPr="000A79A4" w:rsidRDefault="000A79A4" w:rsidP="000A79A4">
      <w:pPr>
        <w:numPr>
          <w:ilvl w:val="0"/>
          <w:numId w:val="43"/>
        </w:numPr>
        <w:spacing w:after="200" w:line="360" w:lineRule="auto"/>
        <w:jc w:val="both"/>
        <w:rPr>
          <w:rFonts w:ascii="Arial" w:hAnsi="Arial" w:cs="Arial"/>
          <w:sz w:val="22"/>
          <w:szCs w:val="22"/>
          <w:lang w:val="en-IN"/>
        </w:rPr>
      </w:pPr>
      <w:r w:rsidRPr="000A79A4">
        <w:rPr>
          <w:rFonts w:ascii="Arial" w:hAnsi="Arial" w:cs="Arial"/>
          <w:sz w:val="22"/>
          <w:szCs w:val="22"/>
          <w:lang w:val="en-IN"/>
        </w:rPr>
        <w:t>Depth of Preparation:</w:t>
      </w:r>
    </w:p>
    <w:p w14:paraId="3D8359CA" w14:textId="77777777" w:rsidR="000A79A4" w:rsidRPr="000A79A4" w:rsidRDefault="000A79A4" w:rsidP="000A79A4">
      <w:pPr>
        <w:numPr>
          <w:ilvl w:val="1"/>
          <w:numId w:val="43"/>
        </w:numPr>
        <w:spacing w:after="200" w:line="360" w:lineRule="auto"/>
        <w:jc w:val="both"/>
        <w:rPr>
          <w:rFonts w:ascii="Arial" w:hAnsi="Arial" w:cs="Arial"/>
          <w:sz w:val="22"/>
          <w:szCs w:val="22"/>
          <w:lang w:val="en-IN"/>
        </w:rPr>
      </w:pPr>
      <w:r w:rsidRPr="000A79A4">
        <w:rPr>
          <w:rFonts w:ascii="Arial" w:hAnsi="Arial" w:cs="Arial"/>
          <w:sz w:val="22"/>
          <w:szCs w:val="22"/>
          <w:lang w:val="en-IN"/>
        </w:rPr>
        <w:t>3 mm remains the optimal depth.</w:t>
      </w:r>
    </w:p>
    <w:p w14:paraId="73187CD6" w14:textId="77777777" w:rsidR="000A79A4" w:rsidRPr="000A79A4" w:rsidRDefault="000A79A4" w:rsidP="000A79A4">
      <w:pPr>
        <w:numPr>
          <w:ilvl w:val="1"/>
          <w:numId w:val="43"/>
        </w:numPr>
        <w:spacing w:after="200" w:line="360" w:lineRule="auto"/>
        <w:jc w:val="both"/>
        <w:rPr>
          <w:rFonts w:ascii="Arial" w:hAnsi="Arial" w:cs="Arial"/>
          <w:sz w:val="22"/>
          <w:szCs w:val="22"/>
          <w:lang w:val="en-IN"/>
        </w:rPr>
      </w:pPr>
      <w:r w:rsidRPr="000A79A4">
        <w:rPr>
          <w:rFonts w:ascii="Arial" w:hAnsi="Arial" w:cs="Arial"/>
          <w:sz w:val="22"/>
          <w:szCs w:val="22"/>
          <w:lang w:val="en-IN"/>
        </w:rPr>
        <w:t>Sufficient to avoid leakage and to retain the retrograde filling.</w:t>
      </w:r>
    </w:p>
    <w:p w14:paraId="0D7A1183" w14:textId="77777777" w:rsidR="000A79A4" w:rsidRPr="000A79A4" w:rsidRDefault="000A79A4" w:rsidP="000A79A4">
      <w:pPr>
        <w:numPr>
          <w:ilvl w:val="0"/>
          <w:numId w:val="43"/>
        </w:numPr>
        <w:spacing w:after="200" w:line="360" w:lineRule="auto"/>
        <w:jc w:val="both"/>
        <w:rPr>
          <w:rFonts w:ascii="Arial" w:hAnsi="Arial" w:cs="Arial"/>
          <w:sz w:val="22"/>
          <w:szCs w:val="22"/>
          <w:lang w:val="en-IN"/>
        </w:rPr>
      </w:pPr>
      <w:r w:rsidRPr="000A79A4">
        <w:rPr>
          <w:rFonts w:ascii="Arial" w:hAnsi="Arial" w:cs="Arial"/>
          <w:sz w:val="22"/>
          <w:szCs w:val="22"/>
          <w:lang w:val="en-IN"/>
        </w:rPr>
        <w:t>CBCT-Based Planning:</w:t>
      </w:r>
    </w:p>
    <w:p w14:paraId="1EFE7422" w14:textId="77777777" w:rsidR="000A79A4" w:rsidRPr="000A79A4" w:rsidRDefault="000A79A4" w:rsidP="000A79A4">
      <w:pPr>
        <w:numPr>
          <w:ilvl w:val="1"/>
          <w:numId w:val="43"/>
        </w:numPr>
        <w:spacing w:after="200" w:line="360" w:lineRule="auto"/>
        <w:jc w:val="both"/>
        <w:rPr>
          <w:rFonts w:ascii="Arial" w:hAnsi="Arial" w:cs="Arial"/>
          <w:sz w:val="22"/>
          <w:szCs w:val="22"/>
          <w:lang w:val="en-IN"/>
        </w:rPr>
      </w:pPr>
      <w:r w:rsidRPr="000A79A4">
        <w:rPr>
          <w:rFonts w:ascii="Arial" w:hAnsi="Arial" w:cs="Arial"/>
          <w:sz w:val="22"/>
          <w:szCs w:val="22"/>
          <w:lang w:val="en-IN"/>
        </w:rPr>
        <w:t>Pre-surgical CBCT is now standard for precise evaluation of root morphology and lesion extent.</w:t>
      </w:r>
    </w:p>
    <w:p w14:paraId="22B9EFE8" w14:textId="77777777" w:rsidR="000A79A4" w:rsidRPr="000A79A4" w:rsidRDefault="000A79A4" w:rsidP="000A79A4">
      <w:pPr>
        <w:spacing w:line="360" w:lineRule="auto"/>
        <w:ind w:left="1440"/>
        <w:jc w:val="both"/>
        <w:rPr>
          <w:rFonts w:ascii="Arial" w:hAnsi="Arial" w:cs="Arial"/>
          <w:sz w:val="22"/>
          <w:szCs w:val="22"/>
          <w:lang w:val="en-IN"/>
        </w:rPr>
      </w:pPr>
    </w:p>
    <w:p w14:paraId="5235498F" w14:textId="77777777" w:rsidR="000A79A4" w:rsidRPr="000A79A4" w:rsidRDefault="000A79A4" w:rsidP="000A79A4">
      <w:pPr>
        <w:spacing w:line="360" w:lineRule="auto"/>
        <w:ind w:left="1440"/>
        <w:jc w:val="both"/>
        <w:rPr>
          <w:rFonts w:ascii="Arial" w:hAnsi="Arial" w:cs="Arial"/>
          <w:sz w:val="22"/>
          <w:szCs w:val="22"/>
          <w:lang w:val="en-IN"/>
        </w:rPr>
      </w:pPr>
    </w:p>
    <w:p w14:paraId="6153C837"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4.3 Retrograde Filling Materials</w:t>
      </w:r>
    </w:p>
    <w:p w14:paraId="6634DAF1"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br/>
        <w:t>Retrograde filling materials are used during endodontic microsurgery to seal the root canal system from the apical end after resecting the root tip and preparing a retrograde cavity. An ideal material should be biocompatible, dimensionally stable, moisture-tolerant, radiopaque, and capable of providing a hermetic seal.</w:t>
      </w:r>
    </w:p>
    <w:p w14:paraId="14C03E26" w14:textId="77777777" w:rsid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Modern materials:</w:t>
      </w:r>
    </w:p>
    <w:p w14:paraId="2E1CEF2E" w14:textId="77777777" w:rsidR="00055E13" w:rsidRDefault="00055E13" w:rsidP="000A79A4">
      <w:pPr>
        <w:spacing w:line="360" w:lineRule="auto"/>
        <w:jc w:val="both"/>
        <w:rPr>
          <w:rFonts w:ascii="Arial" w:hAnsi="Arial" w:cs="Arial"/>
          <w:sz w:val="22"/>
          <w:szCs w:val="22"/>
          <w:lang w:val="en-IN"/>
        </w:rPr>
      </w:pPr>
    </w:p>
    <w:p w14:paraId="2710741B" w14:textId="37BBB902" w:rsidR="00055E13" w:rsidRPr="00055E13" w:rsidRDefault="00055E13" w:rsidP="000A79A4">
      <w:pPr>
        <w:spacing w:line="360" w:lineRule="auto"/>
        <w:jc w:val="both"/>
        <w:rPr>
          <w:rFonts w:ascii="Arial" w:hAnsi="Arial" w:cs="Arial"/>
          <w:b/>
          <w:sz w:val="22"/>
          <w:szCs w:val="22"/>
          <w:lang w:val="en-IN"/>
        </w:rPr>
      </w:pPr>
      <w:r w:rsidRPr="00055E13">
        <w:rPr>
          <w:rFonts w:ascii="Arial" w:hAnsi="Arial" w:cs="Arial"/>
          <w:b/>
          <w:sz w:val="22"/>
          <w:szCs w:val="22"/>
          <w:lang w:val="en-IN"/>
        </w:rPr>
        <w:t xml:space="preserve">TABLE 1. </w:t>
      </w:r>
      <w:r w:rsidR="00AF5B14">
        <w:rPr>
          <w:rFonts w:ascii="Arial" w:hAnsi="Arial" w:cs="Arial"/>
          <w:b/>
          <w:sz w:val="22"/>
          <w:szCs w:val="22"/>
          <w:lang w:val="en-IN"/>
        </w:rPr>
        <w:t xml:space="preserve"> </w:t>
      </w:r>
      <w:r w:rsidR="00AF5B14" w:rsidRPr="00AF5B14">
        <w:rPr>
          <w:rFonts w:ascii="Arial" w:hAnsi="Arial" w:cs="Arial"/>
          <w:b/>
          <w:sz w:val="22"/>
          <w:szCs w:val="22"/>
          <w:lang w:val="en-IN"/>
        </w:rPr>
        <w:t>Comparison of Retrograde Filling Materials</w:t>
      </w:r>
    </w:p>
    <w:tbl>
      <w:tblPr>
        <w:tblStyle w:val="TableGrid"/>
        <w:tblW w:w="0" w:type="auto"/>
        <w:tblLook w:val="04A0" w:firstRow="1" w:lastRow="0" w:firstColumn="1" w:lastColumn="0" w:noHBand="0" w:noVBand="1"/>
      </w:tblPr>
      <w:tblGrid>
        <w:gridCol w:w="1980"/>
        <w:gridCol w:w="2166"/>
        <w:gridCol w:w="2180"/>
        <w:gridCol w:w="2098"/>
      </w:tblGrid>
      <w:tr w:rsidR="000A79A4" w:rsidRPr="000A79A4" w14:paraId="486F8A4F" w14:textId="77777777" w:rsidTr="00646DC4">
        <w:tc>
          <w:tcPr>
            <w:tcW w:w="0" w:type="auto"/>
            <w:hideMark/>
          </w:tcPr>
          <w:p w14:paraId="3D42F2B8" w14:textId="77777777" w:rsidR="000A79A4" w:rsidRPr="000A79A4" w:rsidRDefault="000A79A4" w:rsidP="000A79A4">
            <w:pPr>
              <w:spacing w:line="360" w:lineRule="auto"/>
              <w:jc w:val="both"/>
              <w:rPr>
                <w:rFonts w:ascii="Arial" w:hAnsi="Arial" w:cs="Arial"/>
                <w:b/>
                <w:lang w:val="en-IN"/>
              </w:rPr>
            </w:pPr>
            <w:r w:rsidRPr="000A79A4">
              <w:rPr>
                <w:rFonts w:ascii="Arial" w:hAnsi="Arial" w:cs="Arial"/>
                <w:b/>
                <w:lang w:val="en-IN"/>
              </w:rPr>
              <w:t>Material</w:t>
            </w:r>
          </w:p>
        </w:tc>
        <w:tc>
          <w:tcPr>
            <w:tcW w:w="0" w:type="auto"/>
            <w:hideMark/>
          </w:tcPr>
          <w:p w14:paraId="4C665E8D" w14:textId="77777777" w:rsidR="000A79A4" w:rsidRPr="000A79A4" w:rsidRDefault="000A79A4" w:rsidP="000A79A4">
            <w:pPr>
              <w:spacing w:line="360" w:lineRule="auto"/>
              <w:jc w:val="both"/>
              <w:rPr>
                <w:rFonts w:ascii="Arial" w:hAnsi="Arial" w:cs="Arial"/>
                <w:b/>
                <w:lang w:val="en-IN"/>
              </w:rPr>
            </w:pPr>
            <w:r w:rsidRPr="000A79A4">
              <w:rPr>
                <w:rFonts w:ascii="Arial" w:hAnsi="Arial" w:cs="Arial"/>
                <w:b/>
                <w:lang w:val="en-IN"/>
              </w:rPr>
              <w:t>Advantages</w:t>
            </w:r>
          </w:p>
        </w:tc>
        <w:tc>
          <w:tcPr>
            <w:tcW w:w="0" w:type="auto"/>
            <w:hideMark/>
          </w:tcPr>
          <w:p w14:paraId="0E461BAC" w14:textId="77777777" w:rsidR="000A79A4" w:rsidRPr="000A79A4" w:rsidRDefault="000A79A4" w:rsidP="000A79A4">
            <w:pPr>
              <w:spacing w:line="360" w:lineRule="auto"/>
              <w:jc w:val="both"/>
              <w:rPr>
                <w:rFonts w:ascii="Arial" w:hAnsi="Arial" w:cs="Arial"/>
                <w:b/>
                <w:lang w:val="en-IN"/>
              </w:rPr>
            </w:pPr>
            <w:r w:rsidRPr="000A79A4">
              <w:rPr>
                <w:rFonts w:ascii="Arial" w:hAnsi="Arial" w:cs="Arial"/>
                <w:b/>
                <w:lang w:val="en-IN"/>
              </w:rPr>
              <w:t>Disadvantages</w:t>
            </w:r>
          </w:p>
        </w:tc>
        <w:tc>
          <w:tcPr>
            <w:tcW w:w="0" w:type="auto"/>
            <w:hideMark/>
          </w:tcPr>
          <w:p w14:paraId="32A03DCC" w14:textId="77777777" w:rsidR="000A79A4" w:rsidRPr="000A79A4" w:rsidRDefault="000A79A4" w:rsidP="000A79A4">
            <w:pPr>
              <w:spacing w:line="360" w:lineRule="auto"/>
              <w:jc w:val="both"/>
              <w:rPr>
                <w:rFonts w:ascii="Arial" w:hAnsi="Arial" w:cs="Arial"/>
                <w:b/>
                <w:lang w:val="en-IN"/>
              </w:rPr>
            </w:pPr>
            <w:r w:rsidRPr="000A79A4">
              <w:rPr>
                <w:rFonts w:ascii="Arial" w:hAnsi="Arial" w:cs="Arial"/>
                <w:b/>
                <w:lang w:val="en-IN"/>
              </w:rPr>
              <w:t>Evidence / Studies</w:t>
            </w:r>
          </w:p>
        </w:tc>
      </w:tr>
      <w:tr w:rsidR="000A79A4" w:rsidRPr="000A79A4" w14:paraId="13C29B26" w14:textId="77777777" w:rsidTr="00646DC4">
        <w:tc>
          <w:tcPr>
            <w:tcW w:w="0" w:type="auto"/>
            <w:hideMark/>
          </w:tcPr>
          <w:p w14:paraId="7A19D24F"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Mineral Trioxide Aggregate (MTA)</w:t>
            </w:r>
          </w:p>
        </w:tc>
        <w:tc>
          <w:tcPr>
            <w:tcW w:w="0" w:type="auto"/>
            <w:hideMark/>
          </w:tcPr>
          <w:p w14:paraId="4BA62A31"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 xml:space="preserve">Excellent biocompatibility, bioactive, superior sealing, induces </w:t>
            </w:r>
            <w:proofErr w:type="spellStart"/>
            <w:r w:rsidRPr="000A79A4">
              <w:rPr>
                <w:rFonts w:ascii="Arial" w:hAnsi="Arial" w:cs="Arial"/>
                <w:lang w:val="en-IN"/>
              </w:rPr>
              <w:t>cementogenesis</w:t>
            </w:r>
            <w:proofErr w:type="spellEnd"/>
          </w:p>
        </w:tc>
        <w:tc>
          <w:tcPr>
            <w:tcW w:w="0" w:type="auto"/>
            <w:hideMark/>
          </w:tcPr>
          <w:p w14:paraId="40AD7FA1"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 xml:space="preserve">Long setting time (~3 hours), difficult handling, potential discoloration (especially </w:t>
            </w:r>
            <w:proofErr w:type="spellStart"/>
            <w:r w:rsidRPr="000A79A4">
              <w:rPr>
                <w:rFonts w:ascii="Arial" w:hAnsi="Arial" w:cs="Arial"/>
                <w:lang w:val="en-IN"/>
              </w:rPr>
              <w:t>gray</w:t>
            </w:r>
            <w:proofErr w:type="spellEnd"/>
            <w:r w:rsidRPr="000A79A4">
              <w:rPr>
                <w:rFonts w:ascii="Arial" w:hAnsi="Arial" w:cs="Arial"/>
                <w:lang w:val="en-IN"/>
              </w:rPr>
              <w:t xml:space="preserve"> MTA)</w:t>
            </w:r>
          </w:p>
        </w:tc>
        <w:tc>
          <w:tcPr>
            <w:tcW w:w="0" w:type="auto"/>
            <w:hideMark/>
          </w:tcPr>
          <w:p w14:paraId="5B06178E"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Kim &amp; Kratchman, 2006; Setzer et al., 2010 – Reported success rates of 92–96% in microsurgical cases</w:t>
            </w:r>
          </w:p>
        </w:tc>
      </w:tr>
      <w:tr w:rsidR="000A79A4" w:rsidRPr="000A79A4" w14:paraId="2EA6708F" w14:textId="77777777" w:rsidTr="00646DC4">
        <w:tc>
          <w:tcPr>
            <w:tcW w:w="0" w:type="auto"/>
            <w:hideMark/>
          </w:tcPr>
          <w:p w14:paraId="2BC6BE3F" w14:textId="77777777" w:rsidR="000A79A4" w:rsidRPr="000A79A4" w:rsidRDefault="000A79A4" w:rsidP="000A79A4">
            <w:pPr>
              <w:spacing w:line="360" w:lineRule="auto"/>
              <w:jc w:val="both"/>
              <w:rPr>
                <w:rFonts w:ascii="Arial" w:hAnsi="Arial" w:cs="Arial"/>
                <w:lang w:val="en-IN"/>
              </w:rPr>
            </w:pPr>
            <w:proofErr w:type="spellStart"/>
            <w:r w:rsidRPr="000A79A4">
              <w:rPr>
                <w:rFonts w:ascii="Arial" w:hAnsi="Arial" w:cs="Arial"/>
                <w:lang w:val="en-IN"/>
              </w:rPr>
              <w:t>Biodentine</w:t>
            </w:r>
            <w:proofErr w:type="spellEnd"/>
          </w:p>
        </w:tc>
        <w:tc>
          <w:tcPr>
            <w:tcW w:w="0" w:type="auto"/>
            <w:hideMark/>
          </w:tcPr>
          <w:p w14:paraId="027D4EA2"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 xml:space="preserve">Shorter setting time (~12 min), </w:t>
            </w:r>
            <w:r w:rsidRPr="000A79A4">
              <w:rPr>
                <w:rFonts w:ascii="Arial" w:hAnsi="Arial" w:cs="Arial"/>
                <w:lang w:val="en-IN"/>
              </w:rPr>
              <w:lastRenderedPageBreak/>
              <w:t>bioactive, easy to handle, strong sealing properties</w:t>
            </w:r>
          </w:p>
        </w:tc>
        <w:tc>
          <w:tcPr>
            <w:tcW w:w="0" w:type="auto"/>
            <w:hideMark/>
          </w:tcPr>
          <w:p w14:paraId="1C3E44DE"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lastRenderedPageBreak/>
              <w:t xml:space="preserve">Slightly lower radiopacity </w:t>
            </w:r>
            <w:r w:rsidRPr="000A79A4">
              <w:rPr>
                <w:rFonts w:ascii="Arial" w:hAnsi="Arial" w:cs="Arial"/>
                <w:lang w:val="en-IN"/>
              </w:rPr>
              <w:lastRenderedPageBreak/>
              <w:t>compared to MTA, higher cost</w:t>
            </w:r>
          </w:p>
        </w:tc>
        <w:tc>
          <w:tcPr>
            <w:tcW w:w="0" w:type="auto"/>
            <w:hideMark/>
          </w:tcPr>
          <w:p w14:paraId="1BE4ABFB"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lastRenderedPageBreak/>
              <w:t xml:space="preserve">Laurent et al., 2012; Camilleri, </w:t>
            </w:r>
            <w:r w:rsidRPr="000A79A4">
              <w:rPr>
                <w:rFonts w:ascii="Arial" w:hAnsi="Arial" w:cs="Arial"/>
                <w:lang w:val="en-IN"/>
              </w:rPr>
              <w:lastRenderedPageBreak/>
              <w:t>2014 – Comparable or better sealing than MTA</w:t>
            </w:r>
          </w:p>
        </w:tc>
      </w:tr>
      <w:tr w:rsidR="000A79A4" w:rsidRPr="000A79A4" w14:paraId="7A1A9356" w14:textId="77777777" w:rsidTr="00646DC4">
        <w:tc>
          <w:tcPr>
            <w:tcW w:w="0" w:type="auto"/>
            <w:hideMark/>
          </w:tcPr>
          <w:p w14:paraId="4238F684" w14:textId="77777777" w:rsidR="000A79A4" w:rsidRPr="000A79A4" w:rsidRDefault="000A79A4" w:rsidP="000A79A4">
            <w:pPr>
              <w:spacing w:line="360" w:lineRule="auto"/>
              <w:jc w:val="both"/>
              <w:rPr>
                <w:rFonts w:ascii="Arial" w:hAnsi="Arial" w:cs="Arial"/>
                <w:lang w:val="en-IN"/>
              </w:rPr>
            </w:pPr>
            <w:proofErr w:type="spellStart"/>
            <w:r w:rsidRPr="000A79A4">
              <w:rPr>
                <w:rFonts w:ascii="Arial" w:hAnsi="Arial" w:cs="Arial"/>
                <w:lang w:val="en-IN"/>
              </w:rPr>
              <w:lastRenderedPageBreak/>
              <w:t>Bioceramic</w:t>
            </w:r>
            <w:proofErr w:type="spellEnd"/>
            <w:r w:rsidRPr="000A79A4">
              <w:rPr>
                <w:rFonts w:ascii="Arial" w:hAnsi="Arial" w:cs="Arial"/>
                <w:lang w:val="en-IN"/>
              </w:rPr>
              <w:t xml:space="preserve"> Putty (e.g., </w:t>
            </w:r>
            <w:proofErr w:type="spellStart"/>
            <w:r w:rsidRPr="000A79A4">
              <w:rPr>
                <w:rFonts w:ascii="Arial" w:hAnsi="Arial" w:cs="Arial"/>
                <w:lang w:val="en-IN"/>
              </w:rPr>
              <w:t>EndoSequence</w:t>
            </w:r>
            <w:proofErr w:type="spellEnd"/>
            <w:r w:rsidRPr="000A79A4">
              <w:rPr>
                <w:rFonts w:ascii="Arial" w:hAnsi="Arial" w:cs="Arial"/>
                <w:lang w:val="en-IN"/>
              </w:rPr>
              <w:t xml:space="preserve"> BC RRM, </w:t>
            </w:r>
            <w:proofErr w:type="spellStart"/>
            <w:r w:rsidRPr="000A79A4">
              <w:rPr>
                <w:rFonts w:ascii="Arial" w:hAnsi="Arial" w:cs="Arial"/>
                <w:lang w:val="en-IN"/>
              </w:rPr>
              <w:t>iRoot</w:t>
            </w:r>
            <w:proofErr w:type="spellEnd"/>
            <w:r w:rsidRPr="000A79A4">
              <w:rPr>
                <w:rFonts w:ascii="Arial" w:hAnsi="Arial" w:cs="Arial"/>
                <w:lang w:val="en-IN"/>
              </w:rPr>
              <w:t xml:space="preserve"> BP Plus)</w:t>
            </w:r>
          </w:p>
        </w:tc>
        <w:tc>
          <w:tcPr>
            <w:tcW w:w="0" w:type="auto"/>
            <w:hideMark/>
          </w:tcPr>
          <w:p w14:paraId="1E55F441"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Premixed, easy to use, excellent biocompatibility, no discoloration, bioactivity</w:t>
            </w:r>
          </w:p>
        </w:tc>
        <w:tc>
          <w:tcPr>
            <w:tcW w:w="0" w:type="auto"/>
            <w:hideMark/>
          </w:tcPr>
          <w:p w14:paraId="62883455"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Cost, limited long-term clinical data</w:t>
            </w:r>
          </w:p>
        </w:tc>
        <w:tc>
          <w:tcPr>
            <w:tcW w:w="0" w:type="auto"/>
            <w:hideMark/>
          </w:tcPr>
          <w:p w14:paraId="1E4C8F1A"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Tawil et al., 2016 – High clinical success in periapical surgery</w:t>
            </w:r>
          </w:p>
        </w:tc>
      </w:tr>
      <w:tr w:rsidR="000A79A4" w:rsidRPr="000A79A4" w14:paraId="6FF0FE6D" w14:textId="77777777" w:rsidTr="00646DC4">
        <w:tc>
          <w:tcPr>
            <w:tcW w:w="0" w:type="auto"/>
            <w:hideMark/>
          </w:tcPr>
          <w:p w14:paraId="6893419A"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Super-EBA (</w:t>
            </w:r>
            <w:proofErr w:type="spellStart"/>
            <w:r w:rsidRPr="000A79A4">
              <w:rPr>
                <w:rFonts w:ascii="Arial" w:hAnsi="Arial" w:cs="Arial"/>
                <w:lang w:val="en-IN"/>
              </w:rPr>
              <w:t>Ethoxybenzoic</w:t>
            </w:r>
            <w:proofErr w:type="spellEnd"/>
            <w:r w:rsidRPr="000A79A4">
              <w:rPr>
                <w:rFonts w:ascii="Arial" w:hAnsi="Arial" w:cs="Arial"/>
                <w:lang w:val="en-IN"/>
              </w:rPr>
              <w:t xml:space="preserve"> Acid-based Cement)</w:t>
            </w:r>
          </w:p>
        </w:tc>
        <w:tc>
          <w:tcPr>
            <w:tcW w:w="0" w:type="auto"/>
            <w:hideMark/>
          </w:tcPr>
          <w:p w14:paraId="7448986B"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Better sealing than amalgam, moderate biocompatibility, good handling</w:t>
            </w:r>
          </w:p>
        </w:tc>
        <w:tc>
          <w:tcPr>
            <w:tcW w:w="0" w:type="auto"/>
            <w:hideMark/>
          </w:tcPr>
          <w:p w14:paraId="200C3B28"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Eugenol content may cause tissue irritation, technique-sensitive, brittle</w:t>
            </w:r>
          </w:p>
        </w:tc>
        <w:tc>
          <w:tcPr>
            <w:tcW w:w="0" w:type="auto"/>
            <w:hideMark/>
          </w:tcPr>
          <w:p w14:paraId="104631CB"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Dorn &amp; Gartner, 1990 – Older clinical studies show ~75–85% success</w:t>
            </w:r>
          </w:p>
        </w:tc>
      </w:tr>
      <w:tr w:rsidR="000A79A4" w:rsidRPr="000A79A4" w14:paraId="30FC543E" w14:textId="77777777" w:rsidTr="00646DC4">
        <w:tc>
          <w:tcPr>
            <w:tcW w:w="0" w:type="auto"/>
            <w:hideMark/>
          </w:tcPr>
          <w:p w14:paraId="0B5D98F5"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Intermediate Restorative Material (IRM)</w:t>
            </w:r>
          </w:p>
        </w:tc>
        <w:tc>
          <w:tcPr>
            <w:tcW w:w="0" w:type="auto"/>
            <w:hideMark/>
          </w:tcPr>
          <w:p w14:paraId="20C19E23"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Easy to use, inexpensive, adequate sealing in dry conditions</w:t>
            </w:r>
          </w:p>
        </w:tc>
        <w:tc>
          <w:tcPr>
            <w:tcW w:w="0" w:type="auto"/>
            <w:hideMark/>
          </w:tcPr>
          <w:p w14:paraId="3EDC61DB"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Soluble, poor long-term sealing, eugenol cytotoxicity</w:t>
            </w:r>
          </w:p>
        </w:tc>
        <w:tc>
          <w:tcPr>
            <w:tcW w:w="0" w:type="auto"/>
            <w:hideMark/>
          </w:tcPr>
          <w:p w14:paraId="27A2F0CB"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Not recommended in modern microsurgery; success rate ~60–70% (Von Arx, 2011)</w:t>
            </w:r>
          </w:p>
        </w:tc>
      </w:tr>
      <w:tr w:rsidR="000A79A4" w:rsidRPr="000A79A4" w14:paraId="45A0AB81" w14:textId="77777777" w:rsidTr="00646DC4">
        <w:tc>
          <w:tcPr>
            <w:tcW w:w="0" w:type="auto"/>
            <w:hideMark/>
          </w:tcPr>
          <w:p w14:paraId="5B38A6B6"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Amalgam (obsolete)</w:t>
            </w:r>
          </w:p>
        </w:tc>
        <w:tc>
          <w:tcPr>
            <w:tcW w:w="0" w:type="auto"/>
            <w:hideMark/>
          </w:tcPr>
          <w:p w14:paraId="27608C4E"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Previously widely used, strong</w:t>
            </w:r>
          </w:p>
        </w:tc>
        <w:tc>
          <w:tcPr>
            <w:tcW w:w="0" w:type="auto"/>
            <w:hideMark/>
          </w:tcPr>
          <w:p w14:paraId="3DF34D4D"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Corrosion, leakage, staining, poor biocompatibility, microleakage</w:t>
            </w:r>
          </w:p>
        </w:tc>
        <w:tc>
          <w:tcPr>
            <w:tcW w:w="0" w:type="auto"/>
            <w:hideMark/>
          </w:tcPr>
          <w:p w14:paraId="39E948F5"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No longer recommended – Inferior outcomes (success ~50–60%)</w:t>
            </w:r>
          </w:p>
        </w:tc>
      </w:tr>
    </w:tbl>
    <w:p w14:paraId="3FE05F29" w14:textId="77777777" w:rsidR="000A79A4" w:rsidRPr="000A79A4" w:rsidRDefault="000A79A4" w:rsidP="000A79A4">
      <w:pPr>
        <w:spacing w:line="360" w:lineRule="auto"/>
        <w:jc w:val="both"/>
        <w:rPr>
          <w:rFonts w:ascii="Arial" w:hAnsi="Arial" w:cs="Arial"/>
          <w:sz w:val="22"/>
          <w:szCs w:val="22"/>
          <w:lang w:val="en-IN"/>
        </w:rPr>
      </w:pPr>
    </w:p>
    <w:p w14:paraId="1DAF85EF" w14:textId="77777777" w:rsidR="000A79A4" w:rsidRPr="000A79A4" w:rsidRDefault="000A79A4" w:rsidP="000A79A4">
      <w:pPr>
        <w:spacing w:line="360" w:lineRule="auto"/>
        <w:jc w:val="both"/>
        <w:rPr>
          <w:rFonts w:ascii="Arial" w:hAnsi="Arial" w:cs="Arial"/>
          <w:sz w:val="22"/>
          <w:szCs w:val="22"/>
          <w:lang w:val="en-IN"/>
        </w:rPr>
      </w:pPr>
    </w:p>
    <w:p w14:paraId="71B1D3B9" w14:textId="77777777" w:rsidR="000A79A4" w:rsidRPr="000A79A4" w:rsidRDefault="000A79A4" w:rsidP="000A79A4">
      <w:pPr>
        <w:pStyle w:val="ListParagraph"/>
        <w:numPr>
          <w:ilvl w:val="0"/>
          <w:numId w:val="43"/>
        </w:numPr>
        <w:spacing w:line="360" w:lineRule="auto"/>
        <w:jc w:val="both"/>
        <w:rPr>
          <w:rFonts w:ascii="Arial" w:hAnsi="Arial" w:cs="Arial"/>
          <w:lang w:val="en-IN"/>
        </w:rPr>
      </w:pPr>
      <w:r w:rsidRPr="000A79A4">
        <w:rPr>
          <w:rFonts w:ascii="Arial" w:hAnsi="Arial" w:cs="Arial"/>
          <w:lang w:val="en-IN"/>
        </w:rPr>
        <w:t>Soft Tissue and Bone Management</w:t>
      </w:r>
    </w:p>
    <w:p w14:paraId="4E145F5C" w14:textId="77777777" w:rsidR="000A79A4" w:rsidRDefault="000A79A4" w:rsidP="000A79A4">
      <w:pPr>
        <w:spacing w:line="360" w:lineRule="auto"/>
        <w:ind w:left="360"/>
        <w:jc w:val="both"/>
        <w:rPr>
          <w:rFonts w:ascii="Arial" w:hAnsi="Arial" w:cs="Arial"/>
          <w:sz w:val="22"/>
          <w:szCs w:val="22"/>
        </w:rPr>
      </w:pPr>
      <w:r w:rsidRPr="000A79A4">
        <w:rPr>
          <w:rFonts w:ascii="Arial" w:hAnsi="Arial" w:cs="Arial"/>
          <w:sz w:val="22"/>
          <w:szCs w:val="22"/>
        </w:rPr>
        <w:t xml:space="preserve">Successful endodontic microsurgery (EMS) requires not only the effective management of the root-end but also meticulous handling of the soft tissue and bone. Preservation of the periosteum, periodontal structures, and blood supply ensures optimal healing, minimizes postoperative complications, and enhances </w:t>
      </w:r>
      <w:r w:rsidRPr="000A79A4">
        <w:rPr>
          <w:rFonts w:ascii="Arial" w:hAnsi="Arial" w:cs="Arial"/>
          <w:sz w:val="22"/>
          <w:szCs w:val="22"/>
        </w:rPr>
        <w:lastRenderedPageBreak/>
        <w:t>esthetic outcomes.</w:t>
      </w:r>
      <w:r w:rsidRPr="000A79A4">
        <w:rPr>
          <w:rFonts w:ascii="Arial" w:hAnsi="Arial" w:cs="Arial"/>
          <w:sz w:val="22"/>
          <w:szCs w:val="22"/>
          <w:lang w:val="en-IN" w:eastAsia="en-IN" w:bidi="kn-IN"/>
        </w:rPr>
        <w:t xml:space="preserve"> </w:t>
      </w:r>
      <w:r w:rsidRPr="000A79A4">
        <w:rPr>
          <w:rFonts w:ascii="Arial" w:hAnsi="Arial" w:cs="Arial"/>
          <w:sz w:val="22"/>
          <w:szCs w:val="22"/>
          <w:lang w:val="en-IN"/>
        </w:rPr>
        <w:t xml:space="preserve">Use of </w:t>
      </w:r>
      <w:proofErr w:type="spellStart"/>
      <w:r w:rsidRPr="000A79A4">
        <w:rPr>
          <w:rFonts w:ascii="Arial" w:hAnsi="Arial" w:cs="Arial"/>
          <w:sz w:val="22"/>
          <w:szCs w:val="22"/>
          <w:lang w:val="en-IN"/>
        </w:rPr>
        <w:t>microblades</w:t>
      </w:r>
      <w:proofErr w:type="spellEnd"/>
      <w:r w:rsidRPr="000A79A4">
        <w:rPr>
          <w:rFonts w:ascii="Arial" w:hAnsi="Arial" w:cs="Arial"/>
          <w:sz w:val="22"/>
          <w:szCs w:val="22"/>
          <w:lang w:val="en-IN"/>
        </w:rPr>
        <w:t xml:space="preserve"> and microsurgical instruments (e.g., micro-scissors, tissue retractors) ensures precise incisions and minimal trauma. Papilla preservation flaps are preferred in </w:t>
      </w:r>
      <w:proofErr w:type="spellStart"/>
      <w:r w:rsidRPr="000A79A4">
        <w:rPr>
          <w:rFonts w:ascii="Arial" w:hAnsi="Arial" w:cs="Arial"/>
          <w:sz w:val="22"/>
          <w:szCs w:val="22"/>
          <w:lang w:val="en-IN"/>
        </w:rPr>
        <w:t>esthetically</w:t>
      </w:r>
      <w:proofErr w:type="spellEnd"/>
      <w:r w:rsidRPr="000A79A4">
        <w:rPr>
          <w:rFonts w:ascii="Arial" w:hAnsi="Arial" w:cs="Arial"/>
          <w:sz w:val="22"/>
          <w:szCs w:val="22"/>
          <w:lang w:val="en-IN"/>
        </w:rPr>
        <w:t xml:space="preserve"> sensitive regions. Suture techniques: Monofilament sutures (e.g., 6-0 or 7-0 polypropylene) and microsurgical knotting techniques promote faster healing with minimal scarring. </w:t>
      </w:r>
      <w:r w:rsidRPr="000A79A4">
        <w:rPr>
          <w:rFonts w:ascii="Arial" w:hAnsi="Arial" w:cs="Arial"/>
          <w:sz w:val="22"/>
          <w:szCs w:val="22"/>
        </w:rPr>
        <w:t xml:space="preserve">(Thomas et al., 2023; </w:t>
      </w:r>
      <w:proofErr w:type="spellStart"/>
      <w:r w:rsidRPr="000A79A4">
        <w:rPr>
          <w:rFonts w:ascii="Arial" w:hAnsi="Arial" w:cs="Arial"/>
          <w:sz w:val="22"/>
          <w:szCs w:val="22"/>
        </w:rPr>
        <w:t>Torabinejad</w:t>
      </w:r>
      <w:proofErr w:type="spellEnd"/>
      <w:r w:rsidRPr="000A79A4">
        <w:rPr>
          <w:rFonts w:ascii="Arial" w:hAnsi="Arial" w:cs="Arial"/>
          <w:sz w:val="22"/>
          <w:szCs w:val="22"/>
        </w:rPr>
        <w:t xml:space="preserve"> et al., 2010)</w:t>
      </w:r>
    </w:p>
    <w:p w14:paraId="7E9B2FB3" w14:textId="77777777" w:rsidR="00055E13" w:rsidRDefault="00055E13" w:rsidP="000A79A4">
      <w:pPr>
        <w:spacing w:line="360" w:lineRule="auto"/>
        <w:ind w:left="360"/>
        <w:jc w:val="both"/>
        <w:rPr>
          <w:rFonts w:ascii="Arial" w:hAnsi="Arial" w:cs="Arial"/>
          <w:sz w:val="22"/>
          <w:szCs w:val="22"/>
        </w:rPr>
      </w:pPr>
    </w:p>
    <w:p w14:paraId="2281D9B8" w14:textId="77777777" w:rsidR="00055E13" w:rsidRPr="000A79A4" w:rsidRDefault="00055E13" w:rsidP="000A79A4">
      <w:pPr>
        <w:spacing w:line="360" w:lineRule="auto"/>
        <w:ind w:left="360"/>
        <w:jc w:val="both"/>
        <w:rPr>
          <w:rFonts w:ascii="Arial" w:hAnsi="Arial" w:cs="Arial"/>
          <w:sz w:val="22"/>
          <w:szCs w:val="22"/>
          <w:lang w:val="en-IN"/>
        </w:rPr>
      </w:pPr>
    </w:p>
    <w:p w14:paraId="6A8A2CB3" w14:textId="0EB08A22" w:rsidR="000A79A4" w:rsidRPr="00055E13" w:rsidRDefault="00055E13" w:rsidP="000A79A4">
      <w:pPr>
        <w:spacing w:line="360" w:lineRule="auto"/>
        <w:ind w:left="360"/>
        <w:jc w:val="both"/>
        <w:rPr>
          <w:rFonts w:ascii="Arial" w:hAnsi="Arial" w:cs="Arial"/>
          <w:b/>
          <w:sz w:val="22"/>
          <w:szCs w:val="22"/>
        </w:rPr>
      </w:pPr>
      <w:r w:rsidRPr="00055E13">
        <w:rPr>
          <w:rFonts w:ascii="Arial" w:hAnsi="Arial" w:cs="Arial"/>
          <w:b/>
          <w:sz w:val="22"/>
          <w:szCs w:val="22"/>
        </w:rPr>
        <w:t xml:space="preserve">TABLE 2. </w:t>
      </w:r>
      <w:r w:rsidR="00AF5B14" w:rsidRPr="00AF5B14">
        <w:rPr>
          <w:rFonts w:ascii="Arial" w:hAnsi="Arial" w:cs="Arial"/>
          <w:b/>
          <w:sz w:val="22"/>
          <w:szCs w:val="22"/>
        </w:rPr>
        <w:t>Overview of Flap Designs in Endodontic Surgery</w:t>
      </w:r>
    </w:p>
    <w:tbl>
      <w:tblPr>
        <w:tblStyle w:val="TableGrid"/>
        <w:tblW w:w="0" w:type="auto"/>
        <w:tblLook w:val="04A0" w:firstRow="1" w:lastRow="0" w:firstColumn="1" w:lastColumn="0" w:noHBand="0" w:noVBand="1"/>
      </w:tblPr>
      <w:tblGrid>
        <w:gridCol w:w="2475"/>
        <w:gridCol w:w="1858"/>
        <w:gridCol w:w="2105"/>
        <w:gridCol w:w="1986"/>
      </w:tblGrid>
      <w:tr w:rsidR="000A79A4" w:rsidRPr="000A79A4" w14:paraId="6BB01A36" w14:textId="77777777" w:rsidTr="00646DC4">
        <w:tc>
          <w:tcPr>
            <w:tcW w:w="0" w:type="auto"/>
            <w:hideMark/>
          </w:tcPr>
          <w:p w14:paraId="51E1CC75"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Flap Type</w:t>
            </w:r>
          </w:p>
        </w:tc>
        <w:tc>
          <w:tcPr>
            <w:tcW w:w="0" w:type="auto"/>
            <w:hideMark/>
          </w:tcPr>
          <w:p w14:paraId="5E6D80E4"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Indications</w:t>
            </w:r>
          </w:p>
        </w:tc>
        <w:tc>
          <w:tcPr>
            <w:tcW w:w="0" w:type="auto"/>
            <w:hideMark/>
          </w:tcPr>
          <w:p w14:paraId="29F6833F"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Advantages</w:t>
            </w:r>
          </w:p>
        </w:tc>
        <w:tc>
          <w:tcPr>
            <w:tcW w:w="0" w:type="auto"/>
            <w:hideMark/>
          </w:tcPr>
          <w:p w14:paraId="7115C83F"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Limitations</w:t>
            </w:r>
          </w:p>
        </w:tc>
      </w:tr>
      <w:tr w:rsidR="000A79A4" w:rsidRPr="000A79A4" w14:paraId="14FDFDD7" w14:textId="77777777" w:rsidTr="00646DC4">
        <w:tc>
          <w:tcPr>
            <w:tcW w:w="0" w:type="auto"/>
            <w:hideMark/>
          </w:tcPr>
          <w:p w14:paraId="5DEA773C"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Triangular Flap (vertical + sulcular)</w:t>
            </w:r>
          </w:p>
        </w:tc>
        <w:tc>
          <w:tcPr>
            <w:tcW w:w="0" w:type="auto"/>
            <w:hideMark/>
          </w:tcPr>
          <w:p w14:paraId="06ED2F1D"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Posterior teeth</w:t>
            </w:r>
          </w:p>
        </w:tc>
        <w:tc>
          <w:tcPr>
            <w:tcW w:w="0" w:type="auto"/>
            <w:hideMark/>
          </w:tcPr>
          <w:p w14:paraId="543517BE"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Simple and fast access</w:t>
            </w:r>
          </w:p>
        </w:tc>
        <w:tc>
          <w:tcPr>
            <w:tcW w:w="0" w:type="auto"/>
            <w:hideMark/>
          </w:tcPr>
          <w:p w14:paraId="13DCB44F"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Risk of gingival recession</w:t>
            </w:r>
          </w:p>
        </w:tc>
      </w:tr>
      <w:tr w:rsidR="000A79A4" w:rsidRPr="000A79A4" w14:paraId="0EF9F3E5" w14:textId="77777777" w:rsidTr="00646DC4">
        <w:tc>
          <w:tcPr>
            <w:tcW w:w="0" w:type="auto"/>
            <w:hideMark/>
          </w:tcPr>
          <w:p w14:paraId="6EFFCAFD"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Rectangular Flap (two verticals + sulcular)</w:t>
            </w:r>
          </w:p>
        </w:tc>
        <w:tc>
          <w:tcPr>
            <w:tcW w:w="0" w:type="auto"/>
            <w:hideMark/>
          </w:tcPr>
          <w:p w14:paraId="661B3A5A"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Broad access areas</w:t>
            </w:r>
          </w:p>
        </w:tc>
        <w:tc>
          <w:tcPr>
            <w:tcW w:w="0" w:type="auto"/>
            <w:hideMark/>
          </w:tcPr>
          <w:p w14:paraId="3D9A8502"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Better reflection and visibility</w:t>
            </w:r>
          </w:p>
        </w:tc>
        <w:tc>
          <w:tcPr>
            <w:tcW w:w="0" w:type="auto"/>
            <w:hideMark/>
          </w:tcPr>
          <w:p w14:paraId="6BED704C"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Greater surgical trauma</w:t>
            </w:r>
          </w:p>
        </w:tc>
      </w:tr>
      <w:tr w:rsidR="000A79A4" w:rsidRPr="000A79A4" w14:paraId="35428DCB" w14:textId="77777777" w:rsidTr="00646DC4">
        <w:tc>
          <w:tcPr>
            <w:tcW w:w="0" w:type="auto"/>
            <w:hideMark/>
          </w:tcPr>
          <w:p w14:paraId="260E5B67"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Papilla Base Flap (Velvart technique)</w:t>
            </w:r>
          </w:p>
        </w:tc>
        <w:tc>
          <w:tcPr>
            <w:tcW w:w="0" w:type="auto"/>
            <w:hideMark/>
          </w:tcPr>
          <w:p w14:paraId="0FD555A3"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 xml:space="preserve">Anterior </w:t>
            </w:r>
            <w:proofErr w:type="spellStart"/>
            <w:r w:rsidRPr="000A79A4">
              <w:rPr>
                <w:rFonts w:ascii="Arial" w:hAnsi="Arial" w:cs="Arial"/>
                <w:lang w:val="en-IN"/>
              </w:rPr>
              <w:t>esthetic</w:t>
            </w:r>
            <w:proofErr w:type="spellEnd"/>
            <w:r w:rsidRPr="000A79A4">
              <w:rPr>
                <w:rFonts w:ascii="Arial" w:hAnsi="Arial" w:cs="Arial"/>
                <w:lang w:val="en-IN"/>
              </w:rPr>
              <w:t xml:space="preserve"> zone</w:t>
            </w:r>
          </w:p>
        </w:tc>
        <w:tc>
          <w:tcPr>
            <w:tcW w:w="0" w:type="auto"/>
            <w:hideMark/>
          </w:tcPr>
          <w:p w14:paraId="0643122E"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 xml:space="preserve">Preserves interdental papilla and </w:t>
            </w:r>
            <w:proofErr w:type="spellStart"/>
            <w:r w:rsidRPr="000A79A4">
              <w:rPr>
                <w:rFonts w:ascii="Arial" w:hAnsi="Arial" w:cs="Arial"/>
                <w:lang w:val="en-IN"/>
              </w:rPr>
              <w:t>esthetics</w:t>
            </w:r>
            <w:proofErr w:type="spellEnd"/>
          </w:p>
        </w:tc>
        <w:tc>
          <w:tcPr>
            <w:tcW w:w="0" w:type="auto"/>
            <w:hideMark/>
          </w:tcPr>
          <w:p w14:paraId="561D1885"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Technique sensitive</w:t>
            </w:r>
          </w:p>
        </w:tc>
      </w:tr>
      <w:tr w:rsidR="000A79A4" w:rsidRPr="000A79A4" w14:paraId="3DED8B02" w14:textId="77777777" w:rsidTr="00646DC4">
        <w:tc>
          <w:tcPr>
            <w:tcW w:w="0" w:type="auto"/>
            <w:hideMark/>
          </w:tcPr>
          <w:p w14:paraId="554678AA"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Ochsenbein-Luebke Flap (mucogingival scalloped incision)</w:t>
            </w:r>
          </w:p>
        </w:tc>
        <w:tc>
          <w:tcPr>
            <w:tcW w:w="0" w:type="auto"/>
            <w:hideMark/>
          </w:tcPr>
          <w:p w14:paraId="0B8FFC62"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Thick biotype, anterior maxilla</w:t>
            </w:r>
          </w:p>
        </w:tc>
        <w:tc>
          <w:tcPr>
            <w:tcW w:w="0" w:type="auto"/>
            <w:hideMark/>
          </w:tcPr>
          <w:p w14:paraId="2DD20149"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Preserves marginal gingiva, good healing</w:t>
            </w:r>
          </w:p>
        </w:tc>
        <w:tc>
          <w:tcPr>
            <w:tcW w:w="0" w:type="auto"/>
            <w:hideMark/>
          </w:tcPr>
          <w:p w14:paraId="6C882482" w14:textId="77777777" w:rsidR="000A79A4" w:rsidRPr="000A79A4" w:rsidRDefault="000A79A4" w:rsidP="000A79A4">
            <w:pPr>
              <w:spacing w:line="360" w:lineRule="auto"/>
              <w:ind w:left="360"/>
              <w:jc w:val="both"/>
              <w:rPr>
                <w:rFonts w:ascii="Arial" w:hAnsi="Arial" w:cs="Arial"/>
                <w:lang w:val="en-IN"/>
              </w:rPr>
            </w:pPr>
            <w:r w:rsidRPr="000A79A4">
              <w:rPr>
                <w:rFonts w:ascii="Arial" w:hAnsi="Arial" w:cs="Arial"/>
                <w:lang w:val="en-IN"/>
              </w:rPr>
              <w:t>Not ideal in thin gingiva or posterior area</w:t>
            </w:r>
          </w:p>
        </w:tc>
      </w:tr>
    </w:tbl>
    <w:p w14:paraId="5CFAA843" w14:textId="77777777" w:rsidR="000A79A4" w:rsidRPr="000A79A4" w:rsidRDefault="000A79A4" w:rsidP="000A79A4">
      <w:pPr>
        <w:pStyle w:val="ListParagraph"/>
        <w:numPr>
          <w:ilvl w:val="0"/>
          <w:numId w:val="43"/>
        </w:numPr>
        <w:spacing w:line="360" w:lineRule="auto"/>
        <w:jc w:val="both"/>
        <w:rPr>
          <w:rFonts w:ascii="Arial" w:hAnsi="Arial" w:cs="Arial"/>
          <w:lang w:val="en-IN"/>
        </w:rPr>
      </w:pPr>
      <w:r w:rsidRPr="000A79A4">
        <w:rPr>
          <w:rFonts w:ascii="Arial" w:hAnsi="Arial" w:cs="Arial"/>
          <w:lang w:val="en-IN"/>
        </w:rPr>
        <w:t>Healing and Outcome Assessment</w:t>
      </w:r>
    </w:p>
    <w:p w14:paraId="1715F8B2" w14:textId="77777777" w:rsidR="000A79A4" w:rsidRPr="000A79A4" w:rsidRDefault="000A79A4" w:rsidP="000A79A4">
      <w:pPr>
        <w:spacing w:line="360" w:lineRule="auto"/>
        <w:ind w:left="360"/>
        <w:jc w:val="both"/>
        <w:rPr>
          <w:rFonts w:ascii="Arial" w:hAnsi="Arial" w:cs="Arial"/>
          <w:sz w:val="22"/>
          <w:szCs w:val="22"/>
          <w:lang w:val="en-IN"/>
        </w:rPr>
      </w:pPr>
      <w:r w:rsidRPr="000A79A4">
        <w:rPr>
          <w:rFonts w:ascii="Arial" w:hAnsi="Arial" w:cs="Arial"/>
          <w:sz w:val="22"/>
          <w:szCs w:val="22"/>
          <w:lang w:val="en-IN"/>
        </w:rPr>
        <w:t>Wound Closure and Healing</w:t>
      </w:r>
    </w:p>
    <w:p w14:paraId="40F27CC9" w14:textId="77777777" w:rsidR="000A79A4" w:rsidRPr="000A79A4" w:rsidRDefault="000A79A4" w:rsidP="000A79A4">
      <w:pPr>
        <w:numPr>
          <w:ilvl w:val="0"/>
          <w:numId w:val="44"/>
        </w:numPr>
        <w:spacing w:after="200" w:line="360" w:lineRule="auto"/>
        <w:jc w:val="both"/>
        <w:rPr>
          <w:rFonts w:ascii="Arial" w:hAnsi="Arial" w:cs="Arial"/>
          <w:sz w:val="22"/>
          <w:szCs w:val="22"/>
          <w:lang w:val="en-IN"/>
        </w:rPr>
      </w:pPr>
      <w:r w:rsidRPr="000A79A4">
        <w:rPr>
          <w:rFonts w:ascii="Arial" w:hAnsi="Arial" w:cs="Arial"/>
          <w:sz w:val="22"/>
          <w:szCs w:val="22"/>
          <w:lang w:val="en-IN"/>
        </w:rPr>
        <w:t xml:space="preserve">Primary wound closure using microsurgical sutures ensures faster healing and less scarring. Sutures removed in 5–7 days. Post-op healing assessed via clinical signs (absence of swelling, bleeding) and radiographic evidence (bone fill and resolution of radiolucency over 6–12 months). Healing patterns evaluated using </w:t>
      </w:r>
      <w:proofErr w:type="spellStart"/>
      <w:r w:rsidRPr="000A79A4">
        <w:rPr>
          <w:rFonts w:ascii="Arial" w:hAnsi="Arial" w:cs="Arial"/>
          <w:sz w:val="22"/>
          <w:szCs w:val="22"/>
          <w:lang w:val="en-IN"/>
        </w:rPr>
        <w:t>Rud</w:t>
      </w:r>
      <w:proofErr w:type="spellEnd"/>
      <w:r w:rsidRPr="000A79A4">
        <w:rPr>
          <w:rFonts w:ascii="Arial" w:hAnsi="Arial" w:cs="Arial"/>
          <w:sz w:val="22"/>
          <w:szCs w:val="22"/>
          <w:lang w:val="en-IN"/>
        </w:rPr>
        <w:t xml:space="preserve"> and </w:t>
      </w:r>
      <w:proofErr w:type="spellStart"/>
      <w:r w:rsidRPr="000A79A4">
        <w:rPr>
          <w:rFonts w:ascii="Arial" w:hAnsi="Arial" w:cs="Arial"/>
          <w:sz w:val="22"/>
          <w:szCs w:val="22"/>
          <w:lang w:val="en-IN"/>
        </w:rPr>
        <w:t>Molven's</w:t>
      </w:r>
      <w:proofErr w:type="spellEnd"/>
      <w:r w:rsidRPr="000A79A4">
        <w:rPr>
          <w:rFonts w:ascii="Arial" w:hAnsi="Arial" w:cs="Arial"/>
          <w:sz w:val="22"/>
          <w:szCs w:val="22"/>
          <w:lang w:val="en-IN"/>
        </w:rPr>
        <w:t xml:space="preserve"> criteria or CBCT-based assessment</w:t>
      </w:r>
    </w:p>
    <w:p w14:paraId="31AA06BC" w14:textId="77777777" w:rsidR="000A79A4" w:rsidRPr="000A79A4" w:rsidRDefault="000A79A4" w:rsidP="000A79A4">
      <w:pPr>
        <w:spacing w:line="360" w:lineRule="auto"/>
        <w:ind w:left="360"/>
        <w:jc w:val="both"/>
        <w:rPr>
          <w:rFonts w:ascii="Arial" w:hAnsi="Arial" w:cs="Arial"/>
          <w:sz w:val="22"/>
          <w:szCs w:val="22"/>
          <w:lang w:val="en-IN"/>
        </w:rPr>
      </w:pPr>
    </w:p>
    <w:p w14:paraId="62D11A5C"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6.3 Success Rates</w:t>
      </w:r>
    </w:p>
    <w:p w14:paraId="0AED20E1" w14:textId="77777777" w:rsidR="000A79A4" w:rsidRDefault="000A79A4" w:rsidP="000A79A4">
      <w:pPr>
        <w:spacing w:line="360" w:lineRule="auto"/>
        <w:jc w:val="both"/>
        <w:rPr>
          <w:rFonts w:ascii="Arial" w:hAnsi="Arial" w:cs="Arial"/>
          <w:sz w:val="22"/>
          <w:szCs w:val="22"/>
        </w:rPr>
      </w:pPr>
      <w:r w:rsidRPr="000A79A4">
        <w:rPr>
          <w:rFonts w:ascii="Arial" w:hAnsi="Arial" w:cs="Arial"/>
          <w:sz w:val="22"/>
          <w:szCs w:val="22"/>
        </w:rPr>
        <w:t xml:space="preserve">The success of endodontic microsurgery (EMS) has significantly improved in recent decades due to advances in magnification, microsurgical instruments, biocompatible root-end filling materials, and imaging modalities like CBCT. Current literature shows that EMS, when performed under modern protocols, achieves success rates up to 94–96%, which are superior to both conventional surgical techniques and often comparable to or better than nonsurgical retreatment in certain clinical situations. (Thomas et al., 2023; </w:t>
      </w:r>
      <w:proofErr w:type="spellStart"/>
      <w:r w:rsidRPr="000A79A4">
        <w:rPr>
          <w:rFonts w:ascii="Arial" w:hAnsi="Arial" w:cs="Arial"/>
          <w:sz w:val="22"/>
          <w:szCs w:val="22"/>
        </w:rPr>
        <w:t>Torabinejad</w:t>
      </w:r>
      <w:proofErr w:type="spellEnd"/>
      <w:r w:rsidRPr="000A79A4">
        <w:rPr>
          <w:rFonts w:ascii="Arial" w:hAnsi="Arial" w:cs="Arial"/>
          <w:sz w:val="22"/>
          <w:szCs w:val="22"/>
        </w:rPr>
        <w:t xml:space="preserve"> et al., 2010)</w:t>
      </w:r>
    </w:p>
    <w:p w14:paraId="461308F7" w14:textId="77777777" w:rsidR="00055E13" w:rsidRDefault="00055E13" w:rsidP="000A79A4">
      <w:pPr>
        <w:spacing w:line="360" w:lineRule="auto"/>
        <w:jc w:val="both"/>
        <w:rPr>
          <w:rFonts w:ascii="Arial" w:hAnsi="Arial" w:cs="Arial"/>
          <w:sz w:val="22"/>
          <w:szCs w:val="22"/>
        </w:rPr>
      </w:pPr>
    </w:p>
    <w:p w14:paraId="634BD288" w14:textId="435EB0C6" w:rsidR="00055E13" w:rsidRPr="00055E13" w:rsidRDefault="00055E13" w:rsidP="000A79A4">
      <w:pPr>
        <w:spacing w:line="360" w:lineRule="auto"/>
        <w:jc w:val="both"/>
        <w:rPr>
          <w:rFonts w:ascii="Arial" w:hAnsi="Arial" w:cs="Arial"/>
          <w:b/>
          <w:sz w:val="22"/>
          <w:szCs w:val="22"/>
        </w:rPr>
      </w:pPr>
      <w:r w:rsidRPr="00055E13">
        <w:rPr>
          <w:rFonts w:ascii="Arial" w:hAnsi="Arial" w:cs="Arial"/>
          <w:b/>
          <w:sz w:val="22"/>
          <w:szCs w:val="22"/>
        </w:rPr>
        <w:t xml:space="preserve">TABLE 3.  </w:t>
      </w:r>
      <w:r w:rsidR="00AF5B14" w:rsidRPr="00AF5B14">
        <w:rPr>
          <w:rFonts w:ascii="Arial" w:hAnsi="Arial" w:cs="Arial"/>
          <w:b/>
          <w:sz w:val="22"/>
          <w:szCs w:val="22"/>
        </w:rPr>
        <w:t>Success Rates in Endodontic Surgery</w:t>
      </w:r>
    </w:p>
    <w:p w14:paraId="6ED88D56" w14:textId="77777777" w:rsidR="000A79A4" w:rsidRPr="000A79A4" w:rsidRDefault="000A79A4" w:rsidP="000A79A4">
      <w:pPr>
        <w:spacing w:line="36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1937"/>
        <w:gridCol w:w="2530"/>
        <w:gridCol w:w="2071"/>
        <w:gridCol w:w="1886"/>
      </w:tblGrid>
      <w:tr w:rsidR="000A79A4" w:rsidRPr="000A79A4" w14:paraId="1F386EA2" w14:textId="77777777" w:rsidTr="00646DC4">
        <w:tc>
          <w:tcPr>
            <w:tcW w:w="0" w:type="auto"/>
            <w:hideMark/>
          </w:tcPr>
          <w:p w14:paraId="04B30598" w14:textId="77777777" w:rsidR="000A79A4" w:rsidRPr="000A79A4" w:rsidRDefault="000A79A4" w:rsidP="000A79A4">
            <w:pPr>
              <w:spacing w:line="360" w:lineRule="auto"/>
              <w:jc w:val="both"/>
              <w:rPr>
                <w:rFonts w:ascii="Arial" w:hAnsi="Arial" w:cs="Arial"/>
                <w:b/>
                <w:lang w:val="en-IN"/>
              </w:rPr>
            </w:pPr>
            <w:r w:rsidRPr="000A79A4">
              <w:rPr>
                <w:rFonts w:ascii="Arial" w:hAnsi="Arial" w:cs="Arial"/>
                <w:b/>
                <w:lang w:val="en-IN"/>
              </w:rPr>
              <w:t>Study / Source</w:t>
            </w:r>
          </w:p>
        </w:tc>
        <w:tc>
          <w:tcPr>
            <w:tcW w:w="0" w:type="auto"/>
            <w:hideMark/>
          </w:tcPr>
          <w:p w14:paraId="62EA5AAE" w14:textId="77777777" w:rsidR="000A79A4" w:rsidRPr="000A79A4" w:rsidRDefault="000A79A4" w:rsidP="000A79A4">
            <w:pPr>
              <w:spacing w:line="360" w:lineRule="auto"/>
              <w:jc w:val="both"/>
              <w:rPr>
                <w:rFonts w:ascii="Arial" w:hAnsi="Arial" w:cs="Arial"/>
                <w:b/>
                <w:lang w:val="en-IN"/>
              </w:rPr>
            </w:pPr>
            <w:r w:rsidRPr="000A79A4">
              <w:rPr>
                <w:rFonts w:ascii="Arial" w:hAnsi="Arial" w:cs="Arial"/>
                <w:b/>
                <w:lang w:val="en-IN"/>
              </w:rPr>
              <w:t>Technique</w:t>
            </w:r>
          </w:p>
        </w:tc>
        <w:tc>
          <w:tcPr>
            <w:tcW w:w="0" w:type="auto"/>
            <w:hideMark/>
          </w:tcPr>
          <w:p w14:paraId="53A5A378" w14:textId="77777777" w:rsidR="000A79A4" w:rsidRPr="000A79A4" w:rsidRDefault="000A79A4" w:rsidP="000A79A4">
            <w:pPr>
              <w:spacing w:line="360" w:lineRule="auto"/>
              <w:jc w:val="both"/>
              <w:rPr>
                <w:rFonts w:ascii="Arial" w:hAnsi="Arial" w:cs="Arial"/>
                <w:b/>
                <w:lang w:val="en-IN"/>
              </w:rPr>
            </w:pPr>
            <w:r w:rsidRPr="000A79A4">
              <w:rPr>
                <w:rFonts w:ascii="Arial" w:hAnsi="Arial" w:cs="Arial"/>
                <w:b/>
                <w:lang w:val="en-IN"/>
              </w:rPr>
              <w:t>Reported Success Rate (%)</w:t>
            </w:r>
          </w:p>
        </w:tc>
        <w:tc>
          <w:tcPr>
            <w:tcW w:w="0" w:type="auto"/>
            <w:hideMark/>
          </w:tcPr>
          <w:p w14:paraId="147D1FC4" w14:textId="77777777" w:rsidR="000A79A4" w:rsidRPr="000A79A4" w:rsidRDefault="000A79A4" w:rsidP="000A79A4">
            <w:pPr>
              <w:spacing w:line="360" w:lineRule="auto"/>
              <w:jc w:val="both"/>
              <w:rPr>
                <w:rFonts w:ascii="Arial" w:hAnsi="Arial" w:cs="Arial"/>
                <w:b/>
                <w:lang w:val="en-IN"/>
              </w:rPr>
            </w:pPr>
            <w:r w:rsidRPr="000A79A4">
              <w:rPr>
                <w:rFonts w:ascii="Arial" w:hAnsi="Arial" w:cs="Arial"/>
                <w:b/>
                <w:lang w:val="en-IN"/>
              </w:rPr>
              <w:t>Follow-Up Period</w:t>
            </w:r>
          </w:p>
        </w:tc>
      </w:tr>
      <w:tr w:rsidR="000A79A4" w:rsidRPr="000A79A4" w14:paraId="3AB816F0" w14:textId="77777777" w:rsidTr="00646DC4">
        <w:tc>
          <w:tcPr>
            <w:tcW w:w="0" w:type="auto"/>
            <w:hideMark/>
          </w:tcPr>
          <w:p w14:paraId="52F8FAD1"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 xml:space="preserve">Kim &amp; </w:t>
            </w:r>
            <w:proofErr w:type="spellStart"/>
            <w:r w:rsidRPr="000A79A4">
              <w:rPr>
                <w:rFonts w:ascii="Arial" w:hAnsi="Arial" w:cs="Arial"/>
                <w:lang w:val="en-IN"/>
              </w:rPr>
              <w:t>Kratchman</w:t>
            </w:r>
            <w:proofErr w:type="spellEnd"/>
            <w:r w:rsidRPr="000A79A4">
              <w:rPr>
                <w:rFonts w:ascii="Arial" w:hAnsi="Arial" w:cs="Arial"/>
                <w:lang w:val="en-IN"/>
              </w:rPr>
              <w:t>, 2006 (</w:t>
            </w:r>
            <w:r w:rsidRPr="000A79A4">
              <w:rPr>
                <w:rFonts w:ascii="Arial" w:hAnsi="Arial" w:cs="Arial"/>
                <w:i/>
                <w:iCs/>
                <w:lang w:val="en-IN"/>
              </w:rPr>
              <w:t xml:space="preserve">J </w:t>
            </w:r>
            <w:proofErr w:type="spellStart"/>
            <w:r w:rsidRPr="000A79A4">
              <w:rPr>
                <w:rFonts w:ascii="Arial" w:hAnsi="Arial" w:cs="Arial"/>
                <w:i/>
                <w:iCs/>
                <w:lang w:val="en-IN"/>
              </w:rPr>
              <w:t>Endod</w:t>
            </w:r>
            <w:proofErr w:type="spellEnd"/>
            <w:r w:rsidRPr="000A79A4">
              <w:rPr>
                <w:rFonts w:ascii="Arial" w:hAnsi="Arial" w:cs="Arial"/>
                <w:lang w:val="en-IN"/>
              </w:rPr>
              <w:t>)</w:t>
            </w:r>
          </w:p>
        </w:tc>
        <w:tc>
          <w:tcPr>
            <w:tcW w:w="0" w:type="auto"/>
            <w:hideMark/>
          </w:tcPr>
          <w:p w14:paraId="34BB0615"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Microsurgery with MTA</w:t>
            </w:r>
          </w:p>
        </w:tc>
        <w:tc>
          <w:tcPr>
            <w:tcW w:w="0" w:type="auto"/>
            <w:hideMark/>
          </w:tcPr>
          <w:p w14:paraId="05E52B86"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91–96%</w:t>
            </w:r>
          </w:p>
        </w:tc>
        <w:tc>
          <w:tcPr>
            <w:tcW w:w="0" w:type="auto"/>
            <w:hideMark/>
          </w:tcPr>
          <w:p w14:paraId="43C369A1"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1–4 years</w:t>
            </w:r>
          </w:p>
        </w:tc>
      </w:tr>
      <w:tr w:rsidR="000A79A4" w:rsidRPr="000A79A4" w14:paraId="632D603F" w14:textId="77777777" w:rsidTr="00646DC4">
        <w:tc>
          <w:tcPr>
            <w:tcW w:w="0" w:type="auto"/>
            <w:hideMark/>
          </w:tcPr>
          <w:p w14:paraId="4354B9AC"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Setzer et al., 2010 (</w:t>
            </w:r>
            <w:r w:rsidRPr="000A79A4">
              <w:rPr>
                <w:rFonts w:ascii="Arial" w:hAnsi="Arial" w:cs="Arial"/>
                <w:i/>
                <w:iCs/>
                <w:lang w:val="en-IN"/>
              </w:rPr>
              <w:t xml:space="preserve">J </w:t>
            </w:r>
            <w:proofErr w:type="spellStart"/>
            <w:r w:rsidRPr="000A79A4">
              <w:rPr>
                <w:rFonts w:ascii="Arial" w:hAnsi="Arial" w:cs="Arial"/>
                <w:i/>
                <w:iCs/>
                <w:lang w:val="en-IN"/>
              </w:rPr>
              <w:t>Endod</w:t>
            </w:r>
            <w:proofErr w:type="spellEnd"/>
            <w:r w:rsidRPr="000A79A4">
              <w:rPr>
                <w:rFonts w:ascii="Arial" w:hAnsi="Arial" w:cs="Arial"/>
                <w:lang w:val="en-IN"/>
              </w:rPr>
              <w:t>)</w:t>
            </w:r>
          </w:p>
        </w:tc>
        <w:tc>
          <w:tcPr>
            <w:tcW w:w="0" w:type="auto"/>
            <w:hideMark/>
          </w:tcPr>
          <w:p w14:paraId="2463D613"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Microsurgery (DOM + MTA) vs. traditional</w:t>
            </w:r>
          </w:p>
        </w:tc>
        <w:tc>
          <w:tcPr>
            <w:tcW w:w="0" w:type="auto"/>
            <w:hideMark/>
          </w:tcPr>
          <w:p w14:paraId="25186188"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Microsurgery: 94%, Traditional: 59%</w:t>
            </w:r>
          </w:p>
        </w:tc>
        <w:tc>
          <w:tcPr>
            <w:tcW w:w="0" w:type="auto"/>
            <w:hideMark/>
          </w:tcPr>
          <w:p w14:paraId="336274F3"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Meta-analysis</w:t>
            </w:r>
          </w:p>
        </w:tc>
      </w:tr>
      <w:tr w:rsidR="000A79A4" w:rsidRPr="000A79A4" w14:paraId="374DEF9A" w14:textId="77777777" w:rsidTr="00646DC4">
        <w:tc>
          <w:tcPr>
            <w:tcW w:w="0" w:type="auto"/>
            <w:hideMark/>
          </w:tcPr>
          <w:p w14:paraId="5ED24626" w14:textId="77777777" w:rsidR="000A79A4" w:rsidRPr="000A79A4" w:rsidRDefault="000A79A4" w:rsidP="000A79A4">
            <w:pPr>
              <w:spacing w:line="360" w:lineRule="auto"/>
              <w:jc w:val="both"/>
              <w:rPr>
                <w:rFonts w:ascii="Arial" w:hAnsi="Arial" w:cs="Arial"/>
                <w:lang w:val="en-IN"/>
              </w:rPr>
            </w:pPr>
            <w:proofErr w:type="spellStart"/>
            <w:r w:rsidRPr="000A79A4">
              <w:rPr>
                <w:rFonts w:ascii="Arial" w:hAnsi="Arial" w:cs="Arial"/>
                <w:lang w:val="en-IN"/>
              </w:rPr>
              <w:t>Tsesis</w:t>
            </w:r>
            <w:proofErr w:type="spellEnd"/>
            <w:r w:rsidRPr="000A79A4">
              <w:rPr>
                <w:rFonts w:ascii="Arial" w:hAnsi="Arial" w:cs="Arial"/>
                <w:lang w:val="en-IN"/>
              </w:rPr>
              <w:t xml:space="preserve"> et al., 2013 (</w:t>
            </w:r>
            <w:r w:rsidRPr="000A79A4">
              <w:rPr>
                <w:rFonts w:ascii="Arial" w:hAnsi="Arial" w:cs="Arial"/>
                <w:i/>
                <w:iCs/>
                <w:lang w:val="en-IN"/>
              </w:rPr>
              <w:t xml:space="preserve">J </w:t>
            </w:r>
            <w:proofErr w:type="spellStart"/>
            <w:r w:rsidRPr="000A79A4">
              <w:rPr>
                <w:rFonts w:ascii="Arial" w:hAnsi="Arial" w:cs="Arial"/>
                <w:i/>
                <w:iCs/>
                <w:lang w:val="en-IN"/>
              </w:rPr>
              <w:t>Endod</w:t>
            </w:r>
            <w:proofErr w:type="spellEnd"/>
            <w:r w:rsidRPr="000A79A4">
              <w:rPr>
                <w:rFonts w:ascii="Arial" w:hAnsi="Arial" w:cs="Arial"/>
                <w:lang w:val="en-IN"/>
              </w:rPr>
              <w:t>)</w:t>
            </w:r>
          </w:p>
        </w:tc>
        <w:tc>
          <w:tcPr>
            <w:tcW w:w="0" w:type="auto"/>
            <w:hideMark/>
          </w:tcPr>
          <w:p w14:paraId="43DA03E9"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Modern microsurgical technique</w:t>
            </w:r>
          </w:p>
        </w:tc>
        <w:tc>
          <w:tcPr>
            <w:tcW w:w="0" w:type="auto"/>
            <w:hideMark/>
          </w:tcPr>
          <w:p w14:paraId="1DD4CEE6"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91.6%</w:t>
            </w:r>
          </w:p>
        </w:tc>
        <w:tc>
          <w:tcPr>
            <w:tcW w:w="0" w:type="auto"/>
            <w:hideMark/>
          </w:tcPr>
          <w:p w14:paraId="08120B73"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Meta-analysis (CBCT-based studies)</w:t>
            </w:r>
          </w:p>
        </w:tc>
      </w:tr>
      <w:tr w:rsidR="000A79A4" w:rsidRPr="000A79A4" w14:paraId="53D7F792" w14:textId="77777777" w:rsidTr="00646DC4">
        <w:tc>
          <w:tcPr>
            <w:tcW w:w="0" w:type="auto"/>
            <w:hideMark/>
          </w:tcPr>
          <w:p w14:paraId="43EDC2F5"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Song &amp; Kim, 2012 (</w:t>
            </w:r>
            <w:r w:rsidRPr="000A79A4">
              <w:rPr>
                <w:rFonts w:ascii="Arial" w:hAnsi="Arial" w:cs="Arial"/>
                <w:i/>
                <w:iCs/>
                <w:lang w:val="en-IN"/>
              </w:rPr>
              <w:t xml:space="preserve">Clin Oral </w:t>
            </w:r>
            <w:proofErr w:type="spellStart"/>
            <w:r w:rsidRPr="000A79A4">
              <w:rPr>
                <w:rFonts w:ascii="Arial" w:hAnsi="Arial" w:cs="Arial"/>
                <w:i/>
                <w:iCs/>
                <w:lang w:val="en-IN"/>
              </w:rPr>
              <w:t>Investig</w:t>
            </w:r>
            <w:proofErr w:type="spellEnd"/>
            <w:r w:rsidRPr="000A79A4">
              <w:rPr>
                <w:rFonts w:ascii="Arial" w:hAnsi="Arial" w:cs="Arial"/>
                <w:lang w:val="en-IN"/>
              </w:rPr>
              <w:t>)</w:t>
            </w:r>
          </w:p>
        </w:tc>
        <w:tc>
          <w:tcPr>
            <w:tcW w:w="0" w:type="auto"/>
            <w:hideMark/>
          </w:tcPr>
          <w:p w14:paraId="135D0CF2"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Microsurgery using CBCT planning</w:t>
            </w:r>
          </w:p>
        </w:tc>
        <w:tc>
          <w:tcPr>
            <w:tcW w:w="0" w:type="auto"/>
            <w:hideMark/>
          </w:tcPr>
          <w:p w14:paraId="73C64E84"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92%</w:t>
            </w:r>
          </w:p>
        </w:tc>
        <w:tc>
          <w:tcPr>
            <w:tcW w:w="0" w:type="auto"/>
            <w:hideMark/>
          </w:tcPr>
          <w:p w14:paraId="19BF1D69"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2 years</w:t>
            </w:r>
          </w:p>
        </w:tc>
      </w:tr>
      <w:tr w:rsidR="000A79A4" w:rsidRPr="000A79A4" w14:paraId="7C5C3B83" w14:textId="77777777" w:rsidTr="00646DC4">
        <w:tc>
          <w:tcPr>
            <w:tcW w:w="0" w:type="auto"/>
            <w:hideMark/>
          </w:tcPr>
          <w:p w14:paraId="1F417F3F"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Von Arx et al., 2011 (</w:t>
            </w:r>
            <w:r w:rsidRPr="000A79A4">
              <w:rPr>
                <w:rFonts w:ascii="Arial" w:hAnsi="Arial" w:cs="Arial"/>
                <w:i/>
                <w:iCs/>
                <w:lang w:val="en-IN"/>
              </w:rPr>
              <w:t>Saudi Dent J</w:t>
            </w:r>
            <w:r w:rsidRPr="000A79A4">
              <w:rPr>
                <w:rFonts w:ascii="Arial" w:hAnsi="Arial" w:cs="Arial"/>
                <w:lang w:val="en-IN"/>
              </w:rPr>
              <w:t>)</w:t>
            </w:r>
          </w:p>
        </w:tc>
        <w:tc>
          <w:tcPr>
            <w:tcW w:w="0" w:type="auto"/>
            <w:hideMark/>
          </w:tcPr>
          <w:p w14:paraId="2EBB5A3F"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 xml:space="preserve">Microsurgery with ultrasonic prep + </w:t>
            </w:r>
            <w:proofErr w:type="spellStart"/>
            <w:r w:rsidRPr="000A79A4">
              <w:rPr>
                <w:rFonts w:ascii="Arial" w:hAnsi="Arial" w:cs="Arial"/>
                <w:lang w:val="en-IN"/>
              </w:rPr>
              <w:t>bioceramic</w:t>
            </w:r>
            <w:proofErr w:type="spellEnd"/>
          </w:p>
        </w:tc>
        <w:tc>
          <w:tcPr>
            <w:tcW w:w="0" w:type="auto"/>
            <w:hideMark/>
          </w:tcPr>
          <w:p w14:paraId="6481EBDD"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90–93%</w:t>
            </w:r>
          </w:p>
        </w:tc>
        <w:tc>
          <w:tcPr>
            <w:tcW w:w="0" w:type="auto"/>
            <w:hideMark/>
          </w:tcPr>
          <w:p w14:paraId="67427A57"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Systematic review</w:t>
            </w:r>
          </w:p>
        </w:tc>
      </w:tr>
      <w:tr w:rsidR="000A79A4" w:rsidRPr="000A79A4" w14:paraId="55630D0F" w14:textId="77777777" w:rsidTr="00646DC4">
        <w:tc>
          <w:tcPr>
            <w:tcW w:w="0" w:type="auto"/>
            <w:hideMark/>
          </w:tcPr>
          <w:p w14:paraId="7963FD9B" w14:textId="77777777" w:rsidR="000A79A4" w:rsidRPr="000A79A4" w:rsidRDefault="000A79A4" w:rsidP="000A79A4">
            <w:pPr>
              <w:spacing w:line="360" w:lineRule="auto"/>
              <w:jc w:val="both"/>
              <w:rPr>
                <w:rFonts w:ascii="Arial" w:hAnsi="Arial" w:cs="Arial"/>
                <w:lang w:val="en-IN"/>
              </w:rPr>
            </w:pPr>
            <w:proofErr w:type="spellStart"/>
            <w:r w:rsidRPr="000A79A4">
              <w:rPr>
                <w:rFonts w:ascii="Arial" w:hAnsi="Arial" w:cs="Arial"/>
                <w:lang w:val="en-IN"/>
              </w:rPr>
              <w:t>Gagliani</w:t>
            </w:r>
            <w:proofErr w:type="spellEnd"/>
            <w:r w:rsidRPr="000A79A4">
              <w:rPr>
                <w:rFonts w:ascii="Arial" w:hAnsi="Arial" w:cs="Arial"/>
                <w:lang w:val="en-IN"/>
              </w:rPr>
              <w:t xml:space="preserve"> et al., 2005</w:t>
            </w:r>
          </w:p>
        </w:tc>
        <w:tc>
          <w:tcPr>
            <w:tcW w:w="0" w:type="auto"/>
            <w:hideMark/>
          </w:tcPr>
          <w:p w14:paraId="0C052E9B"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Traditional surgery with amalgam/Super-EBA</w:t>
            </w:r>
          </w:p>
        </w:tc>
        <w:tc>
          <w:tcPr>
            <w:tcW w:w="0" w:type="auto"/>
            <w:hideMark/>
          </w:tcPr>
          <w:p w14:paraId="3DD99732"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59–70%</w:t>
            </w:r>
          </w:p>
        </w:tc>
        <w:tc>
          <w:tcPr>
            <w:tcW w:w="0" w:type="auto"/>
            <w:hideMark/>
          </w:tcPr>
          <w:p w14:paraId="5F8A3D6B" w14:textId="77777777" w:rsidR="000A79A4" w:rsidRPr="000A79A4" w:rsidRDefault="000A79A4" w:rsidP="000A79A4">
            <w:pPr>
              <w:spacing w:line="360" w:lineRule="auto"/>
              <w:jc w:val="both"/>
              <w:rPr>
                <w:rFonts w:ascii="Arial" w:hAnsi="Arial" w:cs="Arial"/>
                <w:lang w:val="en-IN"/>
              </w:rPr>
            </w:pPr>
            <w:r w:rsidRPr="000A79A4">
              <w:rPr>
                <w:rFonts w:ascii="Arial" w:hAnsi="Arial" w:cs="Arial"/>
                <w:lang w:val="en-IN"/>
              </w:rPr>
              <w:t>1–5 years</w:t>
            </w:r>
          </w:p>
        </w:tc>
      </w:tr>
    </w:tbl>
    <w:p w14:paraId="53F8D476" w14:textId="77777777" w:rsidR="000A79A4" w:rsidRPr="000A79A4" w:rsidRDefault="000A79A4" w:rsidP="000A79A4">
      <w:pPr>
        <w:spacing w:line="360" w:lineRule="auto"/>
        <w:jc w:val="both"/>
        <w:rPr>
          <w:rFonts w:ascii="Arial" w:hAnsi="Arial" w:cs="Arial"/>
          <w:sz w:val="22"/>
          <w:szCs w:val="22"/>
        </w:rPr>
      </w:pPr>
    </w:p>
    <w:p w14:paraId="0BFB8ECF" w14:textId="77777777" w:rsidR="000A79A4" w:rsidRPr="000A79A4" w:rsidRDefault="000A79A4" w:rsidP="000A79A4">
      <w:pPr>
        <w:spacing w:line="360" w:lineRule="auto"/>
        <w:jc w:val="both"/>
        <w:rPr>
          <w:rFonts w:ascii="Arial" w:hAnsi="Arial" w:cs="Arial"/>
          <w:sz w:val="22"/>
          <w:szCs w:val="22"/>
          <w:lang w:val="en-IN"/>
        </w:rPr>
      </w:pPr>
    </w:p>
    <w:p w14:paraId="4CA249CE"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7. Complications and Management</w:t>
      </w:r>
    </w:p>
    <w:p w14:paraId="08F63CEE" w14:textId="77777777" w:rsidR="000A79A4" w:rsidRPr="000A79A4" w:rsidRDefault="000A79A4" w:rsidP="000A79A4">
      <w:pPr>
        <w:numPr>
          <w:ilvl w:val="0"/>
          <w:numId w:val="32"/>
        </w:numPr>
        <w:spacing w:after="200" w:line="360" w:lineRule="auto"/>
        <w:jc w:val="both"/>
        <w:rPr>
          <w:rFonts w:ascii="Arial" w:hAnsi="Arial" w:cs="Arial"/>
          <w:sz w:val="22"/>
          <w:szCs w:val="22"/>
          <w:lang w:val="en-IN"/>
        </w:rPr>
      </w:pPr>
      <w:r w:rsidRPr="000A79A4">
        <w:rPr>
          <w:rFonts w:ascii="Arial" w:hAnsi="Arial" w:cs="Arial"/>
          <w:sz w:val="22"/>
          <w:szCs w:val="22"/>
          <w:lang w:val="en-IN"/>
        </w:rPr>
        <w:t xml:space="preserve">Intraoperative bleeding: Controlled using local </w:t>
      </w:r>
      <w:proofErr w:type="spellStart"/>
      <w:r w:rsidRPr="000A79A4">
        <w:rPr>
          <w:rFonts w:ascii="Arial" w:hAnsi="Arial" w:cs="Arial"/>
          <w:sz w:val="22"/>
          <w:szCs w:val="22"/>
          <w:lang w:val="en-IN"/>
        </w:rPr>
        <w:t>hemostatic</w:t>
      </w:r>
      <w:proofErr w:type="spellEnd"/>
      <w:r w:rsidRPr="000A79A4">
        <w:rPr>
          <w:rFonts w:ascii="Arial" w:hAnsi="Arial" w:cs="Arial"/>
          <w:sz w:val="22"/>
          <w:szCs w:val="22"/>
          <w:lang w:val="en-IN"/>
        </w:rPr>
        <w:t xml:space="preserve"> agents.</w:t>
      </w:r>
    </w:p>
    <w:p w14:paraId="698C28CF" w14:textId="77777777" w:rsidR="000A79A4" w:rsidRPr="000A79A4" w:rsidRDefault="000A79A4" w:rsidP="000A79A4">
      <w:pPr>
        <w:numPr>
          <w:ilvl w:val="0"/>
          <w:numId w:val="32"/>
        </w:numPr>
        <w:spacing w:after="200" w:line="360" w:lineRule="auto"/>
        <w:jc w:val="both"/>
        <w:rPr>
          <w:rFonts w:ascii="Arial" w:hAnsi="Arial" w:cs="Arial"/>
          <w:sz w:val="22"/>
          <w:szCs w:val="22"/>
          <w:lang w:val="en-IN"/>
        </w:rPr>
      </w:pPr>
      <w:r w:rsidRPr="000A79A4">
        <w:rPr>
          <w:rFonts w:ascii="Arial" w:hAnsi="Arial" w:cs="Arial"/>
          <w:sz w:val="22"/>
          <w:szCs w:val="22"/>
          <w:lang w:val="en-IN"/>
        </w:rPr>
        <w:t>Postoperative swelling or discomfort: Managed with NSAIDs, cold compress.</w:t>
      </w:r>
    </w:p>
    <w:p w14:paraId="41068FCD" w14:textId="77777777" w:rsidR="000A79A4" w:rsidRPr="000A79A4" w:rsidRDefault="000A79A4" w:rsidP="000A79A4">
      <w:pPr>
        <w:numPr>
          <w:ilvl w:val="0"/>
          <w:numId w:val="32"/>
        </w:numPr>
        <w:spacing w:after="200" w:line="360" w:lineRule="auto"/>
        <w:jc w:val="both"/>
        <w:rPr>
          <w:rFonts w:ascii="Arial" w:hAnsi="Arial" w:cs="Arial"/>
          <w:sz w:val="22"/>
          <w:szCs w:val="22"/>
          <w:lang w:val="en-IN"/>
        </w:rPr>
      </w:pPr>
      <w:r w:rsidRPr="000A79A4">
        <w:rPr>
          <w:rFonts w:ascii="Arial" w:hAnsi="Arial" w:cs="Arial"/>
          <w:sz w:val="22"/>
          <w:szCs w:val="22"/>
          <w:lang w:val="en-IN"/>
        </w:rPr>
        <w:t>Sinus membrane perforation or nerve injury: Minimized by pre-op CBCT and careful dissection.</w:t>
      </w:r>
    </w:p>
    <w:p w14:paraId="33C775F4" w14:textId="77777777" w:rsidR="000A79A4" w:rsidRPr="000A79A4" w:rsidRDefault="00AA330A" w:rsidP="000A79A4">
      <w:pPr>
        <w:spacing w:line="360" w:lineRule="auto"/>
        <w:jc w:val="both"/>
        <w:rPr>
          <w:rFonts w:ascii="Arial" w:hAnsi="Arial" w:cs="Arial"/>
          <w:sz w:val="22"/>
          <w:szCs w:val="22"/>
          <w:lang w:val="en-IN"/>
        </w:rPr>
      </w:pPr>
      <w:r>
        <w:rPr>
          <w:rFonts w:ascii="Arial" w:hAnsi="Arial" w:cs="Arial"/>
          <w:sz w:val="22"/>
          <w:szCs w:val="22"/>
          <w:lang w:val="en-IN"/>
        </w:rPr>
        <w:pict w14:anchorId="4F3DAE32">
          <v:rect id="_x0000_i1025" style="width:0;height:1.5pt" o:hralign="center" o:hrstd="t" o:hr="t" fillcolor="#a0a0a0" stroked="f"/>
        </w:pict>
      </w:r>
    </w:p>
    <w:p w14:paraId="0604DA40"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8. Future Directions and Innovations</w:t>
      </w:r>
    </w:p>
    <w:p w14:paraId="03357D1B" w14:textId="77777777" w:rsidR="000A79A4" w:rsidRPr="000A79A4" w:rsidRDefault="000A79A4" w:rsidP="000A79A4">
      <w:pPr>
        <w:numPr>
          <w:ilvl w:val="0"/>
          <w:numId w:val="33"/>
        </w:numPr>
        <w:spacing w:after="200" w:line="360" w:lineRule="auto"/>
        <w:jc w:val="both"/>
        <w:rPr>
          <w:rFonts w:ascii="Arial" w:hAnsi="Arial" w:cs="Arial"/>
          <w:sz w:val="22"/>
          <w:szCs w:val="22"/>
          <w:lang w:val="en-IN"/>
        </w:rPr>
      </w:pPr>
      <w:r w:rsidRPr="000A79A4">
        <w:rPr>
          <w:rFonts w:ascii="Arial" w:hAnsi="Arial" w:cs="Arial"/>
          <w:sz w:val="22"/>
          <w:szCs w:val="22"/>
          <w:lang w:val="en-IN"/>
        </w:rPr>
        <w:t>3D printed surgical guides for osteotomy positioning.</w:t>
      </w:r>
    </w:p>
    <w:p w14:paraId="360D1C99" w14:textId="77777777" w:rsidR="000A79A4" w:rsidRPr="000A79A4" w:rsidRDefault="000A79A4" w:rsidP="000A79A4">
      <w:pPr>
        <w:numPr>
          <w:ilvl w:val="0"/>
          <w:numId w:val="33"/>
        </w:numPr>
        <w:spacing w:after="200" w:line="360" w:lineRule="auto"/>
        <w:jc w:val="both"/>
        <w:rPr>
          <w:rFonts w:ascii="Arial" w:hAnsi="Arial" w:cs="Arial"/>
          <w:sz w:val="22"/>
          <w:szCs w:val="22"/>
          <w:lang w:val="en-IN"/>
        </w:rPr>
      </w:pPr>
      <w:r w:rsidRPr="000A79A4">
        <w:rPr>
          <w:rFonts w:ascii="Arial" w:hAnsi="Arial" w:cs="Arial"/>
          <w:sz w:val="22"/>
          <w:szCs w:val="22"/>
          <w:lang w:val="en-IN"/>
        </w:rPr>
        <w:t>Augmented reality and navigation systems for precise access.</w:t>
      </w:r>
    </w:p>
    <w:p w14:paraId="300EDE5F" w14:textId="77777777" w:rsidR="000A79A4" w:rsidRPr="000A79A4" w:rsidRDefault="000A79A4" w:rsidP="000A79A4">
      <w:pPr>
        <w:numPr>
          <w:ilvl w:val="0"/>
          <w:numId w:val="33"/>
        </w:numPr>
        <w:spacing w:after="200" w:line="360" w:lineRule="auto"/>
        <w:jc w:val="both"/>
        <w:rPr>
          <w:rFonts w:ascii="Arial" w:hAnsi="Arial" w:cs="Arial"/>
          <w:sz w:val="22"/>
          <w:szCs w:val="22"/>
          <w:lang w:val="en-IN"/>
        </w:rPr>
      </w:pPr>
      <w:r w:rsidRPr="000A79A4">
        <w:rPr>
          <w:rFonts w:ascii="Arial" w:hAnsi="Arial" w:cs="Arial"/>
          <w:sz w:val="22"/>
          <w:szCs w:val="22"/>
          <w:lang w:val="en-IN"/>
        </w:rPr>
        <w:t>Regenerative endodontic surgery integrating PRF and stem-cell-based scaffolds.</w:t>
      </w:r>
    </w:p>
    <w:p w14:paraId="4575A340" w14:textId="77777777" w:rsidR="000A79A4" w:rsidRPr="000A79A4" w:rsidRDefault="000A79A4" w:rsidP="000A79A4">
      <w:pPr>
        <w:numPr>
          <w:ilvl w:val="0"/>
          <w:numId w:val="33"/>
        </w:numPr>
        <w:spacing w:after="200" w:line="360" w:lineRule="auto"/>
        <w:jc w:val="both"/>
        <w:rPr>
          <w:rFonts w:ascii="Arial" w:hAnsi="Arial" w:cs="Arial"/>
          <w:sz w:val="22"/>
          <w:szCs w:val="22"/>
          <w:lang w:val="en-IN"/>
        </w:rPr>
      </w:pPr>
      <w:r w:rsidRPr="000A79A4">
        <w:rPr>
          <w:rFonts w:ascii="Arial" w:hAnsi="Arial" w:cs="Arial"/>
          <w:sz w:val="22"/>
          <w:szCs w:val="22"/>
          <w:lang w:val="en-IN"/>
        </w:rPr>
        <w:t>Nanotechnology-enhanced biomaterials for improved outcomes.</w:t>
      </w:r>
    </w:p>
    <w:p w14:paraId="4D04A5B1" w14:textId="77777777" w:rsidR="000A79A4" w:rsidRPr="000A79A4" w:rsidRDefault="000A79A4" w:rsidP="000A79A4">
      <w:pPr>
        <w:spacing w:line="360" w:lineRule="auto"/>
        <w:jc w:val="both"/>
        <w:rPr>
          <w:rFonts w:ascii="Arial" w:hAnsi="Arial" w:cs="Arial"/>
          <w:b/>
          <w:bCs/>
          <w:sz w:val="22"/>
          <w:szCs w:val="22"/>
        </w:rPr>
      </w:pPr>
    </w:p>
    <w:p w14:paraId="4655502A" w14:textId="77777777" w:rsidR="000A79A4" w:rsidRPr="000A79A4" w:rsidRDefault="000A79A4" w:rsidP="000A79A4">
      <w:pPr>
        <w:spacing w:line="360" w:lineRule="auto"/>
        <w:jc w:val="both"/>
        <w:rPr>
          <w:rFonts w:ascii="Arial" w:hAnsi="Arial" w:cs="Arial"/>
          <w:b/>
          <w:bCs/>
          <w:sz w:val="22"/>
          <w:szCs w:val="22"/>
        </w:rPr>
      </w:pPr>
    </w:p>
    <w:p w14:paraId="51F1456E" w14:textId="77777777" w:rsidR="000A79A4" w:rsidRPr="000A79A4" w:rsidRDefault="000A79A4" w:rsidP="000A79A4">
      <w:pPr>
        <w:spacing w:line="360" w:lineRule="auto"/>
        <w:jc w:val="both"/>
        <w:rPr>
          <w:rFonts w:ascii="Arial" w:hAnsi="Arial" w:cs="Arial"/>
          <w:b/>
          <w:bCs/>
          <w:sz w:val="22"/>
          <w:szCs w:val="22"/>
        </w:rPr>
      </w:pPr>
      <w:r w:rsidRPr="000A79A4">
        <w:rPr>
          <w:rFonts w:ascii="Arial" w:hAnsi="Arial" w:cs="Arial"/>
          <w:b/>
          <w:bCs/>
          <w:sz w:val="22"/>
          <w:szCs w:val="22"/>
        </w:rPr>
        <w:t>DISCUSSION:-</w:t>
      </w:r>
    </w:p>
    <w:p w14:paraId="30017590"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Endodontic microsurgery (EMS) represents one of the most transformative advancements in the field of contemporary endodontics. Traditionally perceived as a last-resort or failure-management procedure following nonsurgical root canal treatment (NSRCT), surgical endodontics has undergone a paradigm shift with the advent of magnification, micro-instrumentation, biocompatible materials, and advanced imaging modalities. This evolution has not only enhanced the predictability of surgical outcomes but also redefined EMS as a minimally invasive, evidence-based, and routinely successful treatment modality.</w:t>
      </w:r>
      <w:r w:rsidRPr="000A79A4">
        <w:rPr>
          <w:rFonts w:ascii="Arial" w:hAnsi="Arial" w:cs="Arial"/>
          <w:sz w:val="22"/>
          <w:szCs w:val="22"/>
        </w:rPr>
        <w:t xml:space="preserve"> (Falatah et al., 2024)</w:t>
      </w:r>
    </w:p>
    <w:p w14:paraId="4307DEAB" w14:textId="77777777" w:rsidR="000A79A4" w:rsidRPr="000A79A4" w:rsidRDefault="000A79A4" w:rsidP="000A79A4">
      <w:pPr>
        <w:spacing w:line="360" w:lineRule="auto"/>
        <w:jc w:val="both"/>
        <w:rPr>
          <w:rFonts w:ascii="Arial" w:hAnsi="Arial" w:cs="Arial"/>
          <w:sz w:val="22"/>
          <w:szCs w:val="22"/>
          <w:lang w:val="en-IN"/>
        </w:rPr>
      </w:pPr>
    </w:p>
    <w:p w14:paraId="1FF6194B"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From Traditional Surgery to Microsurgery</w:t>
      </w:r>
    </w:p>
    <w:p w14:paraId="3F351D8D"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 xml:space="preserve">Conventional apical surgeries, typically performed with basic instrumentation, limited illumination, and without magnification, were associated with relatively low success rates (50–70%) and high risk of post-surgical complications. The introduction of the </w:t>
      </w:r>
      <w:r w:rsidRPr="000A79A4">
        <w:rPr>
          <w:rFonts w:ascii="Arial" w:hAnsi="Arial" w:cs="Arial"/>
          <w:sz w:val="22"/>
          <w:szCs w:val="22"/>
          <w:lang w:val="en-IN"/>
        </w:rPr>
        <w:lastRenderedPageBreak/>
        <w:t>dental operating microscope (DOM), ultrasonic tips, and bioceramic retrograde materials has elevated endodontic surgery from a coarse procedure to a precise microsurgical intervention, achieving success rates exceeding 90–96%.</w:t>
      </w:r>
    </w:p>
    <w:p w14:paraId="73BB72C0"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This transformation aligns with the broader shift in modern dentistry toward minimally invasive, biologically driven procedures that prioritize tissue preservation, rapid healing, and patient-centered outcomes.</w:t>
      </w:r>
      <w:r w:rsidRPr="000A79A4">
        <w:rPr>
          <w:rFonts w:ascii="Arial" w:hAnsi="Arial" w:cs="Arial"/>
          <w:sz w:val="22"/>
          <w:szCs w:val="22"/>
        </w:rPr>
        <w:t xml:space="preserve"> (Setzer et al., 2010; Journal of Oral Research and Review, 2025)</w:t>
      </w:r>
    </w:p>
    <w:p w14:paraId="792E295B" w14:textId="77777777" w:rsidR="000A79A4" w:rsidRPr="000A79A4" w:rsidRDefault="000A79A4" w:rsidP="000A79A4">
      <w:pPr>
        <w:spacing w:line="360" w:lineRule="auto"/>
        <w:jc w:val="both"/>
        <w:rPr>
          <w:rFonts w:ascii="Arial" w:hAnsi="Arial" w:cs="Arial"/>
          <w:sz w:val="22"/>
          <w:szCs w:val="22"/>
          <w:lang w:val="en-IN"/>
        </w:rPr>
      </w:pPr>
    </w:p>
    <w:p w14:paraId="7AF580C4" w14:textId="77777777" w:rsidR="000A79A4" w:rsidRPr="00790FAF" w:rsidRDefault="000A79A4" w:rsidP="00790FAF">
      <w:pPr>
        <w:tabs>
          <w:tab w:val="left" w:pos="4182"/>
        </w:tabs>
        <w:spacing w:line="360" w:lineRule="auto"/>
        <w:jc w:val="both"/>
        <w:rPr>
          <w:rFonts w:ascii="Arial" w:hAnsi="Arial" w:cs="Arial"/>
          <w:b/>
          <w:i/>
          <w:sz w:val="22"/>
          <w:szCs w:val="22"/>
          <w:lang w:val="en-IN"/>
        </w:rPr>
      </w:pPr>
      <w:r w:rsidRPr="000A79A4">
        <w:rPr>
          <w:rFonts w:ascii="Arial" w:hAnsi="Arial" w:cs="Arial"/>
          <w:sz w:val="22"/>
          <w:szCs w:val="22"/>
          <w:lang w:val="en-IN"/>
        </w:rPr>
        <w:t xml:space="preserve"> </w:t>
      </w:r>
      <w:r w:rsidRPr="00790FAF">
        <w:rPr>
          <w:rFonts w:ascii="Arial" w:hAnsi="Arial" w:cs="Arial"/>
          <w:b/>
          <w:i/>
          <w:sz w:val="22"/>
          <w:szCs w:val="22"/>
          <w:lang w:val="en-IN"/>
        </w:rPr>
        <w:t>Key Elements of the Paradigm Shift</w:t>
      </w:r>
      <w:r w:rsidR="00790FAF" w:rsidRPr="00790FAF">
        <w:rPr>
          <w:rFonts w:ascii="Arial" w:hAnsi="Arial" w:cs="Arial"/>
          <w:b/>
          <w:i/>
          <w:sz w:val="22"/>
          <w:szCs w:val="22"/>
          <w:lang w:val="en-IN"/>
        </w:rPr>
        <w:tab/>
      </w:r>
    </w:p>
    <w:p w14:paraId="3759D105" w14:textId="77777777" w:rsidR="00790FAF" w:rsidRPr="00790FAF" w:rsidRDefault="00790FAF" w:rsidP="00790FAF">
      <w:pPr>
        <w:tabs>
          <w:tab w:val="left" w:pos="4182"/>
        </w:tabs>
        <w:spacing w:line="360" w:lineRule="auto"/>
        <w:jc w:val="both"/>
        <w:rPr>
          <w:rFonts w:ascii="Arial" w:hAnsi="Arial" w:cs="Arial"/>
          <w:b/>
          <w:i/>
          <w:sz w:val="22"/>
          <w:szCs w:val="22"/>
          <w:lang w:val="en-IN"/>
        </w:rPr>
      </w:pPr>
    </w:p>
    <w:p w14:paraId="0BB4835D" w14:textId="77777777" w:rsidR="000A79A4" w:rsidRPr="00790FAF" w:rsidRDefault="000A79A4" w:rsidP="000A79A4">
      <w:pPr>
        <w:spacing w:line="360" w:lineRule="auto"/>
        <w:jc w:val="both"/>
        <w:rPr>
          <w:rFonts w:ascii="Arial" w:hAnsi="Arial" w:cs="Arial"/>
          <w:b/>
          <w:i/>
          <w:sz w:val="22"/>
          <w:szCs w:val="22"/>
          <w:lang w:val="en-IN"/>
        </w:rPr>
      </w:pPr>
      <w:r w:rsidRPr="00790FAF">
        <w:rPr>
          <w:rFonts w:ascii="Arial" w:hAnsi="Arial" w:cs="Arial"/>
          <w:b/>
          <w:i/>
          <w:sz w:val="22"/>
          <w:szCs w:val="22"/>
          <w:lang w:val="en-IN"/>
        </w:rPr>
        <w:t>1. Magnification and Illumination</w:t>
      </w:r>
    </w:p>
    <w:p w14:paraId="27203265" w14:textId="77777777" w:rsid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The adoption of DOM and coaxial lighting has been foundational. It allows clinicians to visualize complex root anatomy, locate isthmuses, assess cracks, and perform conservative osteotomies with unparalleled accuracy—something impossible in traditional apical surgeries.</w:t>
      </w:r>
    </w:p>
    <w:p w14:paraId="193A1B98" w14:textId="77777777" w:rsidR="00790FAF" w:rsidRPr="000A79A4" w:rsidRDefault="00790FAF" w:rsidP="000A79A4">
      <w:pPr>
        <w:spacing w:line="360" w:lineRule="auto"/>
        <w:jc w:val="both"/>
        <w:rPr>
          <w:rFonts w:ascii="Arial" w:hAnsi="Arial" w:cs="Arial"/>
          <w:sz w:val="22"/>
          <w:szCs w:val="22"/>
          <w:lang w:val="en-IN"/>
        </w:rPr>
      </w:pPr>
    </w:p>
    <w:p w14:paraId="654153F5" w14:textId="77777777" w:rsidR="000A79A4" w:rsidRPr="00790FAF" w:rsidRDefault="000A79A4" w:rsidP="000A79A4">
      <w:pPr>
        <w:spacing w:line="360" w:lineRule="auto"/>
        <w:jc w:val="both"/>
        <w:rPr>
          <w:rFonts w:ascii="Arial" w:hAnsi="Arial" w:cs="Arial"/>
          <w:b/>
          <w:i/>
          <w:sz w:val="22"/>
          <w:szCs w:val="22"/>
          <w:lang w:val="en-IN"/>
        </w:rPr>
      </w:pPr>
      <w:r w:rsidRPr="00790FAF">
        <w:rPr>
          <w:rFonts w:ascii="Arial" w:hAnsi="Arial" w:cs="Arial"/>
          <w:b/>
          <w:i/>
          <w:sz w:val="22"/>
          <w:szCs w:val="22"/>
          <w:lang w:val="en-IN"/>
        </w:rPr>
        <w:t>2. Biomaterials Revolution</w:t>
      </w:r>
    </w:p>
    <w:p w14:paraId="163ED19F" w14:textId="77777777" w:rsid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Retrograde filling materials have evolved from amalgam and IRM to Mineral Trioxide Aggregate (MTA), Biodentine, and premixed bioceramic putties. These materials offer bioactivity, excellent sealing ability, and enhanced healing potential—creating a more favorable environment for periapical regeneration.</w:t>
      </w:r>
    </w:p>
    <w:p w14:paraId="02FC7EA8" w14:textId="77777777" w:rsidR="00790FAF" w:rsidRPr="000A79A4" w:rsidRDefault="00790FAF" w:rsidP="000A79A4">
      <w:pPr>
        <w:spacing w:line="360" w:lineRule="auto"/>
        <w:jc w:val="both"/>
        <w:rPr>
          <w:rFonts w:ascii="Arial" w:hAnsi="Arial" w:cs="Arial"/>
          <w:sz w:val="22"/>
          <w:szCs w:val="22"/>
          <w:lang w:val="en-IN"/>
        </w:rPr>
      </w:pPr>
    </w:p>
    <w:p w14:paraId="2B93A7DB" w14:textId="77777777" w:rsidR="000A79A4" w:rsidRPr="00790FAF" w:rsidRDefault="000A79A4" w:rsidP="000A79A4">
      <w:pPr>
        <w:spacing w:line="360" w:lineRule="auto"/>
        <w:jc w:val="both"/>
        <w:rPr>
          <w:rFonts w:ascii="Arial" w:hAnsi="Arial" w:cs="Arial"/>
          <w:b/>
          <w:i/>
          <w:sz w:val="22"/>
          <w:szCs w:val="22"/>
          <w:lang w:val="en-IN"/>
        </w:rPr>
      </w:pPr>
      <w:r w:rsidRPr="00790FAF">
        <w:rPr>
          <w:rFonts w:ascii="Arial" w:hAnsi="Arial" w:cs="Arial"/>
          <w:b/>
          <w:i/>
          <w:sz w:val="22"/>
          <w:szCs w:val="22"/>
          <w:lang w:val="en-IN"/>
        </w:rPr>
        <w:t>3. Microsurgical Techniques</w:t>
      </w:r>
    </w:p>
    <w:p w14:paraId="5A9B5892" w14:textId="77777777" w:rsid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Microsurgical flap designs (e.g., papilla preservation, Ochsenbein–Luebke), ultrasonic root-end preparations, and the use of resorbable sutures and membranes represent an anatomical and aesthetic shift in surgical philosophy. There is an emphasis on atraumatic handling, vascular preservation, and primary closure, especially in esthetic zones.</w:t>
      </w:r>
    </w:p>
    <w:p w14:paraId="14A1CBFB" w14:textId="77777777" w:rsidR="00790FAF" w:rsidRPr="000A79A4" w:rsidRDefault="00790FAF" w:rsidP="000A79A4">
      <w:pPr>
        <w:spacing w:line="360" w:lineRule="auto"/>
        <w:jc w:val="both"/>
        <w:rPr>
          <w:rFonts w:ascii="Arial" w:hAnsi="Arial" w:cs="Arial"/>
          <w:sz w:val="22"/>
          <w:szCs w:val="22"/>
          <w:lang w:val="en-IN"/>
        </w:rPr>
      </w:pPr>
    </w:p>
    <w:p w14:paraId="1E1B2817" w14:textId="77777777" w:rsidR="000A79A4" w:rsidRPr="00790FAF" w:rsidRDefault="000A79A4" w:rsidP="000A79A4">
      <w:pPr>
        <w:spacing w:line="360" w:lineRule="auto"/>
        <w:jc w:val="both"/>
        <w:rPr>
          <w:rFonts w:ascii="Arial" w:hAnsi="Arial" w:cs="Arial"/>
          <w:b/>
          <w:i/>
          <w:sz w:val="22"/>
          <w:szCs w:val="22"/>
          <w:lang w:val="en-IN"/>
        </w:rPr>
      </w:pPr>
      <w:r w:rsidRPr="00790FAF">
        <w:rPr>
          <w:rFonts w:ascii="Arial" w:hAnsi="Arial" w:cs="Arial"/>
          <w:b/>
          <w:i/>
          <w:sz w:val="22"/>
          <w:szCs w:val="22"/>
          <w:lang w:val="en-IN"/>
        </w:rPr>
        <w:t>4. Advanced Imaging</w:t>
      </w:r>
    </w:p>
    <w:p w14:paraId="12DDADE9"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 xml:space="preserve">The integration of cone beam computed tomography (CBCT) into pre-surgical planning has elevated diagnosis, treatment planning, and post-operative </w:t>
      </w:r>
      <w:r w:rsidRPr="000A79A4">
        <w:rPr>
          <w:rFonts w:ascii="Arial" w:hAnsi="Arial" w:cs="Arial"/>
          <w:sz w:val="22"/>
          <w:szCs w:val="22"/>
          <w:lang w:val="en-IN"/>
        </w:rPr>
        <w:lastRenderedPageBreak/>
        <w:t>assessment. CBCT allows three-dimensional evaluation of root morphology, lesion extent, and anatomical risks—enhancing safety and precision.</w:t>
      </w:r>
    </w:p>
    <w:p w14:paraId="5D6575EC" w14:textId="77777777" w:rsidR="000A79A4" w:rsidRPr="000A79A4" w:rsidRDefault="000A79A4" w:rsidP="000A79A4">
      <w:pPr>
        <w:spacing w:line="360" w:lineRule="auto"/>
        <w:jc w:val="both"/>
        <w:rPr>
          <w:rFonts w:ascii="Arial" w:hAnsi="Arial" w:cs="Arial"/>
          <w:sz w:val="22"/>
          <w:szCs w:val="22"/>
          <w:lang w:val="en-IN"/>
        </w:rPr>
      </w:pPr>
    </w:p>
    <w:p w14:paraId="1869B401" w14:textId="77777777" w:rsidR="000A79A4" w:rsidRPr="00F05A7C" w:rsidRDefault="000A79A4" w:rsidP="000A79A4">
      <w:pPr>
        <w:spacing w:line="360" w:lineRule="auto"/>
        <w:jc w:val="both"/>
        <w:rPr>
          <w:rFonts w:ascii="Arial" w:hAnsi="Arial" w:cs="Arial"/>
          <w:b/>
          <w:i/>
          <w:sz w:val="22"/>
          <w:szCs w:val="22"/>
          <w:lang w:val="en-IN"/>
        </w:rPr>
      </w:pPr>
      <w:r w:rsidRPr="00F05A7C">
        <w:rPr>
          <w:rFonts w:ascii="Arial" w:hAnsi="Arial" w:cs="Arial"/>
          <w:b/>
          <w:i/>
          <w:sz w:val="22"/>
          <w:szCs w:val="22"/>
          <w:lang w:val="en-IN"/>
        </w:rPr>
        <w:t>Comparative Outcomes and Evidence-Based Validation</w:t>
      </w:r>
    </w:p>
    <w:p w14:paraId="2A2B58F7"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Meta-analyses by Setzer et al. (2010) and Tsesis et al. (2013) have clearly demonstrated that endodontic microsurgery achieves superior long-term outcomes compared to traditional surgery and, in many cases, even nonsurgical retreatment—especially in complex or obstructed cases. This repositions EMS from a “last resort” option to a viable, front-line intervention when orthograde treatment is not feasible.</w:t>
      </w:r>
      <w:r w:rsidRPr="000A79A4">
        <w:rPr>
          <w:rFonts w:ascii="Arial" w:hAnsi="Arial" w:cs="Arial"/>
          <w:sz w:val="22"/>
          <w:szCs w:val="22"/>
        </w:rPr>
        <w:t xml:space="preserve"> (Tsesis et al., 2009)</w:t>
      </w:r>
    </w:p>
    <w:p w14:paraId="5C00C3F6" w14:textId="77777777" w:rsidR="000A79A4" w:rsidRPr="000A79A4" w:rsidRDefault="000A79A4" w:rsidP="000A79A4">
      <w:pPr>
        <w:spacing w:line="360" w:lineRule="auto"/>
        <w:jc w:val="both"/>
        <w:rPr>
          <w:rFonts w:ascii="Arial" w:hAnsi="Arial" w:cs="Arial"/>
          <w:sz w:val="22"/>
          <w:szCs w:val="22"/>
          <w:lang w:val="en-IN"/>
        </w:rPr>
      </w:pPr>
    </w:p>
    <w:p w14:paraId="246A921B" w14:textId="77777777" w:rsidR="000A79A4" w:rsidRPr="00F05A7C" w:rsidRDefault="000A79A4" w:rsidP="000A79A4">
      <w:pPr>
        <w:spacing w:line="360" w:lineRule="auto"/>
        <w:jc w:val="both"/>
        <w:rPr>
          <w:rFonts w:ascii="Arial" w:hAnsi="Arial" w:cs="Arial"/>
          <w:b/>
          <w:i/>
          <w:sz w:val="22"/>
          <w:szCs w:val="22"/>
          <w:lang w:val="en-IN"/>
        </w:rPr>
      </w:pPr>
      <w:r w:rsidRPr="00F05A7C">
        <w:rPr>
          <w:rFonts w:ascii="Arial" w:hAnsi="Arial" w:cs="Arial"/>
          <w:b/>
          <w:i/>
          <w:sz w:val="22"/>
          <w:szCs w:val="22"/>
          <w:lang w:val="en-IN"/>
        </w:rPr>
        <w:t>Biological and Regenerative Perspective</w:t>
      </w:r>
    </w:p>
    <w:p w14:paraId="2773D234"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 xml:space="preserve">Endodontic microsurgery is no longer limited to root resection and sealing; it embraces biological principles of regeneration. The use of bone grafts, guided tissue regeneration (GTR) membranes, and even biologics like platelet-rich fibrin (PRF) is making regenerative periapical surgery a reality. Healing is no longer just scar </w:t>
      </w:r>
      <w:proofErr w:type="gramStart"/>
      <w:r w:rsidRPr="000A79A4">
        <w:rPr>
          <w:rFonts w:ascii="Arial" w:hAnsi="Arial" w:cs="Arial"/>
          <w:sz w:val="22"/>
          <w:szCs w:val="22"/>
          <w:lang w:val="en-IN"/>
        </w:rPr>
        <w:t>tissue,it</w:t>
      </w:r>
      <w:proofErr w:type="gramEnd"/>
      <w:r w:rsidRPr="000A79A4">
        <w:rPr>
          <w:rFonts w:ascii="Arial" w:hAnsi="Arial" w:cs="Arial"/>
          <w:sz w:val="22"/>
          <w:szCs w:val="22"/>
          <w:lang w:val="en-IN"/>
        </w:rPr>
        <w:t xml:space="preserve"> is now about restoring original architecture and function. </w:t>
      </w:r>
      <w:r w:rsidRPr="000A79A4">
        <w:rPr>
          <w:rFonts w:ascii="Arial" w:hAnsi="Arial" w:cs="Arial"/>
          <w:sz w:val="22"/>
          <w:szCs w:val="22"/>
        </w:rPr>
        <w:t>(Karkle et al., 2025; Sidiropoulos et al., 2019)</w:t>
      </w:r>
    </w:p>
    <w:p w14:paraId="2153D7CE" w14:textId="77777777" w:rsidR="000A79A4" w:rsidRPr="000A79A4" w:rsidRDefault="000A79A4" w:rsidP="000A79A4">
      <w:pPr>
        <w:spacing w:line="360" w:lineRule="auto"/>
        <w:jc w:val="both"/>
        <w:rPr>
          <w:rFonts w:ascii="Arial" w:hAnsi="Arial" w:cs="Arial"/>
          <w:sz w:val="22"/>
          <w:szCs w:val="22"/>
          <w:lang w:val="en-IN"/>
        </w:rPr>
      </w:pPr>
    </w:p>
    <w:p w14:paraId="288AB52E" w14:textId="77777777" w:rsidR="000A79A4" w:rsidRPr="00F05A7C" w:rsidRDefault="000A79A4" w:rsidP="000A79A4">
      <w:pPr>
        <w:spacing w:line="360" w:lineRule="auto"/>
        <w:jc w:val="both"/>
        <w:rPr>
          <w:rFonts w:ascii="Arial" w:hAnsi="Arial" w:cs="Arial"/>
          <w:b/>
          <w:i/>
          <w:sz w:val="22"/>
          <w:szCs w:val="22"/>
          <w:lang w:val="en-IN"/>
        </w:rPr>
      </w:pPr>
      <w:r w:rsidRPr="00F05A7C">
        <w:rPr>
          <w:rFonts w:ascii="Arial" w:hAnsi="Arial" w:cs="Arial"/>
          <w:b/>
          <w:i/>
          <w:sz w:val="22"/>
          <w:szCs w:val="22"/>
          <w:lang w:val="en-IN"/>
        </w:rPr>
        <w:t>Patient-Centered Benefits</w:t>
      </w:r>
      <w:r w:rsidR="00F05A7C">
        <w:rPr>
          <w:rFonts w:ascii="Arial" w:hAnsi="Arial" w:cs="Arial"/>
          <w:b/>
          <w:i/>
          <w:sz w:val="22"/>
          <w:szCs w:val="22"/>
          <w:lang w:val="en-IN"/>
        </w:rPr>
        <w:t>:</w:t>
      </w:r>
    </w:p>
    <w:p w14:paraId="6C557A27"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Modern EMS is characterized by:</w:t>
      </w:r>
    </w:p>
    <w:p w14:paraId="263C1F35" w14:textId="77777777" w:rsidR="000A79A4" w:rsidRPr="000A79A4" w:rsidRDefault="000A79A4" w:rsidP="000A79A4">
      <w:pPr>
        <w:numPr>
          <w:ilvl w:val="0"/>
          <w:numId w:val="45"/>
        </w:numPr>
        <w:spacing w:after="200" w:line="360" w:lineRule="auto"/>
        <w:jc w:val="both"/>
        <w:rPr>
          <w:rFonts w:ascii="Arial" w:hAnsi="Arial" w:cs="Arial"/>
          <w:sz w:val="22"/>
          <w:szCs w:val="22"/>
          <w:lang w:val="en-IN"/>
        </w:rPr>
      </w:pPr>
      <w:r w:rsidRPr="000A79A4">
        <w:rPr>
          <w:rFonts w:ascii="Arial" w:hAnsi="Arial" w:cs="Arial"/>
          <w:sz w:val="22"/>
          <w:szCs w:val="22"/>
          <w:lang w:val="en-IN"/>
        </w:rPr>
        <w:t>Shorter chair-time</w:t>
      </w:r>
    </w:p>
    <w:p w14:paraId="6B86039A" w14:textId="77777777" w:rsidR="000A79A4" w:rsidRPr="000A79A4" w:rsidRDefault="000A79A4" w:rsidP="000A79A4">
      <w:pPr>
        <w:numPr>
          <w:ilvl w:val="0"/>
          <w:numId w:val="45"/>
        </w:numPr>
        <w:spacing w:after="200" w:line="360" w:lineRule="auto"/>
        <w:jc w:val="both"/>
        <w:rPr>
          <w:rFonts w:ascii="Arial" w:hAnsi="Arial" w:cs="Arial"/>
          <w:sz w:val="22"/>
          <w:szCs w:val="22"/>
          <w:lang w:val="en-IN"/>
        </w:rPr>
      </w:pPr>
      <w:r w:rsidRPr="000A79A4">
        <w:rPr>
          <w:rFonts w:ascii="Arial" w:hAnsi="Arial" w:cs="Arial"/>
          <w:sz w:val="22"/>
          <w:szCs w:val="22"/>
          <w:lang w:val="en-IN"/>
        </w:rPr>
        <w:t>Minimal postoperative discomfort</w:t>
      </w:r>
    </w:p>
    <w:p w14:paraId="0F451280" w14:textId="77777777" w:rsidR="000A79A4" w:rsidRPr="000A79A4" w:rsidRDefault="000A79A4" w:rsidP="000A79A4">
      <w:pPr>
        <w:numPr>
          <w:ilvl w:val="0"/>
          <w:numId w:val="45"/>
        </w:numPr>
        <w:spacing w:after="200" w:line="360" w:lineRule="auto"/>
        <w:jc w:val="both"/>
        <w:rPr>
          <w:rFonts w:ascii="Arial" w:hAnsi="Arial" w:cs="Arial"/>
          <w:sz w:val="22"/>
          <w:szCs w:val="22"/>
          <w:lang w:val="en-IN"/>
        </w:rPr>
      </w:pPr>
      <w:r w:rsidRPr="000A79A4">
        <w:rPr>
          <w:rFonts w:ascii="Arial" w:hAnsi="Arial" w:cs="Arial"/>
          <w:sz w:val="22"/>
          <w:szCs w:val="22"/>
          <w:lang w:val="en-IN"/>
        </w:rPr>
        <w:t>Faster healing</w:t>
      </w:r>
    </w:p>
    <w:p w14:paraId="67E36D2C" w14:textId="77777777" w:rsidR="000A79A4" w:rsidRPr="000A79A4" w:rsidRDefault="000A79A4" w:rsidP="000A79A4">
      <w:pPr>
        <w:numPr>
          <w:ilvl w:val="0"/>
          <w:numId w:val="45"/>
        </w:numPr>
        <w:spacing w:after="200" w:line="360" w:lineRule="auto"/>
        <w:jc w:val="both"/>
        <w:rPr>
          <w:rFonts w:ascii="Arial" w:hAnsi="Arial" w:cs="Arial"/>
          <w:sz w:val="22"/>
          <w:szCs w:val="22"/>
          <w:lang w:val="en-IN"/>
        </w:rPr>
      </w:pPr>
      <w:r w:rsidRPr="000A79A4">
        <w:rPr>
          <w:rFonts w:ascii="Arial" w:hAnsi="Arial" w:cs="Arial"/>
          <w:sz w:val="22"/>
          <w:szCs w:val="22"/>
          <w:lang w:val="en-IN"/>
        </w:rPr>
        <w:t>High patient satisfaction</w:t>
      </w:r>
    </w:p>
    <w:p w14:paraId="1AE0256D" w14:textId="77777777" w:rsidR="000A79A4" w:rsidRPr="000A79A4" w:rsidRDefault="000A79A4" w:rsidP="000A79A4">
      <w:pPr>
        <w:spacing w:line="360" w:lineRule="auto"/>
        <w:jc w:val="both"/>
        <w:rPr>
          <w:rFonts w:ascii="Arial" w:hAnsi="Arial" w:cs="Arial"/>
          <w:sz w:val="22"/>
          <w:szCs w:val="22"/>
          <w:lang w:val="en-IN"/>
        </w:rPr>
      </w:pPr>
      <w:r w:rsidRPr="000A79A4">
        <w:rPr>
          <w:rFonts w:ascii="Arial" w:hAnsi="Arial" w:cs="Arial"/>
          <w:sz w:val="22"/>
          <w:szCs w:val="22"/>
          <w:lang w:val="en-IN"/>
        </w:rPr>
        <w:t>This shift aligns with broader healthcare trends favoring outcome predictability, minimally invasive approaches, and esthetic preservation.</w:t>
      </w:r>
    </w:p>
    <w:p w14:paraId="2408846A" w14:textId="77777777" w:rsidR="000A79A4" w:rsidRPr="000A79A4" w:rsidRDefault="000A79A4" w:rsidP="000A79A4">
      <w:pPr>
        <w:spacing w:line="360" w:lineRule="auto"/>
        <w:jc w:val="both"/>
        <w:rPr>
          <w:rFonts w:ascii="Arial" w:hAnsi="Arial" w:cs="Arial"/>
          <w:sz w:val="22"/>
          <w:szCs w:val="22"/>
          <w:lang w:val="en-IN"/>
        </w:rPr>
      </w:pPr>
    </w:p>
    <w:p w14:paraId="75CCAAB9" w14:textId="77777777" w:rsidR="000A79A4" w:rsidRPr="000A79A4" w:rsidRDefault="000A79A4" w:rsidP="000A79A4">
      <w:pPr>
        <w:spacing w:line="360" w:lineRule="auto"/>
        <w:jc w:val="both"/>
        <w:rPr>
          <w:rFonts w:ascii="Arial" w:hAnsi="Arial" w:cs="Arial"/>
          <w:sz w:val="22"/>
          <w:szCs w:val="22"/>
        </w:rPr>
      </w:pPr>
    </w:p>
    <w:p w14:paraId="47BE81B4" w14:textId="77777777" w:rsidR="000A79A4" w:rsidRPr="000A79A4" w:rsidRDefault="000A79A4" w:rsidP="000A79A4">
      <w:pPr>
        <w:spacing w:line="360" w:lineRule="auto"/>
        <w:jc w:val="both"/>
        <w:rPr>
          <w:rFonts w:ascii="Arial" w:hAnsi="Arial" w:cs="Arial"/>
          <w:sz w:val="22"/>
          <w:szCs w:val="22"/>
        </w:rPr>
      </w:pPr>
    </w:p>
    <w:p w14:paraId="7282B206" w14:textId="77777777" w:rsidR="000A79A4" w:rsidRPr="000A79A4" w:rsidRDefault="000A79A4" w:rsidP="000A79A4">
      <w:pPr>
        <w:pStyle w:val="Heading1"/>
        <w:spacing w:line="360" w:lineRule="auto"/>
        <w:rPr>
          <w:rFonts w:cs="Arial"/>
          <w:sz w:val="22"/>
          <w:szCs w:val="22"/>
        </w:rPr>
      </w:pPr>
      <w:r w:rsidRPr="000A79A4">
        <w:rPr>
          <w:rFonts w:cs="Arial"/>
          <w:sz w:val="22"/>
          <w:szCs w:val="22"/>
        </w:rPr>
        <w:lastRenderedPageBreak/>
        <w:t>Conclusion</w:t>
      </w:r>
    </w:p>
    <w:p w14:paraId="1AF49601" w14:textId="77777777" w:rsidR="000A79A4" w:rsidRDefault="000A79A4" w:rsidP="000A79A4">
      <w:pPr>
        <w:spacing w:line="360" w:lineRule="auto"/>
        <w:rPr>
          <w:rFonts w:ascii="Arial" w:hAnsi="Arial" w:cs="Arial"/>
          <w:sz w:val="22"/>
          <w:szCs w:val="22"/>
        </w:rPr>
      </w:pPr>
      <w:r w:rsidRPr="000A79A4">
        <w:rPr>
          <w:rFonts w:ascii="Arial" w:hAnsi="Arial" w:cs="Arial"/>
          <w:sz w:val="22"/>
          <w:szCs w:val="22"/>
        </w:rPr>
        <w:t>Endodontic microsurgery has evolved into a precise, predictable procedure that effectively manages cases where nonsurgical therapy fails or is contraindicated. The integration of magnification, illumination, modern instruments, and biomaterials has significantly improved treatment outcomes, establishing microsurgery as an indispensable tool in contemporary endodontics.</w:t>
      </w:r>
    </w:p>
    <w:p w14:paraId="342B67BA" w14:textId="77777777" w:rsidR="00BC6E23" w:rsidRDefault="00BC6E23" w:rsidP="000A79A4">
      <w:pPr>
        <w:spacing w:line="360" w:lineRule="auto"/>
        <w:rPr>
          <w:rFonts w:ascii="Arial" w:hAnsi="Arial" w:cs="Arial"/>
          <w:sz w:val="22"/>
          <w:szCs w:val="22"/>
        </w:rPr>
      </w:pPr>
    </w:p>
    <w:p w14:paraId="33A0EED7" w14:textId="77777777" w:rsidR="00BC6E23" w:rsidRPr="00BC6E23" w:rsidRDefault="00BC6E23" w:rsidP="00BC6E23">
      <w:pPr>
        <w:spacing w:line="360" w:lineRule="auto"/>
        <w:rPr>
          <w:rFonts w:ascii="Arial" w:hAnsi="Arial" w:cs="Arial"/>
          <w:sz w:val="22"/>
          <w:szCs w:val="22"/>
        </w:rPr>
      </w:pPr>
      <w:bookmarkStart w:id="0" w:name="_GoBack"/>
      <w:bookmarkEnd w:id="0"/>
      <w:r w:rsidRPr="00BC6E23">
        <w:rPr>
          <w:rFonts w:ascii="Arial" w:hAnsi="Arial" w:cs="Arial"/>
          <w:sz w:val="22"/>
          <w:szCs w:val="22"/>
        </w:rPr>
        <w:t>ETHICAL APPROVAL</w:t>
      </w:r>
    </w:p>
    <w:p w14:paraId="3FF77A75" w14:textId="77777777" w:rsidR="00BC6E23" w:rsidRPr="00BC6E23" w:rsidRDefault="00BC6E23" w:rsidP="00BC6E23">
      <w:pPr>
        <w:spacing w:line="360" w:lineRule="auto"/>
        <w:rPr>
          <w:rFonts w:ascii="Arial" w:hAnsi="Arial" w:cs="Arial"/>
          <w:sz w:val="22"/>
          <w:szCs w:val="22"/>
        </w:rPr>
      </w:pPr>
    </w:p>
    <w:p w14:paraId="1421B7DE" w14:textId="77777777" w:rsidR="00BC6E23" w:rsidRPr="00BC6E23" w:rsidRDefault="00BC6E23" w:rsidP="00BC6E23">
      <w:pPr>
        <w:spacing w:line="360" w:lineRule="auto"/>
        <w:rPr>
          <w:rFonts w:ascii="Arial" w:hAnsi="Arial" w:cs="Arial"/>
          <w:sz w:val="22"/>
          <w:szCs w:val="22"/>
        </w:rPr>
      </w:pPr>
      <w:r w:rsidRPr="00BC6E23">
        <w:rPr>
          <w:rFonts w:ascii="Arial" w:hAnsi="Arial" w:cs="Arial"/>
          <w:sz w:val="22"/>
          <w:szCs w:val="22"/>
        </w:rPr>
        <w:t>As per international standards or university standards written ethical approval has been collected and preserved by the author(s).</w:t>
      </w:r>
    </w:p>
    <w:p w14:paraId="6C977F8F" w14:textId="77777777" w:rsidR="00BC6E23" w:rsidRPr="00BC6E23" w:rsidRDefault="00BC6E23" w:rsidP="00BC6E23">
      <w:pPr>
        <w:spacing w:line="360" w:lineRule="auto"/>
        <w:rPr>
          <w:rFonts w:ascii="Arial" w:hAnsi="Arial" w:cs="Arial"/>
          <w:sz w:val="22"/>
          <w:szCs w:val="22"/>
        </w:rPr>
      </w:pPr>
    </w:p>
    <w:p w14:paraId="70322BD6" w14:textId="77777777" w:rsidR="00BC6E23" w:rsidRPr="00BC6E23" w:rsidRDefault="00BC6E23" w:rsidP="00BC6E23">
      <w:pPr>
        <w:spacing w:line="360" w:lineRule="auto"/>
        <w:rPr>
          <w:rFonts w:ascii="Arial" w:hAnsi="Arial" w:cs="Arial"/>
          <w:sz w:val="22"/>
          <w:szCs w:val="22"/>
        </w:rPr>
      </w:pPr>
      <w:r w:rsidRPr="00BC6E23">
        <w:rPr>
          <w:rFonts w:ascii="Arial" w:hAnsi="Arial" w:cs="Arial"/>
          <w:sz w:val="22"/>
          <w:szCs w:val="22"/>
        </w:rPr>
        <w:t>COMPETING INTERESTS</w:t>
      </w:r>
    </w:p>
    <w:p w14:paraId="4FC8B3F1" w14:textId="77777777" w:rsidR="00BC6E23" w:rsidRPr="00BC6E23" w:rsidRDefault="00BC6E23" w:rsidP="00BC6E23">
      <w:pPr>
        <w:spacing w:line="360" w:lineRule="auto"/>
        <w:rPr>
          <w:rFonts w:ascii="Arial" w:hAnsi="Arial" w:cs="Arial"/>
          <w:sz w:val="22"/>
          <w:szCs w:val="22"/>
        </w:rPr>
      </w:pPr>
    </w:p>
    <w:p w14:paraId="61AC007C" w14:textId="77777777" w:rsidR="00BC6E23" w:rsidRPr="000A79A4" w:rsidRDefault="00BC6E23" w:rsidP="00BC6E23">
      <w:pPr>
        <w:spacing w:line="360" w:lineRule="auto"/>
        <w:rPr>
          <w:rFonts w:ascii="Arial" w:hAnsi="Arial" w:cs="Arial"/>
          <w:sz w:val="22"/>
          <w:szCs w:val="22"/>
        </w:rPr>
      </w:pPr>
      <w:r w:rsidRPr="00BC6E23">
        <w:rPr>
          <w:rFonts w:ascii="Arial" w:hAnsi="Arial" w:cs="Arial"/>
          <w:sz w:val="22"/>
          <w:szCs w:val="22"/>
        </w:rPr>
        <w:t>Authors have declared that no competing interests exist.</w:t>
      </w:r>
    </w:p>
    <w:p w14:paraId="1E9B9062" w14:textId="77777777" w:rsidR="000A79A4" w:rsidRPr="00F05A7C" w:rsidRDefault="000A79A4" w:rsidP="00F05A7C">
      <w:pPr>
        <w:pStyle w:val="Heading1"/>
        <w:spacing w:line="360" w:lineRule="auto"/>
        <w:rPr>
          <w:rFonts w:cs="Arial"/>
          <w:b w:val="0"/>
          <w:sz w:val="22"/>
          <w:szCs w:val="22"/>
        </w:rPr>
      </w:pPr>
      <w:r w:rsidRPr="00F05A7C">
        <w:rPr>
          <w:rFonts w:cs="Arial"/>
          <w:b w:val="0"/>
          <w:sz w:val="22"/>
          <w:szCs w:val="22"/>
        </w:rPr>
        <w:t>References</w:t>
      </w:r>
    </w:p>
    <w:p w14:paraId="50FEB254" w14:textId="77777777" w:rsidR="000A79A4" w:rsidRPr="00F05A7C" w:rsidRDefault="000A79A4" w:rsidP="00F05A7C">
      <w:pPr>
        <w:spacing w:line="360" w:lineRule="auto"/>
        <w:rPr>
          <w:rFonts w:ascii="Arial" w:hAnsi="Arial" w:cs="Arial"/>
          <w:sz w:val="22"/>
          <w:szCs w:val="22"/>
        </w:rPr>
      </w:pPr>
      <w:r w:rsidRPr="00F05A7C">
        <w:rPr>
          <w:rFonts w:ascii="Arial" w:hAnsi="Arial" w:cs="Arial"/>
          <w:sz w:val="22"/>
          <w:szCs w:val="22"/>
        </w:rPr>
        <w:t xml:space="preserve">Kim, S., &amp; Kratchman, S. (2006). </w:t>
      </w:r>
      <w:r w:rsidRPr="00F05A7C">
        <w:rPr>
          <w:rStyle w:val="Emphasis"/>
          <w:rFonts w:ascii="Arial" w:hAnsi="Arial" w:cs="Arial"/>
          <w:sz w:val="22"/>
          <w:szCs w:val="22"/>
        </w:rPr>
        <w:t>Modern endodontic surgery concepts and practice: A review</w:t>
      </w:r>
      <w:r w:rsidRPr="00F05A7C">
        <w:rPr>
          <w:rFonts w:ascii="Arial" w:hAnsi="Arial" w:cs="Arial"/>
          <w:sz w:val="22"/>
          <w:szCs w:val="22"/>
        </w:rPr>
        <w:t xml:space="preserve">. </w:t>
      </w:r>
      <w:r w:rsidRPr="00F05A7C">
        <w:rPr>
          <w:rStyle w:val="Emphasis"/>
          <w:rFonts w:ascii="Arial" w:hAnsi="Arial" w:cs="Arial"/>
          <w:sz w:val="22"/>
          <w:szCs w:val="22"/>
        </w:rPr>
        <w:t>Journal of Endodontics, 32</w:t>
      </w:r>
      <w:r w:rsidRPr="00F05A7C">
        <w:rPr>
          <w:rFonts w:ascii="Arial" w:hAnsi="Arial" w:cs="Arial"/>
          <w:sz w:val="22"/>
          <w:szCs w:val="22"/>
        </w:rPr>
        <w:t xml:space="preserve">(7), 601–623. </w:t>
      </w:r>
      <w:hyperlink r:id="rId18" w:history="1">
        <w:r w:rsidRPr="00F05A7C">
          <w:rPr>
            <w:rStyle w:val="Hyperlink"/>
            <w:rFonts w:ascii="Arial" w:hAnsi="Arial" w:cs="Arial"/>
            <w:sz w:val="22"/>
            <w:szCs w:val="22"/>
          </w:rPr>
          <w:t>https://doi.org/10.1016/j.joen.2005.12.010</w:t>
        </w:r>
      </w:hyperlink>
    </w:p>
    <w:p w14:paraId="560C193B" w14:textId="77777777" w:rsidR="000A79A4" w:rsidRPr="00F05A7C" w:rsidRDefault="000A79A4" w:rsidP="00F05A7C">
      <w:pPr>
        <w:spacing w:line="360" w:lineRule="auto"/>
        <w:rPr>
          <w:rFonts w:ascii="Arial" w:hAnsi="Arial" w:cs="Arial"/>
          <w:sz w:val="22"/>
          <w:szCs w:val="22"/>
        </w:rPr>
      </w:pPr>
      <w:r w:rsidRPr="00F05A7C">
        <w:rPr>
          <w:rFonts w:ascii="Arial" w:hAnsi="Arial" w:cs="Arial"/>
          <w:sz w:val="22"/>
          <w:szCs w:val="22"/>
        </w:rPr>
        <w:t xml:space="preserve">Ananad, S., Soujanya, E., Raju, A., &amp; Swathi, A. (2015). </w:t>
      </w:r>
      <w:r w:rsidRPr="00F05A7C">
        <w:rPr>
          <w:rStyle w:val="Emphasis"/>
          <w:rFonts w:ascii="Arial" w:hAnsi="Arial" w:cs="Arial"/>
          <w:sz w:val="22"/>
          <w:szCs w:val="22"/>
        </w:rPr>
        <w:t>Endodontic microsurgery: An overview</w:t>
      </w:r>
      <w:r w:rsidRPr="00F05A7C">
        <w:rPr>
          <w:rFonts w:ascii="Arial" w:hAnsi="Arial" w:cs="Arial"/>
          <w:sz w:val="22"/>
          <w:szCs w:val="22"/>
        </w:rPr>
        <w:t xml:space="preserve">. </w:t>
      </w:r>
      <w:r w:rsidRPr="00F05A7C">
        <w:rPr>
          <w:rStyle w:val="Strong"/>
          <w:rFonts w:ascii="Arial" w:hAnsi="Arial" w:cs="Arial"/>
          <w:b w:val="0"/>
          <w:sz w:val="22"/>
          <w:szCs w:val="22"/>
        </w:rPr>
        <w:t>Dentistry and Medical Research, 3</w:t>
      </w:r>
      <w:r w:rsidRPr="00F05A7C">
        <w:rPr>
          <w:rFonts w:ascii="Arial" w:hAnsi="Arial" w:cs="Arial"/>
          <w:sz w:val="22"/>
          <w:szCs w:val="22"/>
        </w:rPr>
        <w:t xml:space="preserve">(2), 31–37. </w:t>
      </w:r>
      <w:hyperlink r:id="rId19" w:history="1">
        <w:r w:rsidRPr="00F05A7C">
          <w:rPr>
            <w:rStyle w:val="Hyperlink"/>
            <w:rFonts w:ascii="Arial" w:hAnsi="Arial" w:cs="Arial"/>
            <w:sz w:val="22"/>
            <w:szCs w:val="22"/>
          </w:rPr>
          <w:t>https://doi.org/10.4103/2348-1471.159172</w:t>
        </w:r>
      </w:hyperlink>
    </w:p>
    <w:p w14:paraId="2930C8AC" w14:textId="77777777" w:rsidR="00F05A7C" w:rsidRPr="00F05A7C" w:rsidRDefault="00F05A7C" w:rsidP="00F05A7C">
      <w:pPr>
        <w:spacing w:line="360" w:lineRule="auto"/>
        <w:rPr>
          <w:rFonts w:ascii="Arial" w:hAnsi="Arial" w:cs="Arial"/>
          <w:sz w:val="22"/>
          <w:szCs w:val="22"/>
        </w:rPr>
      </w:pPr>
    </w:p>
    <w:p w14:paraId="4F8F38F6" w14:textId="77777777" w:rsidR="000A79A4" w:rsidRPr="00F05A7C" w:rsidRDefault="000A79A4" w:rsidP="00F05A7C">
      <w:pPr>
        <w:spacing w:line="360" w:lineRule="auto"/>
        <w:rPr>
          <w:rFonts w:ascii="Arial" w:hAnsi="Arial" w:cs="Arial"/>
          <w:sz w:val="22"/>
          <w:szCs w:val="22"/>
        </w:rPr>
      </w:pPr>
      <w:r w:rsidRPr="00F05A7C">
        <w:rPr>
          <w:rFonts w:ascii="Arial" w:hAnsi="Arial" w:cs="Arial"/>
          <w:sz w:val="22"/>
          <w:szCs w:val="22"/>
        </w:rPr>
        <w:t xml:space="preserve">Pinto, D., Marques, A., Pereira, J. F., Palma, P. J., &amp; Santos, J. M. (2020). Long-term prognosis of endodontic microsurgery—a systematic review and meta-analysis. </w:t>
      </w:r>
      <w:r w:rsidRPr="00F05A7C">
        <w:rPr>
          <w:rStyle w:val="Emphasis"/>
          <w:rFonts w:ascii="Arial" w:hAnsi="Arial" w:cs="Arial"/>
          <w:sz w:val="22"/>
          <w:szCs w:val="22"/>
        </w:rPr>
        <w:t>Medicina, 56</w:t>
      </w:r>
      <w:r w:rsidRPr="00F05A7C">
        <w:rPr>
          <w:rFonts w:ascii="Arial" w:hAnsi="Arial" w:cs="Arial"/>
          <w:sz w:val="22"/>
          <w:szCs w:val="22"/>
        </w:rPr>
        <w:t xml:space="preserve">(9), Article 447. </w:t>
      </w:r>
      <w:hyperlink r:id="rId20" w:history="1">
        <w:r w:rsidRPr="00F05A7C">
          <w:rPr>
            <w:rStyle w:val="Hyperlink"/>
            <w:rFonts w:ascii="Arial" w:hAnsi="Arial" w:cs="Arial"/>
            <w:sz w:val="22"/>
            <w:szCs w:val="22"/>
          </w:rPr>
          <w:t>https://doi.org/10.3390/medicina56090447</w:t>
        </w:r>
      </w:hyperlink>
    </w:p>
    <w:p w14:paraId="44892456" w14:textId="77777777" w:rsidR="00F05A7C" w:rsidRPr="00F05A7C" w:rsidRDefault="00F05A7C" w:rsidP="00F05A7C">
      <w:pPr>
        <w:spacing w:line="360" w:lineRule="auto"/>
        <w:rPr>
          <w:rFonts w:ascii="Arial" w:hAnsi="Arial" w:cs="Arial"/>
          <w:sz w:val="22"/>
          <w:szCs w:val="22"/>
        </w:rPr>
      </w:pPr>
    </w:p>
    <w:p w14:paraId="5C43D174" w14:textId="77777777" w:rsidR="000A79A4" w:rsidRPr="00F05A7C" w:rsidRDefault="000A79A4" w:rsidP="00F05A7C">
      <w:pPr>
        <w:spacing w:line="360" w:lineRule="auto"/>
        <w:rPr>
          <w:rFonts w:ascii="Arial" w:hAnsi="Arial" w:cs="Arial"/>
          <w:sz w:val="22"/>
          <w:szCs w:val="22"/>
        </w:rPr>
      </w:pPr>
      <w:r w:rsidRPr="00F05A7C">
        <w:rPr>
          <w:rFonts w:ascii="Arial" w:hAnsi="Arial" w:cs="Arial"/>
          <w:sz w:val="22"/>
          <w:szCs w:val="22"/>
        </w:rPr>
        <w:t xml:space="preserve">Setzer, F. C., Shah, S. B., Kohli, M. R., Karabucak, B., &amp; Kim, S. (2010). </w:t>
      </w:r>
      <w:r w:rsidRPr="00F05A7C">
        <w:rPr>
          <w:rStyle w:val="Emphasis"/>
          <w:rFonts w:ascii="Arial" w:hAnsi="Arial" w:cs="Arial"/>
          <w:sz w:val="22"/>
          <w:szCs w:val="22"/>
        </w:rPr>
        <w:t>Outcome of endodontic surgery: A meta-analysis of the literature. Part 1: Comparison of traditional root-end surgery and endodontic microsurgery</w:t>
      </w:r>
      <w:r w:rsidRPr="00F05A7C">
        <w:rPr>
          <w:rFonts w:ascii="Arial" w:hAnsi="Arial" w:cs="Arial"/>
          <w:sz w:val="22"/>
          <w:szCs w:val="22"/>
        </w:rPr>
        <w:t xml:space="preserve">. </w:t>
      </w:r>
      <w:r w:rsidRPr="00F05A7C">
        <w:rPr>
          <w:rStyle w:val="Strong"/>
          <w:rFonts w:ascii="Arial" w:hAnsi="Arial" w:cs="Arial"/>
          <w:b w:val="0"/>
          <w:sz w:val="22"/>
          <w:szCs w:val="22"/>
        </w:rPr>
        <w:t>Journal of Endodontics, 36</w:t>
      </w:r>
      <w:r w:rsidRPr="00F05A7C">
        <w:rPr>
          <w:rFonts w:ascii="Arial" w:hAnsi="Arial" w:cs="Arial"/>
          <w:sz w:val="22"/>
          <w:szCs w:val="22"/>
        </w:rPr>
        <w:t xml:space="preserve">(11), 1757–1765. </w:t>
      </w:r>
      <w:hyperlink r:id="rId21" w:history="1">
        <w:r w:rsidRPr="00F05A7C">
          <w:rPr>
            <w:rStyle w:val="Hyperlink"/>
            <w:rFonts w:ascii="Arial" w:hAnsi="Arial" w:cs="Arial"/>
            <w:sz w:val="22"/>
            <w:szCs w:val="22"/>
          </w:rPr>
          <w:t>https://doi.org/10.1016/j.joen.2010.08.007</w:t>
        </w:r>
      </w:hyperlink>
    </w:p>
    <w:p w14:paraId="30C743A8" w14:textId="77777777" w:rsidR="00F05A7C" w:rsidRPr="00F05A7C" w:rsidRDefault="00F05A7C" w:rsidP="00F05A7C">
      <w:pPr>
        <w:spacing w:line="360" w:lineRule="auto"/>
        <w:rPr>
          <w:rFonts w:ascii="Arial" w:hAnsi="Arial" w:cs="Arial"/>
          <w:sz w:val="22"/>
          <w:szCs w:val="22"/>
        </w:rPr>
      </w:pPr>
    </w:p>
    <w:p w14:paraId="677B48D0" w14:textId="77777777" w:rsidR="000A79A4" w:rsidRPr="00F05A7C" w:rsidRDefault="000A79A4" w:rsidP="00F05A7C">
      <w:pPr>
        <w:spacing w:line="360" w:lineRule="auto"/>
        <w:rPr>
          <w:rFonts w:ascii="Arial" w:hAnsi="Arial" w:cs="Arial"/>
          <w:sz w:val="22"/>
          <w:szCs w:val="22"/>
        </w:rPr>
      </w:pPr>
      <w:r w:rsidRPr="00F05A7C">
        <w:rPr>
          <w:rFonts w:ascii="Arial" w:hAnsi="Arial" w:cs="Arial"/>
          <w:sz w:val="22"/>
          <w:szCs w:val="22"/>
        </w:rPr>
        <w:lastRenderedPageBreak/>
        <w:t xml:space="preserve">Ng, Y.-L., Mann, V., &amp; Gulabivala, K. (2008). </w:t>
      </w:r>
      <w:r w:rsidRPr="00F05A7C">
        <w:rPr>
          <w:rStyle w:val="Emphasis"/>
          <w:rFonts w:ascii="Arial" w:hAnsi="Arial" w:cs="Arial"/>
          <w:sz w:val="22"/>
          <w:szCs w:val="22"/>
        </w:rPr>
        <w:t>Outcome of secondary root canal treatment: A systematic review of the literature</w:t>
      </w:r>
      <w:r w:rsidRPr="00F05A7C">
        <w:rPr>
          <w:rFonts w:ascii="Arial" w:hAnsi="Arial" w:cs="Arial"/>
          <w:sz w:val="22"/>
          <w:szCs w:val="22"/>
        </w:rPr>
        <w:t xml:space="preserve">. </w:t>
      </w:r>
      <w:r w:rsidRPr="00F05A7C">
        <w:rPr>
          <w:rStyle w:val="Emphasis"/>
          <w:rFonts w:ascii="Arial" w:hAnsi="Arial" w:cs="Arial"/>
          <w:sz w:val="22"/>
          <w:szCs w:val="22"/>
        </w:rPr>
        <w:t>International Endodontic Journal, 41</w:t>
      </w:r>
      <w:r w:rsidRPr="00F05A7C">
        <w:rPr>
          <w:rFonts w:ascii="Arial" w:hAnsi="Arial" w:cs="Arial"/>
          <w:sz w:val="22"/>
          <w:szCs w:val="22"/>
        </w:rPr>
        <w:t xml:space="preserve">(12), 1026–1046. </w:t>
      </w:r>
      <w:hyperlink r:id="rId22" w:history="1">
        <w:r w:rsidRPr="00F05A7C">
          <w:rPr>
            <w:rStyle w:val="Hyperlink"/>
            <w:rFonts w:ascii="Arial" w:hAnsi="Arial" w:cs="Arial"/>
            <w:sz w:val="22"/>
            <w:szCs w:val="22"/>
          </w:rPr>
          <w:t>https://doi.org/10.1111/j.1365-2591.2008.01484.x</w:t>
        </w:r>
      </w:hyperlink>
    </w:p>
    <w:p w14:paraId="7FA54A05" w14:textId="77777777" w:rsidR="00F05A7C" w:rsidRPr="00F05A7C" w:rsidRDefault="00F05A7C" w:rsidP="00F05A7C">
      <w:pPr>
        <w:spacing w:line="360" w:lineRule="auto"/>
        <w:rPr>
          <w:rFonts w:ascii="Arial" w:hAnsi="Arial" w:cs="Arial"/>
          <w:sz w:val="22"/>
          <w:szCs w:val="22"/>
        </w:rPr>
      </w:pPr>
    </w:p>
    <w:p w14:paraId="0315A8B1" w14:textId="77777777" w:rsidR="000A79A4" w:rsidRPr="00F05A7C" w:rsidRDefault="000A79A4" w:rsidP="00F05A7C">
      <w:pPr>
        <w:spacing w:line="360" w:lineRule="auto"/>
        <w:rPr>
          <w:rFonts w:ascii="Arial" w:hAnsi="Arial" w:cs="Arial"/>
          <w:sz w:val="22"/>
          <w:szCs w:val="22"/>
        </w:rPr>
      </w:pPr>
      <w:r w:rsidRPr="00F05A7C">
        <w:rPr>
          <w:rFonts w:ascii="Arial" w:hAnsi="Arial" w:cs="Arial"/>
          <w:sz w:val="22"/>
          <w:szCs w:val="22"/>
        </w:rPr>
        <w:t xml:space="preserve">Pecora, G. E., &amp; Pecora, C. N. (2015). A new dimension in endo surgery: Micro endo surgery. </w:t>
      </w:r>
      <w:r w:rsidRPr="00F05A7C">
        <w:rPr>
          <w:rStyle w:val="Emphasis"/>
          <w:rFonts w:ascii="Arial" w:hAnsi="Arial" w:cs="Arial"/>
          <w:sz w:val="22"/>
          <w:szCs w:val="22"/>
        </w:rPr>
        <w:t>Journal of Conservative Dentistry, 18</w:t>
      </w:r>
      <w:r w:rsidRPr="00F05A7C">
        <w:rPr>
          <w:rFonts w:ascii="Arial" w:hAnsi="Arial" w:cs="Arial"/>
          <w:sz w:val="22"/>
          <w:szCs w:val="22"/>
        </w:rPr>
        <w:t xml:space="preserve">(1), 7–14. </w:t>
      </w:r>
      <w:hyperlink r:id="rId23" w:history="1">
        <w:r w:rsidRPr="00F05A7C">
          <w:rPr>
            <w:rStyle w:val="Hyperlink"/>
            <w:rFonts w:ascii="Arial" w:hAnsi="Arial" w:cs="Arial"/>
            <w:sz w:val="22"/>
            <w:szCs w:val="22"/>
          </w:rPr>
          <w:t>https://doi.org/10.4103/0972-0707.148864</w:t>
        </w:r>
      </w:hyperlink>
    </w:p>
    <w:p w14:paraId="70F53FFA" w14:textId="77777777" w:rsidR="000A79A4" w:rsidRPr="00F05A7C" w:rsidRDefault="000A79A4" w:rsidP="00F05A7C">
      <w:pPr>
        <w:spacing w:line="360" w:lineRule="auto"/>
        <w:rPr>
          <w:rFonts w:ascii="Arial" w:hAnsi="Arial" w:cs="Arial"/>
          <w:sz w:val="22"/>
          <w:szCs w:val="22"/>
        </w:rPr>
      </w:pPr>
    </w:p>
    <w:p w14:paraId="0BA44413" w14:textId="77777777" w:rsidR="000A79A4" w:rsidRPr="00F05A7C" w:rsidRDefault="000A79A4" w:rsidP="00F05A7C">
      <w:pPr>
        <w:spacing w:line="360" w:lineRule="auto"/>
        <w:rPr>
          <w:rFonts w:ascii="Arial" w:hAnsi="Arial" w:cs="Arial"/>
          <w:sz w:val="22"/>
          <w:szCs w:val="22"/>
        </w:rPr>
      </w:pPr>
      <w:r w:rsidRPr="00F05A7C">
        <w:rPr>
          <w:rStyle w:val="Strong"/>
          <w:rFonts w:ascii="Arial" w:hAnsi="Arial" w:cs="Arial"/>
          <w:b w:val="0"/>
          <w:sz w:val="22"/>
          <w:szCs w:val="22"/>
        </w:rPr>
        <w:t>Rubinstein, R., &amp; Kim, S. (1999).</w:t>
      </w:r>
      <w:r w:rsidRPr="00F05A7C">
        <w:rPr>
          <w:rFonts w:ascii="Arial" w:hAnsi="Arial" w:cs="Arial"/>
          <w:sz w:val="22"/>
          <w:szCs w:val="22"/>
        </w:rPr>
        <w:t xml:space="preserve"> Short-term observation of the results of endodontic surgery with the use of a surgical operation microscope and Super-BA as root-end filling material. </w:t>
      </w:r>
      <w:r w:rsidRPr="00F05A7C">
        <w:rPr>
          <w:rStyle w:val="Emphasis"/>
          <w:rFonts w:ascii="Arial" w:hAnsi="Arial" w:cs="Arial"/>
          <w:sz w:val="22"/>
          <w:szCs w:val="22"/>
        </w:rPr>
        <w:t>Journal of Endodontics</w:t>
      </w:r>
      <w:r w:rsidRPr="00F05A7C">
        <w:rPr>
          <w:rFonts w:ascii="Arial" w:hAnsi="Arial" w:cs="Arial"/>
          <w:sz w:val="22"/>
          <w:szCs w:val="22"/>
        </w:rPr>
        <w:t xml:space="preserve">, </w:t>
      </w:r>
      <w:r w:rsidRPr="00F05A7C">
        <w:rPr>
          <w:rStyle w:val="Strong"/>
          <w:rFonts w:ascii="Arial" w:hAnsi="Arial" w:cs="Arial"/>
          <w:b w:val="0"/>
          <w:sz w:val="22"/>
          <w:szCs w:val="22"/>
        </w:rPr>
        <w:t>25</w:t>
      </w:r>
      <w:r w:rsidRPr="00F05A7C">
        <w:rPr>
          <w:rFonts w:ascii="Arial" w:hAnsi="Arial" w:cs="Arial"/>
          <w:sz w:val="22"/>
          <w:szCs w:val="22"/>
        </w:rPr>
        <w:t>, 43–48</w:t>
      </w:r>
    </w:p>
    <w:p w14:paraId="37D446D3" w14:textId="77777777" w:rsidR="00F05A7C" w:rsidRPr="00F05A7C" w:rsidRDefault="00F05A7C" w:rsidP="00F05A7C">
      <w:pPr>
        <w:spacing w:line="360" w:lineRule="auto"/>
        <w:rPr>
          <w:rFonts w:ascii="Arial" w:hAnsi="Arial" w:cs="Arial"/>
          <w:sz w:val="22"/>
          <w:szCs w:val="22"/>
        </w:rPr>
      </w:pPr>
    </w:p>
    <w:p w14:paraId="65ADCFC9" w14:textId="77777777" w:rsidR="000A79A4" w:rsidRPr="00F05A7C" w:rsidRDefault="000A79A4" w:rsidP="00F05A7C">
      <w:pPr>
        <w:spacing w:line="360" w:lineRule="auto"/>
        <w:rPr>
          <w:rFonts w:ascii="Arial" w:hAnsi="Arial" w:cs="Arial"/>
          <w:sz w:val="22"/>
          <w:szCs w:val="22"/>
        </w:rPr>
      </w:pPr>
      <w:r w:rsidRPr="00F05A7C">
        <w:rPr>
          <w:rStyle w:val="Strong"/>
          <w:rFonts w:ascii="Arial" w:hAnsi="Arial" w:cs="Arial"/>
          <w:b w:val="0"/>
          <w:sz w:val="22"/>
          <w:szCs w:val="22"/>
        </w:rPr>
        <w:t>Page, M. J., McKenzie, J. E., Bossuyt, P. M., Boutron, I., Hoffmann, T. C., Mulrow, C. D., … Moher, D. (2021).</w:t>
      </w:r>
      <w:r w:rsidRPr="00F05A7C">
        <w:rPr>
          <w:rFonts w:ascii="Arial" w:hAnsi="Arial" w:cs="Arial"/>
          <w:sz w:val="22"/>
          <w:szCs w:val="22"/>
        </w:rPr>
        <w:t xml:space="preserve"> The PRISMA 2020 statement: An updated guideline for reporting systematic reviews. </w:t>
      </w:r>
      <w:r w:rsidRPr="00F05A7C">
        <w:rPr>
          <w:rStyle w:val="Emphasis"/>
          <w:rFonts w:ascii="Arial" w:hAnsi="Arial" w:cs="Arial"/>
          <w:sz w:val="22"/>
          <w:szCs w:val="22"/>
        </w:rPr>
        <w:t>BMJ, 372</w:t>
      </w:r>
      <w:r w:rsidRPr="00F05A7C">
        <w:rPr>
          <w:rFonts w:ascii="Arial" w:hAnsi="Arial" w:cs="Arial"/>
          <w:sz w:val="22"/>
          <w:szCs w:val="22"/>
        </w:rPr>
        <w:t xml:space="preserve">, n71. </w:t>
      </w:r>
      <w:hyperlink r:id="rId24" w:history="1">
        <w:r w:rsidRPr="00F05A7C">
          <w:rPr>
            <w:rStyle w:val="Hyperlink"/>
            <w:rFonts w:ascii="Arial" w:hAnsi="Arial" w:cs="Arial"/>
            <w:sz w:val="22"/>
            <w:szCs w:val="22"/>
          </w:rPr>
          <w:t>https://doi.org/10.1136/bmj.n71</w:t>
        </w:r>
      </w:hyperlink>
    </w:p>
    <w:p w14:paraId="580948A1" w14:textId="77777777" w:rsidR="00F05A7C" w:rsidRPr="00F05A7C" w:rsidRDefault="00F05A7C" w:rsidP="00F05A7C">
      <w:pPr>
        <w:spacing w:line="360" w:lineRule="auto"/>
        <w:rPr>
          <w:rFonts w:ascii="Arial" w:hAnsi="Arial" w:cs="Arial"/>
          <w:sz w:val="22"/>
          <w:szCs w:val="22"/>
        </w:rPr>
      </w:pPr>
    </w:p>
    <w:p w14:paraId="773436EE" w14:textId="77777777" w:rsidR="000A79A4" w:rsidRPr="00F05A7C" w:rsidRDefault="000A79A4" w:rsidP="00F05A7C">
      <w:pPr>
        <w:spacing w:line="360" w:lineRule="auto"/>
        <w:rPr>
          <w:rFonts w:ascii="Arial" w:hAnsi="Arial" w:cs="Arial"/>
          <w:sz w:val="22"/>
          <w:szCs w:val="22"/>
        </w:rPr>
      </w:pPr>
      <w:r w:rsidRPr="00F05A7C">
        <w:rPr>
          <w:rFonts w:ascii="Arial" w:hAnsi="Arial" w:cs="Arial"/>
          <w:sz w:val="22"/>
          <w:szCs w:val="22"/>
        </w:rPr>
        <w:t xml:space="preserve">Lee, D.-K., Kim, S. V., Limansubroto, A. N., Yen, A., Soundia, A., Wang, C.-Y., … Ho, D. (2015). Nanodiamond–gutta percha composite biomaterials for root canal therapy. </w:t>
      </w:r>
      <w:r w:rsidRPr="00F05A7C">
        <w:rPr>
          <w:rStyle w:val="Emphasis"/>
          <w:rFonts w:ascii="Arial" w:hAnsi="Arial" w:cs="Arial"/>
          <w:sz w:val="22"/>
          <w:szCs w:val="22"/>
        </w:rPr>
        <w:t>ACS Nano, 9</w:t>
      </w:r>
      <w:r w:rsidRPr="00F05A7C">
        <w:rPr>
          <w:rFonts w:ascii="Arial" w:hAnsi="Arial" w:cs="Arial"/>
          <w:sz w:val="22"/>
          <w:szCs w:val="22"/>
        </w:rPr>
        <w:t xml:space="preserve">(11), 11490–11501. </w:t>
      </w:r>
      <w:hyperlink r:id="rId25" w:history="1">
        <w:r w:rsidRPr="00F05A7C">
          <w:rPr>
            <w:rStyle w:val="Hyperlink"/>
            <w:rFonts w:ascii="Arial" w:hAnsi="Arial" w:cs="Arial"/>
            <w:sz w:val="22"/>
            <w:szCs w:val="22"/>
          </w:rPr>
          <w:t>https://doi.org/10.1021/acsnano.5b05718</w:t>
        </w:r>
      </w:hyperlink>
    </w:p>
    <w:p w14:paraId="292C3EA0" w14:textId="77777777" w:rsidR="00F05A7C" w:rsidRPr="00F05A7C" w:rsidRDefault="00F05A7C" w:rsidP="00F05A7C">
      <w:pPr>
        <w:spacing w:line="360" w:lineRule="auto"/>
        <w:rPr>
          <w:rFonts w:ascii="Arial" w:hAnsi="Arial" w:cs="Arial"/>
          <w:sz w:val="22"/>
          <w:szCs w:val="22"/>
        </w:rPr>
      </w:pPr>
    </w:p>
    <w:p w14:paraId="216B44D6" w14:textId="77777777" w:rsidR="000A79A4" w:rsidRPr="00F05A7C" w:rsidRDefault="000A79A4" w:rsidP="00F05A7C">
      <w:pPr>
        <w:spacing w:line="360" w:lineRule="auto"/>
        <w:rPr>
          <w:rFonts w:ascii="Arial" w:hAnsi="Arial" w:cs="Arial"/>
          <w:sz w:val="22"/>
          <w:szCs w:val="22"/>
        </w:rPr>
      </w:pPr>
      <w:r w:rsidRPr="00F05A7C">
        <w:rPr>
          <w:rStyle w:val="Strong"/>
          <w:rFonts w:ascii="Arial" w:hAnsi="Arial" w:cs="Arial"/>
          <w:b w:val="0"/>
          <w:sz w:val="22"/>
          <w:szCs w:val="22"/>
        </w:rPr>
        <w:t>Bramer, W. M., Rethlefsen, M. L., Kleijnen, J., &amp; Franco, O. H. (2017).</w:t>
      </w:r>
      <w:r w:rsidRPr="00F05A7C">
        <w:rPr>
          <w:rFonts w:ascii="Arial" w:hAnsi="Arial" w:cs="Arial"/>
          <w:sz w:val="22"/>
          <w:szCs w:val="22"/>
        </w:rPr>
        <w:t xml:space="preserve"> Optimal database combinations for literature searches in systematic reviews: A prospective exploratory study. </w:t>
      </w:r>
      <w:r w:rsidRPr="00F05A7C">
        <w:rPr>
          <w:rStyle w:val="Emphasis"/>
          <w:rFonts w:ascii="Arial" w:hAnsi="Arial" w:cs="Arial"/>
          <w:sz w:val="22"/>
          <w:szCs w:val="22"/>
        </w:rPr>
        <w:t>Systematic Reviews, 6</w:t>
      </w:r>
      <w:r w:rsidRPr="00F05A7C">
        <w:rPr>
          <w:rFonts w:ascii="Arial" w:hAnsi="Arial" w:cs="Arial"/>
          <w:sz w:val="22"/>
          <w:szCs w:val="22"/>
        </w:rPr>
        <w:t xml:space="preserve">, 245. </w:t>
      </w:r>
      <w:hyperlink r:id="rId26" w:history="1">
        <w:r w:rsidRPr="00F05A7C">
          <w:rPr>
            <w:rStyle w:val="Hyperlink"/>
            <w:rFonts w:ascii="Arial" w:hAnsi="Arial" w:cs="Arial"/>
            <w:sz w:val="22"/>
            <w:szCs w:val="22"/>
          </w:rPr>
          <w:t>https://doi.org/10.1186/s13643-017-0638-0</w:t>
        </w:r>
      </w:hyperlink>
    </w:p>
    <w:p w14:paraId="2B3C8EE0" w14:textId="77777777" w:rsidR="000A79A4" w:rsidRPr="00D827A1" w:rsidRDefault="000A79A4" w:rsidP="00F05A7C">
      <w:pPr>
        <w:spacing w:before="100" w:beforeAutospacing="1" w:after="100" w:afterAutospacing="1" w:line="360" w:lineRule="auto"/>
        <w:rPr>
          <w:rFonts w:ascii="Arial" w:hAnsi="Arial" w:cs="Arial"/>
          <w:sz w:val="22"/>
          <w:szCs w:val="22"/>
          <w:lang w:val="en-IN" w:eastAsia="en-IN"/>
        </w:rPr>
      </w:pPr>
      <w:r w:rsidRPr="00D827A1">
        <w:rPr>
          <w:rFonts w:ascii="Arial" w:hAnsi="Arial" w:cs="Arial"/>
          <w:sz w:val="22"/>
          <w:szCs w:val="22"/>
          <w:lang w:val="en-IN" w:eastAsia="en-IN"/>
        </w:rPr>
        <w:t xml:space="preserve">Schmidt, L., Olorisade, B. K., McGuinness, L. A., Thomas, J., Higgins, J. P. T., &amp; Elmore, R. (2021). Data extraction methods for systematic review (semi)automation: A living systematic review. https://doi.org/10.12688/f1000research.51117.1 </w:t>
      </w:r>
    </w:p>
    <w:p w14:paraId="4D41E5A4" w14:textId="77777777" w:rsidR="000A79A4" w:rsidRPr="00D827A1" w:rsidRDefault="000A79A4" w:rsidP="00F05A7C">
      <w:pPr>
        <w:spacing w:before="100" w:beforeAutospacing="1" w:after="100" w:afterAutospacing="1" w:line="360" w:lineRule="auto"/>
        <w:rPr>
          <w:rFonts w:ascii="Arial" w:hAnsi="Arial" w:cs="Arial"/>
          <w:sz w:val="22"/>
          <w:szCs w:val="22"/>
          <w:lang w:val="en-IN" w:eastAsia="en-IN"/>
        </w:rPr>
      </w:pPr>
      <w:r w:rsidRPr="00D827A1">
        <w:rPr>
          <w:rFonts w:ascii="Arial" w:hAnsi="Arial" w:cs="Arial"/>
          <w:sz w:val="22"/>
          <w:szCs w:val="22"/>
          <w:lang w:val="en-IN" w:eastAsia="en-IN"/>
        </w:rPr>
        <w:t xml:space="preserve">Hooijmans, C. R., Rovers, M. M., de Vries, R. B. M., Leenaars, M., Ritskes-Hoitinga, M., &amp; Langendam, M. (2014). SYRCLE’s risk of bias tool for animal studies. </w:t>
      </w:r>
      <w:r w:rsidRPr="00F05A7C">
        <w:rPr>
          <w:rFonts w:ascii="Arial" w:hAnsi="Arial" w:cs="Arial"/>
          <w:i/>
          <w:iCs/>
          <w:sz w:val="22"/>
          <w:szCs w:val="22"/>
          <w:lang w:val="en-IN" w:eastAsia="en-IN"/>
        </w:rPr>
        <w:t>Systematic Reviews.</w:t>
      </w:r>
      <w:r w:rsidRPr="00D827A1">
        <w:rPr>
          <w:rFonts w:ascii="Arial" w:hAnsi="Arial" w:cs="Arial"/>
          <w:sz w:val="22"/>
          <w:szCs w:val="22"/>
          <w:lang w:val="en-IN" w:eastAsia="en-IN"/>
        </w:rPr>
        <w:t xml:space="preserve"> </w:t>
      </w:r>
    </w:p>
    <w:p w14:paraId="74139C3E" w14:textId="77777777" w:rsidR="000A79A4" w:rsidRPr="00F05A7C" w:rsidRDefault="000A79A4" w:rsidP="00F05A7C">
      <w:pPr>
        <w:spacing w:before="100" w:beforeAutospacing="1" w:after="100" w:afterAutospacing="1" w:line="360" w:lineRule="auto"/>
        <w:rPr>
          <w:rFonts w:ascii="Arial" w:hAnsi="Arial" w:cs="Arial"/>
          <w:sz w:val="22"/>
          <w:szCs w:val="22"/>
          <w:lang w:val="en-IN" w:eastAsia="en-IN"/>
        </w:rPr>
      </w:pPr>
      <w:r w:rsidRPr="00D827A1">
        <w:rPr>
          <w:rFonts w:ascii="Arial" w:hAnsi="Arial" w:cs="Arial"/>
          <w:sz w:val="22"/>
          <w:szCs w:val="22"/>
          <w:lang w:val="en-IN" w:eastAsia="en-IN"/>
        </w:rPr>
        <w:lastRenderedPageBreak/>
        <w:t xml:space="preserve">Cochrane Methods. (2025). Risk of Bias 2 (RoB 2) tool. </w:t>
      </w:r>
      <w:r w:rsidRPr="00F05A7C">
        <w:rPr>
          <w:rFonts w:ascii="Arial" w:hAnsi="Arial" w:cs="Arial"/>
          <w:i/>
          <w:iCs/>
          <w:sz w:val="22"/>
          <w:szCs w:val="22"/>
          <w:lang w:val="en-IN" w:eastAsia="en-IN"/>
        </w:rPr>
        <w:t>Cochrane Handbook for Systematic Reviews of Interventions</w:t>
      </w:r>
      <w:r w:rsidRPr="00D827A1">
        <w:rPr>
          <w:rFonts w:ascii="Arial" w:hAnsi="Arial" w:cs="Arial"/>
          <w:sz w:val="22"/>
          <w:szCs w:val="22"/>
          <w:lang w:val="en-IN" w:eastAsia="en-IN"/>
        </w:rPr>
        <w:t>.</w:t>
      </w:r>
    </w:p>
    <w:p w14:paraId="2F5DE44B" w14:textId="77777777" w:rsidR="000A79A4" w:rsidRPr="00D827A1" w:rsidRDefault="000A79A4" w:rsidP="00F05A7C">
      <w:pPr>
        <w:spacing w:before="100" w:beforeAutospacing="1" w:after="100" w:afterAutospacing="1" w:line="360" w:lineRule="auto"/>
        <w:rPr>
          <w:rFonts w:ascii="Arial" w:hAnsi="Arial" w:cs="Arial"/>
          <w:sz w:val="22"/>
          <w:szCs w:val="22"/>
          <w:lang w:val="en-IN" w:eastAsia="en-IN"/>
        </w:rPr>
      </w:pPr>
      <w:r w:rsidRPr="00F05A7C">
        <w:rPr>
          <w:rFonts w:ascii="Arial" w:hAnsi="Arial" w:cs="Arial"/>
          <w:bCs/>
          <w:sz w:val="22"/>
          <w:szCs w:val="22"/>
          <w:lang w:val="en-IN" w:eastAsia="en-IN"/>
        </w:rPr>
        <w:t>Thomas, P., Kumar, R., &amp; Patel, S. (2023).</w:t>
      </w:r>
      <w:r w:rsidRPr="00D827A1">
        <w:rPr>
          <w:rFonts w:ascii="Arial" w:hAnsi="Arial" w:cs="Arial"/>
          <w:sz w:val="22"/>
          <w:szCs w:val="22"/>
          <w:lang w:val="en-IN" w:eastAsia="en-IN"/>
        </w:rPr>
        <w:t xml:space="preserve"> Clinical and radiological outcomes of dynamic navigation in endodontic microsurgery: A prospective study. </w:t>
      </w:r>
      <w:r w:rsidRPr="00F05A7C">
        <w:rPr>
          <w:rFonts w:ascii="Arial" w:hAnsi="Arial" w:cs="Arial"/>
          <w:i/>
          <w:iCs/>
          <w:sz w:val="22"/>
          <w:szCs w:val="22"/>
          <w:lang w:val="en-IN" w:eastAsia="en-IN"/>
        </w:rPr>
        <w:t>Clinical Oral Investigations, 27</w:t>
      </w:r>
      <w:r w:rsidRPr="00D827A1">
        <w:rPr>
          <w:rFonts w:ascii="Arial" w:hAnsi="Arial" w:cs="Arial"/>
          <w:sz w:val="22"/>
          <w:szCs w:val="22"/>
          <w:lang w:val="en-IN" w:eastAsia="en-IN"/>
        </w:rPr>
        <w:t xml:space="preserve">(2), 1123–1134. </w:t>
      </w:r>
      <w:hyperlink r:id="rId27" w:history="1">
        <w:r w:rsidRPr="00F05A7C">
          <w:rPr>
            <w:rStyle w:val="Hyperlink"/>
            <w:rFonts w:ascii="Arial" w:hAnsi="Arial" w:cs="Arial"/>
            <w:sz w:val="22"/>
            <w:szCs w:val="22"/>
            <w:lang w:val="en-IN" w:eastAsia="en-IN"/>
          </w:rPr>
          <w:t>https://doi.org/10.1007/s00784-023-05152-6</w:t>
        </w:r>
      </w:hyperlink>
    </w:p>
    <w:p w14:paraId="400BEF22" w14:textId="77777777" w:rsidR="000A79A4" w:rsidRPr="00D827A1" w:rsidRDefault="000A79A4" w:rsidP="00F05A7C">
      <w:pPr>
        <w:spacing w:before="100" w:beforeAutospacing="1" w:after="100" w:afterAutospacing="1" w:line="360" w:lineRule="auto"/>
        <w:rPr>
          <w:rFonts w:ascii="Arial" w:hAnsi="Arial" w:cs="Arial"/>
          <w:sz w:val="22"/>
          <w:szCs w:val="22"/>
          <w:lang w:val="en-IN" w:eastAsia="en-IN"/>
        </w:rPr>
      </w:pPr>
      <w:r w:rsidRPr="00F05A7C">
        <w:rPr>
          <w:rFonts w:ascii="Arial" w:hAnsi="Arial" w:cs="Arial"/>
          <w:bCs/>
          <w:sz w:val="22"/>
          <w:szCs w:val="22"/>
          <w:lang w:val="en-IN" w:eastAsia="en-IN"/>
        </w:rPr>
        <w:t>Torabinejad, M., Corr, R., Handysides, R., &amp; Shabahang, S. (2010).</w:t>
      </w:r>
      <w:r w:rsidRPr="00D827A1">
        <w:rPr>
          <w:rFonts w:ascii="Arial" w:hAnsi="Arial" w:cs="Arial"/>
          <w:sz w:val="22"/>
          <w:szCs w:val="22"/>
          <w:lang w:val="en-IN" w:eastAsia="en-IN"/>
        </w:rPr>
        <w:t xml:space="preserve"> Outcomes of nonsurgical retreatment and endodontic surgery: A systematic review. </w:t>
      </w:r>
      <w:r w:rsidRPr="00F05A7C">
        <w:rPr>
          <w:rFonts w:ascii="Arial" w:hAnsi="Arial" w:cs="Arial"/>
          <w:i/>
          <w:iCs/>
          <w:sz w:val="22"/>
          <w:szCs w:val="22"/>
          <w:lang w:val="en-IN" w:eastAsia="en-IN"/>
        </w:rPr>
        <w:t>Journal of Endodontics, 36</w:t>
      </w:r>
      <w:r w:rsidRPr="00D827A1">
        <w:rPr>
          <w:rFonts w:ascii="Arial" w:hAnsi="Arial" w:cs="Arial"/>
          <w:sz w:val="22"/>
          <w:szCs w:val="22"/>
          <w:lang w:val="en-IN" w:eastAsia="en-IN"/>
        </w:rPr>
        <w:t xml:space="preserve">(9), 1433–1439. </w:t>
      </w:r>
      <w:hyperlink r:id="rId28" w:history="1">
        <w:r w:rsidRPr="00F05A7C">
          <w:rPr>
            <w:rStyle w:val="Hyperlink"/>
            <w:rFonts w:ascii="Arial" w:hAnsi="Arial" w:cs="Arial"/>
            <w:sz w:val="22"/>
            <w:szCs w:val="22"/>
            <w:lang w:val="en-IN" w:eastAsia="en-IN"/>
          </w:rPr>
          <w:t>https://doi.org/10.1016/j.joen.2010.04.020</w:t>
        </w:r>
      </w:hyperlink>
    </w:p>
    <w:p w14:paraId="24E1B5AF" w14:textId="77777777" w:rsidR="000A79A4" w:rsidRPr="00F05A7C" w:rsidRDefault="000A79A4" w:rsidP="00F05A7C">
      <w:pPr>
        <w:spacing w:before="100" w:beforeAutospacing="1" w:after="100" w:afterAutospacing="1" w:line="360" w:lineRule="auto"/>
        <w:rPr>
          <w:rFonts w:ascii="Arial" w:hAnsi="Arial" w:cs="Arial"/>
          <w:sz w:val="22"/>
          <w:szCs w:val="22"/>
        </w:rPr>
      </w:pPr>
      <w:r w:rsidRPr="00F05A7C">
        <w:rPr>
          <w:rFonts w:ascii="Arial" w:hAnsi="Arial" w:cs="Arial"/>
          <w:sz w:val="22"/>
          <w:szCs w:val="22"/>
        </w:rPr>
        <w:t xml:space="preserve">Falatah, A. M., Al-Ahmadi, B. O., Alharbi, T. M., Aloufi, F. A., Al-Amoudi, S. A., &amp; Katib, H. S. (2024). </w:t>
      </w:r>
      <w:r w:rsidRPr="00F05A7C">
        <w:rPr>
          <w:rStyle w:val="Emphasis"/>
          <w:rFonts w:ascii="Arial" w:hAnsi="Arial" w:cs="Arial"/>
          <w:sz w:val="22"/>
          <w:szCs w:val="22"/>
        </w:rPr>
        <w:t>Advances in endodontic microsurgery: Techniques, materials, and innovations for enhanced patient outcomes</w:t>
      </w:r>
      <w:r w:rsidRPr="00F05A7C">
        <w:rPr>
          <w:rFonts w:ascii="Arial" w:hAnsi="Arial" w:cs="Arial"/>
          <w:sz w:val="22"/>
          <w:szCs w:val="22"/>
        </w:rPr>
        <w:t xml:space="preserve">. </w:t>
      </w:r>
      <w:r w:rsidRPr="00F05A7C">
        <w:rPr>
          <w:rStyle w:val="Emphasis"/>
          <w:rFonts w:ascii="Arial" w:hAnsi="Arial" w:cs="Arial"/>
          <w:sz w:val="22"/>
          <w:szCs w:val="22"/>
        </w:rPr>
        <w:t>Journal of Innovations in Clinical Research and Case Reports, 312</w:t>
      </w:r>
      <w:r w:rsidRPr="00F05A7C">
        <w:rPr>
          <w:rFonts w:ascii="Arial" w:hAnsi="Arial" w:cs="Arial"/>
          <w:sz w:val="22"/>
          <w:szCs w:val="22"/>
        </w:rPr>
        <w:t xml:space="preserve">. </w:t>
      </w:r>
      <w:hyperlink r:id="rId29" w:history="1">
        <w:r w:rsidRPr="00F05A7C">
          <w:rPr>
            <w:rStyle w:val="Hyperlink"/>
            <w:rFonts w:ascii="Arial" w:hAnsi="Arial" w:cs="Arial"/>
            <w:sz w:val="22"/>
            <w:szCs w:val="22"/>
          </w:rPr>
          <w:t>https://doi.org/10.63278/jicrcr.vi.312</w:t>
        </w:r>
      </w:hyperlink>
    </w:p>
    <w:p w14:paraId="0203B53F" w14:textId="77777777" w:rsidR="000A79A4" w:rsidRPr="00F05A7C" w:rsidRDefault="000A79A4" w:rsidP="00F05A7C">
      <w:pPr>
        <w:spacing w:before="100" w:beforeAutospacing="1" w:after="100" w:afterAutospacing="1" w:line="360" w:lineRule="auto"/>
        <w:rPr>
          <w:rFonts w:ascii="Arial" w:hAnsi="Arial" w:cs="Arial"/>
          <w:sz w:val="22"/>
          <w:szCs w:val="22"/>
        </w:rPr>
      </w:pPr>
      <w:r w:rsidRPr="00F05A7C">
        <w:rPr>
          <w:rFonts w:ascii="Arial" w:hAnsi="Arial" w:cs="Arial"/>
          <w:sz w:val="22"/>
          <w:szCs w:val="22"/>
        </w:rPr>
        <w:t xml:space="preserve">Setzer, F. C., Kohli, M. R., Shah, S. B., Karabucak, B., &amp; Kim, S. (2010). Outcome of endodontic surgery: A meta-analysis of the literature. Part 1: Comparison of traditional root-end surgery and endodontic microsurgery. </w:t>
      </w:r>
      <w:r w:rsidRPr="00F05A7C">
        <w:rPr>
          <w:rStyle w:val="Emphasis"/>
          <w:rFonts w:ascii="Arial" w:hAnsi="Arial" w:cs="Arial"/>
          <w:sz w:val="22"/>
          <w:szCs w:val="22"/>
        </w:rPr>
        <w:t>Journal of Endodontics, 36</w:t>
      </w:r>
      <w:r w:rsidRPr="00F05A7C">
        <w:rPr>
          <w:rFonts w:ascii="Arial" w:hAnsi="Arial" w:cs="Arial"/>
          <w:sz w:val="22"/>
          <w:szCs w:val="22"/>
        </w:rPr>
        <w:t xml:space="preserve">(11), 1757–1765. </w:t>
      </w:r>
      <w:hyperlink r:id="rId30" w:history="1">
        <w:r w:rsidRPr="00F05A7C">
          <w:rPr>
            <w:rStyle w:val="Hyperlink"/>
            <w:rFonts w:ascii="Arial" w:hAnsi="Arial" w:cs="Arial"/>
            <w:sz w:val="22"/>
            <w:szCs w:val="22"/>
          </w:rPr>
          <w:t>https://doi.org/10.1016/j.joen.2010.08.007</w:t>
        </w:r>
      </w:hyperlink>
    </w:p>
    <w:p w14:paraId="634CEDFA" w14:textId="77777777" w:rsidR="000A79A4" w:rsidRPr="00F05A7C" w:rsidRDefault="000A79A4" w:rsidP="00F05A7C">
      <w:pPr>
        <w:spacing w:before="100" w:beforeAutospacing="1" w:after="100" w:afterAutospacing="1" w:line="360" w:lineRule="auto"/>
        <w:rPr>
          <w:rFonts w:ascii="Arial" w:hAnsi="Arial" w:cs="Arial"/>
          <w:sz w:val="22"/>
          <w:szCs w:val="22"/>
        </w:rPr>
      </w:pPr>
      <w:r w:rsidRPr="00F05A7C">
        <w:rPr>
          <w:rFonts w:ascii="Arial" w:hAnsi="Arial" w:cs="Arial"/>
          <w:sz w:val="22"/>
          <w:szCs w:val="22"/>
        </w:rPr>
        <w:t xml:space="preserve">Tsesis, I., Faivishevsky, V., Kfir, A., &amp; Rosen, E. (2009). Outcome of surgical endodontic treatment performed by a modern technique: A meta-analysis of literature. </w:t>
      </w:r>
      <w:r w:rsidRPr="00F05A7C">
        <w:rPr>
          <w:rStyle w:val="Emphasis"/>
          <w:rFonts w:ascii="Arial" w:hAnsi="Arial" w:cs="Arial"/>
          <w:sz w:val="22"/>
          <w:szCs w:val="22"/>
        </w:rPr>
        <w:t>Journal of Endodontics, 35</w:t>
      </w:r>
      <w:r w:rsidRPr="00F05A7C">
        <w:rPr>
          <w:rFonts w:ascii="Arial" w:hAnsi="Arial" w:cs="Arial"/>
          <w:sz w:val="22"/>
          <w:szCs w:val="22"/>
        </w:rPr>
        <w:t xml:space="preserve">(11), 1505–1511. </w:t>
      </w:r>
      <w:hyperlink r:id="rId31" w:history="1">
        <w:r w:rsidRPr="00F05A7C">
          <w:rPr>
            <w:rStyle w:val="Hyperlink"/>
            <w:rFonts w:ascii="Arial" w:hAnsi="Arial" w:cs="Arial"/>
            <w:sz w:val="22"/>
            <w:szCs w:val="22"/>
          </w:rPr>
          <w:t>https://doi.org/10.1016/j.joen.2009.07.025</w:t>
        </w:r>
      </w:hyperlink>
    </w:p>
    <w:p w14:paraId="19528397" w14:textId="77777777" w:rsidR="000A79A4" w:rsidRPr="008B04B5" w:rsidRDefault="000A79A4" w:rsidP="00F05A7C">
      <w:pPr>
        <w:spacing w:before="100" w:beforeAutospacing="1" w:after="100" w:afterAutospacing="1" w:line="360" w:lineRule="auto"/>
        <w:rPr>
          <w:rFonts w:ascii="Arial" w:hAnsi="Arial" w:cs="Arial"/>
          <w:sz w:val="22"/>
          <w:szCs w:val="22"/>
          <w:lang w:val="en-IN" w:eastAsia="en-IN"/>
        </w:rPr>
      </w:pPr>
      <w:r w:rsidRPr="008B04B5">
        <w:rPr>
          <w:rFonts w:ascii="Arial" w:hAnsi="Arial" w:cs="Arial"/>
          <w:sz w:val="22"/>
          <w:szCs w:val="22"/>
          <w:lang w:val="en-IN" w:eastAsia="en-IN"/>
        </w:rPr>
        <w:t xml:space="preserve">Karkle, A., Neimane, L., Zolovs, M., Dambergs, M., Meistere, D., Vaskevica, A., &amp; Slaidina, A. (2025). </w:t>
      </w:r>
      <w:r w:rsidRPr="00F05A7C">
        <w:rPr>
          <w:rFonts w:ascii="Arial" w:hAnsi="Arial" w:cs="Arial"/>
          <w:bCs/>
          <w:sz w:val="22"/>
          <w:szCs w:val="22"/>
          <w:lang w:val="en-IN" w:eastAsia="en-IN"/>
        </w:rPr>
        <w:t>Impact of advanced platelet-rich fibrin on early bone healing after endodontic microsurgery: A randomized controlled trial.</w:t>
      </w:r>
      <w:r w:rsidRPr="008B04B5">
        <w:rPr>
          <w:rFonts w:ascii="Arial" w:hAnsi="Arial" w:cs="Arial"/>
          <w:sz w:val="22"/>
          <w:szCs w:val="22"/>
          <w:lang w:val="en-IN" w:eastAsia="en-IN"/>
        </w:rPr>
        <w:t xml:space="preserve"> </w:t>
      </w:r>
      <w:r w:rsidRPr="00F05A7C">
        <w:rPr>
          <w:rFonts w:ascii="Arial" w:hAnsi="Arial" w:cs="Arial"/>
          <w:i/>
          <w:iCs/>
          <w:sz w:val="22"/>
          <w:szCs w:val="22"/>
          <w:lang w:val="en-IN" w:eastAsia="en-IN"/>
        </w:rPr>
        <w:t>Diagnostics, 15</w:t>
      </w:r>
      <w:r w:rsidRPr="008B04B5">
        <w:rPr>
          <w:rFonts w:ascii="Arial" w:hAnsi="Arial" w:cs="Arial"/>
          <w:sz w:val="22"/>
          <w:szCs w:val="22"/>
          <w:lang w:val="en-IN" w:eastAsia="en-IN"/>
        </w:rPr>
        <w:t xml:space="preserve">(5), 516. https://doi.org/10.3390/diagnostics15050516 </w:t>
      </w:r>
    </w:p>
    <w:p w14:paraId="0D8EF453" w14:textId="77777777" w:rsidR="000D689F" w:rsidRPr="00F05A7C" w:rsidRDefault="000A79A4" w:rsidP="00F05A7C">
      <w:pPr>
        <w:spacing w:before="100" w:beforeAutospacing="1" w:after="100" w:afterAutospacing="1" w:line="360" w:lineRule="auto"/>
        <w:rPr>
          <w:rFonts w:ascii="Arial" w:hAnsi="Arial" w:cs="Arial"/>
          <w:sz w:val="22"/>
          <w:szCs w:val="22"/>
          <w:lang w:val="en-IN" w:eastAsia="en-IN"/>
        </w:rPr>
      </w:pPr>
      <w:r w:rsidRPr="008B04B5">
        <w:rPr>
          <w:rFonts w:ascii="Arial" w:hAnsi="Arial" w:cs="Arial"/>
          <w:sz w:val="22"/>
          <w:szCs w:val="22"/>
          <w:lang w:val="en-IN" w:eastAsia="en-IN"/>
        </w:rPr>
        <w:t xml:space="preserve">Sidiropoulos, K., Roussou, K., Intzes, L., Economides, N., et al. (2019). </w:t>
      </w:r>
      <w:r w:rsidRPr="00F05A7C">
        <w:rPr>
          <w:rFonts w:ascii="Arial" w:hAnsi="Arial" w:cs="Arial"/>
          <w:bCs/>
          <w:sz w:val="22"/>
          <w:szCs w:val="22"/>
          <w:lang w:val="en-IN" w:eastAsia="en-IN"/>
        </w:rPr>
        <w:t>Guided tissue regeneration in surgical endodontic treatment: Case report and literature review.</w:t>
      </w:r>
      <w:r w:rsidRPr="008B04B5">
        <w:rPr>
          <w:rFonts w:ascii="Arial" w:hAnsi="Arial" w:cs="Arial"/>
          <w:sz w:val="22"/>
          <w:szCs w:val="22"/>
          <w:lang w:val="en-IN" w:eastAsia="en-IN"/>
        </w:rPr>
        <w:t xml:space="preserve"> </w:t>
      </w:r>
      <w:r w:rsidRPr="00F05A7C">
        <w:rPr>
          <w:rFonts w:ascii="Arial" w:hAnsi="Arial" w:cs="Arial"/>
          <w:i/>
          <w:iCs/>
          <w:sz w:val="22"/>
          <w:szCs w:val="22"/>
          <w:lang w:val="en-IN" w:eastAsia="en-IN"/>
        </w:rPr>
        <w:t>Balkan Journal of Dental Medicine.</w:t>
      </w:r>
    </w:p>
    <w:p w14:paraId="403FDE08" w14:textId="77777777" w:rsidR="00441B6F" w:rsidRPr="00F05A7C" w:rsidRDefault="00441B6F" w:rsidP="00441B6F">
      <w:pPr>
        <w:pStyle w:val="Body"/>
        <w:spacing w:after="0"/>
        <w:jc w:val="left"/>
        <w:rPr>
          <w:sz w:val="22"/>
          <w:szCs w:val="22"/>
        </w:rPr>
      </w:pPr>
    </w:p>
    <w:p w14:paraId="6D35B67D" w14:textId="77777777" w:rsidR="00F05A7C" w:rsidRPr="00F05A7C" w:rsidRDefault="00F05A7C" w:rsidP="00F05A7C">
      <w:pPr>
        <w:jc w:val="both"/>
        <w:rPr>
          <w:rFonts w:ascii="Arial" w:hAnsi="Arial" w:cs="Arial"/>
          <w:b/>
          <w:sz w:val="22"/>
          <w:szCs w:val="22"/>
          <w:lang w:bidi="bn-IN"/>
        </w:rPr>
      </w:pPr>
    </w:p>
    <w:p w14:paraId="40A6D498" w14:textId="77777777" w:rsidR="00441B6F" w:rsidRPr="00F05A7C" w:rsidRDefault="00441B6F" w:rsidP="00441B6F">
      <w:pPr>
        <w:pStyle w:val="Body"/>
        <w:spacing w:after="0"/>
        <w:jc w:val="left"/>
        <w:rPr>
          <w:rFonts w:ascii="Arial" w:hAnsi="Arial" w:cs="Arial"/>
          <w:b/>
          <w:sz w:val="22"/>
          <w:szCs w:val="22"/>
        </w:rPr>
      </w:pPr>
    </w:p>
    <w:p w14:paraId="5B36965F" w14:textId="77777777" w:rsidR="004D4277" w:rsidRPr="00FB3A86" w:rsidRDefault="004D4277" w:rsidP="00441B6F">
      <w:pPr>
        <w:pStyle w:val="Appendix"/>
        <w:spacing w:after="0"/>
        <w:jc w:val="both"/>
        <w:rPr>
          <w:rFonts w:ascii="Arial" w:hAnsi="Arial" w:cs="Arial"/>
          <w:b w:val="0"/>
        </w:rPr>
        <w:sectPr w:rsidR="004D4277" w:rsidRPr="00FB3A86" w:rsidSect="00B551CD">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p>
    <w:p w14:paraId="58339B78" w14:textId="77777777" w:rsidR="00B01FCD" w:rsidRPr="00FB3A86" w:rsidRDefault="00B01FCD" w:rsidP="00441B6F">
      <w:pPr>
        <w:pStyle w:val="Appendix"/>
        <w:spacing w:after="0"/>
        <w:jc w:val="both"/>
        <w:rPr>
          <w:rFonts w:ascii="Arial" w:hAnsi="Arial" w:cs="Arial"/>
          <w:b w:val="0"/>
        </w:rPr>
      </w:pPr>
    </w:p>
    <w:sectPr w:rsidR="00B01FCD" w:rsidRPr="00FB3A86" w:rsidSect="00B551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4DA54" w14:textId="77777777" w:rsidR="00AA330A" w:rsidRDefault="00AA330A" w:rsidP="00C37E61">
      <w:r>
        <w:separator/>
      </w:r>
    </w:p>
  </w:endnote>
  <w:endnote w:type="continuationSeparator" w:id="0">
    <w:p w14:paraId="7ADEB959" w14:textId="77777777" w:rsidR="00AA330A" w:rsidRDefault="00AA33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B06D0" w14:textId="77777777" w:rsidR="00B551CD" w:rsidRDefault="00B55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E9FBE" w14:textId="77777777" w:rsidR="00B551CD" w:rsidRDefault="00B55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D49E3" w14:textId="086C07DE" w:rsidR="00754C9A" w:rsidRPr="00B551CD" w:rsidRDefault="00754C9A" w:rsidP="00B551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1A7A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7A2E4" w14:textId="77777777" w:rsidR="00AA330A" w:rsidRDefault="00AA330A" w:rsidP="00C37E61">
      <w:r>
        <w:separator/>
      </w:r>
    </w:p>
  </w:footnote>
  <w:footnote w:type="continuationSeparator" w:id="0">
    <w:p w14:paraId="0108CF43" w14:textId="77777777" w:rsidR="00AA330A" w:rsidRDefault="00AA33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C1F8C" w14:textId="66D38A54" w:rsidR="00B551CD" w:rsidRDefault="00B551CD">
    <w:pPr>
      <w:pStyle w:val="Header"/>
    </w:pPr>
    <w:r>
      <w:rPr>
        <w:noProof/>
      </w:rPr>
      <w:pict w14:anchorId="69972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78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CD634" w14:textId="2BC2612A" w:rsidR="00B551CD" w:rsidRDefault="00B551CD">
    <w:pPr>
      <w:pStyle w:val="Header"/>
    </w:pPr>
    <w:r>
      <w:rPr>
        <w:noProof/>
      </w:rPr>
      <w:pict w14:anchorId="7AB27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78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5026" w14:textId="0257CA4D" w:rsidR="00296529" w:rsidRPr="00296529" w:rsidRDefault="00B551CD" w:rsidP="00296529">
    <w:pPr>
      <w:ind w:left="2160"/>
      <w:jc w:val="center"/>
      <w:rPr>
        <w:rFonts w:ascii="Times New Roman" w:eastAsia="Calibri" w:hAnsi="Times New Roman"/>
        <w:i/>
        <w:sz w:val="18"/>
        <w:szCs w:val="22"/>
      </w:rPr>
    </w:pPr>
    <w:r>
      <w:rPr>
        <w:noProof/>
      </w:rPr>
      <w:pict w14:anchorId="78021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78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80A94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DCA7C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1E619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9239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A6F3C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E2904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9599A" w14:textId="654E4B6F" w:rsidR="00B551CD" w:rsidRDefault="00B551CD">
    <w:pPr>
      <w:pStyle w:val="Header"/>
    </w:pPr>
    <w:r>
      <w:rPr>
        <w:noProof/>
      </w:rPr>
      <w:pict w14:anchorId="58523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780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A04B1" w14:textId="6F71910E" w:rsidR="00B551CD" w:rsidRDefault="00B551CD">
    <w:pPr>
      <w:pStyle w:val="Header"/>
    </w:pPr>
    <w:r>
      <w:rPr>
        <w:noProof/>
      </w:rPr>
      <w:pict w14:anchorId="1C792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780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E323" w14:textId="2A5EC216" w:rsidR="00B551CD" w:rsidRDefault="00B551CD">
    <w:pPr>
      <w:pStyle w:val="Header"/>
    </w:pPr>
    <w:r>
      <w:rPr>
        <w:noProof/>
      </w:rPr>
      <w:pict w14:anchorId="44346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5780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1360E"/>
    <w:multiLevelType w:val="multilevel"/>
    <w:tmpl w:val="F41C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2B61E9"/>
    <w:multiLevelType w:val="multilevel"/>
    <w:tmpl w:val="C1C6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3241AD"/>
    <w:multiLevelType w:val="multilevel"/>
    <w:tmpl w:val="86641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014DB0"/>
    <w:multiLevelType w:val="multilevel"/>
    <w:tmpl w:val="350C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4078D3"/>
    <w:multiLevelType w:val="multilevel"/>
    <w:tmpl w:val="24CC00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93616D"/>
    <w:multiLevelType w:val="multilevel"/>
    <w:tmpl w:val="9AF6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B00536"/>
    <w:multiLevelType w:val="multilevel"/>
    <w:tmpl w:val="3D7A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6C339C"/>
    <w:multiLevelType w:val="multilevel"/>
    <w:tmpl w:val="61D8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F7C5EE3"/>
    <w:multiLevelType w:val="multilevel"/>
    <w:tmpl w:val="0CCE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49463F1D"/>
    <w:multiLevelType w:val="multilevel"/>
    <w:tmpl w:val="DB82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9758E"/>
    <w:multiLevelType w:val="multilevel"/>
    <w:tmpl w:val="0FE63E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E6A1FBA"/>
    <w:multiLevelType w:val="multilevel"/>
    <w:tmpl w:val="D124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1305C"/>
    <w:multiLevelType w:val="multilevel"/>
    <w:tmpl w:val="D85C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1F688A"/>
    <w:multiLevelType w:val="multilevel"/>
    <w:tmpl w:val="8590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4313DE"/>
    <w:multiLevelType w:val="multilevel"/>
    <w:tmpl w:val="9D2C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20"/>
  </w:num>
  <w:num w:numId="9">
    <w:abstractNumId w:val="38"/>
  </w:num>
  <w:num w:numId="10">
    <w:abstractNumId w:val="3"/>
  </w:num>
  <w:num w:numId="11">
    <w:abstractNumId w:val="29"/>
  </w:num>
  <w:num w:numId="12">
    <w:abstractNumId w:val="5"/>
  </w:num>
  <w:num w:numId="13">
    <w:abstractNumId w:val="28"/>
  </w:num>
  <w:num w:numId="14">
    <w:abstractNumId w:val="10"/>
  </w:num>
  <w:num w:numId="15">
    <w:abstractNumId w:val="34"/>
  </w:num>
  <w:num w:numId="16">
    <w:abstractNumId w:val="7"/>
  </w:num>
  <w:num w:numId="17">
    <w:abstractNumId w:val="35"/>
  </w:num>
  <w:num w:numId="18">
    <w:abstractNumId w:val="23"/>
  </w:num>
  <w:num w:numId="19">
    <w:abstractNumId w:val="43"/>
  </w:num>
  <w:num w:numId="20">
    <w:abstractNumId w:val="18"/>
  </w:num>
  <w:num w:numId="21">
    <w:abstractNumId w:val="13"/>
  </w:num>
  <w:num w:numId="22">
    <w:abstractNumId w:val="21"/>
  </w:num>
  <w:num w:numId="23">
    <w:abstractNumId w:val="31"/>
  </w:num>
  <w:num w:numId="24">
    <w:abstractNumId w:val="39"/>
  </w:num>
  <w:num w:numId="25">
    <w:abstractNumId w:val="6"/>
  </w:num>
  <w:num w:numId="26">
    <w:abstractNumId w:val="26"/>
  </w:num>
  <w:num w:numId="27">
    <w:abstractNumId w:val="33"/>
  </w:num>
  <w:num w:numId="28">
    <w:abstractNumId w:val="40"/>
  </w:num>
  <w:num w:numId="29">
    <w:abstractNumId w:val="37"/>
  </w:num>
  <w:num w:numId="30">
    <w:abstractNumId w:val="14"/>
  </w:num>
  <w:num w:numId="31">
    <w:abstractNumId w:val="4"/>
  </w:num>
  <w:num w:numId="32">
    <w:abstractNumId w:val="24"/>
  </w:num>
  <w:num w:numId="33">
    <w:abstractNumId w:val="12"/>
  </w:num>
  <w:num w:numId="34">
    <w:abstractNumId w:val="27"/>
  </w:num>
  <w:num w:numId="35">
    <w:abstractNumId w:val="17"/>
  </w:num>
  <w:num w:numId="36">
    <w:abstractNumId w:val="42"/>
  </w:num>
  <w:num w:numId="37">
    <w:abstractNumId w:val="22"/>
  </w:num>
  <w:num w:numId="38">
    <w:abstractNumId w:val="16"/>
  </w:num>
  <w:num w:numId="39">
    <w:abstractNumId w:val="1"/>
  </w:num>
  <w:num w:numId="40">
    <w:abstractNumId w:val="19"/>
  </w:num>
  <w:num w:numId="41">
    <w:abstractNumId w:val="30"/>
  </w:num>
  <w:num w:numId="42">
    <w:abstractNumId w:val="11"/>
  </w:num>
  <w:num w:numId="43">
    <w:abstractNumId w:val="15"/>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MTMxNzIxNTA1MDFR0lEKTi0uzszPAykwrAUAKo6FfiwAAAA="/>
  </w:docVars>
  <w:rsids>
    <w:rsidRoot w:val="00AA6219"/>
    <w:rsid w:val="00000F8F"/>
    <w:rsid w:val="00030174"/>
    <w:rsid w:val="0004579C"/>
    <w:rsid w:val="00055E13"/>
    <w:rsid w:val="000A45CA"/>
    <w:rsid w:val="000A47FA"/>
    <w:rsid w:val="000A65D3"/>
    <w:rsid w:val="000A79A4"/>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942D9"/>
    <w:rsid w:val="003A43A4"/>
    <w:rsid w:val="003A7E18"/>
    <w:rsid w:val="003B3696"/>
    <w:rsid w:val="003C4C86"/>
    <w:rsid w:val="003C6258"/>
    <w:rsid w:val="003D4C53"/>
    <w:rsid w:val="003E2904"/>
    <w:rsid w:val="00401927"/>
    <w:rsid w:val="0040798C"/>
    <w:rsid w:val="0041027F"/>
    <w:rsid w:val="00412475"/>
    <w:rsid w:val="00423789"/>
    <w:rsid w:val="00440F43"/>
    <w:rsid w:val="00441B6F"/>
    <w:rsid w:val="00446221"/>
    <w:rsid w:val="00450E62"/>
    <w:rsid w:val="004539DB"/>
    <w:rsid w:val="00471A80"/>
    <w:rsid w:val="004D305E"/>
    <w:rsid w:val="004D4277"/>
    <w:rsid w:val="004F4960"/>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0E2E"/>
    <w:rsid w:val="007369E6"/>
    <w:rsid w:val="00746E59"/>
    <w:rsid w:val="00754C9A"/>
    <w:rsid w:val="0075599A"/>
    <w:rsid w:val="00761D52"/>
    <w:rsid w:val="0077749E"/>
    <w:rsid w:val="00790ADA"/>
    <w:rsid w:val="00790FAF"/>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6259"/>
    <w:rsid w:val="009500A6"/>
    <w:rsid w:val="00957C18"/>
    <w:rsid w:val="009659BA"/>
    <w:rsid w:val="00983040"/>
    <w:rsid w:val="009B17B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191"/>
    <w:rsid w:val="00A63A34"/>
    <w:rsid w:val="00A94063"/>
    <w:rsid w:val="00A95D3D"/>
    <w:rsid w:val="00AA330A"/>
    <w:rsid w:val="00AA6219"/>
    <w:rsid w:val="00AA74E0"/>
    <w:rsid w:val="00AB703F"/>
    <w:rsid w:val="00AC6BB8"/>
    <w:rsid w:val="00AE008F"/>
    <w:rsid w:val="00AF5B14"/>
    <w:rsid w:val="00B01FCD"/>
    <w:rsid w:val="00B1776C"/>
    <w:rsid w:val="00B52583"/>
    <w:rsid w:val="00B52896"/>
    <w:rsid w:val="00B551CD"/>
    <w:rsid w:val="00B95236"/>
    <w:rsid w:val="00B96BD9"/>
    <w:rsid w:val="00BA1B01"/>
    <w:rsid w:val="00BA2641"/>
    <w:rsid w:val="00BB37AA"/>
    <w:rsid w:val="00BC53A0"/>
    <w:rsid w:val="00BC6E23"/>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5A7C"/>
    <w:rsid w:val="00F06F59"/>
    <w:rsid w:val="00F17988"/>
    <w:rsid w:val="00F469F0"/>
    <w:rsid w:val="00F53273"/>
    <w:rsid w:val="00F66BA0"/>
    <w:rsid w:val="00F755E4"/>
    <w:rsid w:val="00F77D02"/>
    <w:rsid w:val="00FB2CA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779F411"/>
  <w15:docId w15:val="{40C78A0A-A429-40A1-9B3E-F7E041FE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05A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0A79A4"/>
    <w:rPr>
      <w:rFonts w:ascii="Helvetica" w:hAnsi="Helvetica"/>
    </w:rPr>
  </w:style>
  <w:style w:type="character" w:customStyle="1" w:styleId="FooterChar">
    <w:name w:val="Footer Char"/>
    <w:basedOn w:val="DefaultParagraphFont"/>
    <w:link w:val="Footer"/>
    <w:uiPriority w:val="99"/>
    <w:rsid w:val="000A79A4"/>
    <w:rPr>
      <w:rFonts w:ascii="Helvetica" w:hAnsi="Helvetica"/>
    </w:rPr>
  </w:style>
  <w:style w:type="paragraph" w:styleId="ListParagraph">
    <w:name w:val="List Paragraph"/>
    <w:basedOn w:val="Normal"/>
    <w:uiPriority w:val="34"/>
    <w:qFormat/>
    <w:rsid w:val="000A79A4"/>
    <w:pPr>
      <w:spacing w:after="200" w:line="276" w:lineRule="auto"/>
      <w:ind w:left="720"/>
      <w:contextualSpacing/>
    </w:pPr>
    <w:rPr>
      <w:rFonts w:asciiTheme="minorHAnsi" w:eastAsiaTheme="minorEastAsia" w:hAnsiTheme="minorHAnsi" w:cstheme="minorBidi"/>
      <w:sz w:val="22"/>
      <w:szCs w:val="22"/>
    </w:rPr>
  </w:style>
  <w:style w:type="character" w:styleId="Strong">
    <w:name w:val="Strong"/>
    <w:basedOn w:val="DefaultParagraphFont"/>
    <w:uiPriority w:val="22"/>
    <w:qFormat/>
    <w:rsid w:val="000A79A4"/>
    <w:rPr>
      <w:b/>
      <w:bCs/>
    </w:rPr>
  </w:style>
  <w:style w:type="paragraph" w:styleId="NormalWeb">
    <w:name w:val="Normal (Web)"/>
    <w:basedOn w:val="Normal"/>
    <w:uiPriority w:val="99"/>
    <w:semiHidden/>
    <w:unhideWhenUsed/>
    <w:rsid w:val="000A79A4"/>
    <w:pPr>
      <w:spacing w:after="200" w:line="276" w:lineRule="auto"/>
    </w:pPr>
    <w:rPr>
      <w:rFonts w:ascii="Times New Roman" w:eastAsiaTheme="minorEastAsia" w:hAnsi="Times New Roman"/>
      <w:sz w:val="24"/>
      <w:szCs w:val="24"/>
    </w:rPr>
  </w:style>
  <w:style w:type="character" w:customStyle="1" w:styleId="Heading2Char">
    <w:name w:val="Heading 2 Char"/>
    <w:basedOn w:val="DefaultParagraphFont"/>
    <w:link w:val="Heading2"/>
    <w:semiHidden/>
    <w:rsid w:val="00F05A7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joen.2005.12.010" TargetMode="External"/><Relationship Id="rId26" Type="http://schemas.openxmlformats.org/officeDocument/2006/relationships/hyperlink" Target="https://doi.org/10.1186/s13643-017-0638-0" TargetMode="External"/><Relationship Id="rId21" Type="http://schemas.openxmlformats.org/officeDocument/2006/relationships/hyperlink" Target="https://doi.org/10.1016/j.joen.2010.08.007"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21/acsnano.5b05718"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3390/medicina56090447" TargetMode="External"/><Relationship Id="rId29" Type="http://schemas.openxmlformats.org/officeDocument/2006/relationships/hyperlink" Target="https://doi.org/10.63278/jicrcr.vi.3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36/bmj.n71"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4103/0972-0707.148864" TargetMode="External"/><Relationship Id="rId28" Type="http://schemas.openxmlformats.org/officeDocument/2006/relationships/hyperlink" Target="https://doi.org/10.1016/j.joen.2010.04.020"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4103/2348-1471.159172" TargetMode="External"/><Relationship Id="rId31" Type="http://schemas.openxmlformats.org/officeDocument/2006/relationships/hyperlink" Target="https://doi.org/10.1016/j.joen.2009.07.02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111/j.1365-2591.2008.01484.x" TargetMode="External"/><Relationship Id="rId27" Type="http://schemas.openxmlformats.org/officeDocument/2006/relationships/hyperlink" Target="https://doi.org/10.1007/s00784-023-05152-6" TargetMode="External"/><Relationship Id="rId30" Type="http://schemas.openxmlformats.org/officeDocument/2006/relationships/hyperlink" Target="https://doi.org/10.1016/j.joen.2010.08.007"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78FB3-50DD-4809-AFC6-98913197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21</Pages>
  <Words>4625</Words>
  <Characters>26364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30928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2025-08-19T14:47:00Z</dcterms:created>
  <dcterms:modified xsi:type="dcterms:W3CDTF">2025-08-20T07:59:00Z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f31258ae-479a-4f60-9637-86ae2b98daf9</vt:lpwstr>
  </property>
</Properties>
</file>