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C84D4" w14:textId="77777777" w:rsidR="00D43825" w:rsidRDefault="00D43825" w:rsidP="00E55155">
      <w:pPr>
        <w:jc w:val="center"/>
        <w:rPr>
          <w:rFonts w:ascii="Arial" w:hAnsi="Arial" w:cs="Arial"/>
          <w:b/>
          <w:bCs/>
          <w:sz w:val="36"/>
          <w:szCs w:val="36"/>
        </w:rPr>
      </w:pPr>
      <w:r w:rsidRPr="00D43825">
        <w:rPr>
          <w:rFonts w:ascii="Arial" w:hAnsi="Arial" w:cs="Arial"/>
          <w:b/>
          <w:bCs/>
          <w:sz w:val="36"/>
          <w:szCs w:val="36"/>
        </w:rPr>
        <w:t xml:space="preserve">Original Research Article </w:t>
      </w:r>
    </w:p>
    <w:p w14:paraId="05754AC2" w14:textId="1DDFB341" w:rsidR="003C67EB" w:rsidRDefault="00924249" w:rsidP="00E55155">
      <w:pPr>
        <w:jc w:val="center"/>
        <w:rPr>
          <w:rFonts w:ascii="Arial" w:hAnsi="Arial" w:cs="Arial"/>
          <w:b/>
          <w:bCs/>
          <w:sz w:val="36"/>
          <w:szCs w:val="36"/>
        </w:rPr>
      </w:pPr>
      <w:r w:rsidRPr="009B7180">
        <w:rPr>
          <w:rFonts w:ascii="Arial" w:hAnsi="Arial" w:cs="Arial"/>
          <w:b/>
          <w:bCs/>
          <w:sz w:val="36"/>
          <w:szCs w:val="36"/>
        </w:rPr>
        <w:t xml:space="preserve">COMPARATIVE EVALUATION OF DIGITAL AND CONVENTIONAL METHODS FOR ASSESSING OCCLUSAL TOOTH </w:t>
      </w:r>
      <w:proofErr w:type="gramStart"/>
      <w:r w:rsidRPr="009B7180">
        <w:rPr>
          <w:rFonts w:ascii="Arial" w:hAnsi="Arial" w:cs="Arial"/>
          <w:b/>
          <w:bCs/>
          <w:sz w:val="36"/>
          <w:szCs w:val="36"/>
        </w:rPr>
        <w:t>WEAR</w:t>
      </w:r>
      <w:r>
        <w:rPr>
          <w:rFonts w:ascii="Arial" w:hAnsi="Arial" w:cs="Arial"/>
          <w:b/>
          <w:bCs/>
          <w:sz w:val="36"/>
          <w:szCs w:val="36"/>
        </w:rPr>
        <w:t xml:space="preserve"> :</w:t>
      </w:r>
      <w:proofErr w:type="gramEnd"/>
      <w:r>
        <w:rPr>
          <w:rFonts w:ascii="Arial" w:hAnsi="Arial" w:cs="Arial"/>
          <w:b/>
          <w:bCs/>
          <w:sz w:val="36"/>
          <w:szCs w:val="36"/>
        </w:rPr>
        <w:t xml:space="preserve"> A</w:t>
      </w:r>
      <w:r w:rsidR="0078743B">
        <w:rPr>
          <w:rFonts w:ascii="Arial" w:hAnsi="Arial" w:cs="Arial"/>
          <w:b/>
          <w:bCs/>
          <w:sz w:val="36"/>
          <w:szCs w:val="36"/>
        </w:rPr>
        <w:t xml:space="preserve"> CLINICAL </w:t>
      </w:r>
      <w:r>
        <w:rPr>
          <w:rFonts w:ascii="Arial" w:hAnsi="Arial" w:cs="Arial"/>
          <w:b/>
          <w:bCs/>
          <w:sz w:val="36"/>
          <w:szCs w:val="36"/>
        </w:rPr>
        <w:t xml:space="preserve"> PROSPECTIVE STUDY</w:t>
      </w:r>
    </w:p>
    <w:p w14:paraId="43322AAD" w14:textId="77777777" w:rsidR="003140F2" w:rsidRDefault="003140F2" w:rsidP="004B736A">
      <w:pPr>
        <w:spacing w:line="480" w:lineRule="auto"/>
        <w:jc w:val="both"/>
        <w:rPr>
          <w:rFonts w:ascii="Times New Roman" w:hAnsi="Times New Roman" w:cs="Times New Roman"/>
          <w:b/>
          <w:bCs/>
          <w:sz w:val="24"/>
          <w:szCs w:val="24"/>
        </w:rPr>
      </w:pPr>
    </w:p>
    <w:p w14:paraId="58AD54A3" w14:textId="77777777" w:rsidR="003140F2" w:rsidRDefault="003140F2" w:rsidP="004B736A">
      <w:pPr>
        <w:spacing w:line="480" w:lineRule="auto"/>
        <w:jc w:val="both"/>
        <w:rPr>
          <w:rFonts w:ascii="Times New Roman" w:hAnsi="Times New Roman" w:cs="Times New Roman"/>
          <w:b/>
          <w:bCs/>
          <w:sz w:val="24"/>
          <w:szCs w:val="24"/>
        </w:rPr>
      </w:pPr>
    </w:p>
    <w:p w14:paraId="6ED5C8E0" w14:textId="769BF906" w:rsidR="00996903" w:rsidRPr="00221D48" w:rsidRDefault="00221D48" w:rsidP="004B736A">
      <w:pPr>
        <w:spacing w:line="480" w:lineRule="auto"/>
        <w:jc w:val="both"/>
        <w:rPr>
          <w:rFonts w:ascii="Times New Roman" w:hAnsi="Times New Roman" w:cs="Times New Roman"/>
          <w:b/>
          <w:bCs/>
          <w:sz w:val="24"/>
          <w:szCs w:val="24"/>
        </w:rPr>
      </w:pPr>
      <w:bookmarkStart w:id="0" w:name="_GoBack"/>
      <w:bookmarkEnd w:id="0"/>
      <w:r w:rsidRPr="00221D48">
        <w:rPr>
          <w:rFonts w:ascii="Times New Roman" w:hAnsi="Times New Roman" w:cs="Times New Roman"/>
          <w:b/>
          <w:bCs/>
          <w:sz w:val="24"/>
          <w:szCs w:val="24"/>
        </w:rPr>
        <w:t xml:space="preserve">ABSTRACT </w:t>
      </w:r>
    </w:p>
    <w:p w14:paraId="6634E913" w14:textId="77777777"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Background</w:t>
      </w:r>
      <w:r w:rsidRPr="00A62CF6">
        <w:rPr>
          <w:rFonts w:ascii="Times New Roman" w:hAnsi="Times New Roman" w:cs="Times New Roman"/>
          <w:sz w:val="24"/>
          <w:szCs w:val="24"/>
        </w:rPr>
        <w:t>: Occlusal tooth wear, resulting from attrition, abrasion, and erosion, poses significant diagnostic challenges in dental practice. While clinical photography remains the gold standard, its two-dimensional nature limits comprehensive assessment. Intraoral scanning (IOS) emerges as a potential solution, though its reliability compared to conventional methods requires validation.</w:t>
      </w:r>
    </w:p>
    <w:p w14:paraId="16DE726B" w14:textId="60D774D1"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Aim</w:t>
      </w:r>
      <w:r w:rsidRPr="00A62CF6">
        <w:rPr>
          <w:rFonts w:ascii="Times New Roman" w:hAnsi="Times New Roman" w:cs="Times New Roman"/>
          <w:sz w:val="24"/>
          <w:szCs w:val="24"/>
        </w:rPr>
        <w:t>: This study compared the reliability of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 IOS (Dentsply Sirona) versus clinical photography for occlusal wear assessment using a standardized index.</w:t>
      </w:r>
    </w:p>
    <w:p w14:paraId="6ED837A7" w14:textId="44A96352"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Methods</w:t>
      </w:r>
      <w:r w:rsidRPr="00A62CF6">
        <w:rPr>
          <w:rFonts w:ascii="Times New Roman" w:hAnsi="Times New Roman" w:cs="Times New Roman"/>
          <w:sz w:val="24"/>
          <w:szCs w:val="24"/>
        </w:rPr>
        <w:t>: Twenty-five participants (18-55 years) were evaluated by two calibrated examiners using: (1) clinical intraoral photography and (2)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 xml:space="preserve">scan IOS. Tooth wear was scored on first molars, premolars, canines, and incisors using Scott's index (0-10 scale). Inter- and intra-examiner reliability were </w:t>
      </w:r>
      <w:r w:rsidR="00CB3C2F" w:rsidRPr="00A62CF6">
        <w:rPr>
          <w:rFonts w:ascii="Times New Roman" w:hAnsi="Times New Roman" w:cs="Times New Roman"/>
          <w:sz w:val="24"/>
          <w:szCs w:val="24"/>
        </w:rPr>
        <w:t>analysed</w:t>
      </w:r>
      <w:r w:rsidRPr="00A62CF6">
        <w:rPr>
          <w:rFonts w:ascii="Times New Roman" w:hAnsi="Times New Roman" w:cs="Times New Roman"/>
          <w:sz w:val="24"/>
          <w:szCs w:val="24"/>
        </w:rPr>
        <w:t xml:space="preserve"> using weighted Kappa statistics, while method agreement was assessed via Friedman tests and Bland-Altman plots over 30-day intervals.</w:t>
      </w:r>
    </w:p>
    <w:p w14:paraId="77DBF820" w14:textId="77777777"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Results</w:t>
      </w:r>
      <w:r w:rsidRPr="00A62CF6">
        <w:rPr>
          <w:rFonts w:ascii="Times New Roman" w:hAnsi="Times New Roman" w:cs="Times New Roman"/>
          <w:sz w:val="24"/>
          <w:szCs w:val="24"/>
        </w:rPr>
        <w:t xml:space="preserve">: Inter-examiner agreement was substantial for both methods (Day 1: κ=0.76, 88% agreement; Day 30: κ=0.70, 84%). Mean wear scores showed no significant differences between examiners (Day 1: 2.12±1.24 vs 2.20±1.19, p=0.80; Day 30: 2.28±1.19 vs 2.24±1.08, p=0.90). The Friedman test confirmed consistency across assessments (χ²=1.48, p=0.686). </w:t>
      </w:r>
      <w:r w:rsidRPr="00A62CF6">
        <w:rPr>
          <w:rFonts w:ascii="Times New Roman" w:hAnsi="Times New Roman" w:cs="Times New Roman"/>
          <w:sz w:val="24"/>
          <w:szCs w:val="24"/>
        </w:rPr>
        <w:lastRenderedPageBreak/>
        <w:t>Bland-Altman analysis revealed minimal systematic error (mean bias=-0.05) with narrow limits of agreement (±0.25).</w:t>
      </w:r>
    </w:p>
    <w:p w14:paraId="4CCAEA92" w14:textId="3154221F"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Conclusion</w:t>
      </w:r>
      <w:r w:rsidRPr="00A62CF6">
        <w:rPr>
          <w:rFonts w:ascii="Times New Roman" w:hAnsi="Times New Roman" w:cs="Times New Roman"/>
          <w:sz w:val="24"/>
          <w:szCs w:val="24"/>
        </w:rPr>
        <w:t>: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 IOS demonstrated substantial reliability comparable to clinical photography for qualitative wear assessment, with excellent inter-method agreement. Digital scanning offers clinically viable advantages for longitudinal monitoring while maintaining diagnostic accuracy. These findings support the integration of IOS into routine practice, though examiner calibration remains crucial for optimal reproducibility.</w:t>
      </w:r>
    </w:p>
    <w:p w14:paraId="1F95C220" w14:textId="03ADD73B" w:rsid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Keywords</w:t>
      </w:r>
      <w:r w:rsidRPr="00A62CF6">
        <w:rPr>
          <w:rFonts w:ascii="Times New Roman" w:hAnsi="Times New Roman" w:cs="Times New Roman"/>
          <w:sz w:val="24"/>
          <w:szCs w:val="24"/>
        </w:rPr>
        <w:t>: Tooth wear assessment, intraoral scanner, digital dentistry, occlusal wear,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w:t>
      </w:r>
      <w:r w:rsidR="00E41436">
        <w:rPr>
          <w:rFonts w:ascii="Times New Roman" w:hAnsi="Times New Roman" w:cs="Times New Roman"/>
          <w:sz w:val="24"/>
          <w:szCs w:val="24"/>
        </w:rPr>
        <w:t>.</w:t>
      </w:r>
    </w:p>
    <w:p w14:paraId="5633B140" w14:textId="77777777" w:rsidR="004B736A" w:rsidRDefault="004B736A" w:rsidP="004B736A">
      <w:pPr>
        <w:spacing w:line="480" w:lineRule="auto"/>
        <w:jc w:val="both"/>
        <w:rPr>
          <w:rFonts w:ascii="Times New Roman" w:hAnsi="Times New Roman" w:cs="Times New Roman"/>
          <w:sz w:val="24"/>
          <w:szCs w:val="24"/>
        </w:rPr>
      </w:pPr>
    </w:p>
    <w:p w14:paraId="2D105002" w14:textId="77CC912B" w:rsidR="00F17BDD" w:rsidRPr="005447A9" w:rsidRDefault="004B736A" w:rsidP="005447A9">
      <w:pPr>
        <w:spacing w:line="480" w:lineRule="auto"/>
        <w:jc w:val="both"/>
        <w:rPr>
          <w:rFonts w:ascii="Times New Roman" w:hAnsi="Times New Roman" w:cs="Times New Roman"/>
          <w:b/>
          <w:bCs/>
          <w:sz w:val="24"/>
          <w:szCs w:val="24"/>
        </w:rPr>
      </w:pPr>
      <w:proofErr w:type="gramStart"/>
      <w:r w:rsidRPr="0036414E">
        <w:rPr>
          <w:rFonts w:ascii="Times New Roman" w:hAnsi="Times New Roman" w:cs="Times New Roman"/>
          <w:b/>
          <w:bCs/>
          <w:sz w:val="24"/>
          <w:szCs w:val="24"/>
        </w:rPr>
        <w:t>INTRODUCTION</w:t>
      </w:r>
      <w:r w:rsidR="00E41436" w:rsidRPr="0036414E">
        <w:rPr>
          <w:rFonts w:ascii="Times New Roman" w:hAnsi="Times New Roman" w:cs="Times New Roman"/>
          <w:b/>
          <w:bCs/>
          <w:sz w:val="24"/>
          <w:szCs w:val="24"/>
        </w:rPr>
        <w:t xml:space="preserve"> :</w:t>
      </w:r>
      <w:proofErr w:type="gramEnd"/>
    </w:p>
    <w:p w14:paraId="44763D53" w14:textId="5139A59D" w:rsidR="00372F80" w:rsidRPr="00372F80" w:rsidRDefault="005447A9" w:rsidP="0098761A">
      <w:pPr>
        <w:spacing w:line="480" w:lineRule="auto"/>
        <w:ind w:firstLine="720"/>
        <w:jc w:val="both"/>
        <w:rPr>
          <w:rFonts w:ascii="Times New Roman" w:hAnsi="Times New Roman" w:cs="Times New Roman"/>
          <w:sz w:val="24"/>
          <w:szCs w:val="24"/>
          <w:vertAlign w:val="superscript"/>
        </w:rPr>
      </w:pPr>
      <w:r w:rsidRPr="005447A9">
        <w:rPr>
          <w:rFonts w:ascii="Times New Roman" w:hAnsi="Times New Roman" w:cs="Times New Roman"/>
          <w:sz w:val="24"/>
          <w:szCs w:val="24"/>
        </w:rPr>
        <w:t>Tooth surface loss (TSL), or tooth wear (TW), is an irreversible loss of dental hard tissue caused</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by non-carious factors and is observed as attrition, abrasion, abfraction, and erosion. Its</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prevalence increases with age, from about 3% at 20 years to 17% at 70 years.</w:t>
      </w:r>
      <w:r w:rsidR="00F17BDD" w:rsidRPr="00F53795">
        <w:rPr>
          <w:rFonts w:ascii="Times New Roman" w:hAnsi="Times New Roman" w:cs="Times New Roman"/>
          <w:sz w:val="24"/>
          <w:szCs w:val="24"/>
        </w:rPr>
        <w:t xml:space="preserve"> </w:t>
      </w:r>
      <w:r w:rsidRPr="005447A9">
        <w:rPr>
          <w:rFonts w:ascii="Times New Roman" w:hAnsi="Times New Roman" w:cs="Times New Roman"/>
          <w:sz w:val="24"/>
          <w:szCs w:val="24"/>
        </w:rPr>
        <w:t>Attrition is the wear caused by direct tooth-to-tooth contact producing well-defined wear facets,</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often linked to parafunctional habits like bruxism.</w:t>
      </w:r>
      <w:r w:rsidR="00F17BDD" w:rsidRPr="00F53795">
        <w:rPr>
          <w:rFonts w:ascii="Times New Roman" w:hAnsi="Times New Roman" w:cs="Times New Roman"/>
          <w:sz w:val="24"/>
          <w:szCs w:val="24"/>
        </w:rPr>
        <w:t xml:space="preserve"> </w:t>
      </w:r>
      <w:r w:rsidRPr="005447A9">
        <w:rPr>
          <w:rFonts w:ascii="Times New Roman" w:hAnsi="Times New Roman" w:cs="Times New Roman"/>
          <w:sz w:val="24"/>
          <w:szCs w:val="24"/>
        </w:rPr>
        <w:t>Abrasion results from sliding or rubbing of abrasive external objects against teeth, commonly</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linked to abrasive toothpastes, hard bristles, and vigorous brushing technique.</w:t>
      </w:r>
      <w:r w:rsidR="00F17BDD" w:rsidRPr="00F53795">
        <w:rPr>
          <w:rFonts w:ascii="Times New Roman" w:hAnsi="Times New Roman" w:cs="Times New Roman"/>
          <w:sz w:val="24"/>
          <w:szCs w:val="24"/>
        </w:rPr>
        <w:t xml:space="preserve"> </w:t>
      </w:r>
      <w:r w:rsidRPr="005447A9">
        <w:rPr>
          <w:rFonts w:ascii="Times New Roman" w:hAnsi="Times New Roman" w:cs="Times New Roman"/>
          <w:sz w:val="24"/>
          <w:szCs w:val="24"/>
        </w:rPr>
        <w:t>Abfraction is hypothesized to be caused by biomechanical loading forces producing</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microfractures in enamel and dentin, especially at the cervical area of teeth, but its exact</w:t>
      </w:r>
      <w:r w:rsidR="002C2C0B" w:rsidRPr="00F53795">
        <w:rPr>
          <w:rFonts w:ascii="Times New Roman" w:hAnsi="Times New Roman" w:cs="Times New Roman"/>
          <w:sz w:val="24"/>
          <w:szCs w:val="24"/>
        </w:rPr>
        <w:t xml:space="preserve"> </w:t>
      </w:r>
      <w:proofErr w:type="spellStart"/>
      <w:proofErr w:type="gramStart"/>
      <w:r w:rsidRPr="005447A9">
        <w:rPr>
          <w:rFonts w:ascii="Times New Roman" w:hAnsi="Times New Roman" w:cs="Times New Roman"/>
          <w:sz w:val="24"/>
          <w:szCs w:val="24"/>
        </w:rPr>
        <w:t>etiology</w:t>
      </w:r>
      <w:proofErr w:type="spellEnd"/>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 xml:space="preserve"> remains</w:t>
      </w:r>
      <w:proofErr w:type="gramEnd"/>
      <w:r w:rsidRPr="005447A9">
        <w:rPr>
          <w:rFonts w:ascii="Times New Roman" w:hAnsi="Times New Roman" w:cs="Times New Roman"/>
          <w:sz w:val="24"/>
          <w:szCs w:val="24"/>
        </w:rPr>
        <w:t xml:space="preserve"> controversial.</w:t>
      </w:r>
      <w:r w:rsidR="00F17BDD" w:rsidRPr="00F53795">
        <w:rPr>
          <w:rFonts w:ascii="Times New Roman" w:hAnsi="Times New Roman" w:cs="Times New Roman"/>
          <w:sz w:val="24"/>
          <w:szCs w:val="24"/>
        </w:rPr>
        <w:t xml:space="preserve"> </w:t>
      </w:r>
      <w:r w:rsidRPr="005447A9">
        <w:rPr>
          <w:rFonts w:ascii="Times New Roman" w:hAnsi="Times New Roman" w:cs="Times New Roman"/>
          <w:sz w:val="24"/>
          <w:szCs w:val="24"/>
        </w:rPr>
        <w:t>Erosion is the chemical dissolution of tooth tissue by acids not involving bacteria. Its severity</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depends on acid type, concentration, temperature, and exposure time, with dentine being more</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susceptible than enamel due to its composition.</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Saliva plays a protective role in TSL by buffering acids, providing calcium and phosphate ions,</w:t>
      </w:r>
      <w:r w:rsidR="002C2C0B" w:rsidRPr="00F53795">
        <w:rPr>
          <w:rFonts w:ascii="Times New Roman" w:hAnsi="Times New Roman" w:cs="Times New Roman"/>
          <w:sz w:val="24"/>
          <w:szCs w:val="24"/>
        </w:rPr>
        <w:t xml:space="preserve"> </w:t>
      </w:r>
      <w:r w:rsidRPr="005447A9">
        <w:rPr>
          <w:rFonts w:ascii="Times New Roman" w:hAnsi="Times New Roman" w:cs="Times New Roman"/>
          <w:sz w:val="24"/>
          <w:szCs w:val="24"/>
        </w:rPr>
        <w:t xml:space="preserve">and forming a protective pellicle on teeth, thereby reducing enamel </w:t>
      </w:r>
      <w:r w:rsidRPr="005447A9">
        <w:rPr>
          <w:rFonts w:ascii="Times New Roman" w:hAnsi="Times New Roman" w:cs="Times New Roman"/>
          <w:sz w:val="24"/>
          <w:szCs w:val="24"/>
        </w:rPr>
        <w:lastRenderedPageBreak/>
        <w:t>demineralization.</w:t>
      </w:r>
      <w:r w:rsidR="002C2C0B" w:rsidRPr="00F53795">
        <w:rPr>
          <w:rFonts w:ascii="Times New Roman" w:hAnsi="Times New Roman" w:cs="Times New Roman"/>
          <w:sz w:val="24"/>
          <w:szCs w:val="24"/>
        </w:rPr>
        <w:t xml:space="preserve"> </w:t>
      </w:r>
      <w:r w:rsidRPr="00F53795">
        <w:rPr>
          <w:rFonts w:ascii="Times New Roman" w:hAnsi="Times New Roman" w:cs="Times New Roman"/>
          <w:sz w:val="24"/>
          <w:szCs w:val="24"/>
        </w:rPr>
        <w:t>The management of TSL varies with severity and cause. It includes detailed history taking,</w:t>
      </w:r>
      <w:r w:rsidR="002C2C0B" w:rsidRPr="00F53795">
        <w:rPr>
          <w:rFonts w:ascii="Times New Roman" w:hAnsi="Times New Roman" w:cs="Times New Roman"/>
          <w:sz w:val="24"/>
          <w:szCs w:val="24"/>
        </w:rPr>
        <w:t xml:space="preserve"> </w:t>
      </w:r>
      <w:r w:rsidRPr="00F53795">
        <w:rPr>
          <w:rFonts w:ascii="Times New Roman" w:hAnsi="Times New Roman" w:cs="Times New Roman"/>
          <w:sz w:val="24"/>
          <w:szCs w:val="24"/>
        </w:rPr>
        <w:t>monitoring progression, preventive advice, application of fluoride, and restorative treatments for</w:t>
      </w:r>
      <w:r w:rsidR="002C2C0B" w:rsidRPr="00F53795">
        <w:rPr>
          <w:rFonts w:ascii="Times New Roman" w:hAnsi="Times New Roman" w:cs="Times New Roman"/>
          <w:sz w:val="24"/>
          <w:szCs w:val="24"/>
        </w:rPr>
        <w:t xml:space="preserve"> </w:t>
      </w:r>
      <w:r w:rsidRPr="00F53795">
        <w:rPr>
          <w:rFonts w:ascii="Times New Roman" w:hAnsi="Times New Roman" w:cs="Times New Roman"/>
          <w:sz w:val="24"/>
          <w:szCs w:val="24"/>
        </w:rPr>
        <w:t>severe cases.</w:t>
      </w:r>
      <w:r w:rsidR="00F53795" w:rsidRPr="00F53795">
        <w:rPr>
          <w:rFonts w:ascii="Times New Roman" w:hAnsi="Times New Roman" w:cs="Times New Roman"/>
          <w:sz w:val="24"/>
          <w:szCs w:val="24"/>
          <w:vertAlign w:val="superscript"/>
        </w:rPr>
        <w:t>[1]</w:t>
      </w:r>
    </w:p>
    <w:p w14:paraId="5D956F21" w14:textId="77777777" w:rsidR="00043CEB" w:rsidRDefault="00372F80" w:rsidP="00043CEB">
      <w:pPr>
        <w:spacing w:line="480" w:lineRule="auto"/>
        <w:ind w:firstLine="720"/>
        <w:jc w:val="both"/>
        <w:rPr>
          <w:rFonts w:ascii="Times New Roman" w:hAnsi="Times New Roman" w:cs="Times New Roman"/>
          <w:sz w:val="24"/>
          <w:szCs w:val="24"/>
          <w:vertAlign w:val="superscript"/>
        </w:rPr>
      </w:pPr>
      <w:r w:rsidRPr="00372F80">
        <w:rPr>
          <w:rFonts w:ascii="Times New Roman" w:hAnsi="Times New Roman" w:cs="Times New Roman"/>
          <w:sz w:val="24"/>
          <w:szCs w:val="24"/>
        </w:rPr>
        <w:t>Tooth wear is common worldwide, and prevalence varies by age, sex, and region, with estimates</w:t>
      </w:r>
      <w:r w:rsidR="00135705">
        <w:rPr>
          <w:rFonts w:ascii="Times New Roman" w:hAnsi="Times New Roman" w:cs="Times New Roman"/>
          <w:sz w:val="24"/>
          <w:szCs w:val="24"/>
        </w:rPr>
        <w:t xml:space="preserve"> </w:t>
      </w:r>
      <w:r w:rsidRPr="00372F80">
        <w:rPr>
          <w:rFonts w:ascii="Times New Roman" w:hAnsi="Times New Roman" w:cs="Times New Roman"/>
          <w:sz w:val="24"/>
          <w:szCs w:val="24"/>
        </w:rPr>
        <w:t>of severe wear affecting 2-10% of the population; it is multifactorial and often involves acid</w:t>
      </w:r>
      <w:r w:rsidR="00135705">
        <w:rPr>
          <w:rFonts w:ascii="Times New Roman" w:hAnsi="Times New Roman" w:cs="Times New Roman"/>
          <w:sz w:val="24"/>
          <w:szCs w:val="24"/>
        </w:rPr>
        <w:t xml:space="preserve"> </w:t>
      </w:r>
      <w:r w:rsidRPr="00372F80">
        <w:rPr>
          <w:rFonts w:ascii="Times New Roman" w:hAnsi="Times New Roman" w:cs="Times New Roman"/>
          <w:sz w:val="24"/>
          <w:szCs w:val="24"/>
        </w:rPr>
        <w:t>erosion combined with mechanical wear.</w:t>
      </w:r>
      <w:r w:rsidRPr="0098761A">
        <w:rPr>
          <w:rFonts w:ascii="Times New Roman" w:hAnsi="Times New Roman" w:cs="Times New Roman"/>
          <w:sz w:val="24"/>
          <w:szCs w:val="24"/>
        </w:rPr>
        <w:t xml:space="preserve"> </w:t>
      </w:r>
      <w:r w:rsidRPr="00372F80">
        <w:rPr>
          <w:rFonts w:ascii="Times New Roman" w:hAnsi="Times New Roman" w:cs="Times New Roman"/>
          <w:sz w:val="24"/>
          <w:szCs w:val="24"/>
        </w:rPr>
        <w:t>The major causes of tooth wear include erosion, attrition (tooth-to-tooth contact), and abrasion</w:t>
      </w:r>
      <w:r w:rsidR="00135705">
        <w:rPr>
          <w:rFonts w:ascii="Times New Roman" w:hAnsi="Times New Roman" w:cs="Times New Roman"/>
          <w:sz w:val="24"/>
          <w:szCs w:val="24"/>
        </w:rPr>
        <w:t xml:space="preserve"> </w:t>
      </w:r>
      <w:r w:rsidRPr="00372F80">
        <w:rPr>
          <w:rFonts w:ascii="Times New Roman" w:hAnsi="Times New Roman" w:cs="Times New Roman"/>
          <w:sz w:val="24"/>
          <w:szCs w:val="24"/>
        </w:rPr>
        <w:t>(mechanical wear by foreign objects), with erosion playing a key role in modern populations and</w:t>
      </w:r>
      <w:r w:rsidR="00135705">
        <w:rPr>
          <w:rFonts w:ascii="Times New Roman" w:hAnsi="Times New Roman" w:cs="Times New Roman"/>
          <w:sz w:val="24"/>
          <w:szCs w:val="24"/>
        </w:rPr>
        <w:t xml:space="preserve"> </w:t>
      </w:r>
      <w:r w:rsidRPr="00372F80">
        <w:rPr>
          <w:rFonts w:ascii="Times New Roman" w:hAnsi="Times New Roman" w:cs="Times New Roman"/>
          <w:sz w:val="24"/>
          <w:szCs w:val="24"/>
        </w:rPr>
        <w:t>linked to factors such as diet and medical conditions.</w:t>
      </w:r>
      <w:r w:rsidRPr="0098761A">
        <w:rPr>
          <w:rFonts w:ascii="Times New Roman" w:hAnsi="Times New Roman" w:cs="Times New Roman"/>
          <w:sz w:val="24"/>
          <w:szCs w:val="24"/>
        </w:rPr>
        <w:t xml:space="preserve"> Early changes in enamel due to acids include surface softening and subsurface demineralization,</w:t>
      </w:r>
      <w:r w:rsidR="00135705">
        <w:rPr>
          <w:rFonts w:ascii="Times New Roman" w:hAnsi="Times New Roman" w:cs="Times New Roman"/>
          <w:sz w:val="24"/>
          <w:szCs w:val="24"/>
        </w:rPr>
        <w:t xml:space="preserve"> </w:t>
      </w:r>
      <w:r w:rsidRPr="0098761A">
        <w:rPr>
          <w:rFonts w:ascii="Times New Roman" w:hAnsi="Times New Roman" w:cs="Times New Roman"/>
          <w:sz w:val="24"/>
          <w:szCs w:val="24"/>
        </w:rPr>
        <w:t>increasing susceptibility to mechanical wear; dentine exposure may accelerate wear progression</w:t>
      </w:r>
      <w:r w:rsidR="00135705">
        <w:rPr>
          <w:rFonts w:ascii="Times New Roman" w:hAnsi="Times New Roman" w:cs="Times New Roman"/>
          <w:sz w:val="24"/>
          <w:szCs w:val="24"/>
        </w:rPr>
        <w:t xml:space="preserve"> </w:t>
      </w:r>
      <w:r w:rsidRPr="0098761A">
        <w:rPr>
          <w:rFonts w:ascii="Times New Roman" w:hAnsi="Times New Roman" w:cs="Times New Roman"/>
          <w:sz w:val="24"/>
          <w:szCs w:val="24"/>
        </w:rPr>
        <w:t>and cause hypersensitivity. Active tooth wear changes the shape and thickness of teeth over years, with compensation</w:t>
      </w:r>
      <w:r w:rsidR="00135705">
        <w:rPr>
          <w:rFonts w:ascii="Times New Roman" w:hAnsi="Times New Roman" w:cs="Times New Roman"/>
          <w:sz w:val="24"/>
          <w:szCs w:val="24"/>
        </w:rPr>
        <w:t xml:space="preserve"> </w:t>
      </w:r>
      <w:r w:rsidRPr="0098761A">
        <w:rPr>
          <w:rFonts w:ascii="Times New Roman" w:hAnsi="Times New Roman" w:cs="Times New Roman"/>
          <w:sz w:val="24"/>
          <w:szCs w:val="24"/>
        </w:rPr>
        <w:t>occurring in the stomatognathic system; severe wear may require intervention largely driven by</w:t>
      </w:r>
      <w:r w:rsidR="00135705">
        <w:rPr>
          <w:rFonts w:ascii="Times New Roman" w:hAnsi="Times New Roman" w:cs="Times New Roman"/>
          <w:sz w:val="24"/>
          <w:szCs w:val="24"/>
        </w:rPr>
        <w:t xml:space="preserve"> </w:t>
      </w:r>
      <w:r w:rsidRPr="0098761A">
        <w:rPr>
          <w:rFonts w:ascii="Times New Roman" w:hAnsi="Times New Roman" w:cs="Times New Roman"/>
          <w:sz w:val="24"/>
          <w:szCs w:val="24"/>
        </w:rPr>
        <w:t>patient concern rather than biological necessity.</w:t>
      </w:r>
      <w:r w:rsidR="00135705">
        <w:rPr>
          <w:rFonts w:ascii="Times New Roman" w:hAnsi="Times New Roman" w:cs="Times New Roman"/>
          <w:sz w:val="24"/>
          <w:szCs w:val="24"/>
          <w:vertAlign w:val="superscript"/>
        </w:rPr>
        <w:t>[2]</w:t>
      </w:r>
    </w:p>
    <w:p w14:paraId="176145FD" w14:textId="3B7D3F6B" w:rsidR="005C6A72" w:rsidRPr="005C6A72" w:rsidRDefault="005C6A72" w:rsidP="00043CEB">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t>Erosion is defined as the loss of dental hard tissue by acids without bacterial involvement, and</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can originate extrinsically from diet or intrinsic sources like gastric acid from vomiting or reflux,</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causing characteristic patterns on teeth surfaces.</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Nonindustrial dental erosion can be classified by severity and surface involvement; early lesions</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show smooth enamel loss on the labial surfaces of maxillary anterior teeth, progressing to dentin</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exposure and significant tissue loss in advanced stages.</w:t>
      </w:r>
      <w:r w:rsidR="00043CEB">
        <w:rPr>
          <w:rFonts w:ascii="Times New Roman" w:hAnsi="Times New Roman" w:cs="Times New Roman"/>
          <w:sz w:val="24"/>
          <w:szCs w:val="24"/>
          <w:vertAlign w:val="superscript"/>
        </w:rPr>
        <w:t>[3]</w:t>
      </w:r>
    </w:p>
    <w:p w14:paraId="09C6B06A" w14:textId="2212C0B1" w:rsidR="005C6A72" w:rsidRPr="005C6A72" w:rsidRDefault="005C6A72" w:rsidP="005C6A72">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t>Prehistoric populations generally have less dental crowding than modern populations; however, a</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 xml:space="preserve">study of the Copper Age </w:t>
      </w:r>
      <w:proofErr w:type="spellStart"/>
      <w:r w:rsidRPr="005C6A72">
        <w:rPr>
          <w:rFonts w:ascii="Times New Roman" w:hAnsi="Times New Roman" w:cs="Times New Roman"/>
          <w:sz w:val="24"/>
          <w:szCs w:val="24"/>
        </w:rPr>
        <w:t>Roaix</w:t>
      </w:r>
      <w:proofErr w:type="spellEnd"/>
      <w:r w:rsidRPr="005C6A72">
        <w:rPr>
          <w:rFonts w:ascii="Times New Roman" w:hAnsi="Times New Roman" w:cs="Times New Roman"/>
          <w:sz w:val="24"/>
          <w:szCs w:val="24"/>
        </w:rPr>
        <w:t xml:space="preserve"> population revealed 100% prevalence of mandibular incisor</w:t>
      </w:r>
      <w:r w:rsidR="00043CEB">
        <w:rPr>
          <w:rFonts w:ascii="Times New Roman" w:hAnsi="Times New Roman" w:cs="Times New Roman"/>
          <w:sz w:val="24"/>
          <w:szCs w:val="24"/>
        </w:rPr>
        <w:t xml:space="preserve"> </w:t>
      </w:r>
      <w:r w:rsidRPr="005C6A72">
        <w:rPr>
          <w:rFonts w:ascii="Times New Roman" w:hAnsi="Times New Roman" w:cs="Times New Roman"/>
          <w:sz w:val="24"/>
          <w:szCs w:val="24"/>
        </w:rPr>
        <w:t>crowding, with severity attributed to smaller jaw size rather than excessive tooth size.</w:t>
      </w:r>
      <w:r w:rsidR="0077264C">
        <w:rPr>
          <w:rFonts w:ascii="Times New Roman" w:hAnsi="Times New Roman" w:cs="Times New Roman"/>
          <w:sz w:val="24"/>
          <w:szCs w:val="24"/>
          <w:vertAlign w:val="superscript"/>
        </w:rPr>
        <w:t>[4]</w:t>
      </w:r>
    </w:p>
    <w:p w14:paraId="266A7A26" w14:textId="093A361F" w:rsidR="005C6A72" w:rsidRPr="005C6A72" w:rsidRDefault="005C6A72" w:rsidP="005C6A72">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lastRenderedPageBreak/>
        <w:t>Occlusal wear increases occlusal contact area, which may influence masticatory efficiency;</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generalized wear shows significant changes to contact patterns, but treatment tends to reduce</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contact area by converting diffuse contact to point contacts.</w:t>
      </w:r>
      <w:r w:rsidR="0077264C">
        <w:rPr>
          <w:rFonts w:ascii="Times New Roman" w:hAnsi="Times New Roman" w:cs="Times New Roman"/>
          <w:sz w:val="24"/>
          <w:szCs w:val="24"/>
          <w:vertAlign w:val="superscript"/>
        </w:rPr>
        <w:t>[5]</w:t>
      </w:r>
    </w:p>
    <w:p w14:paraId="5DDCBAA7" w14:textId="193AEAC0" w:rsidR="005C6A72" w:rsidRPr="005C6A72" w:rsidRDefault="005C6A72" w:rsidP="005C6A72">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t>A dental wear scoring technique dividing molar occlusal surfaces into quadrants scored on a 1–10 scale allows reliable ordinal data collection for wear studies and better approximates interval</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data than previous scales, improving analysis of wear progression in skeletal samples.</w:t>
      </w:r>
      <w:r w:rsidR="0077264C">
        <w:rPr>
          <w:rFonts w:ascii="Times New Roman" w:hAnsi="Times New Roman" w:cs="Times New Roman"/>
          <w:sz w:val="24"/>
          <w:szCs w:val="24"/>
          <w:vertAlign w:val="superscript"/>
        </w:rPr>
        <w:t>[6]</w:t>
      </w:r>
    </w:p>
    <w:p w14:paraId="77F17101" w14:textId="0F2C94DA" w:rsidR="005C6A72" w:rsidRPr="005C6A72" w:rsidRDefault="005C6A72" w:rsidP="005C6A72">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t>In the United Kingdom, tooth wear is prevalent across age groups with significant erosion</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caused by factors such as gastroesophageal reflux disease, eating disorders, and chronic</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alcoholism; management emphasizes accurate diagnosis, prevention, monitoring, and restorative</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treatment only when necessary.</w:t>
      </w:r>
      <w:r w:rsidR="00887C83">
        <w:rPr>
          <w:rFonts w:ascii="Times New Roman" w:hAnsi="Times New Roman" w:cs="Times New Roman"/>
          <w:sz w:val="24"/>
          <w:szCs w:val="24"/>
          <w:vertAlign w:val="superscript"/>
        </w:rPr>
        <w:t>[7]</w:t>
      </w:r>
    </w:p>
    <w:p w14:paraId="2AE73D5D" w14:textId="2F779825" w:rsidR="005C6A72" w:rsidRDefault="005C6A72" w:rsidP="00AA51FD">
      <w:pPr>
        <w:spacing w:line="480" w:lineRule="auto"/>
        <w:ind w:firstLine="720"/>
        <w:jc w:val="both"/>
        <w:rPr>
          <w:rFonts w:ascii="Times New Roman" w:hAnsi="Times New Roman" w:cs="Times New Roman"/>
          <w:sz w:val="24"/>
          <w:szCs w:val="24"/>
          <w:vertAlign w:val="superscript"/>
        </w:rPr>
      </w:pPr>
      <w:r w:rsidRPr="005C6A72">
        <w:rPr>
          <w:rFonts w:ascii="Times New Roman" w:hAnsi="Times New Roman" w:cs="Times New Roman"/>
          <w:sz w:val="24"/>
          <w:szCs w:val="24"/>
        </w:rPr>
        <w:t>Non-carious tooth surface loss (TSL) arises mainly from attrition, abrasion, and erosion often</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combined, and identifying active mechanisms is essential for patient-specific preventive and</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minimally invasive operative management.</w:t>
      </w:r>
      <w:r w:rsidR="00AA51FD">
        <w:rPr>
          <w:rFonts w:ascii="Times New Roman" w:hAnsi="Times New Roman" w:cs="Times New Roman"/>
          <w:sz w:val="24"/>
          <w:szCs w:val="24"/>
        </w:rPr>
        <w:t xml:space="preserve"> </w:t>
      </w:r>
      <w:r w:rsidRPr="005C6A72">
        <w:rPr>
          <w:rFonts w:ascii="Times New Roman" w:hAnsi="Times New Roman" w:cs="Times New Roman"/>
          <w:sz w:val="24"/>
          <w:szCs w:val="24"/>
        </w:rPr>
        <w:t>Erosion (corrosion) of teeth results mostly from intrinsic gastric acids or extrinsic dietary acids,</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and presents with characteristic patterns depending on the acid source, with the palatal</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surfaces of maxillary teeth typically affected by intrinsic acids like reflux or vomiting.</w:t>
      </w:r>
      <w:r w:rsidR="00AA51FD">
        <w:rPr>
          <w:rFonts w:ascii="Times New Roman" w:hAnsi="Times New Roman" w:cs="Times New Roman"/>
          <w:sz w:val="24"/>
          <w:szCs w:val="24"/>
        </w:rPr>
        <w:t xml:space="preserve"> </w:t>
      </w:r>
      <w:r w:rsidRPr="005C6A72">
        <w:rPr>
          <w:rFonts w:ascii="Times New Roman" w:hAnsi="Times New Roman" w:cs="Times New Roman"/>
          <w:sz w:val="24"/>
          <w:szCs w:val="24"/>
        </w:rPr>
        <w:t>Attrition involves tooth-to-tooth contact wear, often due to nocturnal grinding linked to stress,</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characterized by well-demarcated facets on occlusal surfaces, which can be identified and</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managed by splints and stress reduction.</w:t>
      </w:r>
      <w:r w:rsidR="00AA51FD">
        <w:rPr>
          <w:rFonts w:ascii="Times New Roman" w:hAnsi="Times New Roman" w:cs="Times New Roman"/>
          <w:sz w:val="24"/>
          <w:szCs w:val="24"/>
        </w:rPr>
        <w:t xml:space="preserve"> </w:t>
      </w:r>
      <w:r w:rsidRPr="005C6A72">
        <w:rPr>
          <w:rFonts w:ascii="Times New Roman" w:hAnsi="Times New Roman" w:cs="Times New Roman"/>
          <w:sz w:val="24"/>
          <w:szCs w:val="24"/>
        </w:rPr>
        <w:t>Abrasion is caused by friction from exogenous materials like abrasive foods, toothbrushing, or</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habits, and may be exacerbated by erosion, with identifying and eliminating causative factors</w:t>
      </w:r>
      <w:r w:rsidR="00332E83">
        <w:rPr>
          <w:rFonts w:ascii="Times New Roman" w:hAnsi="Times New Roman" w:cs="Times New Roman"/>
          <w:sz w:val="24"/>
          <w:szCs w:val="24"/>
        </w:rPr>
        <w:t xml:space="preserve"> </w:t>
      </w:r>
      <w:r w:rsidRPr="005C6A72">
        <w:rPr>
          <w:rFonts w:ascii="Times New Roman" w:hAnsi="Times New Roman" w:cs="Times New Roman"/>
          <w:sz w:val="24"/>
          <w:szCs w:val="24"/>
        </w:rPr>
        <w:t>critical for prevention</w:t>
      </w:r>
      <w:r w:rsidR="00332E83">
        <w:rPr>
          <w:rFonts w:ascii="Times New Roman" w:hAnsi="Times New Roman" w:cs="Times New Roman"/>
          <w:sz w:val="24"/>
          <w:szCs w:val="24"/>
        </w:rPr>
        <w:t>.</w:t>
      </w:r>
      <w:r w:rsidR="00332E83">
        <w:rPr>
          <w:rFonts w:ascii="Times New Roman" w:hAnsi="Times New Roman" w:cs="Times New Roman"/>
          <w:sz w:val="24"/>
          <w:szCs w:val="24"/>
          <w:vertAlign w:val="superscript"/>
        </w:rPr>
        <w:t>[8]</w:t>
      </w:r>
    </w:p>
    <w:p w14:paraId="2E83ABDC" w14:textId="1028F40B" w:rsidR="00F2265F" w:rsidRPr="004B736A" w:rsidRDefault="00F2265F" w:rsidP="00F2265F">
      <w:pPr>
        <w:spacing w:line="480" w:lineRule="auto"/>
        <w:ind w:firstLine="720"/>
        <w:jc w:val="both"/>
        <w:rPr>
          <w:rFonts w:ascii="Times New Roman" w:hAnsi="Times New Roman" w:cs="Times New Roman"/>
          <w:sz w:val="24"/>
          <w:szCs w:val="24"/>
        </w:rPr>
      </w:pPr>
      <w:r w:rsidRPr="004B736A">
        <w:rPr>
          <w:rFonts w:ascii="Times New Roman" w:hAnsi="Times New Roman" w:cs="Times New Roman"/>
          <w:sz w:val="24"/>
          <w:szCs w:val="24"/>
        </w:rPr>
        <w:t>This study aims to bridge this gap by conducting a prospective comparative evaluation of Prime</w:t>
      </w:r>
      <w:r w:rsidR="00704907">
        <w:rPr>
          <w:rFonts w:ascii="Times New Roman" w:hAnsi="Times New Roman" w:cs="Times New Roman"/>
          <w:sz w:val="24"/>
          <w:szCs w:val="24"/>
        </w:rPr>
        <w:t xml:space="preserve"> </w:t>
      </w:r>
      <w:r w:rsidRPr="004B736A">
        <w:rPr>
          <w:rFonts w:ascii="Times New Roman" w:hAnsi="Times New Roman" w:cs="Times New Roman"/>
          <w:sz w:val="24"/>
          <w:szCs w:val="24"/>
        </w:rPr>
        <w:t xml:space="preserve">scan IOS versus clinical photography in assessing occlusal tooth wear </w:t>
      </w:r>
      <w:r w:rsidRPr="004B736A">
        <w:rPr>
          <w:rFonts w:ascii="Times New Roman" w:hAnsi="Times New Roman" w:cs="Times New Roman"/>
          <w:sz w:val="24"/>
          <w:szCs w:val="24"/>
        </w:rPr>
        <w:lastRenderedPageBreak/>
        <w:t xml:space="preserve">using Scott’s </w:t>
      </w:r>
      <w:proofErr w:type="gramStart"/>
      <w:r w:rsidRPr="004B736A">
        <w:rPr>
          <w:rFonts w:ascii="Times New Roman" w:hAnsi="Times New Roman" w:cs="Times New Roman"/>
          <w:sz w:val="24"/>
          <w:szCs w:val="24"/>
        </w:rPr>
        <w:t>index</w:t>
      </w:r>
      <w:r>
        <w:rPr>
          <w:rFonts w:ascii="Times New Roman" w:hAnsi="Times New Roman" w:cs="Times New Roman"/>
          <w:sz w:val="24"/>
          <w:szCs w:val="24"/>
          <w:vertAlign w:val="superscript"/>
        </w:rPr>
        <w:t>[</w:t>
      </w:r>
      <w:proofErr w:type="gramEnd"/>
      <w:r w:rsidR="00597A3B">
        <w:rPr>
          <w:rFonts w:ascii="Times New Roman" w:hAnsi="Times New Roman" w:cs="Times New Roman"/>
          <w:sz w:val="24"/>
          <w:szCs w:val="24"/>
          <w:vertAlign w:val="superscript"/>
        </w:rPr>
        <w:t>6]</w:t>
      </w:r>
      <w:r w:rsidRPr="004B736A">
        <w:rPr>
          <w:rFonts w:ascii="Times New Roman" w:hAnsi="Times New Roman" w:cs="Times New Roman"/>
          <w:sz w:val="24"/>
          <w:szCs w:val="24"/>
        </w:rPr>
        <w:t xml:space="preserve">. By </w:t>
      </w:r>
      <w:r w:rsidR="00704907" w:rsidRPr="004B736A">
        <w:rPr>
          <w:rFonts w:ascii="Times New Roman" w:hAnsi="Times New Roman" w:cs="Times New Roman"/>
          <w:sz w:val="24"/>
          <w:szCs w:val="24"/>
        </w:rPr>
        <w:t>analysing</w:t>
      </w:r>
      <w:r w:rsidRPr="004B736A">
        <w:rPr>
          <w:rFonts w:ascii="Times New Roman" w:hAnsi="Times New Roman" w:cs="Times New Roman"/>
          <w:sz w:val="24"/>
          <w:szCs w:val="24"/>
        </w:rPr>
        <w:t xml:space="preserve"> inter- and intra-examiner reliability, as well as method agreement over a 30-day period, we seek to validate the clinical applicability of digital scanning in tooth wear diagnostics.</w:t>
      </w:r>
    </w:p>
    <w:p w14:paraId="7BC5FE2F" w14:textId="77777777" w:rsidR="00332E83" w:rsidRDefault="00332E83" w:rsidP="00E03625">
      <w:pPr>
        <w:spacing w:line="480" w:lineRule="auto"/>
        <w:jc w:val="both"/>
        <w:rPr>
          <w:rFonts w:ascii="Times New Roman" w:hAnsi="Times New Roman" w:cs="Times New Roman"/>
          <w:b/>
          <w:bCs/>
          <w:sz w:val="24"/>
          <w:szCs w:val="24"/>
        </w:rPr>
      </w:pPr>
    </w:p>
    <w:p w14:paraId="501A521F" w14:textId="206FCADB" w:rsidR="00E03625" w:rsidRPr="0036414E" w:rsidRDefault="00E03625" w:rsidP="00E03625">
      <w:pPr>
        <w:spacing w:line="480" w:lineRule="auto"/>
        <w:jc w:val="both"/>
        <w:rPr>
          <w:rFonts w:ascii="Times New Roman" w:hAnsi="Times New Roman" w:cs="Times New Roman"/>
          <w:b/>
          <w:bCs/>
          <w:sz w:val="24"/>
          <w:szCs w:val="24"/>
        </w:rPr>
      </w:pPr>
      <w:r w:rsidRPr="0036414E">
        <w:rPr>
          <w:rFonts w:ascii="Times New Roman" w:hAnsi="Times New Roman" w:cs="Times New Roman"/>
          <w:b/>
          <w:bCs/>
          <w:sz w:val="24"/>
          <w:szCs w:val="24"/>
        </w:rPr>
        <w:t xml:space="preserve">MATERIALS AND </w:t>
      </w:r>
      <w:proofErr w:type="gramStart"/>
      <w:r w:rsidRPr="0036414E">
        <w:rPr>
          <w:rFonts w:ascii="Times New Roman" w:hAnsi="Times New Roman" w:cs="Times New Roman"/>
          <w:b/>
          <w:bCs/>
          <w:sz w:val="24"/>
          <w:szCs w:val="24"/>
        </w:rPr>
        <w:t>METHOD</w:t>
      </w:r>
      <w:r w:rsidR="00EA0828" w:rsidRPr="0036414E">
        <w:rPr>
          <w:rFonts w:ascii="Times New Roman" w:hAnsi="Times New Roman" w:cs="Times New Roman"/>
          <w:b/>
          <w:bCs/>
          <w:sz w:val="24"/>
          <w:szCs w:val="24"/>
        </w:rPr>
        <w:t>OLOGY</w:t>
      </w:r>
      <w:r w:rsidRPr="0036414E">
        <w:rPr>
          <w:rFonts w:ascii="Times New Roman" w:hAnsi="Times New Roman" w:cs="Times New Roman"/>
          <w:b/>
          <w:bCs/>
          <w:sz w:val="24"/>
          <w:szCs w:val="24"/>
        </w:rPr>
        <w:t xml:space="preserve"> :</w:t>
      </w:r>
      <w:proofErr w:type="gramEnd"/>
    </w:p>
    <w:p w14:paraId="5B20FC60" w14:textId="23DD723F" w:rsidR="00CE3CB8" w:rsidRDefault="00CE3CB8" w:rsidP="00CE3CB8">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t xml:space="preserve">This prospective, comparative clinical study was conducted at the Department of Prosthodontics, </w:t>
      </w:r>
      <w:proofErr w:type="spellStart"/>
      <w:r w:rsidRPr="00CE3CB8">
        <w:rPr>
          <w:rFonts w:ascii="Times New Roman" w:hAnsi="Times New Roman" w:cs="Times New Roman"/>
          <w:sz w:val="24"/>
          <w:szCs w:val="24"/>
        </w:rPr>
        <w:t>Adhiparasakthi</w:t>
      </w:r>
      <w:proofErr w:type="spellEnd"/>
      <w:r w:rsidRPr="00CE3CB8">
        <w:rPr>
          <w:rFonts w:ascii="Times New Roman" w:hAnsi="Times New Roman" w:cs="Times New Roman"/>
          <w:sz w:val="24"/>
          <w:szCs w:val="24"/>
        </w:rPr>
        <w:t xml:space="preserve"> Dental College and Hospital, between [</w:t>
      </w:r>
      <w:r w:rsidR="00A36CC9">
        <w:rPr>
          <w:rFonts w:ascii="Times New Roman" w:hAnsi="Times New Roman" w:cs="Times New Roman"/>
          <w:sz w:val="24"/>
          <w:szCs w:val="24"/>
        </w:rPr>
        <w:t>MARCH</w:t>
      </w:r>
      <w:r w:rsidRPr="00CE3CB8">
        <w:rPr>
          <w:rFonts w:ascii="Times New Roman" w:hAnsi="Times New Roman" w:cs="Times New Roman"/>
          <w:sz w:val="24"/>
          <w:szCs w:val="24"/>
        </w:rPr>
        <w:t>/</w:t>
      </w:r>
      <w:r w:rsidR="007A6FA7">
        <w:rPr>
          <w:rFonts w:ascii="Times New Roman" w:hAnsi="Times New Roman" w:cs="Times New Roman"/>
          <w:sz w:val="24"/>
          <w:szCs w:val="24"/>
        </w:rPr>
        <w:t>2025</w:t>
      </w:r>
      <w:r w:rsidRPr="00CE3CB8">
        <w:rPr>
          <w:rFonts w:ascii="Times New Roman" w:hAnsi="Times New Roman" w:cs="Times New Roman"/>
          <w:sz w:val="24"/>
          <w:szCs w:val="24"/>
        </w:rPr>
        <w:t>] and [</w:t>
      </w:r>
      <w:r w:rsidR="007A6FA7">
        <w:rPr>
          <w:rFonts w:ascii="Times New Roman" w:hAnsi="Times New Roman" w:cs="Times New Roman"/>
          <w:sz w:val="24"/>
          <w:szCs w:val="24"/>
        </w:rPr>
        <w:t>MAY</w:t>
      </w:r>
      <w:r w:rsidRPr="00CE3CB8">
        <w:rPr>
          <w:rFonts w:ascii="Times New Roman" w:hAnsi="Times New Roman" w:cs="Times New Roman"/>
          <w:sz w:val="24"/>
          <w:szCs w:val="24"/>
        </w:rPr>
        <w:t>/</w:t>
      </w:r>
      <w:r w:rsidR="007A6FA7">
        <w:rPr>
          <w:rFonts w:ascii="Times New Roman" w:hAnsi="Times New Roman" w:cs="Times New Roman"/>
          <w:sz w:val="24"/>
          <w:szCs w:val="24"/>
        </w:rPr>
        <w:t>2025</w:t>
      </w:r>
      <w:r w:rsidRPr="00CE3CB8">
        <w:rPr>
          <w:rFonts w:ascii="Times New Roman" w:hAnsi="Times New Roman" w:cs="Times New Roman"/>
          <w:sz w:val="24"/>
          <w:szCs w:val="24"/>
        </w:rPr>
        <w:t xml:space="preserve">] with approval from the Institutional Ethics Committee and written informed consent from all participants, adhering to STROBE guidelines. </w:t>
      </w:r>
    </w:p>
    <w:p w14:paraId="4259405D" w14:textId="77777777" w:rsidR="006D29B7" w:rsidRDefault="00CE3CB8" w:rsidP="00CE3CB8">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t xml:space="preserve">The study included adults aged 18–55 years with at least one natural tooth in each quadrant (incisors, canines, premolars, first molars), visible occlusal wear (Scott’s Index score ≥1), and willingness to participate in follow-up assessments, while excluding completely edentulous patients, those with active caries or restorations on occlusal surfaces, orthodontic appliances or prostheses interfering with scans, and severe periodontal disease (mobility &gt; Grade 2). A minimum of 25 participants was required based on a pilot study (α = 0.05, β = 0.20, effect size = 0.8, G*Power 3.1), with 28 subjects initially enrolled to account for a 10% dropout rate. </w:t>
      </w:r>
    </w:p>
    <w:p w14:paraId="400049D3" w14:textId="0E26FAB4" w:rsidR="005E4A7A" w:rsidRDefault="00CE3CB8" w:rsidP="00332E83">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t>Two prosthodontists with &gt;5 years of experience were calibrated using standardized photographs of 10 pre-scored tooth wear cases and hands-on training with Prime</w:t>
      </w:r>
      <w:r w:rsidR="00704907">
        <w:rPr>
          <w:rFonts w:ascii="Times New Roman" w:hAnsi="Times New Roman" w:cs="Times New Roman"/>
          <w:sz w:val="24"/>
          <w:szCs w:val="24"/>
        </w:rPr>
        <w:t xml:space="preserve"> </w:t>
      </w:r>
      <w:r w:rsidRPr="00CE3CB8">
        <w:rPr>
          <w:rFonts w:ascii="Times New Roman" w:hAnsi="Times New Roman" w:cs="Times New Roman"/>
          <w:sz w:val="24"/>
          <w:szCs w:val="24"/>
        </w:rPr>
        <w:t xml:space="preserve">scan IOS (Dentsply Sirona), achieving inter-examiner reliability of κ &gt; 0.85. Tooth wear was evaluated using </w:t>
      </w:r>
      <w:r w:rsidR="00885C2B" w:rsidRPr="007321DA">
        <w:rPr>
          <w:rFonts w:ascii="Times New Roman" w:hAnsi="Times New Roman" w:cs="Times New Roman"/>
          <w:b/>
          <w:bCs/>
          <w:sz w:val="24"/>
          <w:szCs w:val="24"/>
        </w:rPr>
        <w:t>1.</w:t>
      </w:r>
      <w:r w:rsidRPr="007321DA">
        <w:rPr>
          <w:rFonts w:ascii="Times New Roman" w:hAnsi="Times New Roman" w:cs="Times New Roman"/>
          <w:b/>
          <w:bCs/>
          <w:sz w:val="24"/>
          <w:szCs w:val="24"/>
        </w:rPr>
        <w:t>conventional clinical photography</w:t>
      </w:r>
      <w:r w:rsidRPr="00CE3CB8">
        <w:rPr>
          <w:rFonts w:ascii="Times New Roman" w:hAnsi="Times New Roman" w:cs="Times New Roman"/>
          <w:sz w:val="24"/>
          <w:szCs w:val="24"/>
        </w:rPr>
        <w:t xml:space="preserve"> (Canon EOS 90D DSLR with 100mm macro lens and ring flash at 1:1 magnification) with teeth cleaned and dried, standardized occlusal photos taken using a cheek retractor and occlusal mirror, and</w:t>
      </w:r>
      <w:r w:rsidR="003E5C21">
        <w:rPr>
          <w:rFonts w:ascii="Times New Roman" w:hAnsi="Times New Roman" w:cs="Times New Roman"/>
          <w:sz w:val="24"/>
          <w:szCs w:val="24"/>
        </w:rPr>
        <w:t xml:space="preserve"> </w:t>
      </w:r>
      <w:r w:rsidR="003E5C21" w:rsidRPr="007321DA">
        <w:rPr>
          <w:rFonts w:ascii="Times New Roman" w:hAnsi="Times New Roman" w:cs="Times New Roman"/>
          <w:b/>
          <w:bCs/>
          <w:sz w:val="24"/>
          <w:szCs w:val="24"/>
        </w:rPr>
        <w:t>2.</w:t>
      </w:r>
      <w:r w:rsidR="002F3A5E" w:rsidRPr="007321DA">
        <w:rPr>
          <w:rFonts w:ascii="Times New Roman" w:hAnsi="Times New Roman" w:cs="Times New Roman"/>
          <w:b/>
          <w:bCs/>
          <w:sz w:val="24"/>
          <w:szCs w:val="24"/>
        </w:rPr>
        <w:t xml:space="preserve"> </w:t>
      </w:r>
      <w:r w:rsidR="00707D12" w:rsidRPr="007321DA">
        <w:rPr>
          <w:rFonts w:ascii="Times New Roman" w:hAnsi="Times New Roman" w:cs="Times New Roman"/>
          <w:b/>
          <w:bCs/>
          <w:sz w:val="24"/>
          <w:szCs w:val="24"/>
        </w:rPr>
        <w:t xml:space="preserve">3D Image </w:t>
      </w:r>
      <w:r w:rsidR="00F473FA" w:rsidRPr="007321DA">
        <w:rPr>
          <w:rFonts w:ascii="Times New Roman" w:hAnsi="Times New Roman" w:cs="Times New Roman"/>
          <w:b/>
          <w:bCs/>
          <w:sz w:val="24"/>
          <w:szCs w:val="24"/>
        </w:rPr>
        <w:t>of intra-oral scan</w:t>
      </w:r>
      <w:r w:rsidR="00F473FA">
        <w:rPr>
          <w:rFonts w:ascii="Times New Roman" w:hAnsi="Times New Roman" w:cs="Times New Roman"/>
          <w:sz w:val="24"/>
          <w:szCs w:val="24"/>
        </w:rPr>
        <w:t xml:space="preserve"> </w:t>
      </w:r>
      <w:r w:rsidRPr="00CE3CB8">
        <w:rPr>
          <w:rFonts w:ascii="Times New Roman" w:hAnsi="Times New Roman" w:cs="Times New Roman"/>
          <w:sz w:val="24"/>
          <w:szCs w:val="24"/>
        </w:rPr>
        <w:lastRenderedPageBreak/>
        <w:t>(</w:t>
      </w:r>
      <w:proofErr w:type="spellStart"/>
      <w:r w:rsidRPr="00CE3CB8">
        <w:rPr>
          <w:rFonts w:ascii="Times New Roman" w:hAnsi="Times New Roman" w:cs="Times New Roman"/>
          <w:sz w:val="24"/>
          <w:szCs w:val="24"/>
        </w:rPr>
        <w:t>Primescan</w:t>
      </w:r>
      <w:proofErr w:type="spellEnd"/>
      <w:r w:rsidRPr="00CE3CB8">
        <w:rPr>
          <w:rFonts w:ascii="Times New Roman" w:hAnsi="Times New Roman" w:cs="Times New Roman"/>
          <w:sz w:val="24"/>
          <w:szCs w:val="24"/>
        </w:rPr>
        <w:t xml:space="preserve"> IOS with 5µm accuracy capturing full-arch scans in &lt;2 minutes, isolated with cotton rolls. </w:t>
      </w:r>
      <w:r w:rsidR="005E4A7A">
        <w:rPr>
          <w:rFonts w:ascii="Times New Roman" w:hAnsi="Times New Roman" w:cs="Times New Roman"/>
          <w:sz w:val="24"/>
          <w:szCs w:val="24"/>
        </w:rPr>
        <w:br w:type="page"/>
      </w:r>
    </w:p>
    <w:p w14:paraId="0F4F5D5B" w14:textId="6CF7627F" w:rsidR="00C239F8" w:rsidRDefault="00436C6D" w:rsidP="00BF5841">
      <w:pPr>
        <w:spacing w:line="480" w:lineRule="auto"/>
        <w:ind w:firstLine="720"/>
        <w:jc w:val="both"/>
        <w:rPr>
          <w:rFonts w:ascii="Times New Roman" w:hAnsi="Times New Roman" w:cs="Times New Roman"/>
          <w:sz w:val="24"/>
          <w:szCs w:val="24"/>
        </w:rPr>
      </w:pPr>
      <w:r w:rsidRPr="0062521C">
        <w:rPr>
          <w:rFonts w:ascii="Times New Roman" w:hAnsi="Times New Roman" w:cs="Times New Roman"/>
          <w:noProof/>
          <w:sz w:val="24"/>
          <w:szCs w:val="24"/>
        </w:rPr>
        <w:lastRenderedPageBreak/>
        <mc:AlternateContent>
          <mc:Choice Requires="wps">
            <w:drawing>
              <wp:anchor distT="45720" distB="45720" distL="114300" distR="114300" simplePos="0" relativeHeight="251680768" behindDoc="0" locked="0" layoutInCell="1" allowOverlap="1" wp14:anchorId="1DB35626" wp14:editId="3F545D96">
                <wp:simplePos x="0" y="0"/>
                <wp:positionH relativeFrom="margin">
                  <wp:posOffset>40105</wp:posOffset>
                </wp:positionH>
                <wp:positionV relativeFrom="paragraph">
                  <wp:posOffset>6216015</wp:posOffset>
                </wp:positionV>
                <wp:extent cx="5895340" cy="873760"/>
                <wp:effectExtent l="0" t="0" r="10160" b="21590"/>
                <wp:wrapSquare wrapText="bothSides"/>
                <wp:docPr id="1862777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873760"/>
                        </a:xfrm>
                        <a:prstGeom prst="rect">
                          <a:avLst/>
                        </a:prstGeom>
                        <a:solidFill>
                          <a:srgbClr val="FFFFFF"/>
                        </a:solidFill>
                        <a:ln w="9525">
                          <a:solidFill>
                            <a:srgbClr val="000000"/>
                          </a:solidFill>
                          <a:miter lim="800000"/>
                          <a:headEnd/>
                          <a:tailEnd/>
                        </a:ln>
                      </wps:spPr>
                      <wps:txbx>
                        <w:txbxContent>
                          <w:p w14:paraId="445B0A83" w14:textId="1A944245" w:rsidR="0062521C" w:rsidRPr="00115E71" w:rsidRDefault="00436C6D"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115E71" w:rsidRPr="00115E71">
                              <w:rPr>
                                <w:rFonts w:ascii="Times New Roman" w:hAnsi="Times New Roman" w:cs="Times New Roman"/>
                                <w:b/>
                                <w:bCs/>
                                <w:sz w:val="24"/>
                                <w:szCs w:val="24"/>
                              </w:rPr>
                              <w:t xml:space="preserve">.1 : </w:t>
                            </w:r>
                            <w:r w:rsidR="00723447" w:rsidRPr="00723447">
                              <w:rPr>
                                <w:rFonts w:ascii="Times New Roman" w:hAnsi="Times New Roman" w:cs="Times New Roman"/>
                                <w:b/>
                                <w:bCs/>
                                <w:sz w:val="24"/>
                                <w:szCs w:val="24"/>
                              </w:rPr>
                              <w:t>OCCLUSAL INTRAORAL PHOTOGRAPHS AND 3D IMAGES CAPTURED WITH THE INTRAORAL SCANNER AT DAY 1 [A,B- UPPER  AND LOWER ARCH CLINICAL INTRA ORAL PHOTOGRAPHS] [C,D- UPPER AND LOWER ARCH IOS 3D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35626" id="_x0000_t202" coordsize="21600,21600" o:spt="202" path="m,l,21600r21600,l21600,xe">
                <v:stroke joinstyle="miter"/>
                <v:path gradientshapeok="t" o:connecttype="rect"/>
              </v:shapetype>
              <v:shape id="Text Box 2" o:spid="_x0000_s1026" type="#_x0000_t202" style="position:absolute;left:0;text-align:left;margin-left:3.15pt;margin-top:489.45pt;width:464.2pt;height:68.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">
                <v:textbox>
                  <w:txbxContent>
                    <w:p w14:paraId="445B0A83" w14:textId="1A944245" w:rsidR="0062521C" w:rsidRPr="00115E71" w:rsidRDefault="00436C6D"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115E71" w:rsidRPr="00115E71">
                        <w:rPr>
                          <w:rFonts w:ascii="Times New Roman" w:hAnsi="Times New Roman" w:cs="Times New Roman"/>
                          <w:b/>
                          <w:bCs/>
                          <w:sz w:val="24"/>
                          <w:szCs w:val="24"/>
                        </w:rPr>
                        <w:t xml:space="preserve">.1 : </w:t>
                      </w:r>
                      <w:r w:rsidR="00723447" w:rsidRPr="00723447">
                        <w:rPr>
                          <w:rFonts w:ascii="Times New Roman" w:hAnsi="Times New Roman" w:cs="Times New Roman"/>
                          <w:b/>
                          <w:bCs/>
                          <w:sz w:val="24"/>
                          <w:szCs w:val="24"/>
                        </w:rPr>
                        <w:t>OCCLUSAL INTRAORAL PHOTOGRAPHS AND 3D IMAGES CAPTURED WITH THE INTRAORAL SCANNER AT DAY 1 [A,B- UPPER  AND LOWER ARCH CLINICAL INTRA ORAL PHOTOGRAPHS] [C,D- UPPER AND LOWER ARCH IOS 3D IMAGES]</w:t>
                      </w:r>
                    </w:p>
                  </w:txbxContent>
                </v:textbox>
                <w10:wrap type="square" anchorx="margin"/>
              </v:shape>
            </w:pict>
          </mc:Fallback>
        </mc:AlternateContent>
      </w:r>
      <w:r w:rsidR="00BF5841" w:rsidRPr="00675C77">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2CE22031" wp14:editId="1F9FAC85">
                <wp:simplePos x="0" y="0"/>
                <wp:positionH relativeFrom="column">
                  <wp:posOffset>4241800</wp:posOffset>
                </wp:positionH>
                <wp:positionV relativeFrom="paragraph">
                  <wp:posOffset>3365500</wp:posOffset>
                </wp:positionV>
                <wp:extent cx="381000" cy="304800"/>
                <wp:effectExtent l="0" t="0" r="19050" b="19050"/>
                <wp:wrapSquare wrapText="bothSides"/>
                <wp:docPr id="1613379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257112A6" w14:textId="16DFD43A"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22031" id="_x0000_s1027" type="#_x0000_t202" style="position:absolute;left:0;text-align:left;margin-left:334pt;margin-top:265pt;width:30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">
                <v:textbox>
                  <w:txbxContent>
                    <w:p w14:paraId="257112A6" w14:textId="16DFD43A"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D</w:t>
                      </w:r>
                    </w:p>
                  </w:txbxContent>
                </v:textbox>
                <w10:wrap type="square"/>
              </v:shape>
            </w:pict>
          </mc:Fallback>
        </mc:AlternateContent>
      </w:r>
      <w:r w:rsidR="00BF5841" w:rsidRPr="00675C77">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0A2DCE51" wp14:editId="5398D753">
                <wp:simplePos x="0" y="0"/>
                <wp:positionH relativeFrom="column">
                  <wp:posOffset>4267200</wp:posOffset>
                </wp:positionH>
                <wp:positionV relativeFrom="paragraph">
                  <wp:posOffset>152400</wp:posOffset>
                </wp:positionV>
                <wp:extent cx="381000" cy="304800"/>
                <wp:effectExtent l="0" t="0" r="19050" b="19050"/>
                <wp:wrapSquare wrapText="bothSides"/>
                <wp:docPr id="817024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114D2540" w14:textId="7748A874"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CE51" id="_x0000_s1028" type="#_x0000_t202" style="position:absolute;left:0;text-align:left;margin-left:336pt;margin-top:12pt;width:30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">
                <v:textbox>
                  <w:txbxContent>
                    <w:p w14:paraId="114D2540" w14:textId="7748A874"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B</w:t>
                      </w:r>
                    </w:p>
                  </w:txbxContent>
                </v:textbox>
                <w10:wrap type="square"/>
              </v:shape>
            </w:pict>
          </mc:Fallback>
        </mc:AlternateContent>
      </w:r>
      <w:r w:rsidR="00BF5841" w:rsidRPr="00675C77">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320B41F1" wp14:editId="6A60DEFF">
                <wp:simplePos x="0" y="0"/>
                <wp:positionH relativeFrom="column">
                  <wp:posOffset>1206500</wp:posOffset>
                </wp:positionH>
                <wp:positionV relativeFrom="paragraph">
                  <wp:posOffset>2527300</wp:posOffset>
                </wp:positionV>
                <wp:extent cx="3810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15D72FF6" w14:textId="2EC5F1EC" w:rsidR="00675C77" w:rsidRPr="00BF5841" w:rsidRDefault="00BF5841">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41F1" id="_x0000_s1029" type="#_x0000_t202" style="position:absolute;left:0;text-align:left;margin-left:95pt;margin-top:199pt;width:30pt;height:2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">
                <v:textbox>
                  <w:txbxContent>
                    <w:p w14:paraId="15D72FF6" w14:textId="2EC5F1EC" w:rsidR="00675C77" w:rsidRPr="00BF5841" w:rsidRDefault="00BF5841">
                      <w:pPr>
                        <w:rPr>
                          <w:rFonts w:ascii="Times New Roman" w:hAnsi="Times New Roman" w:cs="Times New Roman"/>
                          <w:sz w:val="24"/>
                          <w:szCs w:val="24"/>
                        </w:rPr>
                      </w:pPr>
                      <w:r>
                        <w:rPr>
                          <w:rFonts w:ascii="Times New Roman" w:hAnsi="Times New Roman" w:cs="Times New Roman"/>
                          <w:sz w:val="24"/>
                          <w:szCs w:val="24"/>
                        </w:rPr>
                        <w:t>A</w:t>
                      </w:r>
                    </w:p>
                  </w:txbxContent>
                </v:textbox>
                <w10:wrap type="square"/>
              </v:shape>
            </w:pict>
          </mc:Fallback>
        </mc:AlternateContent>
      </w:r>
      <w:r w:rsidR="00BF5841" w:rsidRPr="00675C77">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5C348FD2" wp14:editId="5987E42C">
                <wp:simplePos x="0" y="0"/>
                <wp:positionH relativeFrom="column">
                  <wp:posOffset>1219200</wp:posOffset>
                </wp:positionH>
                <wp:positionV relativeFrom="paragraph">
                  <wp:posOffset>5691505</wp:posOffset>
                </wp:positionV>
                <wp:extent cx="381000" cy="304800"/>
                <wp:effectExtent l="0" t="0" r="19050" b="19050"/>
                <wp:wrapSquare wrapText="bothSides"/>
                <wp:docPr id="129895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04A3BEA7" w14:textId="3D5D7365"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48FD2" id="_x0000_s1030" type="#_x0000_t202" style="position:absolute;left:0;text-align:left;margin-left:96pt;margin-top:448.15pt;width:30pt;height: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">
                <v:textbox>
                  <w:txbxContent>
                    <w:p w14:paraId="04A3BEA7" w14:textId="3D5D7365"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C</w:t>
                      </w:r>
                    </w:p>
                  </w:txbxContent>
                </v:textbox>
                <w10:wrap type="square"/>
              </v:shape>
            </w:pict>
          </mc:Fallback>
        </mc:AlternateContent>
      </w:r>
      <w:r w:rsidR="00675C77">
        <w:rPr>
          <w:rFonts w:ascii="Times New Roman" w:hAnsi="Times New Roman" w:cs="Times New Roman"/>
          <w:noProof/>
          <w:sz w:val="24"/>
          <w:szCs w:val="24"/>
        </w:rPr>
        <w:drawing>
          <wp:anchor distT="0" distB="0" distL="114300" distR="114300" simplePos="0" relativeHeight="251665408" behindDoc="0" locked="0" layoutInCell="1" allowOverlap="1" wp14:anchorId="5545FF49" wp14:editId="6498E60D">
            <wp:simplePos x="0" y="0"/>
            <wp:positionH relativeFrom="column">
              <wp:posOffset>-253365</wp:posOffset>
            </wp:positionH>
            <wp:positionV relativeFrom="paragraph">
              <wp:posOffset>3136900</wp:posOffset>
            </wp:positionV>
            <wp:extent cx="3047365" cy="2901950"/>
            <wp:effectExtent l="76200" t="76200" r="133985" b="127000"/>
            <wp:wrapThrough wrapText="bothSides">
              <wp:wrapPolygon edited="0">
                <wp:start x="-270" y="-567"/>
                <wp:lineTo x="-540" y="-425"/>
                <wp:lineTo x="-540" y="21836"/>
                <wp:lineTo x="-270" y="22404"/>
                <wp:lineTo x="22145" y="22404"/>
                <wp:lineTo x="22145" y="22262"/>
                <wp:lineTo x="22415" y="20135"/>
                <wp:lineTo x="22415" y="1843"/>
                <wp:lineTo x="22145" y="-284"/>
                <wp:lineTo x="22145" y="-567"/>
                <wp:lineTo x="-270" y="-567"/>
              </wp:wrapPolygon>
            </wp:wrapThrough>
            <wp:docPr id="1278283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7365" cy="290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Pr>
          <w:rFonts w:ascii="Times New Roman" w:hAnsi="Times New Roman" w:cs="Times New Roman"/>
          <w:noProof/>
          <w:sz w:val="24"/>
          <w:szCs w:val="24"/>
        </w:rPr>
        <w:drawing>
          <wp:anchor distT="0" distB="0" distL="114300" distR="114300" simplePos="0" relativeHeight="251666432" behindDoc="0" locked="0" layoutInCell="1" allowOverlap="1" wp14:anchorId="2B3F791F" wp14:editId="41E0B552">
            <wp:simplePos x="0" y="0"/>
            <wp:positionH relativeFrom="column">
              <wp:posOffset>2895600</wp:posOffset>
            </wp:positionH>
            <wp:positionV relativeFrom="paragraph">
              <wp:posOffset>3136900</wp:posOffset>
            </wp:positionV>
            <wp:extent cx="2997200" cy="2937510"/>
            <wp:effectExtent l="76200" t="76200" r="127000" b="129540"/>
            <wp:wrapThrough wrapText="bothSides">
              <wp:wrapPolygon edited="0">
                <wp:start x="-275" y="-560"/>
                <wp:lineTo x="-549" y="-420"/>
                <wp:lineTo x="-549" y="21852"/>
                <wp:lineTo x="-275" y="22412"/>
                <wp:lineTo x="22103" y="22412"/>
                <wp:lineTo x="22378" y="21992"/>
                <wp:lineTo x="22378" y="1821"/>
                <wp:lineTo x="22103" y="-280"/>
                <wp:lineTo x="22103" y="-560"/>
                <wp:lineTo x="-275" y="-560"/>
              </wp:wrapPolygon>
            </wp:wrapThrough>
            <wp:docPr id="1865342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200" cy="293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Pr>
          <w:rFonts w:ascii="Times New Roman" w:hAnsi="Times New Roman" w:cs="Times New Roman"/>
          <w:noProof/>
          <w:sz w:val="24"/>
          <w:szCs w:val="24"/>
        </w:rPr>
        <w:drawing>
          <wp:anchor distT="0" distB="0" distL="114300" distR="114300" simplePos="0" relativeHeight="251664384" behindDoc="0" locked="0" layoutInCell="1" allowOverlap="1" wp14:anchorId="5DFE7B40" wp14:editId="699F1DBD">
            <wp:simplePos x="0" y="0"/>
            <wp:positionH relativeFrom="margin">
              <wp:posOffset>2895600</wp:posOffset>
            </wp:positionH>
            <wp:positionV relativeFrom="paragraph">
              <wp:posOffset>76200</wp:posOffset>
            </wp:positionV>
            <wp:extent cx="2996565" cy="2970530"/>
            <wp:effectExtent l="76200" t="76200" r="127635" b="134620"/>
            <wp:wrapThrough wrapText="bothSides">
              <wp:wrapPolygon edited="0">
                <wp:start x="-275" y="-554"/>
                <wp:lineTo x="-549" y="-416"/>
                <wp:lineTo x="-549" y="21748"/>
                <wp:lineTo x="-275" y="22440"/>
                <wp:lineTo x="22108" y="22440"/>
                <wp:lineTo x="22383" y="21748"/>
                <wp:lineTo x="22383" y="1801"/>
                <wp:lineTo x="22108" y="-277"/>
                <wp:lineTo x="22108" y="-554"/>
                <wp:lineTo x="-275" y="-554"/>
              </wp:wrapPolygon>
            </wp:wrapThrough>
            <wp:docPr id="155519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6565" cy="297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sidRPr="00643860">
        <w:rPr>
          <w:rFonts w:ascii="Times New Roman" w:hAnsi="Times New Roman" w:cs="Times New Roman"/>
          <w:noProof/>
          <w:sz w:val="24"/>
          <w:szCs w:val="24"/>
        </w:rPr>
        <w:drawing>
          <wp:anchor distT="0" distB="0" distL="114300" distR="114300" simplePos="0" relativeHeight="251663360" behindDoc="0" locked="0" layoutInCell="1" allowOverlap="1" wp14:anchorId="76D27DB0" wp14:editId="232283E7">
            <wp:simplePos x="0" y="0"/>
            <wp:positionH relativeFrom="margin">
              <wp:posOffset>-228600</wp:posOffset>
            </wp:positionH>
            <wp:positionV relativeFrom="paragraph">
              <wp:posOffset>88900</wp:posOffset>
            </wp:positionV>
            <wp:extent cx="3020695" cy="2946400"/>
            <wp:effectExtent l="76200" t="76200" r="141605" b="139700"/>
            <wp:wrapThrough wrapText="bothSides">
              <wp:wrapPolygon edited="0">
                <wp:start x="-272" y="-559"/>
                <wp:lineTo x="-545" y="-419"/>
                <wp:lineTo x="-545" y="21926"/>
                <wp:lineTo x="-272" y="22484"/>
                <wp:lineTo x="22204" y="22484"/>
                <wp:lineTo x="22476" y="21926"/>
                <wp:lineTo x="22476" y="1816"/>
                <wp:lineTo x="22204" y="-279"/>
                <wp:lineTo x="22204" y="-559"/>
                <wp:lineTo x="-272" y="-559"/>
              </wp:wrapPolygon>
            </wp:wrapThrough>
            <wp:docPr id="10" name="Picture 9" descr="Close-up of a person's mouth&#10;&#10;AI-generated content may be incorrect.">
              <a:extLst xmlns:a="http://schemas.openxmlformats.org/drawingml/2006/main">
                <a:ext uri="{FF2B5EF4-FFF2-40B4-BE49-F238E27FC236}">
                  <a16:creationId xmlns:a16="http://schemas.microsoft.com/office/drawing/2014/main" id="{42FDDAD6-BD7A-9BF4-676E-06C4F78BC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ose-up of a person's mouth&#10;&#10;AI-generated content may be incorrect.">
                      <a:extLst>
                        <a:ext uri="{FF2B5EF4-FFF2-40B4-BE49-F238E27FC236}">
                          <a16:creationId xmlns:a16="http://schemas.microsoft.com/office/drawing/2014/main" id="{42FDDAD6-BD7A-9BF4-676E-06C4F78BCC8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821"/>
                    <a:stretch/>
                  </pic:blipFill>
                  <pic:spPr bwMode="auto">
                    <a:xfrm>
                      <a:off x="0" y="0"/>
                      <a:ext cx="3020695" cy="294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2F28A" w14:textId="7231B235" w:rsidR="00517429" w:rsidRDefault="00517429" w:rsidP="00CE3CB8">
      <w:pPr>
        <w:spacing w:line="480" w:lineRule="auto"/>
        <w:ind w:firstLine="720"/>
        <w:jc w:val="both"/>
        <w:rPr>
          <w:rFonts w:ascii="Times New Roman" w:hAnsi="Times New Roman" w:cs="Times New Roman"/>
          <w:sz w:val="24"/>
          <w:szCs w:val="24"/>
        </w:rPr>
      </w:pPr>
    </w:p>
    <w:p w14:paraId="6C3387E7" w14:textId="6456B1FF" w:rsidR="00153E87" w:rsidRDefault="00153E87" w:rsidP="00CE3CB8">
      <w:pPr>
        <w:spacing w:line="480" w:lineRule="auto"/>
        <w:ind w:firstLine="720"/>
        <w:jc w:val="both"/>
        <w:rPr>
          <w:rFonts w:ascii="Times New Roman" w:hAnsi="Times New Roman" w:cs="Times New Roman"/>
          <w:sz w:val="24"/>
          <w:szCs w:val="24"/>
        </w:rPr>
      </w:pPr>
    </w:p>
    <w:p w14:paraId="0EABB7A4" w14:textId="5770B154" w:rsidR="00C239F8" w:rsidRDefault="00517429" w:rsidP="00436C6D">
      <w:pPr>
        <w:rPr>
          <w:rFonts w:ascii="Times New Roman" w:hAnsi="Times New Roman" w:cs="Times New Roman"/>
          <w:sz w:val="24"/>
          <w:szCs w:val="24"/>
        </w:rPr>
      </w:pPr>
      <w:r>
        <w:rPr>
          <w:rFonts w:ascii="Times New Roman" w:hAnsi="Times New Roman" w:cs="Times New Roman"/>
          <w:sz w:val="24"/>
          <w:szCs w:val="24"/>
        </w:rPr>
        <w:br w:type="page"/>
      </w:r>
    </w:p>
    <w:p w14:paraId="020A52E1" w14:textId="4F86D947" w:rsidR="005E4A7A" w:rsidRDefault="00436C6D" w:rsidP="00B0617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55366B1C" wp14:editId="7C691354">
            <wp:simplePos x="0" y="0"/>
            <wp:positionH relativeFrom="column">
              <wp:posOffset>4373217</wp:posOffset>
            </wp:positionH>
            <wp:positionV relativeFrom="paragraph">
              <wp:posOffset>3796913</wp:posOffset>
            </wp:positionV>
            <wp:extent cx="400050" cy="323850"/>
            <wp:effectExtent l="0" t="0" r="0" b="0"/>
            <wp:wrapThrough wrapText="bothSides">
              <wp:wrapPolygon edited="0">
                <wp:start x="0" y="0"/>
                <wp:lineTo x="0" y="20329"/>
                <wp:lineTo x="20571" y="20329"/>
                <wp:lineTo x="20571" y="0"/>
                <wp:lineTo x="0" y="0"/>
              </wp:wrapPolygon>
            </wp:wrapThrough>
            <wp:docPr id="1420829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85888" behindDoc="0" locked="0" layoutInCell="1" allowOverlap="1" wp14:anchorId="6EC3C9F8" wp14:editId="1A0EA6A9">
            <wp:simplePos x="0" y="0"/>
            <wp:positionH relativeFrom="column">
              <wp:posOffset>1431235</wp:posOffset>
            </wp:positionH>
            <wp:positionV relativeFrom="paragraph">
              <wp:posOffset>5963451</wp:posOffset>
            </wp:positionV>
            <wp:extent cx="400050" cy="323850"/>
            <wp:effectExtent l="0" t="0" r="0" b="0"/>
            <wp:wrapThrough wrapText="bothSides">
              <wp:wrapPolygon edited="0">
                <wp:start x="0" y="0"/>
                <wp:lineTo x="0" y="20329"/>
                <wp:lineTo x="20571" y="20329"/>
                <wp:lineTo x="20571" y="0"/>
                <wp:lineTo x="0" y="0"/>
              </wp:wrapPolygon>
            </wp:wrapThrough>
            <wp:docPr id="149643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14:anchorId="2EF8A238" wp14:editId="07EA1791">
            <wp:simplePos x="0" y="0"/>
            <wp:positionH relativeFrom="column">
              <wp:posOffset>4393096</wp:posOffset>
            </wp:positionH>
            <wp:positionV relativeFrom="paragraph">
              <wp:posOffset>735495</wp:posOffset>
            </wp:positionV>
            <wp:extent cx="400050" cy="323850"/>
            <wp:effectExtent l="0" t="0" r="0" b="0"/>
            <wp:wrapThrough wrapText="bothSides">
              <wp:wrapPolygon edited="0">
                <wp:start x="0" y="0"/>
                <wp:lineTo x="0" y="20329"/>
                <wp:lineTo x="20571" y="20329"/>
                <wp:lineTo x="20571" y="0"/>
                <wp:lineTo x="0" y="0"/>
              </wp:wrapPolygon>
            </wp:wrapThrough>
            <wp:docPr id="1747589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83840" behindDoc="0" locked="0" layoutInCell="1" allowOverlap="1" wp14:anchorId="320F3614" wp14:editId="24959CC3">
            <wp:simplePos x="0" y="0"/>
            <wp:positionH relativeFrom="column">
              <wp:posOffset>1411356</wp:posOffset>
            </wp:positionH>
            <wp:positionV relativeFrom="paragraph">
              <wp:posOffset>2981739</wp:posOffset>
            </wp:positionV>
            <wp:extent cx="400050" cy="323850"/>
            <wp:effectExtent l="0" t="0" r="0" b="0"/>
            <wp:wrapThrough wrapText="bothSides">
              <wp:wrapPolygon edited="0">
                <wp:start x="0" y="0"/>
                <wp:lineTo x="0" y="20329"/>
                <wp:lineTo x="20571" y="20329"/>
                <wp:lineTo x="20571" y="0"/>
                <wp:lineTo x="0" y="0"/>
              </wp:wrapPolygon>
            </wp:wrapThrough>
            <wp:docPr id="321543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sidRPr="0005447E">
        <w:rPr>
          <w:rFonts w:ascii="Times New Roman" w:hAnsi="Times New Roman" w:cs="Times New Roman"/>
          <w:noProof/>
          <w:sz w:val="24"/>
          <w:szCs w:val="24"/>
        </w:rPr>
        <w:drawing>
          <wp:anchor distT="0" distB="0" distL="114300" distR="114300" simplePos="0" relativeHeight="251670528" behindDoc="0" locked="0" layoutInCell="1" allowOverlap="1" wp14:anchorId="3A8A6BCE" wp14:editId="2971BA1D">
            <wp:simplePos x="0" y="0"/>
            <wp:positionH relativeFrom="column">
              <wp:posOffset>3208655</wp:posOffset>
            </wp:positionH>
            <wp:positionV relativeFrom="paragraph">
              <wp:posOffset>3455670</wp:posOffset>
            </wp:positionV>
            <wp:extent cx="2861945" cy="3018790"/>
            <wp:effectExtent l="73978" t="78422" r="126682" b="126683"/>
            <wp:wrapThrough wrapText="bothSides">
              <wp:wrapPolygon edited="0">
                <wp:start x="-592" y="21857"/>
                <wp:lineTo x="-448" y="22129"/>
                <wp:lineTo x="22269" y="22129"/>
                <wp:lineTo x="22412" y="21857"/>
                <wp:lineTo x="22412" y="-498"/>
                <wp:lineTo x="20399" y="-770"/>
                <wp:lineTo x="1852" y="-770"/>
                <wp:lineTo x="-304" y="-498"/>
                <wp:lineTo x="-592" y="-498"/>
                <wp:lineTo x="-592" y="21857"/>
              </wp:wrapPolygon>
            </wp:wrapThrough>
            <wp:docPr id="7" name="Picture 6" descr="A close up of a human teeth&#10;&#10;AI-generated content may be incorrect.">
              <a:extLst xmlns:a="http://schemas.openxmlformats.org/drawingml/2006/main">
                <a:ext uri="{FF2B5EF4-FFF2-40B4-BE49-F238E27FC236}">
                  <a16:creationId xmlns:a16="http://schemas.microsoft.com/office/drawing/2014/main" id="{3DBF6158-BC52-1D3C-C200-61075AAC6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human teeth&#10;&#10;AI-generated content may be incorrect.">
                      <a:extLst>
                        <a:ext uri="{FF2B5EF4-FFF2-40B4-BE49-F238E27FC236}">
                          <a16:creationId xmlns:a16="http://schemas.microsoft.com/office/drawing/2014/main" id="{3DBF6158-BC52-1D3C-C200-61075AAC669E}"/>
                        </a:ext>
                      </a:extLst>
                    </pic:cNvPr>
                    <pic:cNvPicPr>
                      <a:picLocks noChangeAspect="1"/>
                    </pic:cNvPicPr>
                  </pic:nvPicPr>
                  <pic:blipFill>
                    <a:blip r:embed="rId15" cstate="print">
                      <a:extLst>
                        <a:ext uri="{28A0092B-C50C-407E-A947-70E740481C1C}">
                          <a14:useLocalDpi xmlns:a14="http://schemas.microsoft.com/office/drawing/2010/main" val="0"/>
                        </a:ext>
                      </a:extLst>
                    </a:blip>
                    <a:srcRect l="11725" t="4183" r="9262" b="21891"/>
                    <a:stretch/>
                  </pic:blipFill>
                  <pic:spPr>
                    <a:xfrm rot="5400000">
                      <a:off x="0" y="0"/>
                      <a:ext cx="2861945" cy="301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235B">
        <w:rPr>
          <w:rFonts w:ascii="Times New Roman" w:hAnsi="Times New Roman" w:cs="Times New Roman"/>
          <w:noProof/>
          <w:sz w:val="24"/>
          <w:szCs w:val="24"/>
        </w:rPr>
        <w:drawing>
          <wp:anchor distT="0" distB="0" distL="114300" distR="114300" simplePos="0" relativeHeight="251669504" behindDoc="0" locked="0" layoutInCell="1" allowOverlap="1" wp14:anchorId="56A4330C" wp14:editId="75E2EC5A">
            <wp:simplePos x="0" y="0"/>
            <wp:positionH relativeFrom="margin">
              <wp:posOffset>50800</wp:posOffset>
            </wp:positionH>
            <wp:positionV relativeFrom="paragraph">
              <wp:posOffset>3524885</wp:posOffset>
            </wp:positionV>
            <wp:extent cx="2982595" cy="2895600"/>
            <wp:effectExtent l="76200" t="76200" r="141605" b="133350"/>
            <wp:wrapThrough wrapText="bothSides">
              <wp:wrapPolygon edited="0">
                <wp:start x="-276" y="-568"/>
                <wp:lineTo x="-552" y="-426"/>
                <wp:lineTo x="-552" y="21884"/>
                <wp:lineTo x="-276" y="22453"/>
                <wp:lineTo x="22212" y="22453"/>
                <wp:lineTo x="22212" y="22311"/>
                <wp:lineTo x="22488" y="20179"/>
                <wp:lineTo x="22488" y="1847"/>
                <wp:lineTo x="22212" y="-284"/>
                <wp:lineTo x="22212" y="-568"/>
                <wp:lineTo x="-276" y="-568"/>
              </wp:wrapPolygon>
            </wp:wrapThrough>
            <wp:docPr id="6" name="Picture 5">
              <a:extLst xmlns:a="http://schemas.openxmlformats.org/drawingml/2006/main">
                <a:ext uri="{FF2B5EF4-FFF2-40B4-BE49-F238E27FC236}">
                  <a16:creationId xmlns:a16="http://schemas.microsoft.com/office/drawing/2014/main" id="{F1DEE15D-5ACD-E89F-F065-13C2AA20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DEE15D-5ACD-E89F-F065-13C2AA209CC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8259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5FF">
        <w:rPr>
          <w:rFonts w:ascii="Times New Roman" w:hAnsi="Times New Roman" w:cs="Times New Roman"/>
          <w:noProof/>
          <w:sz w:val="24"/>
          <w:szCs w:val="24"/>
        </w:rPr>
        <w:drawing>
          <wp:anchor distT="0" distB="0" distL="114300" distR="114300" simplePos="0" relativeHeight="251667456" behindDoc="0" locked="0" layoutInCell="1" allowOverlap="1" wp14:anchorId="0D6DF2AC" wp14:editId="5E9735A0">
            <wp:simplePos x="0" y="0"/>
            <wp:positionH relativeFrom="margin">
              <wp:posOffset>63500</wp:posOffset>
            </wp:positionH>
            <wp:positionV relativeFrom="paragraph">
              <wp:posOffset>538480</wp:posOffset>
            </wp:positionV>
            <wp:extent cx="2982595" cy="2895600"/>
            <wp:effectExtent l="76200" t="76200" r="141605" b="133350"/>
            <wp:wrapThrough wrapText="bothSides">
              <wp:wrapPolygon edited="0">
                <wp:start x="-276" y="-568"/>
                <wp:lineTo x="-552" y="-426"/>
                <wp:lineTo x="-552" y="21884"/>
                <wp:lineTo x="-276" y="22453"/>
                <wp:lineTo x="22212" y="22453"/>
                <wp:lineTo x="22212" y="22311"/>
                <wp:lineTo x="22488" y="20179"/>
                <wp:lineTo x="22488" y="1847"/>
                <wp:lineTo x="22212" y="-284"/>
                <wp:lineTo x="22212" y="-568"/>
                <wp:lineTo x="-276" y="-568"/>
              </wp:wrapPolygon>
            </wp:wrapThrough>
            <wp:docPr id="1656587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59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5FF">
        <w:rPr>
          <w:rFonts w:ascii="Times New Roman" w:hAnsi="Times New Roman" w:cs="Times New Roman"/>
          <w:noProof/>
          <w:sz w:val="24"/>
          <w:szCs w:val="24"/>
        </w:rPr>
        <w:drawing>
          <wp:anchor distT="0" distB="0" distL="114300" distR="114300" simplePos="0" relativeHeight="251668480" behindDoc="0" locked="0" layoutInCell="1" allowOverlap="1" wp14:anchorId="3036833A" wp14:editId="47CC2BCB">
            <wp:simplePos x="0" y="0"/>
            <wp:positionH relativeFrom="column">
              <wp:posOffset>3124200</wp:posOffset>
            </wp:positionH>
            <wp:positionV relativeFrom="paragraph">
              <wp:posOffset>538480</wp:posOffset>
            </wp:positionV>
            <wp:extent cx="3022600" cy="2895600"/>
            <wp:effectExtent l="76200" t="76200" r="139700" b="133350"/>
            <wp:wrapThrough wrapText="bothSides">
              <wp:wrapPolygon edited="0">
                <wp:start x="-272" y="-568"/>
                <wp:lineTo x="-545" y="-426"/>
                <wp:lineTo x="-545" y="21884"/>
                <wp:lineTo x="-272" y="22453"/>
                <wp:lineTo x="22190" y="22453"/>
                <wp:lineTo x="22190" y="22311"/>
                <wp:lineTo x="22462" y="20179"/>
                <wp:lineTo x="22462" y="1847"/>
                <wp:lineTo x="22190" y="-284"/>
                <wp:lineTo x="22190" y="-568"/>
                <wp:lineTo x="-272" y="-568"/>
              </wp:wrapPolygon>
            </wp:wrapThrough>
            <wp:docPr id="175747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B1CE11" w14:textId="1D5A7F49" w:rsidR="005E4A7A" w:rsidRDefault="00243520" w:rsidP="00B0617A">
      <w:pPr>
        <w:spacing w:line="480" w:lineRule="auto"/>
        <w:jc w:val="both"/>
        <w:rPr>
          <w:rFonts w:ascii="Times New Roman" w:hAnsi="Times New Roman" w:cs="Times New Roman"/>
          <w:sz w:val="24"/>
          <w:szCs w:val="24"/>
        </w:rPr>
      </w:pPr>
      <w:r w:rsidRPr="0062521C">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5E097A7F" wp14:editId="206EEC09">
                <wp:simplePos x="0" y="0"/>
                <wp:positionH relativeFrom="margin">
                  <wp:posOffset>376354</wp:posOffset>
                </wp:positionH>
                <wp:positionV relativeFrom="paragraph">
                  <wp:posOffset>6149206</wp:posOffset>
                </wp:positionV>
                <wp:extent cx="5614670" cy="1034415"/>
                <wp:effectExtent l="0" t="0" r="24130" b="13335"/>
                <wp:wrapSquare wrapText="bothSides"/>
                <wp:docPr id="1862648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034415"/>
                        </a:xfrm>
                        <a:prstGeom prst="rect">
                          <a:avLst/>
                        </a:prstGeom>
                        <a:solidFill>
                          <a:srgbClr val="FFFFFF"/>
                        </a:solidFill>
                        <a:ln w="9525">
                          <a:solidFill>
                            <a:srgbClr val="000000"/>
                          </a:solidFill>
                          <a:miter lim="800000"/>
                          <a:headEnd/>
                          <a:tailEnd/>
                        </a:ln>
                      </wps:spPr>
                      <wps:txbx>
                        <w:txbxContent>
                          <w:p w14:paraId="58B77975" w14:textId="495AE6F6" w:rsidR="00243520" w:rsidRPr="00115E71" w:rsidRDefault="00723447"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E55155">
                              <w:rPr>
                                <w:rFonts w:ascii="Times New Roman" w:hAnsi="Times New Roman" w:cs="Times New Roman"/>
                                <w:b/>
                                <w:bCs/>
                                <w:sz w:val="24"/>
                                <w:szCs w:val="24"/>
                              </w:rPr>
                              <w:t>2</w:t>
                            </w:r>
                            <w:r w:rsidRPr="00115E71">
                              <w:rPr>
                                <w:rFonts w:ascii="Times New Roman" w:hAnsi="Times New Roman" w:cs="Times New Roman"/>
                                <w:b/>
                                <w:bCs/>
                                <w:sz w:val="24"/>
                                <w:szCs w:val="24"/>
                              </w:rPr>
                              <w:t xml:space="preserve"> : OCCLUSAL INTRAORAL PHOTOGRAPHS AND 3D IMAGES CAPTURED WITH THE INTRAORAL SCANNER AT DAY </w:t>
                            </w:r>
                            <w:r>
                              <w:rPr>
                                <w:rFonts w:ascii="Times New Roman" w:hAnsi="Times New Roman" w:cs="Times New Roman"/>
                                <w:b/>
                                <w:bCs/>
                                <w:sz w:val="24"/>
                                <w:szCs w:val="24"/>
                              </w:rPr>
                              <w:t xml:space="preserve">30 </w:t>
                            </w:r>
                            <w:r w:rsidRPr="00115E71">
                              <w:rPr>
                                <w:rFonts w:ascii="Times New Roman" w:hAnsi="Times New Roman" w:cs="Times New Roman"/>
                                <w:b/>
                                <w:bCs/>
                                <w:sz w:val="24"/>
                                <w:szCs w:val="24"/>
                              </w:rPr>
                              <w:t xml:space="preserve"> [A,B- UPPER  AND LOWER ARCH CLINICAL INTRA ORAL PHOTOGRAPH</w:t>
                            </w:r>
                            <w:r>
                              <w:rPr>
                                <w:rFonts w:ascii="Times New Roman" w:hAnsi="Times New Roman" w:cs="Times New Roman"/>
                                <w:b/>
                                <w:bCs/>
                                <w:sz w:val="24"/>
                                <w:szCs w:val="24"/>
                              </w:rPr>
                              <w:t>S</w:t>
                            </w:r>
                            <w:r w:rsidRPr="00115E71">
                              <w:rPr>
                                <w:rFonts w:ascii="Times New Roman" w:hAnsi="Times New Roman" w:cs="Times New Roman"/>
                                <w:b/>
                                <w:bCs/>
                                <w:sz w:val="24"/>
                                <w:szCs w:val="24"/>
                              </w:rPr>
                              <w:t>] [C,D- UPPER AND LOWER ARCH IOS 3D IMAGE</w:t>
                            </w:r>
                            <w:r>
                              <w:rPr>
                                <w:rFonts w:ascii="Times New Roman" w:hAnsi="Times New Roman" w:cs="Times New Roman"/>
                                <w:b/>
                                <w:bCs/>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7A7F" id="_x0000_s1031" type="#_x0000_t202" style="position:absolute;left:0;text-align:left;margin-left:29.65pt;margin-top:484.2pt;width:442.1pt;height:81.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">
                <v:textbox>
                  <w:txbxContent>
                    <w:p w14:paraId="58B77975" w14:textId="495AE6F6" w:rsidR="00243520" w:rsidRPr="00115E71" w:rsidRDefault="00723447"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E55155">
                        <w:rPr>
                          <w:rFonts w:ascii="Times New Roman" w:hAnsi="Times New Roman" w:cs="Times New Roman"/>
                          <w:b/>
                          <w:bCs/>
                          <w:sz w:val="24"/>
                          <w:szCs w:val="24"/>
                        </w:rPr>
                        <w:t>2</w:t>
                      </w:r>
                      <w:r w:rsidRPr="00115E71">
                        <w:rPr>
                          <w:rFonts w:ascii="Times New Roman" w:hAnsi="Times New Roman" w:cs="Times New Roman"/>
                          <w:b/>
                          <w:bCs/>
                          <w:sz w:val="24"/>
                          <w:szCs w:val="24"/>
                        </w:rPr>
                        <w:t xml:space="preserve"> : OCCLUSAL INTRAORAL PHOTOGRAPHS AND 3D IMAGES CAPTURED WITH THE INTRAORAL SCANNER AT DAY </w:t>
                      </w:r>
                      <w:r>
                        <w:rPr>
                          <w:rFonts w:ascii="Times New Roman" w:hAnsi="Times New Roman" w:cs="Times New Roman"/>
                          <w:b/>
                          <w:bCs/>
                          <w:sz w:val="24"/>
                          <w:szCs w:val="24"/>
                        </w:rPr>
                        <w:t xml:space="preserve">30 </w:t>
                      </w:r>
                      <w:r w:rsidRPr="00115E71">
                        <w:rPr>
                          <w:rFonts w:ascii="Times New Roman" w:hAnsi="Times New Roman" w:cs="Times New Roman"/>
                          <w:b/>
                          <w:bCs/>
                          <w:sz w:val="24"/>
                          <w:szCs w:val="24"/>
                        </w:rPr>
                        <w:t xml:space="preserve"> [A,B- UPPER  AND LOWER ARCH CLINICAL INTRA ORAL PHOTOGRAPH</w:t>
                      </w:r>
                      <w:r>
                        <w:rPr>
                          <w:rFonts w:ascii="Times New Roman" w:hAnsi="Times New Roman" w:cs="Times New Roman"/>
                          <w:b/>
                          <w:bCs/>
                          <w:sz w:val="24"/>
                          <w:szCs w:val="24"/>
                        </w:rPr>
                        <w:t>S</w:t>
                      </w:r>
                      <w:r w:rsidRPr="00115E71">
                        <w:rPr>
                          <w:rFonts w:ascii="Times New Roman" w:hAnsi="Times New Roman" w:cs="Times New Roman"/>
                          <w:b/>
                          <w:bCs/>
                          <w:sz w:val="24"/>
                          <w:szCs w:val="24"/>
                        </w:rPr>
                        <w:t>] [C,D- UPPER AND LOWER ARCH IOS 3D IMAGE</w:t>
                      </w:r>
                      <w:r>
                        <w:rPr>
                          <w:rFonts w:ascii="Times New Roman" w:hAnsi="Times New Roman" w:cs="Times New Roman"/>
                          <w:b/>
                          <w:bCs/>
                          <w:sz w:val="24"/>
                          <w:szCs w:val="24"/>
                        </w:rPr>
                        <w:t>S]</w:t>
                      </w:r>
                    </w:p>
                  </w:txbxContent>
                </v:textbox>
                <w10:wrap type="square" anchorx="margin"/>
              </v:shape>
            </w:pict>
          </mc:Fallback>
        </mc:AlternateContent>
      </w:r>
    </w:p>
    <w:p w14:paraId="6B00FA06" w14:textId="6BE077A2" w:rsidR="005E4A7A" w:rsidRDefault="005E4A7A" w:rsidP="00B0617A">
      <w:pPr>
        <w:spacing w:line="480" w:lineRule="auto"/>
        <w:jc w:val="both"/>
        <w:rPr>
          <w:rFonts w:ascii="Times New Roman" w:hAnsi="Times New Roman" w:cs="Times New Roman"/>
          <w:sz w:val="24"/>
          <w:szCs w:val="24"/>
        </w:rPr>
      </w:pPr>
    </w:p>
    <w:p w14:paraId="40970573" w14:textId="22E854A4" w:rsidR="005E4A7A" w:rsidRDefault="005E4A7A" w:rsidP="00B0617A">
      <w:pPr>
        <w:spacing w:line="480" w:lineRule="auto"/>
        <w:jc w:val="both"/>
        <w:rPr>
          <w:rFonts w:ascii="Times New Roman" w:hAnsi="Times New Roman" w:cs="Times New Roman"/>
          <w:sz w:val="24"/>
          <w:szCs w:val="24"/>
        </w:rPr>
      </w:pPr>
    </w:p>
    <w:p w14:paraId="2FB5DD28" w14:textId="74AB1A9E" w:rsidR="00517429" w:rsidRDefault="00517429" w:rsidP="00B0617A">
      <w:pPr>
        <w:spacing w:line="480" w:lineRule="auto"/>
        <w:jc w:val="both"/>
        <w:rPr>
          <w:rFonts w:ascii="Times New Roman" w:hAnsi="Times New Roman" w:cs="Times New Roman"/>
          <w:sz w:val="24"/>
          <w:szCs w:val="24"/>
        </w:rPr>
      </w:pPr>
    </w:p>
    <w:p w14:paraId="274030DF" w14:textId="78E7CAD3" w:rsidR="006D29B7" w:rsidRDefault="006D2A9C" w:rsidP="00B0617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Both the photographs </w:t>
      </w:r>
      <w:proofErr w:type="gramStart"/>
      <w:r>
        <w:rPr>
          <w:rFonts w:ascii="Times New Roman" w:hAnsi="Times New Roman" w:cs="Times New Roman"/>
          <w:sz w:val="24"/>
          <w:szCs w:val="24"/>
        </w:rPr>
        <w:t xml:space="preserve">were </w:t>
      </w:r>
      <w:r w:rsidR="00527B6F" w:rsidRPr="00CE3CB8">
        <w:rPr>
          <w:rFonts w:ascii="Times New Roman" w:hAnsi="Times New Roman" w:cs="Times New Roman"/>
          <w:sz w:val="24"/>
          <w:szCs w:val="24"/>
        </w:rPr>
        <w:t xml:space="preserve"> scored</w:t>
      </w:r>
      <w:proofErr w:type="gramEnd"/>
      <w:r w:rsidR="00527B6F" w:rsidRPr="00CE3CB8">
        <w:rPr>
          <w:rFonts w:ascii="Times New Roman" w:hAnsi="Times New Roman" w:cs="Times New Roman"/>
          <w:sz w:val="24"/>
          <w:szCs w:val="24"/>
        </w:rPr>
        <w:t xml:space="preserve"> using Scott’s Index</w:t>
      </w:r>
      <w:r w:rsidR="00332E83">
        <w:rPr>
          <w:rFonts w:ascii="Times New Roman" w:hAnsi="Times New Roman" w:cs="Times New Roman"/>
          <w:sz w:val="24"/>
          <w:szCs w:val="24"/>
          <w:vertAlign w:val="superscript"/>
        </w:rPr>
        <w:t>6</w:t>
      </w:r>
      <w:r w:rsidR="00527B6F" w:rsidRPr="00CE3CB8">
        <w:rPr>
          <w:rFonts w:ascii="Times New Roman" w:hAnsi="Times New Roman" w:cs="Times New Roman"/>
          <w:sz w:val="24"/>
          <w:szCs w:val="24"/>
        </w:rPr>
        <w:t xml:space="preserve"> (0 </w:t>
      </w:r>
      <w:r w:rsidR="00C77DFC">
        <w:rPr>
          <w:rFonts w:ascii="Times New Roman" w:hAnsi="Times New Roman" w:cs="Times New Roman"/>
          <w:sz w:val="24"/>
          <w:szCs w:val="24"/>
        </w:rPr>
        <w:t>to 10)</w:t>
      </w:r>
      <w:r w:rsidR="005E4A7A">
        <w:rPr>
          <w:rFonts w:ascii="Times New Roman" w:hAnsi="Times New Roman" w:cs="Times New Roman"/>
          <w:sz w:val="24"/>
          <w:szCs w:val="24"/>
        </w:rPr>
        <w:t xml:space="preserve"> by the examiner 1 and examiner 2</w:t>
      </w:r>
    </w:p>
    <w:p w14:paraId="26F74434" w14:textId="7D49C380" w:rsidR="00202107" w:rsidRDefault="00B0617A" w:rsidP="00CE3CB8">
      <w:pPr>
        <w:spacing w:line="480" w:lineRule="auto"/>
        <w:ind w:firstLine="720"/>
        <w:jc w:val="both"/>
        <w:rPr>
          <w:rFonts w:ascii="Times New Roman" w:hAnsi="Times New Roman" w:cs="Times New Roman"/>
          <w:sz w:val="24"/>
          <w:szCs w:val="24"/>
        </w:rPr>
      </w:pPr>
      <w:r>
        <w:rPr>
          <w:noProof/>
        </w:rPr>
        <mc:AlternateContent>
          <mc:Choice Requires="wps">
            <w:drawing>
              <wp:inline distT="0" distB="0" distL="0" distR="0" wp14:anchorId="64772A58" wp14:editId="0C06ADBB">
                <wp:extent cx="304800" cy="304800"/>
                <wp:effectExtent l="0" t="0" r="0" b="0"/>
                <wp:docPr id="153194025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FAF47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7BA512" w14:textId="03A80EA8" w:rsidR="00202107" w:rsidRDefault="007C5C53" w:rsidP="00CE3CB8">
      <w:pPr>
        <w:spacing w:line="480" w:lineRule="auto"/>
        <w:ind w:firstLine="720"/>
        <w:jc w:val="both"/>
        <w:rPr>
          <w:rFonts w:ascii="Times New Roman" w:hAnsi="Times New Roman" w:cs="Times New Roman"/>
          <w:sz w:val="24"/>
          <w:szCs w:val="24"/>
        </w:rPr>
      </w:pPr>
      <w:r w:rsidRPr="00243520">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66F8F52C" wp14:editId="3701EAA8">
                <wp:simplePos x="0" y="0"/>
                <wp:positionH relativeFrom="margin">
                  <wp:align>center</wp:align>
                </wp:positionH>
                <wp:positionV relativeFrom="paragraph">
                  <wp:posOffset>6761881</wp:posOffset>
                </wp:positionV>
                <wp:extent cx="4539615" cy="1404620"/>
                <wp:effectExtent l="0" t="0" r="13335" b="13970"/>
                <wp:wrapThrough wrapText="bothSides">
                  <wp:wrapPolygon edited="0">
                    <wp:start x="0" y="0"/>
                    <wp:lineTo x="0" y="21316"/>
                    <wp:lineTo x="21573" y="21316"/>
                    <wp:lineTo x="21573" y="0"/>
                    <wp:lineTo x="0" y="0"/>
                  </wp:wrapPolygon>
                </wp:wrapThrough>
                <wp:docPr id="87571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404620"/>
                        </a:xfrm>
                        <a:prstGeom prst="rect">
                          <a:avLst/>
                        </a:prstGeom>
                        <a:solidFill>
                          <a:srgbClr val="FFFFFF"/>
                        </a:solidFill>
                        <a:ln w="9525">
                          <a:solidFill>
                            <a:srgbClr val="000000"/>
                          </a:solidFill>
                          <a:miter lim="800000"/>
                          <a:headEnd/>
                          <a:tailEnd/>
                        </a:ln>
                      </wps:spPr>
                      <wps:txbx>
                        <w:txbxContent>
                          <w:p w14:paraId="259BF622" w14:textId="652708F4" w:rsidR="00243520" w:rsidRPr="00723447" w:rsidRDefault="00723447" w:rsidP="007C5C53">
                            <w:pPr>
                              <w:rPr>
                                <w:rFonts w:ascii="Times New Roman" w:hAnsi="Times New Roman" w:cs="Times New Roman"/>
                                <w:b/>
                                <w:bCs/>
                                <w:sz w:val="24"/>
                                <w:szCs w:val="24"/>
                              </w:rPr>
                            </w:pPr>
                            <w:r w:rsidRPr="00723447">
                              <w:rPr>
                                <w:rFonts w:ascii="Times New Roman" w:hAnsi="Times New Roman" w:cs="Times New Roman"/>
                                <w:b/>
                                <w:bCs/>
                                <w:sz w:val="24"/>
                                <w:szCs w:val="24"/>
                              </w:rPr>
                              <w:t>FIG.3 :  DENTAL WEAR SCORING TECHNIQUE- BASED ON SCOTT E.C</w:t>
                            </w:r>
                            <w:r w:rsidR="0049787C">
                              <w:rPr>
                                <w:rFonts w:ascii="Times New Roman" w:hAnsi="Times New Roman" w:cs="Times New Roman"/>
                                <w:b/>
                                <w:bCs/>
                                <w:sz w:val="24"/>
                                <w:szCs w:val="24"/>
                              </w:rPr>
                              <w:t xml:space="preserve"> et al</w:t>
                            </w:r>
                            <w:r w:rsidRPr="00723447">
                              <w:rPr>
                                <w:rFonts w:ascii="Times New Roman" w:hAnsi="Times New Roman" w:cs="Times New Roman"/>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8F52C" id="_x0000_s1032" type="#_x0000_t202" style="position:absolute;left:0;text-align:left;margin-left:0;margin-top:532.45pt;width:357.45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">
                <v:textbox style="mso-fit-shape-to-text:t">
                  <w:txbxContent>
                    <w:p w14:paraId="259BF622" w14:textId="652708F4" w:rsidR="00243520" w:rsidRPr="00723447" w:rsidRDefault="00723447" w:rsidP="007C5C53">
                      <w:pPr>
                        <w:rPr>
                          <w:rFonts w:ascii="Times New Roman" w:hAnsi="Times New Roman" w:cs="Times New Roman"/>
                          <w:b/>
                          <w:bCs/>
                          <w:sz w:val="24"/>
                          <w:szCs w:val="24"/>
                        </w:rPr>
                      </w:pPr>
                      <w:r w:rsidRPr="00723447">
                        <w:rPr>
                          <w:rFonts w:ascii="Times New Roman" w:hAnsi="Times New Roman" w:cs="Times New Roman"/>
                          <w:b/>
                          <w:bCs/>
                          <w:sz w:val="24"/>
                          <w:szCs w:val="24"/>
                        </w:rPr>
                        <w:t>FIG.</w:t>
                      </w:r>
                      <w:r w:rsidRPr="00723447">
                        <w:rPr>
                          <w:rFonts w:ascii="Times New Roman" w:hAnsi="Times New Roman" w:cs="Times New Roman"/>
                          <w:b/>
                          <w:bCs/>
                          <w:sz w:val="24"/>
                          <w:szCs w:val="24"/>
                        </w:rPr>
                        <w:t>3 :  DENTAL WEAR SCORING TECHNIQUE- BASED ON SCOTT E.C</w:t>
                      </w:r>
                      <w:r w:rsidR="0049787C">
                        <w:rPr>
                          <w:rFonts w:ascii="Times New Roman" w:hAnsi="Times New Roman" w:cs="Times New Roman"/>
                          <w:b/>
                          <w:bCs/>
                          <w:sz w:val="24"/>
                          <w:szCs w:val="24"/>
                        </w:rPr>
                        <w:t xml:space="preserve"> et al</w:t>
                      </w:r>
                      <w:r w:rsidRPr="00723447">
                        <w:rPr>
                          <w:rFonts w:ascii="Times New Roman" w:hAnsi="Times New Roman" w:cs="Times New Roman"/>
                          <w:b/>
                          <w:bCs/>
                          <w:sz w:val="24"/>
                          <w:szCs w:val="24"/>
                        </w:rPr>
                        <w:t>.</w:t>
                      </w:r>
                    </w:p>
                  </w:txbxContent>
                </v:textbox>
                <w10:wrap type="through" anchorx="margin"/>
              </v:shape>
            </w:pict>
          </mc:Fallback>
        </mc:AlternateContent>
      </w:r>
      <w:r w:rsidR="00F13911">
        <w:rPr>
          <w:rFonts w:ascii="Times New Roman" w:hAnsi="Times New Roman" w:cs="Times New Roman"/>
          <w:noProof/>
          <w:sz w:val="24"/>
          <w:szCs w:val="24"/>
        </w:rPr>
        <w:drawing>
          <wp:anchor distT="0" distB="0" distL="114300" distR="114300" simplePos="0" relativeHeight="251661312" behindDoc="0" locked="0" layoutInCell="1" allowOverlap="1" wp14:anchorId="3A88D3C9" wp14:editId="5C1118CD">
            <wp:simplePos x="0" y="0"/>
            <wp:positionH relativeFrom="page">
              <wp:posOffset>3765550</wp:posOffset>
            </wp:positionH>
            <wp:positionV relativeFrom="paragraph">
              <wp:posOffset>260985</wp:posOffset>
            </wp:positionV>
            <wp:extent cx="3556635" cy="6410960"/>
            <wp:effectExtent l="76200" t="76200" r="139065" b="142240"/>
            <wp:wrapThrough wrapText="bothSides">
              <wp:wrapPolygon edited="0">
                <wp:start x="-231" y="-257"/>
                <wp:lineTo x="-463" y="-193"/>
                <wp:lineTo x="-463" y="21758"/>
                <wp:lineTo x="-231" y="22015"/>
                <wp:lineTo x="22097" y="22015"/>
                <wp:lineTo x="22329" y="21437"/>
                <wp:lineTo x="22329" y="834"/>
                <wp:lineTo x="22097" y="-128"/>
                <wp:lineTo x="22097" y="-257"/>
                <wp:lineTo x="-231" y="-257"/>
              </wp:wrapPolygon>
            </wp:wrapThrough>
            <wp:docPr id="29788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68" t="5759" r="16601" b="7593"/>
                    <a:stretch/>
                  </pic:blipFill>
                  <pic:spPr bwMode="auto">
                    <a:xfrm>
                      <a:off x="0" y="0"/>
                      <a:ext cx="3556635" cy="64109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DFC">
        <w:rPr>
          <w:rFonts w:ascii="Times New Roman" w:hAnsi="Times New Roman" w:cs="Times New Roman"/>
          <w:noProof/>
          <w:sz w:val="24"/>
          <w:szCs w:val="24"/>
        </w:rPr>
        <w:drawing>
          <wp:anchor distT="0" distB="0" distL="114300" distR="114300" simplePos="0" relativeHeight="251662336" behindDoc="0" locked="0" layoutInCell="1" allowOverlap="1" wp14:anchorId="06C7D49E" wp14:editId="208A6237">
            <wp:simplePos x="0" y="0"/>
            <wp:positionH relativeFrom="page">
              <wp:align>left</wp:align>
            </wp:positionH>
            <wp:positionV relativeFrom="paragraph">
              <wp:posOffset>258658</wp:posOffset>
            </wp:positionV>
            <wp:extent cx="3616960" cy="6410960"/>
            <wp:effectExtent l="76200" t="76200" r="135890" b="142240"/>
            <wp:wrapThrough wrapText="bothSides">
              <wp:wrapPolygon edited="0">
                <wp:start x="-228" y="-257"/>
                <wp:lineTo x="-455" y="-193"/>
                <wp:lineTo x="-455" y="21758"/>
                <wp:lineTo x="-228" y="22015"/>
                <wp:lineTo x="22070" y="22015"/>
                <wp:lineTo x="22298" y="21437"/>
                <wp:lineTo x="22298" y="834"/>
                <wp:lineTo x="22070" y="-128"/>
                <wp:lineTo x="22070" y="-257"/>
                <wp:lineTo x="-228" y="-257"/>
              </wp:wrapPolygon>
            </wp:wrapThrough>
            <wp:docPr id="207319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87" t="5730" r="11186" b="5071"/>
                    <a:stretch/>
                  </pic:blipFill>
                  <pic:spPr bwMode="auto">
                    <a:xfrm>
                      <a:off x="0" y="0"/>
                      <a:ext cx="3616960" cy="641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35EB2" w14:textId="75E40A0E" w:rsidR="005E4A7A" w:rsidRDefault="005E4A7A" w:rsidP="005E4A7A">
      <w:pPr>
        <w:spacing w:line="480" w:lineRule="auto"/>
        <w:jc w:val="both"/>
        <w:rPr>
          <w:rFonts w:ascii="Times New Roman" w:hAnsi="Times New Roman" w:cs="Times New Roman"/>
          <w:sz w:val="24"/>
          <w:szCs w:val="24"/>
        </w:rPr>
      </w:pPr>
    </w:p>
    <w:p w14:paraId="5BCD792E" w14:textId="7BEE7FDA" w:rsidR="006D29B7" w:rsidRDefault="00CE3CB8" w:rsidP="005E4A7A">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lastRenderedPageBreak/>
        <w:t xml:space="preserve">The standardized assessment workflow included baseline assessments (Day </w:t>
      </w:r>
      <w:r w:rsidR="00817DB2">
        <w:rPr>
          <w:rFonts w:ascii="Times New Roman" w:hAnsi="Times New Roman" w:cs="Times New Roman"/>
          <w:sz w:val="24"/>
          <w:szCs w:val="24"/>
        </w:rPr>
        <w:t>1</w:t>
      </w:r>
      <w:r w:rsidRPr="00CE3CB8">
        <w:rPr>
          <w:rFonts w:ascii="Times New Roman" w:hAnsi="Times New Roman" w:cs="Times New Roman"/>
          <w:sz w:val="24"/>
          <w:szCs w:val="24"/>
        </w:rPr>
        <w:t>) with simultaneous clinical photos and IOS scans independently scored by two examiners, and follow-up assessments (Day 30) under identical conditions to test intra-examiner reliability. Primary outcomes included inter-method agreement (IOS</w:t>
      </w:r>
      <w:r w:rsidR="00E54876">
        <w:rPr>
          <w:rFonts w:ascii="Times New Roman" w:hAnsi="Times New Roman" w:cs="Times New Roman"/>
          <w:sz w:val="24"/>
          <w:szCs w:val="24"/>
        </w:rPr>
        <w:t xml:space="preserve"> photo</w:t>
      </w:r>
      <w:r w:rsidR="00885C2B">
        <w:rPr>
          <w:rFonts w:ascii="Times New Roman" w:hAnsi="Times New Roman" w:cs="Times New Roman"/>
          <w:sz w:val="24"/>
          <w:szCs w:val="24"/>
        </w:rPr>
        <w:t>graphs</w:t>
      </w:r>
      <w:r w:rsidRPr="00CE3CB8">
        <w:rPr>
          <w:rFonts w:ascii="Times New Roman" w:hAnsi="Times New Roman" w:cs="Times New Roman"/>
          <w:sz w:val="24"/>
          <w:szCs w:val="24"/>
        </w:rPr>
        <w:t xml:space="preserve"> vs</w:t>
      </w:r>
      <w:r w:rsidR="00885C2B">
        <w:rPr>
          <w:rFonts w:ascii="Times New Roman" w:hAnsi="Times New Roman" w:cs="Times New Roman"/>
          <w:sz w:val="24"/>
          <w:szCs w:val="24"/>
        </w:rPr>
        <w:t xml:space="preserve"> </w:t>
      </w:r>
      <w:proofErr w:type="gramStart"/>
      <w:r w:rsidR="00885C2B">
        <w:rPr>
          <w:rFonts w:ascii="Times New Roman" w:hAnsi="Times New Roman" w:cs="Times New Roman"/>
          <w:sz w:val="24"/>
          <w:szCs w:val="24"/>
        </w:rPr>
        <w:t xml:space="preserve">clinical </w:t>
      </w:r>
      <w:r w:rsidRPr="00CE3CB8">
        <w:rPr>
          <w:rFonts w:ascii="Times New Roman" w:hAnsi="Times New Roman" w:cs="Times New Roman"/>
          <w:sz w:val="24"/>
          <w:szCs w:val="24"/>
        </w:rPr>
        <w:t xml:space="preserve"> photography</w:t>
      </w:r>
      <w:proofErr w:type="gramEnd"/>
      <w:r w:rsidRPr="00CE3CB8">
        <w:rPr>
          <w:rFonts w:ascii="Times New Roman" w:hAnsi="Times New Roman" w:cs="Times New Roman"/>
          <w:sz w:val="24"/>
          <w:szCs w:val="24"/>
        </w:rPr>
        <w:t xml:space="preserve">) and inter-/intra-examiner reliability, while secondary outcomes were time efficiency (minutes per assessment) and patient preference (VAS scale: 1–10). </w:t>
      </w:r>
    </w:p>
    <w:p w14:paraId="5162F485" w14:textId="086C816B" w:rsidR="00CE3CB8" w:rsidRDefault="00607283" w:rsidP="009459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Numerical </w:t>
      </w:r>
      <w:r w:rsidR="00CE3CB8" w:rsidRPr="00CE3CB8">
        <w:rPr>
          <w:rFonts w:ascii="Times New Roman" w:hAnsi="Times New Roman" w:cs="Times New Roman"/>
          <w:sz w:val="24"/>
          <w:szCs w:val="24"/>
        </w:rPr>
        <w:t xml:space="preserve">Data were </w:t>
      </w:r>
      <w:r w:rsidR="008F4BE7">
        <w:rPr>
          <w:rFonts w:ascii="Times New Roman" w:hAnsi="Times New Roman" w:cs="Times New Roman"/>
          <w:sz w:val="24"/>
          <w:szCs w:val="24"/>
        </w:rPr>
        <w:t>collected</w:t>
      </w:r>
      <w:r w:rsidR="00A202D8">
        <w:rPr>
          <w:rFonts w:ascii="Times New Roman" w:hAnsi="Times New Roman" w:cs="Times New Roman"/>
          <w:sz w:val="24"/>
          <w:szCs w:val="24"/>
        </w:rPr>
        <w:t xml:space="preserve"> </w:t>
      </w:r>
      <w:proofErr w:type="gramStart"/>
      <w:r w:rsidR="00A202D8">
        <w:rPr>
          <w:rFonts w:ascii="Times New Roman" w:hAnsi="Times New Roman" w:cs="Times New Roman"/>
          <w:sz w:val="24"/>
          <w:szCs w:val="24"/>
        </w:rPr>
        <w:t xml:space="preserve">and </w:t>
      </w:r>
      <w:r w:rsidR="00CE3CB8" w:rsidRPr="00CE3CB8">
        <w:rPr>
          <w:rFonts w:ascii="Times New Roman" w:hAnsi="Times New Roman" w:cs="Times New Roman"/>
          <w:sz w:val="24"/>
          <w:szCs w:val="24"/>
        </w:rPr>
        <w:t xml:space="preserve"> digital</w:t>
      </w:r>
      <w:proofErr w:type="gramEnd"/>
      <w:r w:rsidR="00CE3CB8" w:rsidRPr="00CE3CB8">
        <w:rPr>
          <w:rFonts w:ascii="Times New Roman" w:hAnsi="Times New Roman" w:cs="Times New Roman"/>
          <w:sz w:val="24"/>
          <w:szCs w:val="24"/>
        </w:rPr>
        <w:t xml:space="preserve"> scans stored as STL files for blinded re-evaluation. Statistical analysis using SPSS v28 (IBM) included weighted Cohen’s κ for inter-/intra-examiner agreement, Intraclass Correlation Coefficient (ICC) for continuous variables, Friedman test for non-parametric data, Bland-Altman plots to assess bias between methods, and subgroup analysis of wear severity (mild/moderate/severe) by tooth type, with thresholds of κ &gt; 0.6 for substantial agreement and p &lt; 0.05 for significance. Quality control measures included blinding (examiners masked to each other’s scores), environmental controls (ambient temperature: 22–24°C, humidity: 40–60%), and weekly Primes</w:t>
      </w:r>
      <w:r w:rsidR="00704907">
        <w:rPr>
          <w:rFonts w:ascii="Times New Roman" w:hAnsi="Times New Roman" w:cs="Times New Roman"/>
          <w:sz w:val="24"/>
          <w:szCs w:val="24"/>
        </w:rPr>
        <w:t xml:space="preserve"> </w:t>
      </w:r>
      <w:r w:rsidR="00CE3CB8" w:rsidRPr="00CE3CB8">
        <w:rPr>
          <w:rFonts w:ascii="Times New Roman" w:hAnsi="Times New Roman" w:cs="Times New Roman"/>
          <w:sz w:val="24"/>
          <w:szCs w:val="24"/>
        </w:rPr>
        <w:t xml:space="preserve">can calibration per manufacturer guidelines. Ethical considerations included institutional approval, no financial incentives, and participant freedom to withdraw without affecting treatment. </w:t>
      </w:r>
    </w:p>
    <w:p w14:paraId="0D6A3AB4" w14:textId="77777777" w:rsidR="000D24BA" w:rsidRDefault="000D24BA" w:rsidP="0036414E">
      <w:pPr>
        <w:spacing w:line="480" w:lineRule="auto"/>
        <w:jc w:val="both"/>
        <w:rPr>
          <w:rFonts w:ascii="Times New Roman" w:hAnsi="Times New Roman" w:cs="Times New Roman"/>
          <w:sz w:val="24"/>
          <w:szCs w:val="24"/>
        </w:rPr>
      </w:pPr>
    </w:p>
    <w:p w14:paraId="1AC5D4E1" w14:textId="77777777" w:rsidR="000D24BA" w:rsidRDefault="000D24BA" w:rsidP="0036414E">
      <w:pPr>
        <w:spacing w:line="480" w:lineRule="auto"/>
        <w:jc w:val="both"/>
        <w:rPr>
          <w:rFonts w:ascii="Times New Roman" w:hAnsi="Times New Roman" w:cs="Times New Roman"/>
          <w:sz w:val="24"/>
          <w:szCs w:val="24"/>
        </w:rPr>
      </w:pPr>
    </w:p>
    <w:p w14:paraId="282F23E2" w14:textId="1419C3F7" w:rsidR="0036414E" w:rsidRDefault="000D24BA" w:rsidP="0036414E">
      <w:pPr>
        <w:spacing w:line="480" w:lineRule="auto"/>
        <w:jc w:val="both"/>
        <w:rPr>
          <w:rFonts w:ascii="Times New Roman" w:hAnsi="Times New Roman" w:cs="Times New Roman"/>
          <w:b/>
          <w:bCs/>
          <w:sz w:val="24"/>
          <w:szCs w:val="24"/>
        </w:rPr>
      </w:pPr>
      <w:proofErr w:type="gramStart"/>
      <w:r w:rsidRPr="0036414E">
        <w:rPr>
          <w:rFonts w:ascii="Times New Roman" w:hAnsi="Times New Roman" w:cs="Times New Roman"/>
          <w:b/>
          <w:bCs/>
          <w:sz w:val="24"/>
          <w:szCs w:val="24"/>
        </w:rPr>
        <w:t>R</w:t>
      </w:r>
      <w:r>
        <w:rPr>
          <w:rFonts w:ascii="Times New Roman" w:hAnsi="Times New Roman" w:cs="Times New Roman"/>
          <w:b/>
          <w:bCs/>
          <w:sz w:val="24"/>
          <w:szCs w:val="24"/>
        </w:rPr>
        <w:t>ESULTS</w:t>
      </w:r>
      <w:r w:rsidRPr="0036414E">
        <w:rPr>
          <w:rFonts w:ascii="Times New Roman" w:hAnsi="Times New Roman" w:cs="Times New Roman"/>
          <w:b/>
          <w:bCs/>
          <w:sz w:val="24"/>
          <w:szCs w:val="24"/>
        </w:rPr>
        <w:t xml:space="preserve"> :</w:t>
      </w:r>
      <w:proofErr w:type="gramEnd"/>
    </w:p>
    <w:p w14:paraId="137BF5DE" w14:textId="2C85CCD5" w:rsidR="00466AFD" w:rsidRDefault="00F730F1" w:rsidP="00CE3CB8">
      <w:pPr>
        <w:spacing w:line="480" w:lineRule="auto"/>
        <w:ind w:firstLine="720"/>
        <w:jc w:val="both"/>
        <w:rPr>
          <w:rFonts w:ascii="Times New Roman" w:hAnsi="Times New Roman" w:cs="Times New Roman"/>
          <w:sz w:val="24"/>
          <w:szCs w:val="24"/>
        </w:rPr>
      </w:pPr>
      <w:r w:rsidRPr="00F730F1">
        <w:rPr>
          <w:rFonts w:ascii="Times New Roman" w:hAnsi="Times New Roman" w:cs="Times New Roman"/>
          <w:sz w:val="24"/>
          <w:szCs w:val="24"/>
        </w:rPr>
        <w:t xml:space="preserve">This study's findings demonstrate strong reliability for both conventional photography and digital scanning in occlusal tooth wear assessment, with substantial inter-examiner agreement at initial evaluation (Day 1: κ=0.76, 88% agreement) and follow-up (Day 30: κ=0.70, 84% agreement). Quantitative analysis revealed no significant differences between examiners' mean wear scores (Day 1: 2.12±1.24 vs 2.20±1.19, p=0.80; Day 30: 2.28±1.19 vs </w:t>
      </w:r>
      <w:r w:rsidRPr="00F730F1">
        <w:rPr>
          <w:rFonts w:ascii="Times New Roman" w:hAnsi="Times New Roman" w:cs="Times New Roman"/>
          <w:sz w:val="24"/>
          <w:szCs w:val="24"/>
        </w:rPr>
        <w:lastRenderedPageBreak/>
        <w:t>2.24±1.08, p=0.90), confirming scoring consistency. The Friedman test (χ²=1.48, p=0.686) validated method stability across all assessment conditions, while standard deviations (±1.08 to ±1.24) indicated appropriate representation of wear severity distribution. The digital approach matched conventional photography's reliability while offering additional advantages including precise 3D measurements (5μm accuracy with Prime</w:t>
      </w:r>
      <w:r w:rsidR="00704907">
        <w:rPr>
          <w:rFonts w:ascii="Times New Roman" w:hAnsi="Times New Roman" w:cs="Times New Roman"/>
          <w:sz w:val="24"/>
          <w:szCs w:val="24"/>
        </w:rPr>
        <w:t xml:space="preserve"> </w:t>
      </w:r>
      <w:r w:rsidRPr="00F730F1">
        <w:rPr>
          <w:rFonts w:ascii="Times New Roman" w:hAnsi="Times New Roman" w:cs="Times New Roman"/>
          <w:sz w:val="24"/>
          <w:szCs w:val="24"/>
        </w:rPr>
        <w:t xml:space="preserve">scan IOS) and efficient digital archiving. Methodological rigor - including standardized photography protocols (Canon EOS 90D DSLR with 100mm macro lens), weekly scanner calibration, and comprehensive </w:t>
      </w:r>
      <w:proofErr w:type="gramStart"/>
      <w:r w:rsidRPr="00F730F1">
        <w:rPr>
          <w:rFonts w:ascii="Times New Roman" w:hAnsi="Times New Roman" w:cs="Times New Roman"/>
          <w:sz w:val="24"/>
          <w:szCs w:val="24"/>
        </w:rPr>
        <w:t xml:space="preserve">examiner </w:t>
      </w:r>
      <w:r w:rsidR="008557B8">
        <w:rPr>
          <w:rFonts w:ascii="Times New Roman" w:hAnsi="Times New Roman" w:cs="Times New Roman"/>
          <w:sz w:val="24"/>
          <w:szCs w:val="24"/>
        </w:rPr>
        <w:t xml:space="preserve"> </w:t>
      </w:r>
      <w:r w:rsidRPr="00F730F1">
        <w:rPr>
          <w:rFonts w:ascii="Times New Roman" w:hAnsi="Times New Roman" w:cs="Times New Roman"/>
          <w:sz w:val="24"/>
          <w:szCs w:val="24"/>
        </w:rPr>
        <w:t>training</w:t>
      </w:r>
      <w:proofErr w:type="gramEnd"/>
      <w:r w:rsidRPr="00F730F1">
        <w:rPr>
          <w:rFonts w:ascii="Times New Roman" w:hAnsi="Times New Roman" w:cs="Times New Roman"/>
          <w:sz w:val="24"/>
          <w:szCs w:val="24"/>
        </w:rPr>
        <w:t xml:space="preserve"> - contributed to these robust outcomes. </w:t>
      </w:r>
    </w:p>
    <w:p w14:paraId="502C726A" w14:textId="7128329A" w:rsidR="000D6B2C" w:rsidRPr="00B83EFF" w:rsidRDefault="008557B8" w:rsidP="00B83EFF">
      <w:pPr>
        <w:rPr>
          <w:rFonts w:ascii="Times New Roman" w:hAnsi="Times New Roman" w:cs="Times New Roman"/>
          <w:b/>
          <w:bCs/>
          <w:sz w:val="24"/>
          <w:szCs w:val="24"/>
        </w:rPr>
      </w:pPr>
      <w:r>
        <w:rPr>
          <w:rFonts w:ascii="Times New Roman" w:hAnsi="Times New Roman" w:cs="Times New Roman"/>
          <w:b/>
          <w:bCs/>
          <w:sz w:val="24"/>
          <w:szCs w:val="24"/>
        </w:rPr>
        <w:t xml:space="preserve">                </w:t>
      </w:r>
      <w:r w:rsidR="00B83EFF" w:rsidRPr="00417EE4">
        <w:rPr>
          <w:rFonts w:ascii="Times New Roman" w:hAnsi="Times New Roman" w:cs="Times New Roman"/>
          <w:b/>
          <w:bCs/>
          <w:sz w:val="24"/>
          <w:szCs w:val="24"/>
        </w:rPr>
        <w:t xml:space="preserve">Table </w:t>
      </w:r>
      <w:proofErr w:type="gramStart"/>
      <w:r w:rsidR="00B83EFF" w:rsidRPr="00417EE4">
        <w:rPr>
          <w:rFonts w:ascii="Times New Roman" w:hAnsi="Times New Roman" w:cs="Times New Roman"/>
          <w:b/>
          <w:bCs/>
          <w:sz w:val="24"/>
          <w:szCs w:val="24"/>
        </w:rPr>
        <w:t>1</w:t>
      </w:r>
      <w:r w:rsidR="0049787C">
        <w:rPr>
          <w:rFonts w:ascii="Times New Roman" w:hAnsi="Times New Roman" w:cs="Times New Roman"/>
          <w:b/>
          <w:bCs/>
          <w:sz w:val="24"/>
          <w:szCs w:val="24"/>
        </w:rPr>
        <w:t xml:space="preserve"> :</w:t>
      </w:r>
      <w:proofErr w:type="gramEnd"/>
      <w:r w:rsidR="0049787C">
        <w:rPr>
          <w:rFonts w:ascii="Times New Roman" w:hAnsi="Times New Roman" w:cs="Times New Roman"/>
          <w:b/>
          <w:bCs/>
          <w:sz w:val="24"/>
          <w:szCs w:val="24"/>
        </w:rPr>
        <w:t xml:space="preserve"> </w:t>
      </w:r>
      <w:r w:rsidR="00B83EFF" w:rsidRPr="00417EE4">
        <w:rPr>
          <w:rFonts w:ascii="Times New Roman" w:hAnsi="Times New Roman" w:cs="Times New Roman"/>
          <w:b/>
          <w:bCs/>
          <w:sz w:val="24"/>
          <w:szCs w:val="24"/>
        </w:rPr>
        <w:t xml:space="preserve">represents the </w:t>
      </w:r>
      <w:r w:rsidR="00B83EFF">
        <w:rPr>
          <w:rFonts w:ascii="Times New Roman" w:hAnsi="Times New Roman" w:cs="Times New Roman"/>
          <w:b/>
          <w:bCs/>
          <w:sz w:val="24"/>
          <w:szCs w:val="24"/>
        </w:rPr>
        <w:t>inter-examiner</w:t>
      </w:r>
      <w:r w:rsidR="00B83EFF" w:rsidRPr="00417EE4">
        <w:rPr>
          <w:rFonts w:ascii="Times New Roman" w:hAnsi="Times New Roman" w:cs="Times New Roman"/>
          <w:b/>
          <w:bCs/>
          <w:sz w:val="24"/>
          <w:szCs w:val="24"/>
        </w:rPr>
        <w:t xml:space="preserve"> </w:t>
      </w:r>
      <w:r w:rsidR="00B83EFF">
        <w:rPr>
          <w:rFonts w:ascii="Times New Roman" w:hAnsi="Times New Roman" w:cs="Times New Roman"/>
          <w:b/>
          <w:bCs/>
          <w:sz w:val="24"/>
          <w:szCs w:val="24"/>
        </w:rPr>
        <w:t>reliability</w:t>
      </w:r>
      <w:r w:rsidR="00B83EFF" w:rsidRPr="00417EE4">
        <w:rPr>
          <w:rFonts w:ascii="Times New Roman" w:hAnsi="Times New Roman" w:cs="Times New Roman"/>
          <w:b/>
          <w:bCs/>
          <w:sz w:val="24"/>
          <w:szCs w:val="24"/>
        </w:rPr>
        <w:t xml:space="preserve"> </w:t>
      </w:r>
      <w:r w:rsidR="00B83EFF">
        <w:rPr>
          <w:rFonts w:ascii="Times New Roman" w:hAnsi="Times New Roman" w:cs="Times New Roman"/>
          <w:b/>
          <w:bCs/>
          <w:sz w:val="24"/>
          <w:szCs w:val="24"/>
        </w:rPr>
        <w:t xml:space="preserve">using kappa statistics </w:t>
      </w:r>
      <w:r w:rsidR="00EA7116">
        <w:rPr>
          <w:rFonts w:ascii="Times New Roman" w:hAnsi="Times New Roman" w:cs="Times New Roman"/>
          <w:b/>
          <w:bCs/>
          <w:sz w:val="24"/>
          <w:szCs w:val="24"/>
        </w:rPr>
        <w:t xml:space="preserve">   </w:t>
      </w:r>
    </w:p>
    <w:tbl>
      <w:tblPr>
        <w:tblStyle w:val="TableGrid"/>
        <w:tblW w:w="9592" w:type="dxa"/>
        <w:tblLook w:val="04A0" w:firstRow="1" w:lastRow="0" w:firstColumn="1" w:lastColumn="0" w:noHBand="0" w:noVBand="1"/>
      </w:tblPr>
      <w:tblGrid>
        <w:gridCol w:w="2398"/>
        <w:gridCol w:w="2398"/>
        <w:gridCol w:w="2398"/>
        <w:gridCol w:w="2398"/>
      </w:tblGrid>
      <w:tr w:rsidR="000D6B2C" w14:paraId="62F750DA" w14:textId="77777777" w:rsidTr="00AD5F68">
        <w:trPr>
          <w:trHeight w:val="422"/>
        </w:trPr>
        <w:tc>
          <w:tcPr>
            <w:tcW w:w="2398" w:type="dxa"/>
            <w:vAlign w:val="center"/>
          </w:tcPr>
          <w:p w14:paraId="178EBE26"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Comparison</w:t>
            </w:r>
          </w:p>
        </w:tc>
        <w:tc>
          <w:tcPr>
            <w:tcW w:w="2398" w:type="dxa"/>
            <w:vAlign w:val="center"/>
          </w:tcPr>
          <w:p w14:paraId="5A2187AD"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Observed Agreement (%)</w:t>
            </w:r>
          </w:p>
        </w:tc>
        <w:tc>
          <w:tcPr>
            <w:tcW w:w="2398" w:type="dxa"/>
            <w:vAlign w:val="center"/>
          </w:tcPr>
          <w:p w14:paraId="535EE9D0"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Kappa (κ)</w:t>
            </w:r>
          </w:p>
        </w:tc>
        <w:tc>
          <w:tcPr>
            <w:tcW w:w="2398" w:type="dxa"/>
            <w:vAlign w:val="center"/>
          </w:tcPr>
          <w:p w14:paraId="7B3CB4F7"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Interpretation</w:t>
            </w:r>
          </w:p>
        </w:tc>
      </w:tr>
      <w:tr w:rsidR="000D6B2C" w14:paraId="6BC50973" w14:textId="77777777" w:rsidTr="00AD5F68">
        <w:trPr>
          <w:trHeight w:val="422"/>
        </w:trPr>
        <w:tc>
          <w:tcPr>
            <w:tcW w:w="2398" w:type="dxa"/>
            <w:vAlign w:val="center"/>
          </w:tcPr>
          <w:p w14:paraId="44E5B567"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Examiner 1 vs Examiner 2 – Day 1</w:t>
            </w:r>
          </w:p>
        </w:tc>
        <w:tc>
          <w:tcPr>
            <w:tcW w:w="2398" w:type="dxa"/>
            <w:vAlign w:val="center"/>
          </w:tcPr>
          <w:p w14:paraId="3B6D1413"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88%</w:t>
            </w:r>
          </w:p>
        </w:tc>
        <w:tc>
          <w:tcPr>
            <w:tcW w:w="2398" w:type="dxa"/>
            <w:vAlign w:val="center"/>
          </w:tcPr>
          <w:p w14:paraId="62A7E6B4"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0.76</w:t>
            </w:r>
          </w:p>
        </w:tc>
        <w:tc>
          <w:tcPr>
            <w:tcW w:w="2398" w:type="dxa"/>
            <w:vAlign w:val="center"/>
          </w:tcPr>
          <w:p w14:paraId="5E4A845F"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Substantial agreement</w:t>
            </w:r>
          </w:p>
        </w:tc>
      </w:tr>
      <w:tr w:rsidR="000D6B2C" w14:paraId="5D11EC37" w14:textId="77777777" w:rsidTr="00AD5F68">
        <w:trPr>
          <w:trHeight w:val="422"/>
        </w:trPr>
        <w:tc>
          <w:tcPr>
            <w:tcW w:w="2398" w:type="dxa"/>
            <w:vAlign w:val="center"/>
          </w:tcPr>
          <w:p w14:paraId="010871EC"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Examiner 1 vs Examiner 2 – Day 30</w:t>
            </w:r>
          </w:p>
        </w:tc>
        <w:tc>
          <w:tcPr>
            <w:tcW w:w="2398" w:type="dxa"/>
            <w:vAlign w:val="center"/>
          </w:tcPr>
          <w:p w14:paraId="3C072900"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84%</w:t>
            </w:r>
          </w:p>
        </w:tc>
        <w:tc>
          <w:tcPr>
            <w:tcW w:w="2398" w:type="dxa"/>
            <w:vAlign w:val="center"/>
          </w:tcPr>
          <w:p w14:paraId="79BCBCAA"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0.70</w:t>
            </w:r>
          </w:p>
        </w:tc>
        <w:tc>
          <w:tcPr>
            <w:tcW w:w="2398" w:type="dxa"/>
            <w:vAlign w:val="center"/>
          </w:tcPr>
          <w:p w14:paraId="589EBEFE"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Substantial agreement</w:t>
            </w:r>
          </w:p>
        </w:tc>
      </w:tr>
    </w:tbl>
    <w:p w14:paraId="302E9273" w14:textId="77777777" w:rsidR="00B83EFF" w:rsidRDefault="00B83EFF" w:rsidP="00B83EFF">
      <w:pPr>
        <w:spacing w:line="480" w:lineRule="auto"/>
        <w:jc w:val="both"/>
        <w:rPr>
          <w:rFonts w:ascii="Times New Roman" w:hAnsi="Times New Roman" w:cs="Times New Roman"/>
          <w:sz w:val="24"/>
          <w:szCs w:val="24"/>
        </w:rPr>
      </w:pPr>
    </w:p>
    <w:p w14:paraId="1AD236CF" w14:textId="77777777" w:rsidR="0082768A" w:rsidRDefault="0082768A" w:rsidP="00B83EFF">
      <w:pPr>
        <w:spacing w:line="480" w:lineRule="auto"/>
        <w:jc w:val="both"/>
        <w:rPr>
          <w:rFonts w:ascii="Times New Roman" w:hAnsi="Times New Roman" w:cs="Times New Roman"/>
          <w:sz w:val="24"/>
          <w:szCs w:val="24"/>
        </w:rPr>
      </w:pPr>
    </w:p>
    <w:p w14:paraId="0AF492C6" w14:textId="2BF9B9B8" w:rsidR="00A137C5" w:rsidRDefault="008557B8" w:rsidP="00A137C5">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137C5">
        <w:rPr>
          <w:rFonts w:ascii="Times New Roman" w:hAnsi="Times New Roman" w:cs="Times New Roman"/>
          <w:b/>
          <w:bCs/>
          <w:sz w:val="24"/>
          <w:szCs w:val="24"/>
        </w:rPr>
        <w:t>Table 2 represents the intergroup comparison between the two examiners at different clinical days of examination</w:t>
      </w:r>
    </w:p>
    <w:tbl>
      <w:tblPr>
        <w:tblStyle w:val="TableGrid"/>
        <w:tblW w:w="9000" w:type="dxa"/>
        <w:tblLook w:val="04A0" w:firstRow="1" w:lastRow="0" w:firstColumn="1" w:lastColumn="0" w:noHBand="0" w:noVBand="1"/>
      </w:tblPr>
      <w:tblGrid>
        <w:gridCol w:w="1500"/>
        <w:gridCol w:w="1500"/>
        <w:gridCol w:w="1500"/>
        <w:gridCol w:w="1500"/>
        <w:gridCol w:w="1500"/>
        <w:gridCol w:w="1500"/>
      </w:tblGrid>
      <w:tr w:rsidR="0082768A" w:rsidRPr="00417EE4" w14:paraId="4674A9F8" w14:textId="77777777" w:rsidTr="00AD5F68">
        <w:trPr>
          <w:trHeight w:val="356"/>
        </w:trPr>
        <w:tc>
          <w:tcPr>
            <w:tcW w:w="1500" w:type="dxa"/>
            <w:vAlign w:val="center"/>
          </w:tcPr>
          <w:p w14:paraId="4E4F836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Comparison</w:t>
            </w:r>
          </w:p>
        </w:tc>
        <w:tc>
          <w:tcPr>
            <w:tcW w:w="1500" w:type="dxa"/>
            <w:vAlign w:val="center"/>
          </w:tcPr>
          <w:p w14:paraId="5B722585"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Mean ± SD (Group 1)</w:t>
            </w:r>
          </w:p>
        </w:tc>
        <w:tc>
          <w:tcPr>
            <w:tcW w:w="1500" w:type="dxa"/>
            <w:vAlign w:val="center"/>
          </w:tcPr>
          <w:p w14:paraId="4516443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Mean ± SD (Group 2)</w:t>
            </w:r>
          </w:p>
        </w:tc>
        <w:tc>
          <w:tcPr>
            <w:tcW w:w="1500" w:type="dxa"/>
            <w:vAlign w:val="center"/>
          </w:tcPr>
          <w:p w14:paraId="0244F211"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t-value</w:t>
            </w:r>
          </w:p>
        </w:tc>
        <w:tc>
          <w:tcPr>
            <w:tcW w:w="1500" w:type="dxa"/>
            <w:vAlign w:val="center"/>
          </w:tcPr>
          <w:p w14:paraId="2A072D1A"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p-value</w:t>
            </w:r>
          </w:p>
        </w:tc>
        <w:tc>
          <w:tcPr>
            <w:tcW w:w="1500" w:type="dxa"/>
            <w:vAlign w:val="center"/>
          </w:tcPr>
          <w:p w14:paraId="7059F764"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Significance</w:t>
            </w:r>
          </w:p>
        </w:tc>
      </w:tr>
      <w:tr w:rsidR="0082768A" w:rsidRPr="00417EE4" w14:paraId="1986C112" w14:textId="77777777" w:rsidTr="00AD5F68">
        <w:trPr>
          <w:trHeight w:val="356"/>
        </w:trPr>
        <w:tc>
          <w:tcPr>
            <w:tcW w:w="1500" w:type="dxa"/>
            <w:vAlign w:val="center"/>
          </w:tcPr>
          <w:p w14:paraId="04A965A4"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Examiner 1 Day 1 vs Examiner 2 Day 1</w:t>
            </w:r>
          </w:p>
        </w:tc>
        <w:tc>
          <w:tcPr>
            <w:tcW w:w="1500" w:type="dxa"/>
            <w:vAlign w:val="center"/>
          </w:tcPr>
          <w:p w14:paraId="71ACF02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2.12 ± 1.24</w:t>
            </w:r>
          </w:p>
        </w:tc>
        <w:tc>
          <w:tcPr>
            <w:tcW w:w="1500" w:type="dxa"/>
            <w:vAlign w:val="center"/>
          </w:tcPr>
          <w:p w14:paraId="12873057"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2.20 ± 1.19</w:t>
            </w:r>
          </w:p>
        </w:tc>
        <w:tc>
          <w:tcPr>
            <w:tcW w:w="1500" w:type="dxa"/>
            <w:vAlign w:val="center"/>
          </w:tcPr>
          <w:p w14:paraId="6756376B"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~0.25</w:t>
            </w:r>
          </w:p>
        </w:tc>
        <w:tc>
          <w:tcPr>
            <w:tcW w:w="1500" w:type="dxa"/>
            <w:vAlign w:val="center"/>
          </w:tcPr>
          <w:p w14:paraId="7198FE7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~0.80</w:t>
            </w:r>
          </w:p>
        </w:tc>
        <w:tc>
          <w:tcPr>
            <w:tcW w:w="1500" w:type="dxa"/>
            <w:vAlign w:val="center"/>
          </w:tcPr>
          <w:p w14:paraId="15668847"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Not Significant</w:t>
            </w:r>
          </w:p>
        </w:tc>
      </w:tr>
      <w:tr w:rsidR="0082768A" w:rsidRPr="00417EE4" w14:paraId="3FFC5F39" w14:textId="77777777" w:rsidTr="00AD5F68">
        <w:trPr>
          <w:trHeight w:val="356"/>
        </w:trPr>
        <w:tc>
          <w:tcPr>
            <w:tcW w:w="1500" w:type="dxa"/>
            <w:vAlign w:val="center"/>
          </w:tcPr>
          <w:p w14:paraId="61A988A2"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Examiner 1 Day 30 vs Examiner 2 Day 30</w:t>
            </w:r>
          </w:p>
        </w:tc>
        <w:tc>
          <w:tcPr>
            <w:tcW w:w="1500" w:type="dxa"/>
            <w:vAlign w:val="center"/>
          </w:tcPr>
          <w:p w14:paraId="3FEB986D"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2.28 ± 1.19</w:t>
            </w:r>
          </w:p>
        </w:tc>
        <w:tc>
          <w:tcPr>
            <w:tcW w:w="1500" w:type="dxa"/>
            <w:vAlign w:val="center"/>
          </w:tcPr>
          <w:p w14:paraId="4C4364D0"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2.24 ± 1.08</w:t>
            </w:r>
          </w:p>
        </w:tc>
        <w:tc>
          <w:tcPr>
            <w:tcW w:w="1500" w:type="dxa"/>
            <w:vAlign w:val="center"/>
          </w:tcPr>
          <w:p w14:paraId="507F69E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~0.13</w:t>
            </w:r>
          </w:p>
        </w:tc>
        <w:tc>
          <w:tcPr>
            <w:tcW w:w="1500" w:type="dxa"/>
            <w:vAlign w:val="center"/>
          </w:tcPr>
          <w:p w14:paraId="430DF9A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~0.90</w:t>
            </w:r>
          </w:p>
        </w:tc>
        <w:tc>
          <w:tcPr>
            <w:tcW w:w="1500" w:type="dxa"/>
            <w:vAlign w:val="center"/>
          </w:tcPr>
          <w:p w14:paraId="0A2EC9B2"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Not Significant</w:t>
            </w:r>
          </w:p>
        </w:tc>
      </w:tr>
    </w:tbl>
    <w:p w14:paraId="11CBB0EF" w14:textId="77777777" w:rsidR="0082768A" w:rsidRDefault="0082768A" w:rsidP="00A137C5">
      <w:pPr>
        <w:jc w:val="center"/>
        <w:rPr>
          <w:rFonts w:ascii="Times New Roman" w:hAnsi="Times New Roman" w:cs="Times New Roman"/>
          <w:b/>
          <w:bCs/>
          <w:sz w:val="24"/>
          <w:szCs w:val="24"/>
        </w:rPr>
      </w:pPr>
    </w:p>
    <w:p w14:paraId="6323659F" w14:textId="77777777" w:rsidR="00B83EFF" w:rsidRDefault="00B83EFF" w:rsidP="00B83EFF">
      <w:pPr>
        <w:spacing w:line="480" w:lineRule="auto"/>
        <w:jc w:val="both"/>
        <w:rPr>
          <w:rFonts w:ascii="Times New Roman" w:hAnsi="Times New Roman" w:cs="Times New Roman"/>
          <w:sz w:val="24"/>
          <w:szCs w:val="24"/>
        </w:rPr>
      </w:pPr>
    </w:p>
    <w:p w14:paraId="050BDC73" w14:textId="77777777" w:rsidR="0082768A" w:rsidRDefault="0082768A" w:rsidP="00B83EFF">
      <w:pPr>
        <w:spacing w:line="480" w:lineRule="auto"/>
        <w:jc w:val="both"/>
        <w:rPr>
          <w:rFonts w:ascii="Times New Roman" w:hAnsi="Times New Roman" w:cs="Times New Roman"/>
          <w:sz w:val="24"/>
          <w:szCs w:val="24"/>
        </w:rPr>
      </w:pPr>
    </w:p>
    <w:p w14:paraId="6F80FB5D" w14:textId="77777777" w:rsidR="009459FB" w:rsidRDefault="009459FB" w:rsidP="00DA039B">
      <w:pPr>
        <w:jc w:val="center"/>
        <w:rPr>
          <w:rFonts w:ascii="Times New Roman" w:hAnsi="Times New Roman" w:cs="Times New Roman"/>
          <w:b/>
          <w:bCs/>
        </w:rPr>
      </w:pPr>
    </w:p>
    <w:p w14:paraId="7A46ACE7" w14:textId="77777777" w:rsidR="009459FB" w:rsidRDefault="009459FB" w:rsidP="00DA039B">
      <w:pPr>
        <w:jc w:val="center"/>
        <w:rPr>
          <w:rFonts w:ascii="Times New Roman" w:hAnsi="Times New Roman" w:cs="Times New Roman"/>
          <w:b/>
          <w:bCs/>
        </w:rPr>
      </w:pPr>
    </w:p>
    <w:p w14:paraId="49A5AD6E" w14:textId="423805E3" w:rsidR="00DA039B" w:rsidRDefault="00DA039B" w:rsidP="00DA039B">
      <w:pPr>
        <w:jc w:val="center"/>
        <w:rPr>
          <w:rFonts w:ascii="Times New Roman" w:hAnsi="Times New Roman" w:cs="Times New Roman"/>
          <w:b/>
          <w:bCs/>
        </w:rPr>
      </w:pPr>
      <w:r w:rsidRPr="00417EE4">
        <w:rPr>
          <w:rFonts w:ascii="Times New Roman" w:hAnsi="Times New Roman" w:cs="Times New Roman"/>
          <w:b/>
          <w:bCs/>
        </w:rPr>
        <w:lastRenderedPageBreak/>
        <w:t>Table 3 represents the reliability between the examiners on the study population</w:t>
      </w:r>
    </w:p>
    <w:tbl>
      <w:tblPr>
        <w:tblStyle w:val="TableGrid"/>
        <w:tblW w:w="9240" w:type="dxa"/>
        <w:tblLook w:val="04A0" w:firstRow="1" w:lastRow="0" w:firstColumn="1" w:lastColumn="0" w:noHBand="0" w:noVBand="1"/>
      </w:tblPr>
      <w:tblGrid>
        <w:gridCol w:w="1316"/>
        <w:gridCol w:w="1313"/>
        <w:gridCol w:w="1318"/>
        <w:gridCol w:w="1318"/>
        <w:gridCol w:w="1309"/>
        <w:gridCol w:w="1313"/>
        <w:gridCol w:w="1353"/>
      </w:tblGrid>
      <w:tr w:rsidR="00B6033F" w:rsidRPr="00417EE4" w14:paraId="77E82FBC" w14:textId="77777777" w:rsidTr="00AD5F68">
        <w:trPr>
          <w:trHeight w:val="690"/>
        </w:trPr>
        <w:tc>
          <w:tcPr>
            <w:tcW w:w="1320" w:type="dxa"/>
            <w:vAlign w:val="center"/>
          </w:tcPr>
          <w:p w14:paraId="131AE1B2"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Group</w:t>
            </w:r>
          </w:p>
        </w:tc>
        <w:tc>
          <w:tcPr>
            <w:tcW w:w="1320" w:type="dxa"/>
            <w:vAlign w:val="center"/>
          </w:tcPr>
          <w:p w14:paraId="09512456"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Mean Score</w:t>
            </w:r>
          </w:p>
        </w:tc>
        <w:tc>
          <w:tcPr>
            <w:tcW w:w="1320" w:type="dxa"/>
            <w:vAlign w:val="center"/>
          </w:tcPr>
          <w:p w14:paraId="08EBB35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Standard Deviation</w:t>
            </w:r>
          </w:p>
        </w:tc>
        <w:tc>
          <w:tcPr>
            <w:tcW w:w="1320" w:type="dxa"/>
            <w:vAlign w:val="center"/>
          </w:tcPr>
          <w:p w14:paraId="554BB7A4"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Friedman χ²</w:t>
            </w:r>
          </w:p>
        </w:tc>
        <w:tc>
          <w:tcPr>
            <w:tcW w:w="1320" w:type="dxa"/>
            <w:vAlign w:val="center"/>
          </w:tcPr>
          <w:p w14:paraId="54D100C5"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df</w:t>
            </w:r>
          </w:p>
        </w:tc>
        <w:tc>
          <w:tcPr>
            <w:tcW w:w="1320" w:type="dxa"/>
            <w:vAlign w:val="center"/>
          </w:tcPr>
          <w:p w14:paraId="71175882"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p-value</w:t>
            </w:r>
          </w:p>
        </w:tc>
        <w:tc>
          <w:tcPr>
            <w:tcW w:w="1320" w:type="dxa"/>
            <w:vAlign w:val="center"/>
          </w:tcPr>
          <w:p w14:paraId="27AB765A"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Significance</w:t>
            </w:r>
          </w:p>
        </w:tc>
      </w:tr>
      <w:tr w:rsidR="00B6033F" w:rsidRPr="00417EE4" w14:paraId="0044C40A" w14:textId="77777777" w:rsidTr="00AD5F68">
        <w:trPr>
          <w:trHeight w:val="650"/>
        </w:trPr>
        <w:tc>
          <w:tcPr>
            <w:tcW w:w="1320" w:type="dxa"/>
            <w:vAlign w:val="center"/>
          </w:tcPr>
          <w:p w14:paraId="217C45B8"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Examiner 1 – Day 1</w:t>
            </w:r>
          </w:p>
        </w:tc>
        <w:tc>
          <w:tcPr>
            <w:tcW w:w="1320" w:type="dxa"/>
            <w:vAlign w:val="center"/>
          </w:tcPr>
          <w:p w14:paraId="378B789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2.12</w:t>
            </w:r>
          </w:p>
        </w:tc>
        <w:tc>
          <w:tcPr>
            <w:tcW w:w="1320" w:type="dxa"/>
            <w:vAlign w:val="center"/>
          </w:tcPr>
          <w:p w14:paraId="7C9DFD09"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±1.24</w:t>
            </w:r>
          </w:p>
        </w:tc>
        <w:tc>
          <w:tcPr>
            <w:tcW w:w="1320" w:type="dxa"/>
            <w:vMerge w:val="restart"/>
            <w:vAlign w:val="center"/>
          </w:tcPr>
          <w:p w14:paraId="54014DB6"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1.48</w:t>
            </w:r>
          </w:p>
        </w:tc>
        <w:tc>
          <w:tcPr>
            <w:tcW w:w="1320" w:type="dxa"/>
            <w:vMerge w:val="restart"/>
            <w:vAlign w:val="center"/>
          </w:tcPr>
          <w:p w14:paraId="510F1A4E"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3</w:t>
            </w:r>
          </w:p>
        </w:tc>
        <w:tc>
          <w:tcPr>
            <w:tcW w:w="1320" w:type="dxa"/>
            <w:vMerge w:val="restart"/>
            <w:vAlign w:val="center"/>
          </w:tcPr>
          <w:p w14:paraId="4B70FE59"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0.686</w:t>
            </w:r>
          </w:p>
        </w:tc>
        <w:tc>
          <w:tcPr>
            <w:tcW w:w="1320" w:type="dxa"/>
            <w:vMerge w:val="restart"/>
            <w:vAlign w:val="center"/>
          </w:tcPr>
          <w:p w14:paraId="48DA7845"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Not Significant</w:t>
            </w:r>
          </w:p>
        </w:tc>
      </w:tr>
      <w:tr w:rsidR="00B6033F" w:rsidRPr="00417EE4" w14:paraId="3094B382" w14:textId="77777777" w:rsidTr="00AD5F68">
        <w:trPr>
          <w:trHeight w:val="650"/>
        </w:trPr>
        <w:tc>
          <w:tcPr>
            <w:tcW w:w="1320" w:type="dxa"/>
            <w:vAlign w:val="center"/>
          </w:tcPr>
          <w:p w14:paraId="6921665B"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Examiner 1 – Day 30</w:t>
            </w:r>
          </w:p>
        </w:tc>
        <w:tc>
          <w:tcPr>
            <w:tcW w:w="1320" w:type="dxa"/>
            <w:vAlign w:val="center"/>
          </w:tcPr>
          <w:p w14:paraId="4160B024"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2.28</w:t>
            </w:r>
          </w:p>
        </w:tc>
        <w:tc>
          <w:tcPr>
            <w:tcW w:w="1320" w:type="dxa"/>
            <w:vAlign w:val="center"/>
          </w:tcPr>
          <w:p w14:paraId="3552195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±1.19</w:t>
            </w:r>
          </w:p>
        </w:tc>
        <w:tc>
          <w:tcPr>
            <w:tcW w:w="1320" w:type="dxa"/>
            <w:vMerge/>
            <w:vAlign w:val="center"/>
          </w:tcPr>
          <w:p w14:paraId="29A2E44A"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691CC1DF"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0F4683CC"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1F3ADF49" w14:textId="77777777" w:rsidR="00B6033F" w:rsidRPr="00417EE4" w:rsidRDefault="00B6033F" w:rsidP="00AD5F68">
            <w:pPr>
              <w:jc w:val="center"/>
              <w:rPr>
                <w:rFonts w:ascii="Times New Roman" w:hAnsi="Times New Roman" w:cs="Times New Roman"/>
                <w:b/>
                <w:bCs/>
              </w:rPr>
            </w:pPr>
          </w:p>
        </w:tc>
      </w:tr>
      <w:tr w:rsidR="00B6033F" w:rsidRPr="00417EE4" w14:paraId="3CAFDB1C" w14:textId="77777777" w:rsidTr="00AD5F68">
        <w:trPr>
          <w:trHeight w:val="650"/>
        </w:trPr>
        <w:tc>
          <w:tcPr>
            <w:tcW w:w="1320" w:type="dxa"/>
            <w:vAlign w:val="center"/>
          </w:tcPr>
          <w:p w14:paraId="53B760B6"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Examiner 2 – Day 1</w:t>
            </w:r>
          </w:p>
        </w:tc>
        <w:tc>
          <w:tcPr>
            <w:tcW w:w="1320" w:type="dxa"/>
            <w:vAlign w:val="center"/>
          </w:tcPr>
          <w:p w14:paraId="3D0601D4"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2.20</w:t>
            </w:r>
          </w:p>
        </w:tc>
        <w:tc>
          <w:tcPr>
            <w:tcW w:w="1320" w:type="dxa"/>
            <w:vAlign w:val="center"/>
          </w:tcPr>
          <w:p w14:paraId="2A810872"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±1.19</w:t>
            </w:r>
          </w:p>
        </w:tc>
        <w:tc>
          <w:tcPr>
            <w:tcW w:w="1320" w:type="dxa"/>
            <w:vMerge/>
            <w:vAlign w:val="center"/>
          </w:tcPr>
          <w:p w14:paraId="332DBC81"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CA57873"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30AE0F0"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03645F7C" w14:textId="77777777" w:rsidR="00B6033F" w:rsidRPr="00417EE4" w:rsidRDefault="00B6033F" w:rsidP="00AD5F68">
            <w:pPr>
              <w:jc w:val="center"/>
              <w:rPr>
                <w:rFonts w:ascii="Times New Roman" w:hAnsi="Times New Roman" w:cs="Times New Roman"/>
                <w:b/>
                <w:bCs/>
              </w:rPr>
            </w:pPr>
          </w:p>
        </w:tc>
      </w:tr>
      <w:tr w:rsidR="00B6033F" w:rsidRPr="00417EE4" w14:paraId="336389A6" w14:textId="77777777" w:rsidTr="00AD5F68">
        <w:trPr>
          <w:trHeight w:val="650"/>
        </w:trPr>
        <w:tc>
          <w:tcPr>
            <w:tcW w:w="1320" w:type="dxa"/>
            <w:vAlign w:val="center"/>
          </w:tcPr>
          <w:p w14:paraId="41758A74"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Examiner 2 – Day 30</w:t>
            </w:r>
          </w:p>
        </w:tc>
        <w:tc>
          <w:tcPr>
            <w:tcW w:w="1320" w:type="dxa"/>
            <w:vAlign w:val="center"/>
          </w:tcPr>
          <w:p w14:paraId="554D5057"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2.24</w:t>
            </w:r>
          </w:p>
        </w:tc>
        <w:tc>
          <w:tcPr>
            <w:tcW w:w="1320" w:type="dxa"/>
            <w:vAlign w:val="center"/>
          </w:tcPr>
          <w:p w14:paraId="12100F65"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±1.08</w:t>
            </w:r>
          </w:p>
        </w:tc>
        <w:tc>
          <w:tcPr>
            <w:tcW w:w="1320" w:type="dxa"/>
            <w:vMerge/>
            <w:vAlign w:val="center"/>
          </w:tcPr>
          <w:p w14:paraId="0D2B5DDA"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53BC2499"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3D4E875"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49E6B967" w14:textId="77777777" w:rsidR="00B6033F" w:rsidRPr="00417EE4" w:rsidRDefault="00B6033F" w:rsidP="00AD5F68">
            <w:pPr>
              <w:jc w:val="center"/>
              <w:rPr>
                <w:rFonts w:ascii="Times New Roman" w:hAnsi="Times New Roman" w:cs="Times New Roman"/>
                <w:b/>
                <w:bCs/>
              </w:rPr>
            </w:pPr>
          </w:p>
        </w:tc>
      </w:tr>
    </w:tbl>
    <w:p w14:paraId="2DBF24EB" w14:textId="77777777" w:rsidR="00DA039B" w:rsidRDefault="00DA039B" w:rsidP="00B83EFF">
      <w:pPr>
        <w:spacing w:line="480" w:lineRule="auto"/>
        <w:jc w:val="both"/>
        <w:rPr>
          <w:rFonts w:ascii="Times New Roman" w:hAnsi="Times New Roman" w:cs="Times New Roman"/>
          <w:sz w:val="24"/>
          <w:szCs w:val="24"/>
        </w:rPr>
      </w:pPr>
    </w:p>
    <w:p w14:paraId="0CCAEA89" w14:textId="723EF451" w:rsidR="002C2732" w:rsidRDefault="00240EF5" w:rsidP="00B83E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8F4697A" w14:textId="3B14773F" w:rsidR="008557B8" w:rsidRDefault="008557B8" w:rsidP="008557B8">
      <w:pPr>
        <w:jc w:val="both"/>
        <w:rPr>
          <w:rFonts w:ascii="Times New Roman" w:hAnsi="Times New Roman" w:cs="Times New Roman"/>
          <w:b/>
          <w:bCs/>
        </w:rPr>
      </w:pPr>
      <w:r>
        <w:rPr>
          <w:rFonts w:ascii="Times New Roman" w:hAnsi="Times New Roman" w:cs="Times New Roman"/>
          <w:sz w:val="24"/>
          <w:szCs w:val="24"/>
        </w:rPr>
        <w:t xml:space="preserve">                                                                </w:t>
      </w:r>
      <w:r w:rsidRPr="00EC58C0">
        <w:rPr>
          <w:rFonts w:ascii="Times New Roman" w:hAnsi="Times New Roman" w:cs="Times New Roman"/>
          <w:b/>
          <w:bCs/>
        </w:rPr>
        <w:t>GRAPH</w:t>
      </w:r>
      <w:r>
        <w:rPr>
          <w:rFonts w:ascii="Times New Roman" w:hAnsi="Times New Roman" w:cs="Times New Roman"/>
          <w:b/>
          <w:bCs/>
        </w:rPr>
        <w:t>-1</w:t>
      </w:r>
    </w:p>
    <w:p w14:paraId="63CBAE1E" w14:textId="3CC464C0" w:rsidR="00240EF5" w:rsidRDefault="008557B8" w:rsidP="00B83EFF">
      <w:pPr>
        <w:spacing w:line="480" w:lineRule="auto"/>
        <w:jc w:val="both"/>
        <w:rPr>
          <w:rFonts w:ascii="Times New Roman" w:hAnsi="Times New Roman" w:cs="Times New Roman"/>
          <w:sz w:val="24"/>
          <w:szCs w:val="24"/>
        </w:rPr>
      </w:pPr>
      <w:r>
        <w:rPr>
          <w:rFonts w:ascii="Times New Roman" w:hAnsi="Times New Roman" w:cs="Times New Roman"/>
          <w:b/>
          <w:bCs/>
          <w:noProof/>
        </w:rPr>
        <w:drawing>
          <wp:anchor distT="0" distB="0" distL="114300" distR="114300" simplePos="0" relativeHeight="251660288" behindDoc="0" locked="0" layoutInCell="1" allowOverlap="1" wp14:anchorId="7F69AEBB" wp14:editId="2A982289">
            <wp:simplePos x="0" y="0"/>
            <wp:positionH relativeFrom="margin">
              <wp:align>center</wp:align>
            </wp:positionH>
            <wp:positionV relativeFrom="paragraph">
              <wp:posOffset>6350</wp:posOffset>
            </wp:positionV>
            <wp:extent cx="4953102" cy="2953340"/>
            <wp:effectExtent l="0" t="0" r="0" b="0"/>
            <wp:wrapThrough wrapText="bothSides">
              <wp:wrapPolygon edited="0">
                <wp:start x="0" y="0"/>
                <wp:lineTo x="0" y="21461"/>
                <wp:lineTo x="21517" y="21461"/>
                <wp:lineTo x="21517" y="0"/>
                <wp:lineTo x="0" y="0"/>
              </wp:wrapPolygon>
            </wp:wrapThrough>
            <wp:docPr id="142999803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98032" name="Picture 1" descr="A graph with blue ba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102" cy="2953340"/>
                    </a:xfrm>
                    <a:prstGeom prst="rect">
                      <a:avLst/>
                    </a:prstGeom>
                    <a:noFill/>
                  </pic:spPr>
                </pic:pic>
              </a:graphicData>
            </a:graphic>
          </wp:anchor>
        </w:drawing>
      </w:r>
    </w:p>
    <w:p w14:paraId="5499D016" w14:textId="6B873335" w:rsidR="002C2732" w:rsidRDefault="002C2732" w:rsidP="00B83EFF">
      <w:pPr>
        <w:spacing w:line="480" w:lineRule="auto"/>
        <w:jc w:val="both"/>
        <w:rPr>
          <w:rFonts w:ascii="Times New Roman" w:hAnsi="Times New Roman" w:cs="Times New Roman"/>
          <w:sz w:val="24"/>
          <w:szCs w:val="24"/>
        </w:rPr>
      </w:pPr>
    </w:p>
    <w:p w14:paraId="099FDCF2" w14:textId="77777777" w:rsidR="008557B8" w:rsidRDefault="008557B8" w:rsidP="00CE3CB8">
      <w:pPr>
        <w:spacing w:line="480" w:lineRule="auto"/>
        <w:ind w:firstLine="720"/>
        <w:jc w:val="both"/>
        <w:rPr>
          <w:rFonts w:ascii="Times New Roman" w:hAnsi="Times New Roman" w:cs="Times New Roman"/>
          <w:sz w:val="24"/>
          <w:szCs w:val="24"/>
        </w:rPr>
      </w:pPr>
    </w:p>
    <w:p w14:paraId="08BC19C7" w14:textId="1B2F88CD" w:rsidR="0036414E" w:rsidRDefault="00F730F1" w:rsidP="00CE3CB8">
      <w:pPr>
        <w:spacing w:line="480" w:lineRule="auto"/>
        <w:ind w:firstLine="720"/>
        <w:jc w:val="both"/>
        <w:rPr>
          <w:rFonts w:ascii="Times New Roman" w:hAnsi="Times New Roman" w:cs="Times New Roman"/>
          <w:sz w:val="24"/>
          <w:szCs w:val="24"/>
        </w:rPr>
      </w:pPr>
      <w:r w:rsidRPr="00F730F1">
        <w:rPr>
          <w:rFonts w:ascii="Times New Roman" w:hAnsi="Times New Roman" w:cs="Times New Roman"/>
          <w:sz w:val="24"/>
          <w:szCs w:val="24"/>
        </w:rPr>
        <w:t xml:space="preserve">The inclusion of multiple tooth types (incisors to molars) in our sample enhanced clinical applicability, capturing diverse wear presentations. These results hold particular significance for monitoring progressive conditions like bruxism and dental erosion, where consistent longitudinal assessment is crucial. The digital method's sub-2-minute scan time and quantitative capabilities suggest practical advantages for clinical workflows without </w:t>
      </w:r>
      <w:r w:rsidRPr="00F730F1">
        <w:rPr>
          <w:rFonts w:ascii="Times New Roman" w:hAnsi="Times New Roman" w:cs="Times New Roman"/>
          <w:sz w:val="24"/>
          <w:szCs w:val="24"/>
        </w:rPr>
        <w:lastRenderedPageBreak/>
        <w:t>compromising reliability. Our statistical approach incorporated weighted kappa for inter-rater agreement, t-tests for score comparisons, and Friedman analysis for method stability, providing comprehensive validation. The maintained agreement despite natural wear progression over 30 days underscores both methods' robustness for serial evaluations. While affirming traditional photography's continued reliability, these findings strongly support digital scanning as a viable alternative with enhanced functionality for 3D analysis and treatment planning. The study's standardized protocols - including controlled lighting, fixed magnification, and strict isolation procedures - provide a replicable framework for clinical implementation. These outcomes suggest that with proper examiner calibration and technique standardization, both assessment methods can deliver dependable results, though digital scanning may offer superior practicality for practices with appropriate technological infrastructure. The demonstrated consistency across different tooth types and wear patterns supports broad clinical applicability, from routine monitoring to complex restorative cases.</w:t>
      </w:r>
    </w:p>
    <w:p w14:paraId="2161CB73" w14:textId="771C52C5" w:rsidR="00466AFD" w:rsidRDefault="00466AFD" w:rsidP="00466AFD">
      <w:pPr>
        <w:spacing w:line="480" w:lineRule="auto"/>
        <w:jc w:val="both"/>
        <w:rPr>
          <w:rFonts w:ascii="Times New Roman" w:hAnsi="Times New Roman" w:cs="Times New Roman"/>
          <w:sz w:val="24"/>
          <w:szCs w:val="24"/>
        </w:rPr>
      </w:pPr>
    </w:p>
    <w:p w14:paraId="174E392C" w14:textId="6ED476D7" w:rsidR="00B060CD" w:rsidRDefault="00B060CD" w:rsidP="00B060CD">
      <w:pPr>
        <w:spacing w:line="480" w:lineRule="auto"/>
        <w:jc w:val="both"/>
        <w:rPr>
          <w:rFonts w:ascii="Times New Roman" w:hAnsi="Times New Roman" w:cs="Times New Roman"/>
          <w:b/>
          <w:bCs/>
          <w:sz w:val="24"/>
          <w:szCs w:val="24"/>
        </w:rPr>
      </w:pPr>
      <w:proofErr w:type="gramStart"/>
      <w:r w:rsidRPr="00B060CD">
        <w:rPr>
          <w:rFonts w:ascii="Times New Roman" w:hAnsi="Times New Roman" w:cs="Times New Roman"/>
          <w:b/>
          <w:bCs/>
          <w:sz w:val="24"/>
          <w:szCs w:val="24"/>
        </w:rPr>
        <w:t xml:space="preserve">DISCUSSION </w:t>
      </w:r>
      <w:r>
        <w:rPr>
          <w:rFonts w:ascii="Times New Roman" w:hAnsi="Times New Roman" w:cs="Times New Roman"/>
          <w:b/>
          <w:bCs/>
          <w:sz w:val="24"/>
          <w:szCs w:val="24"/>
        </w:rPr>
        <w:t>:</w:t>
      </w:r>
      <w:proofErr w:type="gramEnd"/>
    </w:p>
    <w:p w14:paraId="6932DADB" w14:textId="447112AC" w:rsidR="001939AC" w:rsidRDefault="001939AC" w:rsidP="001939AC">
      <w:pPr>
        <w:spacing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ab/>
      </w:r>
      <w:r w:rsidRPr="00B060CD">
        <w:rPr>
          <w:rFonts w:ascii="Times New Roman" w:hAnsi="Times New Roman" w:cs="Times New Roman"/>
          <w:sz w:val="24"/>
          <w:szCs w:val="24"/>
        </w:rPr>
        <w:t xml:space="preserve">The present study contributes novel insights to the evolving field of digital occlusal wear assessment by systematically comparing </w:t>
      </w:r>
      <w:proofErr w:type="spellStart"/>
      <w:r w:rsidRPr="00B060CD">
        <w:rPr>
          <w:rFonts w:ascii="Times New Roman" w:hAnsi="Times New Roman" w:cs="Times New Roman"/>
          <w:sz w:val="24"/>
          <w:szCs w:val="24"/>
        </w:rPr>
        <w:t>Primescan</w:t>
      </w:r>
      <w:proofErr w:type="spellEnd"/>
      <w:r w:rsidRPr="00B060CD">
        <w:rPr>
          <w:rFonts w:ascii="Times New Roman" w:hAnsi="Times New Roman" w:cs="Times New Roman"/>
          <w:sz w:val="24"/>
          <w:szCs w:val="24"/>
        </w:rPr>
        <w:t xml:space="preserve"> IOS with conventional clinical photography. Our findings demonstrate that digital scanning achieves comparable reliability to traditional methods while offering distinct advantages for three-dimensional analysis, </w:t>
      </w:r>
      <w:r>
        <w:rPr>
          <w:rFonts w:ascii="Times New Roman" w:hAnsi="Times New Roman" w:cs="Times New Roman"/>
          <w:sz w:val="24"/>
          <w:szCs w:val="24"/>
        </w:rPr>
        <w:t xml:space="preserve">longitudinal monitoring and </w:t>
      </w:r>
      <w:r w:rsidRPr="00B060CD">
        <w:rPr>
          <w:rFonts w:ascii="Times New Roman" w:hAnsi="Times New Roman" w:cs="Times New Roman"/>
          <w:sz w:val="24"/>
          <w:szCs w:val="24"/>
        </w:rPr>
        <w:t>addressing several critical gaps in current dental diagnostics.</w:t>
      </w:r>
      <w:r w:rsidR="00D11301">
        <w:rPr>
          <w:rFonts w:ascii="Times New Roman" w:hAnsi="Times New Roman" w:cs="Times New Roman"/>
          <w:sz w:val="24"/>
          <w:szCs w:val="24"/>
        </w:rPr>
        <w:t xml:space="preserve"> </w:t>
      </w:r>
      <w:r w:rsidRPr="00B060CD">
        <w:rPr>
          <w:rFonts w:ascii="Times New Roman" w:hAnsi="Times New Roman" w:cs="Times New Roman"/>
          <w:sz w:val="24"/>
          <w:szCs w:val="24"/>
        </w:rPr>
        <w:t>Our results showing substantial inter-examiner agreement (κ=0.76-0.70) for digital wear assessment align with emerging evidence supporting IOS accuracy in dental applications.</w:t>
      </w:r>
    </w:p>
    <w:p w14:paraId="4F529383" w14:textId="36988349" w:rsidR="00141BD9" w:rsidRDefault="007B6314" w:rsidP="00141BD9">
      <w:pPr>
        <w:spacing w:line="480" w:lineRule="auto"/>
        <w:ind w:firstLine="720"/>
        <w:jc w:val="both"/>
        <w:rPr>
          <w:rFonts w:ascii="Times New Roman" w:hAnsi="Times New Roman" w:cs="Times New Roman"/>
          <w:sz w:val="24"/>
          <w:szCs w:val="24"/>
        </w:rPr>
      </w:pPr>
      <w:proofErr w:type="spellStart"/>
      <w:r w:rsidRPr="007B6314">
        <w:rPr>
          <w:rFonts w:ascii="Times New Roman" w:hAnsi="Times New Roman" w:cs="Times New Roman"/>
          <w:sz w:val="24"/>
          <w:szCs w:val="24"/>
        </w:rPr>
        <w:t>Gkantidis</w:t>
      </w:r>
      <w:proofErr w:type="spellEnd"/>
      <w:r w:rsidRPr="007B6314">
        <w:rPr>
          <w:rFonts w:ascii="Times New Roman" w:hAnsi="Times New Roman" w:cs="Times New Roman"/>
          <w:sz w:val="24"/>
          <w:szCs w:val="24"/>
        </w:rPr>
        <w:t xml:space="preserve"> </w:t>
      </w:r>
      <w:proofErr w:type="gramStart"/>
      <w:r w:rsidRPr="007B6314">
        <w:rPr>
          <w:rFonts w:ascii="Times New Roman" w:hAnsi="Times New Roman" w:cs="Times New Roman"/>
          <w:sz w:val="24"/>
          <w:szCs w:val="24"/>
        </w:rPr>
        <w:t>et al.</w:t>
      </w:r>
      <w:r w:rsidR="003C0A5E">
        <w:rPr>
          <w:rFonts w:ascii="Times New Roman" w:hAnsi="Times New Roman" w:cs="Times New Roman"/>
          <w:sz w:val="24"/>
          <w:szCs w:val="24"/>
          <w:vertAlign w:val="superscript"/>
        </w:rPr>
        <w:t>[</w:t>
      </w:r>
      <w:proofErr w:type="gramEnd"/>
      <w:r w:rsidR="003C0A5E">
        <w:rPr>
          <w:rFonts w:ascii="Times New Roman" w:hAnsi="Times New Roman" w:cs="Times New Roman"/>
          <w:sz w:val="24"/>
          <w:szCs w:val="24"/>
          <w:vertAlign w:val="superscript"/>
        </w:rPr>
        <w:t>9]</w:t>
      </w:r>
      <w:r w:rsidR="00657336">
        <w:rPr>
          <w:rFonts w:ascii="Times New Roman" w:hAnsi="Times New Roman" w:cs="Times New Roman"/>
          <w:sz w:val="24"/>
          <w:szCs w:val="24"/>
        </w:rPr>
        <w:t xml:space="preserve"> in 2020</w:t>
      </w:r>
      <w:r w:rsidRPr="007B6314">
        <w:rPr>
          <w:rFonts w:ascii="Times New Roman" w:hAnsi="Times New Roman" w:cs="Times New Roman"/>
          <w:sz w:val="24"/>
          <w:szCs w:val="24"/>
        </w:rPr>
        <w:t xml:space="preserve"> developed an efficient 3D superimposition method for occlusal wear assessment based on intraoral scans, validating it in vitro against a gold standard </w:t>
      </w:r>
      <w:r w:rsidRPr="007B6314">
        <w:rPr>
          <w:rFonts w:ascii="Times New Roman" w:hAnsi="Times New Roman" w:cs="Times New Roman"/>
          <w:sz w:val="24"/>
          <w:szCs w:val="24"/>
        </w:rPr>
        <w:lastRenderedPageBreak/>
        <w:t>of adjacent intact structures. By comparing manually ground plaster models before and after simulated wear, they demonstrated that superimposition of crowns with 30% estimated mesh overlap achieved excellent trueness (median volume difference 0.032 mm³) and precision (max difference &lt; 0.050 mm³). This study highlighted the feasibility of quantitative volumetric wear assessment in a clinical setting, leveraging existing intraoral scanners and widely available software. Importantly, despite simulated minor buccal/lingual surface changes, the method remained robust, indicating its potential to accommodate limited non-occlusal alterations.</w:t>
      </w:r>
    </w:p>
    <w:p w14:paraId="78E5695E" w14:textId="4EF0B37E" w:rsidR="00393307" w:rsidRPr="00393307" w:rsidRDefault="00D36B9C" w:rsidP="00393307">
      <w:pPr>
        <w:spacing w:line="480" w:lineRule="auto"/>
        <w:ind w:firstLine="720"/>
        <w:jc w:val="both"/>
        <w:rPr>
          <w:rFonts w:ascii="Times New Roman" w:hAnsi="Times New Roman" w:cs="Times New Roman"/>
          <w:sz w:val="24"/>
          <w:szCs w:val="24"/>
        </w:rPr>
      </w:pPr>
      <w:r w:rsidRPr="00D36B9C">
        <w:rPr>
          <w:rFonts w:ascii="Times New Roman" w:hAnsi="Times New Roman" w:cs="Times New Roman"/>
          <w:sz w:val="24"/>
          <w:szCs w:val="24"/>
        </w:rPr>
        <w:t xml:space="preserve">Roehl </w:t>
      </w:r>
      <w:proofErr w:type="gramStart"/>
      <w:r w:rsidRPr="00D36B9C">
        <w:rPr>
          <w:rFonts w:ascii="Times New Roman" w:hAnsi="Times New Roman" w:cs="Times New Roman"/>
          <w:sz w:val="24"/>
          <w:szCs w:val="24"/>
        </w:rPr>
        <w:t>et al.</w:t>
      </w:r>
      <w:r w:rsidR="00141BD9">
        <w:rPr>
          <w:rFonts w:ascii="Times New Roman" w:hAnsi="Times New Roman" w:cs="Times New Roman"/>
          <w:sz w:val="24"/>
          <w:szCs w:val="24"/>
          <w:vertAlign w:val="superscript"/>
        </w:rPr>
        <w:t>[</w:t>
      </w:r>
      <w:proofErr w:type="gramEnd"/>
      <w:r w:rsidR="00141BD9">
        <w:rPr>
          <w:rFonts w:ascii="Times New Roman" w:hAnsi="Times New Roman" w:cs="Times New Roman"/>
          <w:sz w:val="24"/>
          <w:szCs w:val="24"/>
          <w:vertAlign w:val="superscript"/>
        </w:rPr>
        <w:t>10]</w:t>
      </w:r>
      <w:r w:rsidRPr="00D36B9C">
        <w:rPr>
          <w:rFonts w:ascii="Times New Roman" w:hAnsi="Times New Roman" w:cs="Times New Roman"/>
          <w:sz w:val="24"/>
          <w:szCs w:val="24"/>
        </w:rPr>
        <w:t xml:space="preserve"> </w:t>
      </w:r>
      <w:r w:rsidR="00393307">
        <w:rPr>
          <w:rFonts w:ascii="Times New Roman" w:hAnsi="Times New Roman" w:cs="Times New Roman"/>
          <w:sz w:val="24"/>
          <w:szCs w:val="24"/>
        </w:rPr>
        <w:t xml:space="preserve"> in </w:t>
      </w:r>
      <w:r w:rsidRPr="00D36B9C">
        <w:rPr>
          <w:rFonts w:ascii="Times New Roman" w:hAnsi="Times New Roman" w:cs="Times New Roman"/>
          <w:sz w:val="24"/>
          <w:szCs w:val="24"/>
        </w:rPr>
        <w:t>2024 evaluated the diagnostic reliability of the Tooth Wear Evaluation System 2.0 (TWES 2.0) for assessing secondary signs and symptoms of tooth wear by non-experts. Using 48 calibrated dental students who scored 14 patient cases on casts and photographs, they found inter-user agreement (ICC) ranged widely (0.02–0.91) for pathology signs and 0.02–0.87 for etiological signs, with mean Cohen’s kappa versus a reference solution of 0.59 and 0.38, respectively. This variability underscores the challenges of qualitative assessments of wear, particularly for nuanced secondary criteria such as “occlusal cupping” or “enamel–dentin wear at the same rate,” and suggests that even standardized indices require extensive examiner training. Roehl et al. concluded that while TWES 2.0 provides a comprehensive taxonomy of wear signs, its reliability is limited when used by untrained examiners, and refinement of criteria and examiner calibration is essential before widespread clinical adoption.</w:t>
      </w:r>
    </w:p>
    <w:p w14:paraId="7CCF9CCA" w14:textId="4E98E629" w:rsidR="00344F2B" w:rsidRPr="00344F2B" w:rsidRDefault="00393307" w:rsidP="00DE6348">
      <w:pPr>
        <w:spacing w:line="480" w:lineRule="auto"/>
        <w:ind w:firstLine="720"/>
        <w:jc w:val="both"/>
        <w:rPr>
          <w:rFonts w:ascii="Times New Roman" w:hAnsi="Times New Roman" w:cs="Times New Roman"/>
          <w:sz w:val="24"/>
          <w:szCs w:val="24"/>
        </w:rPr>
      </w:pPr>
      <w:r w:rsidRPr="00393307">
        <w:rPr>
          <w:rFonts w:ascii="Times New Roman" w:hAnsi="Times New Roman" w:cs="Times New Roman"/>
          <w:sz w:val="24"/>
          <w:szCs w:val="24"/>
        </w:rPr>
        <w:t xml:space="preserve">Travassos da Rosa Moreira Bastos </w:t>
      </w:r>
      <w:proofErr w:type="gramStart"/>
      <w:r w:rsidRPr="00393307">
        <w:rPr>
          <w:rFonts w:ascii="Times New Roman" w:hAnsi="Times New Roman" w:cs="Times New Roman"/>
          <w:sz w:val="24"/>
          <w:szCs w:val="24"/>
        </w:rPr>
        <w:t>et al.</w:t>
      </w:r>
      <w:r>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11]</w:t>
      </w:r>
      <w:r w:rsidRPr="00393307">
        <w:rPr>
          <w:rFonts w:ascii="Times New Roman" w:hAnsi="Times New Roman" w:cs="Times New Roman"/>
          <w:sz w:val="24"/>
          <w:szCs w:val="24"/>
        </w:rPr>
        <w:t xml:space="preserve"> </w:t>
      </w:r>
      <w:r w:rsidR="00B83C6B">
        <w:rPr>
          <w:rFonts w:ascii="Times New Roman" w:hAnsi="Times New Roman" w:cs="Times New Roman"/>
          <w:sz w:val="24"/>
          <w:szCs w:val="24"/>
        </w:rPr>
        <w:t xml:space="preserve"> in </w:t>
      </w:r>
      <w:r w:rsidRPr="00393307">
        <w:rPr>
          <w:rFonts w:ascii="Times New Roman" w:hAnsi="Times New Roman" w:cs="Times New Roman"/>
          <w:sz w:val="24"/>
          <w:szCs w:val="24"/>
        </w:rPr>
        <w:t xml:space="preserve">2021 conducted a pilot study comparing intraoral scanning to conventional clinical and photographic methods for qualitative occlusal wear evaluation. In 18 volunteers, two examiners scored tooth wear on casts, intraoral photos, and intraoral scans using a modified Mockers et al. index (0–4 scale). Weighted kappa values showed substantial inter-examiner agreement for clinical (K =0.75) and photographic (K =0.79) assessments, but only moderate agreement for intraoral scans (K =0.60). Intra-examiner </w:t>
      </w:r>
      <w:r w:rsidRPr="00393307">
        <w:rPr>
          <w:rFonts w:ascii="Times New Roman" w:hAnsi="Times New Roman" w:cs="Times New Roman"/>
          <w:sz w:val="24"/>
          <w:szCs w:val="24"/>
        </w:rPr>
        <w:lastRenderedPageBreak/>
        <w:t>agreement was similarly substantial across methods, and no significant differences were observed between methods (p = 0.73–0.80). Bland–Altman analysis revealed no systematic bias but a random error of 0.25 index points for scanner assessments. The authors concluded that intraoral scanning is a reliable qualitative tool for occlusal wear detection, though inter-examiner variability remains a concern, and further validation with larger samples is needed.</w:t>
      </w:r>
      <w:r w:rsidR="00DE6348">
        <w:rPr>
          <w:rFonts w:ascii="Times New Roman" w:hAnsi="Times New Roman" w:cs="Times New Roman"/>
          <w:sz w:val="24"/>
          <w:szCs w:val="24"/>
        </w:rPr>
        <w:t xml:space="preserve"> </w:t>
      </w:r>
    </w:p>
    <w:p w14:paraId="4676E915" w14:textId="37485A56" w:rsidR="00E62619" w:rsidRPr="00E62619" w:rsidRDefault="00344F2B" w:rsidP="00E62619">
      <w:pPr>
        <w:spacing w:line="480" w:lineRule="auto"/>
        <w:ind w:firstLine="720"/>
        <w:jc w:val="both"/>
        <w:rPr>
          <w:rFonts w:ascii="Times New Roman" w:hAnsi="Times New Roman" w:cs="Times New Roman"/>
          <w:sz w:val="24"/>
          <w:szCs w:val="24"/>
        </w:rPr>
      </w:pPr>
      <w:r w:rsidRPr="00344F2B">
        <w:rPr>
          <w:rFonts w:ascii="Times New Roman" w:hAnsi="Times New Roman" w:cs="Times New Roman"/>
          <w:sz w:val="24"/>
          <w:szCs w:val="24"/>
        </w:rPr>
        <w:t xml:space="preserve">O’Toole </w:t>
      </w:r>
      <w:proofErr w:type="gramStart"/>
      <w:r w:rsidRPr="00344F2B">
        <w:rPr>
          <w:rFonts w:ascii="Times New Roman" w:hAnsi="Times New Roman" w:cs="Times New Roman"/>
          <w:sz w:val="24"/>
          <w:szCs w:val="24"/>
        </w:rPr>
        <w:t>et al.</w:t>
      </w:r>
      <w:r w:rsidR="002F4450">
        <w:rPr>
          <w:rFonts w:ascii="Times New Roman" w:hAnsi="Times New Roman" w:cs="Times New Roman"/>
          <w:sz w:val="24"/>
          <w:szCs w:val="24"/>
          <w:vertAlign w:val="superscript"/>
        </w:rPr>
        <w:t>[</w:t>
      </w:r>
      <w:proofErr w:type="gramEnd"/>
      <w:r w:rsidR="002F4450">
        <w:rPr>
          <w:rFonts w:ascii="Times New Roman" w:hAnsi="Times New Roman" w:cs="Times New Roman"/>
          <w:sz w:val="24"/>
          <w:szCs w:val="24"/>
          <w:vertAlign w:val="superscript"/>
        </w:rPr>
        <w:t>12]</w:t>
      </w:r>
      <w:r w:rsidRPr="00344F2B">
        <w:rPr>
          <w:rFonts w:ascii="Times New Roman" w:hAnsi="Times New Roman" w:cs="Times New Roman"/>
          <w:sz w:val="24"/>
          <w:szCs w:val="24"/>
        </w:rPr>
        <w:t xml:space="preserve"> </w:t>
      </w:r>
      <w:r w:rsidR="002F4450">
        <w:rPr>
          <w:rFonts w:ascii="Times New Roman" w:hAnsi="Times New Roman" w:cs="Times New Roman"/>
          <w:sz w:val="24"/>
          <w:szCs w:val="24"/>
        </w:rPr>
        <w:t xml:space="preserve">in </w:t>
      </w:r>
      <w:r w:rsidRPr="00344F2B">
        <w:rPr>
          <w:rFonts w:ascii="Times New Roman" w:hAnsi="Times New Roman" w:cs="Times New Roman"/>
          <w:sz w:val="24"/>
          <w:szCs w:val="24"/>
        </w:rPr>
        <w:t>2023 reviewed methods for monitoring erosive tooth wear progression and</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recommended appropriate follow-up intervals for different modalities. They noted that study</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casts require 3–5 years to detect change, whereas clinical indices (e.g., BEWE) and intraoral</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photographs can reveal progression at 18 months. Visual inspection of intraoral scans may</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detect changes at 18 months to 2 years, but quantitative analysis of scans can potentially</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identify wear within 6–12 months. They highlighted that quantitative monitoring via 3Dsuperimposition currently faces challenges in scan registration algorithms, which can</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underestimate wear by “minimizing” differences. However, they advocated the use of</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quantitative software (e.g., Wear</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Compare, TRIOS Patient Monitoring) and selective surface</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registration to improve clinical utility and called for biologically informed registration algorithms</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to enhance accuracy.</w:t>
      </w:r>
    </w:p>
    <w:p w14:paraId="0468AB84" w14:textId="4EA7C665" w:rsidR="00B61A50" w:rsidRPr="00B61A50" w:rsidRDefault="00E62619" w:rsidP="00B61A50">
      <w:pPr>
        <w:spacing w:line="480" w:lineRule="auto"/>
        <w:ind w:firstLine="720"/>
        <w:jc w:val="both"/>
        <w:rPr>
          <w:rFonts w:ascii="Times New Roman" w:hAnsi="Times New Roman" w:cs="Times New Roman"/>
          <w:sz w:val="24"/>
          <w:szCs w:val="24"/>
        </w:rPr>
      </w:pPr>
      <w:proofErr w:type="spellStart"/>
      <w:r w:rsidRPr="00E62619">
        <w:rPr>
          <w:rFonts w:ascii="Times New Roman" w:hAnsi="Times New Roman" w:cs="Times New Roman"/>
          <w:sz w:val="24"/>
          <w:szCs w:val="24"/>
        </w:rPr>
        <w:t>Mitrirattanakul</w:t>
      </w:r>
      <w:proofErr w:type="spellEnd"/>
      <w:r w:rsidRPr="00E62619">
        <w:rPr>
          <w:rFonts w:ascii="Times New Roman" w:hAnsi="Times New Roman" w:cs="Times New Roman"/>
          <w:sz w:val="24"/>
          <w:szCs w:val="24"/>
        </w:rPr>
        <w:t xml:space="preserve"> </w:t>
      </w:r>
      <w:proofErr w:type="gramStart"/>
      <w:r w:rsidRPr="00E62619">
        <w:rPr>
          <w:rFonts w:ascii="Times New Roman" w:hAnsi="Times New Roman" w:cs="Times New Roman"/>
          <w:sz w:val="24"/>
          <w:szCs w:val="24"/>
        </w:rPr>
        <w:t>et al.</w:t>
      </w:r>
      <w:r w:rsidR="00E91CF0">
        <w:rPr>
          <w:rFonts w:ascii="Times New Roman" w:hAnsi="Times New Roman" w:cs="Times New Roman"/>
          <w:sz w:val="24"/>
          <w:szCs w:val="24"/>
          <w:vertAlign w:val="superscript"/>
        </w:rPr>
        <w:t>[</w:t>
      </w:r>
      <w:proofErr w:type="gramEnd"/>
      <w:r w:rsidR="00E91CF0">
        <w:rPr>
          <w:rFonts w:ascii="Times New Roman" w:hAnsi="Times New Roman" w:cs="Times New Roman"/>
          <w:sz w:val="24"/>
          <w:szCs w:val="24"/>
          <w:vertAlign w:val="superscript"/>
        </w:rPr>
        <w:t>13]</w:t>
      </w:r>
      <w:r w:rsidRPr="00E62619">
        <w:rPr>
          <w:rFonts w:ascii="Times New Roman" w:hAnsi="Times New Roman" w:cs="Times New Roman"/>
          <w:sz w:val="24"/>
          <w:szCs w:val="24"/>
        </w:rPr>
        <w:t xml:space="preserve"> 2021 investigated the accuracy of an intraoral scanner (TRIOS Pod) for</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 xml:space="preserve">detecting abrasion-induced tooth wear in vitro, using micro-computed tomography (micro-CT)as the gold standard. Twenty extracted premolars were abraded to produce 50–200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200–400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and 400–750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surface loss, then scanned pre- and post-abrasion. Intraoral scanner</w:t>
      </w:r>
      <w:r w:rsidR="000F5F65">
        <w:rPr>
          <w:rFonts w:ascii="Times New Roman" w:hAnsi="Times New Roman" w:cs="Times New Roman"/>
          <w:sz w:val="24"/>
          <w:szCs w:val="24"/>
        </w:rPr>
        <w:t xml:space="preserve"> </w:t>
      </w:r>
      <w:r w:rsidR="007321DA" w:rsidRPr="00E62619">
        <w:rPr>
          <w:rFonts w:ascii="Times New Roman" w:hAnsi="Times New Roman" w:cs="Times New Roman"/>
          <w:sz w:val="24"/>
          <w:szCs w:val="24"/>
        </w:rPr>
        <w:t>colour</w:t>
      </w:r>
      <w:r w:rsidRPr="00E62619">
        <w:rPr>
          <w:rFonts w:ascii="Times New Roman" w:hAnsi="Times New Roman" w:cs="Times New Roman"/>
          <w:sz w:val="24"/>
          <w:szCs w:val="24"/>
        </w:rPr>
        <w:t xml:space="preserve"> maps detected surface loss in the correct range with 98% specificity, 98% positive</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predictive value, and 97% accuracy relative to micro-CT measurements. Their findings indicate</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that intraoral scanners can serve as reliable chairside screening tools for early tooth wear</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detection, with minimal inter-examiner variability and random error acceptable for clinical</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application.</w:t>
      </w:r>
    </w:p>
    <w:p w14:paraId="4A73A601" w14:textId="231F07BF" w:rsidR="00094EB4" w:rsidRPr="00094EB4" w:rsidRDefault="00B61A50" w:rsidP="00094EB4">
      <w:pPr>
        <w:spacing w:line="480" w:lineRule="auto"/>
        <w:ind w:firstLine="720"/>
        <w:jc w:val="both"/>
        <w:rPr>
          <w:rFonts w:ascii="Times New Roman" w:hAnsi="Times New Roman" w:cs="Times New Roman"/>
          <w:sz w:val="24"/>
          <w:szCs w:val="24"/>
        </w:rPr>
      </w:pPr>
      <w:r w:rsidRPr="00B61A50">
        <w:rPr>
          <w:rFonts w:ascii="Times New Roman" w:hAnsi="Times New Roman" w:cs="Times New Roman"/>
          <w:sz w:val="24"/>
          <w:szCs w:val="24"/>
        </w:rPr>
        <w:lastRenderedPageBreak/>
        <w:t xml:space="preserve">van </w:t>
      </w:r>
      <w:proofErr w:type="spellStart"/>
      <w:r w:rsidRPr="00B61A50">
        <w:rPr>
          <w:rFonts w:ascii="Times New Roman" w:hAnsi="Times New Roman" w:cs="Times New Roman"/>
          <w:sz w:val="24"/>
          <w:szCs w:val="24"/>
        </w:rPr>
        <w:t>Nistelrooij</w:t>
      </w:r>
      <w:proofErr w:type="spellEnd"/>
      <w:r w:rsidRPr="00B61A50">
        <w:rPr>
          <w:rFonts w:ascii="Times New Roman" w:hAnsi="Times New Roman" w:cs="Times New Roman"/>
          <w:sz w:val="24"/>
          <w:szCs w:val="24"/>
        </w:rPr>
        <w:t xml:space="preserve"> </w:t>
      </w:r>
      <w:proofErr w:type="gramStart"/>
      <w:r w:rsidRPr="00B61A50">
        <w:rPr>
          <w:rFonts w:ascii="Times New Roman" w:hAnsi="Times New Roman" w:cs="Times New Roman"/>
          <w:sz w:val="24"/>
          <w:szCs w:val="24"/>
        </w:rPr>
        <w:t>et al.</w:t>
      </w:r>
      <w:r w:rsidR="0077498A">
        <w:rPr>
          <w:rFonts w:ascii="Times New Roman" w:hAnsi="Times New Roman" w:cs="Times New Roman"/>
          <w:sz w:val="24"/>
          <w:szCs w:val="24"/>
          <w:vertAlign w:val="superscript"/>
        </w:rPr>
        <w:t>[</w:t>
      </w:r>
      <w:proofErr w:type="gramEnd"/>
      <w:r w:rsidR="0077498A">
        <w:rPr>
          <w:rFonts w:ascii="Times New Roman" w:hAnsi="Times New Roman" w:cs="Times New Roman"/>
          <w:sz w:val="24"/>
          <w:szCs w:val="24"/>
          <w:vertAlign w:val="superscript"/>
        </w:rPr>
        <w:t>14]</w:t>
      </w:r>
      <w:r w:rsidRPr="00B61A50">
        <w:rPr>
          <w:rFonts w:ascii="Times New Roman" w:hAnsi="Times New Roman" w:cs="Times New Roman"/>
          <w:sz w:val="24"/>
          <w:szCs w:val="24"/>
        </w:rPr>
        <w:t xml:space="preserve"> </w:t>
      </w:r>
      <w:r w:rsidR="00F338E8">
        <w:rPr>
          <w:rFonts w:ascii="Times New Roman" w:hAnsi="Times New Roman" w:cs="Times New Roman"/>
          <w:sz w:val="24"/>
          <w:szCs w:val="24"/>
        </w:rPr>
        <w:t xml:space="preserve">in </w:t>
      </w:r>
      <w:r w:rsidRPr="00B61A50">
        <w:rPr>
          <w:rFonts w:ascii="Times New Roman" w:hAnsi="Times New Roman" w:cs="Times New Roman"/>
          <w:sz w:val="24"/>
          <w:szCs w:val="24"/>
        </w:rPr>
        <w:t>2024 developed a fully automated AI-assisted pipeline for tooth</w:t>
      </w:r>
      <w:r>
        <w:rPr>
          <w:rFonts w:ascii="Times New Roman" w:hAnsi="Times New Roman" w:cs="Times New Roman"/>
          <w:sz w:val="24"/>
          <w:szCs w:val="24"/>
        </w:rPr>
        <w:t xml:space="preserve">  </w:t>
      </w:r>
      <w:r w:rsidRPr="00B61A50">
        <w:rPr>
          <w:rFonts w:ascii="Times New Roman" w:hAnsi="Times New Roman" w:cs="Times New Roman"/>
          <w:sz w:val="24"/>
          <w:szCs w:val="24"/>
        </w:rPr>
        <w:t>segmentation and wear progression measurement using serial intraoral scans. In eight patients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with severe wear, they compared automated results to a manual 3D Wear Analysis (3</w:t>
      </w:r>
      <w:proofErr w:type="gramStart"/>
      <w:r w:rsidRPr="00B61A50">
        <w:rPr>
          <w:rFonts w:ascii="Times New Roman" w:hAnsi="Times New Roman" w:cs="Times New Roman"/>
          <w:sz w:val="24"/>
          <w:szCs w:val="24"/>
        </w:rPr>
        <w:t>DWA)protocol</w:t>
      </w:r>
      <w:proofErr w:type="gramEnd"/>
      <w:r w:rsidRPr="00B61A50">
        <w:rPr>
          <w:rFonts w:ascii="Times New Roman" w:hAnsi="Times New Roman" w:cs="Times New Roman"/>
          <w:sz w:val="24"/>
          <w:szCs w:val="24"/>
        </w:rPr>
        <w:t xml:space="preserve"> across 516 tooth pairs. Stratified</w:t>
      </w:r>
      <w:r w:rsidR="00F338E8">
        <w:rPr>
          <w:rFonts w:ascii="Times New Roman" w:hAnsi="Times New Roman" w:cs="Times New Roman"/>
          <w:sz w:val="24"/>
          <w:szCs w:val="24"/>
        </w:rPr>
        <w:t xml:space="preserve"> </w:t>
      </w:r>
      <w:proofErr w:type="spellStart"/>
      <w:r w:rsidRPr="00B61A50">
        <w:rPr>
          <w:rFonts w:ascii="Times New Roman" w:hAnsi="Times New Roman" w:cs="Times New Roman"/>
          <w:sz w:val="24"/>
          <w:szCs w:val="24"/>
        </w:rPr>
        <w:t>TSegNet</w:t>
      </w:r>
      <w:proofErr w:type="spellEnd"/>
      <w:r w:rsidRPr="00B61A50">
        <w:rPr>
          <w:rFonts w:ascii="Times New Roman" w:hAnsi="Times New Roman" w:cs="Times New Roman"/>
          <w:sz w:val="24"/>
          <w:szCs w:val="24"/>
        </w:rPr>
        <w:t xml:space="preserve"> AI segmentation achieved high </w:t>
      </w:r>
      <w:proofErr w:type="gramStart"/>
      <w:r w:rsidRPr="00B61A50">
        <w:rPr>
          <w:rFonts w:ascii="Times New Roman" w:hAnsi="Times New Roman" w:cs="Times New Roman"/>
          <w:sz w:val="24"/>
          <w:szCs w:val="24"/>
        </w:rPr>
        <w:t>accuracy(</w:t>
      </w:r>
      <w:proofErr w:type="gramEnd"/>
      <w:r w:rsidRPr="00B61A50">
        <w:rPr>
          <w:rFonts w:ascii="Times New Roman" w:hAnsi="Times New Roman" w:cs="Times New Roman"/>
          <w:sz w:val="24"/>
          <w:szCs w:val="24"/>
        </w:rPr>
        <w:t xml:space="preserve">mean DSC =0.947, </w:t>
      </w:r>
      <w:proofErr w:type="spellStart"/>
      <w:r w:rsidRPr="00B61A50">
        <w:rPr>
          <w:rFonts w:ascii="Times New Roman" w:hAnsi="Times New Roman" w:cs="Times New Roman"/>
          <w:sz w:val="24"/>
          <w:szCs w:val="24"/>
        </w:rPr>
        <w:t>IoU</w:t>
      </w:r>
      <w:proofErr w:type="spellEnd"/>
      <w:r w:rsidRPr="00B61A50">
        <w:rPr>
          <w:rFonts w:ascii="Times New Roman" w:hAnsi="Times New Roman" w:cs="Times New Roman"/>
          <w:sz w:val="24"/>
          <w:szCs w:val="24"/>
        </w:rPr>
        <w:t xml:space="preserve"> =0.907), and wear measurements correlated strongly with manual</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results (r = 0.932, mean difference 0.021 mm) with Bland–Altman 95% limits −0.085 to 0.138mm. The automated method processed full-arch scans in under two minutes versus two hours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manually, and although agreement declined slightly over longer intervals, the approach promises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rapid, objective wear monitoring integrated into clinical workflows.</w:t>
      </w:r>
    </w:p>
    <w:p w14:paraId="72FB5A78" w14:textId="7D823D95" w:rsidR="0033607C" w:rsidRPr="0033607C" w:rsidRDefault="00094EB4" w:rsidP="00B53481">
      <w:pPr>
        <w:spacing w:line="480" w:lineRule="auto"/>
        <w:ind w:firstLine="720"/>
        <w:jc w:val="both"/>
        <w:rPr>
          <w:rFonts w:ascii="Times New Roman" w:hAnsi="Times New Roman" w:cs="Times New Roman"/>
          <w:sz w:val="24"/>
          <w:szCs w:val="24"/>
        </w:rPr>
      </w:pPr>
      <w:r w:rsidRPr="00094EB4">
        <w:rPr>
          <w:rFonts w:ascii="Times New Roman" w:hAnsi="Times New Roman" w:cs="Times New Roman"/>
          <w:sz w:val="24"/>
          <w:szCs w:val="24"/>
        </w:rPr>
        <w:t>Al-</w:t>
      </w:r>
      <w:proofErr w:type="spellStart"/>
      <w:r w:rsidRPr="00094EB4">
        <w:rPr>
          <w:rFonts w:ascii="Times New Roman" w:hAnsi="Times New Roman" w:cs="Times New Roman"/>
          <w:sz w:val="24"/>
          <w:szCs w:val="24"/>
        </w:rPr>
        <w:t>Seelawi</w:t>
      </w:r>
      <w:proofErr w:type="spellEnd"/>
      <w:r w:rsidRPr="00094EB4">
        <w:rPr>
          <w:rFonts w:ascii="Times New Roman" w:hAnsi="Times New Roman" w:cs="Times New Roman"/>
          <w:sz w:val="24"/>
          <w:szCs w:val="24"/>
        </w:rPr>
        <w:t xml:space="preserve"> </w:t>
      </w:r>
      <w:proofErr w:type="gramStart"/>
      <w:r w:rsidRPr="00094EB4">
        <w:rPr>
          <w:rFonts w:ascii="Times New Roman" w:hAnsi="Times New Roman" w:cs="Times New Roman"/>
          <w:sz w:val="24"/>
          <w:szCs w:val="24"/>
        </w:rPr>
        <w:t>et al.</w:t>
      </w:r>
      <w:r>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 xml:space="preserve">15] </w:t>
      </w:r>
      <w:r w:rsidRPr="00094EB4">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094EB4">
        <w:rPr>
          <w:rFonts w:ascii="Times New Roman" w:hAnsi="Times New Roman" w:cs="Times New Roman"/>
          <w:sz w:val="24"/>
          <w:szCs w:val="24"/>
        </w:rPr>
        <w:t>2024 compared clinical examination to digital model assessment for tooth</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wear in 78 adults aged 20–30, using the BEWE index on sextants and full-arch digital models</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from an intraoral scanner. Clinically, anterior sextants showed more severe wear than posteriors.</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Digital model scoring agreed with clinical scores in ~50% of cases (k = 0.543), with poorer</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agreement in posterior sextants and moderate overall correlation (Spearman’s rho = 0.560</w:t>
      </w:r>
      <w:proofErr w:type="gramStart"/>
      <w:r w:rsidRPr="00094EB4">
        <w:rPr>
          <w:rFonts w:ascii="Times New Roman" w:hAnsi="Times New Roman" w:cs="Times New Roman"/>
          <w:sz w:val="24"/>
          <w:szCs w:val="24"/>
        </w:rPr>
        <w:t>).Digital</w:t>
      </w:r>
      <w:proofErr w:type="gramEnd"/>
      <w:r w:rsidRPr="00094EB4">
        <w:rPr>
          <w:rFonts w:ascii="Times New Roman" w:hAnsi="Times New Roman" w:cs="Times New Roman"/>
          <w:sz w:val="24"/>
          <w:szCs w:val="24"/>
        </w:rPr>
        <w:t xml:space="preserve"> models often revealed more severe wear than clinical exams, suggesting higher</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sensitivity for subtle changes. The authors concluded that BEWE on digital models has limited</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agreement with clinical findings and that alternative digital quantification methods are needed.</w:t>
      </w:r>
    </w:p>
    <w:p w14:paraId="20F5D47D" w14:textId="41D606C1" w:rsidR="00556327" w:rsidRDefault="0033607C" w:rsidP="002B423B">
      <w:pPr>
        <w:spacing w:line="480" w:lineRule="auto"/>
        <w:ind w:firstLine="720"/>
        <w:jc w:val="both"/>
        <w:rPr>
          <w:rFonts w:ascii="Times New Roman" w:hAnsi="Times New Roman" w:cs="Times New Roman"/>
          <w:sz w:val="24"/>
          <w:szCs w:val="24"/>
        </w:rPr>
      </w:pPr>
      <w:proofErr w:type="spellStart"/>
      <w:r w:rsidRPr="0033607C">
        <w:rPr>
          <w:rFonts w:ascii="Times New Roman" w:hAnsi="Times New Roman" w:cs="Times New Roman"/>
          <w:sz w:val="24"/>
          <w:szCs w:val="24"/>
        </w:rPr>
        <w:t>Gkantidis</w:t>
      </w:r>
      <w:proofErr w:type="spellEnd"/>
      <w:r w:rsidRPr="0033607C">
        <w:rPr>
          <w:rFonts w:ascii="Times New Roman" w:hAnsi="Times New Roman" w:cs="Times New Roman"/>
          <w:sz w:val="24"/>
          <w:szCs w:val="24"/>
        </w:rPr>
        <w:t xml:space="preserve"> et al.</w:t>
      </w:r>
      <w:r w:rsidR="00B53481">
        <w:rPr>
          <w:rFonts w:ascii="Times New Roman" w:hAnsi="Times New Roman" w:cs="Times New Roman"/>
          <w:sz w:val="24"/>
          <w:szCs w:val="24"/>
          <w:vertAlign w:val="superscript"/>
        </w:rPr>
        <w:t>[16]</w:t>
      </w:r>
      <w:r w:rsidRPr="0033607C">
        <w:rPr>
          <w:rFonts w:ascii="Times New Roman" w:hAnsi="Times New Roman" w:cs="Times New Roman"/>
          <w:sz w:val="24"/>
          <w:szCs w:val="24"/>
        </w:rPr>
        <w:t xml:space="preserve"> 2021 revisited 3D occlusal wear assessment in the presence of limited non-occlusal changes, using simulated buccal/lingual surface alterations of 100–250 </w:t>
      </w:r>
      <w:proofErr w:type="spellStart"/>
      <w:r w:rsidRPr="0033607C">
        <w:rPr>
          <w:rFonts w:ascii="Times New Roman" w:hAnsi="Times New Roman" w:cs="Times New Roman"/>
          <w:sz w:val="24"/>
          <w:szCs w:val="24"/>
        </w:rPr>
        <w:t>μm</w:t>
      </w:r>
      <w:proofErr w:type="spellEnd"/>
      <w:r w:rsidRPr="0033607C">
        <w:rPr>
          <w:rFonts w:ascii="Times New Roman" w:hAnsi="Times New Roman" w:cs="Times New Roman"/>
          <w:sz w:val="24"/>
          <w:szCs w:val="24"/>
        </w:rPr>
        <w:t xml:space="preserve"> </w:t>
      </w:r>
      <w:proofErr w:type="spellStart"/>
      <w:r w:rsidRPr="0033607C">
        <w:rPr>
          <w:rFonts w:ascii="Times New Roman" w:hAnsi="Times New Roman" w:cs="Times New Roman"/>
          <w:sz w:val="24"/>
          <w:szCs w:val="24"/>
        </w:rPr>
        <w:t>along</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side</w:t>
      </w:r>
      <w:proofErr w:type="spellEnd"/>
      <w:r w:rsidR="00B53481">
        <w:rPr>
          <w:rFonts w:ascii="Times New Roman" w:hAnsi="Times New Roman" w:cs="Times New Roman"/>
          <w:sz w:val="24"/>
          <w:szCs w:val="24"/>
        </w:rPr>
        <w:t xml:space="preserve"> </w:t>
      </w:r>
      <w:r w:rsidRPr="0033607C">
        <w:rPr>
          <w:rFonts w:ascii="Times New Roman" w:hAnsi="Times New Roman" w:cs="Times New Roman"/>
          <w:sz w:val="24"/>
          <w:szCs w:val="24"/>
        </w:rPr>
        <w:t>occlusal wear of 0.5–2 mm. Applying five superimposition techniques on 36 posterior teeth, they</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reaffirmed that complete-crown registration with 30% mesh overlap (CC(D))provided the</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closest agreement to a gold standard (adjacent intact structures), with median volume</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difference 0.045 mm³ and max 0.219 mm³, unaffected by tooth type, alignment, or wear</w:t>
      </w:r>
      <w:r w:rsidR="002B423B">
        <w:rPr>
          <w:rFonts w:ascii="Times New Roman" w:hAnsi="Times New Roman" w:cs="Times New Roman"/>
          <w:sz w:val="24"/>
          <w:szCs w:val="24"/>
        </w:rPr>
        <w:t xml:space="preserve"> </w:t>
      </w:r>
      <w:r w:rsidRPr="0033607C">
        <w:rPr>
          <w:rFonts w:ascii="Times New Roman" w:hAnsi="Times New Roman" w:cs="Times New Roman"/>
          <w:sz w:val="24"/>
          <w:szCs w:val="24"/>
        </w:rPr>
        <w:t xml:space="preserve">amount. This work extended previous validations by demonstrating robustness even </w:t>
      </w:r>
      <w:r w:rsidRPr="0033607C">
        <w:rPr>
          <w:rFonts w:ascii="Times New Roman" w:hAnsi="Times New Roman" w:cs="Times New Roman"/>
          <w:sz w:val="24"/>
          <w:szCs w:val="24"/>
        </w:rPr>
        <w:lastRenderedPageBreak/>
        <w:t>when non-occlusal surfaces undergo limited morphological changes, underscoring the clinical reliability of</w:t>
      </w:r>
      <w:r w:rsidR="00FD5A6F">
        <w:rPr>
          <w:rFonts w:ascii="Times New Roman" w:hAnsi="Times New Roman" w:cs="Times New Roman"/>
          <w:sz w:val="24"/>
          <w:szCs w:val="24"/>
        </w:rPr>
        <w:t xml:space="preserve"> </w:t>
      </w:r>
      <w:r w:rsidRPr="0033607C">
        <w:rPr>
          <w:rFonts w:ascii="Times New Roman" w:hAnsi="Times New Roman" w:cs="Times New Roman"/>
          <w:sz w:val="24"/>
          <w:szCs w:val="24"/>
        </w:rPr>
        <w:t>the CC(D) approach using intraoral scans and standard software.</w:t>
      </w:r>
    </w:p>
    <w:p w14:paraId="59783AB1" w14:textId="77777777" w:rsidR="00DE26F5" w:rsidRDefault="00DE26F5" w:rsidP="00DE26F5">
      <w:pPr>
        <w:spacing w:line="480" w:lineRule="auto"/>
        <w:ind w:firstLine="720"/>
        <w:jc w:val="both"/>
        <w:rPr>
          <w:rFonts w:ascii="Times New Roman" w:hAnsi="Times New Roman" w:cs="Times New Roman"/>
          <w:sz w:val="24"/>
          <w:szCs w:val="24"/>
        </w:rPr>
      </w:pPr>
    </w:p>
    <w:p w14:paraId="1A08530B" w14:textId="04BB7CC2" w:rsidR="00DE26F5" w:rsidRPr="002B423B" w:rsidRDefault="00DE26F5" w:rsidP="002B423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LIMITATIO</w:t>
      </w:r>
      <w:r w:rsidRPr="00B060CD">
        <w:rPr>
          <w:rFonts w:ascii="Times New Roman" w:hAnsi="Times New Roman" w:cs="Times New Roman"/>
          <w:b/>
          <w:bCs/>
          <w:sz w:val="24"/>
          <w:szCs w:val="24"/>
        </w:rPr>
        <w:t>N</w:t>
      </w:r>
      <w:r w:rsidR="002B423B">
        <w:rPr>
          <w:rFonts w:ascii="Times New Roman" w:hAnsi="Times New Roman" w:cs="Times New Roman"/>
          <w:b/>
          <w:bCs/>
          <w:sz w:val="24"/>
          <w:szCs w:val="24"/>
        </w:rPr>
        <w:t xml:space="preserve">S OF THE </w:t>
      </w:r>
      <w:proofErr w:type="gramStart"/>
      <w:r w:rsidR="002B423B">
        <w:rPr>
          <w:rFonts w:ascii="Times New Roman" w:hAnsi="Times New Roman" w:cs="Times New Roman"/>
          <w:b/>
          <w:bCs/>
          <w:sz w:val="24"/>
          <w:szCs w:val="24"/>
        </w:rPr>
        <w:t>STUDY</w:t>
      </w:r>
      <w:r w:rsidRPr="00B060CD">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14:paraId="2ED92D92" w14:textId="74707A14" w:rsidR="00556327" w:rsidRPr="001939AC" w:rsidRDefault="009B1CB5" w:rsidP="00DE26F5">
      <w:pPr>
        <w:spacing w:line="480" w:lineRule="auto"/>
        <w:ind w:firstLine="720"/>
        <w:jc w:val="both"/>
        <w:rPr>
          <w:rFonts w:ascii="Times New Roman" w:hAnsi="Times New Roman" w:cs="Times New Roman"/>
          <w:sz w:val="24"/>
          <w:szCs w:val="24"/>
        </w:rPr>
      </w:pPr>
      <w:r w:rsidRPr="00B060CD">
        <w:rPr>
          <w:rFonts w:ascii="Times New Roman" w:hAnsi="Times New Roman" w:cs="Times New Roman"/>
          <w:sz w:val="24"/>
          <w:szCs w:val="24"/>
        </w:rPr>
        <w:t>The 30-day follow-up period, while methodologically sound for reliability assessment, may not fully reveal digital methods' advantages for long-term monitoring. Extended observation periods (≥12 months) would better assess clinical utility for progressive conditions.</w:t>
      </w:r>
      <w:r w:rsidR="00990D27" w:rsidRPr="00990D27">
        <w:rPr>
          <w:rFonts w:ascii="Times New Roman" w:hAnsi="Times New Roman" w:cs="Times New Roman"/>
          <w:sz w:val="24"/>
          <w:szCs w:val="24"/>
        </w:rPr>
        <w:t xml:space="preserve"> </w:t>
      </w:r>
      <w:r w:rsidR="00990D27" w:rsidRPr="00B060CD">
        <w:rPr>
          <w:rFonts w:ascii="Times New Roman" w:hAnsi="Times New Roman" w:cs="Times New Roman"/>
          <w:sz w:val="24"/>
          <w:szCs w:val="24"/>
        </w:rPr>
        <w:t>Incorporating artificial intelligence-assisted measurements represents a promising direction for improving objectivity and workflow efficiency.</w:t>
      </w:r>
      <w:r w:rsidR="00DE26F5">
        <w:rPr>
          <w:rFonts w:ascii="Times New Roman" w:hAnsi="Times New Roman" w:cs="Times New Roman"/>
          <w:sz w:val="24"/>
          <w:szCs w:val="24"/>
        </w:rPr>
        <w:t xml:space="preserve"> </w:t>
      </w:r>
      <w:r w:rsidR="00990D27" w:rsidRPr="00B060CD">
        <w:rPr>
          <w:rFonts w:ascii="Times New Roman" w:hAnsi="Times New Roman" w:cs="Times New Roman"/>
          <w:sz w:val="24"/>
          <w:szCs w:val="24"/>
        </w:rPr>
        <w:t>The cost-benefit analysis of digital workflows remains complex. While our results demonstrate clear diagnostic advantages, the substantial investment required for IOS systems may present adoption barriers</w:t>
      </w:r>
      <w:r w:rsidR="00A46B34">
        <w:rPr>
          <w:rFonts w:ascii="Times New Roman" w:hAnsi="Times New Roman" w:cs="Times New Roman"/>
          <w:sz w:val="24"/>
          <w:szCs w:val="24"/>
        </w:rPr>
        <w:t>.</w:t>
      </w:r>
    </w:p>
    <w:p w14:paraId="0B94DB66" w14:textId="77777777" w:rsidR="001725AC" w:rsidRPr="00B060CD" w:rsidRDefault="001725AC" w:rsidP="002B423B">
      <w:pPr>
        <w:spacing w:line="480" w:lineRule="auto"/>
        <w:jc w:val="both"/>
        <w:rPr>
          <w:rFonts w:ascii="Times New Roman" w:hAnsi="Times New Roman" w:cs="Times New Roman"/>
          <w:b/>
          <w:bCs/>
          <w:sz w:val="24"/>
          <w:szCs w:val="24"/>
        </w:rPr>
      </w:pPr>
    </w:p>
    <w:p w14:paraId="4785B2D3" w14:textId="1360437F" w:rsidR="00B060CD" w:rsidRPr="00B060CD" w:rsidRDefault="00C30F78" w:rsidP="00B060CD">
      <w:pPr>
        <w:spacing w:line="480" w:lineRule="auto"/>
        <w:jc w:val="both"/>
        <w:rPr>
          <w:rFonts w:ascii="Times New Roman" w:hAnsi="Times New Roman" w:cs="Times New Roman"/>
          <w:b/>
          <w:bCs/>
          <w:sz w:val="24"/>
          <w:szCs w:val="24"/>
        </w:rPr>
      </w:pPr>
      <w:proofErr w:type="gramStart"/>
      <w:r w:rsidRPr="00B060CD">
        <w:rPr>
          <w:rFonts w:ascii="Times New Roman" w:hAnsi="Times New Roman" w:cs="Times New Roman"/>
          <w:b/>
          <w:bCs/>
          <w:sz w:val="24"/>
          <w:szCs w:val="24"/>
        </w:rPr>
        <w:t>CONCLUSION</w:t>
      </w:r>
      <w:r>
        <w:rPr>
          <w:rFonts w:ascii="Times New Roman" w:hAnsi="Times New Roman" w:cs="Times New Roman"/>
          <w:b/>
          <w:bCs/>
          <w:sz w:val="24"/>
          <w:szCs w:val="24"/>
        </w:rPr>
        <w:t xml:space="preserve"> :</w:t>
      </w:r>
      <w:proofErr w:type="gramEnd"/>
    </w:p>
    <w:p w14:paraId="0F0DDB41" w14:textId="13E28430" w:rsidR="00B73F85" w:rsidRDefault="00B060CD" w:rsidP="002B423B">
      <w:pPr>
        <w:spacing w:line="480" w:lineRule="auto"/>
        <w:ind w:firstLine="720"/>
        <w:jc w:val="both"/>
        <w:rPr>
          <w:rFonts w:ascii="Times New Roman" w:hAnsi="Times New Roman" w:cs="Times New Roman"/>
          <w:b/>
          <w:bCs/>
          <w:sz w:val="24"/>
          <w:szCs w:val="24"/>
        </w:rPr>
      </w:pPr>
      <w:r w:rsidRPr="00B060CD">
        <w:rPr>
          <w:rFonts w:ascii="Times New Roman" w:hAnsi="Times New Roman" w:cs="Times New Roman"/>
          <w:sz w:val="24"/>
          <w:szCs w:val="24"/>
        </w:rPr>
        <w:t>This study provides robust evidence supporting Prime</w:t>
      </w:r>
      <w:r w:rsidR="008D12E8">
        <w:rPr>
          <w:rFonts w:ascii="Times New Roman" w:hAnsi="Times New Roman" w:cs="Times New Roman"/>
          <w:sz w:val="24"/>
          <w:szCs w:val="24"/>
        </w:rPr>
        <w:t xml:space="preserve"> </w:t>
      </w:r>
      <w:r w:rsidRPr="00B060CD">
        <w:rPr>
          <w:rFonts w:ascii="Times New Roman" w:hAnsi="Times New Roman" w:cs="Times New Roman"/>
          <w:sz w:val="24"/>
          <w:szCs w:val="24"/>
        </w:rPr>
        <w:t>scan IOS as a reliable alternative to conventional photography for occlusal wear assessment. The digital method's comparable reliability, combined with its additional quantitative capabilities and workflow advantages, positions it as a valuable tool for modern preventive and restorative dentistry. Our findings contribute to ongoing standardization efforts while highlighting areas requiring further investigation. As digital technologies continue to evolve, their integration into routine wear assessment appears increasingly essential for delivering precision preventive care</w:t>
      </w:r>
      <w:r w:rsidRPr="00B060CD">
        <w:rPr>
          <w:rFonts w:ascii="Times New Roman" w:hAnsi="Times New Roman" w:cs="Times New Roman"/>
          <w:b/>
          <w:bCs/>
          <w:sz w:val="24"/>
          <w:szCs w:val="24"/>
        </w:rPr>
        <w:t>.</w:t>
      </w:r>
    </w:p>
    <w:p w14:paraId="5734CA6B" w14:textId="77777777" w:rsidR="002B423B" w:rsidRDefault="002B423B" w:rsidP="002B423B">
      <w:pPr>
        <w:spacing w:line="480" w:lineRule="auto"/>
        <w:ind w:firstLine="720"/>
        <w:jc w:val="both"/>
        <w:rPr>
          <w:rFonts w:ascii="Times New Roman" w:hAnsi="Times New Roman" w:cs="Times New Roman"/>
          <w:b/>
          <w:bCs/>
          <w:sz w:val="24"/>
          <w:szCs w:val="24"/>
        </w:rPr>
      </w:pPr>
    </w:p>
    <w:p w14:paraId="68956B75" w14:textId="77777777" w:rsidR="002B423B" w:rsidRDefault="002B423B" w:rsidP="002B423B">
      <w:pPr>
        <w:spacing w:line="480" w:lineRule="auto"/>
        <w:ind w:firstLine="720"/>
        <w:jc w:val="both"/>
        <w:rPr>
          <w:rFonts w:ascii="Times New Roman" w:hAnsi="Times New Roman" w:cs="Times New Roman"/>
          <w:b/>
          <w:bCs/>
          <w:sz w:val="24"/>
          <w:szCs w:val="24"/>
        </w:rPr>
      </w:pPr>
    </w:p>
    <w:p w14:paraId="3AC315D9" w14:textId="77777777" w:rsidR="002B423B" w:rsidRDefault="002B423B" w:rsidP="002B423B">
      <w:pPr>
        <w:spacing w:line="480" w:lineRule="auto"/>
        <w:ind w:firstLine="720"/>
        <w:jc w:val="both"/>
        <w:rPr>
          <w:rFonts w:ascii="Times New Roman" w:hAnsi="Times New Roman" w:cs="Times New Roman"/>
          <w:b/>
          <w:bCs/>
          <w:sz w:val="24"/>
          <w:szCs w:val="24"/>
        </w:rPr>
      </w:pPr>
    </w:p>
    <w:p w14:paraId="65799765" w14:textId="71B2E9B2" w:rsidR="00E76922" w:rsidRPr="00E76922" w:rsidRDefault="00545476" w:rsidP="00E76922">
      <w:pPr>
        <w:spacing w:line="480" w:lineRule="auto"/>
        <w:rPr>
          <w:rFonts w:ascii="Arial" w:hAnsi="Arial" w:cs="Arial"/>
          <w:b/>
          <w:szCs w:val="20"/>
        </w:rPr>
      </w:pPr>
      <w:proofErr w:type="gramStart"/>
      <w:r w:rsidRPr="000324E2">
        <w:rPr>
          <w:rFonts w:ascii="Arial" w:hAnsi="Arial" w:cs="Arial"/>
          <w:b/>
          <w:szCs w:val="20"/>
        </w:rPr>
        <w:lastRenderedPageBreak/>
        <w:t>REFERENCES</w:t>
      </w:r>
      <w:r w:rsidR="00770B35">
        <w:rPr>
          <w:rFonts w:ascii="Arial" w:hAnsi="Arial" w:cs="Arial"/>
          <w:b/>
          <w:szCs w:val="20"/>
        </w:rPr>
        <w:t xml:space="preserve"> :</w:t>
      </w:r>
      <w:proofErr w:type="gramEnd"/>
    </w:p>
    <w:p w14:paraId="7A751F5F" w14:textId="7AACB2B1" w:rsidR="00E1304B" w:rsidRDefault="00422945" w:rsidP="00187EB7">
      <w:pPr>
        <w:pStyle w:val="ListParagraph"/>
        <w:numPr>
          <w:ilvl w:val="0"/>
          <w:numId w:val="5"/>
        </w:numPr>
        <w:spacing w:line="480" w:lineRule="auto"/>
        <w:jc w:val="both"/>
        <w:rPr>
          <w:rFonts w:ascii="Times New Roman" w:hAnsi="Times New Roman" w:cs="Times New Roman"/>
          <w:bCs/>
          <w:sz w:val="24"/>
        </w:rPr>
      </w:pPr>
      <w:proofErr w:type="spellStart"/>
      <w:r w:rsidRPr="00422945">
        <w:rPr>
          <w:rFonts w:ascii="Times New Roman" w:hAnsi="Times New Roman" w:cs="Times New Roman"/>
          <w:bCs/>
          <w:sz w:val="24"/>
        </w:rPr>
        <w:t>Warreth</w:t>
      </w:r>
      <w:proofErr w:type="spellEnd"/>
      <w:r w:rsidRPr="00422945">
        <w:rPr>
          <w:rFonts w:ascii="Times New Roman" w:hAnsi="Times New Roman" w:cs="Times New Roman"/>
          <w:bCs/>
          <w:sz w:val="24"/>
        </w:rPr>
        <w:t xml:space="preserve"> A, </w:t>
      </w:r>
      <w:proofErr w:type="spellStart"/>
      <w:r w:rsidRPr="00422945">
        <w:rPr>
          <w:rFonts w:ascii="Times New Roman" w:hAnsi="Times New Roman" w:cs="Times New Roman"/>
          <w:bCs/>
          <w:sz w:val="24"/>
        </w:rPr>
        <w:t>Abuhijleh</w:t>
      </w:r>
      <w:proofErr w:type="spellEnd"/>
      <w:r w:rsidRPr="00422945">
        <w:rPr>
          <w:rFonts w:ascii="Times New Roman" w:hAnsi="Times New Roman" w:cs="Times New Roman"/>
          <w:bCs/>
          <w:sz w:val="24"/>
        </w:rPr>
        <w:t xml:space="preserve"> E, </w:t>
      </w:r>
      <w:proofErr w:type="spellStart"/>
      <w:r w:rsidRPr="00422945">
        <w:rPr>
          <w:rFonts w:ascii="Times New Roman" w:hAnsi="Times New Roman" w:cs="Times New Roman"/>
          <w:bCs/>
          <w:sz w:val="24"/>
        </w:rPr>
        <w:t>Almaghribi</w:t>
      </w:r>
      <w:proofErr w:type="spellEnd"/>
      <w:r w:rsidRPr="00422945">
        <w:rPr>
          <w:rFonts w:ascii="Times New Roman" w:hAnsi="Times New Roman" w:cs="Times New Roman"/>
          <w:bCs/>
          <w:sz w:val="24"/>
        </w:rPr>
        <w:t xml:space="preserve"> MA, </w:t>
      </w:r>
      <w:proofErr w:type="spellStart"/>
      <w:r w:rsidRPr="00422945">
        <w:rPr>
          <w:rFonts w:ascii="Times New Roman" w:hAnsi="Times New Roman" w:cs="Times New Roman"/>
          <w:bCs/>
          <w:sz w:val="24"/>
        </w:rPr>
        <w:t>Mahwal</w:t>
      </w:r>
      <w:proofErr w:type="spellEnd"/>
      <w:r w:rsidRPr="00422945">
        <w:rPr>
          <w:rFonts w:ascii="Times New Roman" w:hAnsi="Times New Roman" w:cs="Times New Roman"/>
          <w:bCs/>
          <w:sz w:val="24"/>
        </w:rPr>
        <w:t xml:space="preserve"> G, </w:t>
      </w:r>
      <w:proofErr w:type="spellStart"/>
      <w:r w:rsidRPr="00422945">
        <w:rPr>
          <w:rFonts w:ascii="Times New Roman" w:hAnsi="Times New Roman" w:cs="Times New Roman"/>
          <w:bCs/>
          <w:sz w:val="24"/>
        </w:rPr>
        <w:t>Ashawish</w:t>
      </w:r>
      <w:proofErr w:type="spellEnd"/>
      <w:r w:rsidRPr="00422945">
        <w:rPr>
          <w:rFonts w:ascii="Times New Roman" w:hAnsi="Times New Roman" w:cs="Times New Roman"/>
          <w:bCs/>
          <w:sz w:val="24"/>
        </w:rPr>
        <w:t xml:space="preserve"> A. Tooth surface loss: A review of literature. The Saudi dental journal. 2020 Feb 1;32(2):53-60.</w:t>
      </w:r>
    </w:p>
    <w:p w14:paraId="18C6135E" w14:textId="3BBA430C" w:rsidR="008E44FF" w:rsidRDefault="008E44FF" w:rsidP="00187EB7">
      <w:pPr>
        <w:pStyle w:val="ListParagraph"/>
        <w:numPr>
          <w:ilvl w:val="0"/>
          <w:numId w:val="5"/>
        </w:numPr>
        <w:spacing w:line="480" w:lineRule="auto"/>
        <w:jc w:val="both"/>
        <w:rPr>
          <w:rFonts w:ascii="Times New Roman" w:hAnsi="Times New Roman" w:cs="Times New Roman"/>
          <w:bCs/>
          <w:sz w:val="24"/>
        </w:rPr>
      </w:pPr>
      <w:r w:rsidRPr="008E44FF">
        <w:rPr>
          <w:rFonts w:ascii="Times New Roman" w:hAnsi="Times New Roman" w:cs="Times New Roman"/>
          <w:bCs/>
          <w:sz w:val="24"/>
        </w:rPr>
        <w:t>Bartlett D, O'Toole S. Tooth wear: best evidence consensus statement. Journal of Prosthodontics. 2021 Apr;30(S1):20-5.</w:t>
      </w:r>
    </w:p>
    <w:p w14:paraId="762DD32C" w14:textId="2FCBDB7E" w:rsidR="00AA2CB6" w:rsidRDefault="00AA2CB6" w:rsidP="00187EB7">
      <w:pPr>
        <w:pStyle w:val="ListParagraph"/>
        <w:numPr>
          <w:ilvl w:val="0"/>
          <w:numId w:val="5"/>
        </w:numPr>
        <w:spacing w:line="480" w:lineRule="auto"/>
        <w:jc w:val="both"/>
        <w:rPr>
          <w:rFonts w:ascii="Times New Roman" w:hAnsi="Times New Roman" w:cs="Times New Roman"/>
          <w:bCs/>
          <w:sz w:val="24"/>
        </w:rPr>
      </w:pPr>
      <w:r w:rsidRPr="00AA2CB6">
        <w:rPr>
          <w:rFonts w:ascii="Times New Roman" w:hAnsi="Times New Roman" w:cs="Times New Roman"/>
          <w:bCs/>
          <w:sz w:val="24"/>
        </w:rPr>
        <w:t>Eccles JD. Dental erosion of nonindustrial origin. A clinical survey and classification. The Journal of prosthetic dentistry. 1979 Dec 1;42(6):649-53.</w:t>
      </w:r>
    </w:p>
    <w:p w14:paraId="626ED4BB" w14:textId="454899E2" w:rsidR="00537E58" w:rsidRDefault="00537E58" w:rsidP="00187EB7">
      <w:pPr>
        <w:pStyle w:val="ListParagraph"/>
        <w:numPr>
          <w:ilvl w:val="0"/>
          <w:numId w:val="5"/>
        </w:numPr>
        <w:spacing w:line="480" w:lineRule="auto"/>
        <w:jc w:val="both"/>
        <w:rPr>
          <w:rFonts w:ascii="Times New Roman" w:hAnsi="Times New Roman" w:cs="Times New Roman"/>
          <w:bCs/>
          <w:sz w:val="24"/>
        </w:rPr>
      </w:pPr>
      <w:r w:rsidRPr="00537E58">
        <w:rPr>
          <w:rFonts w:ascii="Times New Roman" w:hAnsi="Times New Roman" w:cs="Times New Roman"/>
          <w:bCs/>
          <w:sz w:val="24"/>
        </w:rPr>
        <w:t xml:space="preserve">Mockers O, </w:t>
      </w:r>
      <w:proofErr w:type="spellStart"/>
      <w:r w:rsidRPr="00537E58">
        <w:rPr>
          <w:rFonts w:ascii="Times New Roman" w:hAnsi="Times New Roman" w:cs="Times New Roman"/>
          <w:bCs/>
          <w:sz w:val="24"/>
        </w:rPr>
        <w:t>Aubry</w:t>
      </w:r>
      <w:proofErr w:type="spellEnd"/>
      <w:r w:rsidRPr="00537E58">
        <w:rPr>
          <w:rFonts w:ascii="Times New Roman" w:hAnsi="Times New Roman" w:cs="Times New Roman"/>
          <w:bCs/>
          <w:sz w:val="24"/>
        </w:rPr>
        <w:t xml:space="preserve"> M, </w:t>
      </w:r>
      <w:proofErr w:type="spellStart"/>
      <w:r w:rsidRPr="00537E58">
        <w:rPr>
          <w:rFonts w:ascii="Times New Roman" w:hAnsi="Times New Roman" w:cs="Times New Roman"/>
          <w:bCs/>
          <w:sz w:val="24"/>
        </w:rPr>
        <w:t>Mafart</w:t>
      </w:r>
      <w:proofErr w:type="spellEnd"/>
      <w:r w:rsidRPr="00537E58">
        <w:rPr>
          <w:rFonts w:ascii="Times New Roman" w:hAnsi="Times New Roman" w:cs="Times New Roman"/>
          <w:bCs/>
          <w:sz w:val="24"/>
        </w:rPr>
        <w:t xml:space="preserve"> B. Dental crowding in a prehistoric population. The European Journal of Orthodontics. 2004 Apr 1;26(2):151-6.</w:t>
      </w:r>
    </w:p>
    <w:p w14:paraId="239BEF2B" w14:textId="0E606FBA" w:rsidR="0064646A" w:rsidRDefault="0064646A" w:rsidP="00187EB7">
      <w:pPr>
        <w:pStyle w:val="ListParagraph"/>
        <w:numPr>
          <w:ilvl w:val="0"/>
          <w:numId w:val="5"/>
        </w:numPr>
        <w:spacing w:line="480" w:lineRule="auto"/>
        <w:jc w:val="both"/>
        <w:rPr>
          <w:rFonts w:ascii="Times New Roman" w:hAnsi="Times New Roman" w:cs="Times New Roman"/>
          <w:bCs/>
          <w:sz w:val="24"/>
        </w:rPr>
      </w:pPr>
      <w:r w:rsidRPr="0064646A">
        <w:rPr>
          <w:rFonts w:ascii="Times New Roman" w:hAnsi="Times New Roman" w:cs="Times New Roman"/>
          <w:bCs/>
          <w:sz w:val="24"/>
        </w:rPr>
        <w:t>Russell MD, Grant AA. The relationship of occlusal wear to occlusal contact area. Journal of Oral Rehabilitation. 1983 Sep;10(5):383-91.</w:t>
      </w:r>
    </w:p>
    <w:p w14:paraId="28CC367B" w14:textId="04C87CE7" w:rsidR="009E2953" w:rsidRDefault="009E2953" w:rsidP="00187EB7">
      <w:pPr>
        <w:pStyle w:val="ListParagraph"/>
        <w:numPr>
          <w:ilvl w:val="0"/>
          <w:numId w:val="5"/>
        </w:numPr>
        <w:spacing w:line="480" w:lineRule="auto"/>
        <w:jc w:val="both"/>
        <w:rPr>
          <w:rFonts w:ascii="Times New Roman" w:hAnsi="Times New Roman" w:cs="Times New Roman"/>
          <w:bCs/>
          <w:sz w:val="24"/>
        </w:rPr>
      </w:pPr>
      <w:r w:rsidRPr="009E2953">
        <w:rPr>
          <w:rFonts w:ascii="Times New Roman" w:hAnsi="Times New Roman" w:cs="Times New Roman"/>
          <w:bCs/>
          <w:sz w:val="24"/>
        </w:rPr>
        <w:t>Scott EC. Dental wear scoring technique. American Journal of Physical Anthropology. 1979 Aug;51(2):213-7.</w:t>
      </w:r>
    </w:p>
    <w:p w14:paraId="44DFDBB9" w14:textId="7DD4E6ED" w:rsidR="00BE77D3" w:rsidRDefault="00BE77D3" w:rsidP="00187EB7">
      <w:pPr>
        <w:pStyle w:val="ListParagraph"/>
        <w:numPr>
          <w:ilvl w:val="0"/>
          <w:numId w:val="5"/>
        </w:numPr>
        <w:spacing w:line="480" w:lineRule="auto"/>
        <w:jc w:val="both"/>
        <w:rPr>
          <w:rFonts w:ascii="Times New Roman" w:hAnsi="Times New Roman" w:cs="Times New Roman"/>
          <w:bCs/>
          <w:sz w:val="24"/>
        </w:rPr>
      </w:pPr>
      <w:r w:rsidRPr="00BE77D3">
        <w:rPr>
          <w:rFonts w:ascii="Times New Roman" w:hAnsi="Times New Roman" w:cs="Times New Roman"/>
          <w:bCs/>
          <w:sz w:val="24"/>
        </w:rPr>
        <w:t xml:space="preserve">Smith BG, Bartlett DW, Robb ND. The prevalence, </w:t>
      </w:r>
      <w:proofErr w:type="spellStart"/>
      <w:r w:rsidRPr="00BE77D3">
        <w:rPr>
          <w:rFonts w:ascii="Times New Roman" w:hAnsi="Times New Roman" w:cs="Times New Roman"/>
          <w:bCs/>
          <w:sz w:val="24"/>
        </w:rPr>
        <w:t>etiology</w:t>
      </w:r>
      <w:proofErr w:type="spellEnd"/>
      <w:r w:rsidRPr="00BE77D3">
        <w:rPr>
          <w:rFonts w:ascii="Times New Roman" w:hAnsi="Times New Roman" w:cs="Times New Roman"/>
          <w:bCs/>
          <w:sz w:val="24"/>
        </w:rPr>
        <w:t xml:space="preserve"> and management of tooth wear in the United Kingdom. The Journal of prosthetic dentistry. 1997 Oct 1;78(4):367-72.</w:t>
      </w:r>
    </w:p>
    <w:p w14:paraId="70D654F2" w14:textId="3AC121F1" w:rsidR="00BE77D3" w:rsidRDefault="00C04B8A" w:rsidP="00187EB7">
      <w:pPr>
        <w:pStyle w:val="ListParagraph"/>
        <w:numPr>
          <w:ilvl w:val="0"/>
          <w:numId w:val="5"/>
        </w:numPr>
        <w:spacing w:line="480" w:lineRule="auto"/>
        <w:jc w:val="both"/>
        <w:rPr>
          <w:rFonts w:ascii="Times New Roman" w:hAnsi="Times New Roman" w:cs="Times New Roman"/>
          <w:bCs/>
          <w:sz w:val="24"/>
        </w:rPr>
      </w:pPr>
      <w:proofErr w:type="spellStart"/>
      <w:r w:rsidRPr="00C04B8A">
        <w:rPr>
          <w:rFonts w:ascii="Times New Roman" w:hAnsi="Times New Roman" w:cs="Times New Roman"/>
          <w:bCs/>
          <w:sz w:val="24"/>
        </w:rPr>
        <w:t>Kaidonis</w:t>
      </w:r>
      <w:proofErr w:type="spellEnd"/>
      <w:r w:rsidRPr="00C04B8A">
        <w:rPr>
          <w:rFonts w:ascii="Times New Roman" w:hAnsi="Times New Roman" w:cs="Times New Roman"/>
          <w:bCs/>
          <w:sz w:val="24"/>
        </w:rPr>
        <w:t xml:space="preserve"> JA. Oral diagnosis and treatment planning: part 4. Non-carious tooth surface loss and assessment of risk. British dental journal. 2012 Aug 25;213(4):155-61.</w:t>
      </w:r>
    </w:p>
    <w:p w14:paraId="73CC5848" w14:textId="77777777" w:rsidR="003C0A5E" w:rsidRDefault="003C0A5E"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3C0A5E">
        <w:rPr>
          <w:rFonts w:ascii="Times New Roman" w:hAnsi="Times New Roman" w:cs="Times New Roman"/>
          <w:sz w:val="24"/>
          <w:szCs w:val="24"/>
        </w:rPr>
        <w:t>Gkantidis</w:t>
      </w:r>
      <w:proofErr w:type="spellEnd"/>
      <w:r w:rsidRPr="003C0A5E">
        <w:rPr>
          <w:rFonts w:ascii="Times New Roman" w:hAnsi="Times New Roman" w:cs="Times New Roman"/>
          <w:sz w:val="24"/>
          <w:szCs w:val="24"/>
        </w:rPr>
        <w:t xml:space="preserve"> N, Dritsas K, Ren Y, </w:t>
      </w:r>
      <w:proofErr w:type="spellStart"/>
      <w:r w:rsidRPr="003C0A5E">
        <w:rPr>
          <w:rFonts w:ascii="Times New Roman" w:hAnsi="Times New Roman" w:cs="Times New Roman"/>
          <w:sz w:val="24"/>
          <w:szCs w:val="24"/>
        </w:rPr>
        <w:t>Halazonetis</w:t>
      </w:r>
      <w:proofErr w:type="spellEnd"/>
      <w:r w:rsidRPr="003C0A5E">
        <w:rPr>
          <w:rFonts w:ascii="Times New Roman" w:hAnsi="Times New Roman" w:cs="Times New Roman"/>
          <w:sz w:val="24"/>
          <w:szCs w:val="24"/>
        </w:rPr>
        <w:t xml:space="preserve"> D, </w:t>
      </w:r>
      <w:proofErr w:type="spellStart"/>
      <w:r w:rsidRPr="003C0A5E">
        <w:rPr>
          <w:rFonts w:ascii="Times New Roman" w:hAnsi="Times New Roman" w:cs="Times New Roman"/>
          <w:sz w:val="24"/>
          <w:szCs w:val="24"/>
        </w:rPr>
        <w:t>Katsaros</w:t>
      </w:r>
      <w:proofErr w:type="spellEnd"/>
      <w:r w:rsidRPr="003C0A5E">
        <w:rPr>
          <w:rFonts w:ascii="Times New Roman" w:hAnsi="Times New Roman" w:cs="Times New Roman"/>
          <w:sz w:val="24"/>
          <w:szCs w:val="24"/>
        </w:rPr>
        <w:t xml:space="preserve"> C. An accurate and efficient method for occlusal tooth wear assessment using 3D digital dental models. Scientific reports. 2020 Jun 22;10(1):10103.</w:t>
      </w:r>
    </w:p>
    <w:p w14:paraId="0D38A648" w14:textId="77777777" w:rsidR="003C0A5E" w:rsidRPr="003C0A5E" w:rsidRDefault="003C0A5E" w:rsidP="00187EB7">
      <w:pPr>
        <w:pStyle w:val="ListParagraph"/>
        <w:spacing w:line="480" w:lineRule="auto"/>
        <w:jc w:val="both"/>
        <w:rPr>
          <w:rFonts w:ascii="Times New Roman" w:hAnsi="Times New Roman" w:cs="Times New Roman"/>
          <w:sz w:val="24"/>
          <w:szCs w:val="24"/>
        </w:rPr>
      </w:pPr>
    </w:p>
    <w:p w14:paraId="7A9E649F" w14:textId="77777777" w:rsidR="00141BD9" w:rsidRDefault="00141BD9" w:rsidP="00187EB7">
      <w:pPr>
        <w:pStyle w:val="ListParagraph"/>
        <w:numPr>
          <w:ilvl w:val="0"/>
          <w:numId w:val="5"/>
        </w:numPr>
        <w:spacing w:line="480" w:lineRule="auto"/>
        <w:jc w:val="both"/>
        <w:rPr>
          <w:rFonts w:ascii="Times New Roman" w:hAnsi="Times New Roman" w:cs="Times New Roman"/>
          <w:sz w:val="24"/>
          <w:szCs w:val="24"/>
        </w:rPr>
      </w:pPr>
      <w:r w:rsidRPr="00141BD9">
        <w:rPr>
          <w:rFonts w:ascii="Times New Roman" w:hAnsi="Times New Roman" w:cs="Times New Roman"/>
          <w:sz w:val="24"/>
          <w:szCs w:val="24"/>
        </w:rPr>
        <w:t xml:space="preserve">Roehl JC, </w:t>
      </w:r>
      <w:proofErr w:type="spellStart"/>
      <w:r w:rsidRPr="00141BD9">
        <w:rPr>
          <w:rFonts w:ascii="Times New Roman" w:hAnsi="Times New Roman" w:cs="Times New Roman"/>
          <w:sz w:val="24"/>
          <w:szCs w:val="24"/>
        </w:rPr>
        <w:t>Katzer</w:t>
      </w:r>
      <w:proofErr w:type="spellEnd"/>
      <w:r w:rsidRPr="00141BD9">
        <w:rPr>
          <w:rFonts w:ascii="Times New Roman" w:hAnsi="Times New Roman" w:cs="Times New Roman"/>
          <w:sz w:val="24"/>
          <w:szCs w:val="24"/>
        </w:rPr>
        <w:t xml:space="preserve"> L, </w:t>
      </w:r>
      <w:proofErr w:type="spellStart"/>
      <w:r w:rsidRPr="00141BD9">
        <w:rPr>
          <w:rFonts w:ascii="Times New Roman" w:hAnsi="Times New Roman" w:cs="Times New Roman"/>
          <w:sz w:val="24"/>
          <w:szCs w:val="24"/>
        </w:rPr>
        <w:t>Jakstat</w:t>
      </w:r>
      <w:proofErr w:type="spellEnd"/>
      <w:r w:rsidRPr="00141BD9">
        <w:rPr>
          <w:rFonts w:ascii="Times New Roman" w:hAnsi="Times New Roman" w:cs="Times New Roman"/>
          <w:sz w:val="24"/>
          <w:szCs w:val="24"/>
        </w:rPr>
        <w:t xml:space="preserve"> HA, </w:t>
      </w:r>
      <w:proofErr w:type="spellStart"/>
      <w:r w:rsidRPr="00141BD9">
        <w:rPr>
          <w:rFonts w:ascii="Times New Roman" w:hAnsi="Times New Roman" w:cs="Times New Roman"/>
          <w:sz w:val="24"/>
          <w:szCs w:val="24"/>
        </w:rPr>
        <w:t>Wetselaar</w:t>
      </w:r>
      <w:proofErr w:type="spellEnd"/>
      <w:r w:rsidRPr="00141BD9">
        <w:rPr>
          <w:rFonts w:ascii="Times New Roman" w:hAnsi="Times New Roman" w:cs="Times New Roman"/>
          <w:sz w:val="24"/>
          <w:szCs w:val="24"/>
        </w:rPr>
        <w:t xml:space="preserve"> P, </w:t>
      </w:r>
      <w:proofErr w:type="spellStart"/>
      <w:r w:rsidRPr="00141BD9">
        <w:rPr>
          <w:rFonts w:ascii="Times New Roman" w:hAnsi="Times New Roman" w:cs="Times New Roman"/>
          <w:sz w:val="24"/>
          <w:szCs w:val="24"/>
        </w:rPr>
        <w:t>Ahlers</w:t>
      </w:r>
      <w:proofErr w:type="spellEnd"/>
      <w:r w:rsidRPr="00141BD9">
        <w:rPr>
          <w:rFonts w:ascii="Times New Roman" w:hAnsi="Times New Roman" w:cs="Times New Roman"/>
          <w:sz w:val="24"/>
          <w:szCs w:val="24"/>
        </w:rPr>
        <w:t xml:space="preserve"> MO. Tooth Wear Evaluation System 2.0—Evaluation of diagnostic reliability in the assessment of signs and </w:t>
      </w:r>
      <w:r w:rsidRPr="00141BD9">
        <w:rPr>
          <w:rFonts w:ascii="Times New Roman" w:hAnsi="Times New Roman" w:cs="Times New Roman"/>
          <w:sz w:val="24"/>
          <w:szCs w:val="24"/>
        </w:rPr>
        <w:lastRenderedPageBreak/>
        <w:t>symptoms for tooth wear by non‐experts. Journal of Oral Rehabilitation. 2024 Apr;51(4):712-23.</w:t>
      </w:r>
    </w:p>
    <w:p w14:paraId="77FEFF40" w14:textId="77777777" w:rsidR="00141BD9" w:rsidRPr="00141BD9" w:rsidRDefault="00141BD9" w:rsidP="00187EB7">
      <w:pPr>
        <w:pStyle w:val="ListParagraph"/>
        <w:spacing w:line="480" w:lineRule="auto"/>
        <w:jc w:val="both"/>
        <w:rPr>
          <w:rFonts w:ascii="Times New Roman" w:hAnsi="Times New Roman" w:cs="Times New Roman"/>
          <w:sz w:val="24"/>
          <w:szCs w:val="24"/>
        </w:rPr>
      </w:pPr>
    </w:p>
    <w:p w14:paraId="5DCC4142" w14:textId="77777777" w:rsidR="006D3CE5" w:rsidRDefault="006D3CE5" w:rsidP="00187EB7">
      <w:pPr>
        <w:pStyle w:val="ListParagraph"/>
        <w:numPr>
          <w:ilvl w:val="0"/>
          <w:numId w:val="5"/>
        </w:numPr>
        <w:spacing w:line="480" w:lineRule="auto"/>
        <w:jc w:val="both"/>
        <w:rPr>
          <w:rFonts w:ascii="Times New Roman" w:hAnsi="Times New Roman" w:cs="Times New Roman"/>
          <w:sz w:val="24"/>
          <w:szCs w:val="24"/>
        </w:rPr>
      </w:pPr>
      <w:r w:rsidRPr="006D3CE5">
        <w:rPr>
          <w:rFonts w:ascii="Times New Roman" w:hAnsi="Times New Roman" w:cs="Times New Roman"/>
          <w:sz w:val="24"/>
          <w:szCs w:val="24"/>
        </w:rPr>
        <w:t xml:space="preserve">Travassos da Rosa Moreira Bastos R, Teixeira da Silva P, Normando D. Reliability of qualitative occlusal tooth wear evaluation using an intraoral scanner: A pilot study. </w:t>
      </w:r>
      <w:proofErr w:type="spellStart"/>
      <w:r w:rsidRPr="006D3CE5">
        <w:rPr>
          <w:rFonts w:ascii="Times New Roman" w:hAnsi="Times New Roman" w:cs="Times New Roman"/>
          <w:sz w:val="24"/>
          <w:szCs w:val="24"/>
        </w:rPr>
        <w:t>PLoS</w:t>
      </w:r>
      <w:proofErr w:type="spellEnd"/>
      <w:r w:rsidRPr="006D3CE5">
        <w:rPr>
          <w:rFonts w:ascii="Times New Roman" w:hAnsi="Times New Roman" w:cs="Times New Roman"/>
          <w:sz w:val="24"/>
          <w:szCs w:val="24"/>
        </w:rPr>
        <w:t xml:space="preserve"> One. 2021 Mar 25;16(3</w:t>
      </w:r>
      <w:proofErr w:type="gramStart"/>
      <w:r w:rsidRPr="006D3CE5">
        <w:rPr>
          <w:rFonts w:ascii="Times New Roman" w:hAnsi="Times New Roman" w:cs="Times New Roman"/>
          <w:sz w:val="24"/>
          <w:szCs w:val="24"/>
        </w:rPr>
        <w:t>):e</w:t>
      </w:r>
      <w:proofErr w:type="gramEnd"/>
      <w:r w:rsidRPr="006D3CE5">
        <w:rPr>
          <w:rFonts w:ascii="Times New Roman" w:hAnsi="Times New Roman" w:cs="Times New Roman"/>
          <w:sz w:val="24"/>
          <w:szCs w:val="24"/>
        </w:rPr>
        <w:t>0249119.</w:t>
      </w:r>
    </w:p>
    <w:p w14:paraId="2A3E0373" w14:textId="77777777" w:rsidR="002F4450" w:rsidRPr="002F4450" w:rsidRDefault="002F4450" w:rsidP="00187EB7">
      <w:pPr>
        <w:pStyle w:val="ListParagraph"/>
        <w:spacing w:line="480" w:lineRule="auto"/>
        <w:jc w:val="both"/>
        <w:rPr>
          <w:rFonts w:ascii="Times New Roman" w:hAnsi="Times New Roman" w:cs="Times New Roman"/>
          <w:sz w:val="24"/>
          <w:szCs w:val="24"/>
        </w:rPr>
      </w:pPr>
    </w:p>
    <w:p w14:paraId="43767D3E" w14:textId="77777777" w:rsidR="002F4450" w:rsidRDefault="002F4450" w:rsidP="00187EB7">
      <w:pPr>
        <w:pStyle w:val="ListParagraph"/>
        <w:numPr>
          <w:ilvl w:val="0"/>
          <w:numId w:val="5"/>
        </w:numPr>
        <w:spacing w:line="480" w:lineRule="auto"/>
        <w:jc w:val="both"/>
        <w:rPr>
          <w:rFonts w:ascii="Times New Roman" w:hAnsi="Times New Roman" w:cs="Times New Roman"/>
          <w:sz w:val="24"/>
          <w:szCs w:val="24"/>
        </w:rPr>
      </w:pPr>
      <w:r w:rsidRPr="009A78A3">
        <w:rPr>
          <w:rFonts w:ascii="Times New Roman" w:hAnsi="Times New Roman" w:cs="Times New Roman"/>
          <w:sz w:val="24"/>
          <w:szCs w:val="24"/>
        </w:rPr>
        <w:t>O’Toole S, Marro F, Loomans BA, Mehta SB. Monitoring of erosive tooth wear: what to use and when to use it. British dental journal. 2023 Mar 24;234(6):463-7.</w:t>
      </w:r>
    </w:p>
    <w:p w14:paraId="03F2A697" w14:textId="77777777" w:rsidR="00E91CF0" w:rsidRPr="00E91CF0" w:rsidRDefault="00E91CF0" w:rsidP="00187EB7">
      <w:pPr>
        <w:pStyle w:val="ListParagraph"/>
        <w:spacing w:line="480" w:lineRule="auto"/>
        <w:jc w:val="both"/>
        <w:rPr>
          <w:rFonts w:ascii="Times New Roman" w:hAnsi="Times New Roman" w:cs="Times New Roman"/>
          <w:sz w:val="24"/>
          <w:szCs w:val="24"/>
        </w:rPr>
      </w:pPr>
    </w:p>
    <w:p w14:paraId="45498610" w14:textId="77777777" w:rsidR="00E91CF0" w:rsidRDefault="00E91CF0"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E91CF0">
        <w:rPr>
          <w:rFonts w:ascii="Times New Roman" w:hAnsi="Times New Roman" w:cs="Times New Roman"/>
          <w:sz w:val="24"/>
          <w:szCs w:val="24"/>
        </w:rPr>
        <w:t>Mitrirattanakul</w:t>
      </w:r>
      <w:proofErr w:type="spellEnd"/>
      <w:r w:rsidRPr="00E91CF0">
        <w:rPr>
          <w:rFonts w:ascii="Times New Roman" w:hAnsi="Times New Roman" w:cs="Times New Roman"/>
          <w:sz w:val="24"/>
          <w:szCs w:val="24"/>
        </w:rPr>
        <w:t xml:space="preserve"> S, </w:t>
      </w:r>
      <w:proofErr w:type="spellStart"/>
      <w:r w:rsidRPr="00E91CF0">
        <w:rPr>
          <w:rFonts w:ascii="Times New Roman" w:hAnsi="Times New Roman" w:cs="Times New Roman"/>
          <w:sz w:val="24"/>
          <w:szCs w:val="24"/>
        </w:rPr>
        <w:t>Neoh</w:t>
      </w:r>
      <w:proofErr w:type="spellEnd"/>
      <w:r w:rsidRPr="00E91CF0">
        <w:rPr>
          <w:rFonts w:ascii="Times New Roman" w:hAnsi="Times New Roman" w:cs="Times New Roman"/>
          <w:sz w:val="24"/>
          <w:szCs w:val="24"/>
        </w:rPr>
        <w:t xml:space="preserve"> SP, </w:t>
      </w:r>
      <w:proofErr w:type="spellStart"/>
      <w:r w:rsidRPr="00E91CF0">
        <w:rPr>
          <w:rFonts w:ascii="Times New Roman" w:hAnsi="Times New Roman" w:cs="Times New Roman"/>
          <w:sz w:val="24"/>
          <w:szCs w:val="24"/>
        </w:rPr>
        <w:t>Chalarmchaichaloenkit</w:t>
      </w:r>
      <w:proofErr w:type="spellEnd"/>
      <w:r w:rsidRPr="00E91CF0">
        <w:rPr>
          <w:rFonts w:ascii="Times New Roman" w:hAnsi="Times New Roman" w:cs="Times New Roman"/>
          <w:sz w:val="24"/>
          <w:szCs w:val="24"/>
        </w:rPr>
        <w:t xml:space="preserve"> J, </w:t>
      </w:r>
      <w:proofErr w:type="spellStart"/>
      <w:r w:rsidRPr="00E91CF0">
        <w:rPr>
          <w:rFonts w:ascii="Times New Roman" w:hAnsi="Times New Roman" w:cs="Times New Roman"/>
          <w:sz w:val="24"/>
          <w:szCs w:val="24"/>
        </w:rPr>
        <w:t>Limthanabodi</w:t>
      </w:r>
      <w:proofErr w:type="spellEnd"/>
      <w:r w:rsidRPr="00E91CF0">
        <w:rPr>
          <w:rFonts w:ascii="Times New Roman" w:hAnsi="Times New Roman" w:cs="Times New Roman"/>
          <w:sz w:val="24"/>
          <w:szCs w:val="24"/>
        </w:rPr>
        <w:t xml:space="preserve"> C, </w:t>
      </w:r>
      <w:proofErr w:type="spellStart"/>
      <w:r w:rsidRPr="00E91CF0">
        <w:rPr>
          <w:rFonts w:ascii="Times New Roman" w:hAnsi="Times New Roman" w:cs="Times New Roman"/>
          <w:sz w:val="24"/>
          <w:szCs w:val="24"/>
        </w:rPr>
        <w:t>Trerayapiwat</w:t>
      </w:r>
      <w:proofErr w:type="spellEnd"/>
      <w:r w:rsidRPr="00E91CF0">
        <w:rPr>
          <w:rFonts w:ascii="Times New Roman" w:hAnsi="Times New Roman" w:cs="Times New Roman"/>
          <w:sz w:val="24"/>
          <w:szCs w:val="24"/>
        </w:rPr>
        <w:t xml:space="preserve"> C, </w:t>
      </w:r>
      <w:proofErr w:type="spellStart"/>
      <w:r w:rsidRPr="00E91CF0">
        <w:rPr>
          <w:rFonts w:ascii="Times New Roman" w:hAnsi="Times New Roman" w:cs="Times New Roman"/>
          <w:sz w:val="24"/>
          <w:szCs w:val="24"/>
        </w:rPr>
        <w:t>Pipatpajong</w:t>
      </w:r>
      <w:proofErr w:type="spellEnd"/>
      <w:r w:rsidRPr="00E91CF0">
        <w:rPr>
          <w:rFonts w:ascii="Times New Roman" w:hAnsi="Times New Roman" w:cs="Times New Roman"/>
          <w:sz w:val="24"/>
          <w:szCs w:val="24"/>
        </w:rPr>
        <w:t xml:space="preserve"> N, </w:t>
      </w:r>
      <w:proofErr w:type="spellStart"/>
      <w:r w:rsidRPr="00E91CF0">
        <w:rPr>
          <w:rFonts w:ascii="Times New Roman" w:hAnsi="Times New Roman" w:cs="Times New Roman"/>
          <w:sz w:val="24"/>
          <w:szCs w:val="24"/>
        </w:rPr>
        <w:t>Taechushong</w:t>
      </w:r>
      <w:proofErr w:type="spellEnd"/>
      <w:r w:rsidRPr="00E91CF0">
        <w:rPr>
          <w:rFonts w:ascii="Times New Roman" w:hAnsi="Times New Roman" w:cs="Times New Roman"/>
          <w:sz w:val="24"/>
          <w:szCs w:val="24"/>
        </w:rPr>
        <w:t xml:space="preserve"> N, </w:t>
      </w:r>
      <w:proofErr w:type="spellStart"/>
      <w:r w:rsidRPr="00E91CF0">
        <w:rPr>
          <w:rFonts w:ascii="Times New Roman" w:hAnsi="Times New Roman" w:cs="Times New Roman"/>
          <w:sz w:val="24"/>
          <w:szCs w:val="24"/>
        </w:rPr>
        <w:t>Chintavalakorn</w:t>
      </w:r>
      <w:proofErr w:type="spellEnd"/>
      <w:r w:rsidRPr="00E91CF0">
        <w:rPr>
          <w:rFonts w:ascii="Times New Roman" w:hAnsi="Times New Roman" w:cs="Times New Roman"/>
          <w:sz w:val="24"/>
          <w:szCs w:val="24"/>
        </w:rPr>
        <w:t xml:space="preserve"> R. Accuracy of the intraoral scanner for detection of tooth wear. International dental journal. 2023 Feb 1;73(1):56-62.</w:t>
      </w:r>
    </w:p>
    <w:p w14:paraId="6CDBFA68" w14:textId="77777777" w:rsidR="00B61A50" w:rsidRPr="00B61A50" w:rsidRDefault="00B61A50" w:rsidP="00187EB7">
      <w:pPr>
        <w:pStyle w:val="ListParagraph"/>
        <w:spacing w:line="480" w:lineRule="auto"/>
        <w:jc w:val="both"/>
        <w:rPr>
          <w:rFonts w:ascii="Times New Roman" w:hAnsi="Times New Roman" w:cs="Times New Roman"/>
          <w:sz w:val="24"/>
          <w:szCs w:val="24"/>
        </w:rPr>
      </w:pPr>
    </w:p>
    <w:p w14:paraId="762E67E4" w14:textId="77777777" w:rsidR="0077498A" w:rsidRDefault="0077498A" w:rsidP="00187EB7">
      <w:pPr>
        <w:pStyle w:val="ListParagraph"/>
        <w:numPr>
          <w:ilvl w:val="0"/>
          <w:numId w:val="5"/>
        </w:numPr>
        <w:spacing w:line="480" w:lineRule="auto"/>
        <w:jc w:val="both"/>
        <w:rPr>
          <w:rFonts w:ascii="Times New Roman" w:hAnsi="Times New Roman" w:cs="Times New Roman"/>
          <w:sz w:val="24"/>
          <w:szCs w:val="24"/>
        </w:rPr>
      </w:pPr>
      <w:r w:rsidRPr="0077498A">
        <w:rPr>
          <w:rFonts w:ascii="Times New Roman" w:hAnsi="Times New Roman" w:cs="Times New Roman"/>
          <w:sz w:val="24"/>
          <w:szCs w:val="24"/>
        </w:rPr>
        <w:t xml:space="preserve">van </w:t>
      </w:r>
      <w:proofErr w:type="spellStart"/>
      <w:r w:rsidRPr="0077498A">
        <w:rPr>
          <w:rFonts w:ascii="Times New Roman" w:hAnsi="Times New Roman" w:cs="Times New Roman"/>
          <w:sz w:val="24"/>
          <w:szCs w:val="24"/>
        </w:rPr>
        <w:t>Nistelrooij</w:t>
      </w:r>
      <w:proofErr w:type="spellEnd"/>
      <w:r w:rsidRPr="0077498A">
        <w:rPr>
          <w:rFonts w:ascii="Times New Roman" w:hAnsi="Times New Roman" w:cs="Times New Roman"/>
          <w:sz w:val="24"/>
          <w:szCs w:val="24"/>
        </w:rPr>
        <w:t xml:space="preserve"> N, Maier E, </w:t>
      </w:r>
      <w:proofErr w:type="spellStart"/>
      <w:r w:rsidRPr="0077498A">
        <w:rPr>
          <w:rFonts w:ascii="Times New Roman" w:hAnsi="Times New Roman" w:cs="Times New Roman"/>
          <w:sz w:val="24"/>
          <w:szCs w:val="24"/>
        </w:rPr>
        <w:t>Bronkhorst</w:t>
      </w:r>
      <w:proofErr w:type="spellEnd"/>
      <w:r w:rsidRPr="0077498A">
        <w:rPr>
          <w:rFonts w:ascii="Times New Roman" w:hAnsi="Times New Roman" w:cs="Times New Roman"/>
          <w:sz w:val="24"/>
          <w:szCs w:val="24"/>
        </w:rPr>
        <w:t xml:space="preserve"> H, </w:t>
      </w:r>
      <w:proofErr w:type="spellStart"/>
      <w:r w:rsidRPr="0077498A">
        <w:rPr>
          <w:rFonts w:ascii="Times New Roman" w:hAnsi="Times New Roman" w:cs="Times New Roman"/>
          <w:sz w:val="24"/>
          <w:szCs w:val="24"/>
        </w:rPr>
        <w:t>Crins</w:t>
      </w:r>
      <w:proofErr w:type="spellEnd"/>
      <w:r w:rsidRPr="0077498A">
        <w:rPr>
          <w:rFonts w:ascii="Times New Roman" w:hAnsi="Times New Roman" w:cs="Times New Roman"/>
          <w:sz w:val="24"/>
          <w:szCs w:val="24"/>
        </w:rPr>
        <w:t xml:space="preserve"> L, Xi T, </w:t>
      </w:r>
      <w:proofErr w:type="spellStart"/>
      <w:r w:rsidRPr="0077498A">
        <w:rPr>
          <w:rFonts w:ascii="Times New Roman" w:hAnsi="Times New Roman" w:cs="Times New Roman"/>
          <w:sz w:val="24"/>
          <w:szCs w:val="24"/>
        </w:rPr>
        <w:t>Loomans</w:t>
      </w:r>
      <w:proofErr w:type="spellEnd"/>
      <w:r w:rsidRPr="0077498A">
        <w:rPr>
          <w:rFonts w:ascii="Times New Roman" w:hAnsi="Times New Roman" w:cs="Times New Roman"/>
          <w:sz w:val="24"/>
          <w:szCs w:val="24"/>
        </w:rPr>
        <w:t xml:space="preserve"> BA, </w:t>
      </w:r>
      <w:proofErr w:type="spellStart"/>
      <w:r w:rsidRPr="0077498A">
        <w:rPr>
          <w:rFonts w:ascii="Times New Roman" w:hAnsi="Times New Roman" w:cs="Times New Roman"/>
          <w:sz w:val="24"/>
          <w:szCs w:val="24"/>
        </w:rPr>
        <w:t>Vinayahalingam</w:t>
      </w:r>
      <w:proofErr w:type="spellEnd"/>
      <w:r w:rsidRPr="0077498A">
        <w:rPr>
          <w:rFonts w:ascii="Times New Roman" w:hAnsi="Times New Roman" w:cs="Times New Roman"/>
          <w:sz w:val="24"/>
          <w:szCs w:val="24"/>
        </w:rPr>
        <w:t xml:space="preserve"> S. Automated monitoring of tooth wear progression using AI on intraoral scans. Journal of Dentistry. 2024 Nov </w:t>
      </w:r>
      <w:proofErr w:type="gramStart"/>
      <w:r w:rsidRPr="0077498A">
        <w:rPr>
          <w:rFonts w:ascii="Times New Roman" w:hAnsi="Times New Roman" w:cs="Times New Roman"/>
          <w:sz w:val="24"/>
          <w:szCs w:val="24"/>
        </w:rPr>
        <w:t>1;150:105323</w:t>
      </w:r>
      <w:proofErr w:type="gramEnd"/>
      <w:r w:rsidRPr="0077498A">
        <w:rPr>
          <w:rFonts w:ascii="Times New Roman" w:hAnsi="Times New Roman" w:cs="Times New Roman"/>
          <w:sz w:val="24"/>
          <w:szCs w:val="24"/>
        </w:rPr>
        <w:t>.</w:t>
      </w:r>
    </w:p>
    <w:p w14:paraId="0BBFF2CE" w14:textId="77777777" w:rsidR="00C24B56" w:rsidRPr="00C24B56" w:rsidRDefault="00C24B56" w:rsidP="00187EB7">
      <w:pPr>
        <w:pStyle w:val="ListParagraph"/>
        <w:spacing w:line="480" w:lineRule="auto"/>
        <w:jc w:val="both"/>
        <w:rPr>
          <w:rFonts w:ascii="Times New Roman" w:hAnsi="Times New Roman" w:cs="Times New Roman"/>
          <w:sz w:val="24"/>
          <w:szCs w:val="24"/>
        </w:rPr>
      </w:pPr>
    </w:p>
    <w:p w14:paraId="3933A0F7" w14:textId="77777777" w:rsidR="00F97C59" w:rsidRPr="00A354B5" w:rsidRDefault="00F97C59" w:rsidP="00187EB7">
      <w:pPr>
        <w:pStyle w:val="ListParagraph"/>
        <w:numPr>
          <w:ilvl w:val="0"/>
          <w:numId w:val="5"/>
        </w:numPr>
        <w:spacing w:line="480" w:lineRule="auto"/>
        <w:jc w:val="both"/>
        <w:rPr>
          <w:rFonts w:ascii="Times New Roman" w:hAnsi="Times New Roman" w:cs="Times New Roman"/>
          <w:sz w:val="24"/>
          <w:szCs w:val="24"/>
        </w:rPr>
      </w:pPr>
      <w:r w:rsidRPr="00A354B5">
        <w:rPr>
          <w:rFonts w:ascii="Times New Roman" w:hAnsi="Times New Roman" w:cs="Times New Roman"/>
          <w:sz w:val="24"/>
          <w:szCs w:val="24"/>
        </w:rPr>
        <w:t>Al-</w:t>
      </w:r>
      <w:proofErr w:type="spellStart"/>
      <w:r w:rsidRPr="00A354B5">
        <w:rPr>
          <w:rFonts w:ascii="Times New Roman" w:hAnsi="Times New Roman" w:cs="Times New Roman"/>
          <w:sz w:val="24"/>
          <w:szCs w:val="24"/>
        </w:rPr>
        <w:t>Seelawi</w:t>
      </w:r>
      <w:proofErr w:type="spellEnd"/>
      <w:r w:rsidRPr="00A354B5">
        <w:rPr>
          <w:rFonts w:ascii="Times New Roman" w:hAnsi="Times New Roman" w:cs="Times New Roman"/>
          <w:sz w:val="24"/>
          <w:szCs w:val="24"/>
        </w:rPr>
        <w:t xml:space="preserve"> Z, Hermann NV, Peutzfeldt A, Baram S, Bakke M, </w:t>
      </w:r>
      <w:proofErr w:type="spellStart"/>
      <w:r w:rsidRPr="00A354B5">
        <w:rPr>
          <w:rFonts w:ascii="Times New Roman" w:hAnsi="Times New Roman" w:cs="Times New Roman"/>
          <w:sz w:val="24"/>
          <w:szCs w:val="24"/>
        </w:rPr>
        <w:t>Sonnesen</w:t>
      </w:r>
      <w:proofErr w:type="spellEnd"/>
      <w:r w:rsidRPr="00A354B5">
        <w:rPr>
          <w:rFonts w:ascii="Times New Roman" w:hAnsi="Times New Roman" w:cs="Times New Roman"/>
          <w:sz w:val="24"/>
          <w:szCs w:val="24"/>
        </w:rPr>
        <w:t xml:space="preserve"> L, </w:t>
      </w:r>
      <w:proofErr w:type="spellStart"/>
      <w:r w:rsidRPr="00A354B5">
        <w:rPr>
          <w:rFonts w:ascii="Times New Roman" w:hAnsi="Times New Roman" w:cs="Times New Roman"/>
          <w:sz w:val="24"/>
          <w:szCs w:val="24"/>
        </w:rPr>
        <w:t>Tsakanikou</w:t>
      </w:r>
      <w:proofErr w:type="spellEnd"/>
      <w:r w:rsidRPr="00A354B5">
        <w:rPr>
          <w:rFonts w:ascii="Times New Roman" w:hAnsi="Times New Roman" w:cs="Times New Roman"/>
          <w:sz w:val="24"/>
          <w:szCs w:val="24"/>
        </w:rPr>
        <w:t xml:space="preserve"> A, </w:t>
      </w:r>
      <w:proofErr w:type="spellStart"/>
      <w:r w:rsidRPr="00A354B5">
        <w:rPr>
          <w:rFonts w:ascii="Times New Roman" w:hAnsi="Times New Roman" w:cs="Times New Roman"/>
          <w:sz w:val="24"/>
          <w:szCs w:val="24"/>
        </w:rPr>
        <w:t>Rahiotis</w:t>
      </w:r>
      <w:proofErr w:type="spellEnd"/>
      <w:r w:rsidRPr="00A354B5">
        <w:rPr>
          <w:rFonts w:ascii="Times New Roman" w:hAnsi="Times New Roman" w:cs="Times New Roman"/>
          <w:sz w:val="24"/>
          <w:szCs w:val="24"/>
        </w:rPr>
        <w:t xml:space="preserve"> C, Benetti AR. Clinical and digital assessment of tooth wear. Scientific reports. 2024 Jan 5;14(1):592.</w:t>
      </w:r>
    </w:p>
    <w:p w14:paraId="1DF5D40E" w14:textId="77777777" w:rsidR="00A354B5" w:rsidRPr="00A354B5" w:rsidRDefault="00A354B5" w:rsidP="00187EB7">
      <w:pPr>
        <w:pStyle w:val="ListParagraph"/>
        <w:spacing w:line="480" w:lineRule="auto"/>
        <w:jc w:val="both"/>
        <w:rPr>
          <w:rFonts w:ascii="Times New Roman" w:hAnsi="Times New Roman" w:cs="Times New Roman"/>
          <w:sz w:val="24"/>
          <w:szCs w:val="24"/>
        </w:rPr>
      </w:pPr>
    </w:p>
    <w:p w14:paraId="0DC96DAA" w14:textId="33DCFC25" w:rsidR="00473999" w:rsidRPr="00187EB7" w:rsidRDefault="00A354B5"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A354B5">
        <w:rPr>
          <w:rFonts w:ascii="Times New Roman" w:hAnsi="Times New Roman" w:cs="Times New Roman"/>
          <w:sz w:val="24"/>
          <w:szCs w:val="24"/>
        </w:rPr>
        <w:t>Gkantidis</w:t>
      </w:r>
      <w:proofErr w:type="spellEnd"/>
      <w:r w:rsidRPr="00A354B5">
        <w:rPr>
          <w:rFonts w:ascii="Times New Roman" w:hAnsi="Times New Roman" w:cs="Times New Roman"/>
          <w:sz w:val="24"/>
          <w:szCs w:val="24"/>
        </w:rPr>
        <w:t xml:space="preserve"> N, Dritsas K, </w:t>
      </w:r>
      <w:proofErr w:type="spellStart"/>
      <w:r w:rsidRPr="00A354B5">
        <w:rPr>
          <w:rFonts w:ascii="Times New Roman" w:hAnsi="Times New Roman" w:cs="Times New Roman"/>
          <w:sz w:val="24"/>
          <w:szCs w:val="24"/>
        </w:rPr>
        <w:t>Katsaros</w:t>
      </w:r>
      <w:proofErr w:type="spellEnd"/>
      <w:r w:rsidRPr="00A354B5">
        <w:rPr>
          <w:rFonts w:ascii="Times New Roman" w:hAnsi="Times New Roman" w:cs="Times New Roman"/>
          <w:sz w:val="24"/>
          <w:szCs w:val="24"/>
        </w:rPr>
        <w:t xml:space="preserve"> C, </w:t>
      </w:r>
      <w:proofErr w:type="spellStart"/>
      <w:r w:rsidRPr="00A354B5">
        <w:rPr>
          <w:rFonts w:ascii="Times New Roman" w:hAnsi="Times New Roman" w:cs="Times New Roman"/>
          <w:sz w:val="24"/>
          <w:szCs w:val="24"/>
        </w:rPr>
        <w:t>Halazonetis</w:t>
      </w:r>
      <w:proofErr w:type="spellEnd"/>
      <w:r w:rsidRPr="00A354B5">
        <w:rPr>
          <w:rFonts w:ascii="Times New Roman" w:hAnsi="Times New Roman" w:cs="Times New Roman"/>
          <w:sz w:val="24"/>
          <w:szCs w:val="24"/>
        </w:rPr>
        <w:t xml:space="preserve"> D, Ren Y. 3D occlusal tooth wear assessment in presence of limited changes in non-occlusal surfaces. Diagnostics. 2021 Jun 4;11(6):1033.</w:t>
      </w:r>
    </w:p>
    <w:sectPr w:rsidR="00473999" w:rsidRPr="00187EB7">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9FAD0" w14:textId="77777777" w:rsidR="00345CF0" w:rsidRDefault="00345CF0" w:rsidP="00A25C64">
      <w:pPr>
        <w:spacing w:after="0" w:line="240" w:lineRule="auto"/>
      </w:pPr>
      <w:r>
        <w:separator/>
      </w:r>
    </w:p>
  </w:endnote>
  <w:endnote w:type="continuationSeparator" w:id="0">
    <w:p w14:paraId="11AAD12C" w14:textId="77777777" w:rsidR="00345CF0" w:rsidRDefault="00345CF0" w:rsidP="00A2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F9C0" w14:textId="77777777" w:rsidR="003140F2" w:rsidRDefault="00314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9DB2" w14:textId="77777777" w:rsidR="003140F2" w:rsidRDefault="003140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16D5" w14:textId="77777777" w:rsidR="003140F2" w:rsidRDefault="00314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D430A" w14:textId="77777777" w:rsidR="00345CF0" w:rsidRDefault="00345CF0" w:rsidP="00A25C64">
      <w:pPr>
        <w:spacing w:after="0" w:line="240" w:lineRule="auto"/>
      </w:pPr>
      <w:r>
        <w:separator/>
      </w:r>
    </w:p>
  </w:footnote>
  <w:footnote w:type="continuationSeparator" w:id="0">
    <w:p w14:paraId="0D1DCABF" w14:textId="77777777" w:rsidR="00345CF0" w:rsidRDefault="00345CF0" w:rsidP="00A25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7C874" w14:textId="3ED24032" w:rsidR="003140F2" w:rsidRDefault="003140F2">
    <w:pPr>
      <w:pStyle w:val="Header"/>
    </w:pPr>
    <w:r>
      <w:rPr>
        <w:noProof/>
      </w:rPr>
      <w:pict w14:anchorId="47D48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9A37" w14:textId="2DE64B68" w:rsidR="003140F2" w:rsidRDefault="003140F2">
    <w:pPr>
      <w:pStyle w:val="Header"/>
    </w:pPr>
    <w:r>
      <w:rPr>
        <w:noProof/>
      </w:rPr>
      <w:pict w14:anchorId="56C06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C17C" w14:textId="4CEC02DA" w:rsidR="003140F2" w:rsidRDefault="003140F2">
    <w:pPr>
      <w:pStyle w:val="Header"/>
    </w:pPr>
    <w:r>
      <w:rPr>
        <w:noProof/>
      </w:rPr>
      <w:pict w14:anchorId="3C7AC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16C6A"/>
    <w:multiLevelType w:val="multilevel"/>
    <w:tmpl w:val="EB6AC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63018A"/>
    <w:multiLevelType w:val="hybridMultilevel"/>
    <w:tmpl w:val="98EE7A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D34EBB"/>
    <w:multiLevelType w:val="hybridMultilevel"/>
    <w:tmpl w:val="2F88BA5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3A093B46"/>
    <w:multiLevelType w:val="hybridMultilevel"/>
    <w:tmpl w:val="5C5CCA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DA6E7E"/>
    <w:multiLevelType w:val="multilevel"/>
    <w:tmpl w:val="3BCC6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48A"/>
    <w:rsid w:val="00043CEB"/>
    <w:rsid w:val="00045897"/>
    <w:rsid w:val="0005177A"/>
    <w:rsid w:val="0005447E"/>
    <w:rsid w:val="00063659"/>
    <w:rsid w:val="0008522F"/>
    <w:rsid w:val="00094805"/>
    <w:rsid w:val="00094EB4"/>
    <w:rsid w:val="000A4097"/>
    <w:rsid w:val="000B0A2B"/>
    <w:rsid w:val="000D24BA"/>
    <w:rsid w:val="000D6B2C"/>
    <w:rsid w:val="000F5F65"/>
    <w:rsid w:val="000F6201"/>
    <w:rsid w:val="00115E71"/>
    <w:rsid w:val="00125913"/>
    <w:rsid w:val="00135705"/>
    <w:rsid w:val="00141BD9"/>
    <w:rsid w:val="001425EC"/>
    <w:rsid w:val="00153E87"/>
    <w:rsid w:val="0016458F"/>
    <w:rsid w:val="001725AC"/>
    <w:rsid w:val="00187EB7"/>
    <w:rsid w:val="0019148C"/>
    <w:rsid w:val="001939AC"/>
    <w:rsid w:val="001B50C2"/>
    <w:rsid w:val="001B6823"/>
    <w:rsid w:val="001D37D6"/>
    <w:rsid w:val="001D3AE5"/>
    <w:rsid w:val="001D768D"/>
    <w:rsid w:val="00202107"/>
    <w:rsid w:val="00221D48"/>
    <w:rsid w:val="002257D1"/>
    <w:rsid w:val="00240EF5"/>
    <w:rsid w:val="00243520"/>
    <w:rsid w:val="002620C5"/>
    <w:rsid w:val="002734FB"/>
    <w:rsid w:val="002954D1"/>
    <w:rsid w:val="002B423B"/>
    <w:rsid w:val="002B7DE8"/>
    <w:rsid w:val="002C2732"/>
    <w:rsid w:val="002C2C0B"/>
    <w:rsid w:val="002F3A5E"/>
    <w:rsid w:val="002F4450"/>
    <w:rsid w:val="003140F2"/>
    <w:rsid w:val="00321BEA"/>
    <w:rsid w:val="00332E83"/>
    <w:rsid w:val="0033607C"/>
    <w:rsid w:val="00344F2B"/>
    <w:rsid w:val="00345CF0"/>
    <w:rsid w:val="003516FE"/>
    <w:rsid w:val="0036414E"/>
    <w:rsid w:val="003655E4"/>
    <w:rsid w:val="00371CF4"/>
    <w:rsid w:val="00372F80"/>
    <w:rsid w:val="003845D3"/>
    <w:rsid w:val="00390435"/>
    <w:rsid w:val="003905FF"/>
    <w:rsid w:val="00393307"/>
    <w:rsid w:val="00394EBE"/>
    <w:rsid w:val="003A7D4A"/>
    <w:rsid w:val="003C0A5E"/>
    <w:rsid w:val="003C67EB"/>
    <w:rsid w:val="003D1B33"/>
    <w:rsid w:val="003D440C"/>
    <w:rsid w:val="003E5C21"/>
    <w:rsid w:val="003F2983"/>
    <w:rsid w:val="00404E55"/>
    <w:rsid w:val="00422945"/>
    <w:rsid w:val="00436C6D"/>
    <w:rsid w:val="00456295"/>
    <w:rsid w:val="00466AFD"/>
    <w:rsid w:val="004702C3"/>
    <w:rsid w:val="00473999"/>
    <w:rsid w:val="00494DB1"/>
    <w:rsid w:val="0049787C"/>
    <w:rsid w:val="004B736A"/>
    <w:rsid w:val="004B76B5"/>
    <w:rsid w:val="004C1F6B"/>
    <w:rsid w:val="004D461A"/>
    <w:rsid w:val="00512C62"/>
    <w:rsid w:val="00513192"/>
    <w:rsid w:val="00517429"/>
    <w:rsid w:val="00520A60"/>
    <w:rsid w:val="00527B6F"/>
    <w:rsid w:val="00537E58"/>
    <w:rsid w:val="005447A9"/>
    <w:rsid w:val="00545476"/>
    <w:rsid w:val="00556327"/>
    <w:rsid w:val="00597A3B"/>
    <w:rsid w:val="005B26B3"/>
    <w:rsid w:val="005B6216"/>
    <w:rsid w:val="005C6A72"/>
    <w:rsid w:val="005C7F9C"/>
    <w:rsid w:val="005E25DB"/>
    <w:rsid w:val="005E33D9"/>
    <w:rsid w:val="005E4A7A"/>
    <w:rsid w:val="00607283"/>
    <w:rsid w:val="0062521C"/>
    <w:rsid w:val="00636BAC"/>
    <w:rsid w:val="00643860"/>
    <w:rsid w:val="0064646A"/>
    <w:rsid w:val="0065230E"/>
    <w:rsid w:val="00657336"/>
    <w:rsid w:val="0066354D"/>
    <w:rsid w:val="00675C77"/>
    <w:rsid w:val="00685928"/>
    <w:rsid w:val="006A645D"/>
    <w:rsid w:val="006D29B7"/>
    <w:rsid w:val="006D2A9C"/>
    <w:rsid w:val="006D3CE5"/>
    <w:rsid w:val="00704907"/>
    <w:rsid w:val="00707D12"/>
    <w:rsid w:val="00712AF2"/>
    <w:rsid w:val="00723447"/>
    <w:rsid w:val="00723653"/>
    <w:rsid w:val="007321DA"/>
    <w:rsid w:val="0075235B"/>
    <w:rsid w:val="00770B35"/>
    <w:rsid w:val="0077264C"/>
    <w:rsid w:val="0077498A"/>
    <w:rsid w:val="00782E19"/>
    <w:rsid w:val="007844B0"/>
    <w:rsid w:val="0078743B"/>
    <w:rsid w:val="00794C8F"/>
    <w:rsid w:val="007A6FA7"/>
    <w:rsid w:val="007A7D04"/>
    <w:rsid w:val="007B2D27"/>
    <w:rsid w:val="007B6314"/>
    <w:rsid w:val="007C5C53"/>
    <w:rsid w:val="00817DB2"/>
    <w:rsid w:val="0082768A"/>
    <w:rsid w:val="008338F1"/>
    <w:rsid w:val="008557B8"/>
    <w:rsid w:val="008671D2"/>
    <w:rsid w:val="008830B1"/>
    <w:rsid w:val="00885C2B"/>
    <w:rsid w:val="00887C83"/>
    <w:rsid w:val="008B1702"/>
    <w:rsid w:val="008B291B"/>
    <w:rsid w:val="008C3E70"/>
    <w:rsid w:val="008C7578"/>
    <w:rsid w:val="008D12E8"/>
    <w:rsid w:val="008E44FF"/>
    <w:rsid w:val="008F4BE7"/>
    <w:rsid w:val="008F7C5B"/>
    <w:rsid w:val="00924249"/>
    <w:rsid w:val="00927426"/>
    <w:rsid w:val="009459FB"/>
    <w:rsid w:val="009638A7"/>
    <w:rsid w:val="0096730E"/>
    <w:rsid w:val="0098761A"/>
    <w:rsid w:val="00990D27"/>
    <w:rsid w:val="00996903"/>
    <w:rsid w:val="0099748B"/>
    <w:rsid w:val="009A77BB"/>
    <w:rsid w:val="009A78A3"/>
    <w:rsid w:val="009B1CB5"/>
    <w:rsid w:val="009B4B7C"/>
    <w:rsid w:val="009B7180"/>
    <w:rsid w:val="009C5BF0"/>
    <w:rsid w:val="009E2953"/>
    <w:rsid w:val="009E64CE"/>
    <w:rsid w:val="00A137C5"/>
    <w:rsid w:val="00A17E53"/>
    <w:rsid w:val="00A202D8"/>
    <w:rsid w:val="00A25C64"/>
    <w:rsid w:val="00A2704A"/>
    <w:rsid w:val="00A354B5"/>
    <w:rsid w:val="00A35D4A"/>
    <w:rsid w:val="00A36CC9"/>
    <w:rsid w:val="00A46B34"/>
    <w:rsid w:val="00A60AEC"/>
    <w:rsid w:val="00A62CF6"/>
    <w:rsid w:val="00AA0B52"/>
    <w:rsid w:val="00AA2CB6"/>
    <w:rsid w:val="00AA51FD"/>
    <w:rsid w:val="00AB4DFC"/>
    <w:rsid w:val="00AC34EA"/>
    <w:rsid w:val="00AD0EBC"/>
    <w:rsid w:val="00AD7CF4"/>
    <w:rsid w:val="00AF632F"/>
    <w:rsid w:val="00B060CD"/>
    <w:rsid w:val="00B0617A"/>
    <w:rsid w:val="00B067EA"/>
    <w:rsid w:val="00B31460"/>
    <w:rsid w:val="00B517EC"/>
    <w:rsid w:val="00B53481"/>
    <w:rsid w:val="00B54CD8"/>
    <w:rsid w:val="00B6033F"/>
    <w:rsid w:val="00B61A50"/>
    <w:rsid w:val="00B657E5"/>
    <w:rsid w:val="00B73F85"/>
    <w:rsid w:val="00B83C6B"/>
    <w:rsid w:val="00B83EFF"/>
    <w:rsid w:val="00B85967"/>
    <w:rsid w:val="00B9206F"/>
    <w:rsid w:val="00BB0454"/>
    <w:rsid w:val="00BB3910"/>
    <w:rsid w:val="00BE77D3"/>
    <w:rsid w:val="00BF5841"/>
    <w:rsid w:val="00C04B8A"/>
    <w:rsid w:val="00C113A6"/>
    <w:rsid w:val="00C134E6"/>
    <w:rsid w:val="00C2348B"/>
    <w:rsid w:val="00C239F8"/>
    <w:rsid w:val="00C24B56"/>
    <w:rsid w:val="00C26625"/>
    <w:rsid w:val="00C30F78"/>
    <w:rsid w:val="00C7287A"/>
    <w:rsid w:val="00C75457"/>
    <w:rsid w:val="00C77DFC"/>
    <w:rsid w:val="00CB0B4A"/>
    <w:rsid w:val="00CB3C2F"/>
    <w:rsid w:val="00CC6AA3"/>
    <w:rsid w:val="00CE3CB8"/>
    <w:rsid w:val="00D00E19"/>
    <w:rsid w:val="00D11301"/>
    <w:rsid w:val="00D30B53"/>
    <w:rsid w:val="00D366B5"/>
    <w:rsid w:val="00D36B9C"/>
    <w:rsid w:val="00D4123A"/>
    <w:rsid w:val="00D43825"/>
    <w:rsid w:val="00DA039B"/>
    <w:rsid w:val="00DD5854"/>
    <w:rsid w:val="00DE26F5"/>
    <w:rsid w:val="00DE5AC1"/>
    <w:rsid w:val="00DE6348"/>
    <w:rsid w:val="00E01CA3"/>
    <w:rsid w:val="00E03625"/>
    <w:rsid w:val="00E1304B"/>
    <w:rsid w:val="00E3096B"/>
    <w:rsid w:val="00E317B6"/>
    <w:rsid w:val="00E41436"/>
    <w:rsid w:val="00E54876"/>
    <w:rsid w:val="00E55155"/>
    <w:rsid w:val="00E57D0C"/>
    <w:rsid w:val="00E62619"/>
    <w:rsid w:val="00E7166C"/>
    <w:rsid w:val="00E72A8B"/>
    <w:rsid w:val="00E76922"/>
    <w:rsid w:val="00E8048A"/>
    <w:rsid w:val="00E91CF0"/>
    <w:rsid w:val="00EA0828"/>
    <w:rsid w:val="00EA7116"/>
    <w:rsid w:val="00F12E87"/>
    <w:rsid w:val="00F13911"/>
    <w:rsid w:val="00F17BDD"/>
    <w:rsid w:val="00F2265F"/>
    <w:rsid w:val="00F338E8"/>
    <w:rsid w:val="00F473FA"/>
    <w:rsid w:val="00F53795"/>
    <w:rsid w:val="00F60DFF"/>
    <w:rsid w:val="00F62415"/>
    <w:rsid w:val="00F63877"/>
    <w:rsid w:val="00F730F1"/>
    <w:rsid w:val="00F849CA"/>
    <w:rsid w:val="00F8685A"/>
    <w:rsid w:val="00F8761D"/>
    <w:rsid w:val="00F97C59"/>
    <w:rsid w:val="00FB3BA8"/>
    <w:rsid w:val="00FC324F"/>
    <w:rsid w:val="00FD4007"/>
    <w:rsid w:val="00FD5A6F"/>
    <w:rsid w:val="00FD7C47"/>
    <w:rsid w:val="00FE6286"/>
    <w:rsid w:val="00FF08E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09A50"/>
  <w15:chartTrackingRefBased/>
  <w15:docId w15:val="{CEB75376-DE7F-4FEE-ADF1-3C04E333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7EB"/>
  </w:style>
  <w:style w:type="paragraph" w:styleId="Heading1">
    <w:name w:val="heading 1"/>
    <w:basedOn w:val="Normal"/>
    <w:next w:val="Normal"/>
    <w:link w:val="Heading1Char"/>
    <w:uiPriority w:val="9"/>
    <w:qFormat/>
    <w:rsid w:val="00E804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04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04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04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04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04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04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04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04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4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04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04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04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04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04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04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04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048A"/>
    <w:rPr>
      <w:rFonts w:eastAsiaTheme="majorEastAsia" w:cstheme="majorBidi"/>
      <w:color w:val="272727" w:themeColor="text1" w:themeTint="D8"/>
    </w:rPr>
  </w:style>
  <w:style w:type="paragraph" w:styleId="Title">
    <w:name w:val="Title"/>
    <w:basedOn w:val="Normal"/>
    <w:next w:val="Normal"/>
    <w:link w:val="TitleChar"/>
    <w:uiPriority w:val="10"/>
    <w:qFormat/>
    <w:rsid w:val="00E80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04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04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04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048A"/>
    <w:pPr>
      <w:spacing w:before="160"/>
      <w:jc w:val="center"/>
    </w:pPr>
    <w:rPr>
      <w:i/>
      <w:iCs/>
      <w:color w:val="404040" w:themeColor="text1" w:themeTint="BF"/>
    </w:rPr>
  </w:style>
  <w:style w:type="character" w:customStyle="1" w:styleId="QuoteChar">
    <w:name w:val="Quote Char"/>
    <w:basedOn w:val="DefaultParagraphFont"/>
    <w:link w:val="Quote"/>
    <w:uiPriority w:val="29"/>
    <w:rsid w:val="00E8048A"/>
    <w:rPr>
      <w:i/>
      <w:iCs/>
      <w:color w:val="404040" w:themeColor="text1" w:themeTint="BF"/>
    </w:rPr>
  </w:style>
  <w:style w:type="paragraph" w:styleId="ListParagraph">
    <w:name w:val="List Paragraph"/>
    <w:basedOn w:val="Normal"/>
    <w:uiPriority w:val="34"/>
    <w:qFormat/>
    <w:rsid w:val="00E8048A"/>
    <w:pPr>
      <w:ind w:left="720"/>
      <w:contextualSpacing/>
    </w:pPr>
  </w:style>
  <w:style w:type="character" w:styleId="IntenseEmphasis">
    <w:name w:val="Intense Emphasis"/>
    <w:basedOn w:val="DefaultParagraphFont"/>
    <w:uiPriority w:val="21"/>
    <w:qFormat/>
    <w:rsid w:val="00E8048A"/>
    <w:rPr>
      <w:i/>
      <w:iCs/>
      <w:color w:val="2F5496" w:themeColor="accent1" w:themeShade="BF"/>
    </w:rPr>
  </w:style>
  <w:style w:type="paragraph" w:styleId="IntenseQuote">
    <w:name w:val="Intense Quote"/>
    <w:basedOn w:val="Normal"/>
    <w:next w:val="Normal"/>
    <w:link w:val="IntenseQuoteChar"/>
    <w:uiPriority w:val="30"/>
    <w:qFormat/>
    <w:rsid w:val="00E804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048A"/>
    <w:rPr>
      <w:i/>
      <w:iCs/>
      <w:color w:val="2F5496" w:themeColor="accent1" w:themeShade="BF"/>
    </w:rPr>
  </w:style>
  <w:style w:type="character" w:styleId="IntenseReference">
    <w:name w:val="Intense Reference"/>
    <w:basedOn w:val="DefaultParagraphFont"/>
    <w:uiPriority w:val="32"/>
    <w:qFormat/>
    <w:rsid w:val="00E8048A"/>
    <w:rPr>
      <w:b/>
      <w:bCs/>
      <w:smallCaps/>
      <w:color w:val="2F5496" w:themeColor="accent1" w:themeShade="BF"/>
      <w:spacing w:val="5"/>
    </w:rPr>
  </w:style>
  <w:style w:type="paragraph" w:customStyle="1" w:styleId="ds-markdown-paragraph">
    <w:name w:val="ds-markdown-paragraph"/>
    <w:basedOn w:val="Normal"/>
    <w:rsid w:val="00770B3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0D6B2C"/>
    <w:pPr>
      <w:spacing w:after="0" w:line="240" w:lineRule="auto"/>
    </w:pPr>
    <w:rPr>
      <w:kern w:val="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C64"/>
  </w:style>
  <w:style w:type="paragraph" w:styleId="Footer">
    <w:name w:val="footer"/>
    <w:basedOn w:val="Normal"/>
    <w:link w:val="FooterChar"/>
    <w:uiPriority w:val="99"/>
    <w:unhideWhenUsed/>
    <w:rsid w:val="00A25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38965">
      <w:bodyDiv w:val="1"/>
      <w:marLeft w:val="0"/>
      <w:marRight w:val="0"/>
      <w:marTop w:val="0"/>
      <w:marBottom w:val="0"/>
      <w:divBdr>
        <w:top w:val="none" w:sz="0" w:space="0" w:color="auto"/>
        <w:left w:val="none" w:sz="0" w:space="0" w:color="auto"/>
        <w:bottom w:val="none" w:sz="0" w:space="0" w:color="auto"/>
        <w:right w:val="none" w:sz="0" w:space="0" w:color="auto"/>
      </w:divBdr>
    </w:div>
    <w:div w:id="109203488">
      <w:bodyDiv w:val="1"/>
      <w:marLeft w:val="0"/>
      <w:marRight w:val="0"/>
      <w:marTop w:val="0"/>
      <w:marBottom w:val="0"/>
      <w:divBdr>
        <w:top w:val="none" w:sz="0" w:space="0" w:color="auto"/>
        <w:left w:val="none" w:sz="0" w:space="0" w:color="auto"/>
        <w:bottom w:val="none" w:sz="0" w:space="0" w:color="auto"/>
        <w:right w:val="none" w:sz="0" w:space="0" w:color="auto"/>
      </w:divBdr>
    </w:div>
    <w:div w:id="158353939">
      <w:bodyDiv w:val="1"/>
      <w:marLeft w:val="0"/>
      <w:marRight w:val="0"/>
      <w:marTop w:val="0"/>
      <w:marBottom w:val="0"/>
      <w:divBdr>
        <w:top w:val="none" w:sz="0" w:space="0" w:color="auto"/>
        <w:left w:val="none" w:sz="0" w:space="0" w:color="auto"/>
        <w:bottom w:val="none" w:sz="0" w:space="0" w:color="auto"/>
        <w:right w:val="none" w:sz="0" w:space="0" w:color="auto"/>
      </w:divBdr>
    </w:div>
    <w:div w:id="629283530">
      <w:bodyDiv w:val="1"/>
      <w:marLeft w:val="0"/>
      <w:marRight w:val="0"/>
      <w:marTop w:val="0"/>
      <w:marBottom w:val="0"/>
      <w:divBdr>
        <w:top w:val="none" w:sz="0" w:space="0" w:color="auto"/>
        <w:left w:val="none" w:sz="0" w:space="0" w:color="auto"/>
        <w:bottom w:val="none" w:sz="0" w:space="0" w:color="auto"/>
        <w:right w:val="none" w:sz="0" w:space="0" w:color="auto"/>
      </w:divBdr>
    </w:div>
    <w:div w:id="632053685">
      <w:bodyDiv w:val="1"/>
      <w:marLeft w:val="0"/>
      <w:marRight w:val="0"/>
      <w:marTop w:val="0"/>
      <w:marBottom w:val="0"/>
      <w:divBdr>
        <w:top w:val="none" w:sz="0" w:space="0" w:color="auto"/>
        <w:left w:val="none" w:sz="0" w:space="0" w:color="auto"/>
        <w:bottom w:val="none" w:sz="0" w:space="0" w:color="auto"/>
        <w:right w:val="none" w:sz="0" w:space="0" w:color="auto"/>
      </w:divBdr>
    </w:div>
    <w:div w:id="675108597">
      <w:bodyDiv w:val="1"/>
      <w:marLeft w:val="0"/>
      <w:marRight w:val="0"/>
      <w:marTop w:val="0"/>
      <w:marBottom w:val="0"/>
      <w:divBdr>
        <w:top w:val="none" w:sz="0" w:space="0" w:color="auto"/>
        <w:left w:val="none" w:sz="0" w:space="0" w:color="auto"/>
        <w:bottom w:val="none" w:sz="0" w:space="0" w:color="auto"/>
        <w:right w:val="none" w:sz="0" w:space="0" w:color="auto"/>
      </w:divBdr>
    </w:div>
    <w:div w:id="1201472406">
      <w:bodyDiv w:val="1"/>
      <w:marLeft w:val="0"/>
      <w:marRight w:val="0"/>
      <w:marTop w:val="0"/>
      <w:marBottom w:val="0"/>
      <w:divBdr>
        <w:top w:val="none" w:sz="0" w:space="0" w:color="auto"/>
        <w:left w:val="none" w:sz="0" w:space="0" w:color="auto"/>
        <w:bottom w:val="none" w:sz="0" w:space="0" w:color="auto"/>
        <w:right w:val="none" w:sz="0" w:space="0" w:color="auto"/>
      </w:divBdr>
    </w:div>
    <w:div w:id="1264411971">
      <w:bodyDiv w:val="1"/>
      <w:marLeft w:val="0"/>
      <w:marRight w:val="0"/>
      <w:marTop w:val="0"/>
      <w:marBottom w:val="0"/>
      <w:divBdr>
        <w:top w:val="none" w:sz="0" w:space="0" w:color="auto"/>
        <w:left w:val="none" w:sz="0" w:space="0" w:color="auto"/>
        <w:bottom w:val="none" w:sz="0" w:space="0" w:color="auto"/>
        <w:right w:val="none" w:sz="0" w:space="0" w:color="auto"/>
      </w:divBdr>
    </w:div>
    <w:div w:id="1269120703">
      <w:bodyDiv w:val="1"/>
      <w:marLeft w:val="0"/>
      <w:marRight w:val="0"/>
      <w:marTop w:val="0"/>
      <w:marBottom w:val="0"/>
      <w:divBdr>
        <w:top w:val="none" w:sz="0" w:space="0" w:color="auto"/>
        <w:left w:val="none" w:sz="0" w:space="0" w:color="auto"/>
        <w:bottom w:val="none" w:sz="0" w:space="0" w:color="auto"/>
        <w:right w:val="none" w:sz="0" w:space="0" w:color="auto"/>
      </w:divBdr>
    </w:div>
    <w:div w:id="1536192589">
      <w:bodyDiv w:val="1"/>
      <w:marLeft w:val="0"/>
      <w:marRight w:val="0"/>
      <w:marTop w:val="0"/>
      <w:marBottom w:val="0"/>
      <w:divBdr>
        <w:top w:val="none" w:sz="0" w:space="0" w:color="auto"/>
        <w:left w:val="none" w:sz="0" w:space="0" w:color="auto"/>
        <w:bottom w:val="none" w:sz="0" w:space="0" w:color="auto"/>
        <w:right w:val="none" w:sz="0" w:space="0" w:color="auto"/>
      </w:divBdr>
    </w:div>
    <w:div w:id="1791701974">
      <w:bodyDiv w:val="1"/>
      <w:marLeft w:val="0"/>
      <w:marRight w:val="0"/>
      <w:marTop w:val="0"/>
      <w:marBottom w:val="0"/>
      <w:divBdr>
        <w:top w:val="none" w:sz="0" w:space="0" w:color="auto"/>
        <w:left w:val="none" w:sz="0" w:space="0" w:color="auto"/>
        <w:bottom w:val="none" w:sz="0" w:space="0" w:color="auto"/>
        <w:right w:val="none" w:sz="0" w:space="0" w:color="auto"/>
      </w:divBdr>
    </w:div>
    <w:div w:id="1811315461">
      <w:bodyDiv w:val="1"/>
      <w:marLeft w:val="0"/>
      <w:marRight w:val="0"/>
      <w:marTop w:val="0"/>
      <w:marBottom w:val="0"/>
      <w:divBdr>
        <w:top w:val="none" w:sz="0" w:space="0" w:color="auto"/>
        <w:left w:val="none" w:sz="0" w:space="0" w:color="auto"/>
        <w:bottom w:val="none" w:sz="0" w:space="0" w:color="auto"/>
        <w:right w:val="none" w:sz="0" w:space="0" w:color="auto"/>
      </w:divBdr>
    </w:div>
    <w:div w:id="2029525762">
      <w:bodyDiv w:val="1"/>
      <w:marLeft w:val="0"/>
      <w:marRight w:val="0"/>
      <w:marTop w:val="0"/>
      <w:marBottom w:val="0"/>
      <w:divBdr>
        <w:top w:val="none" w:sz="0" w:space="0" w:color="auto"/>
        <w:left w:val="none" w:sz="0" w:space="0" w:color="auto"/>
        <w:bottom w:val="none" w:sz="0" w:space="0" w:color="auto"/>
        <w:right w:val="none" w:sz="0" w:space="0" w:color="auto"/>
      </w:divBdr>
    </w:div>
    <w:div w:id="21311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19</Pages>
  <Words>3902</Words>
  <Characters>22245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Hari Haran</dc:creator>
  <cp:keywords/>
  <dc:description/>
  <cp:lastModifiedBy>SDI 1084</cp:lastModifiedBy>
  <cp:revision>257</cp:revision>
  <dcterms:created xsi:type="dcterms:W3CDTF">2025-08-16T10:16:00Z</dcterms:created>
  <dcterms:modified xsi:type="dcterms:W3CDTF">2025-08-22T10:35:00Z</dcterms:modified>
</cp:coreProperties>
</file>