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206" w:rsidRPr="005A11BB" w:rsidRDefault="00F875DC">
      <w:pPr>
        <w:rPr>
          <w:rFonts w:asciiTheme="majorBidi" w:hAnsiTheme="majorBidi" w:cstheme="majorBidi"/>
          <w:b/>
          <w:bCs/>
          <w:sz w:val="32"/>
          <w:szCs w:val="32"/>
          <w:lang w:val="en-US"/>
        </w:rPr>
      </w:pPr>
      <w:r w:rsidRPr="005A11BB">
        <w:rPr>
          <w:rFonts w:asciiTheme="majorBidi" w:hAnsiTheme="majorBidi" w:cstheme="majorBidi"/>
          <w:b/>
          <w:bCs/>
          <w:sz w:val="32"/>
          <w:szCs w:val="32"/>
          <w:lang w:val="en-US"/>
        </w:rPr>
        <w:t>Tuberculous anal fistula: a case series</w:t>
      </w:r>
    </w:p>
    <w:p w:rsidR="00D1376C" w:rsidRDefault="00D1376C" w:rsidP="00F875DC">
      <w:pPr>
        <w:rPr>
          <w:rFonts w:asciiTheme="majorBidi" w:hAnsiTheme="majorBidi" w:cstheme="majorBidi"/>
          <w:b/>
          <w:bCs/>
          <w:sz w:val="24"/>
          <w:szCs w:val="24"/>
          <w:lang w:val="en-US"/>
        </w:rPr>
      </w:pPr>
    </w:p>
    <w:p w:rsidR="00867E8C" w:rsidRPr="003B2634" w:rsidRDefault="00867E8C" w:rsidP="00F875DC">
      <w:pPr>
        <w:rPr>
          <w:rFonts w:asciiTheme="majorBidi" w:hAnsiTheme="majorBidi" w:cstheme="majorBidi"/>
          <w:b/>
          <w:bCs/>
          <w:sz w:val="24"/>
          <w:szCs w:val="24"/>
          <w:lang w:val="en-US"/>
        </w:rPr>
      </w:pPr>
    </w:p>
    <w:p w:rsidR="00F875DC" w:rsidRPr="00D1376C" w:rsidRDefault="00F875DC" w:rsidP="00F875DC">
      <w:pPr>
        <w:rPr>
          <w:rFonts w:asciiTheme="majorBidi" w:hAnsiTheme="majorBidi" w:cstheme="majorBidi"/>
          <w:b/>
          <w:bCs/>
          <w:sz w:val="24"/>
          <w:szCs w:val="24"/>
          <w:lang w:val="en-US"/>
        </w:rPr>
      </w:pPr>
      <w:r w:rsidRPr="00D1376C">
        <w:rPr>
          <w:rFonts w:asciiTheme="majorBidi" w:hAnsiTheme="majorBidi" w:cstheme="majorBidi"/>
          <w:b/>
          <w:bCs/>
          <w:sz w:val="24"/>
          <w:szCs w:val="24"/>
          <w:lang w:val="en-US"/>
        </w:rPr>
        <w:t>Abstract</w:t>
      </w:r>
    </w:p>
    <w:p w:rsidR="00D1376C" w:rsidRDefault="003B2634" w:rsidP="00F875DC">
      <w:pPr>
        <w:rPr>
          <w:rFonts w:asciiTheme="majorBidi" w:hAnsiTheme="majorBidi" w:cstheme="majorBidi"/>
          <w:b/>
          <w:bCs/>
          <w:sz w:val="24"/>
          <w:szCs w:val="24"/>
          <w:lang w:val="en-US"/>
        </w:rPr>
      </w:pPr>
      <w:r w:rsidRPr="003B2634">
        <w:rPr>
          <w:rFonts w:asciiTheme="majorBidi" w:hAnsiTheme="majorBidi" w:cstheme="majorBidi"/>
          <w:sz w:val="24"/>
          <w:szCs w:val="24"/>
          <w:lang w:val="en-US"/>
        </w:rPr>
        <w:t>Anal tuberculosis is an uncommon form of extrapulmonary tuberculosis, frequently misdiagnosed as cryptoglandular anal fistulas due to similar clinical presentations. In a series of 8 cases observed in a proctologic surgery department, patients initially underwent conventional surgical treatment for the fistula, with a systematic referral of the fistulous tract for pathological examination. Pathological findings raised suspicion of tuberculosis, which was subsequently confirmed using diagnostic tools li</w:t>
      </w:r>
      <w:r w:rsidR="002407A5">
        <w:rPr>
          <w:rFonts w:asciiTheme="majorBidi" w:hAnsiTheme="majorBidi" w:cstheme="majorBidi"/>
          <w:sz w:val="24"/>
          <w:szCs w:val="24"/>
          <w:lang w:val="en-US"/>
        </w:rPr>
        <w:t xml:space="preserve">ke the </w:t>
      </w:r>
      <w:proofErr w:type="spellStart"/>
      <w:r w:rsidR="002407A5">
        <w:rPr>
          <w:rFonts w:asciiTheme="majorBidi" w:hAnsiTheme="majorBidi" w:cstheme="majorBidi"/>
          <w:sz w:val="24"/>
          <w:szCs w:val="24"/>
          <w:lang w:val="en-US"/>
        </w:rPr>
        <w:t>Quantideron</w:t>
      </w:r>
      <w:proofErr w:type="spellEnd"/>
      <w:r w:rsidR="002407A5">
        <w:rPr>
          <w:rFonts w:asciiTheme="majorBidi" w:hAnsiTheme="majorBidi" w:cstheme="majorBidi"/>
          <w:sz w:val="24"/>
          <w:szCs w:val="24"/>
          <w:lang w:val="en-US"/>
        </w:rPr>
        <w:t xml:space="preserve"> test and Polymerase Chain Reaction</w:t>
      </w:r>
      <w:r w:rsidRPr="003B2634">
        <w:rPr>
          <w:rFonts w:asciiTheme="majorBidi" w:hAnsiTheme="majorBidi" w:cstheme="majorBidi"/>
          <w:sz w:val="24"/>
          <w:szCs w:val="24"/>
          <w:lang w:val="en-US"/>
        </w:rPr>
        <w:t xml:space="preserve">. Following diagnosis, all patients were prescribed a 6-month course of </w:t>
      </w:r>
      <w:proofErr w:type="spellStart"/>
      <w:r w:rsidRPr="003B2634">
        <w:rPr>
          <w:rFonts w:asciiTheme="majorBidi" w:hAnsiTheme="majorBidi" w:cstheme="majorBidi"/>
          <w:sz w:val="24"/>
          <w:szCs w:val="24"/>
          <w:lang w:val="en-US"/>
        </w:rPr>
        <w:t>antituberculous</w:t>
      </w:r>
      <w:proofErr w:type="spellEnd"/>
      <w:r w:rsidRPr="003B2634">
        <w:rPr>
          <w:rFonts w:asciiTheme="majorBidi" w:hAnsiTheme="majorBidi" w:cstheme="majorBidi"/>
          <w:sz w:val="24"/>
          <w:szCs w:val="24"/>
          <w:lang w:val="en-US"/>
        </w:rPr>
        <w:t xml:space="preserve"> treatment. The treatment regimen led to favorable outcomes in all cases, highlighting the importance of considering tuberculosis in the differential diagnosis of anal fistulas, particularly in areas with a high prevalence of tuberculosis or in immunocompromised patients. Early detection and appropriate </w:t>
      </w:r>
      <w:proofErr w:type="spellStart"/>
      <w:r w:rsidRPr="003B2634">
        <w:rPr>
          <w:rFonts w:asciiTheme="majorBidi" w:hAnsiTheme="majorBidi" w:cstheme="majorBidi"/>
          <w:sz w:val="24"/>
          <w:szCs w:val="24"/>
          <w:lang w:val="en-US"/>
        </w:rPr>
        <w:t>antituberculous</w:t>
      </w:r>
      <w:proofErr w:type="spellEnd"/>
      <w:r w:rsidRPr="003B2634">
        <w:rPr>
          <w:rFonts w:asciiTheme="majorBidi" w:hAnsiTheme="majorBidi" w:cstheme="majorBidi"/>
          <w:sz w:val="24"/>
          <w:szCs w:val="24"/>
          <w:lang w:val="en-US"/>
        </w:rPr>
        <w:t xml:space="preserve"> therapy are essential for successful treatment of anal tuberculosis.</w:t>
      </w:r>
      <w:r w:rsidR="00F875DC" w:rsidRPr="00D1376C">
        <w:rPr>
          <w:rFonts w:asciiTheme="majorBidi" w:hAnsiTheme="majorBidi" w:cstheme="majorBidi"/>
          <w:sz w:val="24"/>
          <w:szCs w:val="24"/>
          <w:lang w:val="en-US"/>
        </w:rPr>
        <w:br/>
      </w:r>
    </w:p>
    <w:p w:rsidR="00F875DC" w:rsidRPr="00D1376C" w:rsidRDefault="00563D29" w:rsidP="00942A58">
      <w:pPr>
        <w:rPr>
          <w:rFonts w:asciiTheme="majorBidi" w:hAnsiTheme="majorBidi" w:cstheme="majorBidi"/>
          <w:sz w:val="24"/>
          <w:szCs w:val="24"/>
          <w:lang w:val="en-US"/>
        </w:rPr>
      </w:pPr>
      <w:r w:rsidRPr="00D1376C">
        <w:rPr>
          <w:rFonts w:asciiTheme="majorBidi" w:hAnsiTheme="majorBidi" w:cstheme="majorBidi"/>
          <w:b/>
          <w:bCs/>
          <w:sz w:val="24"/>
          <w:szCs w:val="24"/>
          <w:lang w:val="en-US"/>
        </w:rPr>
        <w:t>Keywords</w:t>
      </w:r>
      <w:r w:rsidR="00F875DC" w:rsidRPr="00D1376C">
        <w:rPr>
          <w:rFonts w:asciiTheme="majorBidi" w:hAnsiTheme="majorBidi" w:cstheme="majorBidi"/>
          <w:b/>
          <w:bCs/>
          <w:sz w:val="24"/>
          <w:szCs w:val="24"/>
          <w:lang w:val="en-US"/>
        </w:rPr>
        <w:t>:</w:t>
      </w:r>
      <w:r w:rsidR="00F875DC" w:rsidRPr="00D1376C">
        <w:rPr>
          <w:rFonts w:asciiTheme="majorBidi" w:hAnsiTheme="majorBidi" w:cstheme="majorBidi"/>
          <w:sz w:val="24"/>
          <w:szCs w:val="24"/>
          <w:lang w:val="en-US"/>
        </w:rPr>
        <w:t xml:space="preserve"> anal fistula, tuberculosis, periana</w:t>
      </w:r>
      <w:r w:rsidR="00942A58">
        <w:rPr>
          <w:rFonts w:asciiTheme="majorBidi" w:hAnsiTheme="majorBidi" w:cstheme="majorBidi"/>
          <w:sz w:val="24"/>
          <w:szCs w:val="24"/>
          <w:lang w:val="en-US"/>
        </w:rPr>
        <w:t>l tuberculosis, extrapulmonary tuberculosis</w:t>
      </w:r>
      <w:r w:rsidR="00F875DC" w:rsidRPr="00D1376C">
        <w:rPr>
          <w:rFonts w:asciiTheme="majorBidi" w:hAnsiTheme="majorBidi" w:cstheme="majorBidi"/>
          <w:sz w:val="24"/>
          <w:szCs w:val="24"/>
          <w:lang w:val="en-US"/>
        </w:rPr>
        <w:t>.</w:t>
      </w:r>
    </w:p>
    <w:p w:rsidR="00F875DC" w:rsidRDefault="00F875DC" w:rsidP="00F875DC">
      <w:pPr>
        <w:rPr>
          <w:rFonts w:asciiTheme="majorBidi" w:hAnsiTheme="majorBidi" w:cstheme="majorBidi"/>
          <w:sz w:val="24"/>
          <w:szCs w:val="24"/>
          <w:lang w:val="en-US"/>
        </w:rPr>
      </w:pPr>
    </w:p>
    <w:p w:rsidR="00D1376C" w:rsidRDefault="00D1376C" w:rsidP="00F875DC">
      <w:pPr>
        <w:rPr>
          <w:rFonts w:asciiTheme="majorBidi" w:hAnsiTheme="majorBidi" w:cstheme="majorBidi"/>
          <w:sz w:val="24"/>
          <w:szCs w:val="24"/>
          <w:lang w:val="en-US"/>
        </w:rPr>
      </w:pPr>
    </w:p>
    <w:p w:rsidR="00F875DC" w:rsidRPr="00D1376C" w:rsidRDefault="00F875DC" w:rsidP="00F875DC">
      <w:pPr>
        <w:rPr>
          <w:rFonts w:asciiTheme="majorBidi" w:hAnsiTheme="majorBidi" w:cstheme="majorBidi"/>
          <w:b/>
          <w:bCs/>
          <w:sz w:val="24"/>
          <w:szCs w:val="24"/>
          <w:lang w:val="en-US"/>
        </w:rPr>
      </w:pPr>
      <w:r w:rsidRPr="00D1376C">
        <w:rPr>
          <w:rFonts w:asciiTheme="majorBidi" w:hAnsiTheme="majorBidi" w:cstheme="majorBidi"/>
          <w:b/>
          <w:bCs/>
          <w:sz w:val="24"/>
          <w:szCs w:val="24"/>
          <w:lang w:val="en-US"/>
        </w:rPr>
        <w:t>Introduction</w:t>
      </w:r>
    </w:p>
    <w:p w:rsidR="00A3594F" w:rsidRDefault="003B2634" w:rsidP="00A3594F">
      <w:pPr>
        <w:rPr>
          <w:rFonts w:asciiTheme="majorBidi" w:hAnsiTheme="majorBidi" w:cstheme="majorBidi"/>
          <w:sz w:val="24"/>
          <w:szCs w:val="24"/>
          <w:lang w:val="en-US"/>
        </w:rPr>
      </w:pPr>
      <w:r w:rsidRPr="003B2634">
        <w:rPr>
          <w:rFonts w:asciiTheme="majorBidi" w:hAnsiTheme="majorBidi" w:cstheme="majorBidi"/>
          <w:sz w:val="24"/>
          <w:szCs w:val="24"/>
          <w:lang w:val="en-US"/>
        </w:rPr>
        <w:t>Tuberculosis (TB) is a chronic communicable disease characterized by granulo</w:t>
      </w:r>
      <w:r w:rsidR="002407A5">
        <w:rPr>
          <w:rFonts w:asciiTheme="majorBidi" w:hAnsiTheme="majorBidi" w:cstheme="majorBidi"/>
          <w:sz w:val="24"/>
          <w:szCs w:val="24"/>
          <w:lang w:val="en-US"/>
        </w:rPr>
        <w:t xml:space="preserve">matous inflammation, caused by Mycobacterium tuberculosis, </w:t>
      </w:r>
      <w:r w:rsidRPr="003B2634">
        <w:rPr>
          <w:rFonts w:asciiTheme="majorBidi" w:hAnsiTheme="majorBidi" w:cstheme="majorBidi"/>
          <w:sz w:val="24"/>
          <w:szCs w:val="24"/>
          <w:lang w:val="en-US"/>
        </w:rPr>
        <w:t>a highly resilient, alcohol- and acid-fast bacillus</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[1,2]</w:t>
      </w:r>
      <w:r w:rsidRPr="003B2634">
        <w:rPr>
          <w:rFonts w:asciiTheme="majorBidi" w:hAnsiTheme="majorBidi" w:cstheme="majorBidi"/>
          <w:sz w:val="24"/>
          <w:szCs w:val="24"/>
          <w:lang w:val="en-US"/>
        </w:rPr>
        <w:t>. The disease primarily spreads via airborne transmission, especially through inhalation of infected respiratory droplets. Despite the availability of effective antibiotics and the implementation of widespread public health measures, TB continues to pose a significant global health challenge, particularly in low- and middle-income countries such as Morocco</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[1]</w:t>
      </w:r>
      <w:r w:rsidRPr="003B2634">
        <w:rPr>
          <w:rFonts w:asciiTheme="majorBidi" w:hAnsiTheme="majorBidi" w:cstheme="majorBidi"/>
          <w:sz w:val="24"/>
          <w:szCs w:val="24"/>
          <w:lang w:val="en-US"/>
        </w:rPr>
        <w:t>. These regions face higher prevalence rates due to socio-economic disparities, limited access to healthcare, and suboptimal living conditions.</w:t>
      </w:r>
    </w:p>
    <w:p w:rsidR="00A3594F" w:rsidRDefault="00F6532E" w:rsidP="00A3594F">
      <w:pPr>
        <w:rPr>
          <w:rFonts w:asciiTheme="majorBidi" w:hAnsiTheme="majorBidi" w:cstheme="majorBidi"/>
          <w:sz w:val="24"/>
          <w:szCs w:val="24"/>
          <w:lang w:val="en-US"/>
        </w:rPr>
      </w:pPr>
      <w:r w:rsidRPr="00F6532E">
        <w:rPr>
          <w:rFonts w:asciiTheme="majorBidi" w:hAnsiTheme="majorBidi" w:cstheme="majorBidi"/>
          <w:sz w:val="24"/>
          <w:szCs w:val="24"/>
          <w:lang w:val="en-US"/>
        </w:rPr>
        <w:t>Morocco is among the countries with a medium incidence of tuberculosis. The incidence</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estimated by the WHO in 2021 is 35,000 cases, corresponding to an incidence rate</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of 94 per 100,000 population. HIV-associated tuberculosis is estimated at 410 cases, representing a rate of 1.1 per 100,000 population.</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The incidence rate per 100,000 population decreased from 115 in 2000 to 94 in 2021.</w:t>
      </w:r>
      <w:r w:rsidR="00A3594F" w:rsidRPr="00A3594F">
        <w:rPr>
          <w:rFonts w:asciiTheme="majorBidi" w:hAnsiTheme="majorBidi" w:cstheme="majorBidi"/>
          <w:sz w:val="24"/>
          <w:szCs w:val="24"/>
          <w:lang w:val="en-US"/>
        </w:rPr>
        <w:t xml:space="preserve"> </w:t>
      </w:r>
      <w:r w:rsidR="00A3594F">
        <w:rPr>
          <w:rFonts w:asciiTheme="majorBidi" w:hAnsiTheme="majorBidi" w:cstheme="majorBidi"/>
          <w:sz w:val="24"/>
          <w:szCs w:val="24"/>
          <w:lang w:val="en-US"/>
        </w:rPr>
        <w:t>[9]</w:t>
      </w:r>
    </w:p>
    <w:p w:rsidR="00D1376C" w:rsidRDefault="003B2634" w:rsidP="00A3594F">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While pulmonary TB remains the most common form, extrapulmonary manifestations can occur, albeit less frequently. Gastrointestinal tuberculosis is an uncommon variant, accounting </w:t>
      </w:r>
      <w:r w:rsidRPr="003B2634">
        <w:rPr>
          <w:rFonts w:asciiTheme="majorBidi" w:hAnsiTheme="majorBidi" w:cstheme="majorBidi"/>
          <w:sz w:val="24"/>
          <w:szCs w:val="24"/>
          <w:lang w:val="en-US"/>
        </w:rPr>
        <w:lastRenderedPageBreak/>
        <w:t>for less than 1% of all TB cases. Within this subset, perianal tuberculosis is exceptionally rare, representing only about 1% of gastrointestinal TB cases</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[2,3]</w:t>
      </w:r>
      <w:r w:rsidRPr="003B2634">
        <w:rPr>
          <w:rFonts w:asciiTheme="majorBidi" w:hAnsiTheme="majorBidi" w:cstheme="majorBidi"/>
          <w:sz w:val="24"/>
          <w:szCs w:val="24"/>
          <w:lang w:val="en-US"/>
        </w:rPr>
        <w:t xml:space="preserve">. The clinical presentation of perianal TB can mimic other more common perianal pathologies, often leading to diagnostic delays. The occurrence of perianal TB without any history or evidence of concurrent pulmonary infection is particularly unusual and poses a diagnostic </w:t>
      </w:r>
      <w:proofErr w:type="gramStart"/>
      <w:r w:rsidRPr="003B2634">
        <w:rPr>
          <w:rFonts w:asciiTheme="majorBidi" w:hAnsiTheme="majorBidi" w:cstheme="majorBidi"/>
          <w:sz w:val="24"/>
          <w:szCs w:val="24"/>
          <w:lang w:val="en-US"/>
        </w:rPr>
        <w:t>challenge</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1,4]</w:t>
      </w:r>
      <w:r w:rsidRPr="003B2634">
        <w:rPr>
          <w:rFonts w:asciiTheme="majorBidi" w:hAnsiTheme="majorBidi" w:cstheme="majorBidi"/>
          <w:sz w:val="24"/>
          <w:szCs w:val="24"/>
          <w:lang w:val="en-US"/>
        </w:rPr>
        <w:t>. In such cases, a high index of suspicion, combined with histopathological and microbiological confirmation, is essential for accurate diagnosis and timely treatment.</w:t>
      </w:r>
    </w:p>
    <w:p w:rsidR="00D1376C" w:rsidRDefault="00D1376C" w:rsidP="00F875DC">
      <w:pPr>
        <w:rPr>
          <w:rFonts w:asciiTheme="majorBidi" w:hAnsiTheme="majorBidi" w:cstheme="majorBidi"/>
          <w:sz w:val="24"/>
          <w:szCs w:val="24"/>
          <w:lang w:val="en-US"/>
        </w:rPr>
      </w:pPr>
    </w:p>
    <w:p w:rsidR="00DD6FFA" w:rsidRPr="00D1376C" w:rsidRDefault="000F73C9" w:rsidP="00DD6FFA">
      <w:pPr>
        <w:rPr>
          <w:rFonts w:asciiTheme="majorBidi" w:hAnsiTheme="majorBidi" w:cstheme="majorBidi"/>
          <w:b/>
          <w:bCs/>
          <w:sz w:val="24"/>
          <w:szCs w:val="24"/>
          <w:lang w:val="en-US"/>
        </w:rPr>
      </w:pPr>
      <w:r>
        <w:rPr>
          <w:rFonts w:asciiTheme="majorBidi" w:hAnsiTheme="majorBidi" w:cstheme="majorBidi"/>
          <w:b/>
          <w:bCs/>
          <w:sz w:val="24"/>
          <w:szCs w:val="24"/>
          <w:lang w:val="en-US"/>
        </w:rPr>
        <w:t>Patients and methods</w:t>
      </w:r>
    </w:p>
    <w:p w:rsidR="00416561" w:rsidRPr="00416561" w:rsidRDefault="00416561" w:rsidP="00416561">
      <w:pPr>
        <w:rPr>
          <w:rFonts w:asciiTheme="majorBidi" w:hAnsiTheme="majorBidi" w:cstheme="majorBidi"/>
          <w:sz w:val="24"/>
          <w:szCs w:val="24"/>
          <w:lang w:val="en-US"/>
        </w:rPr>
      </w:pPr>
      <w:r w:rsidRPr="00416561">
        <w:rPr>
          <w:rFonts w:asciiTheme="majorBidi" w:hAnsiTheme="majorBidi" w:cstheme="majorBidi"/>
          <w:sz w:val="24"/>
          <w:szCs w:val="24"/>
          <w:lang w:val="en-US"/>
        </w:rPr>
        <w:t>We conducted a retrospective analysis of medical records of patients managed for anal fistulas between January 2024 and April 2025 in the Proctology Department of the Mohamed V Military Teaching Hospital in Rabat, Morocco. The study aimed to identify and evaluate cases of anal tuberculosis, a rare but important differential diagnosis in chronic or atypical anal fistulas. Only patients with a confirmed diagnosis of anal fistula and documented evidence of tuberculosis were included.</w:t>
      </w:r>
    </w:p>
    <w:p w:rsidR="00416561" w:rsidRPr="00416561" w:rsidRDefault="00416561" w:rsidP="00416561">
      <w:pPr>
        <w:rPr>
          <w:rFonts w:asciiTheme="majorBidi" w:hAnsiTheme="majorBidi" w:cstheme="majorBidi"/>
          <w:sz w:val="24"/>
          <w:szCs w:val="24"/>
          <w:lang w:val="en-US"/>
        </w:rPr>
      </w:pPr>
    </w:p>
    <w:p w:rsidR="00D1376C" w:rsidRDefault="00416561" w:rsidP="00416561">
      <w:pPr>
        <w:rPr>
          <w:rFonts w:asciiTheme="majorBidi" w:hAnsiTheme="majorBidi" w:cstheme="majorBidi"/>
          <w:b/>
          <w:bCs/>
          <w:sz w:val="24"/>
          <w:szCs w:val="24"/>
          <w:lang w:val="en-US"/>
        </w:rPr>
      </w:pPr>
      <w:r w:rsidRPr="00416561">
        <w:rPr>
          <w:rFonts w:asciiTheme="majorBidi" w:hAnsiTheme="majorBidi" w:cstheme="majorBidi"/>
          <w:sz w:val="24"/>
          <w:szCs w:val="24"/>
          <w:lang w:val="en-US"/>
        </w:rPr>
        <w:t>The inclusion criteria for the study were as follows: (1) the presence of an anal fistula confirmed either through clinical examination or pelvic magnetic resonance imaging (MRI); (2) a confirmed diagnosis of tuberculosis infection based on at least one of the following diagnostic methods: histological evidence of epithelioid and giant cell granulomas, even in the absence of caseous ne</w:t>
      </w:r>
      <w:r w:rsidR="002407A5">
        <w:rPr>
          <w:rFonts w:asciiTheme="majorBidi" w:hAnsiTheme="majorBidi" w:cstheme="majorBidi"/>
          <w:sz w:val="24"/>
          <w:szCs w:val="24"/>
          <w:lang w:val="en-US"/>
        </w:rPr>
        <w:t>crosis; a positive culture for Mycobacterium tuberculosis</w:t>
      </w:r>
      <w:r w:rsidRPr="00416561">
        <w:rPr>
          <w:rFonts w:asciiTheme="majorBidi" w:hAnsiTheme="majorBidi" w:cstheme="majorBidi"/>
          <w:sz w:val="24"/>
          <w:szCs w:val="24"/>
          <w:lang w:val="en-US"/>
        </w:rPr>
        <w:t xml:space="preserve"> obtained from fistulous tissue or discharge; or a positive polymerase chain reaction (PCR) test, such as the GeneXpert MTB/RIF assay. Additionally, included patients were required to have had a minimum follow-up period of three months following completion of treatment, to evaluate both clinical outcomes and potential recurrence. This methodology ensured a focused and well-defined study population for the analysis of this rare clinical entity.</w:t>
      </w:r>
    </w:p>
    <w:p w:rsidR="00D1376C" w:rsidRDefault="00D1376C" w:rsidP="005515E5">
      <w:pPr>
        <w:rPr>
          <w:rFonts w:asciiTheme="majorBidi" w:hAnsiTheme="majorBidi" w:cstheme="majorBidi"/>
          <w:b/>
          <w:bCs/>
          <w:sz w:val="24"/>
          <w:szCs w:val="24"/>
          <w:lang w:val="en-US"/>
        </w:rPr>
      </w:pPr>
    </w:p>
    <w:p w:rsidR="00D1376C" w:rsidRDefault="00D1376C" w:rsidP="005515E5">
      <w:pPr>
        <w:rPr>
          <w:rFonts w:asciiTheme="majorBidi" w:hAnsiTheme="majorBidi" w:cstheme="majorBidi"/>
          <w:b/>
          <w:bCs/>
          <w:sz w:val="24"/>
          <w:szCs w:val="24"/>
          <w:lang w:val="en-US"/>
        </w:rPr>
      </w:pPr>
    </w:p>
    <w:p w:rsidR="00563D29" w:rsidRPr="00D1376C" w:rsidRDefault="000F73C9" w:rsidP="005515E5">
      <w:pPr>
        <w:rPr>
          <w:rFonts w:asciiTheme="majorBidi" w:hAnsiTheme="majorBidi" w:cstheme="majorBidi"/>
          <w:b/>
          <w:bCs/>
          <w:sz w:val="24"/>
          <w:szCs w:val="24"/>
          <w:lang w:val="en-US"/>
        </w:rPr>
      </w:pPr>
      <w:r>
        <w:rPr>
          <w:rFonts w:asciiTheme="majorBidi" w:hAnsiTheme="majorBidi" w:cstheme="majorBidi"/>
          <w:b/>
          <w:bCs/>
          <w:sz w:val="24"/>
          <w:szCs w:val="24"/>
          <w:lang w:val="en-US"/>
        </w:rPr>
        <w:t>Observation and findings</w:t>
      </w:r>
    </w:p>
    <w:p w:rsidR="00416561" w:rsidRPr="00416561" w:rsidRDefault="00416561" w:rsidP="000F069C">
      <w:pPr>
        <w:spacing w:before="100" w:beforeAutospacing="1" w:after="100" w:afterAutospacing="1" w:line="240" w:lineRule="auto"/>
        <w:rPr>
          <w:rFonts w:asciiTheme="majorBidi" w:hAnsiTheme="majorBidi" w:cstheme="majorBidi"/>
          <w:sz w:val="24"/>
          <w:szCs w:val="24"/>
          <w:lang w:val="en-US"/>
        </w:rPr>
      </w:pPr>
      <w:r w:rsidRPr="00416561">
        <w:rPr>
          <w:rFonts w:asciiTheme="majorBidi" w:hAnsiTheme="majorBidi" w:cstheme="majorBidi"/>
          <w:sz w:val="24"/>
          <w:szCs w:val="24"/>
          <w:lang w:val="en-US"/>
        </w:rPr>
        <w:t>Among the 744 patients treated for anal fistula in the Proctology Department of the Mohamed V Military Teaching Hospital in Rabat between January 2024 and April 2025, 8 patients—representing 1.07% of the total—were diagnosed with anal fistulas of tuberculous origin. Notably, all 8 patients were male, with a mean age of 44 years, ranging from 28 to 67 years.</w:t>
      </w:r>
    </w:p>
    <w:p w:rsidR="00416561" w:rsidRPr="00A3594F" w:rsidRDefault="00A3594F" w:rsidP="00A3594F">
      <w:pPr>
        <w:spacing w:before="100" w:beforeAutospacing="1" w:after="100" w:afterAutospacing="1" w:line="240" w:lineRule="auto"/>
        <w:rPr>
          <w:rFonts w:asciiTheme="majorBidi" w:hAnsiTheme="majorBidi" w:cstheme="majorBidi"/>
          <w:sz w:val="24"/>
          <w:szCs w:val="24"/>
          <w:lang w:val="en-US"/>
        </w:rPr>
      </w:pPr>
      <w:r>
        <w:rPr>
          <w:rFonts w:asciiTheme="majorBidi" w:hAnsiTheme="majorBidi" w:cstheme="majorBidi"/>
          <w:sz w:val="24"/>
          <w:szCs w:val="24"/>
          <w:lang w:val="en-US"/>
        </w:rPr>
        <w:t>B</w:t>
      </w:r>
      <w:r w:rsidRPr="00A3594F">
        <w:rPr>
          <w:rFonts w:asciiTheme="majorBidi" w:hAnsiTheme="majorBidi" w:cstheme="majorBidi"/>
          <w:sz w:val="24"/>
          <w:szCs w:val="24"/>
          <w:lang w:val="en-US"/>
        </w:rPr>
        <w:t xml:space="preserve">ased </w:t>
      </w:r>
      <w:r>
        <w:rPr>
          <w:rFonts w:asciiTheme="majorBidi" w:hAnsiTheme="majorBidi" w:cstheme="majorBidi"/>
          <w:sz w:val="24"/>
          <w:szCs w:val="24"/>
          <w:lang w:val="en-US"/>
        </w:rPr>
        <w:t>on Parks classification among 8 patients. t</w:t>
      </w:r>
      <w:r w:rsidRPr="00A3594F">
        <w:rPr>
          <w:rFonts w:asciiTheme="majorBidi" w:hAnsiTheme="majorBidi" w:cstheme="majorBidi"/>
          <w:sz w:val="24"/>
          <w:szCs w:val="24"/>
          <w:lang w:val="en-US"/>
        </w:rPr>
        <w:t>he inter sphincteri</w:t>
      </w:r>
      <w:r>
        <w:rPr>
          <w:rFonts w:asciiTheme="majorBidi" w:hAnsiTheme="majorBidi" w:cstheme="majorBidi"/>
          <w:sz w:val="24"/>
          <w:szCs w:val="24"/>
          <w:lang w:val="en-US"/>
        </w:rPr>
        <w:t>c type was the most common (4 cases</w:t>
      </w:r>
      <w:r w:rsidRPr="00A3594F">
        <w:rPr>
          <w:rFonts w:asciiTheme="majorBidi" w:hAnsiTheme="majorBidi" w:cstheme="majorBidi"/>
          <w:sz w:val="24"/>
          <w:szCs w:val="24"/>
          <w:lang w:val="en-US"/>
        </w:rPr>
        <w:t xml:space="preserve">), followed by low </w:t>
      </w:r>
      <w:r>
        <w:rPr>
          <w:rFonts w:asciiTheme="majorBidi" w:hAnsiTheme="majorBidi" w:cstheme="majorBidi"/>
          <w:sz w:val="24"/>
          <w:szCs w:val="24"/>
          <w:lang w:val="en-US"/>
        </w:rPr>
        <w:t>trans sphincteric fistulas (2 cases)</w:t>
      </w:r>
      <w:r w:rsidRPr="00A3594F">
        <w:rPr>
          <w:rFonts w:asciiTheme="majorBidi" w:hAnsiTheme="majorBidi" w:cstheme="majorBidi"/>
          <w:sz w:val="24"/>
          <w:szCs w:val="24"/>
          <w:lang w:val="en-US"/>
        </w:rPr>
        <w:t xml:space="preserve"> </w:t>
      </w:r>
      <w:r>
        <w:rPr>
          <w:rFonts w:asciiTheme="majorBidi" w:hAnsiTheme="majorBidi" w:cstheme="majorBidi"/>
          <w:sz w:val="24"/>
          <w:szCs w:val="24"/>
          <w:lang w:val="en-US"/>
        </w:rPr>
        <w:t>and</w:t>
      </w:r>
      <w:r w:rsidRPr="00A3594F">
        <w:rPr>
          <w:rFonts w:asciiTheme="majorBidi" w:hAnsiTheme="majorBidi" w:cstheme="majorBidi"/>
          <w:sz w:val="24"/>
          <w:szCs w:val="24"/>
          <w:lang w:val="en-US"/>
        </w:rPr>
        <w:t xml:space="preserve"> superficial </w:t>
      </w:r>
      <w:r>
        <w:rPr>
          <w:rFonts w:asciiTheme="majorBidi" w:hAnsiTheme="majorBidi" w:cstheme="majorBidi"/>
          <w:sz w:val="24"/>
          <w:szCs w:val="24"/>
          <w:lang w:val="en-US"/>
        </w:rPr>
        <w:t>fistulas (2 cases).</w:t>
      </w:r>
    </w:p>
    <w:p w:rsidR="000F069C" w:rsidRDefault="00416561" w:rsidP="00416561">
      <w:pPr>
        <w:spacing w:before="100" w:beforeAutospacing="1" w:after="100" w:afterAutospacing="1" w:line="240" w:lineRule="auto"/>
        <w:rPr>
          <w:rFonts w:asciiTheme="majorBidi" w:hAnsiTheme="majorBidi" w:cstheme="majorBidi"/>
          <w:sz w:val="24"/>
          <w:szCs w:val="24"/>
          <w:lang w:val="en-US"/>
        </w:rPr>
      </w:pPr>
      <w:r w:rsidRPr="00416561">
        <w:rPr>
          <w:rFonts w:asciiTheme="majorBidi" w:hAnsiTheme="majorBidi" w:cstheme="majorBidi"/>
          <w:sz w:val="24"/>
          <w:szCs w:val="24"/>
          <w:lang w:val="en-US"/>
        </w:rPr>
        <w:lastRenderedPageBreak/>
        <w:t xml:space="preserve">Clinically, the fistulas were classified as complex in 6 cases, recurrent in 1 case, and simple in only 1 case. </w:t>
      </w: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r w:rsidRPr="00416561">
        <w:rPr>
          <w:rFonts w:asciiTheme="majorBidi" w:hAnsiTheme="majorBidi" w:cstheme="majorBidi"/>
          <w:sz w:val="24"/>
          <w:szCs w:val="24"/>
          <w:lang w:val="en-US"/>
        </w:rPr>
        <w:t>The suspicion of tuberculosis was raised primarily due to unusual clinical presentations, such as rapid recurrence of the fistula following seemingly adequate surgical management, or a lack of healing after fistulotomy. These atypical evolutions prompted further diagnostic investigations beyond standard protocols.</w:t>
      </w: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r w:rsidRPr="00416561">
        <w:rPr>
          <w:rFonts w:asciiTheme="majorBidi" w:hAnsiTheme="majorBidi" w:cstheme="majorBidi"/>
          <w:sz w:val="24"/>
          <w:szCs w:val="24"/>
          <w:lang w:val="en-US"/>
        </w:rPr>
        <w:t xml:space="preserve">The diagnosis of tuberculosis was established through a combination of histological and microbiological methods. Histological analysis revealed the presence of epithelioid and giant cell granulomas without caseous necrosis in 5 patients, findings suggestive of TB but not definitively diagnostic. Molecular testing using Mycobacterium tuberculosis-specific polymerase chain reaction (PCR), particularly the GeneXpert MTB/RIF assay, was positive in 6 cases, providing rapid and reliable confirmation. Additionally, cultures performed on </w:t>
      </w:r>
      <w:proofErr w:type="spellStart"/>
      <w:r w:rsidRPr="00416561">
        <w:rPr>
          <w:rFonts w:asciiTheme="majorBidi" w:hAnsiTheme="majorBidi" w:cstheme="majorBidi"/>
          <w:sz w:val="24"/>
          <w:szCs w:val="24"/>
          <w:lang w:val="en-US"/>
        </w:rPr>
        <w:t>Löwenstein</w:t>
      </w:r>
      <w:proofErr w:type="spellEnd"/>
      <w:r w:rsidRPr="00416561">
        <w:rPr>
          <w:rFonts w:asciiTheme="majorBidi" w:hAnsiTheme="majorBidi" w:cstheme="majorBidi"/>
          <w:sz w:val="24"/>
          <w:szCs w:val="24"/>
          <w:lang w:val="en-US"/>
        </w:rPr>
        <w:t>-Jensen medium confirmed the presence of *Mycobacterium tuberculosis* in 6 patients, despite the prolonged incubation time typically required for positive growth in paucibacillary cases.</w:t>
      </w: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r w:rsidRPr="00416561">
        <w:rPr>
          <w:rFonts w:asciiTheme="majorBidi" w:hAnsiTheme="majorBidi" w:cstheme="majorBidi"/>
          <w:sz w:val="24"/>
          <w:szCs w:val="24"/>
          <w:lang w:val="en-US"/>
        </w:rPr>
        <w:t>Surgical treatment consisted of fistulotomy with seton ligation in 7 patients, and simple fistulotomy without ligation in 1 patient, depending on the complexity and location of the fistulous tracts. Once the diagnosis of tuberculosis was confirmed, all patients were promptly initiated on anti-tuberculosis therapy in accordance with the Moroccan National Tuberculosis Control Program (PNLAT). This regimen included an initial intensive phase of 2 months with isoniazid, rifampicin, pyrazinamide, and ethambutol, followed by a 4-month continuation phase with isoniazid and rifampicin.</w:t>
      </w:r>
    </w:p>
    <w:p w:rsidR="00416561" w:rsidRPr="00416561" w:rsidRDefault="00416561" w:rsidP="00416561">
      <w:pPr>
        <w:spacing w:before="100" w:beforeAutospacing="1" w:after="100" w:afterAutospacing="1" w:line="240" w:lineRule="auto"/>
        <w:rPr>
          <w:rFonts w:asciiTheme="majorBidi" w:hAnsiTheme="majorBidi" w:cstheme="majorBidi"/>
          <w:sz w:val="24"/>
          <w:szCs w:val="24"/>
          <w:lang w:val="en-US"/>
        </w:rPr>
      </w:pPr>
    </w:p>
    <w:p w:rsidR="00B5582D" w:rsidRPr="00D1376C" w:rsidRDefault="00416561" w:rsidP="00416561">
      <w:pPr>
        <w:spacing w:before="100" w:beforeAutospacing="1" w:after="100" w:afterAutospacing="1" w:line="240" w:lineRule="auto"/>
        <w:rPr>
          <w:rFonts w:asciiTheme="majorBidi" w:eastAsia="Times New Roman" w:hAnsiTheme="majorBidi" w:cstheme="majorBidi"/>
          <w:sz w:val="24"/>
          <w:szCs w:val="24"/>
          <w:lang w:val="en-US" w:eastAsia="fr-FR"/>
        </w:rPr>
      </w:pPr>
      <w:r w:rsidRPr="00416561">
        <w:rPr>
          <w:rFonts w:asciiTheme="majorBidi" w:hAnsiTheme="majorBidi" w:cstheme="majorBidi"/>
          <w:sz w:val="24"/>
          <w:szCs w:val="24"/>
          <w:lang w:val="en-US"/>
        </w:rPr>
        <w:t xml:space="preserve">The therapeutic outcomes were favorable across all cases. Two patients completed treatment and were declared clinically cured, showing no signs of recurrence during follow-up. The remaining six patients are still undergoing anti-TB therapy with no reported complications or signs of clinical deterioration. Importantly, none of the cases progressed to a severe or septic form, underscoring the efficacy of combined surgical and medical management in these rare </w:t>
      </w:r>
      <w:r w:rsidRPr="00416561">
        <w:rPr>
          <w:rFonts w:asciiTheme="majorBidi" w:hAnsiTheme="majorBidi" w:cstheme="majorBidi"/>
          <w:sz w:val="24"/>
          <w:szCs w:val="24"/>
          <w:lang w:val="en-US"/>
        </w:rPr>
        <w:lastRenderedPageBreak/>
        <w:t>presentations of perianal tuberculosis.</w:t>
      </w:r>
      <w:r w:rsidR="00B5582D" w:rsidRPr="00D1376C">
        <w:rPr>
          <w:rFonts w:asciiTheme="majorBidi" w:hAnsiTheme="majorBidi" w:cstheme="majorBidi"/>
          <w:noProof/>
          <w:sz w:val="24"/>
          <w:szCs w:val="24"/>
          <w:lang w:val="en-US"/>
        </w:rPr>
        <w:drawing>
          <wp:inline distT="0" distB="0" distL="0" distR="0" wp14:anchorId="49E4706F" wp14:editId="5BBA3EE5">
            <wp:extent cx="5760000" cy="42841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061" t="23810" r="28461" b="19780"/>
                    <a:stretch>
                      <a:fillRect/>
                    </a:stretch>
                  </pic:blipFill>
                  <pic:spPr bwMode="auto">
                    <a:xfrm>
                      <a:off x="0" y="0"/>
                      <a:ext cx="5760000" cy="4284108"/>
                    </a:xfrm>
                    <a:prstGeom prst="rect">
                      <a:avLst/>
                    </a:prstGeom>
                    <a:noFill/>
                    <a:ln w="9525">
                      <a:noFill/>
                      <a:miter lim="800000"/>
                      <a:headEnd/>
                      <a:tailEnd/>
                    </a:ln>
                  </pic:spPr>
                </pic:pic>
              </a:graphicData>
            </a:graphic>
          </wp:inline>
        </w:drawing>
      </w:r>
    </w:p>
    <w:p w:rsidR="00B5582D" w:rsidRPr="00D1376C" w:rsidRDefault="00D1376C" w:rsidP="00B5582D">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sidR="00F74F15">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a</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Preoperative aspect.</w:t>
      </w:r>
    </w:p>
    <w:p w:rsidR="00B5582D" w:rsidRPr="00D1376C" w:rsidRDefault="00B5582D" w:rsidP="00B5582D">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val="en-US"/>
        </w:rPr>
        <w:drawing>
          <wp:inline distT="0" distB="0" distL="0" distR="0" wp14:anchorId="0048271B" wp14:editId="6B10D6BA">
            <wp:extent cx="5760720" cy="323762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7629"/>
                    </a:xfrm>
                    <a:prstGeom prst="rect">
                      <a:avLst/>
                    </a:prstGeom>
                    <a:noFill/>
                    <a:ln>
                      <a:noFill/>
                    </a:ln>
                  </pic:spPr>
                </pic:pic>
              </a:graphicData>
            </a:graphic>
          </wp:inline>
        </w:drawing>
      </w:r>
    </w:p>
    <w:p w:rsidR="00B5582D" w:rsidRPr="00D1376C" w:rsidRDefault="00F74F15" w:rsidP="00D1376C">
      <w:pPr>
        <w:spacing w:before="100" w:beforeAutospacing="1" w:after="100" w:afterAutospacing="1" w:line="240" w:lineRule="auto"/>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Fig. b</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Postoperative aspect.</w:t>
      </w:r>
    </w:p>
    <w:p w:rsidR="008E715D" w:rsidRDefault="00B5582D" w:rsidP="00B5582D">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val="en-US"/>
        </w:rPr>
        <w:lastRenderedPageBreak/>
        <w:drawing>
          <wp:inline distT="0" distB="0" distL="0" distR="0" wp14:anchorId="000A85F3" wp14:editId="2EC17E31">
            <wp:extent cx="4114800" cy="3594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594100"/>
                    </a:xfrm>
                    <a:prstGeom prst="rect">
                      <a:avLst/>
                    </a:prstGeom>
                    <a:noFill/>
                    <a:ln>
                      <a:noFill/>
                    </a:ln>
                  </pic:spPr>
                </pic:pic>
              </a:graphicData>
            </a:graphic>
          </wp:inline>
        </w:drawing>
      </w:r>
    </w:p>
    <w:p w:rsidR="00B5582D" w:rsidRPr="00D1376C" w:rsidRDefault="00D1376C" w:rsidP="00B5582D">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sidR="00F74F15">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c</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Fistulous tract on MRI.</w:t>
      </w:r>
    </w:p>
    <w:p w:rsidR="00B5582D" w:rsidRPr="00D1376C" w:rsidRDefault="00B5582D" w:rsidP="00B5582D">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val="en-US"/>
        </w:rPr>
        <w:drawing>
          <wp:inline distT="0" distB="0" distL="0" distR="0" wp14:anchorId="5012D925" wp14:editId="7E214285">
            <wp:extent cx="3838575" cy="3594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3594100"/>
                    </a:xfrm>
                    <a:prstGeom prst="rect">
                      <a:avLst/>
                    </a:prstGeom>
                    <a:noFill/>
                    <a:ln>
                      <a:noFill/>
                    </a:ln>
                  </pic:spPr>
                </pic:pic>
              </a:graphicData>
            </a:graphic>
          </wp:inline>
        </w:drawing>
      </w:r>
    </w:p>
    <w:p w:rsidR="00B5582D" w:rsidRPr="00D1376C" w:rsidRDefault="00D1376C" w:rsidP="00DD6FFA">
      <w:pPr>
        <w:rPr>
          <w:rFonts w:asciiTheme="majorBidi" w:hAnsiTheme="majorBidi" w:cstheme="majorBidi"/>
          <w:sz w:val="24"/>
          <w:szCs w:val="24"/>
          <w:lang w:val="en-US"/>
        </w:rPr>
      </w:pPr>
      <w:r w:rsidRPr="00D1376C">
        <w:rPr>
          <w:rFonts w:asciiTheme="majorBidi" w:hAnsiTheme="majorBidi" w:cstheme="majorBidi"/>
          <w:sz w:val="24"/>
          <w:szCs w:val="24"/>
          <w:lang w:val="en-US"/>
        </w:rPr>
        <w:t>Fig</w:t>
      </w:r>
      <w:r w:rsidR="00F74F15">
        <w:rPr>
          <w:rFonts w:asciiTheme="majorBidi" w:eastAsia="Times New Roman" w:hAnsiTheme="majorBidi" w:cstheme="majorBidi"/>
          <w:sz w:val="24"/>
          <w:szCs w:val="24"/>
          <w:lang w:val="en-US" w:eastAsia="fr-FR"/>
        </w:rPr>
        <w:t>.</w:t>
      </w:r>
      <w:r w:rsidRPr="00D1376C">
        <w:rPr>
          <w:rFonts w:asciiTheme="majorBidi" w:hAnsiTheme="majorBidi" w:cstheme="majorBidi"/>
          <w:sz w:val="24"/>
          <w:szCs w:val="24"/>
          <w:lang w:val="en-US"/>
        </w:rPr>
        <w:t xml:space="preserve"> d</w:t>
      </w:r>
      <w:r w:rsidR="008E715D">
        <w:rPr>
          <w:rFonts w:asciiTheme="majorBidi" w:hAnsiTheme="majorBidi" w:cstheme="majorBidi"/>
          <w:sz w:val="24"/>
          <w:szCs w:val="24"/>
          <w:lang w:val="en-US"/>
        </w:rPr>
        <w:t xml:space="preserve">. </w:t>
      </w:r>
      <w:r w:rsidR="008E715D" w:rsidRPr="008E715D">
        <w:rPr>
          <w:rFonts w:asciiTheme="majorBidi" w:hAnsiTheme="majorBidi" w:cstheme="majorBidi"/>
          <w:sz w:val="24"/>
          <w:szCs w:val="24"/>
          <w:lang w:val="en-US"/>
        </w:rPr>
        <w:t>Fistulous tract on MRI.</w:t>
      </w:r>
    </w:p>
    <w:p w:rsidR="00942A58" w:rsidRPr="00D1376C" w:rsidRDefault="00942A58" w:rsidP="00942A58">
      <w:pPr>
        <w:spacing w:before="100" w:beforeAutospacing="1" w:after="100" w:afterAutospacing="1" w:line="240" w:lineRule="auto"/>
        <w:rPr>
          <w:rFonts w:asciiTheme="majorBidi" w:eastAsia="Times New Roman" w:hAnsiTheme="majorBidi" w:cstheme="majorBidi"/>
          <w:sz w:val="24"/>
          <w:szCs w:val="24"/>
          <w:lang w:val="en-US" w:eastAsia="fr-MA"/>
        </w:rPr>
      </w:pPr>
      <w:r w:rsidRPr="00D1376C">
        <w:rPr>
          <w:rFonts w:asciiTheme="majorBidi" w:hAnsiTheme="majorBidi" w:cstheme="majorBidi"/>
          <w:noProof/>
          <w:sz w:val="24"/>
          <w:szCs w:val="24"/>
          <w:lang w:val="en-US"/>
        </w:rPr>
        <w:lastRenderedPageBreak/>
        <w:drawing>
          <wp:inline distT="0" distB="0" distL="0" distR="0" wp14:anchorId="1E8BAA5B" wp14:editId="6F13226C">
            <wp:extent cx="2971800" cy="2428875"/>
            <wp:effectExtent l="0" t="0" r="0" b="9525"/>
            <wp:docPr id="14400208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0884" name="Image 14400208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428875"/>
                    </a:xfrm>
                    <a:prstGeom prst="rect">
                      <a:avLst/>
                    </a:prstGeom>
                  </pic:spPr>
                </pic:pic>
              </a:graphicData>
            </a:graphic>
          </wp:inline>
        </w:drawing>
      </w:r>
      <w:r w:rsidRPr="00D1376C">
        <w:rPr>
          <w:rFonts w:asciiTheme="majorBidi" w:hAnsiTheme="majorBidi" w:cstheme="majorBidi"/>
          <w:sz w:val="24"/>
          <w:szCs w:val="24"/>
          <w:lang w:val="en-US"/>
        </w:rPr>
        <w:t xml:space="preserve"> </w:t>
      </w:r>
    </w:p>
    <w:p w:rsidR="00942A58" w:rsidRPr="00D1376C" w:rsidRDefault="00942A58" w:rsidP="00942A58">
      <w:pPr>
        <w:spacing w:before="100" w:beforeAutospacing="1" w:after="100" w:afterAutospacing="1" w:line="240" w:lineRule="auto"/>
        <w:rPr>
          <w:rFonts w:asciiTheme="majorBidi" w:eastAsia="Times New Roman" w:hAnsiTheme="majorBidi" w:cstheme="majorBidi"/>
          <w:sz w:val="24"/>
          <w:szCs w:val="24"/>
          <w:lang w:val="en-US" w:eastAsia="fr-MA"/>
        </w:rPr>
      </w:pPr>
      <w:r w:rsidRPr="00D1376C">
        <w:rPr>
          <w:rFonts w:asciiTheme="majorBidi" w:eastAsia="Times New Roman" w:hAnsiTheme="majorBidi" w:cstheme="majorBidi"/>
          <w:sz w:val="24"/>
          <w:szCs w:val="24"/>
          <w:lang w:val="en-US" w:eastAsia="fr-MA"/>
        </w:rPr>
        <w:t>Fig</w:t>
      </w:r>
      <w:r>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MA"/>
        </w:rPr>
        <w:t xml:space="preserve"> e</w:t>
      </w:r>
      <w:r w:rsidR="008E715D">
        <w:rPr>
          <w:rFonts w:asciiTheme="majorBidi" w:eastAsia="Times New Roman" w:hAnsiTheme="majorBidi" w:cstheme="majorBidi"/>
          <w:sz w:val="24"/>
          <w:szCs w:val="24"/>
          <w:lang w:val="en-US" w:eastAsia="fr-MA"/>
        </w:rPr>
        <w:t xml:space="preserve">. </w:t>
      </w:r>
      <w:proofErr w:type="spellStart"/>
      <w:r w:rsidR="008E715D" w:rsidRPr="008E715D">
        <w:rPr>
          <w:rFonts w:asciiTheme="majorBidi" w:eastAsia="Times New Roman" w:hAnsiTheme="majorBidi" w:cstheme="majorBidi"/>
          <w:sz w:val="24"/>
          <w:szCs w:val="24"/>
          <w:lang w:val="en-US" w:eastAsia="fr-MA"/>
        </w:rPr>
        <w:t>Epitheloid</w:t>
      </w:r>
      <w:proofErr w:type="spellEnd"/>
      <w:r w:rsidR="008E715D" w:rsidRPr="008E715D">
        <w:rPr>
          <w:rFonts w:asciiTheme="majorBidi" w:eastAsia="Times New Roman" w:hAnsiTheme="majorBidi" w:cstheme="majorBidi"/>
          <w:sz w:val="24"/>
          <w:szCs w:val="24"/>
          <w:lang w:val="en-US" w:eastAsia="fr-MA"/>
        </w:rPr>
        <w:t xml:space="preserve"> and giant cell granuloma without caseous necrosis.</w:t>
      </w:r>
      <w:r w:rsidRPr="00D1376C">
        <w:rPr>
          <w:rFonts w:asciiTheme="majorBidi" w:eastAsia="Times New Roman" w:hAnsiTheme="majorBidi" w:cstheme="majorBidi"/>
          <w:sz w:val="24"/>
          <w:szCs w:val="24"/>
          <w:lang w:val="en-US" w:eastAsia="fr-MA"/>
        </w:rPr>
        <w:t xml:space="preserve"> </w:t>
      </w:r>
    </w:p>
    <w:p w:rsidR="00B5582D" w:rsidRPr="00D1376C" w:rsidRDefault="00B5582D" w:rsidP="00DD6FFA">
      <w:pPr>
        <w:rPr>
          <w:rFonts w:asciiTheme="majorBidi" w:hAnsiTheme="majorBidi" w:cstheme="majorBidi"/>
          <w:sz w:val="24"/>
          <w:szCs w:val="24"/>
          <w:lang w:val="en-US"/>
        </w:rPr>
      </w:pPr>
    </w:p>
    <w:p w:rsidR="008E715D" w:rsidRDefault="00942A58" w:rsidP="00942A58">
      <w:pPr>
        <w:spacing w:before="100" w:beforeAutospacing="1" w:after="100" w:afterAutospacing="1" w:line="240" w:lineRule="auto"/>
        <w:rPr>
          <w:rFonts w:asciiTheme="majorBidi" w:hAnsiTheme="majorBidi" w:cstheme="majorBidi"/>
          <w:sz w:val="24"/>
          <w:szCs w:val="24"/>
          <w:lang w:val="en-US"/>
        </w:rPr>
      </w:pPr>
      <w:r w:rsidRPr="00D1376C">
        <w:rPr>
          <w:rFonts w:asciiTheme="majorBidi" w:hAnsiTheme="majorBidi" w:cstheme="majorBidi"/>
          <w:noProof/>
          <w:sz w:val="24"/>
          <w:szCs w:val="24"/>
          <w:lang w:val="en-US"/>
        </w:rPr>
        <w:drawing>
          <wp:anchor distT="0" distB="0" distL="114300" distR="114300" simplePos="0" relativeHeight="251662336" behindDoc="0" locked="0" layoutInCell="1" allowOverlap="1" wp14:anchorId="1CE3C3B1" wp14:editId="68D717E4">
            <wp:simplePos x="0" y="0"/>
            <wp:positionH relativeFrom="column">
              <wp:posOffset>433705</wp:posOffset>
            </wp:positionH>
            <wp:positionV relativeFrom="paragraph">
              <wp:posOffset>319405</wp:posOffset>
            </wp:positionV>
            <wp:extent cx="3273425" cy="323977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76C">
        <w:rPr>
          <w:rFonts w:asciiTheme="majorBidi" w:hAnsiTheme="majorBidi" w:cstheme="majorBidi"/>
          <w:sz w:val="24"/>
          <w:szCs w:val="24"/>
          <w:lang w:val="en-US"/>
        </w:rPr>
        <w:t xml:space="preserve"> </w:t>
      </w:r>
    </w:p>
    <w:p w:rsidR="00942A58" w:rsidRPr="00D1376C" w:rsidRDefault="00942A58" w:rsidP="00942A58">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w:t>
      </w:r>
      <w:proofErr w:type="gramStart"/>
      <w:r w:rsidRPr="00D1376C">
        <w:rPr>
          <w:rFonts w:asciiTheme="majorBidi" w:eastAsia="Times New Roman" w:hAnsiTheme="majorBidi" w:cstheme="majorBidi"/>
          <w:sz w:val="24"/>
          <w:szCs w:val="24"/>
          <w:lang w:val="en-US" w:eastAsia="fr-FR"/>
        </w:rPr>
        <w:t xml:space="preserve">f </w:t>
      </w:r>
      <w:r w:rsidR="008E715D">
        <w:rPr>
          <w:rFonts w:asciiTheme="majorBidi" w:eastAsia="Times New Roman" w:hAnsiTheme="majorBidi" w:cstheme="majorBidi"/>
          <w:sz w:val="24"/>
          <w:szCs w:val="24"/>
          <w:lang w:val="en-US" w:eastAsia="fr-FR"/>
        </w:rPr>
        <w:t>.</w:t>
      </w:r>
      <w:proofErr w:type="gramEnd"/>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 xml:space="preserve">Direct examination of </w:t>
      </w:r>
      <w:proofErr w:type="spellStart"/>
      <w:r w:rsidR="008E715D" w:rsidRPr="008E715D">
        <w:rPr>
          <w:rFonts w:asciiTheme="majorBidi" w:eastAsia="Times New Roman" w:hAnsiTheme="majorBidi" w:cstheme="majorBidi"/>
          <w:sz w:val="24"/>
          <w:szCs w:val="24"/>
          <w:lang w:val="en-US" w:eastAsia="fr-FR"/>
        </w:rPr>
        <w:t>Ziehl</w:t>
      </w:r>
      <w:proofErr w:type="spellEnd"/>
      <w:r w:rsidR="008E715D" w:rsidRPr="008E715D">
        <w:rPr>
          <w:rFonts w:asciiTheme="majorBidi" w:eastAsia="Times New Roman" w:hAnsiTheme="majorBidi" w:cstheme="majorBidi"/>
          <w:sz w:val="24"/>
          <w:szCs w:val="24"/>
          <w:lang w:val="en-US" w:eastAsia="fr-FR"/>
        </w:rPr>
        <w:t xml:space="preserve"> Nielsen staining (+10 AFB/field).</w:t>
      </w:r>
    </w:p>
    <w:p w:rsidR="00942A58" w:rsidRPr="00F74F15" w:rsidRDefault="00942A58" w:rsidP="00942A58">
      <w:p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val="en-US"/>
        </w:rPr>
        <w:lastRenderedPageBreak/>
        <w:drawing>
          <wp:anchor distT="0" distB="0" distL="114300" distR="114300" simplePos="0" relativeHeight="251664384" behindDoc="0" locked="0" layoutInCell="1" allowOverlap="1" wp14:anchorId="74404AB9" wp14:editId="617F9663">
            <wp:simplePos x="0" y="0"/>
            <wp:positionH relativeFrom="column">
              <wp:posOffset>3196590</wp:posOffset>
            </wp:positionH>
            <wp:positionV relativeFrom="paragraph">
              <wp:posOffset>4227830</wp:posOffset>
            </wp:positionV>
            <wp:extent cx="1343660" cy="3239770"/>
            <wp:effectExtent l="0" t="0" r="889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66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76C">
        <w:rPr>
          <w:rFonts w:asciiTheme="majorBidi" w:hAnsiTheme="majorBidi" w:cstheme="majorBidi"/>
          <w:noProof/>
          <w:sz w:val="24"/>
          <w:szCs w:val="24"/>
          <w:lang w:val="en-US"/>
        </w:rPr>
        <w:drawing>
          <wp:inline distT="0" distB="0" distL="0" distR="0" wp14:anchorId="76B9457A" wp14:editId="3CAB60A4">
            <wp:extent cx="1864426" cy="3657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395" cy="3661463"/>
                    </a:xfrm>
                    <a:prstGeom prst="rect">
                      <a:avLst/>
                    </a:prstGeom>
                    <a:noFill/>
                    <a:ln>
                      <a:noFill/>
                    </a:ln>
                  </pic:spPr>
                </pic:pic>
              </a:graphicData>
            </a:graphic>
          </wp:inline>
        </w:drawing>
      </w:r>
    </w:p>
    <w:p w:rsidR="00942A58" w:rsidRPr="00D1376C" w:rsidRDefault="00942A58" w:rsidP="00942A58">
      <w:pPr>
        <w:pStyle w:val="BodyText"/>
        <w:spacing w:before="119" w:line="278" w:lineRule="auto"/>
        <w:jc w:val="both"/>
        <w:rPr>
          <w:rFonts w:asciiTheme="majorBidi" w:eastAsia="Times New Roman" w:hAnsiTheme="majorBidi" w:cstheme="majorBidi"/>
          <w:lang w:val="en-US" w:eastAsia="fr-MA"/>
        </w:rPr>
      </w:pPr>
      <w:r w:rsidRPr="00D1376C">
        <w:rPr>
          <w:rFonts w:asciiTheme="majorBidi" w:eastAsia="Times New Roman" w:hAnsiTheme="majorBidi" w:cstheme="majorBidi"/>
          <w:lang w:val="en-US" w:eastAsia="fr-MA"/>
        </w:rPr>
        <w:t>Fig</w:t>
      </w:r>
      <w:r>
        <w:rPr>
          <w:rFonts w:asciiTheme="majorBidi" w:eastAsia="Times New Roman" w:hAnsiTheme="majorBidi" w:cstheme="majorBidi"/>
          <w:lang w:val="en-US" w:eastAsia="fr-FR"/>
        </w:rPr>
        <w:t>.</w:t>
      </w:r>
      <w:r w:rsidRPr="00D1376C">
        <w:rPr>
          <w:rFonts w:asciiTheme="majorBidi" w:eastAsia="Times New Roman" w:hAnsiTheme="majorBidi" w:cstheme="majorBidi"/>
          <w:lang w:val="en-US" w:eastAsia="fr-MA"/>
        </w:rPr>
        <w:t xml:space="preserve"> g</w:t>
      </w:r>
      <w:r w:rsidR="008E715D">
        <w:rPr>
          <w:rFonts w:asciiTheme="majorBidi" w:eastAsia="Times New Roman" w:hAnsiTheme="majorBidi" w:cstheme="majorBidi"/>
          <w:lang w:val="en-US" w:eastAsia="fr-MA"/>
        </w:rPr>
        <w:t xml:space="preserve">. </w:t>
      </w:r>
      <w:r w:rsidR="008E715D" w:rsidRPr="008E715D">
        <w:rPr>
          <w:rFonts w:asciiTheme="majorBidi" w:eastAsia="Times New Roman" w:hAnsiTheme="majorBidi" w:cstheme="majorBidi"/>
          <w:lang w:val="en-US" w:eastAsia="fr-MA"/>
        </w:rPr>
        <w:t>Positive cultures on Lowenstein medium.</w:t>
      </w:r>
      <w:r w:rsidRPr="00D1376C">
        <w:rPr>
          <w:rFonts w:asciiTheme="majorBidi" w:eastAsia="Times New Roman" w:hAnsiTheme="majorBidi" w:cstheme="majorBidi"/>
          <w:lang w:val="en-US" w:eastAsia="fr-MA"/>
        </w:rPr>
        <w:t xml:space="preserve"> </w:t>
      </w:r>
    </w:p>
    <w:p w:rsidR="008E715D" w:rsidRDefault="008E715D" w:rsidP="00942A58">
      <w:pPr>
        <w:jc w:val="center"/>
        <w:rPr>
          <w:rFonts w:asciiTheme="majorBidi" w:hAnsiTheme="majorBidi" w:cstheme="majorBidi"/>
          <w:sz w:val="24"/>
          <w:szCs w:val="24"/>
          <w:lang w:val="en-US"/>
        </w:rPr>
      </w:pPr>
    </w:p>
    <w:p w:rsidR="00942A58" w:rsidRPr="00D1376C" w:rsidRDefault="00942A58" w:rsidP="00942A58">
      <w:pPr>
        <w:jc w:val="center"/>
        <w:rPr>
          <w:rFonts w:asciiTheme="majorBidi" w:hAnsiTheme="majorBidi" w:cstheme="majorBidi"/>
          <w:sz w:val="24"/>
          <w:szCs w:val="24"/>
          <w:lang w:val="en-US"/>
        </w:rPr>
      </w:pPr>
      <w:r w:rsidRPr="00D1376C">
        <w:rPr>
          <w:rFonts w:asciiTheme="majorBidi" w:hAnsiTheme="majorBidi" w:cstheme="majorBidi"/>
          <w:sz w:val="24"/>
          <w:szCs w:val="24"/>
          <w:lang w:val="en-US"/>
        </w:rPr>
        <w:t>Fig</w:t>
      </w:r>
      <w:r>
        <w:rPr>
          <w:rFonts w:asciiTheme="majorBidi" w:eastAsia="Times New Roman" w:hAnsiTheme="majorBidi" w:cstheme="majorBidi"/>
          <w:sz w:val="24"/>
          <w:szCs w:val="24"/>
          <w:lang w:val="en-US" w:eastAsia="fr-FR"/>
        </w:rPr>
        <w:t>.</w:t>
      </w:r>
      <w:r w:rsidRPr="00D1376C">
        <w:rPr>
          <w:rFonts w:asciiTheme="majorBidi" w:hAnsiTheme="majorBidi" w:cstheme="majorBidi"/>
          <w:sz w:val="24"/>
          <w:szCs w:val="24"/>
          <w:lang w:val="en-US"/>
        </w:rPr>
        <w:t xml:space="preserve"> h</w:t>
      </w:r>
      <w:r w:rsidR="008E715D">
        <w:rPr>
          <w:rFonts w:asciiTheme="majorBidi" w:hAnsiTheme="majorBidi" w:cstheme="majorBidi"/>
          <w:sz w:val="24"/>
          <w:szCs w:val="24"/>
          <w:lang w:val="en-US"/>
        </w:rPr>
        <w:t xml:space="preserve">. </w:t>
      </w:r>
      <w:r w:rsidR="008E715D" w:rsidRPr="008E715D">
        <w:rPr>
          <w:rFonts w:asciiTheme="majorBidi" w:hAnsiTheme="majorBidi" w:cstheme="majorBidi"/>
          <w:sz w:val="24"/>
          <w:szCs w:val="24"/>
          <w:lang w:val="en-US"/>
        </w:rPr>
        <w:t>Positive cultures on Lowenstein medium.</w:t>
      </w:r>
    </w:p>
    <w:p w:rsidR="00B5582D" w:rsidRDefault="00B5582D" w:rsidP="00DD6FFA">
      <w:pPr>
        <w:rPr>
          <w:rFonts w:asciiTheme="majorBidi" w:hAnsiTheme="majorBidi" w:cstheme="majorBidi"/>
          <w:sz w:val="24"/>
          <w:szCs w:val="24"/>
          <w:lang w:val="en-US"/>
        </w:rPr>
      </w:pPr>
    </w:p>
    <w:p w:rsidR="00942A58" w:rsidRPr="00D1376C" w:rsidRDefault="00942A58"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b/>
          <w:bCs/>
          <w:sz w:val="24"/>
          <w:szCs w:val="24"/>
          <w:lang w:val="en-US"/>
        </w:rPr>
      </w:pPr>
    </w:p>
    <w:p w:rsidR="00DD6FFA" w:rsidRPr="00D1376C" w:rsidRDefault="00DD6FFA" w:rsidP="00DD6FFA">
      <w:pPr>
        <w:rPr>
          <w:rFonts w:asciiTheme="majorBidi" w:hAnsiTheme="majorBidi" w:cstheme="majorBidi"/>
          <w:b/>
          <w:bCs/>
          <w:sz w:val="24"/>
          <w:szCs w:val="24"/>
          <w:lang w:val="en-US"/>
        </w:rPr>
      </w:pPr>
      <w:r w:rsidRPr="00D1376C">
        <w:rPr>
          <w:rFonts w:asciiTheme="majorBidi" w:hAnsiTheme="majorBidi" w:cstheme="majorBidi"/>
          <w:b/>
          <w:bCs/>
          <w:sz w:val="24"/>
          <w:szCs w:val="24"/>
          <w:lang w:val="en-US"/>
        </w:rPr>
        <w:t>Discussion</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Anal tuberculosis (TB) is an exceptionally rare manifestation of extrapulmonary TB and presents a significant diagnostic challenge due to its nonspecific clinical presentation. It may develop through various mechanisms: direct extension from gastrointestinal involvement, hematogenous spread from a distant TB focus, or localized contamination, particularly in immunocompromised individuals. In some rare instances, tuberculous anal fistulas may present as primary lesions without any detectable source of TB infection elsewhere in the body. This clinical scenario emphasizes the need for heightened clinical suspicion and thorough investigation.</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The clinical features of tuberculous anal fistulas closely resemble those of non-tuberculous fistulas, making early differentiation difficult. Typically, these fistulas may present as chronic, recurrent perianal lesions resistant to conventional surgical treatment. Several clinical clues can raise suspicion of tuberculous etiology in the setting of a fistula, including:</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Recurrent fistulae despite well-executed surgical interventions</w:t>
      </w: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Multiple external or secondary openings</w:t>
      </w: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Associated ulcerated or indurated perineal lesions</w:t>
      </w: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A personal history of TB or known contact with individuals affected by TB</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Although these signs are not pathognomonic, their presence should prompt further evaluation, especially in endemic regions or in patients with risk factors such as immunosuppression. The literature supports the rarity of anal tuberculosis, and the few published case series (5,6) reinforce the diagnostic difficulty, noting that nearly half of the patients do not exhibit active or historical pulmonary TB. This absence of concomitant pulmonary involvement makes the diagnosis particularly elusive and warrants increased clinical vigilance for atypical or treatment-refractory anal fistulas.</w:t>
      </w:r>
    </w:p>
    <w:p w:rsidR="003B2634" w:rsidRPr="003B2634" w:rsidRDefault="003B2634" w:rsidP="003B2634">
      <w:pPr>
        <w:rPr>
          <w:rFonts w:asciiTheme="majorBidi" w:hAnsiTheme="majorBidi" w:cstheme="majorBidi"/>
          <w:sz w:val="24"/>
          <w:szCs w:val="24"/>
          <w:lang w:val="en-US"/>
        </w:rPr>
      </w:pPr>
    </w:p>
    <w:p w:rsidR="003B2634" w:rsidRPr="002407A5" w:rsidRDefault="002407A5" w:rsidP="002407A5">
      <w:pPr>
        <w:rPr>
          <w:rFonts w:asciiTheme="majorBidi" w:hAnsiTheme="majorBidi" w:cstheme="majorBidi"/>
          <w:i/>
          <w:iCs/>
          <w:sz w:val="24"/>
          <w:szCs w:val="24"/>
          <w:u w:val="single"/>
          <w:lang w:val="en-US"/>
        </w:rPr>
      </w:pPr>
      <w:r w:rsidRPr="002407A5">
        <w:rPr>
          <w:rFonts w:asciiTheme="majorBidi" w:hAnsiTheme="majorBidi" w:cstheme="majorBidi"/>
          <w:i/>
          <w:iCs/>
          <w:sz w:val="24"/>
          <w:szCs w:val="24"/>
          <w:u w:val="single"/>
          <w:lang w:val="en-US"/>
        </w:rPr>
        <w:t>Bacteriological Evaluation</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Bacteriological confirmation remains the gold standard for diagnosing TB, although it is often difficult in paucibacillary forms such as anal TB. The </w:t>
      </w:r>
      <w:proofErr w:type="spellStart"/>
      <w:r w:rsidRPr="003B2634">
        <w:rPr>
          <w:rFonts w:asciiTheme="majorBidi" w:hAnsiTheme="majorBidi" w:cstheme="majorBidi"/>
          <w:sz w:val="24"/>
          <w:szCs w:val="24"/>
          <w:lang w:val="en-US"/>
        </w:rPr>
        <w:t>Quantiferon</w:t>
      </w:r>
      <w:proofErr w:type="spellEnd"/>
      <w:r w:rsidRPr="003B2634">
        <w:rPr>
          <w:rFonts w:asciiTheme="majorBidi" w:hAnsiTheme="majorBidi" w:cstheme="majorBidi"/>
          <w:sz w:val="24"/>
          <w:szCs w:val="24"/>
          <w:lang w:val="en-US"/>
        </w:rPr>
        <w:t xml:space="preserve">-TB Gold test, an </w:t>
      </w:r>
      <w:r w:rsidRPr="003B2634">
        <w:rPr>
          <w:rFonts w:asciiTheme="majorBidi" w:hAnsiTheme="majorBidi" w:cstheme="majorBidi"/>
          <w:sz w:val="24"/>
          <w:szCs w:val="24"/>
          <w:lang w:val="en-US"/>
        </w:rPr>
        <w:lastRenderedPageBreak/>
        <w:t>interferon-gamma release assay (IGRA), is an important immunological test used to detect latent or active infection by *Mycobacterium tuberculosis*. While a positive result does not confirm active disease, it does suggest prior exposure and is valuable when interpreted alongside compatible clinical features.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Molecular diagnostic methods have significantly improved the detection rate of TB in extrapulmonary cases. The GeneXpert MTB/RIF assay, a nucleic acid amplification test (NAAT), allows for the rapid identification of *M. tuberculosis* DNA and simultaneous detection of rifampicin resistance. In our study cohort, GeneXpert detected *M. tuberculosis* in six patients, despite negative findings on conventional staining techniques such as </w:t>
      </w:r>
      <w:proofErr w:type="spellStart"/>
      <w:r w:rsidRPr="003B2634">
        <w:rPr>
          <w:rFonts w:asciiTheme="majorBidi" w:hAnsiTheme="majorBidi" w:cstheme="majorBidi"/>
          <w:sz w:val="24"/>
          <w:szCs w:val="24"/>
          <w:lang w:val="en-US"/>
        </w:rPr>
        <w:t>Ziehl-Neelsen</w:t>
      </w:r>
      <w:proofErr w:type="spellEnd"/>
      <w:r w:rsidRPr="003B2634">
        <w:rPr>
          <w:rFonts w:asciiTheme="majorBidi" w:hAnsiTheme="majorBidi" w:cstheme="majorBidi"/>
          <w:sz w:val="24"/>
          <w:szCs w:val="24"/>
          <w:lang w:val="en-US"/>
        </w:rPr>
        <w:t xml:space="preserve"> or auramine-rhodamine </w:t>
      </w:r>
      <w:proofErr w:type="gramStart"/>
      <w:r w:rsidRPr="003B2634">
        <w:rPr>
          <w:rFonts w:asciiTheme="majorBidi" w:hAnsiTheme="majorBidi" w:cstheme="majorBidi"/>
          <w:sz w:val="24"/>
          <w:szCs w:val="24"/>
          <w:lang w:val="en-US"/>
        </w:rPr>
        <w:t>fluorescence</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[7,8]</w:t>
      </w:r>
      <w:r w:rsidRPr="003B2634">
        <w:rPr>
          <w:rFonts w:asciiTheme="majorBidi" w:hAnsiTheme="majorBidi" w:cstheme="majorBidi"/>
          <w:sz w:val="24"/>
          <w:szCs w:val="24"/>
          <w:lang w:val="en-US"/>
        </w:rPr>
        <w:t>. These results underscore the limitations of direct microscopy in paucibacillary forms and highlight the sensitivity of molecular diagnostics.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Culture remains indispensable for definitive diagnosis and drug susceptibility testing. In our series, cultures performed on both solid (</w:t>
      </w:r>
      <w:proofErr w:type="spellStart"/>
      <w:r w:rsidRPr="003B2634">
        <w:rPr>
          <w:rFonts w:asciiTheme="majorBidi" w:hAnsiTheme="majorBidi" w:cstheme="majorBidi"/>
          <w:sz w:val="24"/>
          <w:szCs w:val="24"/>
          <w:lang w:val="en-US"/>
        </w:rPr>
        <w:t>Löwenstein</w:t>
      </w:r>
      <w:proofErr w:type="spellEnd"/>
      <w:r w:rsidRPr="003B2634">
        <w:rPr>
          <w:rFonts w:asciiTheme="majorBidi" w:hAnsiTheme="majorBidi" w:cstheme="majorBidi"/>
          <w:sz w:val="24"/>
          <w:szCs w:val="24"/>
          <w:lang w:val="en-US"/>
        </w:rPr>
        <w:t>-Jensen) and liquid (MGIT—Mycobacteria Growth Indicator Tube) media yielded positive results in all GeneXpert-confirmed cases. However, culture positivity was delayed, with growth observed between 24 and 71 days—timeframes that are typical for extrapulmonary or paucibacillary TB. Despite this delay, culture remains the cornerstone for evaluating drug resistance, especially when molecular methods cannot determine susceptibility profiles comprehensively. In our patient cohort, no rifampicin resistance was detected.</w:t>
      </w:r>
    </w:p>
    <w:p w:rsidR="003B2634" w:rsidRPr="003B2634" w:rsidRDefault="003B2634" w:rsidP="003B2634">
      <w:pPr>
        <w:rPr>
          <w:rFonts w:asciiTheme="majorBidi" w:hAnsiTheme="majorBidi" w:cstheme="majorBidi"/>
          <w:sz w:val="24"/>
          <w:szCs w:val="24"/>
          <w:lang w:val="en-US"/>
        </w:rPr>
      </w:pPr>
    </w:p>
    <w:p w:rsidR="003B2634" w:rsidRPr="002407A5" w:rsidRDefault="002407A5" w:rsidP="002407A5">
      <w:pPr>
        <w:rPr>
          <w:rFonts w:asciiTheme="majorBidi" w:hAnsiTheme="majorBidi" w:cstheme="majorBidi"/>
          <w:sz w:val="24"/>
          <w:szCs w:val="24"/>
          <w:lang w:val="en-US"/>
        </w:rPr>
      </w:pPr>
      <w:r>
        <w:rPr>
          <w:rFonts w:asciiTheme="majorBidi" w:hAnsiTheme="majorBidi" w:cstheme="majorBidi"/>
          <w:i/>
          <w:iCs/>
          <w:sz w:val="24"/>
          <w:szCs w:val="24"/>
          <w:u w:val="single"/>
          <w:lang w:val="en-US"/>
        </w:rPr>
        <w:t>Histopathological Features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Histopathology serves as an essential adjunct in diagnosing TB, particularly when bacteriological tests are inconclusive. Granulomatous inflammation is a hallmark of TB and may be identified on biopsy specimens. Classic features include epithelioid cell granulomas with </w:t>
      </w:r>
      <w:proofErr w:type="spellStart"/>
      <w:r w:rsidRPr="003B2634">
        <w:rPr>
          <w:rFonts w:asciiTheme="majorBidi" w:hAnsiTheme="majorBidi" w:cstheme="majorBidi"/>
          <w:sz w:val="24"/>
          <w:szCs w:val="24"/>
          <w:lang w:val="en-US"/>
        </w:rPr>
        <w:t>Langhans</w:t>
      </w:r>
      <w:proofErr w:type="spellEnd"/>
      <w:r w:rsidRPr="003B2634">
        <w:rPr>
          <w:rFonts w:asciiTheme="majorBidi" w:hAnsiTheme="majorBidi" w:cstheme="majorBidi"/>
          <w:sz w:val="24"/>
          <w:szCs w:val="24"/>
          <w:lang w:val="en-US"/>
        </w:rPr>
        <w:t xml:space="preserve"> giant cells and central caseating necrosis. However, in many cases, especially in early or less active lesions, caseous necrosis may be absent, rendering the findings nonspecific. Non-caseating granulomas can also be seen in various other conditions, most notably Crohn’s disease, which is the primary differential diagnosis in such cases.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Hence, while granulomas on histology suggest TB, they are not confirmatory unless accompanied by either caseous necrosis or bacteriological evidence. This limitation necessitates a multidisciplinary approach for diagnosis, combining clinical, radiological, histopathological, and microbiological findings.</w:t>
      </w:r>
    </w:p>
    <w:p w:rsidR="003B2634" w:rsidRPr="003B2634" w:rsidRDefault="003B2634" w:rsidP="003B2634">
      <w:pPr>
        <w:rPr>
          <w:rFonts w:asciiTheme="majorBidi" w:hAnsiTheme="majorBidi" w:cstheme="majorBidi"/>
          <w:sz w:val="24"/>
          <w:szCs w:val="24"/>
          <w:lang w:val="en-US"/>
        </w:rPr>
      </w:pPr>
    </w:p>
    <w:p w:rsidR="003B2634" w:rsidRPr="00F6532E" w:rsidRDefault="003B2634" w:rsidP="003B2634">
      <w:pPr>
        <w:rPr>
          <w:rFonts w:asciiTheme="majorBidi" w:hAnsiTheme="majorBidi" w:cstheme="majorBidi"/>
          <w:i/>
          <w:iCs/>
          <w:sz w:val="24"/>
          <w:szCs w:val="24"/>
          <w:u w:val="single"/>
          <w:lang w:val="en-US"/>
        </w:rPr>
      </w:pPr>
      <w:r w:rsidRPr="00F6532E">
        <w:rPr>
          <w:rFonts w:asciiTheme="majorBidi" w:hAnsiTheme="majorBidi" w:cstheme="majorBidi"/>
          <w:i/>
          <w:iCs/>
          <w:sz w:val="24"/>
          <w:szCs w:val="24"/>
          <w:u w:val="single"/>
          <w:lang w:val="en-US"/>
        </w:rPr>
        <w:t>Differential Diagnosis: Crohn’s Dise</w:t>
      </w:r>
      <w:r w:rsidR="00F6532E" w:rsidRPr="00F6532E">
        <w:rPr>
          <w:rFonts w:asciiTheme="majorBidi" w:hAnsiTheme="majorBidi" w:cstheme="majorBidi"/>
          <w:i/>
          <w:iCs/>
          <w:sz w:val="24"/>
          <w:szCs w:val="24"/>
          <w:u w:val="single"/>
          <w:lang w:val="en-US"/>
        </w:rPr>
        <w:t>ase and Coexisting Pathologies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Crohn’s disease is the most significant differential diagnosis of anal TB, as both conditions can present with chronic perianal fistulas, granulomatous inflammation, and systemic symptoms. In some instances, intestinal TB may coexist with other inflammatory or infectious diseases, making the diagnostic process even more complex. In cases where the diagnosis remains ambiguous or where the clinical course deviates from the expected trajectory of TB, re-evaluation is critical. A lack of clinical response to anti-TB therapy should prompt repeat colonoscopy and additional histological and microbiological investigations.</w:t>
      </w:r>
    </w:p>
    <w:p w:rsidR="003B2634" w:rsidRPr="003B2634" w:rsidRDefault="003B2634" w:rsidP="003B2634">
      <w:pPr>
        <w:rPr>
          <w:rFonts w:asciiTheme="majorBidi" w:hAnsiTheme="majorBidi" w:cstheme="majorBidi"/>
          <w:sz w:val="24"/>
          <w:szCs w:val="24"/>
          <w:lang w:val="en-US"/>
        </w:rPr>
      </w:pPr>
    </w:p>
    <w:p w:rsidR="003B2634" w:rsidRPr="00F6532E" w:rsidRDefault="00F6532E" w:rsidP="00F6532E">
      <w:pPr>
        <w:rPr>
          <w:rFonts w:asciiTheme="majorBidi" w:hAnsiTheme="majorBidi" w:cstheme="majorBidi"/>
          <w:i/>
          <w:iCs/>
          <w:sz w:val="24"/>
          <w:szCs w:val="24"/>
          <w:u w:val="single"/>
          <w:lang w:val="en-US"/>
        </w:rPr>
      </w:pPr>
      <w:r>
        <w:rPr>
          <w:rFonts w:asciiTheme="majorBidi" w:hAnsiTheme="majorBidi" w:cstheme="majorBidi"/>
          <w:i/>
          <w:iCs/>
          <w:sz w:val="24"/>
          <w:szCs w:val="24"/>
          <w:u w:val="single"/>
          <w:lang w:val="en-US"/>
        </w:rPr>
        <w:t>Therapeutic Implications</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The management of tuberculous anal fistulas involves a dual approach—medical and surgical. Medical treatment follows the standard anti-TB regimen: two months of intensive phase with rifampicin, isoniazid, pyrazinamide, and ethambutol (2RHZE), followed by four months of continuation phase with rifampicin and isoniazid (4RH). This six-month regimen is consistent with national and international guidelines, including the Moroccan National Program for the Fight Against Tuberculosis (PNLAT) (9).</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Surgical management is tailored to the complexity of the fistula. Options range from simple seton placement, single- or multi-stage fistulotomy, to more complex interventions such as advancement flap creation, particularly in high or complex </w:t>
      </w:r>
      <w:proofErr w:type="gramStart"/>
      <w:r w:rsidRPr="003B2634">
        <w:rPr>
          <w:rFonts w:asciiTheme="majorBidi" w:hAnsiTheme="majorBidi" w:cstheme="majorBidi"/>
          <w:sz w:val="24"/>
          <w:szCs w:val="24"/>
          <w:lang w:val="en-US"/>
        </w:rPr>
        <w:t>fistulas</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10]</w:t>
      </w:r>
      <w:r w:rsidRPr="003B2634">
        <w:rPr>
          <w:rFonts w:asciiTheme="majorBidi" w:hAnsiTheme="majorBidi" w:cstheme="majorBidi"/>
          <w:sz w:val="24"/>
          <w:szCs w:val="24"/>
          <w:lang w:val="en-US"/>
        </w:rPr>
        <w:t>. The aim of surgery is to control local sepsis, facilitate healing, and prevent recurrence, while preserving anal continence.</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Treatment decisions should also be guided by diagnostic certainty:</w:t>
      </w:r>
    </w:p>
    <w:p w:rsidR="003B2634" w:rsidRPr="003B2634" w:rsidRDefault="003B2634" w:rsidP="003B2634">
      <w:pPr>
        <w:rPr>
          <w:rFonts w:asciiTheme="majorBidi" w:hAnsiTheme="majorBidi" w:cstheme="majorBidi"/>
          <w:sz w:val="24"/>
          <w:szCs w:val="24"/>
          <w:lang w:val="en-US"/>
        </w:rPr>
      </w:pP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If GeneXpert or culture confirms *M. tuberculosis*, treatment must proceed as for intestinal TB.</w:t>
      </w:r>
    </w:p>
    <w:p w:rsidR="003B2634" w:rsidRP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If histology reveals caseating granulomas, TB treatment is warranted even in the absence of bacteriological confirmation.</w:t>
      </w:r>
    </w:p>
    <w:p w:rsidR="003B2634" w:rsidRDefault="003B2634" w:rsidP="003B2634">
      <w:pPr>
        <w:rPr>
          <w:rFonts w:asciiTheme="majorBidi" w:hAnsiTheme="majorBidi" w:cstheme="majorBidi"/>
          <w:sz w:val="24"/>
          <w:szCs w:val="24"/>
          <w:lang w:val="en-US"/>
        </w:rPr>
      </w:pPr>
      <w:r w:rsidRPr="003B2634">
        <w:rPr>
          <w:rFonts w:asciiTheme="majorBidi" w:hAnsiTheme="majorBidi" w:cstheme="majorBidi"/>
          <w:sz w:val="24"/>
          <w:szCs w:val="24"/>
          <w:lang w:val="en-US"/>
        </w:rPr>
        <w:t xml:space="preserve">* If granulomas are present without caseation and microbiological tests are negative, a diagnosis of Crohn’s disease may be considered. In such cases, careful monitoring is </w:t>
      </w:r>
      <w:r w:rsidRPr="003B2634">
        <w:rPr>
          <w:rFonts w:asciiTheme="majorBidi" w:hAnsiTheme="majorBidi" w:cstheme="majorBidi"/>
          <w:sz w:val="24"/>
          <w:szCs w:val="24"/>
          <w:lang w:val="en-US"/>
        </w:rPr>
        <w:lastRenderedPageBreak/>
        <w:t>essential, and treatment must be adjusted based on the patient’s evolution. If signs of TB reappear, repeat biopsy and microbiological testing are advised.</w:t>
      </w:r>
    </w:p>
    <w:p w:rsidR="000F069C" w:rsidRDefault="000F069C" w:rsidP="003B2634">
      <w:pPr>
        <w:rPr>
          <w:rFonts w:asciiTheme="majorBidi" w:hAnsiTheme="majorBidi" w:cstheme="majorBidi"/>
          <w:sz w:val="24"/>
          <w:szCs w:val="24"/>
          <w:lang w:val="en-US"/>
        </w:rPr>
      </w:pPr>
      <w:r w:rsidRPr="000F069C">
        <w:rPr>
          <w:rFonts w:asciiTheme="majorBidi" w:hAnsiTheme="majorBidi" w:cstheme="majorBidi"/>
          <w:sz w:val="24"/>
          <w:szCs w:val="24"/>
          <w:lang w:val="en-US"/>
        </w:rPr>
        <w:t xml:space="preserve">Most series confirm that the management of TB </w:t>
      </w:r>
      <w:proofErr w:type="spellStart"/>
      <w:r w:rsidRPr="000F069C">
        <w:rPr>
          <w:rFonts w:asciiTheme="majorBidi" w:hAnsiTheme="majorBidi" w:cstheme="majorBidi"/>
          <w:sz w:val="24"/>
          <w:szCs w:val="24"/>
          <w:lang w:val="en-US"/>
        </w:rPr>
        <w:t>fistulain-ano</w:t>
      </w:r>
      <w:proofErr w:type="spellEnd"/>
      <w:r w:rsidRPr="000F069C">
        <w:rPr>
          <w:rFonts w:asciiTheme="majorBidi" w:hAnsiTheme="majorBidi" w:cstheme="majorBidi"/>
          <w:sz w:val="24"/>
          <w:szCs w:val="24"/>
          <w:lang w:val="en-US"/>
        </w:rPr>
        <w:t xml:space="preserve"> is different from that of routine cryptoglandular fistulas. Surgery is rarely effective for such fistulae and may frequently lead to recurrence if not treated with ATT. Takahashi et al underscored the fact that the combination of surgical drainage with ATT results in an optimal outcome, with a h</w:t>
      </w:r>
      <w:r>
        <w:rPr>
          <w:rFonts w:asciiTheme="majorBidi" w:hAnsiTheme="majorBidi" w:cstheme="majorBidi"/>
          <w:sz w:val="24"/>
          <w:szCs w:val="24"/>
          <w:lang w:val="en-US"/>
        </w:rPr>
        <w:t xml:space="preserve">ealing rate of more than 90%. [11] </w:t>
      </w:r>
      <w:r w:rsidRPr="000F069C">
        <w:rPr>
          <w:rFonts w:asciiTheme="majorBidi" w:hAnsiTheme="majorBidi" w:cstheme="majorBidi"/>
          <w:sz w:val="24"/>
          <w:szCs w:val="24"/>
          <w:lang w:val="en-US"/>
        </w:rPr>
        <w:t>Indeed, our experience agrees with his view, and all TB positive cases treated by ATT showed the effective healing.</w:t>
      </w: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3B2634">
      <w:pPr>
        <w:rPr>
          <w:rFonts w:asciiTheme="majorBidi" w:hAnsiTheme="majorBidi" w:cstheme="majorBidi"/>
          <w:sz w:val="24"/>
          <w:szCs w:val="24"/>
          <w:lang w:val="en-US"/>
        </w:rPr>
      </w:pPr>
    </w:p>
    <w:p w:rsidR="000F069C" w:rsidRDefault="000F069C" w:rsidP="00F74F15">
      <w:pPr>
        <w:rPr>
          <w:rFonts w:asciiTheme="majorBidi" w:hAnsiTheme="majorBidi" w:cstheme="majorBidi"/>
          <w:sz w:val="24"/>
          <w:szCs w:val="24"/>
          <w:lang w:val="en-US"/>
        </w:rPr>
      </w:pPr>
    </w:p>
    <w:p w:rsidR="000F069C" w:rsidRDefault="000F069C" w:rsidP="00F74F15">
      <w:pPr>
        <w:rPr>
          <w:rFonts w:asciiTheme="majorBidi" w:hAnsiTheme="majorBidi" w:cstheme="majorBidi"/>
          <w:sz w:val="24"/>
          <w:szCs w:val="24"/>
          <w:lang w:val="en-US"/>
        </w:rPr>
      </w:pPr>
    </w:p>
    <w:p w:rsidR="000F069C" w:rsidRDefault="000F069C" w:rsidP="00F74F15">
      <w:pPr>
        <w:rPr>
          <w:rFonts w:asciiTheme="majorBidi" w:hAnsiTheme="majorBidi" w:cstheme="majorBidi"/>
          <w:sz w:val="24"/>
          <w:szCs w:val="24"/>
          <w:lang w:val="en-US"/>
        </w:rPr>
      </w:pPr>
    </w:p>
    <w:p w:rsidR="00DD6FFA" w:rsidRPr="00D1376C" w:rsidRDefault="00DD6FFA" w:rsidP="00F74F15">
      <w:pPr>
        <w:rPr>
          <w:rFonts w:asciiTheme="majorBidi" w:hAnsiTheme="majorBidi" w:cstheme="majorBidi"/>
          <w:b/>
          <w:bCs/>
          <w:sz w:val="24"/>
          <w:szCs w:val="24"/>
          <w:lang w:val="en-US"/>
        </w:rPr>
      </w:pPr>
      <w:r w:rsidRPr="00D1376C">
        <w:rPr>
          <w:rFonts w:asciiTheme="majorBidi" w:hAnsiTheme="majorBidi" w:cstheme="majorBidi"/>
          <w:b/>
          <w:bCs/>
          <w:sz w:val="24"/>
          <w:szCs w:val="24"/>
          <w:lang w:val="en-US"/>
        </w:rPr>
        <w:t>Conclusion</w:t>
      </w:r>
    </w:p>
    <w:p w:rsidR="00D1376C" w:rsidRDefault="003B2634" w:rsidP="00DD6FFA">
      <w:pPr>
        <w:rPr>
          <w:rFonts w:asciiTheme="majorBidi" w:hAnsiTheme="majorBidi" w:cstheme="majorBidi"/>
          <w:sz w:val="24"/>
          <w:szCs w:val="24"/>
          <w:lang w:val="en-US"/>
        </w:rPr>
      </w:pPr>
      <w:r w:rsidRPr="003B2634">
        <w:rPr>
          <w:rFonts w:asciiTheme="majorBidi" w:hAnsiTheme="majorBidi" w:cstheme="majorBidi"/>
          <w:sz w:val="24"/>
          <w:szCs w:val="24"/>
          <w:lang w:val="en-US"/>
        </w:rPr>
        <w:t>Anal tuberculosis is a rare but likely underdiagnosed form of extrapulmonary TB, often mimicking more common anorectal conditions such as cryptoglandular fistulas or Crohn’s disease. Its diagnosis should be considered in patients presenting with recurrent, atypical, or non-healing anal fistulas, especially in TB-endemic areas or in individuals with relevant epidemiological risk factors. Accurate diagnosis relies on a combination of histological examination and microbiological confirmation, including molecular techniques like GeneXpert. Management involves a multidisciplinary approach, typically combining conservative surgical intervention with standard anti-tuberculosis therapy. When diagnosed early and treated appropriately, anal TB usually responds well, resulting in complete recovery without long-term complications.</w:t>
      </w: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Default="00D1376C" w:rsidP="00DD6FFA">
      <w:pPr>
        <w:rPr>
          <w:rFonts w:asciiTheme="majorBidi" w:hAnsiTheme="majorBidi" w:cstheme="majorBidi"/>
          <w:sz w:val="24"/>
          <w:szCs w:val="24"/>
          <w:lang w:val="en-US"/>
        </w:rPr>
      </w:pPr>
    </w:p>
    <w:p w:rsidR="00D1376C" w:rsidRPr="00F30A34" w:rsidRDefault="00D1376C" w:rsidP="00DD6FFA">
      <w:pPr>
        <w:rPr>
          <w:rFonts w:asciiTheme="majorBidi" w:hAnsiTheme="majorBidi" w:cstheme="majorBidi"/>
          <w:b/>
          <w:bCs/>
          <w:sz w:val="24"/>
          <w:szCs w:val="24"/>
          <w:lang w:val="en-US"/>
        </w:rPr>
      </w:pPr>
      <w:bookmarkStart w:id="0" w:name="_GoBack"/>
      <w:bookmarkEnd w:id="0"/>
      <w:r w:rsidRPr="00F30A34">
        <w:rPr>
          <w:rFonts w:asciiTheme="majorBidi" w:hAnsiTheme="majorBidi" w:cstheme="majorBidi"/>
          <w:b/>
          <w:bCs/>
          <w:sz w:val="24"/>
          <w:szCs w:val="24"/>
          <w:lang w:val="en-US"/>
        </w:rPr>
        <w:t>References</w:t>
      </w:r>
    </w:p>
    <w:p w:rsidR="00D1376C" w:rsidRPr="00D1376C" w:rsidRDefault="00D1376C" w:rsidP="00DD6FFA">
      <w:pPr>
        <w:rPr>
          <w:rFonts w:asciiTheme="majorBidi" w:hAnsiTheme="majorBidi" w:cstheme="majorBidi"/>
          <w:sz w:val="24"/>
          <w:szCs w:val="24"/>
          <w:lang w:val="en-US"/>
        </w:rPr>
      </w:pPr>
    </w:p>
    <w:p w:rsidR="00F82B49" w:rsidRPr="00D1376C" w:rsidRDefault="00F82B49" w:rsidP="00440712">
      <w:pPr>
        <w:pStyle w:val="ListParagraph"/>
        <w:numPr>
          <w:ilvl w:val="0"/>
          <w:numId w:val="3"/>
        </w:numPr>
        <w:spacing w:before="100" w:beforeAutospacing="1" w:after="100" w:afterAutospacing="1" w:line="240" w:lineRule="auto"/>
        <w:rPr>
          <w:rFonts w:asciiTheme="majorBidi" w:hAnsiTheme="majorBidi" w:cstheme="majorBidi"/>
          <w:sz w:val="24"/>
          <w:szCs w:val="24"/>
          <w:shd w:val="clear" w:color="auto" w:fill="FFFFFF"/>
          <w:lang w:val="en-US"/>
        </w:rPr>
      </w:pPr>
      <w:r w:rsidRPr="00D1376C">
        <w:rPr>
          <w:rFonts w:asciiTheme="majorBidi" w:hAnsiTheme="majorBidi" w:cstheme="majorBidi"/>
          <w:sz w:val="24"/>
          <w:szCs w:val="24"/>
          <w:shd w:val="clear" w:color="auto" w:fill="FFFFFF"/>
          <w:lang w:val="en-US"/>
        </w:rPr>
        <w:t xml:space="preserve">A.A.R. Takahashi, T. </w:t>
      </w:r>
      <w:proofErr w:type="spellStart"/>
      <w:r w:rsidRPr="00D1376C">
        <w:rPr>
          <w:rFonts w:asciiTheme="majorBidi" w:hAnsiTheme="majorBidi" w:cstheme="majorBidi"/>
          <w:sz w:val="24"/>
          <w:szCs w:val="24"/>
          <w:shd w:val="clear" w:color="auto" w:fill="FFFFFF"/>
          <w:lang w:val="en-US"/>
        </w:rPr>
        <w:t>Bassaneze</w:t>
      </w:r>
      <w:proofErr w:type="spellEnd"/>
      <w:r w:rsidRPr="00D1376C">
        <w:rPr>
          <w:rFonts w:asciiTheme="majorBidi" w:hAnsiTheme="majorBidi" w:cstheme="majorBidi"/>
          <w:sz w:val="24"/>
          <w:szCs w:val="24"/>
          <w:shd w:val="clear" w:color="auto" w:fill="FFFFFF"/>
          <w:lang w:val="en-US"/>
        </w:rPr>
        <w:t xml:space="preserve">, K.S. Longo, J.G. Batista, J. </w:t>
      </w:r>
      <w:proofErr w:type="spellStart"/>
      <w:r w:rsidRPr="00D1376C">
        <w:rPr>
          <w:rFonts w:asciiTheme="majorBidi" w:hAnsiTheme="majorBidi" w:cstheme="majorBidi"/>
          <w:sz w:val="24"/>
          <w:szCs w:val="24"/>
          <w:shd w:val="clear" w:color="auto" w:fill="FFFFFF"/>
          <w:lang w:val="en-US"/>
        </w:rPr>
        <w:t>Waisberg</w:t>
      </w:r>
      <w:proofErr w:type="spellEnd"/>
      <w:r w:rsidRPr="00D1376C">
        <w:rPr>
          <w:rFonts w:asciiTheme="majorBidi" w:hAnsiTheme="majorBidi" w:cstheme="majorBidi"/>
          <w:sz w:val="24"/>
          <w:szCs w:val="24"/>
          <w:shd w:val="clear" w:color="auto" w:fill="FFFFFF"/>
          <w:lang w:val="en-US"/>
        </w:rPr>
        <w:t>, Primary extensive perianal cutaneous tuberculosis: a challenging diagnosis. Case report and a review of the literature, Braz. J. Infect. Dis. 27 (1) (Jan 2023) 102722.</w:t>
      </w:r>
    </w:p>
    <w:p w:rsidR="00440712" w:rsidRPr="00D1376C" w:rsidRDefault="00F82B49" w:rsidP="00440712">
      <w:pPr>
        <w:pStyle w:val="ListParagraph"/>
        <w:numPr>
          <w:ilvl w:val="0"/>
          <w:numId w:val="3"/>
        </w:numPr>
        <w:spacing w:before="100" w:beforeAutospacing="1" w:after="100" w:afterAutospacing="1" w:line="240" w:lineRule="auto"/>
        <w:rPr>
          <w:rFonts w:asciiTheme="majorBidi" w:hAnsiTheme="majorBidi" w:cstheme="majorBidi"/>
          <w:sz w:val="24"/>
          <w:szCs w:val="24"/>
          <w:shd w:val="clear" w:color="auto" w:fill="FFFFFF"/>
          <w:lang w:val="en-US"/>
        </w:rPr>
      </w:pPr>
      <w:r w:rsidRPr="00D1376C">
        <w:rPr>
          <w:rFonts w:asciiTheme="majorBidi" w:hAnsiTheme="majorBidi" w:cstheme="majorBidi"/>
          <w:sz w:val="24"/>
          <w:szCs w:val="24"/>
          <w:shd w:val="clear" w:color="auto" w:fill="FFFFFF"/>
          <w:lang w:val="en-US"/>
        </w:rPr>
        <w:t xml:space="preserve">K. Ibn </w:t>
      </w:r>
      <w:proofErr w:type="spellStart"/>
      <w:r w:rsidRPr="00D1376C">
        <w:rPr>
          <w:rFonts w:asciiTheme="majorBidi" w:hAnsiTheme="majorBidi" w:cstheme="majorBidi"/>
          <w:sz w:val="24"/>
          <w:szCs w:val="24"/>
          <w:shd w:val="clear" w:color="auto" w:fill="FFFFFF"/>
          <w:lang w:val="en-US"/>
        </w:rPr>
        <w:t>Majdoub</w:t>
      </w:r>
      <w:proofErr w:type="spellEnd"/>
      <w:r w:rsidRPr="00D1376C">
        <w:rPr>
          <w:rFonts w:asciiTheme="majorBidi" w:hAnsiTheme="majorBidi" w:cstheme="majorBidi"/>
          <w:sz w:val="24"/>
          <w:szCs w:val="24"/>
          <w:shd w:val="clear" w:color="auto" w:fill="FFFFFF"/>
          <w:lang w:val="en-US"/>
        </w:rPr>
        <w:t xml:space="preserve"> </w:t>
      </w:r>
      <w:proofErr w:type="spellStart"/>
      <w:r w:rsidRPr="00D1376C">
        <w:rPr>
          <w:rFonts w:asciiTheme="majorBidi" w:hAnsiTheme="majorBidi" w:cstheme="majorBidi"/>
          <w:sz w:val="24"/>
          <w:szCs w:val="24"/>
          <w:shd w:val="clear" w:color="auto" w:fill="FFFFFF"/>
          <w:lang w:val="en-US"/>
        </w:rPr>
        <w:t>Hassani</w:t>
      </w:r>
      <w:proofErr w:type="spellEnd"/>
      <w:r w:rsidRPr="00D1376C">
        <w:rPr>
          <w:rFonts w:asciiTheme="majorBidi" w:hAnsiTheme="majorBidi" w:cstheme="majorBidi"/>
          <w:sz w:val="24"/>
          <w:szCs w:val="24"/>
          <w:shd w:val="clear" w:color="auto" w:fill="FFFFFF"/>
          <w:lang w:val="en-US"/>
        </w:rPr>
        <w:t xml:space="preserve">, S. </w:t>
      </w:r>
      <w:proofErr w:type="spellStart"/>
      <w:r w:rsidRPr="00D1376C">
        <w:rPr>
          <w:rFonts w:asciiTheme="majorBidi" w:hAnsiTheme="majorBidi" w:cstheme="majorBidi"/>
          <w:sz w:val="24"/>
          <w:szCs w:val="24"/>
          <w:shd w:val="clear" w:color="auto" w:fill="FFFFFF"/>
          <w:lang w:val="en-US"/>
        </w:rPr>
        <w:t>Ait</w:t>
      </w:r>
      <w:proofErr w:type="spellEnd"/>
      <w:r w:rsidRPr="00D1376C">
        <w:rPr>
          <w:rFonts w:asciiTheme="majorBidi" w:hAnsiTheme="majorBidi" w:cstheme="majorBidi"/>
          <w:sz w:val="24"/>
          <w:szCs w:val="24"/>
          <w:shd w:val="clear" w:color="auto" w:fill="FFFFFF"/>
          <w:lang w:val="en-US"/>
        </w:rPr>
        <w:t xml:space="preserve"> </w:t>
      </w:r>
      <w:proofErr w:type="spellStart"/>
      <w:r w:rsidRPr="00D1376C">
        <w:rPr>
          <w:rFonts w:asciiTheme="majorBidi" w:hAnsiTheme="majorBidi" w:cstheme="majorBidi"/>
          <w:sz w:val="24"/>
          <w:szCs w:val="24"/>
          <w:shd w:val="clear" w:color="auto" w:fill="FFFFFF"/>
          <w:lang w:val="en-US"/>
        </w:rPr>
        <w:t>Laalim</w:t>
      </w:r>
      <w:proofErr w:type="spellEnd"/>
      <w:r w:rsidRPr="00D1376C">
        <w:rPr>
          <w:rFonts w:asciiTheme="majorBidi" w:hAnsiTheme="majorBidi" w:cstheme="majorBidi"/>
          <w:sz w:val="24"/>
          <w:szCs w:val="24"/>
          <w:shd w:val="clear" w:color="auto" w:fill="FFFFFF"/>
          <w:lang w:val="en-US"/>
        </w:rPr>
        <w:t xml:space="preserve">, I. </w:t>
      </w:r>
      <w:proofErr w:type="spellStart"/>
      <w:r w:rsidRPr="00D1376C">
        <w:rPr>
          <w:rFonts w:asciiTheme="majorBidi" w:hAnsiTheme="majorBidi" w:cstheme="majorBidi"/>
          <w:sz w:val="24"/>
          <w:szCs w:val="24"/>
          <w:shd w:val="clear" w:color="auto" w:fill="FFFFFF"/>
          <w:lang w:val="en-US"/>
        </w:rPr>
        <w:t>Toughrai</w:t>
      </w:r>
      <w:proofErr w:type="spellEnd"/>
      <w:r w:rsidRPr="00D1376C">
        <w:rPr>
          <w:rFonts w:asciiTheme="majorBidi" w:hAnsiTheme="majorBidi" w:cstheme="majorBidi"/>
          <w:sz w:val="24"/>
          <w:szCs w:val="24"/>
          <w:shd w:val="clear" w:color="auto" w:fill="FFFFFF"/>
          <w:lang w:val="en-US"/>
        </w:rPr>
        <w:t xml:space="preserve">, K. </w:t>
      </w:r>
      <w:proofErr w:type="spellStart"/>
      <w:r w:rsidRPr="00D1376C">
        <w:rPr>
          <w:rFonts w:asciiTheme="majorBidi" w:hAnsiTheme="majorBidi" w:cstheme="majorBidi"/>
          <w:sz w:val="24"/>
          <w:szCs w:val="24"/>
          <w:shd w:val="clear" w:color="auto" w:fill="FFFFFF"/>
          <w:lang w:val="en-US"/>
        </w:rPr>
        <w:t>Mazaz</w:t>
      </w:r>
      <w:proofErr w:type="spellEnd"/>
      <w:r w:rsidRPr="00D1376C">
        <w:rPr>
          <w:rFonts w:asciiTheme="majorBidi" w:hAnsiTheme="majorBidi" w:cstheme="majorBidi"/>
          <w:sz w:val="24"/>
          <w:szCs w:val="24"/>
          <w:shd w:val="clear" w:color="auto" w:fill="FFFFFF"/>
          <w:lang w:val="en-US"/>
        </w:rPr>
        <w:t>, Perianal tuberculosis: a case report and a review of the literature, Case Rep. Infect. Dis. 2012 (2012) 1–4.</w:t>
      </w:r>
    </w:p>
    <w:p w:rsidR="00440712" w:rsidRPr="00D1376C" w:rsidRDefault="00F82B49" w:rsidP="00440712">
      <w:pPr>
        <w:pStyle w:val="ListParagraph"/>
        <w:numPr>
          <w:ilvl w:val="0"/>
          <w:numId w:val="3"/>
        </w:numPr>
        <w:spacing w:before="100" w:beforeAutospacing="1" w:after="100" w:afterAutospacing="1" w:line="240" w:lineRule="auto"/>
        <w:rPr>
          <w:rFonts w:asciiTheme="majorBidi" w:hAnsiTheme="majorBidi" w:cstheme="majorBidi"/>
          <w:sz w:val="24"/>
          <w:szCs w:val="24"/>
          <w:shd w:val="clear" w:color="auto" w:fill="FFFFFF"/>
          <w:lang w:val="en-US"/>
        </w:rPr>
      </w:pPr>
      <w:r w:rsidRPr="00D1376C">
        <w:rPr>
          <w:rFonts w:asciiTheme="majorBidi" w:hAnsiTheme="majorBidi" w:cstheme="majorBidi"/>
          <w:sz w:val="24"/>
          <w:szCs w:val="24"/>
          <w:lang w:val="en-US"/>
        </w:rPr>
        <w:t>Y.S. Choi, D.S. Kim, J.B. Lee, J.K. Kim, H.J. Jung, S.D. Lee, K.H. Song, D.H. Lee, M. J. Kim, Clinical features of tuberculous versus Crohn’s anal fistulas, in Korea, ECCOJC 9 (12) (Dec 2015) 1132–1137.</w:t>
      </w:r>
    </w:p>
    <w:p w:rsidR="00F82B49" w:rsidRPr="00D1376C" w:rsidRDefault="00F82B49" w:rsidP="00440712">
      <w:pPr>
        <w:pStyle w:val="ListParagraph"/>
        <w:numPr>
          <w:ilvl w:val="0"/>
          <w:numId w:val="3"/>
        </w:numPr>
        <w:spacing w:before="100" w:beforeAutospacing="1" w:after="100" w:afterAutospacing="1" w:line="240" w:lineRule="auto"/>
        <w:rPr>
          <w:rFonts w:asciiTheme="majorBidi" w:hAnsiTheme="majorBidi" w:cstheme="majorBidi"/>
          <w:sz w:val="24"/>
          <w:szCs w:val="24"/>
          <w:shd w:val="clear" w:color="auto" w:fill="FFFFFF"/>
          <w:lang w:val="en-US"/>
        </w:rPr>
      </w:pPr>
      <w:r w:rsidRPr="00D1376C">
        <w:rPr>
          <w:rFonts w:asciiTheme="majorBidi" w:hAnsiTheme="majorBidi" w:cstheme="majorBidi"/>
          <w:sz w:val="24"/>
          <w:szCs w:val="24"/>
          <w:lang w:val="en-US"/>
        </w:rPr>
        <w:t xml:space="preserve">H.T.C. Lip, T.J. </w:t>
      </w:r>
      <w:proofErr w:type="spellStart"/>
      <w:r w:rsidRPr="00D1376C">
        <w:rPr>
          <w:rFonts w:asciiTheme="majorBidi" w:hAnsiTheme="majorBidi" w:cstheme="majorBidi"/>
          <w:sz w:val="24"/>
          <w:szCs w:val="24"/>
          <w:lang w:val="en-US"/>
        </w:rPr>
        <w:t>Huei</w:t>
      </w:r>
      <w:proofErr w:type="spellEnd"/>
      <w:r w:rsidRPr="00D1376C">
        <w:rPr>
          <w:rFonts w:asciiTheme="majorBidi" w:hAnsiTheme="majorBidi" w:cstheme="majorBidi"/>
          <w:sz w:val="24"/>
          <w:szCs w:val="24"/>
          <w:lang w:val="en-US"/>
        </w:rPr>
        <w:t xml:space="preserve">, N.Z. Qin, Perianal tuberculosis, J. </w:t>
      </w:r>
      <w:proofErr w:type="spellStart"/>
      <w:r w:rsidRPr="00D1376C">
        <w:rPr>
          <w:rFonts w:asciiTheme="majorBidi" w:hAnsiTheme="majorBidi" w:cstheme="majorBidi"/>
          <w:sz w:val="24"/>
          <w:szCs w:val="24"/>
          <w:lang w:val="en-US"/>
        </w:rPr>
        <w:t>Gastrointest</w:t>
      </w:r>
      <w:proofErr w:type="spellEnd"/>
      <w:r w:rsidRPr="00D1376C">
        <w:rPr>
          <w:rFonts w:asciiTheme="majorBidi" w:hAnsiTheme="majorBidi" w:cstheme="majorBidi"/>
          <w:sz w:val="24"/>
          <w:szCs w:val="24"/>
          <w:lang w:val="en-US"/>
        </w:rPr>
        <w:t>. Surg. 25 (7) (Jul 2021) 1920–1922.</w:t>
      </w:r>
    </w:p>
    <w:p w:rsidR="00440712" w:rsidRPr="00D1376C" w:rsidRDefault="00F82B49" w:rsidP="00440712">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Bhatia V, et al. Anal Tuberculosis: A Rare Cause of Anal Fistula. Trop Gastroenterol. 2005.</w:t>
      </w:r>
    </w:p>
    <w:p w:rsidR="00440712" w:rsidRPr="00D1376C" w:rsidRDefault="00F82B49" w:rsidP="00440712">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Saini A, et al. Tubercular Anal Fistula: A Diagnostic Challenge. Int J Surg Case Rep. 2017</w:t>
      </w:r>
    </w:p>
    <w:p w:rsidR="00440712" w:rsidRPr="00D1376C" w:rsidRDefault="00BA1846" w:rsidP="00440712">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proofErr w:type="spellStart"/>
      <w:r w:rsidRPr="00D1376C">
        <w:rPr>
          <w:rFonts w:asciiTheme="majorBidi" w:eastAsia="Times New Roman" w:hAnsiTheme="majorBidi" w:cstheme="majorBidi"/>
          <w:sz w:val="24"/>
          <w:szCs w:val="24"/>
          <w:lang w:eastAsia="fr-FR"/>
        </w:rPr>
        <w:t>Mechal</w:t>
      </w:r>
      <w:proofErr w:type="spellEnd"/>
      <w:r w:rsidRPr="00D1376C">
        <w:rPr>
          <w:rFonts w:asciiTheme="majorBidi" w:eastAsia="Times New Roman" w:hAnsiTheme="majorBidi" w:cstheme="majorBidi"/>
          <w:sz w:val="24"/>
          <w:szCs w:val="24"/>
          <w:lang w:eastAsia="fr-FR"/>
        </w:rPr>
        <w:t xml:space="preserve">, Y., </w:t>
      </w:r>
      <w:proofErr w:type="spellStart"/>
      <w:r w:rsidRPr="00D1376C">
        <w:rPr>
          <w:rFonts w:asciiTheme="majorBidi" w:eastAsia="Times New Roman" w:hAnsiTheme="majorBidi" w:cstheme="majorBidi"/>
          <w:sz w:val="24"/>
          <w:szCs w:val="24"/>
          <w:lang w:eastAsia="fr-FR"/>
        </w:rPr>
        <w:t>Benaissa</w:t>
      </w:r>
      <w:proofErr w:type="spellEnd"/>
      <w:r w:rsidRPr="00D1376C">
        <w:rPr>
          <w:rFonts w:asciiTheme="majorBidi" w:eastAsia="Times New Roman" w:hAnsiTheme="majorBidi" w:cstheme="majorBidi"/>
          <w:sz w:val="24"/>
          <w:szCs w:val="24"/>
          <w:lang w:eastAsia="fr-FR"/>
        </w:rPr>
        <w:t xml:space="preserve">, E., El </w:t>
      </w:r>
      <w:proofErr w:type="spellStart"/>
      <w:r w:rsidRPr="00D1376C">
        <w:rPr>
          <w:rFonts w:asciiTheme="majorBidi" w:eastAsia="Times New Roman" w:hAnsiTheme="majorBidi" w:cstheme="majorBidi"/>
          <w:sz w:val="24"/>
          <w:szCs w:val="24"/>
          <w:lang w:eastAsia="fr-FR"/>
        </w:rPr>
        <w:t>mrimar</w:t>
      </w:r>
      <w:proofErr w:type="spellEnd"/>
      <w:r w:rsidRPr="00D1376C">
        <w:rPr>
          <w:rFonts w:asciiTheme="majorBidi" w:eastAsia="Times New Roman" w:hAnsiTheme="majorBidi" w:cstheme="majorBidi"/>
          <w:sz w:val="24"/>
          <w:szCs w:val="24"/>
          <w:lang w:eastAsia="fr-FR"/>
        </w:rPr>
        <w:t xml:space="preserve">, N. Et al. </w:t>
      </w:r>
      <w:r w:rsidRPr="00D1376C">
        <w:rPr>
          <w:rFonts w:asciiTheme="majorBidi" w:eastAsia="Times New Roman" w:hAnsiTheme="majorBidi" w:cstheme="majorBidi"/>
          <w:sz w:val="24"/>
          <w:szCs w:val="24"/>
          <w:lang w:val="en-US" w:eastAsia="fr-FR"/>
        </w:rPr>
        <w:t xml:space="preserve">Evaluation of </w:t>
      </w:r>
      <w:proofErr w:type="spellStart"/>
      <w:r w:rsidRPr="00D1376C">
        <w:rPr>
          <w:rFonts w:asciiTheme="majorBidi" w:eastAsia="Times New Roman" w:hAnsiTheme="majorBidi" w:cstheme="majorBidi"/>
          <w:sz w:val="24"/>
          <w:szCs w:val="24"/>
          <w:lang w:val="en-US" w:eastAsia="fr-FR"/>
        </w:rPr>
        <w:t>genexpert</w:t>
      </w:r>
      <w:proofErr w:type="spellEnd"/>
      <w:r w:rsidRPr="00D1376C">
        <w:rPr>
          <w:rFonts w:asciiTheme="majorBidi" w:eastAsia="Times New Roman" w:hAnsiTheme="majorBidi" w:cstheme="majorBidi"/>
          <w:sz w:val="24"/>
          <w:szCs w:val="24"/>
          <w:lang w:val="en-US" w:eastAsia="fr-FR"/>
        </w:rPr>
        <w:t xml:space="preserve"> MTB/RIF system performances in the diagnosis of extrapulmonary tuberculosis. BMC Infect Dis 19, 1069 (2019)</w:t>
      </w:r>
    </w:p>
    <w:p w:rsidR="00BA1846" w:rsidRPr="00D1376C" w:rsidRDefault="00BA1846" w:rsidP="00440712">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 xml:space="preserve">Sheetal </w:t>
      </w:r>
      <w:proofErr w:type="spellStart"/>
      <w:r w:rsidRPr="00D1376C">
        <w:rPr>
          <w:rFonts w:asciiTheme="majorBidi" w:eastAsia="Times New Roman" w:hAnsiTheme="majorBidi" w:cstheme="majorBidi"/>
          <w:sz w:val="24"/>
          <w:szCs w:val="24"/>
          <w:lang w:val="en-US" w:eastAsia="fr-FR"/>
        </w:rPr>
        <w:t>Bankar</w:t>
      </w:r>
      <w:proofErr w:type="spellEnd"/>
      <w:r w:rsidRPr="00D1376C">
        <w:rPr>
          <w:rFonts w:asciiTheme="majorBidi" w:eastAsia="Times New Roman" w:hAnsiTheme="majorBidi" w:cstheme="majorBidi"/>
          <w:sz w:val="24"/>
          <w:szCs w:val="24"/>
          <w:lang w:val="en-US" w:eastAsia="fr-FR"/>
        </w:rPr>
        <w:t xml:space="preserve">, Reena Set, Disha Sharma, Daksha Shah, Jayanthi </w:t>
      </w:r>
      <w:proofErr w:type="gramStart"/>
      <w:r w:rsidRPr="00D1376C">
        <w:rPr>
          <w:rFonts w:asciiTheme="majorBidi" w:eastAsia="Times New Roman" w:hAnsiTheme="majorBidi" w:cstheme="majorBidi"/>
          <w:sz w:val="24"/>
          <w:szCs w:val="24"/>
          <w:lang w:val="en-US" w:eastAsia="fr-FR"/>
        </w:rPr>
        <w:t>Shastri,,</w:t>
      </w:r>
      <w:proofErr w:type="gramEnd"/>
      <w:r w:rsidRPr="00D1376C">
        <w:rPr>
          <w:rFonts w:asciiTheme="majorBidi" w:eastAsia="Times New Roman" w:hAnsiTheme="majorBidi" w:cstheme="majorBidi"/>
          <w:sz w:val="24"/>
          <w:szCs w:val="24"/>
          <w:lang w:val="en-US" w:eastAsia="fr-FR"/>
        </w:rPr>
        <w:t xml:space="preserve"> Diagnostic Accuracy of </w:t>
      </w:r>
      <w:proofErr w:type="spellStart"/>
      <w:r w:rsidRPr="00D1376C">
        <w:rPr>
          <w:rFonts w:asciiTheme="majorBidi" w:eastAsia="Times New Roman" w:hAnsiTheme="majorBidi" w:cstheme="majorBidi"/>
          <w:sz w:val="24"/>
          <w:szCs w:val="24"/>
          <w:lang w:val="en-US" w:eastAsia="fr-FR"/>
        </w:rPr>
        <w:t>Xpert</w:t>
      </w:r>
      <w:proofErr w:type="spellEnd"/>
      <w:r w:rsidRPr="00D1376C">
        <w:rPr>
          <w:rFonts w:asciiTheme="majorBidi" w:eastAsia="Times New Roman" w:hAnsiTheme="majorBidi" w:cstheme="majorBidi"/>
          <w:sz w:val="24"/>
          <w:szCs w:val="24"/>
          <w:lang w:val="en-US" w:eastAsia="fr-FR"/>
        </w:rPr>
        <w:t xml:space="preserve"> MTB/RIF Assay in Extrapulmonary </w:t>
      </w:r>
      <w:proofErr w:type="spellStart"/>
      <w:r w:rsidRPr="00D1376C">
        <w:rPr>
          <w:rFonts w:asciiTheme="majorBidi" w:eastAsia="Times New Roman" w:hAnsiTheme="majorBidi" w:cstheme="majorBidi"/>
          <w:sz w:val="24"/>
          <w:szCs w:val="24"/>
          <w:lang w:val="en-US" w:eastAsia="fr-FR"/>
        </w:rPr>
        <w:t>Tuberculosis,Indian</w:t>
      </w:r>
      <w:proofErr w:type="spellEnd"/>
      <w:r w:rsidRPr="00D1376C">
        <w:rPr>
          <w:rFonts w:asciiTheme="majorBidi" w:eastAsia="Times New Roman" w:hAnsiTheme="majorBidi" w:cstheme="majorBidi"/>
          <w:sz w:val="24"/>
          <w:szCs w:val="24"/>
          <w:lang w:val="en-US" w:eastAsia="fr-FR"/>
        </w:rPr>
        <w:t xml:space="preserve"> Journal of Medical </w:t>
      </w:r>
      <w:proofErr w:type="spellStart"/>
      <w:r w:rsidRPr="00D1376C">
        <w:rPr>
          <w:rFonts w:asciiTheme="majorBidi" w:eastAsia="Times New Roman" w:hAnsiTheme="majorBidi" w:cstheme="majorBidi"/>
          <w:sz w:val="24"/>
          <w:szCs w:val="24"/>
          <w:lang w:val="en-US" w:eastAsia="fr-FR"/>
        </w:rPr>
        <w:t>Microbiology,Volume</w:t>
      </w:r>
      <w:proofErr w:type="spellEnd"/>
      <w:r w:rsidRPr="00D1376C">
        <w:rPr>
          <w:rFonts w:asciiTheme="majorBidi" w:eastAsia="Times New Roman" w:hAnsiTheme="majorBidi" w:cstheme="majorBidi"/>
          <w:sz w:val="24"/>
          <w:szCs w:val="24"/>
          <w:lang w:val="en-US" w:eastAsia="fr-FR"/>
        </w:rPr>
        <w:t xml:space="preserve"> 36, Issue 3,2018,Pages 357-363,ISSN 0255-0857</w:t>
      </w:r>
    </w:p>
    <w:p w:rsidR="005515E5" w:rsidRPr="000C2AB8" w:rsidRDefault="00B5582D" w:rsidP="003F5060">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r w:rsidRPr="00D1376C">
        <w:rPr>
          <w:rFonts w:asciiTheme="majorBidi" w:hAnsiTheme="majorBidi" w:cstheme="majorBidi"/>
          <w:sz w:val="24"/>
          <w:szCs w:val="24"/>
          <w:shd w:val="clear" w:color="auto" w:fill="FFFFFF"/>
          <w:lang w:val="en-US"/>
        </w:rPr>
        <w:t xml:space="preserve">Ministry of Health. </w:t>
      </w:r>
      <w:r w:rsidRPr="004F4DF6">
        <w:rPr>
          <w:rFonts w:asciiTheme="majorBidi" w:hAnsiTheme="majorBidi" w:cstheme="majorBidi"/>
          <w:sz w:val="24"/>
          <w:szCs w:val="24"/>
          <w:shd w:val="clear" w:color="auto" w:fill="FFFFFF"/>
          <w:lang w:val="en-US"/>
        </w:rPr>
        <w:t xml:space="preserve">Fact sheet: Plan National de </w:t>
      </w:r>
      <w:proofErr w:type="spellStart"/>
      <w:r w:rsidRPr="004F4DF6">
        <w:rPr>
          <w:rFonts w:asciiTheme="majorBidi" w:hAnsiTheme="majorBidi" w:cstheme="majorBidi"/>
          <w:sz w:val="24"/>
          <w:szCs w:val="24"/>
          <w:shd w:val="clear" w:color="auto" w:fill="FFFFFF"/>
          <w:lang w:val="en-US"/>
        </w:rPr>
        <w:t>Lutte</w:t>
      </w:r>
      <w:proofErr w:type="spellEnd"/>
      <w:r w:rsidRPr="004F4DF6">
        <w:rPr>
          <w:rFonts w:asciiTheme="majorBidi" w:hAnsiTheme="majorBidi" w:cstheme="majorBidi"/>
          <w:sz w:val="24"/>
          <w:szCs w:val="24"/>
          <w:shd w:val="clear" w:color="auto" w:fill="FFFFFF"/>
          <w:lang w:val="en-US"/>
        </w:rPr>
        <w:t xml:space="preserve"> Anti </w:t>
      </w:r>
      <w:proofErr w:type="spellStart"/>
      <w:proofErr w:type="gramStart"/>
      <w:r w:rsidRPr="004F4DF6">
        <w:rPr>
          <w:rFonts w:asciiTheme="majorBidi" w:hAnsiTheme="majorBidi" w:cstheme="majorBidi"/>
          <w:sz w:val="24"/>
          <w:szCs w:val="24"/>
          <w:shd w:val="clear" w:color="auto" w:fill="FFFFFF"/>
          <w:lang w:val="en-US"/>
        </w:rPr>
        <w:t>Tuberculeuse</w:t>
      </w:r>
      <w:proofErr w:type="spellEnd"/>
      <w:r w:rsidRPr="004F4DF6">
        <w:rPr>
          <w:rFonts w:asciiTheme="majorBidi" w:hAnsiTheme="majorBidi" w:cstheme="majorBidi"/>
          <w:sz w:val="24"/>
          <w:szCs w:val="24"/>
          <w:shd w:val="clear" w:color="auto" w:fill="FFFFFF"/>
          <w:lang w:val="en-US"/>
        </w:rPr>
        <w:t>,</w:t>
      </w:r>
      <w:r w:rsidR="003F5060" w:rsidRPr="004F4DF6">
        <w:rPr>
          <w:rFonts w:asciiTheme="majorBidi" w:hAnsiTheme="majorBidi" w:cstheme="majorBidi"/>
          <w:sz w:val="24"/>
          <w:szCs w:val="24"/>
          <w:shd w:val="clear" w:color="auto" w:fill="FFFFFF"/>
          <w:lang w:val="en-US"/>
        </w:rPr>
        <w:t>.</w:t>
      </w:r>
      <w:proofErr w:type="gramEnd"/>
      <w:r w:rsidR="003F5060" w:rsidRPr="004F4DF6">
        <w:rPr>
          <w:rFonts w:asciiTheme="majorBidi" w:hAnsiTheme="majorBidi" w:cstheme="majorBidi"/>
          <w:sz w:val="24"/>
          <w:szCs w:val="24"/>
          <w:shd w:val="clear" w:color="auto" w:fill="FFFFFF"/>
          <w:lang w:val="en-US"/>
        </w:rPr>
        <w:t xml:space="preserve"> </w:t>
      </w:r>
      <w:r w:rsidR="00F74F15">
        <w:rPr>
          <w:rFonts w:asciiTheme="majorBidi" w:hAnsiTheme="majorBidi" w:cstheme="majorBidi"/>
          <w:sz w:val="24"/>
          <w:szCs w:val="24"/>
          <w:shd w:val="clear" w:color="auto" w:fill="FFFFFF"/>
          <w:lang w:val="en-US"/>
        </w:rPr>
        <w:t xml:space="preserve">Available at </w:t>
      </w:r>
      <w:hyperlink r:id="rId16" w:history="1">
        <w:r w:rsidR="003F5060" w:rsidRPr="00D1376C">
          <w:rPr>
            <w:rStyle w:val="Hyperlink"/>
            <w:rFonts w:asciiTheme="majorBidi" w:eastAsia="Times New Roman" w:hAnsiTheme="majorBidi" w:cstheme="majorBidi"/>
            <w:sz w:val="24"/>
            <w:szCs w:val="24"/>
            <w:lang w:val="en-US" w:eastAsia="fr-FR"/>
          </w:rPr>
          <w:t>https://www.sante.gov.ma/Documents/2023/11/Plan%20strate%C3%ACgique%20National%20TB%202024-2030.pdf</w:t>
        </w:r>
      </w:hyperlink>
      <w:r w:rsidR="003F5060" w:rsidRPr="00D1376C">
        <w:rPr>
          <w:rFonts w:asciiTheme="majorBidi" w:eastAsia="Times New Roman" w:hAnsiTheme="majorBidi" w:cstheme="majorBidi"/>
          <w:sz w:val="24"/>
          <w:szCs w:val="24"/>
          <w:lang w:val="en-US" w:eastAsia="fr-FR"/>
        </w:rPr>
        <w:t xml:space="preserve">  </w:t>
      </w:r>
      <w:r w:rsidR="003F5060" w:rsidRPr="00D1376C">
        <w:rPr>
          <w:rFonts w:asciiTheme="majorBidi" w:hAnsiTheme="majorBidi" w:cstheme="majorBidi"/>
          <w:sz w:val="24"/>
          <w:szCs w:val="24"/>
          <w:shd w:val="clear" w:color="auto" w:fill="FFFFFF"/>
          <w:lang w:val="en-US"/>
        </w:rPr>
        <w:t>Accessed 16 July 2025</w:t>
      </w:r>
    </w:p>
    <w:p w:rsidR="000F069C" w:rsidRDefault="000C2AB8" w:rsidP="000F069C">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val="en-US" w:eastAsia="fr-FR"/>
        </w:rPr>
      </w:pPr>
      <w:proofErr w:type="spellStart"/>
      <w:r w:rsidRPr="00727B1A">
        <w:rPr>
          <w:rFonts w:asciiTheme="majorBidi" w:eastAsia="Times New Roman" w:hAnsiTheme="majorBidi" w:cstheme="majorBidi"/>
          <w:sz w:val="24"/>
          <w:szCs w:val="24"/>
          <w:lang w:eastAsia="fr-FR"/>
        </w:rPr>
        <w:t>Bakali</w:t>
      </w:r>
      <w:proofErr w:type="spellEnd"/>
      <w:r w:rsidRPr="00727B1A">
        <w:rPr>
          <w:rFonts w:asciiTheme="majorBidi" w:eastAsia="Times New Roman" w:hAnsiTheme="majorBidi" w:cstheme="majorBidi"/>
          <w:sz w:val="24"/>
          <w:szCs w:val="24"/>
          <w:lang w:eastAsia="fr-FR"/>
        </w:rPr>
        <w:t xml:space="preserve">, Y. Alami, S.  </w:t>
      </w:r>
      <w:r w:rsidRPr="000C2AB8">
        <w:rPr>
          <w:rFonts w:asciiTheme="majorBidi" w:eastAsia="Times New Roman" w:hAnsiTheme="majorBidi" w:cstheme="majorBidi"/>
          <w:sz w:val="24"/>
          <w:szCs w:val="24"/>
          <w:lang w:eastAsia="fr-FR"/>
        </w:rPr>
        <w:t>Al-</w:t>
      </w:r>
      <w:proofErr w:type="spellStart"/>
      <w:r w:rsidRPr="000C2AB8">
        <w:rPr>
          <w:rFonts w:asciiTheme="majorBidi" w:eastAsia="Times New Roman" w:hAnsiTheme="majorBidi" w:cstheme="majorBidi"/>
          <w:sz w:val="24"/>
          <w:szCs w:val="24"/>
          <w:lang w:eastAsia="fr-FR"/>
        </w:rPr>
        <w:t>Terehi</w:t>
      </w:r>
      <w:proofErr w:type="spellEnd"/>
      <w:r w:rsidRPr="000C2AB8">
        <w:rPr>
          <w:rFonts w:asciiTheme="majorBidi" w:eastAsia="Times New Roman" w:hAnsiTheme="majorBidi" w:cstheme="majorBidi"/>
          <w:sz w:val="24"/>
          <w:szCs w:val="24"/>
          <w:lang w:eastAsia="fr-FR"/>
        </w:rPr>
        <w:t xml:space="preserve">, Mona </w:t>
      </w:r>
      <w:proofErr w:type="spellStart"/>
      <w:r w:rsidRPr="000C2AB8">
        <w:rPr>
          <w:rFonts w:asciiTheme="majorBidi" w:eastAsia="Times New Roman" w:hAnsiTheme="majorBidi" w:cstheme="majorBidi"/>
          <w:sz w:val="24"/>
          <w:szCs w:val="24"/>
          <w:lang w:eastAsia="fr-FR"/>
        </w:rPr>
        <w:t>Chabni</w:t>
      </w:r>
      <w:proofErr w:type="spellEnd"/>
      <w:r w:rsidRPr="000C2AB8">
        <w:rPr>
          <w:rFonts w:asciiTheme="majorBidi" w:eastAsia="Times New Roman" w:hAnsiTheme="majorBidi" w:cstheme="majorBidi"/>
          <w:sz w:val="24"/>
          <w:szCs w:val="24"/>
          <w:lang w:eastAsia="fr-FR"/>
        </w:rPr>
        <w:t xml:space="preserve">, A. </w:t>
      </w:r>
      <w:r>
        <w:rPr>
          <w:rFonts w:asciiTheme="majorBidi" w:eastAsia="Times New Roman" w:hAnsiTheme="majorBidi" w:cstheme="majorBidi"/>
          <w:sz w:val="24"/>
          <w:szCs w:val="24"/>
          <w:lang w:eastAsia="fr-FR"/>
        </w:rPr>
        <w:t xml:space="preserve"> </w:t>
      </w:r>
      <w:proofErr w:type="spellStart"/>
      <w:r>
        <w:rPr>
          <w:rFonts w:asciiTheme="majorBidi" w:eastAsia="Times New Roman" w:hAnsiTheme="majorBidi" w:cstheme="majorBidi"/>
          <w:sz w:val="24"/>
          <w:szCs w:val="24"/>
          <w:lang w:eastAsia="fr-FR"/>
        </w:rPr>
        <w:t>Liraqui</w:t>
      </w:r>
      <w:proofErr w:type="spellEnd"/>
      <w:r>
        <w:rPr>
          <w:rFonts w:asciiTheme="majorBidi" w:eastAsia="Times New Roman" w:hAnsiTheme="majorBidi" w:cstheme="majorBidi"/>
          <w:sz w:val="24"/>
          <w:szCs w:val="24"/>
          <w:lang w:eastAsia="fr-FR"/>
        </w:rPr>
        <w:t xml:space="preserve">, H.  </w:t>
      </w:r>
      <w:proofErr w:type="spellStart"/>
      <w:r>
        <w:rPr>
          <w:rFonts w:asciiTheme="majorBidi" w:eastAsia="Times New Roman" w:hAnsiTheme="majorBidi" w:cstheme="majorBidi"/>
          <w:sz w:val="24"/>
          <w:szCs w:val="24"/>
          <w:lang w:eastAsia="fr-FR"/>
        </w:rPr>
        <w:t>Ehirchiou</w:t>
      </w:r>
      <w:proofErr w:type="spellEnd"/>
      <w:r>
        <w:rPr>
          <w:rFonts w:asciiTheme="majorBidi" w:eastAsia="Times New Roman" w:hAnsiTheme="majorBidi" w:cstheme="majorBidi"/>
          <w:sz w:val="24"/>
          <w:szCs w:val="24"/>
          <w:lang w:eastAsia="fr-FR"/>
        </w:rPr>
        <w:t xml:space="preserve">, A. </w:t>
      </w:r>
      <w:r w:rsidRPr="000C2AB8">
        <w:rPr>
          <w:rFonts w:asciiTheme="majorBidi" w:eastAsia="Times New Roman" w:hAnsiTheme="majorBidi" w:cstheme="majorBidi"/>
          <w:sz w:val="24"/>
          <w:szCs w:val="24"/>
          <w:lang w:eastAsia="fr-FR"/>
        </w:rPr>
        <w:t xml:space="preserve"> </w:t>
      </w:r>
      <w:proofErr w:type="spellStart"/>
      <w:r w:rsidRPr="000C2AB8">
        <w:rPr>
          <w:rFonts w:asciiTheme="majorBidi" w:eastAsia="Times New Roman" w:hAnsiTheme="majorBidi" w:cstheme="majorBidi"/>
          <w:sz w:val="24"/>
          <w:szCs w:val="24"/>
          <w:lang w:eastAsia="fr-FR"/>
        </w:rPr>
        <w:t>Alkandry</w:t>
      </w:r>
      <w:proofErr w:type="spellEnd"/>
      <w:r w:rsidRPr="000C2AB8">
        <w:rPr>
          <w:rFonts w:asciiTheme="majorBidi" w:eastAsia="Times New Roman" w:hAnsiTheme="majorBidi" w:cstheme="majorBidi"/>
          <w:sz w:val="24"/>
          <w:szCs w:val="24"/>
          <w:lang w:eastAsia="fr-FR"/>
        </w:rPr>
        <w:t xml:space="preserve">, </w:t>
      </w:r>
      <w:proofErr w:type="gramStart"/>
      <w:r w:rsidRPr="000C2AB8">
        <w:rPr>
          <w:rFonts w:asciiTheme="majorBidi" w:eastAsia="Times New Roman" w:hAnsiTheme="majorBidi" w:cstheme="majorBidi"/>
          <w:sz w:val="24"/>
          <w:szCs w:val="24"/>
          <w:lang w:eastAsia="fr-FR"/>
        </w:rPr>
        <w:t>S..</w:t>
      </w:r>
      <w:proofErr w:type="gramEnd"/>
      <w:r w:rsidRPr="000C2AB8">
        <w:rPr>
          <w:rFonts w:asciiTheme="majorBidi" w:eastAsia="Times New Roman" w:hAnsiTheme="majorBidi" w:cstheme="majorBidi"/>
          <w:sz w:val="24"/>
          <w:szCs w:val="24"/>
          <w:lang w:eastAsia="fr-FR"/>
        </w:rPr>
        <w:t xml:space="preserve"> (2012). Difficultés de prise en charge de la fistule anale tuberculeuse en pays </w:t>
      </w:r>
      <w:proofErr w:type="gramStart"/>
      <w:r w:rsidRPr="000C2AB8">
        <w:rPr>
          <w:rFonts w:asciiTheme="majorBidi" w:eastAsia="Times New Roman" w:hAnsiTheme="majorBidi" w:cstheme="majorBidi"/>
          <w:sz w:val="24"/>
          <w:szCs w:val="24"/>
          <w:lang w:eastAsia="fr-FR"/>
        </w:rPr>
        <w:t>d’endémie:</w:t>
      </w:r>
      <w:proofErr w:type="gramEnd"/>
      <w:r w:rsidRPr="000C2AB8">
        <w:rPr>
          <w:rFonts w:asciiTheme="majorBidi" w:eastAsia="Times New Roman" w:hAnsiTheme="majorBidi" w:cstheme="majorBidi"/>
          <w:sz w:val="24"/>
          <w:szCs w:val="24"/>
          <w:lang w:eastAsia="fr-FR"/>
        </w:rPr>
        <w:t xml:space="preserve"> à propos de deux cas et revue de la littérature. </w:t>
      </w:r>
      <w:r w:rsidRPr="000C2AB8">
        <w:rPr>
          <w:rFonts w:asciiTheme="majorBidi" w:eastAsia="Times New Roman" w:hAnsiTheme="majorBidi" w:cstheme="majorBidi"/>
          <w:sz w:val="24"/>
          <w:szCs w:val="24"/>
          <w:lang w:val="en-US" w:eastAsia="fr-FR"/>
        </w:rPr>
        <w:t xml:space="preserve">Journal </w:t>
      </w:r>
      <w:proofErr w:type="spellStart"/>
      <w:r w:rsidRPr="000C2AB8">
        <w:rPr>
          <w:rFonts w:asciiTheme="majorBidi" w:eastAsia="Times New Roman" w:hAnsiTheme="majorBidi" w:cstheme="majorBidi"/>
          <w:sz w:val="24"/>
          <w:szCs w:val="24"/>
          <w:lang w:val="en-US" w:eastAsia="fr-FR"/>
        </w:rPr>
        <w:t>Africain</w:t>
      </w:r>
      <w:proofErr w:type="spellEnd"/>
      <w:r w:rsidRPr="000C2AB8">
        <w:rPr>
          <w:rFonts w:asciiTheme="majorBidi" w:eastAsia="Times New Roman" w:hAnsiTheme="majorBidi" w:cstheme="majorBidi"/>
          <w:sz w:val="24"/>
          <w:szCs w:val="24"/>
          <w:lang w:val="en-US" w:eastAsia="fr-FR"/>
        </w:rPr>
        <w:t xml:space="preserve"> </w:t>
      </w:r>
      <w:proofErr w:type="spellStart"/>
      <w:r w:rsidRPr="000C2AB8">
        <w:rPr>
          <w:rFonts w:asciiTheme="majorBidi" w:eastAsia="Times New Roman" w:hAnsiTheme="majorBidi" w:cstheme="majorBidi"/>
          <w:sz w:val="24"/>
          <w:szCs w:val="24"/>
          <w:lang w:val="en-US" w:eastAsia="fr-FR"/>
        </w:rPr>
        <w:t>d'Hépato-Gastroentérologie</w:t>
      </w:r>
      <w:proofErr w:type="spellEnd"/>
      <w:r w:rsidRPr="000C2AB8">
        <w:rPr>
          <w:rFonts w:asciiTheme="majorBidi" w:eastAsia="Times New Roman" w:hAnsiTheme="majorBidi" w:cstheme="majorBidi"/>
          <w:sz w:val="24"/>
          <w:szCs w:val="24"/>
          <w:lang w:val="en-US" w:eastAsia="fr-FR"/>
        </w:rPr>
        <w:t>. 6. 10.1007/s12157-012-0357-4.</w:t>
      </w:r>
    </w:p>
    <w:p w:rsidR="00440712" w:rsidRPr="000F069C" w:rsidRDefault="000F069C" w:rsidP="000F069C">
      <w:pPr>
        <w:pStyle w:val="ListParagraph"/>
        <w:numPr>
          <w:ilvl w:val="0"/>
          <w:numId w:val="3"/>
        </w:numPr>
        <w:spacing w:before="100" w:beforeAutospacing="1" w:after="100" w:afterAutospacing="1" w:line="240" w:lineRule="auto"/>
        <w:rPr>
          <w:rFonts w:asciiTheme="majorBidi" w:eastAsia="Times New Roman" w:hAnsiTheme="majorBidi" w:cstheme="majorBidi"/>
          <w:sz w:val="24"/>
          <w:szCs w:val="24"/>
          <w:lang w:eastAsia="fr-FR"/>
        </w:rPr>
      </w:pPr>
      <w:r w:rsidRPr="000F069C">
        <w:rPr>
          <w:rFonts w:asciiTheme="majorBidi" w:eastAsia="Times New Roman" w:hAnsiTheme="majorBidi" w:cstheme="majorBidi"/>
          <w:sz w:val="24"/>
          <w:szCs w:val="24"/>
          <w:lang w:eastAsia="fr-FR"/>
        </w:rPr>
        <w:t xml:space="preserve">Takahashi AA, </w:t>
      </w:r>
      <w:proofErr w:type="spellStart"/>
      <w:r w:rsidRPr="000F069C">
        <w:rPr>
          <w:rFonts w:asciiTheme="majorBidi" w:eastAsia="Times New Roman" w:hAnsiTheme="majorBidi" w:cstheme="majorBidi"/>
          <w:sz w:val="24"/>
          <w:szCs w:val="24"/>
          <w:lang w:eastAsia="fr-FR"/>
        </w:rPr>
        <w:t>Bassaneze</w:t>
      </w:r>
      <w:proofErr w:type="spellEnd"/>
      <w:r w:rsidRPr="000F069C">
        <w:rPr>
          <w:rFonts w:asciiTheme="majorBidi" w:eastAsia="Times New Roman" w:hAnsiTheme="majorBidi" w:cstheme="majorBidi"/>
          <w:sz w:val="24"/>
          <w:szCs w:val="24"/>
          <w:lang w:eastAsia="fr-FR"/>
        </w:rPr>
        <w:t xml:space="preserve"> T, Longo KS, Batista JG, </w:t>
      </w:r>
      <w:proofErr w:type="spellStart"/>
      <w:r w:rsidRPr="000F069C">
        <w:rPr>
          <w:rFonts w:asciiTheme="majorBidi" w:eastAsia="Times New Roman" w:hAnsiTheme="majorBidi" w:cstheme="majorBidi"/>
          <w:sz w:val="24"/>
          <w:szCs w:val="24"/>
          <w:lang w:eastAsia="fr-FR"/>
        </w:rPr>
        <w:t>Waisberg</w:t>
      </w:r>
      <w:proofErr w:type="spellEnd"/>
      <w:r w:rsidRPr="000F069C">
        <w:rPr>
          <w:rFonts w:asciiTheme="majorBidi" w:eastAsia="Times New Roman" w:hAnsiTheme="majorBidi" w:cstheme="majorBidi"/>
          <w:sz w:val="24"/>
          <w:szCs w:val="24"/>
          <w:lang w:eastAsia="fr-FR"/>
        </w:rPr>
        <w:t xml:space="preserve"> J. </w:t>
      </w:r>
      <w:proofErr w:type="spellStart"/>
      <w:r w:rsidRPr="000F069C">
        <w:rPr>
          <w:rFonts w:asciiTheme="majorBidi" w:eastAsia="Times New Roman" w:hAnsiTheme="majorBidi" w:cstheme="majorBidi"/>
          <w:sz w:val="24"/>
          <w:szCs w:val="24"/>
          <w:lang w:eastAsia="fr-FR"/>
        </w:rPr>
        <w:t>Primary</w:t>
      </w:r>
      <w:proofErr w:type="spellEnd"/>
      <w:r w:rsidRPr="000F069C">
        <w:rPr>
          <w:rFonts w:asciiTheme="majorBidi" w:eastAsia="Times New Roman" w:hAnsiTheme="majorBidi" w:cstheme="majorBidi"/>
          <w:sz w:val="24"/>
          <w:szCs w:val="24"/>
          <w:lang w:eastAsia="fr-FR"/>
        </w:rPr>
        <w:t xml:space="preserve"> extensive </w:t>
      </w:r>
      <w:proofErr w:type="spellStart"/>
      <w:r w:rsidRPr="000F069C">
        <w:rPr>
          <w:rFonts w:asciiTheme="majorBidi" w:eastAsia="Times New Roman" w:hAnsiTheme="majorBidi" w:cstheme="majorBidi"/>
          <w:sz w:val="24"/>
          <w:szCs w:val="24"/>
          <w:lang w:eastAsia="fr-FR"/>
        </w:rPr>
        <w:t>perianal</w:t>
      </w:r>
      <w:proofErr w:type="spellEnd"/>
      <w:r w:rsidRPr="000F069C">
        <w:rPr>
          <w:rFonts w:asciiTheme="majorBidi" w:eastAsia="Times New Roman" w:hAnsiTheme="majorBidi" w:cstheme="majorBidi"/>
          <w:sz w:val="24"/>
          <w:szCs w:val="24"/>
          <w:lang w:eastAsia="fr-FR"/>
        </w:rPr>
        <w:t xml:space="preserve"> </w:t>
      </w:r>
      <w:proofErr w:type="spellStart"/>
      <w:r w:rsidRPr="000F069C">
        <w:rPr>
          <w:rFonts w:asciiTheme="majorBidi" w:eastAsia="Times New Roman" w:hAnsiTheme="majorBidi" w:cstheme="majorBidi"/>
          <w:sz w:val="24"/>
          <w:szCs w:val="24"/>
          <w:lang w:eastAsia="fr-FR"/>
        </w:rPr>
        <w:t>cutaneous</w:t>
      </w:r>
      <w:proofErr w:type="spellEnd"/>
      <w:r w:rsidRPr="000F069C">
        <w:rPr>
          <w:rFonts w:asciiTheme="majorBidi" w:eastAsia="Times New Roman" w:hAnsiTheme="majorBidi" w:cstheme="majorBidi"/>
          <w:sz w:val="24"/>
          <w:szCs w:val="24"/>
          <w:lang w:eastAsia="fr-FR"/>
        </w:rPr>
        <w:t xml:space="preserve"> </w:t>
      </w:r>
      <w:proofErr w:type="spellStart"/>
      <w:proofErr w:type="gramStart"/>
      <w:r w:rsidRPr="000F069C">
        <w:rPr>
          <w:rFonts w:asciiTheme="majorBidi" w:eastAsia="Times New Roman" w:hAnsiTheme="majorBidi" w:cstheme="majorBidi"/>
          <w:sz w:val="24"/>
          <w:szCs w:val="24"/>
          <w:lang w:eastAsia="fr-FR"/>
        </w:rPr>
        <w:t>tuberculosis</w:t>
      </w:r>
      <w:proofErr w:type="spellEnd"/>
      <w:r w:rsidRPr="000F069C">
        <w:rPr>
          <w:rFonts w:asciiTheme="majorBidi" w:eastAsia="Times New Roman" w:hAnsiTheme="majorBidi" w:cstheme="majorBidi"/>
          <w:sz w:val="24"/>
          <w:szCs w:val="24"/>
          <w:lang w:eastAsia="fr-FR"/>
        </w:rPr>
        <w:t>:</w:t>
      </w:r>
      <w:proofErr w:type="gramEnd"/>
      <w:r w:rsidRPr="000F069C">
        <w:rPr>
          <w:rFonts w:asciiTheme="majorBidi" w:eastAsia="Times New Roman" w:hAnsiTheme="majorBidi" w:cstheme="majorBidi"/>
          <w:sz w:val="24"/>
          <w:szCs w:val="24"/>
          <w:lang w:eastAsia="fr-FR"/>
        </w:rPr>
        <w:t xml:space="preserve"> </w:t>
      </w:r>
      <w:proofErr w:type="spellStart"/>
      <w:r w:rsidRPr="000F069C">
        <w:rPr>
          <w:rFonts w:asciiTheme="majorBidi" w:eastAsia="Times New Roman" w:hAnsiTheme="majorBidi" w:cstheme="majorBidi"/>
          <w:sz w:val="24"/>
          <w:szCs w:val="24"/>
          <w:lang w:eastAsia="fr-FR"/>
        </w:rPr>
        <w:t>a</w:t>
      </w:r>
      <w:proofErr w:type="spellEnd"/>
      <w:r w:rsidRPr="000F069C">
        <w:rPr>
          <w:rFonts w:asciiTheme="majorBidi" w:eastAsia="Times New Roman" w:hAnsiTheme="majorBidi" w:cstheme="majorBidi"/>
          <w:sz w:val="24"/>
          <w:szCs w:val="24"/>
          <w:lang w:eastAsia="fr-FR"/>
        </w:rPr>
        <w:t xml:space="preserve"> </w:t>
      </w:r>
      <w:proofErr w:type="spellStart"/>
      <w:r w:rsidRPr="000F069C">
        <w:rPr>
          <w:rFonts w:asciiTheme="majorBidi" w:eastAsia="Times New Roman" w:hAnsiTheme="majorBidi" w:cstheme="majorBidi"/>
          <w:sz w:val="24"/>
          <w:szCs w:val="24"/>
          <w:lang w:eastAsia="fr-FR"/>
        </w:rPr>
        <w:t>challenging</w:t>
      </w:r>
      <w:proofErr w:type="spellEnd"/>
      <w:r w:rsidRPr="000F069C">
        <w:rPr>
          <w:rFonts w:asciiTheme="majorBidi" w:eastAsia="Times New Roman" w:hAnsiTheme="majorBidi" w:cstheme="majorBidi"/>
          <w:sz w:val="24"/>
          <w:szCs w:val="24"/>
          <w:lang w:eastAsia="fr-FR"/>
        </w:rPr>
        <w:t xml:space="preserve"> </w:t>
      </w:r>
      <w:proofErr w:type="spellStart"/>
      <w:r w:rsidRPr="000F069C">
        <w:rPr>
          <w:rFonts w:asciiTheme="majorBidi" w:eastAsia="Times New Roman" w:hAnsiTheme="majorBidi" w:cstheme="majorBidi"/>
          <w:sz w:val="24"/>
          <w:szCs w:val="24"/>
          <w:lang w:eastAsia="fr-FR"/>
        </w:rPr>
        <w:t>diagnosis</w:t>
      </w:r>
      <w:proofErr w:type="spellEnd"/>
      <w:r w:rsidRPr="000F069C">
        <w:rPr>
          <w:rFonts w:asciiTheme="majorBidi" w:eastAsia="Times New Roman" w:hAnsiTheme="majorBidi" w:cstheme="majorBidi"/>
          <w:sz w:val="24"/>
          <w:szCs w:val="24"/>
          <w:lang w:eastAsia="fr-FR"/>
        </w:rPr>
        <w:t xml:space="preserve">. Case report and a </w:t>
      </w:r>
      <w:proofErr w:type="spellStart"/>
      <w:r w:rsidRPr="000F069C">
        <w:rPr>
          <w:rFonts w:asciiTheme="majorBidi" w:eastAsia="Times New Roman" w:hAnsiTheme="majorBidi" w:cstheme="majorBidi"/>
          <w:sz w:val="24"/>
          <w:szCs w:val="24"/>
          <w:lang w:eastAsia="fr-FR"/>
        </w:rPr>
        <w:t>review</w:t>
      </w:r>
      <w:proofErr w:type="spellEnd"/>
      <w:r w:rsidRPr="000F069C">
        <w:rPr>
          <w:rFonts w:asciiTheme="majorBidi" w:eastAsia="Times New Roman" w:hAnsiTheme="majorBidi" w:cstheme="majorBidi"/>
          <w:sz w:val="24"/>
          <w:szCs w:val="24"/>
          <w:lang w:eastAsia="fr-FR"/>
        </w:rPr>
        <w:t xml:space="preserve"> of the </w:t>
      </w:r>
      <w:proofErr w:type="spellStart"/>
      <w:r w:rsidRPr="000F069C">
        <w:rPr>
          <w:rFonts w:asciiTheme="majorBidi" w:eastAsia="Times New Roman" w:hAnsiTheme="majorBidi" w:cstheme="majorBidi"/>
          <w:sz w:val="24"/>
          <w:szCs w:val="24"/>
          <w:lang w:eastAsia="fr-FR"/>
        </w:rPr>
        <w:t>literature</w:t>
      </w:r>
      <w:proofErr w:type="spellEnd"/>
      <w:r w:rsidRPr="000F069C">
        <w:rPr>
          <w:rFonts w:asciiTheme="majorBidi" w:eastAsia="Times New Roman" w:hAnsiTheme="majorBidi" w:cstheme="majorBidi"/>
          <w:sz w:val="24"/>
          <w:szCs w:val="24"/>
          <w:lang w:eastAsia="fr-FR"/>
        </w:rPr>
        <w:t xml:space="preserve">. </w:t>
      </w:r>
      <w:proofErr w:type="spellStart"/>
      <w:r w:rsidRPr="000F069C">
        <w:rPr>
          <w:rFonts w:asciiTheme="majorBidi" w:eastAsia="Times New Roman" w:hAnsiTheme="majorBidi" w:cstheme="majorBidi"/>
          <w:sz w:val="24"/>
          <w:szCs w:val="24"/>
          <w:lang w:eastAsia="fr-FR"/>
        </w:rPr>
        <w:t>Braz</w:t>
      </w:r>
      <w:proofErr w:type="spellEnd"/>
      <w:r w:rsidRPr="000F069C">
        <w:rPr>
          <w:rFonts w:asciiTheme="majorBidi" w:eastAsia="Times New Roman" w:hAnsiTheme="majorBidi" w:cstheme="majorBidi"/>
          <w:sz w:val="24"/>
          <w:szCs w:val="24"/>
          <w:lang w:eastAsia="fr-FR"/>
        </w:rPr>
        <w:t xml:space="preserve"> J Infect Dis. </w:t>
      </w:r>
      <w:proofErr w:type="gramStart"/>
      <w:r w:rsidRPr="000F069C">
        <w:rPr>
          <w:rFonts w:asciiTheme="majorBidi" w:eastAsia="Times New Roman" w:hAnsiTheme="majorBidi" w:cstheme="majorBidi"/>
          <w:sz w:val="24"/>
          <w:szCs w:val="24"/>
          <w:lang w:eastAsia="fr-FR"/>
        </w:rPr>
        <w:t>2023;</w:t>
      </w:r>
      <w:proofErr w:type="gramEnd"/>
      <w:r w:rsidRPr="000F069C">
        <w:rPr>
          <w:rFonts w:asciiTheme="majorBidi" w:eastAsia="Times New Roman" w:hAnsiTheme="majorBidi" w:cstheme="majorBidi"/>
          <w:sz w:val="24"/>
          <w:szCs w:val="24"/>
          <w:lang w:eastAsia="fr-FR"/>
        </w:rPr>
        <w:t>27:102722.</w:t>
      </w:r>
    </w:p>
    <w:sectPr w:rsidR="00440712" w:rsidRPr="000F069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43C" w:rsidRDefault="00C2643C" w:rsidP="00C91DFD">
      <w:pPr>
        <w:spacing w:after="0" w:line="240" w:lineRule="auto"/>
      </w:pPr>
      <w:r>
        <w:separator/>
      </w:r>
    </w:p>
  </w:endnote>
  <w:endnote w:type="continuationSeparator" w:id="0">
    <w:p w:rsidR="00C2643C" w:rsidRDefault="00C2643C" w:rsidP="00C9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43C" w:rsidRDefault="00C2643C" w:rsidP="00C91DFD">
      <w:pPr>
        <w:spacing w:after="0" w:line="240" w:lineRule="auto"/>
      </w:pPr>
      <w:r>
        <w:separator/>
      </w:r>
    </w:p>
  </w:footnote>
  <w:footnote w:type="continuationSeparator" w:id="0">
    <w:p w:rsidR="00C2643C" w:rsidRDefault="00C2643C" w:rsidP="00C9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FD" w:rsidRDefault="00867E8C" w:rsidP="00C91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208844047"/>
        <w:docPartObj>
          <w:docPartGallery w:val="Page Numbers (Top of Page)"/>
          <w:docPartUnique/>
        </w:docPartObj>
      </w:sdtPr>
      <w:sdtEndPr/>
      <w:sdtContent>
        <w:r w:rsidR="00C91DFD">
          <w:fldChar w:fldCharType="begin"/>
        </w:r>
        <w:r w:rsidR="00C91DFD">
          <w:instrText>PAGE   \* MERGEFORMAT</w:instrText>
        </w:r>
        <w:r w:rsidR="00C91DFD">
          <w:fldChar w:fldCharType="separate"/>
        </w:r>
        <w:r w:rsidR="00031616">
          <w:rPr>
            <w:noProof/>
          </w:rPr>
          <w:t>1</w:t>
        </w:r>
        <w:r w:rsidR="00C91DFD">
          <w:fldChar w:fldCharType="end"/>
        </w:r>
      </w:sdtContent>
    </w:sdt>
  </w:p>
  <w:p w:rsidR="00C91DFD" w:rsidRDefault="00C91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E48A6"/>
    <w:multiLevelType w:val="hybridMultilevel"/>
    <w:tmpl w:val="9C0627B2"/>
    <w:lvl w:ilvl="0" w:tplc="F5E874FE">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437E7CAC"/>
    <w:multiLevelType w:val="multilevel"/>
    <w:tmpl w:val="64D0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791514"/>
    <w:multiLevelType w:val="hybridMultilevel"/>
    <w:tmpl w:val="845EA6E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tDS3NDU0MDA3MzdR0lEKTi0uzszPAykwrAUAbm9GRSwAAAA="/>
  </w:docVars>
  <w:rsids>
    <w:rsidRoot w:val="0032255B"/>
    <w:rsid w:val="00004FD8"/>
    <w:rsid w:val="00031616"/>
    <w:rsid w:val="00093CAE"/>
    <w:rsid w:val="000C2AB8"/>
    <w:rsid w:val="000F069C"/>
    <w:rsid w:val="000F73C9"/>
    <w:rsid w:val="001375A7"/>
    <w:rsid w:val="001478E1"/>
    <w:rsid w:val="0019265F"/>
    <w:rsid w:val="00222A0E"/>
    <w:rsid w:val="002407A5"/>
    <w:rsid w:val="002F41A9"/>
    <w:rsid w:val="0032255B"/>
    <w:rsid w:val="003B2634"/>
    <w:rsid w:val="003F5060"/>
    <w:rsid w:val="00416561"/>
    <w:rsid w:val="00436FA1"/>
    <w:rsid w:val="00440712"/>
    <w:rsid w:val="004B211B"/>
    <w:rsid w:val="004F4DF6"/>
    <w:rsid w:val="005515E5"/>
    <w:rsid w:val="00557B10"/>
    <w:rsid w:val="00563D29"/>
    <w:rsid w:val="005A11BB"/>
    <w:rsid w:val="005F4DEE"/>
    <w:rsid w:val="006B7206"/>
    <w:rsid w:val="0071457F"/>
    <w:rsid w:val="00727B1A"/>
    <w:rsid w:val="00762DF0"/>
    <w:rsid w:val="0081206F"/>
    <w:rsid w:val="00857F67"/>
    <w:rsid w:val="00867E8C"/>
    <w:rsid w:val="00881511"/>
    <w:rsid w:val="008E715D"/>
    <w:rsid w:val="00942A58"/>
    <w:rsid w:val="009C4643"/>
    <w:rsid w:val="00A3594F"/>
    <w:rsid w:val="00A537A3"/>
    <w:rsid w:val="00B5582D"/>
    <w:rsid w:val="00B91DC0"/>
    <w:rsid w:val="00BA1846"/>
    <w:rsid w:val="00C2643C"/>
    <w:rsid w:val="00C6735B"/>
    <w:rsid w:val="00C91DFD"/>
    <w:rsid w:val="00D1376C"/>
    <w:rsid w:val="00D44C3E"/>
    <w:rsid w:val="00DD6FFA"/>
    <w:rsid w:val="00F30A34"/>
    <w:rsid w:val="00F6532E"/>
    <w:rsid w:val="00F74F15"/>
    <w:rsid w:val="00F82B49"/>
    <w:rsid w:val="00F857D3"/>
    <w:rsid w:val="00F875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2AB392"/>
  <w15:docId w15:val="{00B411FA-C9B2-4DB9-8E6A-7569C823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82B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2B49"/>
    <w:pPr>
      <w:ind w:left="720"/>
      <w:contextualSpacing/>
    </w:pPr>
  </w:style>
  <w:style w:type="character" w:customStyle="1" w:styleId="Heading1Char">
    <w:name w:val="Heading 1 Char"/>
    <w:basedOn w:val="DefaultParagraphFont"/>
    <w:link w:val="Heading1"/>
    <w:uiPriority w:val="9"/>
    <w:rsid w:val="00F82B49"/>
    <w:rPr>
      <w:rFonts w:ascii="Times New Roman" w:eastAsia="Times New Roman" w:hAnsi="Times New Roman" w:cs="Times New Roman"/>
      <w:b/>
      <w:bCs/>
      <w:kern w:val="36"/>
      <w:sz w:val="48"/>
      <w:szCs w:val="48"/>
      <w:lang w:eastAsia="fr-FR"/>
    </w:rPr>
  </w:style>
  <w:style w:type="paragraph" w:styleId="BalloonText">
    <w:name w:val="Balloon Text"/>
    <w:basedOn w:val="Normal"/>
    <w:link w:val="BalloonTextChar"/>
    <w:uiPriority w:val="99"/>
    <w:semiHidden/>
    <w:unhideWhenUsed/>
    <w:rsid w:val="00440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12"/>
    <w:rPr>
      <w:rFonts w:ascii="Tahoma" w:hAnsi="Tahoma" w:cs="Tahoma"/>
      <w:sz w:val="16"/>
      <w:szCs w:val="16"/>
    </w:rPr>
  </w:style>
  <w:style w:type="paragraph" w:styleId="BodyText">
    <w:name w:val="Body Text"/>
    <w:basedOn w:val="Normal"/>
    <w:link w:val="BodyTextChar"/>
    <w:uiPriority w:val="1"/>
    <w:qFormat/>
    <w:rsid w:val="005515E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515E5"/>
    <w:rPr>
      <w:rFonts w:ascii="Calibri" w:eastAsia="Calibri" w:hAnsi="Calibri" w:cs="Calibri"/>
      <w:sz w:val="24"/>
      <w:szCs w:val="24"/>
    </w:rPr>
  </w:style>
  <w:style w:type="paragraph" w:styleId="Header">
    <w:name w:val="header"/>
    <w:basedOn w:val="Normal"/>
    <w:link w:val="HeaderChar"/>
    <w:uiPriority w:val="99"/>
    <w:unhideWhenUsed/>
    <w:rsid w:val="00C91D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1DFD"/>
  </w:style>
  <w:style w:type="paragraph" w:styleId="Footer">
    <w:name w:val="footer"/>
    <w:basedOn w:val="Normal"/>
    <w:link w:val="FooterChar"/>
    <w:uiPriority w:val="99"/>
    <w:unhideWhenUsed/>
    <w:rsid w:val="00C91D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1DFD"/>
  </w:style>
  <w:style w:type="paragraph" w:customStyle="1" w:styleId="Default">
    <w:name w:val="Default"/>
    <w:rsid w:val="00563D2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F5060"/>
    <w:rPr>
      <w:color w:val="0000FF" w:themeColor="hyperlink"/>
      <w:u w:val="single"/>
    </w:rPr>
  </w:style>
  <w:style w:type="character" w:customStyle="1" w:styleId="elsevierstylesup">
    <w:name w:val="elsevierstylesup"/>
    <w:basedOn w:val="DefaultParagraphFont"/>
    <w:rsid w:val="00F65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16910">
      <w:bodyDiv w:val="1"/>
      <w:marLeft w:val="0"/>
      <w:marRight w:val="0"/>
      <w:marTop w:val="0"/>
      <w:marBottom w:val="0"/>
      <w:divBdr>
        <w:top w:val="none" w:sz="0" w:space="0" w:color="auto"/>
        <w:left w:val="none" w:sz="0" w:space="0" w:color="auto"/>
        <w:bottom w:val="none" w:sz="0" w:space="0" w:color="auto"/>
        <w:right w:val="none" w:sz="0" w:space="0" w:color="auto"/>
      </w:divBdr>
    </w:div>
    <w:div w:id="424765403">
      <w:bodyDiv w:val="1"/>
      <w:marLeft w:val="0"/>
      <w:marRight w:val="0"/>
      <w:marTop w:val="0"/>
      <w:marBottom w:val="0"/>
      <w:divBdr>
        <w:top w:val="none" w:sz="0" w:space="0" w:color="auto"/>
        <w:left w:val="none" w:sz="0" w:space="0" w:color="auto"/>
        <w:bottom w:val="none" w:sz="0" w:space="0" w:color="auto"/>
        <w:right w:val="none" w:sz="0" w:space="0" w:color="auto"/>
      </w:divBdr>
    </w:div>
    <w:div w:id="487403857">
      <w:bodyDiv w:val="1"/>
      <w:marLeft w:val="0"/>
      <w:marRight w:val="0"/>
      <w:marTop w:val="0"/>
      <w:marBottom w:val="0"/>
      <w:divBdr>
        <w:top w:val="none" w:sz="0" w:space="0" w:color="auto"/>
        <w:left w:val="none" w:sz="0" w:space="0" w:color="auto"/>
        <w:bottom w:val="none" w:sz="0" w:space="0" w:color="auto"/>
        <w:right w:val="none" w:sz="0" w:space="0" w:color="auto"/>
      </w:divBdr>
    </w:div>
    <w:div w:id="490760641">
      <w:bodyDiv w:val="1"/>
      <w:marLeft w:val="0"/>
      <w:marRight w:val="0"/>
      <w:marTop w:val="0"/>
      <w:marBottom w:val="0"/>
      <w:divBdr>
        <w:top w:val="none" w:sz="0" w:space="0" w:color="auto"/>
        <w:left w:val="none" w:sz="0" w:space="0" w:color="auto"/>
        <w:bottom w:val="none" w:sz="0" w:space="0" w:color="auto"/>
        <w:right w:val="none" w:sz="0" w:space="0" w:color="auto"/>
      </w:divBdr>
    </w:div>
    <w:div w:id="811597967">
      <w:bodyDiv w:val="1"/>
      <w:marLeft w:val="0"/>
      <w:marRight w:val="0"/>
      <w:marTop w:val="0"/>
      <w:marBottom w:val="0"/>
      <w:divBdr>
        <w:top w:val="none" w:sz="0" w:space="0" w:color="auto"/>
        <w:left w:val="none" w:sz="0" w:space="0" w:color="auto"/>
        <w:bottom w:val="none" w:sz="0" w:space="0" w:color="auto"/>
        <w:right w:val="none" w:sz="0" w:space="0" w:color="auto"/>
      </w:divBdr>
    </w:div>
    <w:div w:id="911813221">
      <w:bodyDiv w:val="1"/>
      <w:marLeft w:val="0"/>
      <w:marRight w:val="0"/>
      <w:marTop w:val="0"/>
      <w:marBottom w:val="0"/>
      <w:divBdr>
        <w:top w:val="none" w:sz="0" w:space="0" w:color="auto"/>
        <w:left w:val="none" w:sz="0" w:space="0" w:color="auto"/>
        <w:bottom w:val="none" w:sz="0" w:space="0" w:color="auto"/>
        <w:right w:val="none" w:sz="0" w:space="0" w:color="auto"/>
      </w:divBdr>
    </w:div>
    <w:div w:id="1143693680">
      <w:bodyDiv w:val="1"/>
      <w:marLeft w:val="0"/>
      <w:marRight w:val="0"/>
      <w:marTop w:val="0"/>
      <w:marBottom w:val="0"/>
      <w:divBdr>
        <w:top w:val="none" w:sz="0" w:space="0" w:color="auto"/>
        <w:left w:val="none" w:sz="0" w:space="0" w:color="auto"/>
        <w:bottom w:val="none" w:sz="0" w:space="0" w:color="auto"/>
        <w:right w:val="none" w:sz="0" w:space="0" w:color="auto"/>
      </w:divBdr>
    </w:div>
    <w:div w:id="1329551071">
      <w:bodyDiv w:val="1"/>
      <w:marLeft w:val="0"/>
      <w:marRight w:val="0"/>
      <w:marTop w:val="0"/>
      <w:marBottom w:val="0"/>
      <w:divBdr>
        <w:top w:val="none" w:sz="0" w:space="0" w:color="auto"/>
        <w:left w:val="none" w:sz="0" w:space="0" w:color="auto"/>
        <w:bottom w:val="none" w:sz="0" w:space="0" w:color="auto"/>
        <w:right w:val="none" w:sz="0" w:space="0" w:color="auto"/>
      </w:divBdr>
    </w:div>
    <w:div w:id="1367483010">
      <w:bodyDiv w:val="1"/>
      <w:marLeft w:val="0"/>
      <w:marRight w:val="0"/>
      <w:marTop w:val="0"/>
      <w:marBottom w:val="0"/>
      <w:divBdr>
        <w:top w:val="none" w:sz="0" w:space="0" w:color="auto"/>
        <w:left w:val="none" w:sz="0" w:space="0" w:color="auto"/>
        <w:bottom w:val="none" w:sz="0" w:space="0" w:color="auto"/>
        <w:right w:val="none" w:sz="0" w:space="0" w:color="auto"/>
      </w:divBdr>
    </w:div>
    <w:div w:id="1431971147">
      <w:bodyDiv w:val="1"/>
      <w:marLeft w:val="0"/>
      <w:marRight w:val="0"/>
      <w:marTop w:val="0"/>
      <w:marBottom w:val="0"/>
      <w:divBdr>
        <w:top w:val="none" w:sz="0" w:space="0" w:color="auto"/>
        <w:left w:val="none" w:sz="0" w:space="0" w:color="auto"/>
        <w:bottom w:val="none" w:sz="0" w:space="0" w:color="auto"/>
        <w:right w:val="none" w:sz="0" w:space="0" w:color="auto"/>
      </w:divBdr>
    </w:div>
    <w:div w:id="1699743874">
      <w:bodyDiv w:val="1"/>
      <w:marLeft w:val="0"/>
      <w:marRight w:val="0"/>
      <w:marTop w:val="0"/>
      <w:marBottom w:val="0"/>
      <w:divBdr>
        <w:top w:val="none" w:sz="0" w:space="0" w:color="auto"/>
        <w:left w:val="none" w:sz="0" w:space="0" w:color="auto"/>
        <w:bottom w:val="none" w:sz="0" w:space="0" w:color="auto"/>
        <w:right w:val="none" w:sz="0" w:space="0" w:color="auto"/>
      </w:divBdr>
    </w:div>
    <w:div w:id="214060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nte.gov.ma/Documents/2023/11/Plan%20strate%C3%ACgique%20National%20TB%202024-203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707A1-8D4C-42F0-9642-D2FBF97C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13</Pages>
  <Words>2705</Words>
  <Characters>15421</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22</cp:revision>
  <dcterms:created xsi:type="dcterms:W3CDTF">2025-07-15T09:31:00Z</dcterms:created>
  <dcterms:modified xsi:type="dcterms:W3CDTF">2025-08-08T10:57:00Z</dcterms:modified>
</cp:coreProperties>
</file>