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CC2" w:rsidRDefault="00B87BDE">
      <w:pPr>
        <w:pStyle w:val="Title"/>
        <w:spacing w:after="0"/>
        <w:jc w:val="both"/>
        <w:rPr>
          <w:rFonts w:ascii="Arial" w:eastAsia="Arial" w:hAnsi="Arial" w:cs="Arial"/>
        </w:rPr>
      </w:pPr>
      <w:r w:rsidRPr="00B87BDE">
        <w:rPr>
          <w:rFonts w:ascii="Arial" w:eastAsia="Arial" w:hAnsi="Arial" w:cs="Arial"/>
        </w:rPr>
        <w:t>CASE REPORT</w:t>
      </w:r>
    </w:p>
    <w:p w:rsidR="00B87BDE" w:rsidRPr="00B87BDE" w:rsidRDefault="00B87BDE" w:rsidP="00B87BDE"/>
    <w:p w:rsidR="002C2CC2" w:rsidRDefault="00333194">
      <w:pPr>
        <w:pBdr>
          <w:top w:val="nil"/>
          <w:left w:val="nil"/>
          <w:bottom w:val="nil"/>
          <w:right w:val="nil"/>
          <w:between w:val="nil"/>
        </w:pBdr>
        <w:spacing w:line="280" w:lineRule="auto"/>
        <w:jc w:val="right"/>
        <w:rPr>
          <w:rFonts w:ascii="Arial" w:eastAsia="Arial" w:hAnsi="Arial" w:cs="Arial"/>
          <w:b/>
          <w:color w:val="000000"/>
          <w:sz w:val="28"/>
          <w:szCs w:val="28"/>
        </w:rPr>
      </w:pPr>
      <w:r>
        <w:rPr>
          <w:rFonts w:ascii="Arial" w:eastAsia="Arial" w:hAnsi="Arial" w:cs="Arial"/>
          <w:b/>
          <w:color w:val="000000"/>
          <w:sz w:val="28"/>
          <w:szCs w:val="28"/>
        </w:rPr>
        <w:t>RIGHT EPIDIDYMO-ORCHITIS MASQUERADING PROSTATE TUBERCULOSIS. A CASE REPORT</w:t>
      </w:r>
    </w:p>
    <w:p w:rsidR="00B65C9D" w:rsidRDefault="00B65C9D">
      <w:pPr>
        <w:pBdr>
          <w:top w:val="nil"/>
          <w:left w:val="nil"/>
          <w:bottom w:val="nil"/>
          <w:right w:val="nil"/>
          <w:between w:val="nil"/>
        </w:pBdr>
        <w:jc w:val="right"/>
        <w:rPr>
          <w:rFonts w:ascii="Arial" w:eastAsia="Arial" w:hAnsi="Arial" w:cs="Arial"/>
          <w:i/>
          <w:color w:val="000000"/>
        </w:rPr>
      </w:pPr>
    </w:p>
    <w:p w:rsidR="00446B27" w:rsidRDefault="00446B27">
      <w:pPr>
        <w:pBdr>
          <w:top w:val="nil"/>
          <w:left w:val="nil"/>
          <w:bottom w:val="nil"/>
          <w:right w:val="nil"/>
          <w:between w:val="nil"/>
        </w:pBdr>
        <w:jc w:val="right"/>
        <w:rPr>
          <w:rFonts w:ascii="Arial" w:eastAsia="Arial" w:hAnsi="Arial" w:cs="Arial"/>
          <w:i/>
          <w:color w:val="000000"/>
        </w:rPr>
      </w:pPr>
      <w:bookmarkStart w:id="0" w:name="_GoBack"/>
      <w:bookmarkEnd w:id="0"/>
    </w:p>
    <w:p w:rsidR="002C2CC2" w:rsidRDefault="002C2CC2">
      <w:pPr>
        <w:pBdr>
          <w:top w:val="nil"/>
          <w:left w:val="nil"/>
          <w:bottom w:val="nil"/>
          <w:right w:val="nil"/>
          <w:between w:val="nil"/>
        </w:pBdr>
        <w:jc w:val="both"/>
        <w:rPr>
          <w:rFonts w:ascii="Arial" w:eastAsia="Arial" w:hAnsi="Arial" w:cs="Arial"/>
          <w:color w:val="000000"/>
        </w:rPr>
      </w:pPr>
    </w:p>
    <w:p w:rsidR="002C2CC2" w:rsidRDefault="002C2CC2">
      <w:pPr>
        <w:pBdr>
          <w:top w:val="nil"/>
          <w:left w:val="nil"/>
          <w:bottom w:val="nil"/>
          <w:right w:val="nil"/>
          <w:between w:val="nil"/>
        </w:pBdr>
        <w:jc w:val="both"/>
        <w:rPr>
          <w:rFonts w:ascii="Arial" w:eastAsia="Arial" w:hAnsi="Arial" w:cs="Arial"/>
          <w:color w:val="000000"/>
        </w:rPr>
      </w:pPr>
    </w:p>
    <w:p w:rsidR="002C2CC2" w:rsidRDefault="00333194">
      <w:pPr>
        <w:pBdr>
          <w:top w:val="nil"/>
          <w:left w:val="nil"/>
          <w:bottom w:val="nil"/>
          <w:right w:val="nil"/>
          <w:between w:val="nil"/>
        </w:pBdr>
        <w:jc w:val="both"/>
        <w:rPr>
          <w:rFonts w:ascii="Arial" w:eastAsia="Arial" w:hAnsi="Arial" w:cs="Arial"/>
          <w:color w:val="000000"/>
          <w:sz w:val="16"/>
          <w:szCs w:val="16"/>
        </w:rPr>
        <w:sectPr w:rsidR="002C2CC2" w:rsidSect="00446B27">
          <w:headerReference w:type="even" r:id="rId8"/>
          <w:headerReference w:type="default" r:id="rId9"/>
          <w:footerReference w:type="even" r:id="rId10"/>
          <w:footerReference w:type="default" r:id="rId11"/>
          <w:headerReference w:type="first" r:id="rId12"/>
          <w:footerReference w:type="first" r:id="rId13"/>
          <w:pgSz w:w="12240" w:h="15840"/>
          <w:pgMar w:top="1440" w:right="2016" w:bottom="2016" w:left="2016" w:header="720" w:footer="1296" w:gutter="0"/>
          <w:pgNumType w:start="1"/>
          <w:cols w:space="720"/>
          <w:docGrid w:linePitch="272"/>
        </w:sectPr>
      </w:pPr>
      <w:r>
        <w:rPr>
          <w:rFonts w:ascii="Arial" w:eastAsia="Arial" w:hAnsi="Arial" w:cs="Arial"/>
          <w:noProof/>
          <w:color w:val="000000"/>
          <w:sz w:val="16"/>
          <w:szCs w:val="16"/>
          <w:lang w:val="en-US"/>
        </w:rPr>
        <mc:AlternateContent>
          <mc:Choice Requires="wps">
            <w:drawing>
              <wp:inline distT="0" distB="0" distL="0" distR="0">
                <wp:extent cx="635" cy="19050"/>
                <wp:effectExtent l="0" t="0" r="0" b="0"/>
                <wp:docPr id="12" name="Straight Arrow Connector 12"/>
                <wp:cNvGraphicFramePr/>
                <a:graphic xmlns:a="http://schemas.openxmlformats.org/drawingml/2006/main">
                  <a:graphicData uri="http://schemas.microsoft.com/office/word/2010/wordprocessingShape">
                    <wps:wsp>
                      <wps:cNvCnPr/>
                      <wps:spPr>
                        <a:xfrm>
                          <a:off x="2694240" y="3780000"/>
                          <a:ext cx="5303520" cy="0"/>
                        </a:xfrm>
                        <a:prstGeom prst="straightConnector1">
                          <a:avLst/>
                        </a:prstGeom>
                        <a:noFill/>
                        <a:ln w="19050" cap="flat" cmpd="sng">
                          <a:solidFill>
                            <a:srgbClr val="000000"/>
                          </a:solidFill>
                          <a:prstDash val="solid"/>
                          <a:round/>
                          <a:headEnd type="none" w="med" len="med"/>
                          <a:tailEnd type="none" w="med" len="med"/>
                        </a:ln>
                      </wps:spPr>
                      <wps:bodyPr/>
                    </wps:wsp>
                  </a:graphicData>
                </a:graphic>
              </wp:inline>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35" cy="19050"/>
                <wp:effectExtent b="0" l="0" r="0" t="0"/>
                <wp:docPr id="12"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635" cy="19050"/>
                        </a:xfrm>
                        <a:prstGeom prst="rect"/>
                        <a:ln/>
                      </pic:spPr>
                    </pic:pic>
                  </a:graphicData>
                </a:graphic>
              </wp:inline>
            </w:drawing>
          </mc:Fallback>
        </mc:AlternateContent>
      </w:r>
      <w:r>
        <w:rPr>
          <w:rFonts w:ascii="Arial" w:eastAsia="Arial" w:hAnsi="Arial" w:cs="Arial"/>
          <w:color w:val="000000"/>
          <w:sz w:val="16"/>
          <w:szCs w:val="16"/>
        </w:rPr>
        <w:t>.</w:t>
      </w:r>
    </w:p>
    <w:p w:rsidR="002C2CC2" w:rsidRDefault="00333194">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ABSTRACT</w:t>
      </w:r>
    </w:p>
    <w:p w:rsidR="002C2CC2" w:rsidRDefault="002C2CC2">
      <w:pPr>
        <w:keepNext/>
        <w:pBdr>
          <w:top w:val="nil"/>
          <w:left w:val="nil"/>
          <w:bottom w:val="nil"/>
          <w:right w:val="nil"/>
          <w:between w:val="nil"/>
        </w:pBdr>
        <w:jc w:val="both"/>
        <w:rPr>
          <w:rFonts w:ascii="Arial" w:eastAsia="Arial" w:hAnsi="Arial" w:cs="Arial"/>
          <w:b/>
          <w:smallCaps/>
          <w:color w:val="000000"/>
          <w:sz w:val="22"/>
          <w:szCs w:val="22"/>
        </w:rPr>
      </w:pPr>
    </w:p>
    <w:tbl>
      <w:tblPr>
        <w:tblStyle w:val="a"/>
        <w:tblW w:w="8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8"/>
      </w:tblGrid>
      <w:tr w:rsidR="002C2CC2">
        <w:tc>
          <w:tcPr>
            <w:tcW w:w="8198" w:type="dxa"/>
            <w:shd w:val="clear" w:color="auto" w:fill="F2F2F2"/>
          </w:tcPr>
          <w:p w:rsidR="002C2CC2" w:rsidRDefault="00333194">
            <w:pPr>
              <w:pBdr>
                <w:top w:val="nil"/>
                <w:left w:val="nil"/>
                <w:bottom w:val="nil"/>
                <w:right w:val="nil"/>
                <w:between w:val="nil"/>
              </w:pBdr>
              <w:spacing w:after="240"/>
              <w:jc w:val="both"/>
              <w:rPr>
                <w:rFonts w:ascii="Arial" w:eastAsia="Arial" w:hAnsi="Arial" w:cs="Arial"/>
                <w:color w:val="000000"/>
              </w:rPr>
            </w:pPr>
            <w:r>
              <w:rPr>
                <w:rFonts w:ascii="Arial" w:eastAsia="Arial" w:hAnsi="Arial" w:cs="Arial"/>
                <w:b/>
                <w:color w:val="000000"/>
              </w:rPr>
              <w:t>Introduction:</w:t>
            </w:r>
            <w:r>
              <w:rPr>
                <w:rFonts w:ascii="Arial" w:eastAsia="Arial" w:hAnsi="Arial" w:cs="Arial"/>
                <w:color w:val="000000"/>
              </w:rPr>
              <w:t xml:space="preserve"> Prostatic tuberculosis (TB) is a rare manifestation of extrapulmonary TB, often diagnosed incidentally due to its nonspecific presentation. This case highlights the diagnostic and management challenges of prostatic TB in a young, immunocompetent patient.</w:t>
            </w:r>
          </w:p>
          <w:p w:rsidR="002C2CC2" w:rsidRDefault="00333194">
            <w:pPr>
              <w:pBdr>
                <w:top w:val="nil"/>
                <w:left w:val="nil"/>
                <w:bottom w:val="nil"/>
                <w:right w:val="nil"/>
                <w:between w:val="nil"/>
              </w:pBdr>
              <w:spacing w:after="240"/>
              <w:jc w:val="both"/>
              <w:rPr>
                <w:rFonts w:ascii="Arial" w:eastAsia="Arial" w:hAnsi="Arial" w:cs="Arial"/>
                <w:color w:val="000000"/>
              </w:rPr>
            </w:pPr>
            <w:r>
              <w:rPr>
                <w:rFonts w:ascii="Arial" w:eastAsia="Arial" w:hAnsi="Arial" w:cs="Arial"/>
                <w:b/>
                <w:color w:val="000000"/>
              </w:rPr>
              <w:t>Case Presentation:</w:t>
            </w:r>
            <w:r>
              <w:rPr>
                <w:rFonts w:ascii="Arial" w:eastAsia="Arial" w:hAnsi="Arial" w:cs="Arial"/>
                <w:color w:val="000000"/>
              </w:rPr>
              <w:t xml:space="preserve"> A 28-year-old previously healthy man presented with acute right testicular pain and swelling, initially diagnosed as </w:t>
            </w:r>
            <w:proofErr w:type="spellStart"/>
            <w:r>
              <w:rPr>
                <w:rFonts w:ascii="Arial" w:eastAsia="Arial" w:hAnsi="Arial" w:cs="Arial"/>
                <w:color w:val="000000"/>
              </w:rPr>
              <w:t>epididymo</w:t>
            </w:r>
            <w:proofErr w:type="spellEnd"/>
            <w:r>
              <w:rPr>
                <w:rFonts w:ascii="Arial" w:eastAsia="Arial" w:hAnsi="Arial" w:cs="Arial"/>
                <w:color w:val="000000"/>
              </w:rPr>
              <w:t xml:space="preserve">-orchitis. Despite empirical antibiotic therapy, symptoms persisted. Contrast-enhanced CT revealed bilateral prostatic abscesses and a small intraperitoneal collection. Transurethral drainage was performed, and intraoperative samples confirmed TB via acid-fast bacilli detection and histopathology showing </w:t>
            </w:r>
            <w:proofErr w:type="spellStart"/>
            <w:r>
              <w:rPr>
                <w:rFonts w:ascii="Arial" w:eastAsia="Arial" w:hAnsi="Arial" w:cs="Arial"/>
                <w:color w:val="000000"/>
              </w:rPr>
              <w:t>necrotising</w:t>
            </w:r>
            <w:proofErr w:type="spellEnd"/>
            <w:r>
              <w:rPr>
                <w:rFonts w:ascii="Arial" w:eastAsia="Arial" w:hAnsi="Arial" w:cs="Arial"/>
                <w:color w:val="000000"/>
              </w:rPr>
              <w:t xml:space="preserve"> granulomatous inflammation. Anti-TB therapy was initiated, resulting in clinical improvement and radiological resolution of collections.</w:t>
            </w:r>
          </w:p>
          <w:p w:rsidR="002C2CC2" w:rsidRDefault="00333194">
            <w:pPr>
              <w:pBdr>
                <w:top w:val="nil"/>
                <w:left w:val="nil"/>
                <w:bottom w:val="nil"/>
                <w:right w:val="nil"/>
                <w:between w:val="nil"/>
              </w:pBdr>
              <w:spacing w:after="240"/>
              <w:jc w:val="both"/>
              <w:rPr>
                <w:rFonts w:ascii="Arial" w:eastAsia="Arial" w:hAnsi="Arial" w:cs="Arial"/>
                <w:color w:val="000000"/>
              </w:rPr>
            </w:pPr>
            <w:r>
              <w:rPr>
                <w:rFonts w:ascii="Arial" w:eastAsia="Arial" w:hAnsi="Arial" w:cs="Arial"/>
                <w:b/>
                <w:color w:val="000000"/>
              </w:rPr>
              <w:t>Discussion:</w:t>
            </w:r>
            <w:r>
              <w:rPr>
                <w:rFonts w:ascii="Arial" w:eastAsia="Arial" w:hAnsi="Arial" w:cs="Arial"/>
                <w:color w:val="000000"/>
              </w:rPr>
              <w:t xml:space="preserve"> Prostatic TB should be considered in young patients from endemic regions presenting with atypical genitourinary infections unresponsive to antibiotics. Imaging modalities such as CT or TRUS are crucial in identifying prostatic abscesses. Early diagnosis and initiation of anti-TB therapy are essential to prevent complications.</w:t>
            </w:r>
          </w:p>
          <w:p w:rsidR="002C2CC2" w:rsidRDefault="0033319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Conclusion:</w:t>
            </w:r>
            <w:r>
              <w:rPr>
                <w:rFonts w:ascii="Arial" w:eastAsia="Arial" w:hAnsi="Arial" w:cs="Arial"/>
                <w:color w:val="000000"/>
              </w:rPr>
              <w:t xml:space="preserve"> Prostatic TB remains an uncommon and under-recognized entity. High clinical suspicion, especially in TB-endemic regions, and early imaging are critical for diagnosis and effective management.</w:t>
            </w:r>
          </w:p>
          <w:p w:rsidR="002C2CC2" w:rsidRDefault="002C2CC2">
            <w:pPr>
              <w:pBdr>
                <w:top w:val="nil"/>
                <w:left w:val="nil"/>
                <w:bottom w:val="nil"/>
                <w:right w:val="nil"/>
                <w:between w:val="nil"/>
              </w:pBdr>
              <w:jc w:val="both"/>
              <w:rPr>
                <w:rFonts w:ascii="Arial" w:eastAsia="Arial" w:hAnsi="Arial" w:cs="Arial"/>
                <w:color w:val="000000"/>
              </w:rPr>
            </w:pPr>
          </w:p>
        </w:tc>
      </w:tr>
    </w:tbl>
    <w:p w:rsidR="002C2CC2" w:rsidRDefault="002C2CC2">
      <w:pPr>
        <w:pBdr>
          <w:top w:val="nil"/>
          <w:left w:val="nil"/>
          <w:bottom w:val="nil"/>
          <w:right w:val="nil"/>
          <w:between w:val="nil"/>
        </w:pBdr>
        <w:jc w:val="both"/>
        <w:rPr>
          <w:rFonts w:ascii="Arial" w:eastAsia="Arial" w:hAnsi="Arial" w:cs="Arial"/>
          <w:i/>
          <w:color w:val="000000"/>
        </w:rPr>
      </w:pPr>
    </w:p>
    <w:p w:rsidR="002C2CC2" w:rsidRDefault="002C2CC2">
      <w:pPr>
        <w:pBdr>
          <w:top w:val="nil"/>
          <w:left w:val="nil"/>
          <w:bottom w:val="nil"/>
          <w:right w:val="nil"/>
          <w:between w:val="nil"/>
        </w:pBdr>
        <w:jc w:val="both"/>
        <w:rPr>
          <w:rFonts w:ascii="Arial" w:eastAsia="Arial" w:hAnsi="Arial" w:cs="Arial"/>
          <w:i/>
          <w:color w:val="000000"/>
        </w:rPr>
      </w:pPr>
    </w:p>
    <w:p w:rsidR="002C2CC2" w:rsidRDefault="002C2CC2">
      <w:pPr>
        <w:pBdr>
          <w:top w:val="nil"/>
          <w:left w:val="nil"/>
          <w:bottom w:val="nil"/>
          <w:right w:val="nil"/>
          <w:between w:val="nil"/>
        </w:pBdr>
        <w:jc w:val="both"/>
        <w:rPr>
          <w:rFonts w:ascii="Arial" w:eastAsia="Arial" w:hAnsi="Arial" w:cs="Arial"/>
          <w:i/>
          <w:color w:val="000000"/>
          <w:sz w:val="18"/>
          <w:szCs w:val="18"/>
        </w:rPr>
      </w:pPr>
    </w:p>
    <w:p w:rsidR="002C2CC2" w:rsidRDefault="002C2CC2">
      <w:pPr>
        <w:pBdr>
          <w:top w:val="nil"/>
          <w:left w:val="nil"/>
          <w:bottom w:val="nil"/>
          <w:right w:val="nil"/>
          <w:between w:val="nil"/>
        </w:pBdr>
        <w:jc w:val="both"/>
        <w:rPr>
          <w:rFonts w:ascii="Arial" w:eastAsia="Arial" w:hAnsi="Arial" w:cs="Arial"/>
          <w:i/>
          <w:color w:val="000000"/>
          <w:sz w:val="18"/>
          <w:szCs w:val="18"/>
        </w:rPr>
      </w:pPr>
    </w:p>
    <w:p w:rsidR="002C2CC2" w:rsidRDefault="002C2CC2">
      <w:pPr>
        <w:pBdr>
          <w:top w:val="nil"/>
          <w:left w:val="nil"/>
          <w:bottom w:val="nil"/>
          <w:right w:val="nil"/>
          <w:between w:val="nil"/>
        </w:pBdr>
        <w:jc w:val="both"/>
        <w:rPr>
          <w:rFonts w:ascii="Arial" w:eastAsia="Arial" w:hAnsi="Arial" w:cs="Arial"/>
          <w:i/>
          <w:color w:val="000000"/>
          <w:sz w:val="18"/>
          <w:szCs w:val="18"/>
        </w:rPr>
      </w:pPr>
    </w:p>
    <w:p w:rsidR="002C2CC2" w:rsidRDefault="002C2CC2">
      <w:pPr>
        <w:pBdr>
          <w:top w:val="nil"/>
          <w:left w:val="nil"/>
          <w:bottom w:val="nil"/>
          <w:right w:val="nil"/>
          <w:between w:val="nil"/>
        </w:pBdr>
        <w:jc w:val="both"/>
        <w:rPr>
          <w:rFonts w:ascii="Arial" w:eastAsia="Arial" w:hAnsi="Arial" w:cs="Arial"/>
          <w:i/>
          <w:color w:val="000000"/>
          <w:sz w:val="18"/>
          <w:szCs w:val="18"/>
        </w:rPr>
      </w:pPr>
    </w:p>
    <w:p w:rsidR="002C2CC2" w:rsidRDefault="002C2CC2">
      <w:pPr>
        <w:pBdr>
          <w:top w:val="nil"/>
          <w:left w:val="nil"/>
          <w:bottom w:val="nil"/>
          <w:right w:val="nil"/>
          <w:between w:val="nil"/>
        </w:pBdr>
        <w:jc w:val="both"/>
        <w:rPr>
          <w:rFonts w:ascii="Arial" w:eastAsia="Arial" w:hAnsi="Arial" w:cs="Arial"/>
          <w:i/>
          <w:color w:val="000000"/>
          <w:sz w:val="18"/>
          <w:szCs w:val="18"/>
        </w:rPr>
      </w:pPr>
    </w:p>
    <w:p w:rsidR="002C2CC2" w:rsidRDefault="002C2CC2">
      <w:pPr>
        <w:pBdr>
          <w:top w:val="nil"/>
          <w:left w:val="nil"/>
          <w:bottom w:val="nil"/>
          <w:right w:val="nil"/>
          <w:between w:val="nil"/>
        </w:pBdr>
        <w:jc w:val="both"/>
        <w:rPr>
          <w:rFonts w:ascii="Arial" w:eastAsia="Arial" w:hAnsi="Arial" w:cs="Arial"/>
          <w:i/>
          <w:color w:val="000000"/>
          <w:sz w:val="18"/>
          <w:szCs w:val="18"/>
        </w:rPr>
      </w:pPr>
    </w:p>
    <w:p w:rsidR="002C2CC2" w:rsidRDefault="002C2CC2">
      <w:pPr>
        <w:pBdr>
          <w:top w:val="nil"/>
          <w:left w:val="nil"/>
          <w:bottom w:val="nil"/>
          <w:right w:val="nil"/>
          <w:between w:val="nil"/>
        </w:pBdr>
        <w:jc w:val="both"/>
        <w:rPr>
          <w:rFonts w:ascii="Arial" w:eastAsia="Arial" w:hAnsi="Arial" w:cs="Arial"/>
          <w:i/>
          <w:color w:val="000000"/>
          <w:sz w:val="18"/>
          <w:szCs w:val="18"/>
        </w:rPr>
      </w:pPr>
    </w:p>
    <w:p w:rsidR="002C2CC2" w:rsidRDefault="002C2CC2">
      <w:pPr>
        <w:pBdr>
          <w:top w:val="nil"/>
          <w:left w:val="nil"/>
          <w:bottom w:val="nil"/>
          <w:right w:val="nil"/>
          <w:between w:val="nil"/>
        </w:pBdr>
        <w:jc w:val="both"/>
        <w:rPr>
          <w:rFonts w:ascii="Arial" w:eastAsia="Arial" w:hAnsi="Arial" w:cs="Arial"/>
          <w:i/>
          <w:color w:val="000000"/>
          <w:sz w:val="18"/>
          <w:szCs w:val="18"/>
        </w:rPr>
      </w:pPr>
    </w:p>
    <w:p w:rsidR="002C2CC2" w:rsidRDefault="002C2CC2">
      <w:pPr>
        <w:pBdr>
          <w:top w:val="nil"/>
          <w:left w:val="nil"/>
          <w:bottom w:val="nil"/>
          <w:right w:val="nil"/>
          <w:between w:val="nil"/>
        </w:pBdr>
        <w:jc w:val="both"/>
        <w:rPr>
          <w:rFonts w:ascii="Arial" w:eastAsia="Arial" w:hAnsi="Arial" w:cs="Arial"/>
          <w:i/>
          <w:color w:val="000000"/>
          <w:sz w:val="18"/>
          <w:szCs w:val="18"/>
        </w:rPr>
      </w:pPr>
    </w:p>
    <w:p w:rsidR="002C2CC2" w:rsidRDefault="002C2CC2">
      <w:pPr>
        <w:pBdr>
          <w:top w:val="nil"/>
          <w:left w:val="nil"/>
          <w:bottom w:val="nil"/>
          <w:right w:val="nil"/>
          <w:between w:val="nil"/>
        </w:pBdr>
        <w:jc w:val="both"/>
        <w:rPr>
          <w:rFonts w:ascii="Arial" w:eastAsia="Arial" w:hAnsi="Arial" w:cs="Arial"/>
          <w:i/>
          <w:color w:val="000000"/>
          <w:sz w:val="18"/>
          <w:szCs w:val="18"/>
        </w:rPr>
      </w:pPr>
    </w:p>
    <w:p w:rsidR="002C2CC2" w:rsidRDefault="002C2CC2">
      <w:pPr>
        <w:pBdr>
          <w:top w:val="nil"/>
          <w:left w:val="nil"/>
          <w:bottom w:val="nil"/>
          <w:right w:val="nil"/>
          <w:between w:val="nil"/>
        </w:pBdr>
        <w:jc w:val="both"/>
        <w:rPr>
          <w:rFonts w:ascii="Arial" w:eastAsia="Arial" w:hAnsi="Arial" w:cs="Arial"/>
          <w:i/>
          <w:color w:val="000000"/>
          <w:sz w:val="18"/>
          <w:szCs w:val="18"/>
        </w:rPr>
      </w:pPr>
    </w:p>
    <w:p w:rsidR="002C2CC2" w:rsidRDefault="002C2CC2">
      <w:pPr>
        <w:pBdr>
          <w:top w:val="nil"/>
          <w:left w:val="nil"/>
          <w:bottom w:val="nil"/>
          <w:right w:val="nil"/>
          <w:between w:val="nil"/>
        </w:pBdr>
        <w:jc w:val="both"/>
        <w:rPr>
          <w:rFonts w:ascii="Arial" w:eastAsia="Arial" w:hAnsi="Arial" w:cs="Arial"/>
          <w:i/>
          <w:color w:val="000000"/>
        </w:rPr>
      </w:pPr>
    </w:p>
    <w:p w:rsidR="002C2CC2" w:rsidRDefault="002C2CC2">
      <w:pPr>
        <w:pBdr>
          <w:top w:val="nil"/>
          <w:left w:val="nil"/>
          <w:bottom w:val="nil"/>
          <w:right w:val="nil"/>
          <w:between w:val="nil"/>
        </w:pBdr>
        <w:jc w:val="both"/>
        <w:rPr>
          <w:rFonts w:ascii="Arial" w:eastAsia="Arial" w:hAnsi="Arial" w:cs="Arial"/>
          <w:i/>
          <w:color w:val="000000"/>
        </w:rPr>
      </w:pPr>
    </w:p>
    <w:p w:rsidR="002C2CC2" w:rsidRDefault="00333194">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lastRenderedPageBreak/>
        <w:t>1. INTRODUCTION</w:t>
      </w:r>
    </w:p>
    <w:p w:rsidR="002C2CC2" w:rsidRDefault="002C2CC2">
      <w:pPr>
        <w:keepNext/>
        <w:pBdr>
          <w:top w:val="nil"/>
          <w:left w:val="nil"/>
          <w:bottom w:val="nil"/>
          <w:right w:val="nil"/>
          <w:between w:val="nil"/>
        </w:pBdr>
        <w:jc w:val="both"/>
        <w:rPr>
          <w:rFonts w:ascii="Arial" w:eastAsia="Arial" w:hAnsi="Arial" w:cs="Arial"/>
          <w:b/>
          <w:smallCaps/>
          <w:color w:val="000000"/>
          <w:sz w:val="22"/>
          <w:szCs w:val="22"/>
        </w:rPr>
      </w:pPr>
    </w:p>
    <w:p w:rsidR="002C2CC2" w:rsidRDefault="0033319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Tuberculosis (TB) is a chronic, airborne infectious disease caused by the bacillus Mycobacterium tuberculosis. While it primarily affects the lungs (pulmonary TB), it can also disseminate to other organs, resulting in extrapulmonary TB (EPTB). Malaysia ranks 76th globally in TB burden and is classified as a medium-to-low endemic country. The estimated annual incidence rate is approximately 81 cases per 100,000 population, with a mortality rate of 4.9 per 100,000 </w:t>
      </w:r>
      <w:proofErr w:type="gramStart"/>
      <w:r>
        <w:rPr>
          <w:rFonts w:ascii="Arial" w:eastAsia="Arial" w:hAnsi="Arial" w:cs="Arial"/>
          <w:sz w:val="22"/>
          <w:szCs w:val="22"/>
        </w:rPr>
        <w:t>population.[</w:t>
      </w:r>
      <w:proofErr w:type="gramEnd"/>
      <w:r>
        <w:rPr>
          <w:rFonts w:ascii="Arial" w:eastAsia="Arial" w:hAnsi="Arial" w:cs="Arial"/>
          <w:sz w:val="22"/>
          <w:szCs w:val="22"/>
        </w:rPr>
        <w:t>1]</w:t>
      </w:r>
    </w:p>
    <w:p w:rsidR="002C2CC2" w:rsidRDefault="002C2CC2">
      <w:pPr>
        <w:pBdr>
          <w:top w:val="nil"/>
          <w:left w:val="nil"/>
          <w:bottom w:val="nil"/>
          <w:right w:val="nil"/>
          <w:between w:val="nil"/>
        </w:pBdr>
        <w:spacing w:line="276" w:lineRule="auto"/>
        <w:jc w:val="both"/>
        <w:rPr>
          <w:rFonts w:ascii="Arial" w:eastAsia="Arial" w:hAnsi="Arial" w:cs="Arial"/>
          <w:sz w:val="22"/>
          <w:szCs w:val="22"/>
        </w:rPr>
      </w:pPr>
    </w:p>
    <w:p w:rsidR="002C2CC2" w:rsidRDefault="0033319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Among the various forms of EPTB, genitourinary tuberculosis (GUTB) accounts for approximately 10–14% of cases.[2] Within the genitourinary tract, TB most commonly involves the kidneys, seminal vesicles, and epididymis, whereas prostatic involvement is relatively rare.[3] Prostatic tuberculosis (PTB) often presents a diagnostic challenge due to its nonspecific clinical features, which can closely mimic prostatic malignancy. Patients may present with lower urinary tract symptoms (LUTS), and elevated prostate-specific antigen (PSA) levels—both of which can lead to a presumptive diagnosis of prostate </w:t>
      </w:r>
      <w:proofErr w:type="gramStart"/>
      <w:r>
        <w:rPr>
          <w:rFonts w:ascii="Arial" w:eastAsia="Arial" w:hAnsi="Arial" w:cs="Arial"/>
          <w:sz w:val="22"/>
          <w:szCs w:val="22"/>
        </w:rPr>
        <w:t>cancer.[</w:t>
      </w:r>
      <w:proofErr w:type="gramEnd"/>
      <w:r>
        <w:rPr>
          <w:rFonts w:ascii="Arial" w:eastAsia="Arial" w:hAnsi="Arial" w:cs="Arial"/>
          <w:sz w:val="22"/>
          <w:szCs w:val="22"/>
        </w:rPr>
        <w:t>4]</w:t>
      </w:r>
    </w:p>
    <w:p w:rsidR="002C2CC2" w:rsidRDefault="002C2CC2">
      <w:pPr>
        <w:pBdr>
          <w:top w:val="nil"/>
          <w:left w:val="nil"/>
          <w:bottom w:val="nil"/>
          <w:right w:val="nil"/>
          <w:between w:val="nil"/>
        </w:pBdr>
        <w:spacing w:line="276" w:lineRule="auto"/>
        <w:jc w:val="both"/>
        <w:rPr>
          <w:rFonts w:ascii="Arial" w:eastAsia="Arial" w:hAnsi="Arial" w:cs="Arial"/>
          <w:sz w:val="22"/>
          <w:szCs w:val="22"/>
        </w:rPr>
      </w:pPr>
    </w:p>
    <w:p w:rsidR="002C2CC2" w:rsidRDefault="0033319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In most instances, PTB is diagnosed incidentally during intraoperative, microbiology and histopathological evaluation following transurethral resection of the prostate (TURP) performed for presumed benign prostatic hyperplasia or suspected malignancy.[5] Because of its rarity and lack of specific clinical signs, PTB is often associated with delayed diagnosis and subsequent initiation of appropriate treatment.</w:t>
      </w:r>
    </w:p>
    <w:p w:rsidR="002C2CC2" w:rsidRDefault="002C2CC2">
      <w:pPr>
        <w:pBdr>
          <w:top w:val="nil"/>
          <w:left w:val="nil"/>
          <w:bottom w:val="nil"/>
          <w:right w:val="nil"/>
          <w:between w:val="nil"/>
        </w:pBdr>
        <w:spacing w:line="276" w:lineRule="auto"/>
        <w:jc w:val="both"/>
        <w:rPr>
          <w:rFonts w:ascii="Arial" w:eastAsia="Arial" w:hAnsi="Arial" w:cs="Arial"/>
          <w:sz w:val="22"/>
          <w:szCs w:val="22"/>
        </w:rPr>
      </w:pPr>
    </w:p>
    <w:p w:rsidR="002C2CC2" w:rsidRDefault="0033319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Well-documented predisposing factors for the development of extrapulmonary TB include prolonged corticosteroid use, immunosuppressive therapy, HIV infection, and other medical conditions that compromise cell-mediated immunity.[4] However, PTB can occasionally occur in immunocompetent individuals without any apparent risk factors.</w:t>
      </w:r>
    </w:p>
    <w:p w:rsidR="002C2CC2" w:rsidRDefault="002C2CC2">
      <w:pPr>
        <w:pBdr>
          <w:top w:val="nil"/>
          <w:left w:val="nil"/>
          <w:bottom w:val="nil"/>
          <w:right w:val="nil"/>
          <w:between w:val="nil"/>
        </w:pBdr>
        <w:spacing w:line="276" w:lineRule="auto"/>
        <w:jc w:val="both"/>
        <w:rPr>
          <w:rFonts w:ascii="Arial" w:eastAsia="Arial" w:hAnsi="Arial" w:cs="Arial"/>
          <w:sz w:val="22"/>
          <w:szCs w:val="22"/>
        </w:rPr>
      </w:pPr>
    </w:p>
    <w:p w:rsidR="002C2CC2" w:rsidRDefault="0033319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Here, we report a rare case of isolated prostatic tuberculosis in a young, healthy male with no known comorbidities, who initially presented with right-sided </w:t>
      </w:r>
      <w:proofErr w:type="spellStart"/>
      <w:r>
        <w:rPr>
          <w:rFonts w:ascii="Arial" w:eastAsia="Arial" w:hAnsi="Arial" w:cs="Arial"/>
          <w:sz w:val="22"/>
          <w:szCs w:val="22"/>
        </w:rPr>
        <w:t>epididymo</w:t>
      </w:r>
      <w:proofErr w:type="spellEnd"/>
      <w:r>
        <w:rPr>
          <w:rFonts w:ascii="Arial" w:eastAsia="Arial" w:hAnsi="Arial" w:cs="Arial"/>
          <w:sz w:val="22"/>
          <w:szCs w:val="22"/>
        </w:rPr>
        <w:t>-orchitis.</w:t>
      </w: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color w:val="000000"/>
        </w:rPr>
      </w:pPr>
    </w:p>
    <w:p w:rsidR="002C2CC2" w:rsidRDefault="00333194">
      <w:pPr>
        <w:keepNext/>
        <w:pBdr>
          <w:top w:val="nil"/>
          <w:left w:val="nil"/>
          <w:bottom w:val="nil"/>
          <w:right w:val="nil"/>
          <w:between w:val="nil"/>
        </w:pBdr>
        <w:jc w:val="both"/>
        <w:rPr>
          <w:rFonts w:ascii="Arial" w:eastAsia="Arial" w:hAnsi="Arial" w:cs="Arial"/>
          <w:b/>
          <w:smallCaps/>
          <w:color w:val="000000"/>
        </w:rPr>
      </w:pPr>
      <w:r>
        <w:rPr>
          <w:rFonts w:ascii="Arial" w:eastAsia="Arial" w:hAnsi="Arial" w:cs="Arial"/>
          <w:b/>
          <w:smallCaps/>
          <w:color w:val="000000"/>
          <w:sz w:val="22"/>
          <w:szCs w:val="22"/>
        </w:rPr>
        <w:lastRenderedPageBreak/>
        <w:t xml:space="preserve">2. </w:t>
      </w:r>
      <w:r>
        <w:rPr>
          <w:rFonts w:ascii="Arial" w:eastAsia="Arial" w:hAnsi="Arial" w:cs="Arial"/>
          <w:b/>
          <w:smallCaps/>
          <w:color w:val="000000"/>
        </w:rPr>
        <w:t>CASE REPORT</w:t>
      </w:r>
    </w:p>
    <w:p w:rsidR="002C2CC2" w:rsidRDefault="002C2CC2">
      <w:pPr>
        <w:keepNext/>
        <w:pBdr>
          <w:top w:val="nil"/>
          <w:left w:val="nil"/>
          <w:bottom w:val="nil"/>
          <w:right w:val="nil"/>
          <w:between w:val="nil"/>
        </w:pBdr>
        <w:jc w:val="both"/>
        <w:rPr>
          <w:rFonts w:ascii="Arial" w:eastAsia="Arial" w:hAnsi="Arial" w:cs="Arial"/>
          <w:b/>
          <w:smallCaps/>
          <w:color w:val="000000"/>
          <w:sz w:val="22"/>
          <w:szCs w:val="22"/>
        </w:rPr>
      </w:pPr>
    </w:p>
    <w:p w:rsidR="002C2CC2" w:rsidRDefault="00333194">
      <w:pPr>
        <w:spacing w:line="276" w:lineRule="auto"/>
        <w:jc w:val="both"/>
        <w:rPr>
          <w:rFonts w:ascii="Arial" w:eastAsia="Arial" w:hAnsi="Arial" w:cs="Arial"/>
        </w:rPr>
      </w:pPr>
      <w:r>
        <w:rPr>
          <w:rFonts w:ascii="Arial" w:eastAsia="Arial" w:hAnsi="Arial" w:cs="Arial"/>
        </w:rPr>
        <w:t>A 28-year-old previously healthy gentleman from the state of Sabah, Malaysia, presented to the Emergency Department with a three-day history of right testicular swelling and pain, associated with high-grade fever. He denied any history of trauma, high-risk sexual behavior, or recent genitourinary instrumentation. There was no personal or family history of tuberculosis or malignancy.</w:t>
      </w:r>
    </w:p>
    <w:p w:rsidR="002C2CC2" w:rsidRDefault="002C2CC2">
      <w:pPr>
        <w:spacing w:line="276" w:lineRule="auto"/>
        <w:jc w:val="both"/>
        <w:rPr>
          <w:rFonts w:ascii="Arial" w:eastAsia="Arial" w:hAnsi="Arial" w:cs="Arial"/>
        </w:rPr>
      </w:pPr>
    </w:p>
    <w:p w:rsidR="002C2CC2" w:rsidRDefault="00333194">
      <w:pPr>
        <w:spacing w:line="276" w:lineRule="auto"/>
        <w:jc w:val="both"/>
        <w:rPr>
          <w:rFonts w:ascii="Arial" w:eastAsia="Arial" w:hAnsi="Arial" w:cs="Arial"/>
        </w:rPr>
      </w:pPr>
      <w:r>
        <w:rPr>
          <w:rFonts w:ascii="Arial" w:eastAsia="Arial" w:hAnsi="Arial" w:cs="Arial"/>
        </w:rPr>
        <w:t xml:space="preserve">On physical examination, the right </w:t>
      </w:r>
      <w:proofErr w:type="spellStart"/>
      <w:r>
        <w:rPr>
          <w:rFonts w:ascii="Arial" w:eastAsia="Arial" w:hAnsi="Arial" w:cs="Arial"/>
        </w:rPr>
        <w:t>hemiscrotum</w:t>
      </w:r>
      <w:proofErr w:type="spellEnd"/>
      <w:r>
        <w:rPr>
          <w:rFonts w:ascii="Arial" w:eastAsia="Arial" w:hAnsi="Arial" w:cs="Arial"/>
        </w:rPr>
        <w:t xml:space="preserve"> appeared erythematous and edematous. The right testis was enlarged, tender, and smooth in consistency, without any palpable fluctuation to suggest abscess formation. No inguinal lymphadenopathy was noted.</w:t>
      </w:r>
    </w:p>
    <w:p w:rsidR="002C2CC2" w:rsidRDefault="002C2CC2">
      <w:pPr>
        <w:spacing w:line="276" w:lineRule="auto"/>
        <w:jc w:val="both"/>
        <w:rPr>
          <w:rFonts w:ascii="Arial" w:eastAsia="Arial" w:hAnsi="Arial" w:cs="Arial"/>
        </w:rPr>
      </w:pPr>
    </w:p>
    <w:p w:rsidR="002C2CC2" w:rsidRDefault="00333194">
      <w:pPr>
        <w:spacing w:line="276" w:lineRule="auto"/>
        <w:jc w:val="both"/>
        <w:rPr>
          <w:rFonts w:ascii="Arial" w:eastAsia="Arial" w:hAnsi="Arial" w:cs="Arial"/>
        </w:rPr>
      </w:pPr>
      <w:r>
        <w:rPr>
          <w:rFonts w:ascii="Arial" w:eastAsia="Arial" w:hAnsi="Arial" w:cs="Arial"/>
        </w:rPr>
        <w:t>Initial blood investigations revealed leukocytosis and elevated C-reactive protein (CRP) levels, indicating an acute inflammatory process. Renal function, liver enzymes, and other hematological parameters were within normal limits.</w:t>
      </w:r>
    </w:p>
    <w:p w:rsidR="002C2CC2" w:rsidRDefault="002C2CC2">
      <w:pPr>
        <w:spacing w:line="276" w:lineRule="auto"/>
        <w:jc w:val="both"/>
        <w:rPr>
          <w:rFonts w:ascii="Arial" w:eastAsia="Arial" w:hAnsi="Arial" w:cs="Arial"/>
        </w:rPr>
      </w:pPr>
    </w:p>
    <w:p w:rsidR="002C2CC2" w:rsidRDefault="00333194">
      <w:pPr>
        <w:spacing w:line="276" w:lineRule="auto"/>
        <w:jc w:val="both"/>
        <w:rPr>
          <w:rFonts w:ascii="Arial" w:eastAsia="Arial" w:hAnsi="Arial" w:cs="Arial"/>
        </w:rPr>
      </w:pPr>
      <w:r>
        <w:rPr>
          <w:rFonts w:ascii="Arial" w:eastAsia="Arial" w:hAnsi="Arial" w:cs="Arial"/>
        </w:rPr>
        <w:t xml:space="preserve">An urgent scrotal ultrasound demonstrated findings consistent with right </w:t>
      </w:r>
      <w:proofErr w:type="spellStart"/>
      <w:r>
        <w:rPr>
          <w:rFonts w:ascii="Arial" w:eastAsia="Arial" w:hAnsi="Arial" w:cs="Arial"/>
        </w:rPr>
        <w:t>epididymo</w:t>
      </w:r>
      <w:proofErr w:type="spellEnd"/>
      <w:r>
        <w:rPr>
          <w:rFonts w:ascii="Arial" w:eastAsia="Arial" w:hAnsi="Arial" w:cs="Arial"/>
        </w:rPr>
        <w:t xml:space="preserve">-orchitis. Both testes showed preserved Doppler flow, and no evidence of testicular abscess or torsion was identified. Empirical antibiotic therapy with oral doxycycline was initiated, targeting common pathogens associated with </w:t>
      </w:r>
      <w:proofErr w:type="spellStart"/>
      <w:r>
        <w:rPr>
          <w:rFonts w:ascii="Arial" w:eastAsia="Arial" w:hAnsi="Arial" w:cs="Arial"/>
        </w:rPr>
        <w:t>epididymo</w:t>
      </w:r>
      <w:proofErr w:type="spellEnd"/>
      <w:r>
        <w:rPr>
          <w:rFonts w:ascii="Arial" w:eastAsia="Arial" w:hAnsi="Arial" w:cs="Arial"/>
        </w:rPr>
        <w:t>-orchitis in young men.</w:t>
      </w:r>
    </w:p>
    <w:p w:rsidR="002C2CC2" w:rsidRDefault="002C2CC2">
      <w:pPr>
        <w:spacing w:line="276" w:lineRule="auto"/>
        <w:jc w:val="both"/>
        <w:rPr>
          <w:rFonts w:ascii="Arial" w:eastAsia="Arial" w:hAnsi="Arial" w:cs="Arial"/>
        </w:rPr>
      </w:pPr>
    </w:p>
    <w:p w:rsidR="002C2CC2" w:rsidRDefault="00333194">
      <w:pPr>
        <w:spacing w:line="276" w:lineRule="auto"/>
        <w:jc w:val="both"/>
        <w:rPr>
          <w:rFonts w:ascii="Arial" w:eastAsia="Arial" w:hAnsi="Arial" w:cs="Arial"/>
        </w:rPr>
      </w:pPr>
      <w:r>
        <w:rPr>
          <w:rFonts w:ascii="Arial" w:eastAsia="Arial" w:hAnsi="Arial" w:cs="Arial"/>
        </w:rPr>
        <w:t>However, due to persistent febrile episodes and lack of clinical improvement, the antibiotic regimen was escalated to intravenous ceftriaxone. Despite this, the patient’s symptoms remained unresolved. A contrast-enhanced CT (CECT) of the abdomen and pelvis was performed to investigate possible deep-seated infections or complications.</w:t>
      </w:r>
    </w:p>
    <w:p w:rsidR="002C2CC2" w:rsidRDefault="002C2CC2">
      <w:pPr>
        <w:spacing w:line="276" w:lineRule="auto"/>
        <w:jc w:val="both"/>
        <w:rPr>
          <w:rFonts w:ascii="Arial" w:eastAsia="Arial" w:hAnsi="Arial" w:cs="Arial"/>
        </w:rPr>
      </w:pPr>
    </w:p>
    <w:p w:rsidR="002C2CC2" w:rsidRDefault="00333194">
      <w:pPr>
        <w:spacing w:line="276" w:lineRule="auto"/>
        <w:jc w:val="both"/>
        <w:rPr>
          <w:rFonts w:ascii="Arial" w:eastAsia="Arial" w:hAnsi="Arial" w:cs="Arial"/>
        </w:rPr>
      </w:pPr>
      <w:r>
        <w:rPr>
          <w:rFonts w:ascii="Arial" w:eastAsia="Arial" w:hAnsi="Arial" w:cs="Arial"/>
        </w:rPr>
        <w:t>Imaging revealed a significant multiloculated prostatic abscess involving both lobes of the prostate, measuring approximately 5.0 × 6.0 cm. Additionally, a small intraperitoneal collection, measuring 2.3 × 3.0 cm, was identified in the pelvic cavity. The intraperitoneal abscess was not amenable to percutaneous drainage due to its size and location.</w:t>
      </w:r>
    </w:p>
    <w:p w:rsidR="002C2CC2" w:rsidRDefault="002C2CC2">
      <w:pPr>
        <w:spacing w:line="276" w:lineRule="auto"/>
        <w:jc w:val="both"/>
        <w:rPr>
          <w:rFonts w:ascii="Arial" w:eastAsia="Arial" w:hAnsi="Arial" w:cs="Arial"/>
        </w:rPr>
      </w:pPr>
    </w:p>
    <w:p w:rsidR="002C2CC2" w:rsidRDefault="00333194">
      <w:pPr>
        <w:spacing w:line="276" w:lineRule="auto"/>
        <w:jc w:val="both"/>
        <w:rPr>
          <w:rFonts w:ascii="Arial" w:eastAsia="Arial" w:hAnsi="Arial" w:cs="Arial"/>
        </w:rPr>
      </w:pPr>
      <w:r>
        <w:rPr>
          <w:rFonts w:ascii="Arial" w:eastAsia="Arial" w:hAnsi="Arial" w:cs="Arial"/>
        </w:rPr>
        <w:t xml:space="preserve">The patient subsequently underwent transurethral drainage of the prostatic abscess. Intraoperatively, purulent material was obtained and sent for microbiological and histopathological analysis. </w:t>
      </w:r>
      <w:proofErr w:type="spellStart"/>
      <w:r>
        <w:rPr>
          <w:rFonts w:ascii="Arial" w:eastAsia="Arial" w:hAnsi="Arial" w:cs="Arial"/>
        </w:rPr>
        <w:t>Ziehl-Neelsen</w:t>
      </w:r>
      <w:proofErr w:type="spellEnd"/>
      <w:r>
        <w:rPr>
          <w:rFonts w:ascii="Arial" w:eastAsia="Arial" w:hAnsi="Arial" w:cs="Arial"/>
        </w:rPr>
        <w:t xml:space="preserve"> staining of the pus demonstrated acid-fast bacilli (AFB), and histopathological examination of the prostatic tissue revealed necrotizing granulomatous inflammation—findings consistent with tuberculosis.</w:t>
      </w:r>
    </w:p>
    <w:p w:rsidR="002C2CC2" w:rsidRDefault="002C2CC2">
      <w:pPr>
        <w:spacing w:line="276" w:lineRule="auto"/>
        <w:jc w:val="both"/>
        <w:rPr>
          <w:rFonts w:ascii="Arial" w:eastAsia="Arial" w:hAnsi="Arial" w:cs="Arial"/>
        </w:rPr>
      </w:pPr>
    </w:p>
    <w:p w:rsidR="002C2CC2" w:rsidRDefault="00333194">
      <w:pPr>
        <w:spacing w:line="276" w:lineRule="auto"/>
        <w:jc w:val="both"/>
        <w:rPr>
          <w:rFonts w:ascii="Arial" w:eastAsia="Arial" w:hAnsi="Arial" w:cs="Arial"/>
        </w:rPr>
      </w:pPr>
      <w:r>
        <w:rPr>
          <w:rFonts w:ascii="Arial" w:eastAsia="Arial" w:hAnsi="Arial" w:cs="Arial"/>
        </w:rPr>
        <w:t xml:space="preserve">In light of these results, a diagnosis of prostatic tuberculosis was established, and standard anti-tuberculous therapy (ATT) was initiated. The patient demonstrated marked clinical improvement following the commencement of ATT, with resolution of testicular swelling, </w:t>
      </w:r>
      <w:proofErr w:type="spellStart"/>
      <w:r>
        <w:rPr>
          <w:rFonts w:ascii="Arial" w:eastAsia="Arial" w:hAnsi="Arial" w:cs="Arial"/>
        </w:rPr>
        <w:t>defervescence</w:t>
      </w:r>
      <w:proofErr w:type="spellEnd"/>
      <w:r>
        <w:rPr>
          <w:rFonts w:ascii="Arial" w:eastAsia="Arial" w:hAnsi="Arial" w:cs="Arial"/>
        </w:rPr>
        <w:t>, and gradual normalization of inflammatory markers.</w:t>
      </w:r>
    </w:p>
    <w:p w:rsidR="002C2CC2" w:rsidRDefault="002C2CC2">
      <w:pPr>
        <w:spacing w:line="276" w:lineRule="auto"/>
        <w:jc w:val="both"/>
        <w:rPr>
          <w:rFonts w:ascii="Arial" w:eastAsia="Arial" w:hAnsi="Arial" w:cs="Arial"/>
        </w:rPr>
      </w:pPr>
    </w:p>
    <w:p w:rsidR="002C2CC2" w:rsidRDefault="00333194">
      <w:pPr>
        <w:spacing w:line="276" w:lineRule="auto"/>
        <w:jc w:val="both"/>
        <w:rPr>
          <w:rFonts w:ascii="Arial" w:eastAsia="Arial" w:hAnsi="Arial" w:cs="Arial"/>
          <w:sz w:val="18"/>
          <w:szCs w:val="18"/>
        </w:rPr>
      </w:pPr>
      <w:r>
        <w:rPr>
          <w:rFonts w:ascii="Arial" w:eastAsia="Arial" w:hAnsi="Arial" w:cs="Arial"/>
        </w:rPr>
        <w:t>A follow-up CT scan performed several weeks into therapy showed significant resolution of both the prostatic and intraperitoneal collections, confirming a favorable response to treatment.</w:t>
      </w:r>
    </w:p>
    <w:p w:rsidR="002C2CC2" w:rsidRDefault="002C2CC2">
      <w:pPr>
        <w:pBdr>
          <w:top w:val="nil"/>
          <w:left w:val="nil"/>
          <w:bottom w:val="nil"/>
          <w:right w:val="nil"/>
          <w:between w:val="nil"/>
        </w:pBdr>
        <w:jc w:val="both"/>
        <w:rPr>
          <w:rFonts w:ascii="Arial" w:eastAsia="Arial" w:hAnsi="Arial" w:cs="Arial"/>
          <w:color w:val="000000"/>
        </w:rPr>
      </w:pPr>
    </w:p>
    <w:p w:rsidR="002C2CC2" w:rsidRDefault="002C2CC2">
      <w:pPr>
        <w:pBdr>
          <w:top w:val="nil"/>
          <w:left w:val="nil"/>
          <w:bottom w:val="nil"/>
          <w:right w:val="nil"/>
          <w:between w:val="nil"/>
        </w:pBdr>
        <w:jc w:val="both"/>
        <w:rPr>
          <w:rFonts w:ascii="Arial" w:eastAsia="Arial" w:hAnsi="Arial" w:cs="Arial"/>
          <w:color w:val="000000"/>
        </w:rPr>
      </w:pPr>
    </w:p>
    <w:p w:rsidR="002C2CC2" w:rsidRDefault="00333194">
      <w:pPr>
        <w:pBdr>
          <w:top w:val="nil"/>
          <w:left w:val="nil"/>
          <w:bottom w:val="nil"/>
          <w:right w:val="nil"/>
          <w:between w:val="nil"/>
        </w:pBdr>
        <w:jc w:val="both"/>
        <w:rPr>
          <w:rFonts w:ascii="Arial" w:eastAsia="Arial" w:hAnsi="Arial" w:cs="Arial"/>
          <w:color w:val="000000"/>
        </w:rPr>
      </w:pPr>
      <w:r>
        <w:rPr>
          <w:noProof/>
          <w:lang w:val="en-US"/>
        </w:rPr>
        <w:lastRenderedPageBreak/>
        <w:drawing>
          <wp:anchor distT="0" distB="0" distL="114300" distR="114300" simplePos="0" relativeHeight="251658240" behindDoc="0" locked="0" layoutInCell="1" hidden="0" allowOverlap="1">
            <wp:simplePos x="0" y="0"/>
            <wp:positionH relativeFrom="column">
              <wp:posOffset>662939</wp:posOffset>
            </wp:positionH>
            <wp:positionV relativeFrom="paragraph">
              <wp:posOffset>0</wp:posOffset>
            </wp:positionV>
            <wp:extent cx="3886200" cy="2482215"/>
            <wp:effectExtent l="0" t="0" r="0" b="0"/>
            <wp:wrapTopAndBottom distT="0" distB="0"/>
            <wp:docPr id="14" name="image3.jpg" descr="https://lh7-rt.googleusercontent.com/docsz/AD_4nXesXd-t00HGTyry3gAqTlb4kjJPzcWbggGnkZDq9xwPm6t2dAUwqGYoLK8b1kG97ckMluOU4h2vHN8K3eJlJ8AsCoS5_VbxapTAdwnWRkgATq66v2L4KwJ4zVt0FqXLMvnBuDuDq6M1Nr_J5aJrZomMIr5W?key=LA1q4DgOx37_nKLrH9Cp9g"/>
            <wp:cNvGraphicFramePr/>
            <a:graphic xmlns:a="http://schemas.openxmlformats.org/drawingml/2006/main">
              <a:graphicData uri="http://schemas.openxmlformats.org/drawingml/2006/picture">
                <pic:pic xmlns:pic="http://schemas.openxmlformats.org/drawingml/2006/picture">
                  <pic:nvPicPr>
                    <pic:cNvPr id="0" name="image3.jpg" descr="https://lh7-rt.googleusercontent.com/docsz/AD_4nXesXd-t00HGTyry3gAqTlb4kjJPzcWbggGnkZDq9xwPm6t2dAUwqGYoLK8b1kG97ckMluOU4h2vHN8K3eJlJ8AsCoS5_VbxapTAdwnWRkgATq66v2L4KwJ4zVt0FqXLMvnBuDuDq6M1Nr_J5aJrZomMIr5W?key=LA1q4DgOx37_nKLrH9Cp9g"/>
                    <pic:cNvPicPr preferRelativeResize="0"/>
                  </pic:nvPicPr>
                  <pic:blipFill>
                    <a:blip r:embed="rId15"/>
                    <a:srcRect/>
                    <a:stretch>
                      <a:fillRect/>
                    </a:stretch>
                  </pic:blipFill>
                  <pic:spPr>
                    <a:xfrm>
                      <a:off x="0" y="0"/>
                      <a:ext cx="3886200" cy="2482215"/>
                    </a:xfrm>
                    <a:prstGeom prst="rect">
                      <a:avLst/>
                    </a:prstGeom>
                    <a:ln/>
                  </pic:spPr>
                </pic:pic>
              </a:graphicData>
            </a:graphic>
          </wp:anchor>
        </w:drawing>
      </w:r>
    </w:p>
    <w:p w:rsidR="002C2CC2" w:rsidRDefault="00333194">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Figure 1: CECT Abdomen and Pelvis. (Axial view)</w:t>
      </w:r>
    </w:p>
    <w:p w:rsidR="002C2CC2" w:rsidRDefault="002C2CC2">
      <w:pPr>
        <w:pBdr>
          <w:top w:val="nil"/>
          <w:left w:val="nil"/>
          <w:bottom w:val="nil"/>
          <w:right w:val="nil"/>
          <w:between w:val="nil"/>
        </w:pBdr>
        <w:jc w:val="center"/>
        <w:rPr>
          <w:rFonts w:ascii="Arial" w:eastAsia="Arial" w:hAnsi="Arial" w:cs="Arial"/>
        </w:rPr>
      </w:pPr>
    </w:p>
    <w:p w:rsidR="002C2CC2" w:rsidRDefault="002C2CC2">
      <w:pPr>
        <w:pBdr>
          <w:top w:val="nil"/>
          <w:left w:val="nil"/>
          <w:bottom w:val="nil"/>
          <w:right w:val="nil"/>
          <w:between w:val="nil"/>
        </w:pBdr>
        <w:jc w:val="center"/>
        <w:rPr>
          <w:rFonts w:ascii="Arial" w:eastAsia="Arial" w:hAnsi="Arial" w:cs="Arial"/>
        </w:rPr>
      </w:pPr>
    </w:p>
    <w:p w:rsidR="002C2CC2" w:rsidRDefault="002C2CC2">
      <w:pPr>
        <w:pBdr>
          <w:top w:val="nil"/>
          <w:left w:val="nil"/>
          <w:bottom w:val="nil"/>
          <w:right w:val="nil"/>
          <w:between w:val="nil"/>
        </w:pBdr>
        <w:jc w:val="center"/>
        <w:rPr>
          <w:rFonts w:ascii="Arial" w:eastAsia="Arial" w:hAnsi="Arial" w:cs="Arial"/>
        </w:rPr>
      </w:pPr>
    </w:p>
    <w:p w:rsidR="002C2CC2" w:rsidRDefault="002C2CC2">
      <w:pPr>
        <w:pBdr>
          <w:top w:val="nil"/>
          <w:left w:val="nil"/>
          <w:bottom w:val="nil"/>
          <w:right w:val="nil"/>
          <w:between w:val="nil"/>
        </w:pBdr>
        <w:jc w:val="center"/>
        <w:rPr>
          <w:rFonts w:ascii="Arial" w:eastAsia="Arial" w:hAnsi="Arial" w:cs="Arial"/>
        </w:rPr>
      </w:pPr>
    </w:p>
    <w:p w:rsidR="002C2CC2" w:rsidRDefault="002C2CC2">
      <w:pPr>
        <w:pBdr>
          <w:top w:val="nil"/>
          <w:left w:val="nil"/>
          <w:bottom w:val="nil"/>
          <w:right w:val="nil"/>
          <w:between w:val="nil"/>
        </w:pBdr>
        <w:jc w:val="center"/>
        <w:rPr>
          <w:rFonts w:ascii="Arial" w:eastAsia="Arial" w:hAnsi="Arial" w:cs="Arial"/>
        </w:rPr>
      </w:pPr>
    </w:p>
    <w:p w:rsidR="002C2CC2" w:rsidRDefault="002C2CC2">
      <w:pPr>
        <w:pBdr>
          <w:top w:val="nil"/>
          <w:left w:val="nil"/>
          <w:bottom w:val="nil"/>
          <w:right w:val="nil"/>
          <w:between w:val="nil"/>
        </w:pBdr>
        <w:jc w:val="center"/>
        <w:rPr>
          <w:rFonts w:ascii="Arial" w:eastAsia="Arial" w:hAnsi="Arial" w:cs="Arial"/>
        </w:rPr>
      </w:pPr>
    </w:p>
    <w:p w:rsidR="002C2CC2" w:rsidRDefault="002C2CC2">
      <w:pPr>
        <w:pBdr>
          <w:top w:val="nil"/>
          <w:left w:val="nil"/>
          <w:bottom w:val="nil"/>
          <w:right w:val="nil"/>
          <w:between w:val="nil"/>
        </w:pBdr>
        <w:jc w:val="center"/>
        <w:rPr>
          <w:rFonts w:ascii="Arial" w:eastAsia="Arial" w:hAnsi="Arial" w:cs="Arial"/>
        </w:rPr>
      </w:pPr>
    </w:p>
    <w:p w:rsidR="002C2CC2" w:rsidRDefault="002C2CC2">
      <w:pPr>
        <w:pBdr>
          <w:top w:val="nil"/>
          <w:left w:val="nil"/>
          <w:bottom w:val="nil"/>
          <w:right w:val="nil"/>
          <w:between w:val="nil"/>
        </w:pBdr>
        <w:jc w:val="center"/>
        <w:rPr>
          <w:rFonts w:ascii="Arial" w:eastAsia="Arial" w:hAnsi="Arial" w:cs="Arial"/>
        </w:rPr>
      </w:pPr>
    </w:p>
    <w:p w:rsidR="002C2CC2" w:rsidRDefault="00333194">
      <w:pPr>
        <w:pBdr>
          <w:top w:val="nil"/>
          <w:left w:val="nil"/>
          <w:bottom w:val="nil"/>
          <w:right w:val="nil"/>
          <w:between w:val="nil"/>
        </w:pBdr>
        <w:jc w:val="center"/>
        <w:rPr>
          <w:rFonts w:ascii="Arial" w:eastAsia="Arial" w:hAnsi="Arial" w:cs="Arial"/>
          <w:color w:val="000000"/>
        </w:rPr>
      </w:pPr>
      <w:r>
        <w:rPr>
          <w:noProof/>
          <w:lang w:val="en-US"/>
        </w:rPr>
        <w:drawing>
          <wp:anchor distT="0" distB="0" distL="114300" distR="114300" simplePos="0" relativeHeight="251659264" behindDoc="0" locked="0" layoutInCell="1" hidden="0" allowOverlap="1">
            <wp:simplePos x="0" y="0"/>
            <wp:positionH relativeFrom="column">
              <wp:posOffset>1272540</wp:posOffset>
            </wp:positionH>
            <wp:positionV relativeFrom="paragraph">
              <wp:posOffset>0</wp:posOffset>
            </wp:positionV>
            <wp:extent cx="2657475" cy="2847975"/>
            <wp:effectExtent l="0" t="0" r="0" b="0"/>
            <wp:wrapTopAndBottom distT="0" distB="0"/>
            <wp:docPr id="13" name="image1.jpg" descr="https://lh7-rt.googleusercontent.com/docsz/AD_4nXf9pShDb4ZgVou7O7jJvKYjHETfg8SMLHVWV58Uzl7oXpGoMNsaMI0vzY9ZQDGrQkpsPcpeWi5KbblHmL7v-_a5VunRs3_QQ6HWyF8StS905WnEl5q-CONkRN36VPFPdWUBxozU9ZPkvcGl28TrWilIlbrW?key=LA1q4DgOx37_nKLrH9Cp9g"/>
            <wp:cNvGraphicFramePr/>
            <a:graphic xmlns:a="http://schemas.openxmlformats.org/drawingml/2006/main">
              <a:graphicData uri="http://schemas.openxmlformats.org/drawingml/2006/picture">
                <pic:pic xmlns:pic="http://schemas.openxmlformats.org/drawingml/2006/picture">
                  <pic:nvPicPr>
                    <pic:cNvPr id="0" name="image1.jpg" descr="https://lh7-rt.googleusercontent.com/docsz/AD_4nXf9pShDb4ZgVou7O7jJvKYjHETfg8SMLHVWV58Uzl7oXpGoMNsaMI0vzY9ZQDGrQkpsPcpeWi5KbblHmL7v-_a5VunRs3_QQ6HWyF8StS905WnEl5q-CONkRN36VPFPdWUBxozU9ZPkvcGl28TrWilIlbrW?key=LA1q4DgOx37_nKLrH9Cp9g"/>
                    <pic:cNvPicPr preferRelativeResize="0"/>
                  </pic:nvPicPr>
                  <pic:blipFill>
                    <a:blip r:embed="rId16"/>
                    <a:srcRect/>
                    <a:stretch>
                      <a:fillRect/>
                    </a:stretch>
                  </pic:blipFill>
                  <pic:spPr>
                    <a:xfrm>
                      <a:off x="0" y="0"/>
                      <a:ext cx="2657475" cy="2847975"/>
                    </a:xfrm>
                    <a:prstGeom prst="rect">
                      <a:avLst/>
                    </a:prstGeom>
                    <a:ln/>
                  </pic:spPr>
                </pic:pic>
              </a:graphicData>
            </a:graphic>
          </wp:anchor>
        </w:drawing>
      </w:r>
    </w:p>
    <w:p w:rsidR="002C2CC2" w:rsidRDefault="00333194">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Figure 2: CECT Abdomen and Pelvis. (Coronal view)</w:t>
      </w:r>
    </w:p>
    <w:p w:rsidR="002C2CC2" w:rsidRDefault="002C2CC2">
      <w:pPr>
        <w:pBdr>
          <w:top w:val="nil"/>
          <w:left w:val="nil"/>
          <w:bottom w:val="nil"/>
          <w:right w:val="nil"/>
          <w:between w:val="nil"/>
        </w:pBdr>
        <w:jc w:val="center"/>
        <w:rPr>
          <w:rFonts w:ascii="Arial" w:eastAsia="Arial" w:hAnsi="Arial" w:cs="Arial"/>
          <w:b/>
          <w:color w:val="000000"/>
        </w:rPr>
      </w:pPr>
    </w:p>
    <w:p w:rsidR="002C2CC2" w:rsidRDefault="002C2CC2">
      <w:pPr>
        <w:pBdr>
          <w:top w:val="nil"/>
          <w:left w:val="nil"/>
          <w:bottom w:val="nil"/>
          <w:right w:val="nil"/>
          <w:between w:val="nil"/>
        </w:pBdr>
        <w:jc w:val="center"/>
        <w:rPr>
          <w:rFonts w:ascii="Arial" w:eastAsia="Arial" w:hAnsi="Arial" w:cs="Arial"/>
          <w:b/>
          <w:color w:val="000000"/>
        </w:rPr>
      </w:pPr>
    </w:p>
    <w:p w:rsidR="002C2CC2" w:rsidRDefault="002C2CC2">
      <w:pPr>
        <w:pBdr>
          <w:top w:val="nil"/>
          <w:left w:val="nil"/>
          <w:bottom w:val="nil"/>
          <w:right w:val="nil"/>
          <w:between w:val="nil"/>
        </w:pBdr>
        <w:jc w:val="center"/>
        <w:rPr>
          <w:rFonts w:ascii="Arial" w:eastAsia="Arial" w:hAnsi="Arial" w:cs="Arial"/>
          <w:b/>
          <w:color w:val="000000"/>
        </w:rPr>
      </w:pPr>
    </w:p>
    <w:p w:rsidR="002C2CC2" w:rsidRDefault="002C2CC2">
      <w:pPr>
        <w:pBdr>
          <w:top w:val="nil"/>
          <w:left w:val="nil"/>
          <w:bottom w:val="nil"/>
          <w:right w:val="nil"/>
          <w:between w:val="nil"/>
        </w:pBdr>
        <w:jc w:val="center"/>
        <w:rPr>
          <w:rFonts w:ascii="Arial" w:eastAsia="Arial" w:hAnsi="Arial" w:cs="Arial"/>
          <w:b/>
          <w:color w:val="000000"/>
        </w:rPr>
      </w:pPr>
    </w:p>
    <w:p w:rsidR="002C2CC2" w:rsidRDefault="002C2CC2">
      <w:pPr>
        <w:pBdr>
          <w:top w:val="nil"/>
          <w:left w:val="nil"/>
          <w:bottom w:val="nil"/>
          <w:right w:val="nil"/>
          <w:between w:val="nil"/>
        </w:pBdr>
        <w:jc w:val="center"/>
        <w:rPr>
          <w:rFonts w:ascii="Arial" w:eastAsia="Arial" w:hAnsi="Arial" w:cs="Arial"/>
          <w:b/>
          <w:color w:val="000000"/>
        </w:rPr>
      </w:pPr>
    </w:p>
    <w:p w:rsidR="002C2CC2" w:rsidRDefault="002C2CC2">
      <w:pPr>
        <w:pBdr>
          <w:top w:val="nil"/>
          <w:left w:val="nil"/>
          <w:bottom w:val="nil"/>
          <w:right w:val="nil"/>
          <w:between w:val="nil"/>
        </w:pBdr>
        <w:jc w:val="center"/>
        <w:rPr>
          <w:rFonts w:ascii="Arial" w:eastAsia="Arial" w:hAnsi="Arial" w:cs="Arial"/>
          <w:b/>
          <w:color w:val="000000"/>
        </w:rPr>
      </w:pPr>
    </w:p>
    <w:p w:rsidR="002C2CC2" w:rsidRDefault="002C2CC2">
      <w:pPr>
        <w:pBdr>
          <w:top w:val="nil"/>
          <w:left w:val="nil"/>
          <w:bottom w:val="nil"/>
          <w:right w:val="nil"/>
          <w:between w:val="nil"/>
        </w:pBdr>
        <w:jc w:val="center"/>
        <w:rPr>
          <w:rFonts w:ascii="Arial" w:eastAsia="Arial" w:hAnsi="Arial" w:cs="Arial"/>
          <w:b/>
          <w:color w:val="000000"/>
        </w:rPr>
      </w:pPr>
    </w:p>
    <w:p w:rsidR="002C2CC2" w:rsidRDefault="00333194">
      <w:pPr>
        <w:pBdr>
          <w:top w:val="nil"/>
          <w:left w:val="nil"/>
          <w:bottom w:val="nil"/>
          <w:right w:val="nil"/>
          <w:between w:val="nil"/>
        </w:pBdr>
        <w:jc w:val="center"/>
        <w:rPr>
          <w:rFonts w:ascii="Arial" w:eastAsia="Arial" w:hAnsi="Arial" w:cs="Arial"/>
          <w:b/>
          <w:color w:val="000000"/>
        </w:rPr>
      </w:pPr>
      <w:r>
        <w:rPr>
          <w:rFonts w:ascii="Arial" w:eastAsia="Arial" w:hAnsi="Arial" w:cs="Arial"/>
          <w:color w:val="000000"/>
          <w:sz w:val="22"/>
          <w:szCs w:val="22"/>
          <w:highlight w:val="white"/>
        </w:rPr>
        <w:t xml:space="preserve"> </w:t>
      </w:r>
      <w:r>
        <w:rPr>
          <w:noProof/>
          <w:lang w:val="en-US"/>
        </w:rPr>
        <w:drawing>
          <wp:anchor distT="0" distB="0" distL="114300" distR="114300" simplePos="0" relativeHeight="251660288" behindDoc="0" locked="0" layoutInCell="1" hidden="0" allowOverlap="1">
            <wp:simplePos x="0" y="0"/>
            <wp:positionH relativeFrom="column">
              <wp:posOffset>2758440</wp:posOffset>
            </wp:positionH>
            <wp:positionV relativeFrom="paragraph">
              <wp:posOffset>0</wp:posOffset>
            </wp:positionV>
            <wp:extent cx="2533650" cy="2552700"/>
            <wp:effectExtent l="0" t="0" r="0" b="0"/>
            <wp:wrapTopAndBottom distT="0" distB="0"/>
            <wp:docPr id="16" name="image4.jpg" descr="https://lh7-rt.googleusercontent.com/docsz/AD_4nXduBuks4Y6jKhvEJzzm8tuIqTA1xxXw09vKeQN_bMgIaHNOfJuJPqBlOJdWCjr9IAOMpNNmrswGG28Xtax2biuz3MF-3lqqDHLWnM76tjv_sGqv67gxQyHgo0LEJv-VLTNEkHwp1o-kSMUji7_wg0wUMeqH?key=LA1q4DgOx37_nKLrH9Cp9g"/>
            <wp:cNvGraphicFramePr/>
            <a:graphic xmlns:a="http://schemas.openxmlformats.org/drawingml/2006/main">
              <a:graphicData uri="http://schemas.openxmlformats.org/drawingml/2006/picture">
                <pic:pic xmlns:pic="http://schemas.openxmlformats.org/drawingml/2006/picture">
                  <pic:nvPicPr>
                    <pic:cNvPr id="0" name="image4.jpg" descr="https://lh7-rt.googleusercontent.com/docsz/AD_4nXduBuks4Y6jKhvEJzzm8tuIqTA1xxXw09vKeQN_bMgIaHNOfJuJPqBlOJdWCjr9IAOMpNNmrswGG28Xtax2biuz3MF-3lqqDHLWnM76tjv_sGqv67gxQyHgo0LEJv-VLTNEkHwp1o-kSMUji7_wg0wUMeqH?key=LA1q4DgOx37_nKLrH9Cp9g"/>
                    <pic:cNvPicPr preferRelativeResize="0"/>
                  </pic:nvPicPr>
                  <pic:blipFill>
                    <a:blip r:embed="rId17"/>
                    <a:srcRect/>
                    <a:stretch>
                      <a:fillRect/>
                    </a:stretch>
                  </pic:blipFill>
                  <pic:spPr>
                    <a:xfrm>
                      <a:off x="0" y="0"/>
                      <a:ext cx="2533650" cy="2552700"/>
                    </a:xfrm>
                    <a:prstGeom prst="rect">
                      <a:avLst/>
                    </a:prstGeom>
                    <a:ln/>
                  </pic:spPr>
                </pic:pic>
              </a:graphicData>
            </a:graphic>
          </wp:anchor>
        </w:drawing>
      </w:r>
      <w:r>
        <w:rPr>
          <w:noProof/>
          <w:lang w:val="en-US"/>
        </w:rPr>
        <w:drawing>
          <wp:anchor distT="0" distB="0" distL="114300" distR="114300" simplePos="0" relativeHeight="251661312" behindDoc="0" locked="0" layoutInCell="1" hidden="0" allowOverlap="1">
            <wp:simplePos x="0" y="0"/>
            <wp:positionH relativeFrom="column">
              <wp:posOffset>123825</wp:posOffset>
            </wp:positionH>
            <wp:positionV relativeFrom="paragraph">
              <wp:posOffset>0</wp:posOffset>
            </wp:positionV>
            <wp:extent cx="2562225" cy="2543175"/>
            <wp:effectExtent l="0" t="0" r="0" b="0"/>
            <wp:wrapTopAndBottom distT="0" distB="0"/>
            <wp:docPr id="15" name="image2.jpg" descr="https://lh7-rt.googleusercontent.com/docsz/AD_4nXc4mSuuUdo53XvV_JDnCvOIfdQ2UAg2CQ8tV7TQm8SwLnhDhjk-ahsvTxAA22lCtSAwCwH_s27thKJRw5VoWGP3pQT3YWG4tGNH6-Q5xsicfxuFBFyF4Uvsv_keLEffzgcFaA-Ye7d3Z2utFaLUmsbWPTLa?key=LA1q4DgOx37_nKLrH9Cp9g"/>
            <wp:cNvGraphicFramePr/>
            <a:graphic xmlns:a="http://schemas.openxmlformats.org/drawingml/2006/main">
              <a:graphicData uri="http://schemas.openxmlformats.org/drawingml/2006/picture">
                <pic:pic xmlns:pic="http://schemas.openxmlformats.org/drawingml/2006/picture">
                  <pic:nvPicPr>
                    <pic:cNvPr id="0" name="image2.jpg" descr="https://lh7-rt.googleusercontent.com/docsz/AD_4nXc4mSuuUdo53XvV_JDnCvOIfdQ2UAg2CQ8tV7TQm8SwLnhDhjk-ahsvTxAA22lCtSAwCwH_s27thKJRw5VoWGP3pQT3YWG4tGNH6-Q5xsicfxuFBFyF4Uvsv_keLEffzgcFaA-Ye7d3Z2utFaLUmsbWPTLa?key=LA1q4DgOx37_nKLrH9Cp9g"/>
                    <pic:cNvPicPr preferRelativeResize="0"/>
                  </pic:nvPicPr>
                  <pic:blipFill>
                    <a:blip r:embed="rId18"/>
                    <a:srcRect/>
                    <a:stretch>
                      <a:fillRect/>
                    </a:stretch>
                  </pic:blipFill>
                  <pic:spPr>
                    <a:xfrm>
                      <a:off x="0" y="0"/>
                      <a:ext cx="2562225" cy="2543175"/>
                    </a:xfrm>
                    <a:prstGeom prst="rect">
                      <a:avLst/>
                    </a:prstGeom>
                    <a:ln/>
                  </pic:spPr>
                </pic:pic>
              </a:graphicData>
            </a:graphic>
          </wp:anchor>
        </w:drawing>
      </w:r>
    </w:p>
    <w:p w:rsidR="002C2CC2" w:rsidRDefault="00333194">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Figure 3 and 4: Intraoperative Image of </w:t>
      </w:r>
      <w:proofErr w:type="spellStart"/>
      <w:r>
        <w:rPr>
          <w:rFonts w:ascii="Arial" w:eastAsia="Arial" w:hAnsi="Arial" w:cs="Arial"/>
          <w:color w:val="000000"/>
        </w:rPr>
        <w:t>TransUrethral</w:t>
      </w:r>
      <w:proofErr w:type="spellEnd"/>
      <w:r>
        <w:rPr>
          <w:rFonts w:ascii="Arial" w:eastAsia="Arial" w:hAnsi="Arial" w:cs="Arial"/>
          <w:color w:val="000000"/>
        </w:rPr>
        <w:t xml:space="preserve"> Drainage of Prostate Abscess</w:t>
      </w:r>
    </w:p>
    <w:p w:rsidR="002C2CC2" w:rsidRDefault="002C2CC2">
      <w:pPr>
        <w:pBdr>
          <w:top w:val="nil"/>
          <w:left w:val="nil"/>
          <w:bottom w:val="nil"/>
          <w:right w:val="nil"/>
          <w:between w:val="nil"/>
        </w:pBdr>
        <w:jc w:val="both"/>
        <w:rPr>
          <w:rFonts w:ascii="Arial" w:eastAsia="Arial" w:hAnsi="Arial" w:cs="Arial"/>
          <w:color w:val="000000"/>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333194">
      <w:pPr>
        <w:keepNext/>
        <w:pBdr>
          <w:top w:val="nil"/>
          <w:left w:val="nil"/>
          <w:bottom w:val="nil"/>
          <w:right w:val="nil"/>
          <w:between w:val="nil"/>
        </w:pBdr>
        <w:jc w:val="both"/>
        <w:rPr>
          <w:rFonts w:ascii="Arial" w:eastAsia="Arial" w:hAnsi="Arial" w:cs="Arial"/>
          <w:b/>
          <w:smallCaps/>
          <w:color w:val="000000"/>
          <w:sz w:val="32"/>
          <w:szCs w:val="32"/>
        </w:rPr>
      </w:pPr>
      <w:r>
        <w:rPr>
          <w:rFonts w:ascii="Arial" w:eastAsia="Arial" w:hAnsi="Arial" w:cs="Arial"/>
          <w:b/>
          <w:smallCaps/>
          <w:color w:val="000000"/>
          <w:sz w:val="22"/>
          <w:szCs w:val="22"/>
        </w:rPr>
        <w:lastRenderedPageBreak/>
        <w:t xml:space="preserve">3. </w:t>
      </w:r>
      <w:r>
        <w:rPr>
          <w:rFonts w:ascii="Arial" w:eastAsia="Arial" w:hAnsi="Arial" w:cs="Arial"/>
          <w:b/>
          <w:smallCaps/>
          <w:color w:val="000000"/>
          <w:sz w:val="32"/>
          <w:szCs w:val="32"/>
        </w:rPr>
        <w:t>discussion</w:t>
      </w:r>
    </w:p>
    <w:p w:rsidR="002C2CC2" w:rsidRDefault="002C2CC2">
      <w:pPr>
        <w:keepNext/>
        <w:pBdr>
          <w:top w:val="nil"/>
          <w:left w:val="nil"/>
          <w:bottom w:val="nil"/>
          <w:right w:val="nil"/>
          <w:between w:val="nil"/>
        </w:pBdr>
        <w:jc w:val="both"/>
        <w:rPr>
          <w:rFonts w:ascii="Arial" w:eastAsia="Arial" w:hAnsi="Arial" w:cs="Arial"/>
          <w:b/>
          <w:smallCaps/>
          <w:color w:val="000000"/>
          <w:sz w:val="22"/>
          <w:szCs w:val="22"/>
        </w:rPr>
      </w:pPr>
    </w:p>
    <w:p w:rsidR="002C2CC2" w:rsidRDefault="0033319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Tuberculosis of the prostate is an uncommon manifestation of genitourinary tuberculosis (GUTB), with most cases diagnosed incidentally during histopathological evaluation following prostate surgery or biopsy. Its rarity, coupled with non-specific clinical features, often leads to delayed diagnosis and mismanagement. A high index of suspicion is essential, particularly in TB-endemic regions or among patients presenting with atypical or treatment-resistant lower urinary tract symptoms.</w:t>
      </w:r>
    </w:p>
    <w:p w:rsidR="002C2CC2" w:rsidRDefault="002C2CC2">
      <w:pPr>
        <w:pBdr>
          <w:top w:val="nil"/>
          <w:left w:val="nil"/>
          <w:bottom w:val="nil"/>
          <w:right w:val="nil"/>
          <w:between w:val="nil"/>
        </w:pBdr>
        <w:spacing w:line="276" w:lineRule="auto"/>
        <w:jc w:val="both"/>
        <w:rPr>
          <w:rFonts w:ascii="Arial" w:eastAsia="Arial" w:hAnsi="Arial" w:cs="Arial"/>
          <w:sz w:val="22"/>
          <w:szCs w:val="22"/>
        </w:rPr>
      </w:pPr>
    </w:p>
    <w:p w:rsidR="002C2CC2" w:rsidRDefault="0033319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A thorough history and detailed physical examination remain the cornerstones of early diagnosis. This includes evaluation of constitutional symptoms, genitourinary complaints, previous TB exposure, and travel or residence in endemic areas. Given the often insidious onset of prostatic tuberculosis (PTB), its clinical presentation frequently mimics more common urological disorders such as benign prostatic hyperplasia (BPH), chronic prostatitis, or chronic pelvic pain </w:t>
      </w:r>
      <w:proofErr w:type="gramStart"/>
      <w:r>
        <w:rPr>
          <w:rFonts w:ascii="Arial" w:eastAsia="Arial" w:hAnsi="Arial" w:cs="Arial"/>
          <w:sz w:val="22"/>
          <w:szCs w:val="22"/>
        </w:rPr>
        <w:t>syndrome.[</w:t>
      </w:r>
      <w:proofErr w:type="gramEnd"/>
      <w:r>
        <w:rPr>
          <w:rFonts w:ascii="Arial" w:eastAsia="Arial" w:hAnsi="Arial" w:cs="Arial"/>
          <w:sz w:val="22"/>
          <w:szCs w:val="22"/>
        </w:rPr>
        <w:t>6-7]</w:t>
      </w:r>
    </w:p>
    <w:p w:rsidR="002C2CC2" w:rsidRDefault="002C2CC2">
      <w:pPr>
        <w:pBdr>
          <w:top w:val="nil"/>
          <w:left w:val="nil"/>
          <w:bottom w:val="nil"/>
          <w:right w:val="nil"/>
          <w:between w:val="nil"/>
        </w:pBdr>
        <w:spacing w:line="276" w:lineRule="auto"/>
        <w:jc w:val="both"/>
        <w:rPr>
          <w:rFonts w:ascii="Arial" w:eastAsia="Arial" w:hAnsi="Arial" w:cs="Arial"/>
          <w:sz w:val="22"/>
          <w:szCs w:val="22"/>
        </w:rPr>
      </w:pPr>
    </w:p>
    <w:p w:rsidR="002C2CC2" w:rsidRDefault="0033319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The disease typically evolves through two clinical stages: the infiltrative stage and the cavernous stage.</w:t>
      </w:r>
    </w:p>
    <w:p w:rsidR="002C2CC2" w:rsidRDefault="0033319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In the infiltrative stage, symptoms are subtle and non-specific. Patients may present with lower urinary tract symptoms (LUTS) including dysuria, increased frequency (pollakiuria), perineal discomfort, or </w:t>
      </w:r>
      <w:proofErr w:type="spellStart"/>
      <w:proofErr w:type="gramStart"/>
      <w:r>
        <w:rPr>
          <w:rFonts w:ascii="Arial" w:eastAsia="Arial" w:hAnsi="Arial" w:cs="Arial"/>
          <w:sz w:val="22"/>
          <w:szCs w:val="22"/>
        </w:rPr>
        <w:t>hematospermia</w:t>
      </w:r>
      <w:proofErr w:type="spellEnd"/>
      <w:r>
        <w:rPr>
          <w:rFonts w:ascii="Arial" w:eastAsia="Arial" w:hAnsi="Arial" w:cs="Arial"/>
          <w:sz w:val="22"/>
          <w:szCs w:val="22"/>
        </w:rPr>
        <w:t>.[</w:t>
      </w:r>
      <w:proofErr w:type="gramEnd"/>
      <w:r>
        <w:rPr>
          <w:rFonts w:ascii="Arial" w:eastAsia="Arial" w:hAnsi="Arial" w:cs="Arial"/>
          <w:sz w:val="22"/>
          <w:szCs w:val="22"/>
        </w:rPr>
        <w:t>7] Sexual dysfunction, erectile dysfunction, and even infertility may occur at this stage, particularly when adjacent structures such as the seminal vesicles, epididymis, or vas deferens are involved.[7] These features are often overlooked or misattributed to more prevalent pathologies, particularly in young, immunocompetent individuals.</w:t>
      </w:r>
    </w:p>
    <w:p w:rsidR="002C2CC2" w:rsidRDefault="002C2CC2">
      <w:pPr>
        <w:pBdr>
          <w:top w:val="nil"/>
          <w:left w:val="nil"/>
          <w:bottom w:val="nil"/>
          <w:right w:val="nil"/>
          <w:between w:val="nil"/>
        </w:pBdr>
        <w:spacing w:line="276" w:lineRule="auto"/>
        <w:jc w:val="both"/>
        <w:rPr>
          <w:rFonts w:ascii="Arial" w:eastAsia="Arial" w:hAnsi="Arial" w:cs="Arial"/>
          <w:sz w:val="22"/>
          <w:szCs w:val="22"/>
        </w:rPr>
      </w:pPr>
    </w:p>
    <w:p w:rsidR="002C2CC2" w:rsidRDefault="0033319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If unrecognized and untreated, the disease may advance to the cavernous stage, characterized by extensive caseation and cavitary destruction within the prostate. This stage is associated with significant morbidity and may present clinically as </w:t>
      </w:r>
      <w:proofErr w:type="spellStart"/>
      <w:r>
        <w:rPr>
          <w:rFonts w:ascii="Arial" w:eastAsia="Arial" w:hAnsi="Arial" w:cs="Arial"/>
          <w:sz w:val="22"/>
          <w:szCs w:val="22"/>
        </w:rPr>
        <w:t>pyospermia</w:t>
      </w:r>
      <w:proofErr w:type="spellEnd"/>
      <w:r>
        <w:rPr>
          <w:rFonts w:ascii="Arial" w:eastAsia="Arial" w:hAnsi="Arial" w:cs="Arial"/>
          <w:sz w:val="22"/>
          <w:szCs w:val="22"/>
        </w:rPr>
        <w:t xml:space="preserve">, sterile pyuria, or the formation of perineal or rectourethral </w:t>
      </w:r>
      <w:proofErr w:type="gramStart"/>
      <w:r>
        <w:rPr>
          <w:rFonts w:ascii="Arial" w:eastAsia="Arial" w:hAnsi="Arial" w:cs="Arial"/>
          <w:sz w:val="22"/>
          <w:szCs w:val="22"/>
        </w:rPr>
        <w:t>fistulas.[</w:t>
      </w:r>
      <w:proofErr w:type="gramEnd"/>
      <w:r>
        <w:rPr>
          <w:rFonts w:ascii="Arial" w:eastAsia="Arial" w:hAnsi="Arial" w:cs="Arial"/>
          <w:sz w:val="22"/>
          <w:szCs w:val="22"/>
        </w:rPr>
        <w:t>7] Once established, this stage is often considered difficult to reverse and frequently necessitates surgical intervention in conjunction with medical therapy.</w:t>
      </w:r>
    </w:p>
    <w:p w:rsidR="002C2CC2" w:rsidRDefault="002C2CC2">
      <w:pPr>
        <w:pBdr>
          <w:top w:val="nil"/>
          <w:left w:val="nil"/>
          <w:bottom w:val="nil"/>
          <w:right w:val="nil"/>
          <w:between w:val="nil"/>
        </w:pBdr>
        <w:spacing w:line="276" w:lineRule="auto"/>
        <w:jc w:val="both"/>
        <w:rPr>
          <w:rFonts w:ascii="Arial" w:eastAsia="Arial" w:hAnsi="Arial" w:cs="Arial"/>
          <w:sz w:val="22"/>
          <w:szCs w:val="22"/>
        </w:rPr>
      </w:pPr>
    </w:p>
    <w:p w:rsidR="002C2CC2" w:rsidRDefault="0033319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In our case, the initial presentation with right </w:t>
      </w:r>
      <w:proofErr w:type="spellStart"/>
      <w:r>
        <w:rPr>
          <w:rFonts w:ascii="Arial" w:eastAsia="Arial" w:hAnsi="Arial" w:cs="Arial"/>
          <w:sz w:val="22"/>
          <w:szCs w:val="22"/>
        </w:rPr>
        <w:t>epididymo</w:t>
      </w:r>
      <w:proofErr w:type="spellEnd"/>
      <w:r>
        <w:rPr>
          <w:rFonts w:ascii="Arial" w:eastAsia="Arial" w:hAnsi="Arial" w:cs="Arial"/>
          <w:sz w:val="22"/>
          <w:szCs w:val="22"/>
        </w:rPr>
        <w:t xml:space="preserve">-orchitis and lack of response to antibiotics prompted further investigation, revealing a large prostatic abscess, a known but rare complication of PTB. Imaging modalities such as contrast-enhanced CT (CECT) and transrectal ultrasonography (TRUS) play a pivotal role in identifying prostatic collections and guiding further </w:t>
      </w:r>
      <w:proofErr w:type="gramStart"/>
      <w:r>
        <w:rPr>
          <w:rFonts w:ascii="Arial" w:eastAsia="Arial" w:hAnsi="Arial" w:cs="Arial"/>
          <w:sz w:val="22"/>
          <w:szCs w:val="22"/>
        </w:rPr>
        <w:t>management.[</w:t>
      </w:r>
      <w:proofErr w:type="gramEnd"/>
      <w:r>
        <w:rPr>
          <w:rFonts w:ascii="Arial" w:eastAsia="Arial" w:hAnsi="Arial" w:cs="Arial"/>
          <w:sz w:val="22"/>
          <w:szCs w:val="22"/>
        </w:rPr>
        <w:t xml:space="preserve">8] Prostatic abscesses measuring less than 1 cm in diameter can often be managed conservatively with antibiotic therapy, whereas larger abscesses typically require drainage—either percutaneously, transrectally, or </w:t>
      </w:r>
      <w:proofErr w:type="spellStart"/>
      <w:r>
        <w:rPr>
          <w:rFonts w:ascii="Arial" w:eastAsia="Arial" w:hAnsi="Arial" w:cs="Arial"/>
          <w:sz w:val="22"/>
          <w:szCs w:val="22"/>
        </w:rPr>
        <w:t>transurethrally</w:t>
      </w:r>
      <w:proofErr w:type="spellEnd"/>
      <w:r>
        <w:rPr>
          <w:rFonts w:ascii="Arial" w:eastAsia="Arial" w:hAnsi="Arial" w:cs="Arial"/>
          <w:sz w:val="22"/>
          <w:szCs w:val="22"/>
        </w:rPr>
        <w:t>.[9]</w:t>
      </w:r>
    </w:p>
    <w:p w:rsidR="002C2CC2" w:rsidRDefault="002C2CC2">
      <w:pPr>
        <w:pBdr>
          <w:top w:val="nil"/>
          <w:left w:val="nil"/>
          <w:bottom w:val="nil"/>
          <w:right w:val="nil"/>
          <w:between w:val="nil"/>
        </w:pBdr>
        <w:spacing w:line="276" w:lineRule="auto"/>
        <w:jc w:val="both"/>
        <w:rPr>
          <w:rFonts w:ascii="Arial" w:eastAsia="Arial" w:hAnsi="Arial" w:cs="Arial"/>
          <w:sz w:val="22"/>
          <w:szCs w:val="22"/>
        </w:rPr>
      </w:pPr>
    </w:p>
    <w:p w:rsidR="002C2CC2" w:rsidRDefault="0033319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lastRenderedPageBreak/>
        <w:t xml:space="preserve">The diagnosis of TB is confirmed by identification of acid-fast bacilli (AFB) through direct smear microscopy, mycobacterial culture, or polymerase chain reaction (PCR) testing of urine or tissue specimens. Histopathological evaluation often reveals characteristic necrotizing granulomatous inflammation, which, in the appropriate clinical context, is </w:t>
      </w:r>
      <w:proofErr w:type="gramStart"/>
      <w:r>
        <w:rPr>
          <w:rFonts w:ascii="Arial" w:eastAsia="Arial" w:hAnsi="Arial" w:cs="Arial"/>
          <w:sz w:val="22"/>
          <w:szCs w:val="22"/>
        </w:rPr>
        <w:t>diagnostic.[</w:t>
      </w:r>
      <w:proofErr w:type="gramEnd"/>
      <w:r>
        <w:rPr>
          <w:rFonts w:ascii="Arial" w:eastAsia="Arial" w:hAnsi="Arial" w:cs="Arial"/>
          <w:sz w:val="22"/>
          <w:szCs w:val="22"/>
        </w:rPr>
        <w:t>10]</w:t>
      </w:r>
    </w:p>
    <w:p w:rsidR="002C2CC2" w:rsidRDefault="002C2CC2">
      <w:pPr>
        <w:pBdr>
          <w:top w:val="nil"/>
          <w:left w:val="nil"/>
          <w:bottom w:val="nil"/>
          <w:right w:val="nil"/>
          <w:between w:val="nil"/>
        </w:pBdr>
        <w:spacing w:line="276" w:lineRule="auto"/>
        <w:jc w:val="both"/>
        <w:rPr>
          <w:rFonts w:ascii="Arial" w:eastAsia="Arial" w:hAnsi="Arial" w:cs="Arial"/>
          <w:sz w:val="22"/>
          <w:szCs w:val="22"/>
        </w:rPr>
      </w:pPr>
    </w:p>
    <w:p w:rsidR="002C2CC2" w:rsidRDefault="0033319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The pathogenesis of GUTB, including PTB, typically involves hematogenous dissemination from a primary pulmonary focus. The bacilli may localize in various organs of the genitourinary tract, including the kidney, epididymis, or prostate, where they may remain dormant before </w:t>
      </w:r>
      <w:proofErr w:type="gramStart"/>
      <w:r>
        <w:rPr>
          <w:rFonts w:ascii="Arial" w:eastAsia="Arial" w:hAnsi="Arial" w:cs="Arial"/>
          <w:sz w:val="22"/>
          <w:szCs w:val="22"/>
        </w:rPr>
        <w:t>reactivation.[</w:t>
      </w:r>
      <w:proofErr w:type="gramEnd"/>
      <w:r>
        <w:rPr>
          <w:rFonts w:ascii="Arial" w:eastAsia="Arial" w:hAnsi="Arial" w:cs="Arial"/>
          <w:sz w:val="22"/>
          <w:szCs w:val="22"/>
        </w:rPr>
        <w:t>11] This mechanism explains the potential for isolated genitourinary involvement in patients without active pulmonary TB or overt systemic symptoms.</w:t>
      </w:r>
    </w:p>
    <w:p w:rsidR="002C2CC2" w:rsidRDefault="002C2CC2">
      <w:pPr>
        <w:pBdr>
          <w:top w:val="nil"/>
          <w:left w:val="nil"/>
          <w:bottom w:val="nil"/>
          <w:right w:val="nil"/>
          <w:between w:val="nil"/>
        </w:pBdr>
        <w:spacing w:line="276" w:lineRule="auto"/>
        <w:jc w:val="both"/>
        <w:rPr>
          <w:rFonts w:ascii="Arial" w:eastAsia="Arial" w:hAnsi="Arial" w:cs="Arial"/>
          <w:sz w:val="22"/>
          <w:szCs w:val="22"/>
        </w:rPr>
      </w:pPr>
    </w:p>
    <w:p w:rsidR="002C2CC2" w:rsidRDefault="0033319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Once diagnosed, the cornerstone of treatment is anti-tuberculous therapy (ATT). The standard regimen for extrapulmonary TB, as recommended by the World Health Organization (WHO) and national guidelines, consists of a 2-month intensive phase with isoniazid, rifampicin, pyrazinamide, and ethambutol (HRZE), followed by a 4-month continuation phase with isoniazid and rifampicin (HR).[12] Surgical intervention may be required for complications such as abscesses, fistulas, or severe organ damage.</w:t>
      </w:r>
    </w:p>
    <w:p w:rsidR="002C2CC2" w:rsidRDefault="002C2CC2">
      <w:pPr>
        <w:pBdr>
          <w:top w:val="nil"/>
          <w:left w:val="nil"/>
          <w:bottom w:val="nil"/>
          <w:right w:val="nil"/>
          <w:between w:val="nil"/>
        </w:pBdr>
        <w:spacing w:line="276" w:lineRule="auto"/>
        <w:jc w:val="both"/>
        <w:rPr>
          <w:rFonts w:ascii="Arial" w:eastAsia="Arial" w:hAnsi="Arial" w:cs="Arial"/>
          <w:sz w:val="22"/>
          <w:szCs w:val="22"/>
        </w:rPr>
      </w:pPr>
    </w:p>
    <w:p w:rsidR="002C2CC2" w:rsidRDefault="00333194">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sz w:val="22"/>
          <w:szCs w:val="22"/>
        </w:rPr>
        <w:t>Early detection and initiation of treatment in the infiltrative stage are crucial to prevent progression to irreversible stages and to reduce long-term morbidity. In endemic settings, or when patients present with persistent LUTS, unexplained genitourinary infections, or sterile pyuria, especially with constitutional symptoms, tuberculosis should be included in the differential diagnosis. Notably, the presence of a boggy or enlarged prostate in a young male should prompt consideration of TB, particularly when standard treatments fail or if the patient originates from a TB-endemic region.</w:t>
      </w: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rPr>
      </w:pPr>
    </w:p>
    <w:p w:rsidR="002C2CC2" w:rsidRDefault="00333194">
      <w:pPr>
        <w:keepNext/>
        <w:pBdr>
          <w:top w:val="nil"/>
          <w:left w:val="nil"/>
          <w:bottom w:val="nil"/>
          <w:right w:val="nil"/>
          <w:between w:val="nil"/>
        </w:pBdr>
        <w:jc w:val="both"/>
        <w:rPr>
          <w:rFonts w:ascii="Arial" w:eastAsia="Arial" w:hAnsi="Arial" w:cs="Arial"/>
          <w:b/>
          <w:smallCaps/>
          <w:color w:val="000000"/>
          <w:sz w:val="32"/>
          <w:szCs w:val="32"/>
        </w:rPr>
      </w:pPr>
      <w:r>
        <w:rPr>
          <w:rFonts w:ascii="Arial" w:eastAsia="Arial" w:hAnsi="Arial" w:cs="Arial"/>
          <w:b/>
          <w:smallCaps/>
          <w:color w:val="000000"/>
          <w:sz w:val="22"/>
          <w:szCs w:val="22"/>
        </w:rPr>
        <w:t xml:space="preserve">4. </w:t>
      </w:r>
      <w:r>
        <w:rPr>
          <w:rFonts w:ascii="Arial" w:eastAsia="Arial" w:hAnsi="Arial" w:cs="Arial"/>
          <w:b/>
          <w:smallCaps/>
          <w:color w:val="000000"/>
          <w:sz w:val="32"/>
          <w:szCs w:val="32"/>
        </w:rPr>
        <w:t>conclusion</w:t>
      </w:r>
    </w:p>
    <w:p w:rsidR="002C2CC2" w:rsidRDefault="002C2CC2">
      <w:pPr>
        <w:keepNext/>
        <w:pBdr>
          <w:top w:val="nil"/>
          <w:left w:val="nil"/>
          <w:bottom w:val="nil"/>
          <w:right w:val="nil"/>
          <w:between w:val="nil"/>
        </w:pBdr>
        <w:jc w:val="both"/>
        <w:rPr>
          <w:rFonts w:ascii="Arial" w:eastAsia="Arial" w:hAnsi="Arial" w:cs="Arial"/>
          <w:b/>
          <w:smallCaps/>
          <w:color w:val="000000"/>
          <w:sz w:val="22"/>
          <w:szCs w:val="22"/>
        </w:rPr>
      </w:pPr>
    </w:p>
    <w:p w:rsidR="002C2CC2" w:rsidRDefault="0033319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Prostatic tuberculosis is a rare and often underdiagnosed form of genitourinary tuberculosis, typically discovered incidentally due to its nonspecific and variable </w:t>
      </w:r>
      <w:r>
        <w:rPr>
          <w:rFonts w:ascii="Arial" w:eastAsia="Arial" w:hAnsi="Arial" w:cs="Arial"/>
          <w:sz w:val="22"/>
          <w:szCs w:val="22"/>
        </w:rPr>
        <w:lastRenderedPageBreak/>
        <w:t>clinical presentation. This diagnostic ambiguity can lead to significant delays in initiating appropriate treatment, potentially resulting in irreversible complications.</w:t>
      </w:r>
    </w:p>
    <w:p w:rsidR="002C2CC2" w:rsidRDefault="002C2CC2">
      <w:pPr>
        <w:pBdr>
          <w:top w:val="nil"/>
          <w:left w:val="nil"/>
          <w:bottom w:val="nil"/>
          <w:right w:val="nil"/>
          <w:between w:val="nil"/>
        </w:pBdr>
        <w:spacing w:line="276" w:lineRule="auto"/>
        <w:jc w:val="both"/>
        <w:rPr>
          <w:rFonts w:ascii="Arial" w:eastAsia="Arial" w:hAnsi="Arial" w:cs="Arial"/>
          <w:sz w:val="22"/>
          <w:szCs w:val="22"/>
        </w:rPr>
      </w:pPr>
    </w:p>
    <w:p w:rsidR="002C2CC2" w:rsidRDefault="0033319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Early and accurate diagnosis relies on a high index of suspicion, especially in patients from TB-endemic regions or those presenting with persistent lower urinary tract symptoms unresponsive to standard therapy. Imaging modalities, such as transrectal ultrasound and contrast-enhanced CT, play a vital role in detecting prostatic lesions and guiding further management, including drainage of abscesses when indicated.</w:t>
      </w:r>
    </w:p>
    <w:p w:rsidR="002C2CC2" w:rsidRDefault="002C2CC2">
      <w:pPr>
        <w:pBdr>
          <w:top w:val="nil"/>
          <w:left w:val="nil"/>
          <w:bottom w:val="nil"/>
          <w:right w:val="nil"/>
          <w:between w:val="nil"/>
        </w:pBdr>
        <w:spacing w:line="276" w:lineRule="auto"/>
        <w:jc w:val="both"/>
        <w:rPr>
          <w:rFonts w:ascii="Arial" w:eastAsia="Arial" w:hAnsi="Arial" w:cs="Arial"/>
          <w:sz w:val="22"/>
          <w:szCs w:val="22"/>
        </w:rPr>
      </w:pPr>
    </w:p>
    <w:p w:rsidR="002C2CC2" w:rsidRDefault="0033319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Given the potential for atypical presentations and serious sequelae if left untreated, tuberculosis should always be considered as a differential diagnosis in patients with unexplained prostatic symptoms, particularly in endemic settings. Timely diagnosis and initiation of anti-tuberculous therapy are essential to improve outcomes and prevent disease progression.</w:t>
      </w:r>
    </w:p>
    <w:p w:rsidR="002C2CC2" w:rsidRDefault="002C2CC2">
      <w:pPr>
        <w:pBdr>
          <w:top w:val="nil"/>
          <w:left w:val="nil"/>
          <w:bottom w:val="nil"/>
          <w:right w:val="nil"/>
          <w:between w:val="nil"/>
        </w:pBdr>
        <w:jc w:val="both"/>
        <w:rPr>
          <w:rFonts w:ascii="Arial" w:eastAsia="Arial" w:hAnsi="Arial" w:cs="Arial"/>
        </w:rPr>
      </w:pPr>
    </w:p>
    <w:p w:rsidR="002C2CC2" w:rsidRDefault="002C2CC2">
      <w:pPr>
        <w:pBdr>
          <w:top w:val="nil"/>
          <w:left w:val="nil"/>
          <w:bottom w:val="nil"/>
          <w:right w:val="nil"/>
          <w:between w:val="nil"/>
        </w:pBdr>
        <w:jc w:val="both"/>
        <w:rPr>
          <w:rFonts w:ascii="Arial" w:eastAsia="Arial" w:hAnsi="Arial" w:cs="Arial"/>
          <w:color w:val="000000"/>
        </w:rPr>
      </w:pPr>
    </w:p>
    <w:p w:rsidR="002C2CC2" w:rsidRDefault="00333194">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CONSENT AND ETHICAL APPROVAL</w:t>
      </w:r>
    </w:p>
    <w:p w:rsidR="002C2CC2" w:rsidRDefault="002C2CC2">
      <w:pPr>
        <w:rPr>
          <w:rFonts w:ascii="Arial" w:eastAsia="Arial" w:hAnsi="Arial" w:cs="Arial"/>
        </w:rPr>
      </w:pPr>
    </w:p>
    <w:p w:rsidR="002C2CC2" w:rsidRDefault="00333194">
      <w:pPr>
        <w:spacing w:line="276" w:lineRule="auto"/>
        <w:rPr>
          <w:sz w:val="22"/>
          <w:szCs w:val="22"/>
        </w:rPr>
      </w:pPr>
      <w:r>
        <w:rPr>
          <w:rFonts w:ascii="Arial" w:eastAsia="Arial" w:hAnsi="Arial" w:cs="Arial"/>
          <w:sz w:val="22"/>
          <w:szCs w:val="22"/>
        </w:rPr>
        <w:t>As per university standard guideline, participant consent and    ethical    approval    have    been collected and preserved by the authors.</w:t>
      </w:r>
    </w:p>
    <w:p w:rsidR="002C2CC2" w:rsidRDefault="002C2CC2">
      <w:pPr>
        <w:keepNext/>
        <w:pBdr>
          <w:top w:val="nil"/>
          <w:left w:val="nil"/>
          <w:bottom w:val="nil"/>
          <w:right w:val="nil"/>
          <w:between w:val="nil"/>
        </w:pBdr>
        <w:jc w:val="both"/>
        <w:rPr>
          <w:rFonts w:ascii="Arial" w:eastAsia="Arial" w:hAnsi="Arial" w:cs="Arial"/>
          <w:b/>
          <w:smallCaps/>
          <w:color w:val="000000"/>
          <w:sz w:val="22"/>
          <w:szCs w:val="22"/>
        </w:rPr>
      </w:pPr>
    </w:p>
    <w:p w:rsidR="002C2CC2" w:rsidRDefault="00333194">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Competing interests</w:t>
      </w:r>
    </w:p>
    <w:p w:rsidR="002C2CC2" w:rsidRDefault="002C2CC2">
      <w:pPr>
        <w:keepNext/>
        <w:pBdr>
          <w:top w:val="nil"/>
          <w:left w:val="nil"/>
          <w:bottom w:val="nil"/>
          <w:right w:val="nil"/>
          <w:between w:val="nil"/>
        </w:pBdr>
        <w:jc w:val="both"/>
        <w:rPr>
          <w:rFonts w:ascii="Arial" w:eastAsia="Arial" w:hAnsi="Arial" w:cs="Arial"/>
          <w:b/>
          <w:smallCaps/>
          <w:color w:val="000000"/>
          <w:sz w:val="22"/>
          <w:szCs w:val="22"/>
        </w:rPr>
      </w:pPr>
    </w:p>
    <w:p w:rsidR="002C2CC2" w:rsidRDefault="00333194">
      <w:pPr>
        <w:keepNext/>
        <w:pBdr>
          <w:top w:val="nil"/>
          <w:left w:val="nil"/>
          <w:bottom w:val="nil"/>
          <w:right w:val="nil"/>
          <w:between w:val="nil"/>
        </w:pBdr>
        <w:jc w:val="both"/>
        <w:rPr>
          <w:rFonts w:ascii="Arial" w:eastAsia="Arial" w:hAnsi="Arial" w:cs="Arial"/>
          <w:color w:val="000000"/>
        </w:rPr>
      </w:pPr>
      <w:bookmarkStart w:id="1" w:name="_heading=h.rwva8eirl9kc" w:colFirst="0" w:colLast="0"/>
      <w:bookmarkEnd w:id="1"/>
      <w:r>
        <w:rPr>
          <w:rFonts w:ascii="Arial" w:eastAsia="Arial" w:hAnsi="Arial" w:cs="Arial"/>
          <w:color w:val="000000"/>
        </w:rPr>
        <w:t>Authors    have    declared    that    no    competing interests exist.</w:t>
      </w:r>
    </w:p>
    <w:p w:rsidR="002C2CC2" w:rsidRDefault="002C2CC2">
      <w:pPr>
        <w:pBdr>
          <w:top w:val="nil"/>
          <w:left w:val="nil"/>
          <w:bottom w:val="nil"/>
          <w:right w:val="nil"/>
          <w:between w:val="nil"/>
        </w:pBdr>
        <w:jc w:val="both"/>
        <w:rPr>
          <w:rFonts w:ascii="Arial" w:eastAsia="Arial" w:hAnsi="Arial" w:cs="Arial"/>
          <w:color w:val="000000"/>
        </w:rPr>
      </w:pPr>
    </w:p>
    <w:p w:rsidR="002C2CC2" w:rsidRDefault="002C2CC2">
      <w:pPr>
        <w:pBdr>
          <w:top w:val="nil"/>
          <w:left w:val="nil"/>
          <w:bottom w:val="nil"/>
          <w:right w:val="nil"/>
          <w:between w:val="nil"/>
        </w:pBdr>
        <w:jc w:val="both"/>
        <w:rPr>
          <w:rFonts w:ascii="Arial" w:eastAsia="Arial" w:hAnsi="Arial" w:cs="Arial"/>
          <w:color w:val="000000"/>
        </w:rPr>
      </w:pPr>
    </w:p>
    <w:p w:rsidR="002C2CC2" w:rsidRDefault="002C2CC2">
      <w:pPr>
        <w:pBdr>
          <w:top w:val="nil"/>
          <w:left w:val="nil"/>
          <w:bottom w:val="nil"/>
          <w:right w:val="nil"/>
          <w:between w:val="nil"/>
        </w:pBdr>
        <w:jc w:val="both"/>
        <w:rPr>
          <w:rFonts w:ascii="Arial" w:eastAsia="Arial" w:hAnsi="Arial" w:cs="Arial"/>
          <w:color w:val="000000"/>
        </w:rPr>
      </w:pPr>
    </w:p>
    <w:p w:rsidR="002C2CC2" w:rsidRDefault="002C2CC2">
      <w:pPr>
        <w:pBdr>
          <w:top w:val="nil"/>
          <w:left w:val="nil"/>
          <w:bottom w:val="nil"/>
          <w:right w:val="nil"/>
          <w:between w:val="nil"/>
        </w:pBdr>
        <w:jc w:val="both"/>
        <w:rPr>
          <w:rFonts w:ascii="Arial" w:eastAsia="Arial" w:hAnsi="Arial" w:cs="Arial"/>
          <w:color w:val="000000"/>
        </w:rPr>
      </w:pPr>
    </w:p>
    <w:p w:rsidR="002C2CC2" w:rsidRDefault="002C2CC2">
      <w:pPr>
        <w:pBdr>
          <w:top w:val="nil"/>
          <w:left w:val="nil"/>
          <w:bottom w:val="nil"/>
          <w:right w:val="nil"/>
          <w:between w:val="nil"/>
        </w:pBdr>
        <w:jc w:val="both"/>
        <w:rPr>
          <w:rFonts w:ascii="Arial" w:eastAsia="Arial" w:hAnsi="Arial" w:cs="Arial"/>
          <w:color w:val="000000"/>
        </w:rPr>
      </w:pPr>
    </w:p>
    <w:p w:rsidR="002C2CC2" w:rsidRDefault="002C2CC2">
      <w:pPr>
        <w:pBdr>
          <w:top w:val="nil"/>
          <w:left w:val="nil"/>
          <w:bottom w:val="nil"/>
          <w:right w:val="nil"/>
          <w:between w:val="nil"/>
        </w:pBdr>
        <w:jc w:val="both"/>
        <w:rPr>
          <w:rFonts w:ascii="Arial" w:eastAsia="Arial" w:hAnsi="Arial" w:cs="Arial"/>
          <w:color w:val="000000"/>
        </w:rPr>
      </w:pPr>
    </w:p>
    <w:p w:rsidR="002C2CC2" w:rsidRDefault="002C2CC2">
      <w:pPr>
        <w:pBdr>
          <w:top w:val="nil"/>
          <w:left w:val="nil"/>
          <w:bottom w:val="nil"/>
          <w:right w:val="nil"/>
          <w:between w:val="nil"/>
        </w:pBdr>
        <w:jc w:val="both"/>
        <w:rPr>
          <w:rFonts w:ascii="Arial" w:eastAsia="Arial" w:hAnsi="Arial" w:cs="Arial"/>
          <w:color w:val="000000"/>
        </w:rPr>
      </w:pPr>
    </w:p>
    <w:p w:rsidR="002C2CC2" w:rsidRDefault="002C2CC2">
      <w:pPr>
        <w:pBdr>
          <w:top w:val="nil"/>
          <w:left w:val="nil"/>
          <w:bottom w:val="nil"/>
          <w:right w:val="nil"/>
          <w:between w:val="nil"/>
        </w:pBdr>
        <w:jc w:val="both"/>
        <w:rPr>
          <w:rFonts w:ascii="Arial" w:eastAsia="Arial" w:hAnsi="Arial" w:cs="Arial"/>
          <w:color w:val="000000"/>
        </w:rPr>
      </w:pPr>
    </w:p>
    <w:p w:rsidR="002C2CC2" w:rsidRDefault="002C2CC2">
      <w:pPr>
        <w:pBdr>
          <w:top w:val="nil"/>
          <w:left w:val="nil"/>
          <w:bottom w:val="nil"/>
          <w:right w:val="nil"/>
          <w:between w:val="nil"/>
        </w:pBdr>
        <w:jc w:val="both"/>
        <w:rPr>
          <w:rFonts w:ascii="Arial" w:eastAsia="Arial" w:hAnsi="Arial" w:cs="Arial"/>
          <w:color w:val="000000"/>
        </w:rPr>
      </w:pPr>
    </w:p>
    <w:p w:rsidR="002C2CC2" w:rsidRDefault="002C2CC2">
      <w:pPr>
        <w:pBdr>
          <w:top w:val="nil"/>
          <w:left w:val="nil"/>
          <w:bottom w:val="nil"/>
          <w:right w:val="nil"/>
          <w:between w:val="nil"/>
        </w:pBdr>
        <w:jc w:val="both"/>
        <w:rPr>
          <w:rFonts w:ascii="Arial" w:eastAsia="Arial" w:hAnsi="Arial" w:cs="Arial"/>
          <w:color w:val="000000"/>
        </w:rPr>
      </w:pPr>
    </w:p>
    <w:p w:rsidR="002C2CC2" w:rsidRDefault="002C2CC2">
      <w:pPr>
        <w:pBdr>
          <w:top w:val="nil"/>
          <w:left w:val="nil"/>
          <w:bottom w:val="nil"/>
          <w:right w:val="nil"/>
          <w:between w:val="nil"/>
        </w:pBdr>
        <w:jc w:val="both"/>
        <w:rPr>
          <w:rFonts w:ascii="Arial" w:eastAsia="Arial" w:hAnsi="Arial" w:cs="Arial"/>
          <w:color w:val="000000"/>
        </w:rPr>
      </w:pPr>
    </w:p>
    <w:p w:rsidR="002C2CC2" w:rsidRDefault="002C2CC2">
      <w:pPr>
        <w:pBdr>
          <w:top w:val="nil"/>
          <w:left w:val="nil"/>
          <w:bottom w:val="nil"/>
          <w:right w:val="nil"/>
          <w:between w:val="nil"/>
        </w:pBdr>
        <w:jc w:val="both"/>
        <w:rPr>
          <w:rFonts w:ascii="Arial" w:eastAsia="Arial" w:hAnsi="Arial" w:cs="Arial"/>
          <w:color w:val="000000"/>
        </w:rPr>
      </w:pPr>
    </w:p>
    <w:p w:rsidR="002C2CC2" w:rsidRDefault="002C2CC2">
      <w:pPr>
        <w:pBdr>
          <w:top w:val="nil"/>
          <w:left w:val="nil"/>
          <w:bottom w:val="nil"/>
          <w:right w:val="nil"/>
          <w:between w:val="nil"/>
        </w:pBdr>
        <w:jc w:val="both"/>
        <w:rPr>
          <w:rFonts w:ascii="Arial" w:eastAsia="Arial" w:hAnsi="Arial" w:cs="Arial"/>
          <w:color w:val="000000"/>
        </w:rPr>
      </w:pPr>
    </w:p>
    <w:p w:rsidR="002C2CC2" w:rsidRDefault="002C2CC2">
      <w:pPr>
        <w:pBdr>
          <w:top w:val="nil"/>
          <w:left w:val="nil"/>
          <w:bottom w:val="nil"/>
          <w:right w:val="nil"/>
          <w:between w:val="nil"/>
        </w:pBdr>
        <w:jc w:val="both"/>
        <w:rPr>
          <w:rFonts w:ascii="Arial" w:eastAsia="Arial" w:hAnsi="Arial" w:cs="Arial"/>
          <w:color w:val="000000"/>
        </w:rPr>
      </w:pPr>
    </w:p>
    <w:p w:rsidR="002C2CC2" w:rsidRDefault="002C2CC2">
      <w:pPr>
        <w:pBdr>
          <w:top w:val="nil"/>
          <w:left w:val="nil"/>
          <w:bottom w:val="nil"/>
          <w:right w:val="nil"/>
          <w:between w:val="nil"/>
        </w:pBdr>
        <w:jc w:val="both"/>
        <w:rPr>
          <w:rFonts w:ascii="Arial" w:eastAsia="Arial" w:hAnsi="Arial" w:cs="Arial"/>
          <w:color w:val="000000"/>
        </w:rPr>
      </w:pPr>
      <w:bookmarkStart w:id="2" w:name="_heading=h.451xei86p4p8" w:colFirst="0" w:colLast="0"/>
      <w:bookmarkEnd w:id="2"/>
    </w:p>
    <w:p w:rsidR="002C2CC2" w:rsidRDefault="002C2CC2">
      <w:pPr>
        <w:pBdr>
          <w:top w:val="nil"/>
          <w:left w:val="nil"/>
          <w:bottom w:val="nil"/>
          <w:right w:val="nil"/>
          <w:between w:val="nil"/>
        </w:pBdr>
        <w:jc w:val="both"/>
        <w:rPr>
          <w:rFonts w:ascii="Arial" w:eastAsia="Arial" w:hAnsi="Arial" w:cs="Arial"/>
          <w:color w:val="000000"/>
        </w:rPr>
      </w:pPr>
    </w:p>
    <w:p w:rsidR="002C2CC2" w:rsidRDefault="00333194">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References</w:t>
      </w:r>
    </w:p>
    <w:p w:rsidR="002C2CC2" w:rsidRDefault="00333194">
      <w:pPr>
        <w:numPr>
          <w:ilvl w:val="0"/>
          <w:numId w:val="1"/>
        </w:numPr>
        <w:pBdr>
          <w:top w:val="nil"/>
          <w:left w:val="nil"/>
          <w:bottom w:val="nil"/>
          <w:right w:val="nil"/>
          <w:between w:val="nil"/>
        </w:pBdr>
        <w:spacing w:before="240"/>
        <w:jc w:val="both"/>
        <w:rPr>
          <w:rFonts w:ascii="Arial" w:eastAsia="Arial" w:hAnsi="Arial" w:cs="Arial"/>
          <w:i/>
          <w:color w:val="000000"/>
        </w:rPr>
      </w:pPr>
      <w:r>
        <w:rPr>
          <w:rFonts w:ascii="Arial" w:eastAsia="Arial" w:hAnsi="Arial" w:cs="Arial"/>
          <w:i/>
          <w:highlight w:val="white"/>
        </w:rPr>
        <w:t>World Health Organization. 2019. Global Tuberculosis Report 2019. Geneva: World Health Organization.</w:t>
      </w:r>
    </w:p>
    <w:p w:rsidR="002C2CC2" w:rsidRDefault="00333194">
      <w:pPr>
        <w:numPr>
          <w:ilvl w:val="0"/>
          <w:numId w:val="1"/>
        </w:numPr>
        <w:pBdr>
          <w:top w:val="nil"/>
          <w:left w:val="nil"/>
          <w:bottom w:val="nil"/>
          <w:right w:val="nil"/>
          <w:between w:val="nil"/>
        </w:pBdr>
        <w:spacing w:before="240"/>
        <w:jc w:val="both"/>
        <w:rPr>
          <w:rFonts w:ascii="Arial" w:eastAsia="Arial" w:hAnsi="Arial" w:cs="Arial"/>
          <w:i/>
          <w:color w:val="000000"/>
        </w:rPr>
      </w:pPr>
      <w:proofErr w:type="spellStart"/>
      <w:r>
        <w:rPr>
          <w:rFonts w:ascii="Arial" w:eastAsia="Arial" w:hAnsi="Arial" w:cs="Arial"/>
          <w:i/>
          <w:highlight w:val="white"/>
        </w:rPr>
        <w:t>Colabawalla</w:t>
      </w:r>
      <w:proofErr w:type="spellEnd"/>
      <w:r>
        <w:rPr>
          <w:rFonts w:ascii="Arial" w:eastAsia="Arial" w:hAnsi="Arial" w:cs="Arial"/>
          <w:i/>
          <w:highlight w:val="white"/>
        </w:rPr>
        <w:t xml:space="preserve">, B.N., 1990. Reflections on urogenital tuberculosis. Indian J </w:t>
      </w:r>
      <w:proofErr w:type="spellStart"/>
      <w:r>
        <w:rPr>
          <w:rFonts w:ascii="Arial" w:eastAsia="Arial" w:hAnsi="Arial" w:cs="Arial"/>
          <w:i/>
          <w:highlight w:val="white"/>
        </w:rPr>
        <w:t>Urol</w:t>
      </w:r>
      <w:proofErr w:type="spellEnd"/>
      <w:r>
        <w:rPr>
          <w:rFonts w:ascii="Arial" w:eastAsia="Arial" w:hAnsi="Arial" w:cs="Arial"/>
          <w:i/>
          <w:highlight w:val="white"/>
        </w:rPr>
        <w:t>, 6, pp.51-9.</w:t>
      </w:r>
    </w:p>
    <w:p w:rsidR="002C2CC2" w:rsidRDefault="00333194">
      <w:pPr>
        <w:numPr>
          <w:ilvl w:val="0"/>
          <w:numId w:val="1"/>
        </w:numPr>
        <w:pBdr>
          <w:top w:val="nil"/>
          <w:left w:val="nil"/>
          <w:bottom w:val="nil"/>
          <w:right w:val="nil"/>
          <w:between w:val="nil"/>
        </w:pBdr>
        <w:spacing w:before="240"/>
        <w:jc w:val="both"/>
        <w:rPr>
          <w:rFonts w:ascii="Arial" w:eastAsia="Arial" w:hAnsi="Arial" w:cs="Arial"/>
          <w:i/>
          <w:color w:val="000000"/>
        </w:rPr>
      </w:pPr>
      <w:r>
        <w:rPr>
          <w:rFonts w:ascii="Arial" w:eastAsia="Arial" w:hAnsi="Arial" w:cs="Arial"/>
          <w:i/>
          <w:highlight w:val="white"/>
        </w:rPr>
        <w:lastRenderedPageBreak/>
        <w:t>Mishra, Kumar Gaurav et al. “Tuberculosis of the prostate gland masquerading prostate cancer; five cases experience at IGIMS.” Urology annals vol. 11,4 (2019): 389-392. doi:10.4103/UA.UA_119_18</w:t>
      </w:r>
    </w:p>
    <w:p w:rsidR="002C2CC2" w:rsidRDefault="00333194">
      <w:pPr>
        <w:numPr>
          <w:ilvl w:val="0"/>
          <w:numId w:val="1"/>
        </w:numPr>
        <w:pBdr>
          <w:top w:val="nil"/>
          <w:left w:val="nil"/>
          <w:bottom w:val="nil"/>
          <w:right w:val="nil"/>
          <w:between w:val="nil"/>
        </w:pBdr>
        <w:spacing w:before="240"/>
        <w:jc w:val="both"/>
        <w:rPr>
          <w:rFonts w:ascii="Arial" w:eastAsia="Arial" w:hAnsi="Arial" w:cs="Arial"/>
          <w:i/>
          <w:color w:val="000000"/>
        </w:rPr>
      </w:pPr>
      <w:proofErr w:type="spellStart"/>
      <w:r>
        <w:rPr>
          <w:rFonts w:ascii="Arial" w:eastAsia="Arial" w:hAnsi="Arial" w:cs="Arial"/>
          <w:i/>
          <w:highlight w:val="white"/>
        </w:rPr>
        <w:t>Gow</w:t>
      </w:r>
      <w:proofErr w:type="spellEnd"/>
      <w:r>
        <w:rPr>
          <w:rFonts w:ascii="Arial" w:eastAsia="Arial" w:hAnsi="Arial" w:cs="Arial"/>
          <w:i/>
          <w:highlight w:val="white"/>
        </w:rPr>
        <w:t xml:space="preserve">, J. G., P. C. Walsh, A. B. </w:t>
      </w:r>
      <w:proofErr w:type="spellStart"/>
      <w:r>
        <w:rPr>
          <w:rFonts w:ascii="Arial" w:eastAsia="Arial" w:hAnsi="Arial" w:cs="Arial"/>
          <w:i/>
          <w:highlight w:val="white"/>
        </w:rPr>
        <w:t>Retik</w:t>
      </w:r>
      <w:proofErr w:type="spellEnd"/>
      <w:r>
        <w:rPr>
          <w:rFonts w:ascii="Arial" w:eastAsia="Arial" w:hAnsi="Arial" w:cs="Arial"/>
          <w:i/>
          <w:highlight w:val="white"/>
        </w:rPr>
        <w:t xml:space="preserve">, T. A. </w:t>
      </w:r>
      <w:proofErr w:type="spellStart"/>
      <w:r>
        <w:rPr>
          <w:rFonts w:ascii="Arial" w:eastAsia="Arial" w:hAnsi="Arial" w:cs="Arial"/>
          <w:i/>
          <w:highlight w:val="white"/>
        </w:rPr>
        <w:t>Stamey</w:t>
      </w:r>
      <w:proofErr w:type="spellEnd"/>
      <w:r>
        <w:rPr>
          <w:rFonts w:ascii="Arial" w:eastAsia="Arial" w:hAnsi="Arial" w:cs="Arial"/>
          <w:i/>
          <w:highlight w:val="white"/>
        </w:rPr>
        <w:t>, and E. D. Vaughan. "Campbell's urology." (1992): 951-981.</w:t>
      </w:r>
    </w:p>
    <w:p w:rsidR="002C2CC2" w:rsidRDefault="00333194">
      <w:pPr>
        <w:numPr>
          <w:ilvl w:val="0"/>
          <w:numId w:val="1"/>
        </w:numPr>
        <w:pBdr>
          <w:top w:val="nil"/>
          <w:left w:val="nil"/>
          <w:bottom w:val="nil"/>
          <w:right w:val="nil"/>
          <w:between w:val="nil"/>
        </w:pBdr>
        <w:spacing w:before="240"/>
        <w:jc w:val="both"/>
        <w:rPr>
          <w:rFonts w:ascii="Arial" w:eastAsia="Arial" w:hAnsi="Arial" w:cs="Arial"/>
          <w:i/>
          <w:color w:val="000000"/>
        </w:rPr>
      </w:pPr>
      <w:proofErr w:type="spellStart"/>
      <w:r>
        <w:rPr>
          <w:rFonts w:ascii="Arial" w:eastAsia="Arial" w:hAnsi="Arial" w:cs="Arial"/>
          <w:i/>
          <w:highlight w:val="white"/>
        </w:rPr>
        <w:t>Sener</w:t>
      </w:r>
      <w:proofErr w:type="spellEnd"/>
      <w:r>
        <w:rPr>
          <w:rFonts w:ascii="Arial" w:eastAsia="Arial" w:hAnsi="Arial" w:cs="Arial"/>
          <w:i/>
          <w:highlight w:val="white"/>
        </w:rPr>
        <w:t xml:space="preserve">, </w:t>
      </w:r>
      <w:proofErr w:type="spellStart"/>
      <w:r>
        <w:rPr>
          <w:rFonts w:ascii="Arial" w:eastAsia="Arial" w:hAnsi="Arial" w:cs="Arial"/>
          <w:i/>
          <w:highlight w:val="white"/>
        </w:rPr>
        <w:t>Alper</w:t>
      </w:r>
      <w:proofErr w:type="spellEnd"/>
      <w:r>
        <w:rPr>
          <w:rFonts w:ascii="Arial" w:eastAsia="Arial" w:hAnsi="Arial" w:cs="Arial"/>
          <w:i/>
          <w:highlight w:val="white"/>
        </w:rPr>
        <w:t xml:space="preserve">, and </w:t>
      </w:r>
      <w:proofErr w:type="spellStart"/>
      <w:r>
        <w:rPr>
          <w:rFonts w:ascii="Arial" w:eastAsia="Arial" w:hAnsi="Arial" w:cs="Arial"/>
          <w:i/>
          <w:highlight w:val="white"/>
        </w:rPr>
        <w:t>Hakan</w:t>
      </w:r>
      <w:proofErr w:type="spellEnd"/>
      <w:r>
        <w:rPr>
          <w:rFonts w:ascii="Arial" w:eastAsia="Arial" w:hAnsi="Arial" w:cs="Arial"/>
          <w:i/>
          <w:highlight w:val="white"/>
        </w:rPr>
        <w:t xml:space="preserve"> </w:t>
      </w:r>
      <w:proofErr w:type="spellStart"/>
      <w:r>
        <w:rPr>
          <w:rFonts w:ascii="Arial" w:eastAsia="Arial" w:hAnsi="Arial" w:cs="Arial"/>
          <w:i/>
          <w:highlight w:val="white"/>
        </w:rPr>
        <w:t>Erdem</w:t>
      </w:r>
      <w:proofErr w:type="spellEnd"/>
      <w:r>
        <w:rPr>
          <w:rFonts w:ascii="Arial" w:eastAsia="Arial" w:hAnsi="Arial" w:cs="Arial"/>
          <w:i/>
          <w:highlight w:val="white"/>
        </w:rPr>
        <w:t>, eds. Extrapulmonary tuberculosis. Vol. 1. Springer International Publishing, 2019.</w:t>
      </w:r>
    </w:p>
    <w:p w:rsidR="002C2CC2" w:rsidRDefault="00333194">
      <w:pPr>
        <w:numPr>
          <w:ilvl w:val="0"/>
          <w:numId w:val="1"/>
        </w:numPr>
        <w:pBdr>
          <w:top w:val="nil"/>
          <w:left w:val="nil"/>
          <w:bottom w:val="nil"/>
          <w:right w:val="nil"/>
          <w:between w:val="nil"/>
        </w:pBdr>
        <w:spacing w:before="240"/>
        <w:jc w:val="both"/>
        <w:rPr>
          <w:rFonts w:ascii="Arial" w:eastAsia="Arial" w:hAnsi="Arial" w:cs="Arial"/>
          <w:i/>
          <w:color w:val="000000"/>
        </w:rPr>
      </w:pPr>
      <w:proofErr w:type="spellStart"/>
      <w:r>
        <w:rPr>
          <w:rFonts w:ascii="Arial" w:eastAsia="Arial" w:hAnsi="Arial" w:cs="Arial"/>
          <w:i/>
          <w:highlight w:val="white"/>
        </w:rPr>
        <w:t>Bellouki</w:t>
      </w:r>
      <w:proofErr w:type="spellEnd"/>
      <w:r>
        <w:rPr>
          <w:rFonts w:ascii="Arial" w:eastAsia="Arial" w:hAnsi="Arial" w:cs="Arial"/>
          <w:i/>
          <w:highlight w:val="white"/>
        </w:rPr>
        <w:t xml:space="preserve">, Omar, </w:t>
      </w:r>
      <w:proofErr w:type="spellStart"/>
      <w:r>
        <w:rPr>
          <w:rFonts w:ascii="Arial" w:eastAsia="Arial" w:hAnsi="Arial" w:cs="Arial"/>
          <w:i/>
          <w:highlight w:val="white"/>
        </w:rPr>
        <w:t>Abdelmounim</w:t>
      </w:r>
      <w:proofErr w:type="spellEnd"/>
      <w:r>
        <w:rPr>
          <w:rFonts w:ascii="Arial" w:eastAsia="Arial" w:hAnsi="Arial" w:cs="Arial"/>
          <w:i/>
          <w:highlight w:val="white"/>
        </w:rPr>
        <w:t xml:space="preserve"> </w:t>
      </w:r>
      <w:proofErr w:type="spellStart"/>
      <w:r>
        <w:rPr>
          <w:rFonts w:ascii="Arial" w:eastAsia="Arial" w:hAnsi="Arial" w:cs="Arial"/>
          <w:i/>
          <w:highlight w:val="white"/>
        </w:rPr>
        <w:t>Boughaleb</w:t>
      </w:r>
      <w:proofErr w:type="spellEnd"/>
      <w:r>
        <w:rPr>
          <w:rFonts w:ascii="Arial" w:eastAsia="Arial" w:hAnsi="Arial" w:cs="Arial"/>
          <w:i/>
          <w:highlight w:val="white"/>
        </w:rPr>
        <w:t xml:space="preserve">, Ilyas </w:t>
      </w:r>
      <w:proofErr w:type="spellStart"/>
      <w:r>
        <w:rPr>
          <w:rFonts w:ascii="Arial" w:eastAsia="Arial" w:hAnsi="Arial" w:cs="Arial"/>
          <w:i/>
          <w:highlight w:val="white"/>
        </w:rPr>
        <w:t>Soufiani</w:t>
      </w:r>
      <w:proofErr w:type="spellEnd"/>
      <w:r>
        <w:rPr>
          <w:rFonts w:ascii="Arial" w:eastAsia="Arial" w:hAnsi="Arial" w:cs="Arial"/>
          <w:i/>
          <w:highlight w:val="white"/>
        </w:rPr>
        <w:t xml:space="preserve">, Imad </w:t>
      </w:r>
      <w:proofErr w:type="spellStart"/>
      <w:r>
        <w:rPr>
          <w:rFonts w:ascii="Arial" w:eastAsia="Arial" w:hAnsi="Arial" w:cs="Arial"/>
          <w:i/>
          <w:highlight w:val="white"/>
        </w:rPr>
        <w:t>Boualaoui</w:t>
      </w:r>
      <w:proofErr w:type="spellEnd"/>
      <w:r>
        <w:rPr>
          <w:rFonts w:ascii="Arial" w:eastAsia="Arial" w:hAnsi="Arial" w:cs="Arial"/>
          <w:i/>
          <w:highlight w:val="white"/>
        </w:rPr>
        <w:t xml:space="preserve">, </w:t>
      </w:r>
      <w:proofErr w:type="spellStart"/>
      <w:r>
        <w:rPr>
          <w:rFonts w:ascii="Arial" w:eastAsia="Arial" w:hAnsi="Arial" w:cs="Arial"/>
          <w:i/>
          <w:highlight w:val="white"/>
        </w:rPr>
        <w:t>Hachem</w:t>
      </w:r>
      <w:proofErr w:type="spellEnd"/>
      <w:r>
        <w:rPr>
          <w:rFonts w:ascii="Arial" w:eastAsia="Arial" w:hAnsi="Arial" w:cs="Arial"/>
          <w:i/>
          <w:highlight w:val="white"/>
        </w:rPr>
        <w:t xml:space="preserve"> El Sayegh, and Yassine </w:t>
      </w:r>
      <w:proofErr w:type="spellStart"/>
      <w:r>
        <w:rPr>
          <w:rFonts w:ascii="Arial" w:eastAsia="Arial" w:hAnsi="Arial" w:cs="Arial"/>
          <w:i/>
          <w:highlight w:val="white"/>
        </w:rPr>
        <w:t>Nouini</w:t>
      </w:r>
      <w:proofErr w:type="spellEnd"/>
      <w:r>
        <w:rPr>
          <w:rFonts w:ascii="Arial" w:eastAsia="Arial" w:hAnsi="Arial" w:cs="Arial"/>
          <w:i/>
          <w:highlight w:val="white"/>
        </w:rPr>
        <w:t>. "Isolated prostate tuberculosis: A rare condition." Urology Case Reports 53 (2024): 102669.</w:t>
      </w:r>
    </w:p>
    <w:p w:rsidR="002C2CC2" w:rsidRDefault="00333194">
      <w:pPr>
        <w:numPr>
          <w:ilvl w:val="0"/>
          <w:numId w:val="1"/>
        </w:numPr>
        <w:pBdr>
          <w:top w:val="nil"/>
          <w:left w:val="nil"/>
          <w:bottom w:val="nil"/>
          <w:right w:val="nil"/>
          <w:between w:val="nil"/>
        </w:pBdr>
        <w:spacing w:before="240"/>
        <w:jc w:val="both"/>
        <w:rPr>
          <w:rFonts w:ascii="Arial" w:eastAsia="Arial" w:hAnsi="Arial" w:cs="Arial"/>
          <w:i/>
          <w:color w:val="000000"/>
        </w:rPr>
      </w:pPr>
      <w:proofErr w:type="spellStart"/>
      <w:r>
        <w:rPr>
          <w:rFonts w:ascii="Arial" w:eastAsia="Arial" w:hAnsi="Arial" w:cs="Arial"/>
          <w:i/>
          <w:highlight w:val="white"/>
        </w:rPr>
        <w:t>Kulchavenya</w:t>
      </w:r>
      <w:proofErr w:type="spellEnd"/>
      <w:r>
        <w:rPr>
          <w:rFonts w:ascii="Arial" w:eastAsia="Arial" w:hAnsi="Arial" w:cs="Arial"/>
          <w:i/>
          <w:highlight w:val="white"/>
        </w:rPr>
        <w:t>, Ekaterina. Current therapy and surgery for urogenital tuberculosis. Springer International Publishing, 2016.</w:t>
      </w:r>
    </w:p>
    <w:p w:rsidR="002C2CC2" w:rsidRDefault="00333194">
      <w:pPr>
        <w:numPr>
          <w:ilvl w:val="0"/>
          <w:numId w:val="1"/>
        </w:numPr>
        <w:pBdr>
          <w:top w:val="nil"/>
          <w:left w:val="nil"/>
          <w:bottom w:val="nil"/>
          <w:right w:val="nil"/>
          <w:between w:val="nil"/>
        </w:pBdr>
        <w:spacing w:before="240"/>
        <w:jc w:val="both"/>
        <w:rPr>
          <w:rFonts w:ascii="Arial" w:eastAsia="Arial" w:hAnsi="Arial" w:cs="Arial"/>
          <w:i/>
          <w:color w:val="000000"/>
        </w:rPr>
      </w:pPr>
      <w:r>
        <w:rPr>
          <w:rFonts w:ascii="Arial" w:eastAsia="Arial" w:hAnsi="Arial" w:cs="Arial"/>
          <w:i/>
          <w:highlight w:val="white"/>
        </w:rPr>
        <w:t xml:space="preserve">Gupta N, Mandal AK, Singh SK. Tuberculosis of the prostate and urethra: A review. Indian J Urol. 2008 Jul;24(3):388-91. </w:t>
      </w:r>
      <w:proofErr w:type="spellStart"/>
      <w:r>
        <w:rPr>
          <w:rFonts w:ascii="Arial" w:eastAsia="Arial" w:hAnsi="Arial" w:cs="Arial"/>
          <w:i/>
          <w:highlight w:val="white"/>
        </w:rPr>
        <w:t>doi</w:t>
      </w:r>
      <w:proofErr w:type="spellEnd"/>
      <w:r>
        <w:rPr>
          <w:rFonts w:ascii="Arial" w:eastAsia="Arial" w:hAnsi="Arial" w:cs="Arial"/>
          <w:i/>
          <w:highlight w:val="white"/>
        </w:rPr>
        <w:t>: 10.4103/0970-1591.42623. PMID: 19468474; PMCID: PMC2684345.</w:t>
      </w:r>
    </w:p>
    <w:p w:rsidR="002C2CC2" w:rsidRDefault="00333194">
      <w:pPr>
        <w:numPr>
          <w:ilvl w:val="0"/>
          <w:numId w:val="1"/>
        </w:numPr>
        <w:pBdr>
          <w:top w:val="nil"/>
          <w:left w:val="nil"/>
          <w:bottom w:val="nil"/>
          <w:right w:val="nil"/>
          <w:between w:val="nil"/>
        </w:pBdr>
        <w:spacing w:before="240"/>
        <w:jc w:val="both"/>
        <w:rPr>
          <w:rFonts w:ascii="Arial" w:eastAsia="Arial" w:hAnsi="Arial" w:cs="Arial"/>
          <w:i/>
          <w:color w:val="000000"/>
        </w:rPr>
      </w:pPr>
      <w:r>
        <w:rPr>
          <w:rFonts w:ascii="Arial" w:eastAsia="Arial" w:hAnsi="Arial" w:cs="Arial"/>
          <w:i/>
          <w:highlight w:val="white"/>
        </w:rPr>
        <w:t xml:space="preserve">EAU Guidelines. </w:t>
      </w:r>
      <w:proofErr w:type="spellStart"/>
      <w:r>
        <w:rPr>
          <w:rFonts w:ascii="Arial" w:eastAsia="Arial" w:hAnsi="Arial" w:cs="Arial"/>
          <w:i/>
          <w:highlight w:val="white"/>
        </w:rPr>
        <w:t>Edn</w:t>
      </w:r>
      <w:proofErr w:type="spellEnd"/>
      <w:r>
        <w:rPr>
          <w:rFonts w:ascii="Arial" w:eastAsia="Arial" w:hAnsi="Arial" w:cs="Arial"/>
          <w:i/>
          <w:highlight w:val="white"/>
        </w:rPr>
        <w:t>. presented at the EAU Annual Congress Milan, Italy 2023. ISBN 978-94-92671-19-6</w:t>
      </w:r>
    </w:p>
    <w:p w:rsidR="002C2CC2" w:rsidRDefault="00333194">
      <w:pPr>
        <w:numPr>
          <w:ilvl w:val="0"/>
          <w:numId w:val="1"/>
        </w:numPr>
        <w:pBdr>
          <w:top w:val="nil"/>
          <w:left w:val="nil"/>
          <w:bottom w:val="nil"/>
          <w:right w:val="nil"/>
          <w:between w:val="nil"/>
        </w:pBdr>
        <w:spacing w:before="240"/>
        <w:jc w:val="both"/>
        <w:rPr>
          <w:rFonts w:ascii="Arial" w:eastAsia="Arial" w:hAnsi="Arial" w:cs="Arial"/>
          <w:i/>
          <w:color w:val="000000"/>
        </w:rPr>
      </w:pPr>
      <w:r>
        <w:rPr>
          <w:rFonts w:ascii="Arial" w:eastAsia="Arial" w:hAnsi="Arial" w:cs="Arial"/>
          <w:i/>
          <w:highlight w:val="white"/>
        </w:rPr>
        <w:t>El-</w:t>
      </w:r>
      <w:proofErr w:type="spellStart"/>
      <w:r>
        <w:rPr>
          <w:rFonts w:ascii="Arial" w:eastAsia="Arial" w:hAnsi="Arial" w:cs="Arial"/>
          <w:i/>
          <w:highlight w:val="white"/>
        </w:rPr>
        <w:t>Zammar</w:t>
      </w:r>
      <w:proofErr w:type="spellEnd"/>
      <w:r>
        <w:rPr>
          <w:rFonts w:ascii="Arial" w:eastAsia="Arial" w:hAnsi="Arial" w:cs="Arial"/>
          <w:i/>
          <w:highlight w:val="white"/>
        </w:rPr>
        <w:t xml:space="preserve"> O. A., Katzenstein A.-L. A. Pathological diagnosis of granulomatous lung disease: a review. Histopathology. 2007;50(3):289–310. </w:t>
      </w:r>
      <w:proofErr w:type="spellStart"/>
      <w:r>
        <w:rPr>
          <w:rFonts w:ascii="Arial" w:eastAsia="Arial" w:hAnsi="Arial" w:cs="Arial"/>
          <w:i/>
          <w:highlight w:val="white"/>
        </w:rPr>
        <w:t>doi</w:t>
      </w:r>
      <w:proofErr w:type="spellEnd"/>
      <w:r>
        <w:rPr>
          <w:rFonts w:ascii="Arial" w:eastAsia="Arial" w:hAnsi="Arial" w:cs="Arial"/>
          <w:i/>
          <w:highlight w:val="white"/>
        </w:rPr>
        <w:t>: 10.1111/j.1365-2559.2006.</w:t>
      </w:r>
      <w:proofErr w:type="gramStart"/>
      <w:r>
        <w:rPr>
          <w:rFonts w:ascii="Arial" w:eastAsia="Arial" w:hAnsi="Arial" w:cs="Arial"/>
          <w:i/>
          <w:highlight w:val="white"/>
        </w:rPr>
        <w:t>02546.x.</w:t>
      </w:r>
      <w:proofErr w:type="gramEnd"/>
    </w:p>
    <w:p w:rsidR="002C2CC2" w:rsidRDefault="00333194">
      <w:pPr>
        <w:numPr>
          <w:ilvl w:val="0"/>
          <w:numId w:val="1"/>
        </w:numPr>
        <w:pBdr>
          <w:top w:val="nil"/>
          <w:left w:val="nil"/>
          <w:bottom w:val="nil"/>
          <w:right w:val="nil"/>
          <w:between w:val="nil"/>
        </w:pBdr>
        <w:spacing w:before="240"/>
        <w:jc w:val="both"/>
        <w:rPr>
          <w:rFonts w:ascii="Arial" w:eastAsia="Arial" w:hAnsi="Arial" w:cs="Arial"/>
          <w:i/>
          <w:color w:val="000000"/>
        </w:rPr>
      </w:pPr>
      <w:proofErr w:type="spellStart"/>
      <w:r>
        <w:rPr>
          <w:rFonts w:ascii="Arial" w:eastAsia="Arial" w:hAnsi="Arial" w:cs="Arial"/>
          <w:i/>
          <w:highlight w:val="white"/>
        </w:rPr>
        <w:t>Figueiredo</w:t>
      </w:r>
      <w:proofErr w:type="spellEnd"/>
      <w:r>
        <w:rPr>
          <w:rFonts w:ascii="Arial" w:eastAsia="Arial" w:hAnsi="Arial" w:cs="Arial"/>
          <w:i/>
          <w:highlight w:val="white"/>
        </w:rPr>
        <w:t xml:space="preserve"> </w:t>
      </w:r>
      <w:proofErr w:type="spellStart"/>
      <w:r>
        <w:rPr>
          <w:rFonts w:ascii="Arial" w:eastAsia="Arial" w:hAnsi="Arial" w:cs="Arial"/>
          <w:i/>
          <w:highlight w:val="white"/>
        </w:rPr>
        <w:t>AA.Lucon</w:t>
      </w:r>
      <w:proofErr w:type="spellEnd"/>
      <w:r>
        <w:rPr>
          <w:rFonts w:ascii="Arial" w:eastAsia="Arial" w:hAnsi="Arial" w:cs="Arial"/>
          <w:i/>
          <w:highlight w:val="white"/>
        </w:rPr>
        <w:t xml:space="preserve"> </w:t>
      </w:r>
      <w:proofErr w:type="spellStart"/>
      <w:r>
        <w:rPr>
          <w:rFonts w:ascii="Arial" w:eastAsia="Arial" w:hAnsi="Arial" w:cs="Arial"/>
          <w:i/>
          <w:highlight w:val="white"/>
        </w:rPr>
        <w:t>AM.Srougi</w:t>
      </w:r>
      <w:proofErr w:type="spellEnd"/>
      <w:r>
        <w:rPr>
          <w:rFonts w:ascii="Arial" w:eastAsia="Arial" w:hAnsi="Arial" w:cs="Arial"/>
          <w:i/>
          <w:highlight w:val="white"/>
        </w:rPr>
        <w:t xml:space="preserve"> M. 2017. Urogenital Tuberculosis. Microbiol </w:t>
      </w:r>
      <w:proofErr w:type="spellStart"/>
      <w:r>
        <w:rPr>
          <w:rFonts w:ascii="Arial" w:eastAsia="Arial" w:hAnsi="Arial" w:cs="Arial"/>
          <w:i/>
          <w:highlight w:val="white"/>
        </w:rPr>
        <w:t>Spectr</w:t>
      </w:r>
      <w:proofErr w:type="spellEnd"/>
      <w:r>
        <w:rPr>
          <w:rFonts w:ascii="Arial" w:eastAsia="Arial" w:hAnsi="Arial" w:cs="Arial"/>
          <w:i/>
          <w:highlight w:val="white"/>
        </w:rPr>
        <w:t xml:space="preserve"> 5:10.1128/microbiolspec.tnmi7-0015-2016.</w:t>
      </w:r>
    </w:p>
    <w:p w:rsidR="002C2CC2" w:rsidRDefault="00333194">
      <w:pPr>
        <w:numPr>
          <w:ilvl w:val="0"/>
          <w:numId w:val="1"/>
        </w:numPr>
        <w:pBdr>
          <w:top w:val="nil"/>
          <w:left w:val="nil"/>
          <w:bottom w:val="nil"/>
          <w:right w:val="nil"/>
          <w:between w:val="nil"/>
        </w:pBdr>
        <w:spacing w:before="240"/>
        <w:jc w:val="both"/>
        <w:rPr>
          <w:rFonts w:ascii="Arial" w:eastAsia="Arial" w:hAnsi="Arial" w:cs="Arial"/>
          <w:i/>
          <w:color w:val="000000"/>
        </w:rPr>
      </w:pPr>
      <w:r>
        <w:rPr>
          <w:rFonts w:ascii="Arial" w:eastAsia="Arial" w:hAnsi="Arial" w:cs="Arial"/>
          <w:i/>
          <w:highlight w:val="white"/>
        </w:rPr>
        <w:t xml:space="preserve">Malaysian Clinical </w:t>
      </w:r>
      <w:proofErr w:type="spellStart"/>
      <w:r>
        <w:rPr>
          <w:rFonts w:ascii="Arial" w:eastAsia="Arial" w:hAnsi="Arial" w:cs="Arial"/>
          <w:i/>
          <w:highlight w:val="white"/>
        </w:rPr>
        <w:t>Practise</w:t>
      </w:r>
      <w:proofErr w:type="spellEnd"/>
      <w:r>
        <w:rPr>
          <w:rFonts w:ascii="Arial" w:eastAsia="Arial" w:hAnsi="Arial" w:cs="Arial"/>
          <w:i/>
          <w:highlight w:val="white"/>
        </w:rPr>
        <w:t xml:space="preserve"> Guidelines, Management of Tuberculosis (Fourth Edition) 2021, MOH/P/PAK/469.21(GU)-e</w:t>
      </w:r>
    </w:p>
    <w:p w:rsidR="002C2CC2" w:rsidRDefault="002C2CC2">
      <w:pPr>
        <w:pBdr>
          <w:top w:val="nil"/>
          <w:left w:val="nil"/>
          <w:bottom w:val="nil"/>
          <w:right w:val="nil"/>
          <w:between w:val="nil"/>
        </w:pBdr>
        <w:jc w:val="both"/>
        <w:rPr>
          <w:rFonts w:ascii="Arial" w:eastAsia="Arial" w:hAnsi="Arial" w:cs="Arial"/>
          <w:b/>
          <w:color w:val="000000"/>
        </w:rPr>
      </w:pPr>
    </w:p>
    <w:sectPr w:rsidR="002C2CC2" w:rsidSect="00446B27">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A24" w:rsidRDefault="00C75A24">
      <w:r>
        <w:separator/>
      </w:r>
    </w:p>
  </w:endnote>
  <w:endnote w:type="continuationSeparator" w:id="0">
    <w:p w:rsidR="00C75A24" w:rsidRDefault="00C7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SimSun"/>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B27" w:rsidRDefault="00446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B27" w:rsidRDefault="00446B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CC2" w:rsidRDefault="002C2CC2">
    <w:pPr>
      <w:pBdr>
        <w:top w:val="nil"/>
        <w:left w:val="nil"/>
        <w:bottom w:val="nil"/>
        <w:right w:val="nil"/>
        <w:between w:val="nil"/>
      </w:pBdr>
      <w:tabs>
        <w:tab w:val="center" w:pos="4320"/>
        <w:tab w:val="right" w:pos="8640"/>
      </w:tabs>
      <w:rPr>
        <w:rFonts w:ascii="Arial" w:eastAsia="Arial" w:hAnsi="Arial" w:cs="Arial"/>
        <w:color w:val="000000"/>
        <w:sz w:val="16"/>
        <w:szCs w:val="16"/>
      </w:rPr>
    </w:pPr>
  </w:p>
  <w:p w:rsidR="002C2CC2" w:rsidRDefault="00333194">
    <w:pPr>
      <w:pBdr>
        <w:top w:val="nil"/>
        <w:left w:val="nil"/>
        <w:bottom w:val="nil"/>
        <w:right w:val="nil"/>
        <w:between w:val="nil"/>
      </w:pBdr>
      <w:tabs>
        <w:tab w:val="center" w:pos="4320"/>
        <w:tab w:val="right" w:pos="8640"/>
      </w:tabs>
      <w:jc w:val="center"/>
      <w:rPr>
        <w:rFonts w:ascii="Arial" w:eastAsia="Arial" w:hAnsi="Arial" w:cs="Arial"/>
        <w:color w:val="000000"/>
        <w:sz w:val="16"/>
        <w:szCs w:val="16"/>
      </w:rPr>
    </w:pPr>
    <w:r>
      <w:rPr>
        <w:rFonts w:ascii="Arial" w:eastAsia="Arial" w:hAnsi="Arial" w:cs="Arial"/>
        <w:color w:val="000000"/>
        <w:sz w:val="16"/>
        <w:szCs w:val="16"/>
      </w:rPr>
      <w:t>____________________________________________________________________________________________</w:t>
    </w:r>
  </w:p>
  <w:p w:rsidR="002C2CC2" w:rsidRDefault="002C2CC2">
    <w:pPr>
      <w:pBdr>
        <w:top w:val="nil"/>
        <w:left w:val="nil"/>
        <w:bottom w:val="nil"/>
        <w:right w:val="nil"/>
        <w:between w:val="nil"/>
      </w:pBdr>
      <w:tabs>
        <w:tab w:val="center" w:pos="4320"/>
        <w:tab w:val="right" w:pos="8640"/>
      </w:tabs>
      <w:rPr>
        <w:rFonts w:ascii="Arial" w:eastAsia="Arial" w:hAnsi="Arial" w:cs="Arial"/>
        <w:color w:val="000000"/>
        <w:sz w:val="16"/>
        <w:szCs w:val="16"/>
      </w:rPr>
    </w:pPr>
  </w:p>
  <w:p w:rsidR="002C2CC2" w:rsidRDefault="00333194">
    <w:pPr>
      <w:pBdr>
        <w:top w:val="nil"/>
        <w:left w:val="nil"/>
        <w:bottom w:val="nil"/>
        <w:right w:val="nil"/>
        <w:between w:val="nil"/>
      </w:pBdr>
      <w:tabs>
        <w:tab w:val="center" w:pos="4320"/>
        <w:tab w:val="right" w:pos="8640"/>
      </w:tabs>
      <w:rPr>
        <w:rFonts w:ascii="Arial" w:eastAsia="Arial" w:hAnsi="Arial" w:cs="Arial"/>
        <w:i/>
        <w:color w:val="000000"/>
        <w:sz w:val="16"/>
        <w:szCs w:val="16"/>
      </w:rPr>
    </w:pPr>
    <w:r>
      <w:rPr>
        <w:rFonts w:ascii="Arial" w:eastAsia="Arial" w:hAnsi="Arial" w:cs="Arial"/>
        <w:i/>
        <w:color w:val="000000"/>
        <w:sz w:val="16"/>
        <w:szCs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CC2" w:rsidRDefault="002C2CC2">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A24" w:rsidRDefault="00C75A24">
      <w:r>
        <w:separator/>
      </w:r>
    </w:p>
  </w:footnote>
  <w:footnote w:type="continuationSeparator" w:id="0">
    <w:p w:rsidR="00C75A24" w:rsidRDefault="00C75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B27" w:rsidRDefault="00446B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6448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B27" w:rsidRDefault="00446B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6448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CC2" w:rsidRDefault="00446B27">
    <w:pPr>
      <w:ind w:left="2160"/>
      <w:jc w:val="center"/>
      <w:rPr>
        <w:rFonts w:ascii="Times New Roman" w:eastAsia="Times New Roman" w:hAnsi="Times New Roman" w:cs="Times New Roman"/>
        <w:i/>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6448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 Neue&quot;;font-size:1pt" string="UNDER PEER REVIEW"/>
        </v:shape>
      </w:pict>
    </w:r>
  </w:p>
  <w:p w:rsidR="002C2CC2" w:rsidRDefault="00333194">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2C2CC2" w:rsidRDefault="00333194">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rsidR="002C2CC2" w:rsidRDefault="00333194">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rsidR="002C2CC2" w:rsidRDefault="00333194">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2C2CC2" w:rsidRDefault="00333194">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rsidR="002C2CC2" w:rsidRDefault="00333194">
    <w:pPr>
      <w:pBdr>
        <w:top w:val="nil"/>
        <w:left w:val="nil"/>
        <w:bottom w:val="nil"/>
        <w:right w:val="nil"/>
        <w:between w:val="nil"/>
      </w:pBdr>
      <w:tabs>
        <w:tab w:val="center" w:pos="4320"/>
        <w:tab w:val="right" w:pos="8640"/>
      </w:tabs>
      <w:rPr>
        <w:color w:val="000000"/>
      </w:rPr>
    </w:pPr>
    <w:r>
      <w:rPr>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B27" w:rsidRDefault="00446B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6448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B27" w:rsidRDefault="00446B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6448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B27" w:rsidRDefault="00446B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6448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15D0"/>
    <w:multiLevelType w:val="multilevel"/>
    <w:tmpl w:val="DDF22D6C"/>
    <w:lvl w:ilvl="0">
      <w:start w:val="1"/>
      <w:numFmt w:val="decimal"/>
      <w:pStyle w:val="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8B1C59"/>
    <w:multiLevelType w:val="multilevel"/>
    <w:tmpl w:val="7A6AA9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CC2"/>
    <w:rsid w:val="000E74E4"/>
    <w:rsid w:val="002C2CC2"/>
    <w:rsid w:val="00302A5A"/>
    <w:rsid w:val="00333194"/>
    <w:rsid w:val="00446B27"/>
    <w:rsid w:val="00B65C9D"/>
    <w:rsid w:val="00B87BDE"/>
    <w:rsid w:val="00C7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4EDB223"/>
  <w15:docId w15:val="{A80FE135-208B-4531-AC95-67B53EFC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spacing w:after="360"/>
      <w:jc w:val="right"/>
    </w:pPr>
    <w:rPr>
      <w:b/>
      <w:sz w:val="36"/>
      <w:szCs w:val="36"/>
    </w:r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customStyle="1" w:styleId="Reference">
    <w:name w:val="Reference"/>
    <w:basedOn w:val="Body"/>
    <w:rsid w:val="00423789"/>
    <w:pPr>
      <w:numPr>
        <w:numId w:val="2"/>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rsid w:val="00F60509"/>
    <w:rPr>
      <w:rFonts w:ascii="Helvetica" w:hAnsi="Helvetica"/>
    </w:rPr>
  </w:style>
  <w:style w:type="paragraph" w:styleId="NormalWeb">
    <w:name w:val="Normal (Web)"/>
    <w:basedOn w:val="Normal"/>
    <w:uiPriority w:val="99"/>
    <w:semiHidden/>
    <w:unhideWhenUsed/>
    <w:rsid w:val="00300342"/>
    <w:pPr>
      <w:spacing w:before="100" w:beforeAutospacing="1" w:after="100" w:afterAutospacing="1"/>
    </w:pPr>
    <w:rPr>
      <w:rFonts w:ascii="Times New Roman" w:hAnsi="Times New Roman"/>
      <w:sz w:val="24"/>
      <w:szCs w:val="24"/>
      <w:lang w:val="en-MY" w:eastAsia="en-MY"/>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ThtJEPbgWHVVFFQg61nfN1QSkw==">CgMxLjAyDmgucnd2YThlaXJsOWtjMg5oLjQ1MXhlaTg2cDRwODgAciExTUJnQTFQcHgtaXBTU3k3WThpcVVwYWlNa1o3NW5HeGw=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2153</Words>
  <Characters>12276</Characters>
  <Application>Microsoft Office Word</Application>
  <DocSecurity>0</DocSecurity>
  <Lines>102</Lines>
  <Paragraphs>28</Paragraphs>
  <ScaleCrop>false</ScaleCrop>
  <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c:creator>
  <cp:lastModifiedBy>SDI 1084</cp:lastModifiedBy>
  <cp:revision>5</cp:revision>
  <dcterms:created xsi:type="dcterms:W3CDTF">2025-07-25T07:57:00Z</dcterms:created>
  <dcterms:modified xsi:type="dcterms:W3CDTF">2025-08-12T08:20:00Z</dcterms:modified>
</cp:coreProperties>
</file>