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uthor"/>
        <w:rPr>
          <w:rFonts w:ascii="Arial" w:hAnsi="Arial" w:cs="Arial"/>
          <w:bCs/>
          <w:i/>
          <w:iCs/>
          <w:kern w:val="28"/>
          <w:sz w:val="32"/>
          <w:szCs w:val="18"/>
          <w:u w:val="single"/>
        </w:rPr>
      </w:pPr>
      <w:r>
        <w:rPr>
          <w:rFonts w:ascii="Arial" w:hAnsi="Arial" w:cs="Arial"/>
          <w:bCs/>
          <w:i/>
          <w:iCs/>
          <w:kern w:val="28"/>
          <w:sz w:val="32"/>
          <w:szCs w:val="18"/>
          <w:u w:val="single"/>
        </w:rPr>
        <w:t xml:space="preserve">Case report </w:t>
      </w:r>
    </w:p>
    <w:p>
      <w:pPr>
        <w:pStyle w:val="Author"/>
        <w:spacing w:line="240" w:lineRule="auto"/>
        <w:rPr>
          <w:rFonts w:ascii="Arial" w:hAnsi="Arial" w:cs="Arial"/>
          <w:bCs/>
          <w:iCs/>
          <w:kern w:val="28"/>
          <w:sz w:val="36"/>
        </w:rPr>
      </w:pPr>
    </w:p>
    <w:p>
      <w:pPr>
        <w:pStyle w:val="Author"/>
        <w:spacing w:line="240" w:lineRule="auto"/>
        <w:rPr>
          <w:rFonts w:ascii="Arial" w:hAnsi="Arial" w:cs="Arial"/>
          <w:bCs/>
          <w:iCs/>
          <w:kern w:val="28"/>
          <w:sz w:val="36"/>
        </w:rPr>
      </w:pPr>
      <w:r>
        <w:rPr>
          <w:rFonts w:ascii="Arial" w:hAnsi="Arial" w:cs="Arial"/>
          <w:bCs/>
          <w:iCs/>
          <w:kern w:val="28"/>
          <w:sz w:val="36"/>
        </w:rPr>
        <w:t>Papillary Thyroid Carcinoma with Toxic Multinodular Goiter: A case report and Literature Review</w:t>
      </w:r>
    </w:p>
    <w:p>
      <w:pPr>
        <w:pStyle w:val="Author"/>
        <w:spacing w:line="240" w:lineRule="auto"/>
        <w:jc w:val="both"/>
        <w:rPr>
          <w:rFonts w:ascii="Arial" w:hAnsi="Arial" w:cs="Arial"/>
          <w:sz w:val="36"/>
        </w:rPr>
      </w:pPr>
    </w:p>
    <w:p>
      <w:pPr>
        <w:pStyle w:val="AbstHead"/>
        <w:spacing w:after="0"/>
        <w:jc w:val="both"/>
        <w:rPr>
          <w:rFonts w:ascii="Arial" w:hAnsi="Arial" w:cs="Arial"/>
        </w:rPr>
      </w:pPr>
      <w:r>
        <w:rPr>
          <w:rFonts w:ascii="Arial" w:hAnsi="Arial" w:cs="Arial"/>
        </w:rPr>
        <w:t xml:space="preserve">ABSTRACT </w:t>
      </w:r>
    </w:p>
    <w:p>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tc>
          <w:tcPr>
            <w:tcW w:w="9576" w:type="dxa"/>
            <w:shd w:val="clear" w:color="auto" w:fill="F2F2F2"/>
          </w:tcPr>
          <w:p>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Papillary thyroid carcinoma (PTC) is the most common variant of thyroid carcinoma (TC). TC usually occurs in euthyroid states. We discuss a rare case of co-existence of PTC with hyperthyroidism in a patient having toxic multinodular </w:t>
            </w:r>
            <w:proofErr w:type="spellStart"/>
            <w:r>
              <w:rPr>
                <w:rFonts w:ascii="Arial" w:eastAsia="Calibri" w:hAnsi="Arial" w:cs="Arial"/>
                <w:szCs w:val="22"/>
              </w:rPr>
              <w:t>goitre</w:t>
            </w:r>
            <w:proofErr w:type="spellEnd"/>
            <w:r>
              <w:rPr>
                <w:rFonts w:ascii="Arial" w:eastAsia="Calibri" w:hAnsi="Arial" w:cs="Arial"/>
                <w:szCs w:val="22"/>
              </w:rPr>
              <w:t xml:space="preserve"> (TMNG).</w:t>
            </w:r>
          </w:p>
          <w:p>
            <w:pPr>
              <w:pStyle w:val="Body"/>
              <w:spacing w:after="0"/>
              <w:rPr>
                <w:rFonts w:ascii="Arial" w:eastAsia="Calibri" w:hAnsi="Arial" w:cs="Arial"/>
                <w:szCs w:val="22"/>
              </w:rPr>
            </w:pPr>
          </w:p>
          <w:p>
            <w:pPr>
              <w:pStyle w:val="Default"/>
              <w:jc w:val="both"/>
              <w:rPr>
                <w:rFonts w:ascii="Arial" w:eastAsia="Calibri" w:hAnsi="Arial" w:cs="Arial"/>
                <w:color w:val="auto"/>
                <w:sz w:val="20"/>
                <w:szCs w:val="22"/>
                <w:lang w:val="en-US"/>
              </w:rPr>
            </w:pPr>
            <w:r>
              <w:rPr>
                <w:rFonts w:ascii="Arial" w:eastAsia="Calibri" w:hAnsi="Arial" w:cs="Arial"/>
                <w:b/>
                <w:bCs/>
                <w:color w:val="auto"/>
                <w:sz w:val="20"/>
                <w:szCs w:val="22"/>
                <w:lang w:val="en-US"/>
              </w:rPr>
              <w:t>Presentation of Case:</w:t>
            </w:r>
            <w:r>
              <w:rPr>
                <w:rFonts w:ascii="Arial" w:eastAsia="Calibri" w:hAnsi="Arial" w:cs="Arial"/>
                <w:color w:val="auto"/>
                <w:sz w:val="20"/>
                <w:szCs w:val="22"/>
                <w:lang w:val="en-US"/>
              </w:rPr>
              <w:t xml:space="preserve"> A 37-year-female presented with thyroid swelling for 6years. Initially size was static and confined to left lobe then progressed to involve entire thyroid (last 2years). Symptoms of hyperthyroidism and hoarseness of voice (last 1year) were present along with bilateral exophthalmos (last 2months). She was on Tab </w:t>
            </w:r>
            <w:proofErr w:type="spellStart"/>
            <w:r>
              <w:rPr>
                <w:rFonts w:ascii="Arial" w:eastAsia="Calibri" w:hAnsi="Arial" w:cs="Arial"/>
                <w:color w:val="auto"/>
                <w:sz w:val="20"/>
                <w:szCs w:val="22"/>
                <w:lang w:val="en-US"/>
              </w:rPr>
              <w:t>carbimazole</w:t>
            </w:r>
            <w:proofErr w:type="spellEnd"/>
            <w:r>
              <w:rPr>
                <w:rFonts w:ascii="Arial" w:eastAsia="Calibri" w:hAnsi="Arial" w:cs="Arial"/>
                <w:color w:val="auto"/>
                <w:sz w:val="20"/>
                <w:szCs w:val="22"/>
                <w:lang w:val="en-US"/>
              </w:rPr>
              <w:t xml:space="preserve"> (for 1year) and Tab propranolol (for 7months). On examination 16x10cm, firm, bosselated, well defined, thyroid swelling having palpable thrill over upper pole was present. Dalrymple’s sign was also present. HRUSG showed diffuse thyroiditis with multinodular </w:t>
            </w:r>
            <w:proofErr w:type="spellStart"/>
            <w:r>
              <w:rPr>
                <w:rFonts w:ascii="Arial" w:eastAsia="Calibri" w:hAnsi="Arial" w:cs="Arial"/>
                <w:color w:val="auto"/>
                <w:sz w:val="20"/>
                <w:szCs w:val="22"/>
                <w:lang w:val="en-US"/>
              </w:rPr>
              <w:t>goitre</w:t>
            </w:r>
            <w:proofErr w:type="spellEnd"/>
            <w:r>
              <w:rPr>
                <w:rFonts w:ascii="Arial" w:eastAsia="Calibri" w:hAnsi="Arial" w:cs="Arial"/>
                <w:color w:val="auto"/>
                <w:sz w:val="20"/>
                <w:szCs w:val="22"/>
                <w:lang w:val="en-US"/>
              </w:rPr>
              <w:t xml:space="preserve">. Blood biochemistry showed hyperthyroidism (FT3-6.15, FT4-6.99, TSH-0.39). FNAC done twice S/O Colloid </w:t>
            </w:r>
            <w:proofErr w:type="spellStart"/>
            <w:r>
              <w:rPr>
                <w:rFonts w:ascii="Arial" w:eastAsia="Calibri" w:hAnsi="Arial" w:cs="Arial"/>
                <w:color w:val="auto"/>
                <w:sz w:val="20"/>
                <w:szCs w:val="22"/>
                <w:lang w:val="en-US"/>
              </w:rPr>
              <w:t>goitre</w:t>
            </w:r>
            <w:proofErr w:type="spellEnd"/>
            <w:r>
              <w:rPr>
                <w:rFonts w:ascii="Arial" w:eastAsia="Calibri" w:hAnsi="Arial" w:cs="Arial"/>
                <w:color w:val="auto"/>
                <w:sz w:val="20"/>
                <w:szCs w:val="22"/>
                <w:lang w:val="en-US"/>
              </w:rPr>
              <w:t xml:space="preserve"> with cystic degeneration (Bethesda cat</w:t>
            </w:r>
            <w:bookmarkStart w:id="0" w:name="_GoBack"/>
            <w:bookmarkEnd w:id="0"/>
            <w:r>
              <w:rPr>
                <w:rFonts w:ascii="Arial" w:eastAsia="Calibri" w:hAnsi="Arial" w:cs="Arial"/>
                <w:color w:val="auto"/>
                <w:sz w:val="20"/>
                <w:szCs w:val="22"/>
                <w:lang w:val="en-US"/>
              </w:rPr>
              <w:t xml:space="preserve">egory II) and atypia of undetermined significance (category III) respectively. Diagnosis of TMNG with thyroid ophthalmopathy was made.  Total thyroidectomy was done. Post-operative period was uneventful. Bilateral vocal cord mobility was normal. Histopathology report showed right lobe </w:t>
            </w:r>
            <w:proofErr w:type="gramStart"/>
            <w:r>
              <w:rPr>
                <w:rFonts w:ascii="Arial" w:eastAsia="Calibri" w:hAnsi="Arial" w:cs="Arial"/>
                <w:color w:val="auto"/>
                <w:sz w:val="20"/>
                <w:szCs w:val="22"/>
                <w:lang w:val="en-US"/>
              </w:rPr>
              <w:t>PTC(</w:t>
            </w:r>
            <w:proofErr w:type="gramEnd"/>
            <w:r>
              <w:rPr>
                <w:rFonts w:ascii="Arial" w:eastAsia="Calibri" w:hAnsi="Arial" w:cs="Arial"/>
                <w:color w:val="auto"/>
                <w:sz w:val="20"/>
                <w:szCs w:val="22"/>
                <w:lang w:val="en-US"/>
              </w:rPr>
              <w:t xml:space="preserve">pT2Nx), left lobe adenomatous </w:t>
            </w:r>
            <w:proofErr w:type="spellStart"/>
            <w:r>
              <w:rPr>
                <w:rFonts w:ascii="Arial" w:eastAsia="Calibri" w:hAnsi="Arial" w:cs="Arial"/>
                <w:color w:val="auto"/>
                <w:sz w:val="20"/>
                <w:szCs w:val="22"/>
                <w:lang w:val="en-US"/>
              </w:rPr>
              <w:t>goitre</w:t>
            </w:r>
            <w:proofErr w:type="spellEnd"/>
            <w:r>
              <w:rPr>
                <w:rFonts w:ascii="Arial" w:eastAsia="Calibri" w:hAnsi="Arial" w:cs="Arial"/>
                <w:color w:val="auto"/>
                <w:sz w:val="20"/>
                <w:szCs w:val="22"/>
                <w:lang w:val="en-US"/>
              </w:rPr>
              <w:t>. Postoperative CECT-neck showed no cervical lymphadenopathy. In follow-up of 10 months, patient is asymptomatic and doing well on thyroxin supplementation.</w:t>
            </w:r>
          </w:p>
          <w:p>
            <w:pPr>
              <w:pStyle w:val="Default"/>
              <w:jc w:val="both"/>
              <w:rPr>
                <w:rFonts w:ascii="Arial" w:eastAsia="Calibri" w:hAnsi="Arial" w:cs="Arial"/>
                <w:color w:val="auto"/>
                <w:sz w:val="20"/>
                <w:szCs w:val="22"/>
                <w:lang w:val="en-US"/>
              </w:rPr>
            </w:pPr>
            <w:r>
              <w:rPr>
                <w:rFonts w:ascii="Arial" w:eastAsia="Calibri" w:hAnsi="Arial" w:cs="Arial"/>
                <w:color w:val="auto"/>
                <w:sz w:val="20"/>
                <w:szCs w:val="22"/>
                <w:lang w:val="en-US"/>
              </w:rPr>
              <w:t xml:space="preserve"> </w:t>
            </w:r>
          </w:p>
          <w:p>
            <w:pPr>
              <w:pStyle w:val="Default"/>
              <w:jc w:val="both"/>
              <w:rPr>
                <w:rFonts w:ascii="Arial" w:eastAsia="Calibri" w:hAnsi="Arial" w:cs="Arial"/>
                <w:color w:val="auto"/>
                <w:sz w:val="20"/>
                <w:szCs w:val="22"/>
                <w:lang w:val="en-US"/>
              </w:rPr>
            </w:pPr>
            <w:r>
              <w:rPr>
                <w:rFonts w:ascii="Arial" w:eastAsia="Calibri" w:hAnsi="Arial" w:cs="Arial"/>
                <w:b/>
                <w:bCs/>
                <w:color w:val="auto"/>
                <w:sz w:val="20"/>
                <w:szCs w:val="22"/>
                <w:lang w:val="en-US"/>
              </w:rPr>
              <w:t>Discussion and Conclusion:</w:t>
            </w:r>
            <w:r>
              <w:rPr>
                <w:rFonts w:ascii="Arial" w:eastAsia="Calibri" w:hAnsi="Arial" w:cs="Arial"/>
                <w:color w:val="auto"/>
                <w:sz w:val="20"/>
                <w:szCs w:val="22"/>
                <w:lang w:val="en-US"/>
              </w:rPr>
              <w:t xml:space="preserve"> The somatic mutations in the TSH receptor genes of cancer cells accounts for hyperthyroidism caused by thyroid carcinoma. This case highlights the need for a comprehensive evaluation to rule out cancer, especially in a hyperthyroidism-related clinical context.</w:t>
            </w:r>
          </w:p>
          <w:p>
            <w:pPr>
              <w:pStyle w:val="Body"/>
              <w:spacing w:after="0"/>
              <w:rPr>
                <w:rFonts w:ascii="Arial" w:eastAsia="Calibri" w:hAnsi="Arial" w:cs="Arial"/>
                <w:szCs w:val="22"/>
              </w:rPr>
            </w:pPr>
          </w:p>
        </w:tc>
      </w:tr>
    </w:tbl>
    <w:p>
      <w:pPr>
        <w:pStyle w:val="Body"/>
        <w:spacing w:after="0"/>
        <w:rPr>
          <w:rFonts w:ascii="Arial" w:hAnsi="Arial" w:cs="Arial"/>
          <w:i/>
        </w:rPr>
      </w:pPr>
    </w:p>
    <w:p>
      <w:pPr>
        <w:pStyle w:val="Default"/>
        <w:jc w:val="both"/>
        <w:rPr>
          <w:rFonts w:ascii="Arial" w:eastAsia="Times New Roman" w:hAnsi="Arial" w:cs="Arial"/>
          <w:i/>
          <w:color w:val="auto"/>
          <w:sz w:val="20"/>
          <w:szCs w:val="20"/>
          <w:lang w:val="en-US"/>
        </w:rPr>
      </w:pPr>
      <w:r>
        <w:rPr>
          <w:rFonts w:ascii="Arial" w:hAnsi="Arial" w:cs="Arial"/>
          <w:i/>
        </w:rPr>
        <w:t>Keywords:</w:t>
      </w:r>
      <w:r>
        <w:rPr>
          <w:rFonts w:ascii="Times New Roman" w:hAnsi="Times New Roman"/>
          <w:bCs/>
          <w:color w:val="000000" w:themeColor="text1"/>
          <w:szCs w:val="32"/>
        </w:rPr>
        <w:t xml:space="preserve"> </w:t>
      </w:r>
      <w:r>
        <w:rPr>
          <w:rFonts w:ascii="Arial" w:eastAsia="Times New Roman" w:hAnsi="Arial" w:cs="Arial"/>
          <w:i/>
          <w:color w:val="auto"/>
          <w:sz w:val="20"/>
          <w:szCs w:val="20"/>
          <w:lang w:val="en-US"/>
        </w:rPr>
        <w:t xml:space="preserve">Hyperthyroidism, Papillary Thyroid Carcinoma, Malignancy, Thyrotoxicosis, Toxic Multinodular </w:t>
      </w:r>
      <w:proofErr w:type="spellStart"/>
      <w:r>
        <w:rPr>
          <w:rFonts w:ascii="Arial" w:eastAsia="Times New Roman" w:hAnsi="Arial" w:cs="Arial"/>
          <w:i/>
          <w:color w:val="auto"/>
          <w:sz w:val="20"/>
          <w:szCs w:val="20"/>
          <w:lang w:val="en-US"/>
        </w:rPr>
        <w:t>Goitre</w:t>
      </w:r>
      <w:proofErr w:type="spellEnd"/>
    </w:p>
    <w:p>
      <w:pPr>
        <w:pStyle w:val="Body"/>
        <w:spacing w:after="0"/>
        <w:rPr>
          <w:rFonts w:ascii="Arial" w:hAnsi="Arial" w:cs="Arial"/>
          <w:i/>
        </w:rPr>
      </w:pPr>
    </w:p>
    <w:p>
      <w:pPr>
        <w:pStyle w:val="AbstHead"/>
        <w:spacing w:after="0"/>
        <w:jc w:val="both"/>
        <w:rPr>
          <w:rFonts w:ascii="Arial" w:hAnsi="Arial" w:cs="Arial"/>
        </w:rPr>
      </w:pPr>
      <w:r>
        <w:rPr>
          <w:rFonts w:ascii="Arial" w:hAnsi="Arial" w:cs="Arial"/>
        </w:rPr>
        <w:t>1. INTRODUCTION:</w:t>
      </w:r>
    </w:p>
    <w:p>
      <w:pPr>
        <w:pStyle w:val="AbstHead"/>
        <w:spacing w:after="0"/>
        <w:jc w:val="both"/>
        <w:rPr>
          <w:rFonts w:ascii="Arial" w:hAnsi="Arial" w:cs="Arial"/>
        </w:rPr>
      </w:pPr>
    </w:p>
    <w:p>
      <w:pPr>
        <w:pStyle w:val="Default"/>
        <w:shd w:val="clear" w:color="auto" w:fill="FFFFFF"/>
        <w:jc w:val="both"/>
        <w:rPr>
          <w:rFonts w:ascii="Arial" w:eastAsia="Calibri" w:hAnsi="Arial" w:cs="Arial"/>
          <w:szCs w:val="22"/>
        </w:rPr>
      </w:pPr>
    </w:p>
    <w:p>
      <w:pPr>
        <w:pStyle w:val="Default"/>
        <w:shd w:val="clear" w:color="auto" w:fill="FFFFFF"/>
        <w:jc w:val="both"/>
        <w:rPr>
          <w:rFonts w:ascii="Times New Roman" w:hAnsi="Times New Roman" w:cs="Times New Roman"/>
          <w:bCs/>
          <w:color w:val="000000" w:themeColor="text1"/>
          <w:szCs w:val="32"/>
          <w:lang w:val="en-US"/>
        </w:rPr>
      </w:pPr>
      <w:r>
        <w:rPr>
          <w:rFonts w:ascii="Arial" w:eastAsia="Times New Roman" w:hAnsi="Arial" w:cs="Arial"/>
          <w:color w:val="auto"/>
          <w:sz w:val="20"/>
          <w:szCs w:val="20"/>
          <w:lang w:val="en-US"/>
        </w:rPr>
        <w:t>Thyroid carcinomas are one of the most common endocrine malignancies. The prevalence of thyroid carcinoma has increased in the past 30 years. Most of the thyroid nodules are benign (95%). The patients having malignant thyroid nodules are euthyroid. Malignancy in hyper-functioning thyroid (Graves’, multinodular toxic goiter, and toxic adenoma) is rare with reported incidence ranging from 0.3% to a maximum of 32.4</w:t>
      </w:r>
      <w:proofErr w:type="gramStart"/>
      <w:r>
        <w:rPr>
          <w:rFonts w:ascii="Arial" w:eastAsia="Times New Roman" w:hAnsi="Arial" w:cs="Arial"/>
          <w:color w:val="auto"/>
          <w:sz w:val="20"/>
          <w:szCs w:val="20"/>
          <w:lang w:val="en-US"/>
        </w:rPr>
        <w:t>%.[</w:t>
      </w:r>
      <w:proofErr w:type="gramEnd"/>
      <w:r>
        <w:rPr>
          <w:rFonts w:ascii="Arial" w:eastAsia="Times New Roman" w:hAnsi="Arial" w:cs="Arial"/>
          <w:color w:val="auto"/>
          <w:sz w:val="20"/>
          <w:szCs w:val="20"/>
          <w:lang w:val="en-US"/>
        </w:rPr>
        <w:t xml:space="preserve">1-3] [Table 1] Papillary Thyroid Carcinoma (PTC) is the most common (85%) differentiated thyroid carcinoma and the most common malignancy reported in palpable hyperfunctioning thyroid swellings.[2] Rarely hyperfunctioning thyroid tissue has been reported with follicular and medullary thyroid carcinoma. [Table 1] Recent literature suggests to do detailed ultrasound of the bilateral </w:t>
      </w:r>
      <w:r>
        <w:rPr>
          <w:rFonts w:ascii="Arial" w:eastAsia="Times New Roman" w:hAnsi="Arial" w:cs="Arial"/>
          <w:color w:val="auto"/>
          <w:sz w:val="20"/>
          <w:szCs w:val="20"/>
          <w:lang w:val="en-US"/>
        </w:rPr>
        <w:lastRenderedPageBreak/>
        <w:t xml:space="preserve">neck region in all cases of hyperthyroid swelling and to look for loco-regional evidence of associated thyroid malignancy. Since PTC is a thyroid malignancy having excellent 10-year survival rates, timely detection and management of the disease can save the life of an </w:t>
      </w:r>
      <w:proofErr w:type="gramStart"/>
      <w:r>
        <w:rPr>
          <w:rFonts w:ascii="Arial" w:eastAsia="Times New Roman" w:hAnsi="Arial" w:cs="Arial"/>
          <w:color w:val="auto"/>
          <w:sz w:val="20"/>
          <w:szCs w:val="20"/>
          <w:lang w:val="en-US"/>
        </w:rPr>
        <w:t>individual.[</w:t>
      </w:r>
      <w:proofErr w:type="gramEnd"/>
      <w:r>
        <w:rPr>
          <w:rFonts w:ascii="Arial" w:eastAsia="Times New Roman" w:hAnsi="Arial" w:cs="Arial"/>
          <w:color w:val="auto"/>
          <w:sz w:val="20"/>
          <w:szCs w:val="20"/>
          <w:lang w:val="en-US"/>
        </w:rPr>
        <w:t>2] However, the literature is deficient in the cases of thyroid carcinoma associated with a single toxic nodule or multi-nodular toxic goiter. A rare case of coexistence of PTC with hyperthyroidism (Toxic Multinodular Goiter) is discussed with the literature review.</w:t>
      </w:r>
      <w:r>
        <w:rPr>
          <w:rFonts w:ascii="Times New Roman" w:hAnsi="Times New Roman" w:cs="Times New Roman"/>
          <w:bCs/>
          <w:color w:val="000000" w:themeColor="text1"/>
          <w:szCs w:val="32"/>
          <w:lang w:val="en-US"/>
        </w:rPr>
        <w:t xml:space="preserve">  </w:t>
      </w:r>
    </w:p>
    <w:p>
      <w:pPr>
        <w:pStyle w:val="Body"/>
        <w:spacing w:after="0"/>
        <w:rPr>
          <w:rFonts w:ascii="Arial" w:hAnsi="Arial" w:cs="Arial"/>
        </w:rPr>
      </w:pPr>
    </w:p>
    <w:p>
      <w:pPr>
        <w:pStyle w:val="Body"/>
        <w:spacing w:after="0"/>
        <w:rPr>
          <w:rFonts w:ascii="Arial" w:hAnsi="Arial" w:cs="Arial"/>
        </w:rPr>
      </w:pPr>
    </w:p>
    <w:p>
      <w:pPr>
        <w:pStyle w:val="AbstHead"/>
        <w:spacing w:after="0"/>
        <w:jc w:val="both"/>
        <w:rPr>
          <w:rFonts w:ascii="Arial" w:hAnsi="Arial" w:cs="Arial"/>
          <w:bCs/>
        </w:rPr>
      </w:pPr>
      <w:r>
        <w:rPr>
          <w:rFonts w:ascii="Arial" w:hAnsi="Arial" w:cs="Arial"/>
        </w:rPr>
        <w:t xml:space="preserve">2. </w:t>
      </w:r>
      <w:r>
        <w:rPr>
          <w:rFonts w:ascii="Arial" w:hAnsi="Arial" w:cs="Arial"/>
          <w:caps w:val="0"/>
        </w:rPr>
        <w:t>PRESENTATION OF CASE:</w:t>
      </w:r>
      <w:r>
        <w:rPr>
          <w:rFonts w:ascii="Arial" w:hAnsi="Arial" w:cs="Arial"/>
          <w:bCs/>
        </w:rPr>
        <w:t xml:space="preserve"> </w:t>
      </w:r>
    </w:p>
    <w:p>
      <w:pPr>
        <w:pStyle w:val="AbstHead"/>
        <w:spacing w:after="0"/>
        <w:jc w:val="both"/>
        <w:rPr>
          <w:rFonts w:ascii="Arial" w:hAnsi="Arial" w:cs="Arial"/>
          <w:bCs/>
        </w:rPr>
      </w:pPr>
    </w:p>
    <w:p>
      <w:pPr>
        <w:pStyle w:val="AbstHead"/>
        <w:spacing w:after="0"/>
        <w:jc w:val="both"/>
        <w:rPr>
          <w:rFonts w:ascii="Arial" w:hAnsi="Arial" w:cs="Arial"/>
          <w:bCs/>
        </w:rPr>
      </w:pPr>
    </w:p>
    <w:p>
      <w:pPr>
        <w:pStyle w:val="AbstHead"/>
        <w:spacing w:after="0"/>
        <w:jc w:val="both"/>
        <w:rPr>
          <w:rFonts w:ascii="Arial" w:hAnsi="Arial" w:cs="Arial"/>
          <w:b w:val="0"/>
          <w:bCs/>
          <w:caps w:val="0"/>
          <w:sz w:val="20"/>
        </w:rPr>
      </w:pPr>
      <w:r>
        <w:rPr>
          <w:rFonts w:ascii="Arial" w:hAnsi="Arial" w:cs="Arial"/>
          <w:b w:val="0"/>
          <w:bCs/>
          <w:caps w:val="0"/>
          <w:sz w:val="20"/>
        </w:rPr>
        <w:t xml:space="preserve">A 37-year-old lady presented with complaints of midline neck swelling for six years. The swelling was asymmetrically (left side &gt; right side) increasing in size in the initial four years. Over the past two years, the swelling was rapidly increasing in size. She had a history of protruding eyeballs and insomnia for four years and palpitations for the two years. There was no history of pressure symptoms, hoarseness of voice, significant weight loss, and loss of appetite, bone pain, headache, seizures or jaundice. She had been on treatment for hyperthyroidism, with oral </w:t>
      </w:r>
      <w:proofErr w:type="spellStart"/>
      <w:r>
        <w:rPr>
          <w:rFonts w:ascii="Arial" w:hAnsi="Arial" w:cs="Arial"/>
          <w:b w:val="0"/>
          <w:bCs/>
          <w:caps w:val="0"/>
          <w:sz w:val="20"/>
        </w:rPr>
        <w:t>Carbimazole</w:t>
      </w:r>
      <w:proofErr w:type="spellEnd"/>
      <w:r>
        <w:rPr>
          <w:rFonts w:ascii="Arial" w:hAnsi="Arial" w:cs="Arial"/>
          <w:b w:val="0"/>
          <w:bCs/>
          <w:caps w:val="0"/>
          <w:sz w:val="20"/>
        </w:rPr>
        <w:t xml:space="preserve"> for the last six years and oral Propranolol for seven months. </w:t>
      </w:r>
    </w:p>
    <w:p>
      <w:pPr>
        <w:pStyle w:val="Body"/>
        <w:rPr>
          <w:rFonts w:ascii="Arial" w:hAnsi="Arial" w:cs="Arial"/>
          <w:bCs/>
        </w:rPr>
      </w:pPr>
      <w:r>
        <w:rPr>
          <w:rFonts w:ascii="Arial" w:hAnsi="Arial" w:cs="Arial"/>
          <w:bCs/>
        </w:rPr>
        <w:t xml:space="preserve">On clinical examination a firm, </w:t>
      </w:r>
      <w:r>
        <w:rPr>
          <w:rFonts w:ascii="Arial" w:hAnsi="Arial" w:cs="Arial"/>
          <w:bCs/>
          <w:lang w:val="en-IN"/>
        </w:rPr>
        <w:t xml:space="preserve">non-tender, </w:t>
      </w:r>
      <w:r>
        <w:rPr>
          <w:rFonts w:ascii="Arial" w:hAnsi="Arial" w:cs="Arial"/>
          <w:bCs/>
        </w:rPr>
        <w:t xml:space="preserve">bosselated, mobile swelling, sized 16x10cm was palpable in the thyroid region. [Fig 1.A] Eye signs of thyrotoxicosis (Exophthalmos and Dalrymple signs) </w:t>
      </w:r>
      <w:r>
        <w:rPr>
          <w:rFonts w:ascii="Arial" w:hAnsi="Arial" w:cs="Arial"/>
          <w:bCs/>
          <w:lang w:val="en-IN"/>
        </w:rPr>
        <w:t>were present</w:t>
      </w:r>
      <w:r>
        <w:rPr>
          <w:rFonts w:ascii="Arial" w:hAnsi="Arial" w:cs="Arial"/>
          <w:bCs/>
        </w:rPr>
        <w:t xml:space="preserve">. [Fig 1.B] Palpable thrill with an audible systolic bruit over thyroid swelling was present. </w:t>
      </w:r>
      <w:r>
        <w:rPr>
          <w:noProof/>
        </w:rPr>
        <w:t xml:space="preserve"> </w:t>
      </w:r>
    </w:p>
    <w:p>
      <w:pPr>
        <w:pStyle w:val="Body"/>
        <w:rPr>
          <w:rFonts w:ascii="Arial" w:hAnsi="Arial" w:cs="Arial"/>
          <w:bCs/>
        </w:rPr>
      </w:pPr>
      <w:r>
        <w:rPr>
          <w:rFonts w:ascii="Arial" w:hAnsi="Arial" w:cs="Arial"/>
          <w:bCs/>
        </w:rPr>
        <w:t xml:space="preserve">The blood TSH levels were low with high T3 and T4. High-resolution ultrasound (HRUSG) of the neck showed multiple, variable-sized, hyperechoic lesions (largest sized 4.4cmx3.6cmx3.2cm), with a few areas of cystic degeneration in the diffusely enlarged thyroid gland, suggestive of diffuse thyroiditis in a multinodular goiter. TIRADS score was given as grade 3. A thyroid scan was not done, because of unavailability. A provisional clinical diagnosis of toxic multinodular goiter with thyroid ophthalmopathy was </w:t>
      </w:r>
      <w:r>
        <w:rPr>
          <w:rFonts w:ascii="Arial" w:hAnsi="Arial" w:cs="Arial"/>
          <w:bCs/>
          <w:lang w:val="en-IN"/>
        </w:rPr>
        <w:t>made</w:t>
      </w:r>
      <w:r>
        <w:rPr>
          <w:rFonts w:ascii="Arial" w:hAnsi="Arial" w:cs="Arial"/>
          <w:bCs/>
        </w:rPr>
        <w:t xml:space="preserve">. </w:t>
      </w:r>
    </w:p>
    <w:p>
      <w:pPr>
        <w:pStyle w:val="Body"/>
        <w:rPr>
          <w:rFonts w:ascii="Arial" w:hAnsi="Arial" w:cs="Arial"/>
          <w:bCs/>
        </w:rPr>
      </w:pPr>
      <w:r>
        <w:rPr>
          <w:rFonts w:ascii="Arial" w:hAnsi="Arial" w:cs="Arial"/>
          <w:bCs/>
        </w:rPr>
        <w:t xml:space="preserve">Pre-hospital Fine Needle Aspiration Cytology (FNAC) revealed Colloid Goiter with Cystic degeneration (Bethesda Category II). As biochemical features of hyperthyroidism were seen, repeat institutional FNAC of thyroid swelling was performed, which suggested </w:t>
      </w:r>
      <w:r>
        <w:rPr>
          <w:rFonts w:ascii="Arial" w:hAnsi="Arial" w:cs="Arial"/>
          <w:bCs/>
          <w:lang w:val="en-IN"/>
        </w:rPr>
        <w:t>A</w:t>
      </w:r>
      <w:proofErr w:type="spellStart"/>
      <w:r>
        <w:rPr>
          <w:rFonts w:ascii="Arial" w:hAnsi="Arial" w:cs="Arial"/>
          <w:bCs/>
        </w:rPr>
        <w:t>typia</w:t>
      </w:r>
      <w:proofErr w:type="spellEnd"/>
      <w:r>
        <w:rPr>
          <w:rFonts w:ascii="Arial" w:hAnsi="Arial" w:cs="Arial"/>
          <w:bCs/>
        </w:rPr>
        <w:t xml:space="preserve"> of </w:t>
      </w:r>
      <w:r>
        <w:rPr>
          <w:rFonts w:ascii="Arial" w:hAnsi="Arial" w:cs="Arial"/>
          <w:bCs/>
          <w:lang w:val="en-IN"/>
        </w:rPr>
        <w:t>U</w:t>
      </w:r>
      <w:proofErr w:type="spellStart"/>
      <w:r>
        <w:rPr>
          <w:rFonts w:ascii="Arial" w:hAnsi="Arial" w:cs="Arial"/>
          <w:bCs/>
        </w:rPr>
        <w:t>ndetermined</w:t>
      </w:r>
      <w:proofErr w:type="spellEnd"/>
      <w:r>
        <w:rPr>
          <w:rFonts w:ascii="Arial" w:hAnsi="Arial" w:cs="Arial"/>
          <w:bCs/>
        </w:rPr>
        <w:t xml:space="preserve"> </w:t>
      </w:r>
      <w:r>
        <w:rPr>
          <w:rFonts w:ascii="Arial" w:hAnsi="Arial" w:cs="Arial"/>
          <w:bCs/>
          <w:lang w:val="en-IN"/>
        </w:rPr>
        <w:t>significance</w:t>
      </w:r>
      <w:r>
        <w:rPr>
          <w:rFonts w:ascii="Arial" w:hAnsi="Arial" w:cs="Arial"/>
          <w:bCs/>
        </w:rPr>
        <w:t xml:space="preserve"> (Bethesda Category III)</w:t>
      </w:r>
      <w:r>
        <w:rPr>
          <w:rFonts w:ascii="Arial" w:hAnsi="Arial" w:cs="Arial"/>
          <w:lang w:val="en-IN"/>
        </w:rPr>
        <w:t xml:space="preserve"> </w:t>
      </w:r>
      <w:r>
        <w:rPr>
          <w:rFonts w:ascii="Arial" w:hAnsi="Arial" w:cs="Arial"/>
          <w:bCs/>
        </w:rPr>
        <w:t xml:space="preserve">Although few cells showed features consistent with cytomorphology of PTC but not enough to call PTC. </w:t>
      </w:r>
      <w:proofErr w:type="spellStart"/>
      <w:proofErr w:type="gramStart"/>
      <w:r>
        <w:rPr>
          <w:rFonts w:ascii="Arial" w:hAnsi="Arial" w:cs="Arial"/>
          <w:bCs/>
        </w:rPr>
        <w:t>Pre Operative</w:t>
      </w:r>
      <w:proofErr w:type="spellEnd"/>
      <w:proofErr w:type="gramEnd"/>
      <w:r>
        <w:rPr>
          <w:rFonts w:ascii="Arial" w:hAnsi="Arial" w:cs="Arial"/>
          <w:bCs/>
        </w:rPr>
        <w:t xml:space="preserve"> Anti Thyroid Peroxidase antibody (Anti TPO) was raised (More than 75 IU/ml). It could be a component of Autoimmune Thyroiditis but as </w:t>
      </w:r>
      <w:proofErr w:type="spellStart"/>
      <w:proofErr w:type="gramStart"/>
      <w:r>
        <w:rPr>
          <w:rFonts w:ascii="Arial" w:hAnsi="Arial" w:cs="Arial"/>
          <w:bCs/>
        </w:rPr>
        <w:t>pre operative</w:t>
      </w:r>
      <w:proofErr w:type="spellEnd"/>
      <w:proofErr w:type="gramEnd"/>
      <w:r>
        <w:rPr>
          <w:rFonts w:ascii="Arial" w:hAnsi="Arial" w:cs="Arial"/>
          <w:bCs/>
        </w:rPr>
        <w:t xml:space="preserve"> thyroid scan was not done due to unavailability, it could not be established. The patient was optimized before surgery to control </w:t>
      </w:r>
      <w:r>
        <w:rPr>
          <w:rFonts w:ascii="Arial" w:hAnsi="Arial" w:cs="Arial"/>
          <w:bCs/>
          <w:lang w:val="en-IN"/>
        </w:rPr>
        <w:t xml:space="preserve">clinical symptoms of </w:t>
      </w:r>
      <w:r>
        <w:rPr>
          <w:rFonts w:ascii="Arial" w:hAnsi="Arial" w:cs="Arial"/>
          <w:bCs/>
        </w:rPr>
        <w:t xml:space="preserve">hyperthyroidism and underwent total thyroidectomy. Intraoperatively, the thyroid tissue was highly vascularized, friable, but without sign of local invasion or locoregional abnormalities. [Fig 2(A-B)] Bilateral recurrent </w:t>
      </w:r>
      <w:r>
        <w:rPr>
          <w:rFonts w:ascii="Arial" w:hAnsi="Arial" w:cs="Arial"/>
          <w:bCs/>
          <w:lang w:val="en-IN"/>
        </w:rPr>
        <w:t>l</w:t>
      </w:r>
      <w:proofErr w:type="spellStart"/>
      <w:r>
        <w:rPr>
          <w:rFonts w:ascii="Arial" w:hAnsi="Arial" w:cs="Arial"/>
          <w:bCs/>
        </w:rPr>
        <w:t>aryngeal</w:t>
      </w:r>
      <w:proofErr w:type="spellEnd"/>
      <w:r>
        <w:rPr>
          <w:rFonts w:ascii="Arial" w:hAnsi="Arial" w:cs="Arial"/>
          <w:bCs/>
        </w:rPr>
        <w:t xml:space="preserve"> </w:t>
      </w:r>
      <w:r>
        <w:rPr>
          <w:rFonts w:ascii="Arial" w:hAnsi="Arial" w:cs="Arial"/>
          <w:bCs/>
          <w:lang w:val="en-IN"/>
        </w:rPr>
        <w:t>n</w:t>
      </w:r>
      <w:proofErr w:type="spellStart"/>
      <w:r>
        <w:rPr>
          <w:rFonts w:ascii="Arial" w:hAnsi="Arial" w:cs="Arial"/>
          <w:bCs/>
        </w:rPr>
        <w:t>erves</w:t>
      </w:r>
      <w:proofErr w:type="spellEnd"/>
      <w:r>
        <w:rPr>
          <w:rFonts w:ascii="Arial" w:hAnsi="Arial" w:cs="Arial"/>
          <w:bCs/>
        </w:rPr>
        <w:t xml:space="preserve"> with superior and inferior </w:t>
      </w:r>
      <w:r>
        <w:rPr>
          <w:rFonts w:ascii="Arial" w:hAnsi="Arial" w:cs="Arial"/>
          <w:bCs/>
          <w:lang w:val="en-IN"/>
        </w:rPr>
        <w:t>p</w:t>
      </w:r>
      <w:proofErr w:type="spellStart"/>
      <w:r>
        <w:rPr>
          <w:rFonts w:ascii="Arial" w:hAnsi="Arial" w:cs="Arial"/>
          <w:bCs/>
        </w:rPr>
        <w:t>arathyroid</w:t>
      </w:r>
      <w:proofErr w:type="spellEnd"/>
      <w:r>
        <w:rPr>
          <w:rFonts w:ascii="Arial" w:hAnsi="Arial" w:cs="Arial"/>
          <w:bCs/>
        </w:rPr>
        <w:t xml:space="preserve"> glands were preserved. </w:t>
      </w:r>
    </w:p>
    <w:p>
      <w:pPr>
        <w:pStyle w:val="Body"/>
        <w:rPr>
          <w:rFonts w:ascii="Arial" w:hAnsi="Arial" w:cs="Arial"/>
          <w:bCs/>
        </w:rPr>
      </w:pPr>
      <w:r>
        <w:rPr>
          <w:rFonts w:ascii="Arial" w:hAnsi="Arial" w:cs="Arial"/>
          <w:bCs/>
        </w:rPr>
        <w:t xml:space="preserve">The post-operative period was uneventful. Thyroid supplementation was started on the second postoperative day.  Detailed histopathological examination of the </w:t>
      </w:r>
      <w:r>
        <w:rPr>
          <w:rFonts w:ascii="Arial" w:hAnsi="Arial" w:cs="Arial"/>
          <w:bCs/>
          <w:lang w:val="en-IN"/>
        </w:rPr>
        <w:t>excised specimens</w:t>
      </w:r>
      <w:r>
        <w:rPr>
          <w:rFonts w:ascii="Arial" w:hAnsi="Arial" w:cs="Arial"/>
          <w:bCs/>
        </w:rPr>
        <w:t xml:space="preserve"> showed a papillary pattern with a fibrovascular core of the right lobe i.e. PTC (staged pT2Nx) and left lobe </w:t>
      </w:r>
      <w:r>
        <w:rPr>
          <w:rFonts w:ascii="Arial" w:hAnsi="Arial" w:cs="Arial"/>
          <w:bCs/>
          <w:lang w:val="en-IN"/>
        </w:rPr>
        <w:t>a</w:t>
      </w:r>
      <w:proofErr w:type="spellStart"/>
      <w:r>
        <w:rPr>
          <w:rFonts w:ascii="Arial" w:hAnsi="Arial" w:cs="Arial"/>
          <w:bCs/>
        </w:rPr>
        <w:t>denomatous</w:t>
      </w:r>
      <w:proofErr w:type="spellEnd"/>
      <w:r>
        <w:rPr>
          <w:rFonts w:ascii="Arial" w:hAnsi="Arial" w:cs="Arial"/>
          <w:bCs/>
        </w:rPr>
        <w:t xml:space="preserve"> goiter [Fig 2(C-F)] The </w:t>
      </w:r>
      <w:proofErr w:type="spellStart"/>
      <w:r>
        <w:rPr>
          <w:rFonts w:ascii="Arial" w:hAnsi="Arial" w:cs="Arial"/>
          <w:bCs/>
        </w:rPr>
        <w:t>tumour</w:t>
      </w:r>
      <w:proofErr w:type="spellEnd"/>
      <w:r>
        <w:rPr>
          <w:rFonts w:ascii="Arial" w:hAnsi="Arial" w:cs="Arial"/>
          <w:bCs/>
        </w:rPr>
        <w:t xml:space="preserve"> was located in the upper pole of right lobe. Size of the tumor was less than 0.5 cm. Fine Needle Aspiration Cytology which were done </w:t>
      </w:r>
      <w:proofErr w:type="gramStart"/>
      <w:r>
        <w:rPr>
          <w:rFonts w:ascii="Arial" w:hAnsi="Arial" w:cs="Arial"/>
          <w:bCs/>
        </w:rPr>
        <w:t>pre operatively</w:t>
      </w:r>
      <w:proofErr w:type="gramEnd"/>
      <w:r>
        <w:rPr>
          <w:rFonts w:ascii="Arial" w:hAnsi="Arial" w:cs="Arial"/>
          <w:bCs/>
        </w:rPr>
        <w:t xml:space="preserve"> were not Ultrasound guided so it is hard to tell </w:t>
      </w:r>
      <w:proofErr w:type="spellStart"/>
      <w:r>
        <w:rPr>
          <w:rFonts w:ascii="Arial" w:hAnsi="Arial" w:cs="Arial"/>
          <w:bCs/>
        </w:rPr>
        <w:t>wheather</w:t>
      </w:r>
      <w:proofErr w:type="spellEnd"/>
      <w:r>
        <w:rPr>
          <w:rFonts w:ascii="Arial" w:hAnsi="Arial" w:cs="Arial"/>
          <w:bCs/>
        </w:rPr>
        <w:t xml:space="preserve"> it corresponded to the </w:t>
      </w:r>
      <w:proofErr w:type="spellStart"/>
      <w:r>
        <w:rPr>
          <w:rFonts w:ascii="Arial" w:hAnsi="Arial" w:cs="Arial"/>
          <w:bCs/>
        </w:rPr>
        <w:t>pre operative</w:t>
      </w:r>
      <w:proofErr w:type="spellEnd"/>
      <w:r>
        <w:rPr>
          <w:rFonts w:ascii="Arial" w:hAnsi="Arial" w:cs="Arial"/>
          <w:bCs/>
        </w:rPr>
        <w:t xml:space="preserve"> biopsied nodule</w:t>
      </w:r>
    </w:p>
    <w:p>
      <w:pPr>
        <w:pStyle w:val="Body"/>
        <w:rPr>
          <w:rFonts w:ascii="Arial" w:hAnsi="Arial" w:cs="Arial"/>
          <w:bCs/>
        </w:rPr>
      </w:pPr>
      <w:r>
        <w:rPr>
          <w:rFonts w:ascii="Arial" w:hAnsi="Arial" w:cs="Arial"/>
          <w:bCs/>
        </w:rPr>
        <w:lastRenderedPageBreak/>
        <w:t xml:space="preserve">Postoperatively repeat HRUSG neck and Contrast Enhanced Computer Tomography of the neck showed no loco-regional evidence of malignancy. In a follow-up of two years, the patient </w:t>
      </w:r>
      <w:r>
        <w:rPr>
          <w:rFonts w:ascii="Arial" w:hAnsi="Arial" w:cs="Arial"/>
          <w:bCs/>
          <w:lang w:val="en-IN"/>
        </w:rPr>
        <w:t>was</w:t>
      </w:r>
      <w:r>
        <w:rPr>
          <w:rFonts w:ascii="Arial" w:hAnsi="Arial" w:cs="Arial"/>
          <w:bCs/>
        </w:rPr>
        <w:t xml:space="preserve"> maintained on thyroxine supplementation. There </w:t>
      </w:r>
      <w:r>
        <w:rPr>
          <w:rFonts w:ascii="Arial" w:hAnsi="Arial" w:cs="Arial"/>
          <w:bCs/>
          <w:lang w:val="en-IN"/>
        </w:rPr>
        <w:t xml:space="preserve">were </w:t>
      </w:r>
      <w:r>
        <w:rPr>
          <w:rFonts w:ascii="Arial" w:hAnsi="Arial" w:cs="Arial"/>
          <w:bCs/>
        </w:rPr>
        <w:t xml:space="preserve">no signs of locoregional recurrence on three monthly HRUSG of the neck. </w:t>
      </w:r>
    </w:p>
    <w:p>
      <w:pPr>
        <w:pStyle w:val="Body"/>
        <w:spacing w:after="0"/>
        <w:rPr>
          <w:rFonts w:ascii="Arial" w:hAnsi="Arial" w:cs="Arial"/>
        </w:rPr>
      </w:pPr>
    </w:p>
    <w:p>
      <w:pPr>
        <w:pStyle w:val="Body"/>
        <w:spacing w:after="0"/>
        <w:rPr>
          <w:rFonts w:ascii="Arial" w:hAnsi="Arial" w:cs="Arial"/>
        </w:rPr>
      </w:pPr>
    </w:p>
    <w:p>
      <w:pPr>
        <w:pStyle w:val="Head1"/>
        <w:spacing w:after="0"/>
        <w:jc w:val="both"/>
        <w:rPr>
          <w:rFonts w:ascii="Arial" w:hAnsi="Arial" w:cs="Arial"/>
        </w:rPr>
      </w:pPr>
      <w:r>
        <w:rPr>
          <w:rFonts w:ascii="Arial" w:hAnsi="Arial" w:cs="Arial"/>
        </w:rPr>
        <w:t>3. discussion</w:t>
      </w:r>
    </w:p>
    <w:p>
      <w:pPr>
        <w:pStyle w:val="Head1"/>
        <w:spacing w:after="0"/>
        <w:jc w:val="both"/>
        <w:rPr>
          <w:rFonts w:ascii="Arial" w:hAnsi="Arial" w:cs="Arial"/>
        </w:rPr>
      </w:pPr>
    </w:p>
    <w:p>
      <w:pPr>
        <w:pStyle w:val="Body"/>
        <w:rPr>
          <w:rFonts w:ascii="Arial" w:hAnsi="Arial" w:cs="Arial"/>
          <w:bCs/>
        </w:rPr>
      </w:pPr>
      <w:r>
        <w:rPr>
          <w:rFonts w:ascii="Arial" w:hAnsi="Arial" w:cs="Arial"/>
          <w:bCs/>
        </w:rPr>
        <w:t xml:space="preserve">Goiter can be associated with euthyroid, hyperthyroid, or hypothyroid. Overt hyperthyroidism is characterized by high T3 and T4 and low TSH </w:t>
      </w:r>
      <w:proofErr w:type="gramStart"/>
      <w:r>
        <w:rPr>
          <w:rFonts w:ascii="Arial" w:hAnsi="Arial" w:cs="Arial"/>
          <w:bCs/>
        </w:rPr>
        <w:t>levels.</w:t>
      </w:r>
      <w:r>
        <w:rPr>
          <w:rFonts w:ascii="Arial" w:hAnsi="Arial" w:cs="Arial"/>
          <w:bCs/>
          <w:vertAlign w:val="superscript"/>
        </w:rPr>
        <w:t>[</w:t>
      </w:r>
      <w:proofErr w:type="gramEnd"/>
      <w:r>
        <w:rPr>
          <w:rFonts w:ascii="Arial" w:hAnsi="Arial" w:cs="Arial"/>
          <w:bCs/>
          <w:vertAlign w:val="superscript"/>
        </w:rPr>
        <w:t>1]</w:t>
      </w:r>
      <w:r>
        <w:rPr>
          <w:rFonts w:ascii="Arial" w:hAnsi="Arial" w:cs="Arial"/>
          <w:bCs/>
        </w:rPr>
        <w:t xml:space="preserve"> </w:t>
      </w:r>
      <w:r>
        <w:rPr>
          <w:rFonts w:ascii="Arial" w:hAnsi="Arial" w:cs="Arial"/>
          <w:lang w:val="en-IN"/>
        </w:rPr>
        <w:t xml:space="preserve">Common causes of hyperthyroidism are Graves’ disease, Toxic </w:t>
      </w:r>
      <w:proofErr w:type="spellStart"/>
      <w:r>
        <w:rPr>
          <w:rFonts w:ascii="Arial" w:hAnsi="Arial" w:cs="Arial"/>
          <w:lang w:val="en-IN"/>
        </w:rPr>
        <w:t>uninodular</w:t>
      </w:r>
      <w:proofErr w:type="spellEnd"/>
      <w:r>
        <w:rPr>
          <w:rFonts w:ascii="Arial" w:hAnsi="Arial" w:cs="Arial"/>
          <w:lang w:val="en-IN"/>
        </w:rPr>
        <w:t xml:space="preserve"> </w:t>
      </w:r>
      <w:proofErr w:type="spellStart"/>
      <w:r>
        <w:rPr>
          <w:rFonts w:ascii="Arial" w:hAnsi="Arial" w:cs="Arial"/>
          <w:lang w:val="en-IN"/>
        </w:rPr>
        <w:t>goiter</w:t>
      </w:r>
      <w:proofErr w:type="spellEnd"/>
      <w:r>
        <w:rPr>
          <w:rFonts w:ascii="Arial" w:hAnsi="Arial" w:cs="Arial"/>
          <w:lang w:val="en-IN"/>
        </w:rPr>
        <w:t xml:space="preserve"> (usually a Toxic Adenoma), and Toxic Multinodular </w:t>
      </w:r>
      <w:proofErr w:type="spellStart"/>
      <w:r>
        <w:rPr>
          <w:rFonts w:ascii="Arial" w:hAnsi="Arial" w:cs="Arial"/>
          <w:lang w:val="en-IN"/>
        </w:rPr>
        <w:t>goiter</w:t>
      </w:r>
      <w:proofErr w:type="spellEnd"/>
      <w:r>
        <w:rPr>
          <w:rFonts w:ascii="Arial" w:hAnsi="Arial" w:cs="Arial"/>
          <w:lang w:val="en-IN"/>
        </w:rPr>
        <w:t xml:space="preserve"> (Plummer’s disease).</w:t>
      </w:r>
      <w:r>
        <w:rPr>
          <w:rFonts w:ascii="Arial" w:hAnsi="Arial" w:cs="Arial"/>
          <w:bCs/>
          <w:vertAlign w:val="superscript"/>
        </w:rPr>
        <w:t>[4] [5]</w:t>
      </w:r>
      <w:r>
        <w:rPr>
          <w:rFonts w:ascii="Arial" w:hAnsi="Arial" w:cs="Arial"/>
          <w:bCs/>
        </w:rPr>
        <w:t xml:space="preserve"> Toxic multinodular goiter may be managed with total, near-total, or subtotal thyroidectomy.</w:t>
      </w:r>
      <w:r>
        <w:rPr>
          <w:rFonts w:ascii="Arial" w:hAnsi="Arial" w:cs="Arial"/>
          <w:bCs/>
          <w:vertAlign w:val="superscript"/>
        </w:rPr>
        <w:t>[1]</w:t>
      </w:r>
    </w:p>
    <w:p>
      <w:pPr>
        <w:pStyle w:val="Body"/>
        <w:rPr>
          <w:rFonts w:ascii="Arial" w:hAnsi="Arial" w:cs="Arial"/>
          <w:bCs/>
        </w:rPr>
      </w:pPr>
      <w:r>
        <w:rPr>
          <w:rFonts w:ascii="Arial" w:hAnsi="Arial" w:cs="Arial"/>
          <w:bCs/>
        </w:rPr>
        <w:t xml:space="preserve"> PTC is a non-functional, well-differentiated thyroid malignancy. It’s occurrence in hyperthyroidism is infrequent, as the low level of TSH in the blood prevents the growth and development of differentiating thyroid malignancy. Still PTC is the most common thyroid malignancy reported with hyperthyroidism compared to follicular or medullary carcinoma [Table 1]   The PTC in some cases usually resides inside or near a bigger hot nodule. In such scenarios, well-differentiated thyroid cells function similarly to normal thyroid follicular cells, can release thyroxine hormones and are dependent on TSH (absorbing iodine, secreting thyroglobulin, etc.). If the autoregulation mechanism of differentiated thyroid cells is lost, they can secret excessive thyroxine hormones causing </w:t>
      </w:r>
      <w:proofErr w:type="gramStart"/>
      <w:r>
        <w:rPr>
          <w:rFonts w:ascii="Arial" w:hAnsi="Arial" w:cs="Arial"/>
          <w:bCs/>
        </w:rPr>
        <w:t>hyperthyroidism.</w:t>
      </w:r>
      <w:r>
        <w:rPr>
          <w:rFonts w:ascii="Arial" w:hAnsi="Arial" w:cs="Arial"/>
          <w:bCs/>
          <w:vertAlign w:val="superscript"/>
        </w:rPr>
        <w:t>[</w:t>
      </w:r>
      <w:proofErr w:type="gramEnd"/>
      <w:r>
        <w:rPr>
          <w:rFonts w:ascii="Arial" w:hAnsi="Arial" w:cs="Arial"/>
          <w:bCs/>
          <w:vertAlign w:val="superscript"/>
        </w:rPr>
        <w:t xml:space="preserve">6] </w:t>
      </w:r>
      <w:r>
        <w:rPr>
          <w:rFonts w:ascii="Arial" w:hAnsi="Arial" w:cs="Arial"/>
          <w:bCs/>
        </w:rPr>
        <w:t xml:space="preserve">This theory can explain the colloid goiter with cystic degeneration (Bethesda Category II) in our case developed into toxic hyperthyroidism. Further, repeat FNAC showed Atypia of undetermined significance (category III). So, a total thyroidectomy was done. It was only in post-operative specimen examination PTC was identified. </w:t>
      </w:r>
    </w:p>
    <w:p>
      <w:pPr>
        <w:pStyle w:val="Body"/>
        <w:spacing w:after="0"/>
        <w:rPr>
          <w:rFonts w:ascii="Arial" w:hAnsi="Arial" w:cs="Arial"/>
          <w:lang w:val="en-IN"/>
        </w:rPr>
      </w:pPr>
      <w:r>
        <w:rPr>
          <w:rFonts w:ascii="Arial" w:hAnsi="Arial" w:cs="Arial"/>
          <w:bCs/>
        </w:rPr>
        <w:t xml:space="preserve">Worldwide reported incidence of thyroid cancer in hyperthyroid patients is between </w:t>
      </w:r>
      <w:r>
        <w:rPr>
          <w:rFonts w:ascii="Arial" w:hAnsi="Arial" w:cs="Arial"/>
          <w:lang w:val="en-IN"/>
        </w:rPr>
        <w:t xml:space="preserve">0.76% to 23.63%. </w:t>
      </w:r>
      <w:r>
        <w:rPr>
          <w:rFonts w:ascii="Arial" w:hAnsi="Arial" w:cs="Arial"/>
          <w:bCs/>
        </w:rPr>
        <w:t xml:space="preserve">The malignancy rate in palpable thyroid nodules is mostly reported in Graves’ disease (16.9%). [Table 1] The malignancy in multinodular toxic goiter and solitary toxic nodules is rarely reported. This is a rare case of multinodular toxic goiter with thyroid carcinoma. The exact incidence of multinodular toxic goiter with thyroid carcinoma is still unknown.  Our case adds a drop in the series of patients (65 cases reported till date) who suffered from incidentally diagnosed carcinoma in multinodular toxic </w:t>
      </w:r>
      <w:proofErr w:type="gramStart"/>
      <w:r>
        <w:rPr>
          <w:rFonts w:ascii="Arial" w:hAnsi="Arial" w:cs="Arial"/>
          <w:bCs/>
        </w:rPr>
        <w:t>goiter</w:t>
      </w:r>
      <w:r>
        <w:rPr>
          <w:rFonts w:ascii="Arial" w:hAnsi="Arial" w:cs="Arial"/>
          <w:lang w:val="en-IN"/>
        </w:rPr>
        <w:t>.</w:t>
      </w:r>
      <w:r>
        <w:rPr>
          <w:rFonts w:ascii="Arial" w:hAnsi="Arial" w:cs="Arial"/>
          <w:bCs/>
          <w:vertAlign w:val="superscript"/>
        </w:rPr>
        <w:t>[</w:t>
      </w:r>
      <w:proofErr w:type="gramEnd"/>
      <w:r>
        <w:rPr>
          <w:rFonts w:ascii="Arial" w:hAnsi="Arial" w:cs="Arial"/>
          <w:bCs/>
          <w:vertAlign w:val="superscript"/>
        </w:rPr>
        <w:t>4], [5]</w:t>
      </w:r>
      <w:r>
        <w:rPr>
          <w:rFonts w:ascii="Arial" w:hAnsi="Arial" w:cs="Arial"/>
          <w:bCs/>
        </w:rPr>
        <w:t xml:space="preserve"> Further, this case enhances the literature from India regarding thyroid cancer in hyperthyroid patients.</w:t>
      </w:r>
    </w:p>
    <w:p>
      <w:pPr>
        <w:pStyle w:val="Body"/>
        <w:rPr>
          <w:rFonts w:ascii="Arial" w:hAnsi="Arial" w:cs="Arial"/>
          <w:bCs/>
        </w:rPr>
      </w:pPr>
      <w:r>
        <w:rPr>
          <w:rFonts w:ascii="Arial" w:hAnsi="Arial" w:cs="Arial"/>
          <w:bCs/>
        </w:rPr>
        <w:t xml:space="preserve">The possibility of hyper functioning thyroid malignancy is very rare in our case because most of these carcinomas reported in the literature were of follicular variety. There was no evidence of recurrence of thyrotoxicosis symptoms suggesting residual or recurrent disease in 2 years of follow-up. </w:t>
      </w:r>
    </w:p>
    <w:p>
      <w:pPr>
        <w:pStyle w:val="Body"/>
        <w:rPr>
          <w:rFonts w:ascii="Arial" w:hAnsi="Arial" w:cs="Arial"/>
          <w:bCs/>
        </w:rPr>
      </w:pPr>
      <w:r>
        <w:rPr>
          <w:rFonts w:ascii="Arial" w:hAnsi="Arial" w:cs="Arial"/>
          <w:bCs/>
        </w:rPr>
        <w:t xml:space="preserve">There are no management guidelines for thyrotoxicosis-associated occult thyroid carcinoma management. It has been advocated that all patients with thyrotoxicosis must undergo detailed HRUSG of the Neck, and if needed Ultrasound-guided FNAC of neck nodes before managing medical </w:t>
      </w:r>
      <w:proofErr w:type="gramStart"/>
      <w:r>
        <w:rPr>
          <w:rFonts w:ascii="Arial" w:hAnsi="Arial" w:cs="Arial"/>
          <w:bCs/>
        </w:rPr>
        <w:t>treatment</w:t>
      </w:r>
      <w:r>
        <w:rPr>
          <w:rFonts w:ascii="Arial" w:hAnsi="Arial" w:cs="Arial"/>
          <w:lang w:val="en-IN"/>
        </w:rPr>
        <w:t>.</w:t>
      </w:r>
      <w:r>
        <w:rPr>
          <w:rFonts w:ascii="Arial" w:hAnsi="Arial" w:cs="Arial"/>
          <w:bCs/>
          <w:vertAlign w:val="superscript"/>
        </w:rPr>
        <w:t>[</w:t>
      </w:r>
      <w:proofErr w:type="gramEnd"/>
      <w:r>
        <w:rPr>
          <w:rFonts w:ascii="Arial" w:hAnsi="Arial" w:cs="Arial"/>
          <w:bCs/>
          <w:vertAlign w:val="superscript"/>
        </w:rPr>
        <w:t>4]</w:t>
      </w:r>
      <w:r>
        <w:rPr>
          <w:rFonts w:ascii="Arial" w:hAnsi="Arial" w:cs="Arial"/>
          <w:bCs/>
        </w:rPr>
        <w:t xml:space="preserve"> However, most of these thyroid cancers were micro-carcinoma and confined to the thyroid gland without loco-regional spread. So, the question still arises how safe is medical management in a </w:t>
      </w:r>
      <w:proofErr w:type="gramStart"/>
      <w:r>
        <w:rPr>
          <w:rFonts w:ascii="Arial" w:hAnsi="Arial" w:cs="Arial"/>
          <w:bCs/>
        </w:rPr>
        <w:t>palpable hyperthyroid swellings</w:t>
      </w:r>
      <w:proofErr w:type="gramEnd"/>
      <w:r>
        <w:rPr>
          <w:rFonts w:ascii="Arial" w:hAnsi="Arial" w:cs="Arial"/>
          <w:bCs/>
        </w:rPr>
        <w:t xml:space="preserve">? </w:t>
      </w:r>
    </w:p>
    <w:p>
      <w:pPr>
        <w:pStyle w:val="Body"/>
        <w:rPr>
          <w:rFonts w:ascii="Arial" w:hAnsi="Arial" w:cs="Arial"/>
          <w:bCs/>
        </w:rPr>
      </w:pPr>
      <w:r>
        <w:rPr>
          <w:rFonts w:ascii="Arial" w:hAnsi="Arial" w:cs="Arial"/>
          <w:bCs/>
        </w:rPr>
        <w:t xml:space="preserve">Thyroid carcinomas need total thyroidectomy. In cases of missed small sub-centimetric tumors detected on post-thyroidectomy specimens, a completion thyroidectomy should be </w:t>
      </w:r>
      <w:proofErr w:type="gramStart"/>
      <w:r>
        <w:rPr>
          <w:rFonts w:ascii="Arial" w:hAnsi="Arial" w:cs="Arial"/>
          <w:bCs/>
        </w:rPr>
        <w:t>performed.</w:t>
      </w:r>
      <w:r>
        <w:rPr>
          <w:rFonts w:ascii="Arial" w:hAnsi="Arial" w:cs="Arial"/>
          <w:bCs/>
          <w:vertAlign w:val="superscript"/>
        </w:rPr>
        <w:t>[</w:t>
      </w:r>
      <w:proofErr w:type="gramEnd"/>
      <w:r>
        <w:rPr>
          <w:rFonts w:ascii="Arial" w:hAnsi="Arial" w:cs="Arial"/>
          <w:bCs/>
          <w:vertAlign w:val="superscript"/>
        </w:rPr>
        <w:t>4], [5]</w:t>
      </w:r>
    </w:p>
    <w:p>
      <w:pPr>
        <w:pStyle w:val="Body"/>
        <w:rPr>
          <w:rFonts w:ascii="Arial" w:hAnsi="Arial" w:cs="Arial"/>
          <w:bCs/>
        </w:rPr>
      </w:pPr>
      <w:r>
        <w:rPr>
          <w:rFonts w:ascii="Arial" w:hAnsi="Arial" w:cs="Arial"/>
          <w:bCs/>
        </w:rPr>
        <w:lastRenderedPageBreak/>
        <w:t xml:space="preserve">There is no firm evidence to support the aggressive nature of thyroid carcinoma associated with </w:t>
      </w:r>
      <w:proofErr w:type="gramStart"/>
      <w:r>
        <w:rPr>
          <w:rFonts w:ascii="Arial" w:hAnsi="Arial" w:cs="Arial"/>
          <w:bCs/>
        </w:rPr>
        <w:t>thyrotoxicosis.</w:t>
      </w:r>
      <w:r>
        <w:rPr>
          <w:rFonts w:ascii="Arial" w:hAnsi="Arial" w:cs="Arial"/>
          <w:bCs/>
          <w:vertAlign w:val="superscript"/>
        </w:rPr>
        <w:t>[</w:t>
      </w:r>
      <w:proofErr w:type="gramEnd"/>
      <w:r>
        <w:rPr>
          <w:rFonts w:ascii="Arial" w:hAnsi="Arial" w:cs="Arial"/>
          <w:bCs/>
          <w:vertAlign w:val="superscript"/>
        </w:rPr>
        <w:t>4]</w:t>
      </w:r>
      <w:r>
        <w:rPr>
          <w:rFonts w:ascii="Arial" w:hAnsi="Arial" w:cs="Arial"/>
          <w:bCs/>
        </w:rPr>
        <w:t xml:space="preserve"> However, cases reported to date have short follow-ups, and more case discussion is invited in the future for defining diagnostic and management strategies. </w:t>
      </w:r>
    </w:p>
    <w:p>
      <w:pPr>
        <w:pStyle w:val="Body"/>
        <w:rPr>
          <w:rFonts w:ascii="Arial" w:hAnsi="Arial" w:cs="Arial"/>
          <w:bCs/>
          <w:lang w:val="en-IN"/>
        </w:rPr>
      </w:pPr>
      <w:r>
        <w:rPr>
          <w:rFonts w:ascii="Arial" w:hAnsi="Arial" w:cs="Arial"/>
          <w:bCs/>
        </w:rPr>
        <w:t xml:space="preserve">Although </w:t>
      </w:r>
      <w:r>
        <w:rPr>
          <w:rFonts w:ascii="Arial" w:hAnsi="Arial" w:cs="Arial"/>
          <w:bCs/>
          <w:lang w:val="en-IN"/>
        </w:rPr>
        <w:t xml:space="preserve">not all thyroid carcinomas need total thyroidectomy as per current international guidelines, but the patient had large Multinodular goitre with features of exophthalmos. </w:t>
      </w:r>
      <w:proofErr w:type="gramStart"/>
      <w:r>
        <w:rPr>
          <w:rFonts w:ascii="Arial" w:hAnsi="Arial" w:cs="Arial"/>
          <w:bCs/>
          <w:lang w:val="en-IN"/>
        </w:rPr>
        <w:t>So</w:t>
      </w:r>
      <w:proofErr w:type="gramEnd"/>
      <w:r>
        <w:rPr>
          <w:rFonts w:ascii="Arial" w:hAnsi="Arial" w:cs="Arial"/>
          <w:bCs/>
          <w:lang w:val="en-IN"/>
        </w:rPr>
        <w:t xml:space="preserve"> the decision to do total thyroidectomy was taken.</w:t>
      </w: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pStyle w:val="Body"/>
        <w:rPr>
          <w:rFonts w:ascii="Arial" w:hAnsi="Arial" w:cs="Arial"/>
          <w:bCs/>
          <w:lang w:val="en-IN"/>
        </w:rPr>
      </w:pPr>
    </w:p>
    <w:p>
      <w:pPr>
        <w:rPr>
          <w:rFonts w:ascii="Arial" w:hAnsi="Arial" w:cs="Arial"/>
          <w:b/>
          <w:color w:val="000000" w:themeColor="text1"/>
          <w:sz w:val="22"/>
          <w:szCs w:val="28"/>
        </w:rPr>
      </w:pPr>
      <w:r>
        <w:rPr>
          <w:rFonts w:ascii="Arial" w:hAnsi="Arial" w:cs="Arial"/>
          <w:b/>
          <w:color w:val="000000" w:themeColor="text1"/>
          <w:sz w:val="22"/>
          <w:szCs w:val="28"/>
        </w:rPr>
        <w:t>3.1. Table Legend:</w:t>
      </w:r>
    </w:p>
    <w:p>
      <w:pPr>
        <w:spacing w:after="200"/>
        <w:rPr>
          <w:rFonts w:ascii="Arial" w:hAnsi="Arial" w:cs="Arial"/>
          <w:color w:val="000000" w:themeColor="text1"/>
          <w:sz w:val="22"/>
          <w:szCs w:val="28"/>
        </w:rPr>
      </w:pPr>
      <w:r>
        <w:rPr>
          <w:rFonts w:ascii="Arial" w:hAnsi="Arial" w:cs="Arial"/>
          <w:color w:val="000000" w:themeColor="text1"/>
          <w:sz w:val="22"/>
          <w:szCs w:val="28"/>
        </w:rPr>
        <w:t>Table 1 Literature review of Case series having various causes of Hyperthyroidism and associated Thyroid Carcinomas</w:t>
      </w:r>
    </w:p>
    <w:p>
      <w:pPr>
        <w:spacing w:line="480" w:lineRule="auto"/>
        <w:rPr>
          <w:rFonts w:ascii="Times New Roman" w:hAnsi="Times New Roman"/>
          <w:color w:val="000000" w:themeColor="text1"/>
          <w:sz w:val="24"/>
          <w:szCs w:val="32"/>
        </w:rPr>
      </w:pPr>
    </w:p>
    <w:tbl>
      <w:tblPr>
        <w:tblW w:w="10592" w:type="dxa"/>
        <w:jc w:val="center"/>
        <w:tblLayout w:type="fixed"/>
        <w:tblLook w:val="04A0" w:firstRow="1" w:lastRow="0" w:firstColumn="1" w:lastColumn="0" w:noHBand="0" w:noVBand="1"/>
      </w:tblPr>
      <w:tblGrid>
        <w:gridCol w:w="1379"/>
        <w:gridCol w:w="506"/>
        <w:gridCol w:w="638"/>
        <w:gridCol w:w="714"/>
        <w:gridCol w:w="677"/>
        <w:gridCol w:w="1179"/>
        <w:gridCol w:w="628"/>
        <w:gridCol w:w="717"/>
        <w:gridCol w:w="687"/>
        <w:gridCol w:w="717"/>
        <w:gridCol w:w="672"/>
        <w:gridCol w:w="1075"/>
        <w:gridCol w:w="1003"/>
      </w:tblGrid>
      <w:tr>
        <w:trPr>
          <w:trHeight w:val="984"/>
          <w:jc w:val="center"/>
        </w:trPr>
        <w:tc>
          <w:tcPr>
            <w:tcW w:w="1385"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lastRenderedPageBreak/>
              <w:t xml:space="preserve">Study </w:t>
            </w:r>
            <w:proofErr w:type="gramStart"/>
            <w:r>
              <w:rPr>
                <w:rFonts w:ascii="Times New Roman" w:hAnsi="Times New Roman"/>
                <w:b/>
                <w:bCs/>
                <w:color w:val="000000"/>
                <w:lang w:eastAsia="en-IN"/>
              </w:rPr>
              <w:t>( years</w:t>
            </w:r>
            <w:proofErr w:type="gramEnd"/>
            <w:r>
              <w:rPr>
                <w:rFonts w:ascii="Times New Roman" w:hAnsi="Times New Roman"/>
                <w:b/>
                <w:bCs/>
                <w:color w:val="000000"/>
                <w:lang w:eastAsia="en-IN"/>
              </w:rPr>
              <w:t>)</w:t>
            </w:r>
          </w:p>
        </w:tc>
        <w:tc>
          <w:tcPr>
            <w:tcW w:w="3684" w:type="dxa"/>
            <w:gridSpan w:val="5"/>
            <w:tcBorders>
              <w:top w:val="single" w:sz="8" w:space="0" w:color="auto"/>
              <w:left w:val="nil"/>
              <w:bottom w:val="single" w:sz="4" w:space="0" w:color="auto"/>
              <w:right w:val="single" w:sz="4" w:space="0" w:color="auto"/>
            </w:tcBorders>
            <w:shd w:val="clear" w:color="auto" w:fill="auto"/>
            <w:vAlign w:val="center"/>
          </w:tcPr>
          <w:p>
            <w:pPr>
              <w:jc w:val="center"/>
              <w:rPr>
                <w:rFonts w:ascii="Times New Roman" w:hAnsi="Times New Roman"/>
                <w:b/>
                <w:bCs/>
                <w:color w:val="000000"/>
                <w:lang w:eastAsia="en-IN"/>
              </w:rPr>
            </w:pPr>
            <w:r>
              <w:rPr>
                <w:rFonts w:ascii="Times New Roman" w:hAnsi="Times New Roman"/>
                <w:b/>
                <w:bCs/>
                <w:color w:val="000000"/>
                <w:lang w:eastAsia="en-IN"/>
              </w:rPr>
              <w:t>Etiology of Hyperthyroidism</w:t>
            </w:r>
          </w:p>
        </w:tc>
        <w:tc>
          <w:tcPr>
            <w:tcW w:w="2760" w:type="dxa"/>
            <w:gridSpan w:val="4"/>
            <w:tcBorders>
              <w:top w:val="single" w:sz="8" w:space="0" w:color="auto"/>
              <w:left w:val="nil"/>
              <w:bottom w:val="single" w:sz="4" w:space="0" w:color="auto"/>
              <w:right w:val="single" w:sz="4" w:space="0" w:color="auto"/>
            </w:tcBorders>
            <w:shd w:val="clear" w:color="auto" w:fill="auto"/>
            <w:vAlign w:val="center"/>
          </w:tcPr>
          <w:p>
            <w:pPr>
              <w:jc w:val="center"/>
              <w:rPr>
                <w:rFonts w:ascii="Times New Roman" w:hAnsi="Times New Roman"/>
                <w:b/>
                <w:bCs/>
                <w:color w:val="000000"/>
                <w:lang w:eastAsia="en-IN"/>
              </w:rPr>
            </w:pPr>
            <w:r>
              <w:rPr>
                <w:rFonts w:ascii="Times New Roman" w:hAnsi="Times New Roman"/>
                <w:b/>
                <w:bCs/>
                <w:color w:val="000000"/>
                <w:lang w:eastAsia="en-IN"/>
              </w:rPr>
              <w:t>Associated Thyroid Carcinoma</w:t>
            </w:r>
          </w:p>
        </w:tc>
        <w:tc>
          <w:tcPr>
            <w:tcW w:w="675"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tcPr>
          <w:p>
            <w:pPr>
              <w:ind w:left="113" w:right="113"/>
              <w:jc w:val="center"/>
              <w:rPr>
                <w:rFonts w:ascii="Times New Roman" w:hAnsi="Times New Roman"/>
                <w:b/>
                <w:bCs/>
                <w:color w:val="000000"/>
                <w:sz w:val="18"/>
                <w:szCs w:val="18"/>
                <w:lang w:eastAsia="en-IN"/>
              </w:rPr>
            </w:pPr>
            <w:r>
              <w:rPr>
                <w:rFonts w:ascii="Times New Roman" w:hAnsi="Times New Roman"/>
                <w:b/>
                <w:bCs/>
                <w:color w:val="000000"/>
                <w:sz w:val="18"/>
                <w:szCs w:val="18"/>
                <w:lang w:eastAsia="en-IN"/>
              </w:rPr>
              <w:t>Diagnosed before surgery</w:t>
            </w:r>
          </w:p>
          <w:p>
            <w:pPr>
              <w:ind w:left="113" w:right="113"/>
              <w:jc w:val="center"/>
              <w:rPr>
                <w:rFonts w:ascii="Times New Roman" w:hAnsi="Times New Roman"/>
                <w:b/>
                <w:bCs/>
                <w:color w:val="000000"/>
                <w:lang w:eastAsia="en-IN"/>
              </w:rPr>
            </w:pPr>
            <w:r>
              <w:rPr>
                <w:rFonts w:ascii="Times New Roman" w:hAnsi="Times New Roman"/>
                <w:b/>
                <w:bCs/>
                <w:color w:val="000000"/>
                <w:lang w:eastAsia="en-IN"/>
              </w:rPr>
              <w:t>(n)</w:t>
            </w:r>
          </w:p>
        </w:tc>
        <w:tc>
          <w:tcPr>
            <w:tcW w:w="1080" w:type="dxa"/>
            <w:vMerge w:val="restart"/>
            <w:tcBorders>
              <w:top w:val="single" w:sz="8" w:space="0" w:color="auto"/>
              <w:left w:val="single" w:sz="4" w:space="0" w:color="auto"/>
              <w:right w:val="single" w:sz="4" w:space="0" w:color="auto"/>
            </w:tcBorders>
            <w:textDirection w:val="btL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Frequency of thyroid carcinoma with hyperthyroidism</w:t>
            </w:r>
          </w:p>
          <w:p>
            <w:pPr>
              <w:ind w:left="113" w:right="113"/>
              <w:jc w:val="center"/>
              <w:rPr>
                <w:rFonts w:ascii="Times New Roman" w:hAnsi="Times New Roman"/>
                <w:b/>
                <w:bCs/>
                <w:color w:val="000000"/>
                <w:lang w:eastAsia="en-IN"/>
              </w:rPr>
            </w:pPr>
            <w:r>
              <w:rPr>
                <w:rFonts w:ascii="Times New Roman" w:hAnsi="Times New Roman"/>
                <w:b/>
                <w:bCs/>
                <w:color w:val="000000"/>
                <w:lang w:eastAsia="en-IN"/>
              </w:rPr>
              <w:t>% (n/ N)</w:t>
            </w:r>
          </w:p>
        </w:tc>
        <w:tc>
          <w:tcPr>
            <w:tcW w:w="1008" w:type="dxa"/>
            <w:vMerge w:val="restart"/>
            <w:tcBorders>
              <w:top w:val="single" w:sz="8" w:space="0" w:color="auto"/>
              <w:left w:val="single" w:sz="4" w:space="0" w:color="auto"/>
              <w:right w:val="single" w:sz="4" w:space="0" w:color="auto"/>
            </w:tcBorders>
            <w:textDirection w:val="btL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 xml:space="preserve">Frequency </w:t>
            </w:r>
            <w:proofErr w:type="gramStart"/>
            <w:r>
              <w:rPr>
                <w:rFonts w:ascii="Times New Roman" w:hAnsi="Times New Roman"/>
                <w:b/>
                <w:bCs/>
                <w:color w:val="000000"/>
                <w:lang w:eastAsia="en-IN"/>
              </w:rPr>
              <w:t>of  Papillary</w:t>
            </w:r>
            <w:proofErr w:type="gramEnd"/>
            <w:r>
              <w:rPr>
                <w:rFonts w:ascii="Times New Roman" w:hAnsi="Times New Roman"/>
                <w:b/>
                <w:bCs/>
                <w:color w:val="000000"/>
                <w:lang w:eastAsia="en-IN"/>
              </w:rPr>
              <w:t xml:space="preserve"> Thyroid Carcinoma in Hyperthyroidism</w:t>
            </w:r>
          </w:p>
          <w:p>
            <w:pPr>
              <w:ind w:left="113" w:right="113"/>
              <w:jc w:val="center"/>
              <w:rPr>
                <w:rFonts w:ascii="Times New Roman" w:hAnsi="Times New Roman"/>
                <w:b/>
                <w:bCs/>
                <w:color w:val="000000"/>
                <w:lang w:eastAsia="en-IN"/>
              </w:rPr>
            </w:pPr>
            <w:proofErr w:type="gramStart"/>
            <w:r>
              <w:rPr>
                <w:rFonts w:ascii="Times New Roman" w:hAnsi="Times New Roman"/>
                <w:b/>
                <w:bCs/>
                <w:color w:val="000000"/>
                <w:lang w:eastAsia="en-IN"/>
              </w:rPr>
              <w:t>%  (</w:t>
            </w:r>
            <w:proofErr w:type="gramEnd"/>
            <w:r>
              <w:rPr>
                <w:rFonts w:ascii="Times New Roman" w:hAnsi="Times New Roman"/>
                <w:b/>
                <w:bCs/>
                <w:color w:val="000000"/>
                <w:lang w:eastAsia="en-IN"/>
              </w:rPr>
              <w:t xml:space="preserve"> number of PTC patients/ N)</w:t>
            </w:r>
          </w:p>
        </w:tc>
      </w:tr>
      <w:tr>
        <w:trPr>
          <w:trHeight w:val="2202"/>
          <w:jc w:val="center"/>
        </w:trPr>
        <w:tc>
          <w:tcPr>
            <w:tcW w:w="1385" w:type="dxa"/>
            <w:vMerge/>
            <w:tcBorders>
              <w:top w:val="single" w:sz="8" w:space="0" w:color="auto"/>
              <w:left w:val="single" w:sz="8" w:space="0" w:color="auto"/>
              <w:bottom w:val="single" w:sz="8" w:space="0" w:color="000000"/>
              <w:right w:val="single" w:sz="4" w:space="0" w:color="auto"/>
            </w:tcBorders>
            <w:textDirection w:val="btLr"/>
            <w:vAlign w:val="center"/>
          </w:tcPr>
          <w:p>
            <w:pPr>
              <w:ind w:left="113" w:right="113"/>
              <w:rPr>
                <w:rFonts w:ascii="Times New Roman" w:hAnsi="Times New Roman"/>
                <w:color w:val="000000"/>
                <w:lang w:eastAsia="en-IN"/>
              </w:rPr>
            </w:pPr>
          </w:p>
        </w:tc>
        <w:tc>
          <w:tcPr>
            <w:tcW w:w="508"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proofErr w:type="spellStart"/>
            <w:r>
              <w:rPr>
                <w:rFonts w:ascii="Times New Roman" w:hAnsi="Times New Roman"/>
                <w:b/>
                <w:bCs/>
                <w:color w:val="000000"/>
                <w:lang w:eastAsia="en-IN"/>
              </w:rPr>
              <w:t>Graves</w:t>
            </w:r>
            <w:proofErr w:type="spellEnd"/>
            <w:r>
              <w:rPr>
                <w:rFonts w:ascii="Times New Roman" w:hAnsi="Times New Roman"/>
                <w:b/>
                <w:bCs/>
                <w:color w:val="000000"/>
                <w:lang w:eastAsia="en-IN"/>
              </w:rPr>
              <w:t xml:space="preserve"> disease (N)</w:t>
            </w:r>
          </w:p>
        </w:tc>
        <w:tc>
          <w:tcPr>
            <w:tcW w:w="641"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Uni-nodular Toxic Goiter (N)</w:t>
            </w:r>
          </w:p>
        </w:tc>
        <w:tc>
          <w:tcPr>
            <w:tcW w:w="717"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 xml:space="preserve">Toxic </w:t>
            </w:r>
            <w:proofErr w:type="gramStart"/>
            <w:r>
              <w:rPr>
                <w:rFonts w:ascii="Times New Roman" w:hAnsi="Times New Roman"/>
                <w:b/>
                <w:bCs/>
                <w:color w:val="000000"/>
                <w:lang w:eastAsia="en-IN"/>
              </w:rPr>
              <w:t xml:space="preserve">Multinodular  </w:t>
            </w:r>
            <w:proofErr w:type="spellStart"/>
            <w:r>
              <w:rPr>
                <w:rFonts w:ascii="Times New Roman" w:hAnsi="Times New Roman"/>
                <w:b/>
                <w:bCs/>
                <w:color w:val="000000"/>
                <w:lang w:eastAsia="en-IN"/>
              </w:rPr>
              <w:t>Goitre</w:t>
            </w:r>
            <w:proofErr w:type="spellEnd"/>
            <w:proofErr w:type="gramEnd"/>
            <w:r>
              <w:rPr>
                <w:rFonts w:ascii="Times New Roman" w:hAnsi="Times New Roman"/>
                <w:b/>
                <w:bCs/>
                <w:color w:val="000000"/>
                <w:lang w:eastAsia="en-IN"/>
              </w:rPr>
              <w:t xml:space="preserve"> (N)</w:t>
            </w:r>
          </w:p>
        </w:tc>
        <w:tc>
          <w:tcPr>
            <w:tcW w:w="680" w:type="dxa"/>
            <w:tcBorders>
              <w:top w:val="nil"/>
              <w:left w:val="nil"/>
              <w:bottom w:val="single" w:sz="8" w:space="0" w:color="auto"/>
              <w:right w:val="single" w:sz="4" w:space="0" w:color="auto"/>
            </w:tcBorders>
            <w:shd w:val="clear" w:color="auto" w:fill="auto"/>
            <w:tcMar>
              <w:left w:w="11" w:type="dxa"/>
              <w:right w:w="11" w:type="dxa"/>
            </w:tcMar>
            <w:textDirection w:val="btLr"/>
            <w:vAlign w:val="center"/>
          </w:tcPr>
          <w:p>
            <w:pPr>
              <w:ind w:left="113" w:right="113"/>
              <w:jc w:val="center"/>
              <w:rPr>
                <w:rFonts w:ascii="Times New Roman" w:hAnsi="Times New Roman"/>
                <w:b/>
                <w:bCs/>
                <w:color w:val="000000"/>
                <w:lang w:eastAsia="en-IN"/>
              </w:rPr>
            </w:pPr>
            <w:proofErr w:type="spellStart"/>
            <w:r>
              <w:rPr>
                <w:rFonts w:ascii="Times New Roman" w:hAnsi="Times New Roman"/>
                <w:b/>
                <w:bCs/>
                <w:color w:val="000000"/>
                <w:lang w:eastAsia="en-IN"/>
              </w:rPr>
              <w:t>Autonomus</w:t>
            </w:r>
            <w:proofErr w:type="spellEnd"/>
            <w:r>
              <w:rPr>
                <w:rFonts w:ascii="Times New Roman" w:hAnsi="Times New Roman"/>
                <w:b/>
                <w:bCs/>
                <w:color w:val="000000"/>
                <w:lang w:eastAsia="en-IN"/>
              </w:rPr>
              <w:t xml:space="preserve"> functioning </w:t>
            </w:r>
            <w:proofErr w:type="gramStart"/>
            <w:r>
              <w:rPr>
                <w:rFonts w:ascii="Times New Roman" w:hAnsi="Times New Roman"/>
                <w:b/>
                <w:bCs/>
                <w:color w:val="000000"/>
                <w:lang w:eastAsia="en-IN"/>
              </w:rPr>
              <w:t>thyroid  nodule</w:t>
            </w:r>
            <w:proofErr w:type="gramEnd"/>
            <w:r>
              <w:rPr>
                <w:rFonts w:ascii="Times New Roman" w:hAnsi="Times New Roman"/>
                <w:b/>
                <w:bCs/>
                <w:color w:val="000000"/>
                <w:lang w:eastAsia="en-IN"/>
              </w:rPr>
              <w:t xml:space="preserve"> (N)</w:t>
            </w:r>
          </w:p>
        </w:tc>
        <w:tc>
          <w:tcPr>
            <w:tcW w:w="1185"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Others (N)</w:t>
            </w:r>
          </w:p>
          <w:p>
            <w:pPr>
              <w:ind w:left="113" w:right="113"/>
              <w:jc w:val="center"/>
              <w:rPr>
                <w:rFonts w:ascii="Times New Roman" w:hAnsi="Times New Roman"/>
                <w:b/>
                <w:bCs/>
                <w:color w:val="000000"/>
                <w:lang w:eastAsia="en-IN"/>
              </w:rPr>
            </w:pPr>
          </w:p>
        </w:tc>
        <w:tc>
          <w:tcPr>
            <w:tcW w:w="630"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Papillary Thyroid Carcinoma (n)</w:t>
            </w:r>
          </w:p>
        </w:tc>
        <w:tc>
          <w:tcPr>
            <w:tcW w:w="720"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 xml:space="preserve">Follicular </w:t>
            </w:r>
            <w:proofErr w:type="gramStart"/>
            <w:r>
              <w:rPr>
                <w:rFonts w:ascii="Times New Roman" w:hAnsi="Times New Roman"/>
                <w:b/>
                <w:bCs/>
                <w:color w:val="000000"/>
                <w:lang w:eastAsia="en-IN"/>
              </w:rPr>
              <w:t>Thyroid  Carcinoma</w:t>
            </w:r>
            <w:proofErr w:type="gramEnd"/>
            <w:r>
              <w:rPr>
                <w:rFonts w:ascii="Times New Roman" w:hAnsi="Times New Roman"/>
                <w:b/>
                <w:bCs/>
                <w:color w:val="000000"/>
                <w:lang w:eastAsia="en-IN"/>
              </w:rPr>
              <w:t xml:space="preserve"> (n)</w:t>
            </w:r>
          </w:p>
        </w:tc>
        <w:tc>
          <w:tcPr>
            <w:tcW w:w="690"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proofErr w:type="gramStart"/>
            <w:r>
              <w:rPr>
                <w:rFonts w:ascii="Times New Roman" w:hAnsi="Times New Roman"/>
                <w:b/>
                <w:bCs/>
                <w:color w:val="000000"/>
                <w:lang w:eastAsia="en-IN"/>
              </w:rPr>
              <w:t>Anaplastic  Thyroid</w:t>
            </w:r>
            <w:proofErr w:type="gramEnd"/>
            <w:r>
              <w:rPr>
                <w:rFonts w:ascii="Times New Roman" w:hAnsi="Times New Roman"/>
                <w:b/>
                <w:bCs/>
                <w:color w:val="000000"/>
                <w:lang w:eastAsia="en-IN"/>
              </w:rPr>
              <w:t xml:space="preserve"> Carcinoma (n)</w:t>
            </w:r>
          </w:p>
        </w:tc>
        <w:tc>
          <w:tcPr>
            <w:tcW w:w="720" w:type="dxa"/>
            <w:tcBorders>
              <w:top w:val="nil"/>
              <w:left w:val="nil"/>
              <w:bottom w:val="single" w:sz="8" w:space="0" w:color="auto"/>
              <w:right w:val="single" w:sz="4" w:space="0" w:color="auto"/>
            </w:tcBorders>
            <w:shd w:val="clear" w:color="auto" w:fill="auto"/>
            <w:textDirection w:val="btLr"/>
            <w:vAlign w:val="center"/>
          </w:tcPr>
          <w:p>
            <w:pPr>
              <w:ind w:left="113" w:right="113"/>
              <w:jc w:val="center"/>
              <w:rPr>
                <w:rFonts w:ascii="Times New Roman" w:hAnsi="Times New Roman"/>
                <w:b/>
                <w:bCs/>
                <w:color w:val="000000"/>
                <w:lang w:eastAsia="en-IN"/>
              </w:rPr>
            </w:pPr>
            <w:r>
              <w:rPr>
                <w:rFonts w:ascii="Times New Roman" w:hAnsi="Times New Roman"/>
                <w:b/>
                <w:bCs/>
                <w:color w:val="000000"/>
                <w:lang w:eastAsia="en-IN"/>
              </w:rPr>
              <w:t>Others (n)</w:t>
            </w:r>
          </w:p>
        </w:tc>
        <w:tc>
          <w:tcPr>
            <w:tcW w:w="675" w:type="dxa"/>
            <w:vMerge/>
            <w:tcBorders>
              <w:top w:val="single" w:sz="8" w:space="0" w:color="auto"/>
              <w:left w:val="single" w:sz="4" w:space="0" w:color="auto"/>
              <w:bottom w:val="single" w:sz="8" w:space="0" w:color="000000"/>
              <w:right w:val="single" w:sz="4" w:space="0" w:color="auto"/>
            </w:tcBorders>
            <w:textDirection w:val="btLr"/>
            <w:vAlign w:val="center"/>
          </w:tcPr>
          <w:p>
            <w:pPr>
              <w:ind w:left="113" w:right="113"/>
              <w:rPr>
                <w:rFonts w:ascii="Times New Roman" w:hAnsi="Times New Roman"/>
                <w:color w:val="000000"/>
                <w:lang w:eastAsia="en-IN"/>
              </w:rPr>
            </w:pPr>
          </w:p>
        </w:tc>
        <w:tc>
          <w:tcPr>
            <w:tcW w:w="1080" w:type="dxa"/>
            <w:vMerge/>
            <w:tcBorders>
              <w:left w:val="single" w:sz="4" w:space="0" w:color="auto"/>
              <w:bottom w:val="single" w:sz="8" w:space="0" w:color="000000"/>
              <w:right w:val="single" w:sz="4" w:space="0" w:color="auto"/>
            </w:tcBorders>
            <w:textDirection w:val="btLr"/>
          </w:tcPr>
          <w:p>
            <w:pPr>
              <w:ind w:left="113" w:right="113"/>
              <w:rPr>
                <w:rFonts w:ascii="Times New Roman" w:hAnsi="Times New Roman"/>
                <w:color w:val="000000"/>
                <w:lang w:eastAsia="en-IN"/>
              </w:rPr>
            </w:pPr>
          </w:p>
        </w:tc>
        <w:tc>
          <w:tcPr>
            <w:tcW w:w="1008" w:type="dxa"/>
            <w:vMerge/>
            <w:tcBorders>
              <w:left w:val="single" w:sz="4" w:space="0" w:color="auto"/>
              <w:bottom w:val="single" w:sz="8" w:space="0" w:color="000000"/>
              <w:right w:val="single" w:sz="4" w:space="0" w:color="auto"/>
            </w:tcBorders>
            <w:textDirection w:val="btLr"/>
          </w:tcPr>
          <w:p>
            <w:pPr>
              <w:ind w:left="113" w:right="113"/>
              <w:rPr>
                <w:rFonts w:ascii="Times New Roman" w:hAnsi="Times New Roman"/>
                <w:color w:val="000000"/>
                <w:lang w:eastAsia="en-IN"/>
              </w:rPr>
            </w:pPr>
          </w:p>
        </w:tc>
      </w:tr>
      <w:tr>
        <w:trPr>
          <w:trHeight w:val="89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xml:space="preserve">Edmonds </w:t>
            </w:r>
            <w:proofErr w:type="gramStart"/>
            <w:r>
              <w:rPr>
                <w:rFonts w:ascii="Times New Roman" w:hAnsi="Times New Roman"/>
                <w:color w:val="000000"/>
                <w:lang w:eastAsia="en-IN"/>
              </w:rPr>
              <w:t>et al.(</w:t>
            </w:r>
            <w:proofErr w:type="gramEnd"/>
            <w:r>
              <w:rPr>
                <w:rFonts w:ascii="Times New Roman" w:hAnsi="Times New Roman"/>
                <w:color w:val="000000"/>
                <w:lang w:eastAsia="en-IN"/>
              </w:rPr>
              <w:t>1988)</w:t>
            </w:r>
            <w:r>
              <w:rPr>
                <w:rFonts w:ascii="Times New Roman" w:hAnsi="Times New Roman"/>
                <w:color w:val="000000"/>
                <w:vertAlign w:val="superscript"/>
                <w:lang w:eastAsia="en-IN"/>
              </w:rPr>
              <w:t>[9]</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4</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3</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ind w:firstLineChars="50" w:firstLine="100"/>
              <w:rPr>
                <w:rFonts w:ascii="Times New Roman" w:hAnsi="Times New Roman"/>
                <w:color w:val="000000"/>
                <w:lang w:eastAsia="en-IN"/>
              </w:rPr>
            </w:pPr>
            <w:r>
              <w:rPr>
                <w:rFonts w:ascii="Times New Roman" w:hAnsi="Times New Roman"/>
                <w:color w:val="000000"/>
                <w:lang w:eastAsia="en-IN"/>
              </w:rPr>
              <w:t>Large size Functioning tumor - 2</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1.9</w:t>
            </w:r>
          </w:p>
          <w:p>
            <w:pPr>
              <w:spacing w:line="480" w:lineRule="auto"/>
              <w:rPr>
                <w:rFonts w:ascii="Times New Roman" w:hAnsi="Times New Roman"/>
                <w:color w:val="000000"/>
                <w:lang w:eastAsia="en-IN"/>
              </w:rPr>
            </w:pPr>
            <w:r>
              <w:rPr>
                <w:rFonts w:ascii="Times New Roman" w:hAnsi="Times New Roman"/>
                <w:color w:val="000000"/>
                <w:lang w:eastAsia="en-IN"/>
              </w:rPr>
              <w:t>(10/502)</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w:t>
            </w:r>
          </w:p>
        </w:tc>
      </w:tr>
      <w:tr>
        <w:trPr>
          <w:trHeight w:val="88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Rieger et al.</w:t>
            </w:r>
          </w:p>
          <w:p>
            <w:pPr>
              <w:spacing w:line="480" w:lineRule="auto"/>
              <w:rPr>
                <w:rFonts w:ascii="Times New Roman" w:hAnsi="Times New Roman"/>
                <w:color w:val="000000"/>
                <w:lang w:eastAsia="en-IN"/>
              </w:rPr>
            </w:pPr>
            <w:r>
              <w:rPr>
                <w:rFonts w:ascii="Times New Roman" w:hAnsi="Times New Roman"/>
                <w:color w:val="000000"/>
                <w:lang w:eastAsia="en-IN"/>
              </w:rPr>
              <w:t xml:space="preserve">(1989)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11</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 3</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5</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4</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3</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MTC- 2</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xml:space="preserve">9/14 </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0.76%</w:t>
            </w:r>
          </w:p>
          <w:p>
            <w:pPr>
              <w:spacing w:line="480" w:lineRule="auto"/>
              <w:rPr>
                <w:rFonts w:ascii="Times New Roman" w:hAnsi="Times New Roman"/>
                <w:color w:val="000000"/>
                <w:lang w:eastAsia="en-IN"/>
              </w:rPr>
            </w:pPr>
            <w:r>
              <w:rPr>
                <w:rFonts w:ascii="Times New Roman" w:hAnsi="Times New Roman"/>
                <w:color w:val="000000"/>
                <w:lang w:eastAsia="en-IN"/>
              </w:rPr>
              <w:t>(14/1848)</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0.27%</w:t>
            </w:r>
          </w:p>
          <w:p>
            <w:pPr>
              <w:spacing w:line="480" w:lineRule="auto"/>
              <w:rPr>
                <w:rFonts w:ascii="Times New Roman" w:hAnsi="Times New Roman"/>
                <w:color w:val="000000"/>
                <w:lang w:eastAsia="en-IN"/>
              </w:rPr>
            </w:pPr>
            <w:r>
              <w:rPr>
                <w:rFonts w:ascii="Times New Roman" w:hAnsi="Times New Roman"/>
                <w:color w:val="000000"/>
                <w:lang w:eastAsia="en-IN"/>
              </w:rPr>
              <w:t>(5/1848)</w:t>
            </w:r>
          </w:p>
        </w:tc>
      </w:tr>
      <w:tr>
        <w:trPr>
          <w:trHeight w:val="88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Ozaki et al. (</w:t>
            </w:r>
            <w:proofErr w:type="gramStart"/>
            <w:r>
              <w:rPr>
                <w:rFonts w:ascii="Times New Roman" w:hAnsi="Times New Roman"/>
                <w:color w:val="000000"/>
                <w:lang w:eastAsia="en-IN"/>
              </w:rPr>
              <w:t>1990)</w:t>
            </w:r>
            <w:r>
              <w:rPr>
                <w:rFonts w:ascii="Times New Roman" w:hAnsi="Times New Roman"/>
                <w:color w:val="000000"/>
                <w:vertAlign w:val="superscript"/>
                <w:lang w:eastAsia="en-IN"/>
              </w:rPr>
              <w:t>[</w:t>
            </w:r>
            <w:proofErr w:type="gramEnd"/>
            <w:r>
              <w:rPr>
                <w:rFonts w:ascii="Times New Roman" w:hAnsi="Times New Roman"/>
                <w:color w:val="000000"/>
                <w:vertAlign w:val="superscript"/>
                <w:lang w:eastAsia="en-IN"/>
              </w:rPr>
              <w:t>9]</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19</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15</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4</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xml:space="preserve">5/19 </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2.57%</w:t>
            </w:r>
          </w:p>
          <w:p>
            <w:pPr>
              <w:spacing w:line="480" w:lineRule="auto"/>
              <w:rPr>
                <w:rFonts w:ascii="Times New Roman" w:hAnsi="Times New Roman"/>
                <w:color w:val="000000"/>
                <w:lang w:eastAsia="en-IN"/>
              </w:rPr>
            </w:pPr>
            <w:r>
              <w:rPr>
                <w:rFonts w:ascii="Times New Roman" w:hAnsi="Times New Roman"/>
                <w:color w:val="000000"/>
                <w:lang w:eastAsia="en-IN"/>
              </w:rPr>
              <w:t>(19/739)</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2.03%</w:t>
            </w:r>
          </w:p>
          <w:p>
            <w:pPr>
              <w:spacing w:line="480" w:lineRule="auto"/>
              <w:rPr>
                <w:rFonts w:ascii="Times New Roman" w:hAnsi="Times New Roman"/>
                <w:color w:val="000000"/>
                <w:lang w:eastAsia="en-IN"/>
              </w:rPr>
            </w:pPr>
            <w:r>
              <w:rPr>
                <w:rFonts w:ascii="Times New Roman" w:hAnsi="Times New Roman"/>
                <w:color w:val="000000"/>
                <w:lang w:eastAsia="en-IN"/>
              </w:rPr>
              <w:t>(15/739)</w:t>
            </w:r>
          </w:p>
        </w:tc>
      </w:tr>
      <w:tr>
        <w:trPr>
          <w:trHeight w:val="1327"/>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lang w:eastAsia="en-IN"/>
              </w:rPr>
              <w:t>Ahuja et al. (</w:t>
            </w:r>
            <w:proofErr w:type="gramStart"/>
            <w:r>
              <w:rPr>
                <w:rFonts w:ascii="Times New Roman" w:hAnsi="Times New Roman"/>
                <w:color w:val="000000"/>
                <w:lang w:eastAsia="en-IN"/>
              </w:rPr>
              <w:t>1991)</w:t>
            </w:r>
            <w:r>
              <w:rPr>
                <w:rFonts w:ascii="Times New Roman" w:hAnsi="Times New Roman"/>
                <w:vertAlign w:val="superscript"/>
                <w:lang w:eastAsia="en-IN"/>
              </w:rPr>
              <w:t>[</w:t>
            </w:r>
            <w:proofErr w:type="gramEnd"/>
            <w:r>
              <w:rPr>
                <w:rFonts w:ascii="Times New Roman" w:hAnsi="Times New Roman"/>
                <w:vertAlign w:val="superscript"/>
                <w:lang w:eastAsia="en-IN"/>
              </w:rPr>
              <w:t>9]</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4</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6</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2</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Diffuse Goiter with a cold nodule - 10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15</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6</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vertAlign w:val="superscript"/>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lang w:eastAsia="en-IN"/>
              </w:rPr>
              <w:t>Hurthle</w:t>
            </w:r>
            <w:proofErr w:type="spellEnd"/>
            <w:r>
              <w:rPr>
                <w:rFonts w:ascii="Times New Roman" w:hAnsi="Times New Roman"/>
                <w:color w:val="000000"/>
                <w:lang w:eastAsia="en-IN"/>
              </w:rPr>
              <w:t xml:space="preserve"> Cell CA- 1</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3.4 %</w:t>
            </w:r>
          </w:p>
          <w:p>
            <w:pPr>
              <w:spacing w:line="480" w:lineRule="auto"/>
              <w:rPr>
                <w:rFonts w:ascii="Times New Roman" w:hAnsi="Times New Roman"/>
                <w:color w:val="000000"/>
                <w:lang w:eastAsia="en-IN"/>
              </w:rPr>
            </w:pPr>
            <w:r>
              <w:rPr>
                <w:rFonts w:ascii="Times New Roman" w:hAnsi="Times New Roman"/>
                <w:color w:val="000000"/>
                <w:lang w:eastAsia="en-IN"/>
              </w:rPr>
              <w:t>(22/643)</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2.3%</w:t>
            </w:r>
          </w:p>
          <w:p>
            <w:pPr>
              <w:spacing w:line="480" w:lineRule="auto"/>
              <w:rPr>
                <w:rFonts w:ascii="Times New Roman" w:hAnsi="Times New Roman"/>
                <w:color w:val="000000"/>
                <w:lang w:eastAsia="en-IN"/>
              </w:rPr>
            </w:pPr>
            <w:r>
              <w:rPr>
                <w:rFonts w:ascii="Times New Roman" w:hAnsi="Times New Roman"/>
                <w:color w:val="000000"/>
                <w:lang w:eastAsia="en-IN"/>
              </w:rPr>
              <w:t>(15/643)</w:t>
            </w:r>
          </w:p>
        </w:tc>
      </w:tr>
      <w:tr>
        <w:trPr>
          <w:trHeight w:val="903"/>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FF0000"/>
                <w:lang w:eastAsia="en-IN"/>
              </w:rPr>
            </w:pPr>
            <w:proofErr w:type="spellStart"/>
            <w:r>
              <w:rPr>
                <w:rFonts w:ascii="Times New Roman" w:hAnsi="Times New Roman"/>
                <w:color w:val="000000"/>
                <w:lang w:eastAsia="en-IN"/>
              </w:rPr>
              <w:t>Gabrele</w:t>
            </w:r>
            <w:proofErr w:type="spellEnd"/>
            <w:r>
              <w:rPr>
                <w:rFonts w:ascii="Times New Roman" w:hAnsi="Times New Roman"/>
                <w:color w:val="000000"/>
                <w:lang w:eastAsia="en-IN"/>
              </w:rPr>
              <w:t xml:space="preserve"> et al. (</w:t>
            </w:r>
            <w:proofErr w:type="gramStart"/>
            <w:r>
              <w:rPr>
                <w:rFonts w:ascii="Times New Roman" w:hAnsi="Times New Roman"/>
                <w:color w:val="000000"/>
                <w:lang w:eastAsia="en-IN"/>
              </w:rPr>
              <w:t>2003)</w:t>
            </w:r>
            <w:r>
              <w:rPr>
                <w:rFonts w:ascii="Times New Roman" w:hAnsi="Times New Roman"/>
                <w:color w:val="000000"/>
                <w:vertAlign w:val="superscript"/>
                <w:lang w:eastAsia="en-IN"/>
              </w:rPr>
              <w:t>[</w:t>
            </w:r>
            <w:proofErr w:type="gramEnd"/>
            <w:r>
              <w:rPr>
                <w:rFonts w:ascii="Times New Roman" w:hAnsi="Times New Roman"/>
                <w:color w:val="000000"/>
                <w:vertAlign w:val="superscript"/>
                <w:lang w:eastAsia="en-IN"/>
              </w:rPr>
              <w:t xml:space="preserve">3] </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3</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4</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5</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2</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p>
          <w:p>
            <w:pPr>
              <w:spacing w:line="480" w:lineRule="auto"/>
              <w:rPr>
                <w:rFonts w:ascii="Times New Roman" w:hAnsi="Times New Roman"/>
                <w:color w:val="000000"/>
                <w:lang w:eastAsia="en-IN"/>
              </w:rPr>
            </w:pPr>
            <w:r>
              <w:rPr>
                <w:rFonts w:ascii="Times New Roman" w:hAnsi="Times New Roman"/>
                <w:color w:val="000000"/>
                <w:lang w:eastAsia="en-IN"/>
              </w:rPr>
              <w:t>1.65%</w:t>
            </w:r>
          </w:p>
          <w:p>
            <w:pPr>
              <w:spacing w:line="480" w:lineRule="auto"/>
              <w:rPr>
                <w:rFonts w:ascii="Times New Roman" w:hAnsi="Times New Roman"/>
                <w:color w:val="000000"/>
                <w:lang w:eastAsia="en-IN"/>
              </w:rPr>
            </w:pPr>
            <w:r>
              <w:rPr>
                <w:rFonts w:ascii="Times New Roman" w:hAnsi="Times New Roman"/>
                <w:color w:val="000000"/>
                <w:lang w:eastAsia="en-IN"/>
              </w:rPr>
              <w:t>(7/425)</w:t>
            </w: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1.18%</w:t>
            </w:r>
          </w:p>
          <w:p>
            <w:pPr>
              <w:spacing w:line="480" w:lineRule="auto"/>
              <w:rPr>
                <w:rFonts w:ascii="Times New Roman" w:hAnsi="Times New Roman"/>
                <w:color w:val="000000"/>
                <w:lang w:eastAsia="en-IN"/>
              </w:rPr>
            </w:pPr>
            <w:r>
              <w:rPr>
                <w:rFonts w:ascii="Times New Roman" w:hAnsi="Times New Roman"/>
                <w:color w:val="000000"/>
                <w:lang w:eastAsia="en-IN"/>
              </w:rPr>
              <w:t>(5/425)</w:t>
            </w:r>
          </w:p>
        </w:tc>
      </w:tr>
      <w:tr>
        <w:trPr>
          <w:trHeight w:val="88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FF0000"/>
                <w:lang w:eastAsia="en-IN"/>
              </w:rPr>
            </w:pPr>
            <w:proofErr w:type="spellStart"/>
            <w:r>
              <w:rPr>
                <w:rFonts w:ascii="Times New Roman" w:hAnsi="Times New Roman"/>
                <w:color w:val="000000"/>
                <w:lang w:eastAsia="en-IN"/>
              </w:rPr>
              <w:t>Grigorovici</w:t>
            </w:r>
            <w:proofErr w:type="spellEnd"/>
            <w:r>
              <w:rPr>
                <w:rFonts w:ascii="Times New Roman" w:hAnsi="Times New Roman"/>
                <w:color w:val="000000"/>
                <w:lang w:eastAsia="en-IN"/>
              </w:rPr>
              <w:t xml:space="preserve"> et al. (2013)</w:t>
            </w:r>
            <w:r>
              <w:rPr>
                <w:rFonts w:ascii="Times New Roman" w:hAnsi="Times New Roman"/>
                <w:color w:val="000000"/>
                <w:vertAlign w:val="superscript"/>
                <w:lang w:eastAsia="en-IN"/>
              </w:rPr>
              <w:t xml:space="preserve"> [3]</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31</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18</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9</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3</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MTC - 1</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23.63 %</w:t>
            </w:r>
          </w:p>
          <w:p>
            <w:pPr>
              <w:spacing w:line="480" w:lineRule="auto"/>
              <w:rPr>
                <w:rFonts w:ascii="Times New Roman" w:hAnsi="Times New Roman"/>
                <w:color w:val="000000"/>
                <w:lang w:eastAsia="en-IN"/>
              </w:rPr>
            </w:pPr>
            <w:r>
              <w:rPr>
                <w:rFonts w:ascii="Times New Roman" w:hAnsi="Times New Roman"/>
                <w:color w:val="000000"/>
                <w:lang w:eastAsia="en-IN"/>
              </w:rPr>
              <w:t xml:space="preserve">(31/85) </w:t>
            </w: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2.11 %</w:t>
            </w:r>
          </w:p>
          <w:p>
            <w:pPr>
              <w:spacing w:line="480" w:lineRule="auto"/>
              <w:rPr>
                <w:rFonts w:ascii="Times New Roman" w:hAnsi="Times New Roman"/>
                <w:color w:val="000000"/>
                <w:lang w:eastAsia="en-IN"/>
              </w:rPr>
            </w:pPr>
            <w:r>
              <w:rPr>
                <w:rFonts w:ascii="Times New Roman" w:hAnsi="Times New Roman"/>
                <w:color w:val="000000"/>
                <w:lang w:eastAsia="en-IN"/>
              </w:rPr>
              <w:t>(18/852)</w:t>
            </w:r>
          </w:p>
          <w:p>
            <w:pPr>
              <w:spacing w:line="480" w:lineRule="auto"/>
              <w:rPr>
                <w:rFonts w:ascii="Times New Roman" w:hAnsi="Times New Roman"/>
                <w:color w:val="000000"/>
                <w:lang w:eastAsia="en-IN"/>
              </w:rPr>
            </w:pPr>
          </w:p>
          <w:p>
            <w:pPr>
              <w:spacing w:line="480" w:lineRule="auto"/>
              <w:rPr>
                <w:rFonts w:ascii="Times New Roman" w:hAnsi="Times New Roman"/>
                <w:color w:val="000000"/>
                <w:lang w:eastAsia="en-IN"/>
              </w:rPr>
            </w:pPr>
          </w:p>
        </w:tc>
      </w:tr>
      <w:tr>
        <w:trPr>
          <w:trHeight w:val="88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lastRenderedPageBreak/>
              <w:t>Zahn et al. (2013)</w:t>
            </w:r>
            <w:r>
              <w:rPr>
                <w:rFonts w:ascii="Times New Roman" w:hAnsi="Times New Roman"/>
                <w:color w:val="000000"/>
                <w:vertAlign w:val="superscript"/>
                <w:lang w:eastAsia="en-IN"/>
              </w:rPr>
              <w:t xml:space="preserve"> [3]</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6</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6 *</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xml:space="preserve">2/6 </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 xml:space="preserve"> 2.67 %</w:t>
            </w:r>
          </w:p>
          <w:p>
            <w:pPr>
              <w:spacing w:line="480" w:lineRule="auto"/>
              <w:rPr>
                <w:rFonts w:ascii="Times New Roman" w:hAnsi="Times New Roman"/>
                <w:color w:val="000000"/>
                <w:lang w:eastAsia="en-IN"/>
              </w:rPr>
            </w:pPr>
            <w:r>
              <w:rPr>
                <w:rFonts w:ascii="Times New Roman" w:hAnsi="Times New Roman"/>
                <w:color w:val="000000"/>
                <w:lang w:eastAsia="en-IN"/>
              </w:rPr>
              <w:t>(6/224)</w:t>
            </w: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2.67 %</w:t>
            </w:r>
          </w:p>
          <w:p>
            <w:pPr>
              <w:spacing w:line="480" w:lineRule="auto"/>
              <w:rPr>
                <w:rFonts w:ascii="Times New Roman" w:hAnsi="Times New Roman"/>
                <w:color w:val="000000"/>
                <w:lang w:eastAsia="en-IN"/>
              </w:rPr>
            </w:pPr>
            <w:r>
              <w:rPr>
                <w:rFonts w:ascii="Times New Roman" w:hAnsi="Times New Roman"/>
                <w:color w:val="000000"/>
                <w:lang w:eastAsia="en-IN"/>
              </w:rPr>
              <w:t>(6/224)</w:t>
            </w:r>
          </w:p>
        </w:tc>
      </w:tr>
      <w:tr>
        <w:trPr>
          <w:trHeight w:val="88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lang w:eastAsia="en-IN"/>
              </w:rPr>
              <w:t>Chinchuk</w:t>
            </w:r>
            <w:proofErr w:type="spellEnd"/>
            <w:r>
              <w:rPr>
                <w:rFonts w:ascii="Times New Roman" w:hAnsi="Times New Roman"/>
                <w:color w:val="000000"/>
                <w:lang w:eastAsia="en-IN"/>
              </w:rPr>
              <w:t xml:space="preserve"> et al. (2013)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21 **</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20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4.83%</w:t>
            </w:r>
          </w:p>
          <w:p>
            <w:pPr>
              <w:spacing w:line="480" w:lineRule="auto"/>
              <w:rPr>
                <w:rFonts w:ascii="Times New Roman" w:hAnsi="Times New Roman"/>
                <w:color w:val="000000"/>
                <w:lang w:eastAsia="en-IN"/>
              </w:rPr>
            </w:pPr>
            <w:r>
              <w:rPr>
                <w:rFonts w:ascii="Times New Roman" w:hAnsi="Times New Roman"/>
                <w:color w:val="000000"/>
                <w:lang w:eastAsia="en-IN"/>
              </w:rPr>
              <w:t>(21/434)</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4.61%</w:t>
            </w:r>
          </w:p>
          <w:p>
            <w:pPr>
              <w:spacing w:line="480" w:lineRule="auto"/>
              <w:rPr>
                <w:rFonts w:ascii="Times New Roman" w:hAnsi="Times New Roman"/>
                <w:color w:val="000000"/>
                <w:lang w:eastAsia="en-IN"/>
              </w:rPr>
            </w:pPr>
            <w:r>
              <w:rPr>
                <w:rFonts w:ascii="Times New Roman" w:hAnsi="Times New Roman"/>
                <w:color w:val="000000"/>
                <w:lang w:eastAsia="en-IN"/>
              </w:rPr>
              <w:t>(20/434)</w:t>
            </w:r>
          </w:p>
        </w:tc>
      </w:tr>
      <w:tr>
        <w:trPr>
          <w:trHeight w:val="88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themeColor="text1"/>
                <w:lang w:eastAsia="en-IN"/>
              </w:rPr>
              <w:t>Ocak</w:t>
            </w:r>
            <w:proofErr w:type="spellEnd"/>
            <w:r>
              <w:rPr>
                <w:rFonts w:ascii="Times New Roman" w:hAnsi="Times New Roman"/>
                <w:color w:val="000000" w:themeColor="text1"/>
                <w:lang w:eastAsia="en-IN"/>
              </w:rPr>
              <w:t xml:space="preserve"> et al. (</w:t>
            </w:r>
            <w:r>
              <w:rPr>
                <w:rFonts w:ascii="Times New Roman" w:hAnsi="Times New Roman"/>
                <w:color w:val="000000"/>
                <w:lang w:eastAsia="en-IN"/>
              </w:rPr>
              <w:t xml:space="preserve">2014) </w:t>
            </w:r>
            <w:r>
              <w:rPr>
                <w:rFonts w:ascii="Times New Roman" w:hAnsi="Times New Roman"/>
                <w:color w:val="000000" w:themeColor="text1"/>
                <w:vertAlign w:val="superscript"/>
                <w:lang w:eastAsia="en-IN"/>
              </w:rPr>
              <w:t>[7]</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5</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7</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7.3 %</w:t>
            </w:r>
          </w:p>
          <w:p>
            <w:pPr>
              <w:spacing w:line="480" w:lineRule="auto"/>
              <w:rPr>
                <w:rFonts w:ascii="Times New Roman" w:hAnsi="Times New Roman"/>
                <w:color w:val="000000"/>
                <w:lang w:eastAsia="en-IN"/>
              </w:rPr>
            </w:pPr>
            <w:r>
              <w:rPr>
                <w:rFonts w:ascii="Times New Roman" w:hAnsi="Times New Roman"/>
                <w:color w:val="000000"/>
                <w:lang w:eastAsia="en-IN"/>
              </w:rPr>
              <w:t>(13/177)</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w:t>
            </w:r>
          </w:p>
        </w:tc>
      </w:tr>
      <w:tr>
        <w:trPr>
          <w:trHeight w:val="1327"/>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lang w:eastAsia="en-IN"/>
              </w:rPr>
              <w:t>Preece</w:t>
            </w:r>
            <w:proofErr w:type="spellEnd"/>
            <w:r>
              <w:rPr>
                <w:rFonts w:ascii="Times New Roman" w:hAnsi="Times New Roman"/>
                <w:color w:val="000000"/>
                <w:lang w:eastAsia="en-IN"/>
              </w:rPr>
              <w:t xml:space="preserve"> et al. (2014)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16</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21</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proofErr w:type="gramStart"/>
            <w:r>
              <w:rPr>
                <w:rFonts w:ascii="Times New Roman" w:hAnsi="Times New Roman"/>
                <w:color w:val="000000"/>
                <w:lang w:eastAsia="en-IN"/>
              </w:rPr>
              <w:t>Non toxic</w:t>
            </w:r>
            <w:proofErr w:type="spellEnd"/>
            <w:proofErr w:type="gramEnd"/>
            <w:r>
              <w:rPr>
                <w:rFonts w:ascii="Times New Roman" w:hAnsi="Times New Roman"/>
                <w:color w:val="000000"/>
                <w:lang w:eastAsia="en-IN"/>
              </w:rPr>
              <w:t xml:space="preserve"> Multinodular Goiter - 59</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84</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12 ***</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6.4%</w:t>
            </w:r>
          </w:p>
          <w:p>
            <w:pPr>
              <w:spacing w:line="480" w:lineRule="auto"/>
              <w:rPr>
                <w:rFonts w:ascii="Times New Roman" w:hAnsi="Times New Roman"/>
                <w:color w:val="000000"/>
                <w:lang w:eastAsia="en-IN"/>
              </w:rPr>
            </w:pPr>
            <w:r>
              <w:rPr>
                <w:rFonts w:ascii="Times New Roman" w:hAnsi="Times New Roman"/>
                <w:color w:val="000000"/>
                <w:lang w:eastAsia="en-IN"/>
              </w:rPr>
              <w:t>(96/1508)</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5.57%</w:t>
            </w:r>
          </w:p>
          <w:p>
            <w:pPr>
              <w:spacing w:line="480" w:lineRule="auto"/>
              <w:rPr>
                <w:rFonts w:ascii="Times New Roman" w:hAnsi="Times New Roman"/>
                <w:color w:val="000000"/>
                <w:lang w:eastAsia="en-IN"/>
              </w:rPr>
            </w:pPr>
            <w:r>
              <w:rPr>
                <w:rFonts w:ascii="Times New Roman" w:hAnsi="Times New Roman"/>
                <w:color w:val="000000"/>
                <w:lang w:eastAsia="en-IN"/>
              </w:rPr>
              <w:t>(84/1508)</w:t>
            </w:r>
          </w:p>
        </w:tc>
      </w:tr>
      <w:tr>
        <w:trPr>
          <w:trHeight w:val="88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lang w:eastAsia="en-IN"/>
              </w:rPr>
              <w:t>Tastan</w:t>
            </w:r>
            <w:proofErr w:type="spellEnd"/>
            <w:r>
              <w:rPr>
                <w:rFonts w:ascii="Times New Roman" w:hAnsi="Times New Roman"/>
                <w:color w:val="000000"/>
                <w:lang w:eastAsia="en-IN"/>
              </w:rPr>
              <w:t xml:space="preserve"> et al. (2015 </w:t>
            </w:r>
            <w:r>
              <w:rPr>
                <w:rFonts w:ascii="Times New Roman" w:hAnsi="Times New Roman"/>
                <w:color w:val="000000"/>
                <w:vertAlign w:val="superscript"/>
                <w:lang w:eastAsia="en-IN"/>
              </w:rPr>
              <w:t>[3]</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11</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13</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5.65%</w:t>
            </w:r>
          </w:p>
          <w:p>
            <w:pPr>
              <w:spacing w:line="480" w:lineRule="auto"/>
              <w:rPr>
                <w:rFonts w:ascii="Times New Roman" w:hAnsi="Times New Roman"/>
                <w:color w:val="000000"/>
                <w:lang w:eastAsia="en-IN"/>
              </w:rPr>
            </w:pPr>
            <w:r>
              <w:rPr>
                <w:rFonts w:ascii="Times New Roman" w:hAnsi="Times New Roman"/>
                <w:color w:val="000000"/>
                <w:lang w:eastAsia="en-IN"/>
              </w:rPr>
              <w:t>(13/230)</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5.65%</w:t>
            </w:r>
          </w:p>
          <w:p>
            <w:pPr>
              <w:spacing w:line="480" w:lineRule="auto"/>
              <w:rPr>
                <w:rFonts w:ascii="Times New Roman" w:hAnsi="Times New Roman"/>
                <w:color w:val="000000"/>
                <w:lang w:eastAsia="en-IN"/>
              </w:rPr>
            </w:pPr>
            <w:r>
              <w:rPr>
                <w:rFonts w:ascii="Times New Roman" w:hAnsi="Times New Roman"/>
                <w:color w:val="000000"/>
                <w:lang w:eastAsia="en-IN"/>
              </w:rPr>
              <w:t>(13/230)</w:t>
            </w:r>
          </w:p>
        </w:tc>
      </w:tr>
      <w:tr>
        <w:trPr>
          <w:trHeight w:val="110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lang w:eastAsia="en-IN"/>
              </w:rPr>
              <w:t>Kamju</w:t>
            </w:r>
            <w:proofErr w:type="spellEnd"/>
            <w:r>
              <w:rPr>
                <w:rFonts w:ascii="Times New Roman" w:hAnsi="Times New Roman"/>
                <w:color w:val="000000"/>
                <w:lang w:eastAsia="en-IN"/>
              </w:rPr>
              <w:t xml:space="preserve"> </w:t>
            </w:r>
            <w:proofErr w:type="spellStart"/>
            <w:r>
              <w:rPr>
                <w:rFonts w:ascii="Times New Roman" w:hAnsi="Times New Roman"/>
                <w:color w:val="000000"/>
                <w:lang w:eastAsia="en-IN"/>
              </w:rPr>
              <w:t>mohamed</w:t>
            </w:r>
            <w:proofErr w:type="spellEnd"/>
            <w:r>
              <w:rPr>
                <w:rFonts w:ascii="Times New Roman" w:hAnsi="Times New Roman"/>
                <w:color w:val="000000"/>
                <w:lang w:eastAsia="en-IN"/>
              </w:rPr>
              <w:t xml:space="preserve"> </w:t>
            </w:r>
            <w:proofErr w:type="gramStart"/>
            <w:r>
              <w:rPr>
                <w:rFonts w:ascii="Times New Roman" w:hAnsi="Times New Roman"/>
                <w:color w:val="000000"/>
                <w:lang w:eastAsia="en-IN"/>
              </w:rPr>
              <w:t>et al.(</w:t>
            </w:r>
            <w:proofErr w:type="gramEnd"/>
            <w:r>
              <w:rPr>
                <w:rFonts w:ascii="Times New Roman" w:hAnsi="Times New Roman"/>
                <w:color w:val="000000"/>
                <w:lang w:eastAsia="en-IN"/>
              </w:rPr>
              <w:t>2015 )</w:t>
            </w:r>
            <w:r>
              <w:rPr>
                <w:rFonts w:ascii="Times New Roman" w:hAnsi="Times New Roman"/>
                <w:color w:val="000000"/>
                <w:vertAlign w:val="superscript"/>
                <w:lang w:eastAsia="en-IN"/>
              </w:rPr>
              <w:t>[9]</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14</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 9</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21</w:t>
            </w:r>
          </w:p>
          <w:p>
            <w:pPr>
              <w:spacing w:line="480" w:lineRule="auto"/>
              <w:rPr>
                <w:rFonts w:ascii="Times New Roman" w:hAnsi="Times New Roman"/>
                <w:color w:val="000000"/>
                <w:lang w:eastAsia="en-IN"/>
              </w:rPr>
            </w:pPr>
            <w:r>
              <w:rPr>
                <w:rFonts w:ascii="Times New Roman" w:hAnsi="Times New Roman"/>
                <w:color w:val="000000"/>
                <w:lang w:eastAsia="en-IN"/>
              </w:rPr>
              <w:t>****</w:t>
            </w:r>
          </w:p>
          <w:p>
            <w:pPr>
              <w:spacing w:line="480" w:lineRule="auto"/>
              <w:rPr>
                <w:rFonts w:ascii="Times New Roman" w:hAnsi="Times New Roman"/>
                <w:color w:val="000000"/>
                <w:lang w:eastAsia="en-IN"/>
              </w:rPr>
            </w:pP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2</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 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32.8%</w:t>
            </w:r>
          </w:p>
          <w:p>
            <w:pPr>
              <w:spacing w:line="480" w:lineRule="auto"/>
              <w:rPr>
                <w:rFonts w:ascii="Times New Roman" w:hAnsi="Times New Roman"/>
                <w:color w:val="000000"/>
                <w:lang w:eastAsia="en-IN"/>
              </w:rPr>
            </w:pPr>
            <w:r>
              <w:rPr>
                <w:rFonts w:ascii="Times New Roman" w:hAnsi="Times New Roman"/>
                <w:color w:val="000000"/>
                <w:lang w:eastAsia="en-IN"/>
              </w:rPr>
              <w:t>(23/71)</w:t>
            </w:r>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32.8%</w:t>
            </w:r>
          </w:p>
          <w:p>
            <w:pPr>
              <w:spacing w:line="480" w:lineRule="auto"/>
              <w:rPr>
                <w:rFonts w:ascii="Times New Roman" w:hAnsi="Times New Roman"/>
                <w:color w:val="000000"/>
                <w:lang w:eastAsia="en-IN"/>
              </w:rPr>
            </w:pPr>
            <w:r>
              <w:rPr>
                <w:rFonts w:ascii="Times New Roman" w:hAnsi="Times New Roman"/>
                <w:color w:val="000000"/>
                <w:lang w:eastAsia="en-IN"/>
              </w:rPr>
              <w:t>(23/71)</w:t>
            </w:r>
          </w:p>
        </w:tc>
      </w:tr>
      <w:tr>
        <w:trPr>
          <w:trHeight w:val="898"/>
          <w:jc w:val="center"/>
        </w:trPr>
        <w:tc>
          <w:tcPr>
            <w:tcW w:w="1385" w:type="dxa"/>
            <w:tcBorders>
              <w:top w:val="nil"/>
              <w:left w:val="single" w:sz="8" w:space="0" w:color="auto"/>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themeColor="text1"/>
                <w:lang w:eastAsia="en-IN"/>
              </w:rPr>
              <w:t>Haraj</w:t>
            </w:r>
            <w:proofErr w:type="spellEnd"/>
            <w:r>
              <w:rPr>
                <w:rFonts w:ascii="Times New Roman" w:hAnsi="Times New Roman"/>
                <w:color w:val="000000" w:themeColor="text1"/>
                <w:lang w:eastAsia="en-IN"/>
              </w:rPr>
              <w:t xml:space="preserve"> </w:t>
            </w:r>
            <w:proofErr w:type="gramStart"/>
            <w:r>
              <w:rPr>
                <w:rFonts w:ascii="Times New Roman" w:hAnsi="Times New Roman"/>
                <w:color w:val="000000" w:themeColor="text1"/>
                <w:lang w:eastAsia="en-IN"/>
              </w:rPr>
              <w:t>et al.(</w:t>
            </w:r>
            <w:proofErr w:type="gramEnd"/>
            <w:r>
              <w:rPr>
                <w:rFonts w:ascii="Times New Roman" w:hAnsi="Times New Roman"/>
                <w:color w:val="000000"/>
                <w:lang w:eastAsia="en-IN"/>
              </w:rPr>
              <w:t xml:space="preserve">2016) </w:t>
            </w:r>
            <w:r>
              <w:rPr>
                <w:rFonts w:ascii="Times New Roman" w:hAnsi="Times New Roman"/>
                <w:color w:val="000000" w:themeColor="text1"/>
                <w:vertAlign w:val="superscript"/>
                <w:lang w:eastAsia="en-IN"/>
              </w:rPr>
              <w:t>[5]</w:t>
            </w:r>
          </w:p>
        </w:tc>
        <w:tc>
          <w:tcPr>
            <w:tcW w:w="508"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w:t>
            </w:r>
          </w:p>
        </w:tc>
        <w:tc>
          <w:tcPr>
            <w:tcW w:w="641"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8</w:t>
            </w:r>
          </w:p>
        </w:tc>
        <w:tc>
          <w:tcPr>
            <w:tcW w:w="717" w:type="dxa"/>
            <w:tcBorders>
              <w:top w:val="nil"/>
              <w:left w:val="nil"/>
              <w:bottom w:val="single" w:sz="4" w:space="0" w:color="auto"/>
              <w:right w:val="single" w:sz="4" w:space="0" w:color="auto"/>
            </w:tcBorders>
            <w:shd w:val="clear" w:color="auto" w:fill="auto"/>
            <w:vAlign w:val="center"/>
          </w:tcPr>
          <w:p>
            <w:pPr>
              <w:spacing w:line="480" w:lineRule="auto"/>
              <w:jc w:val="right"/>
              <w:rPr>
                <w:rFonts w:ascii="Times New Roman" w:hAnsi="Times New Roman"/>
                <w:color w:val="000000"/>
                <w:lang w:eastAsia="en-IN"/>
              </w:rPr>
            </w:pPr>
            <w:r>
              <w:rPr>
                <w:rFonts w:ascii="Times New Roman" w:hAnsi="Times New Roman"/>
                <w:color w:val="000000"/>
                <w:lang w:eastAsia="en-IN"/>
              </w:rPr>
              <w:t>0-</w:t>
            </w:r>
          </w:p>
        </w:tc>
        <w:tc>
          <w:tcPr>
            <w:tcW w:w="633"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18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proofErr w:type="spellStart"/>
            <w:r>
              <w:rPr>
                <w:rFonts w:ascii="Times New Roman" w:hAnsi="Times New Roman"/>
                <w:color w:val="000000"/>
                <w:lang w:eastAsia="en-IN"/>
              </w:rPr>
              <w:t>Basedow’s</w:t>
            </w:r>
            <w:proofErr w:type="spellEnd"/>
            <w:r>
              <w:rPr>
                <w:rFonts w:ascii="Times New Roman" w:hAnsi="Times New Roman"/>
                <w:color w:val="000000"/>
                <w:lang w:eastAsia="en-IN"/>
              </w:rPr>
              <w:t xml:space="preserve"> Goiter - 3</w:t>
            </w:r>
          </w:p>
        </w:tc>
        <w:tc>
          <w:tcPr>
            <w:tcW w:w="63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12</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9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720"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675" w:type="dxa"/>
            <w:tcBorders>
              <w:top w:val="nil"/>
              <w:left w:val="nil"/>
              <w:bottom w:val="single" w:sz="4" w:space="0" w:color="auto"/>
              <w:right w:val="single" w:sz="4" w:space="0" w:color="auto"/>
            </w:tcBorders>
            <w:shd w:val="clear" w:color="auto" w:fill="auto"/>
            <w:vAlign w:val="center"/>
          </w:tcPr>
          <w:p>
            <w:pPr>
              <w:spacing w:line="480" w:lineRule="auto"/>
              <w:rPr>
                <w:rFonts w:ascii="Times New Roman" w:hAnsi="Times New Roman"/>
                <w:color w:val="000000"/>
                <w:lang w:eastAsia="en-IN"/>
              </w:rPr>
            </w:pPr>
            <w:r>
              <w:rPr>
                <w:rFonts w:ascii="Times New Roman" w:hAnsi="Times New Roman"/>
                <w:color w:val="000000"/>
                <w:lang w:eastAsia="en-IN"/>
              </w:rPr>
              <w:t>0</w:t>
            </w:r>
          </w:p>
        </w:tc>
        <w:tc>
          <w:tcPr>
            <w:tcW w:w="1080"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3.38%</w:t>
            </w:r>
          </w:p>
          <w:p>
            <w:pPr>
              <w:spacing w:line="480" w:lineRule="auto"/>
              <w:rPr>
                <w:rFonts w:ascii="Times New Roman" w:hAnsi="Times New Roman"/>
                <w:color w:val="000000"/>
                <w:lang w:eastAsia="en-IN"/>
              </w:rPr>
            </w:pPr>
            <w:r>
              <w:rPr>
                <w:rFonts w:ascii="Times New Roman" w:hAnsi="Times New Roman"/>
                <w:color w:val="000000"/>
                <w:lang w:eastAsia="en-IN"/>
              </w:rPr>
              <w:t>(12/</w:t>
            </w:r>
            <w:proofErr w:type="gramStart"/>
            <w:r>
              <w:rPr>
                <w:rFonts w:ascii="Times New Roman" w:hAnsi="Times New Roman"/>
                <w:color w:val="000000"/>
                <w:lang w:eastAsia="en-IN"/>
              </w:rPr>
              <w:t>355 )</w:t>
            </w:r>
            <w:proofErr w:type="gramEnd"/>
          </w:p>
          <w:p>
            <w:pPr>
              <w:spacing w:line="480" w:lineRule="auto"/>
              <w:rPr>
                <w:rFonts w:ascii="Times New Roman" w:hAnsi="Times New Roman"/>
                <w:color w:val="000000"/>
                <w:lang w:eastAsia="en-IN"/>
              </w:rPr>
            </w:pPr>
          </w:p>
        </w:tc>
        <w:tc>
          <w:tcPr>
            <w:tcW w:w="1008" w:type="dxa"/>
            <w:tcBorders>
              <w:top w:val="nil"/>
              <w:left w:val="nil"/>
              <w:bottom w:val="single" w:sz="4" w:space="0" w:color="auto"/>
              <w:right w:val="single" w:sz="4" w:space="0" w:color="auto"/>
            </w:tcBorders>
          </w:tcPr>
          <w:p>
            <w:pPr>
              <w:spacing w:line="480" w:lineRule="auto"/>
              <w:rPr>
                <w:rFonts w:ascii="Times New Roman" w:hAnsi="Times New Roman"/>
                <w:color w:val="000000"/>
                <w:lang w:eastAsia="en-IN"/>
              </w:rPr>
            </w:pPr>
            <w:r>
              <w:rPr>
                <w:rFonts w:ascii="Times New Roman" w:hAnsi="Times New Roman"/>
                <w:color w:val="000000"/>
                <w:lang w:eastAsia="en-IN"/>
              </w:rPr>
              <w:t>3.38%</w:t>
            </w:r>
          </w:p>
          <w:p>
            <w:pPr>
              <w:spacing w:line="480" w:lineRule="auto"/>
              <w:rPr>
                <w:rFonts w:ascii="Times New Roman" w:hAnsi="Times New Roman"/>
                <w:color w:val="000000"/>
                <w:lang w:eastAsia="en-IN"/>
              </w:rPr>
            </w:pPr>
            <w:r>
              <w:rPr>
                <w:rFonts w:ascii="Times New Roman" w:hAnsi="Times New Roman"/>
                <w:color w:val="000000"/>
                <w:lang w:eastAsia="en-IN"/>
              </w:rPr>
              <w:t>(12/355)</w:t>
            </w:r>
          </w:p>
        </w:tc>
      </w:tr>
    </w:tbl>
    <w:p>
      <w:pPr>
        <w:jc w:val="both"/>
        <w:rPr>
          <w:rFonts w:ascii="Times New Roman" w:hAnsi="Times New Roman"/>
        </w:rPr>
      </w:pPr>
    </w:p>
    <w:p>
      <w:pPr>
        <w:jc w:val="both"/>
        <w:rPr>
          <w:rFonts w:ascii="Arial" w:hAnsi="Arial" w:cs="Arial"/>
        </w:rPr>
      </w:pPr>
      <w:r>
        <w:rPr>
          <w:rFonts w:ascii="Arial" w:hAnsi="Arial" w:cs="Arial"/>
        </w:rPr>
        <w:t xml:space="preserve">TMNG: Toxic multinodular </w:t>
      </w:r>
      <w:proofErr w:type="spellStart"/>
      <w:r>
        <w:rPr>
          <w:rFonts w:ascii="Arial" w:hAnsi="Arial" w:cs="Arial"/>
        </w:rPr>
        <w:t>goitre</w:t>
      </w:r>
      <w:proofErr w:type="spellEnd"/>
      <w:r>
        <w:rPr>
          <w:rFonts w:ascii="Arial" w:hAnsi="Arial" w:cs="Arial"/>
        </w:rPr>
        <w:t xml:space="preserve">; PTC- Papillary thyroid carcinoma, FTC- Follicular thyroid carcinoma; MTC- Medullary Thyroid carcinoma, * One case of bilateral PTC, and one had lymph node </w:t>
      </w:r>
      <w:proofErr w:type="gramStart"/>
      <w:r>
        <w:rPr>
          <w:rFonts w:ascii="Arial" w:hAnsi="Arial" w:cs="Arial"/>
        </w:rPr>
        <w:t>metastasis,*</w:t>
      </w:r>
      <w:proofErr w:type="gramEnd"/>
      <w:r>
        <w:rPr>
          <w:rFonts w:ascii="Arial" w:hAnsi="Arial" w:cs="Arial"/>
        </w:rPr>
        <w:t>*  Six patients had multifocal tumor,*** two patients had both FTC and micro PTC, ****Two patients of  Follicular variant of PTC and three patients with Graves’ disease had metastasis to cervical lymph nodes.</w:t>
      </w:r>
    </w:p>
    <w:p>
      <w:pPr>
        <w:jc w:val="both"/>
        <w:rPr>
          <w:rFonts w:ascii="Arial" w:hAnsi="Arial" w:cs="Arial"/>
        </w:rPr>
      </w:pPr>
      <w:r>
        <w:rPr>
          <w:rFonts w:ascii="Arial" w:hAnsi="Arial" w:cs="Arial"/>
        </w:rPr>
        <w:t>#Data insufficient</w:t>
      </w:r>
    </w:p>
    <w:p>
      <w:pPr>
        <w:jc w:val="both"/>
        <w:rPr>
          <w:rFonts w:ascii="Arial" w:hAnsi="Arial" w:cs="Arial"/>
        </w:rPr>
      </w:pPr>
    </w:p>
    <w:p>
      <w:pPr>
        <w:jc w:val="both"/>
        <w:rPr>
          <w:rFonts w:ascii="Arial" w:hAnsi="Arial" w:cs="Arial"/>
        </w:rPr>
      </w:pPr>
    </w:p>
    <w:p>
      <w:pPr>
        <w:pStyle w:val="Default"/>
        <w:jc w:val="both"/>
        <w:rPr>
          <w:rFonts w:ascii="Arial" w:hAnsi="Arial" w:cs="Arial"/>
          <w:color w:val="000000" w:themeColor="text1"/>
          <w:sz w:val="20"/>
        </w:rPr>
      </w:pPr>
      <w:r>
        <w:rPr>
          <w:rFonts w:ascii="Arial" w:hAnsi="Arial" w:cs="Arial"/>
          <w:b/>
          <w:color w:val="000000" w:themeColor="text1"/>
          <w:sz w:val="20"/>
        </w:rPr>
        <w:t xml:space="preserve">3.2. Figure legend: </w:t>
      </w:r>
    </w:p>
    <w:p>
      <w:pPr>
        <w:pStyle w:val="Default"/>
        <w:ind w:left="220"/>
        <w:jc w:val="both"/>
        <w:rPr>
          <w:rFonts w:ascii="Arial" w:hAnsi="Arial" w:cs="Arial"/>
          <w:color w:val="000000" w:themeColor="text1"/>
          <w:sz w:val="20"/>
        </w:rPr>
      </w:pPr>
      <w:r>
        <w:rPr>
          <w:rFonts w:ascii="Arial" w:hAnsi="Arial" w:cs="Arial"/>
          <w:b/>
          <w:bCs/>
          <w:color w:val="000000" w:themeColor="text1"/>
          <w:sz w:val="20"/>
        </w:rPr>
        <w:t>Figure 1</w:t>
      </w:r>
      <w:r>
        <w:rPr>
          <w:rFonts w:ascii="Arial" w:hAnsi="Arial" w:cs="Arial"/>
          <w:color w:val="000000" w:themeColor="text1"/>
          <w:sz w:val="20"/>
        </w:rPr>
        <w:t>: (A) Midline neck swelling which is more prominent on left side; (B) Protrusion of eyeball evidenced by visible upper sclera</w:t>
      </w:r>
    </w:p>
    <w:p>
      <w:pPr>
        <w:spacing w:line="480" w:lineRule="auto"/>
        <w:rPr>
          <w:rFonts w:ascii="Times New Roman" w:hAnsi="Times New Roman"/>
          <w:color w:val="000000" w:themeColor="text1"/>
          <w:sz w:val="24"/>
          <w:szCs w:val="32"/>
        </w:rPr>
      </w:pPr>
    </w:p>
    <w:p>
      <w:pPr>
        <w:spacing w:line="480" w:lineRule="auto"/>
        <w:rPr>
          <w:rFonts w:ascii="Times New Roman" w:hAnsi="Times New Roman"/>
          <w:color w:val="000000" w:themeColor="text1"/>
          <w:sz w:val="24"/>
          <w:szCs w:val="32"/>
        </w:rPr>
      </w:pPr>
      <w:r>
        <w:rPr>
          <w:rFonts w:ascii="Times New Roman" w:hAnsi="Times New Roman"/>
          <w:noProof/>
          <w:color w:val="000000" w:themeColor="text1"/>
          <w:sz w:val="24"/>
          <w:szCs w:val="32"/>
        </w:rPr>
        <w:drawing>
          <wp:inline distT="0" distB="0" distL="0" distR="0">
            <wp:extent cx="3590925" cy="4886325"/>
            <wp:effectExtent l="0" t="0" r="0" b="0"/>
            <wp:docPr id="34109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95533" name="Picture 341095533"/>
                    <pic:cNvPicPr/>
                  </pic:nvPicPr>
                  <pic:blipFill>
                    <a:blip r:embed="rId8">
                      <a:extLst>
                        <a:ext uri="{28A0092B-C50C-407E-A947-70E740481C1C}">
                          <a14:useLocalDpi xmlns:a14="http://schemas.microsoft.com/office/drawing/2010/main" val="0"/>
                        </a:ext>
                      </a:extLst>
                    </a:blip>
                    <a:stretch>
                      <a:fillRect/>
                    </a:stretch>
                  </pic:blipFill>
                  <pic:spPr>
                    <a:xfrm>
                      <a:off x="0" y="0"/>
                      <a:ext cx="3590925" cy="4886325"/>
                    </a:xfrm>
                    <a:prstGeom prst="rect">
                      <a:avLst/>
                    </a:prstGeom>
                  </pic:spPr>
                </pic:pic>
              </a:graphicData>
            </a:graphic>
          </wp:inline>
        </w:drawing>
      </w:r>
    </w:p>
    <w:p>
      <w:pPr>
        <w:spacing w:line="480" w:lineRule="auto"/>
        <w:rPr>
          <w:rFonts w:ascii="Times New Roman" w:hAnsi="Times New Roman"/>
          <w:color w:val="000000" w:themeColor="text1"/>
          <w:sz w:val="24"/>
          <w:szCs w:val="32"/>
        </w:rPr>
      </w:pPr>
    </w:p>
    <w:p>
      <w:pPr>
        <w:pStyle w:val="Default"/>
        <w:ind w:left="220"/>
        <w:jc w:val="both"/>
        <w:rPr>
          <w:rFonts w:ascii="Arial" w:hAnsi="Arial" w:cs="Arial"/>
          <w:b/>
          <w:bCs/>
          <w:color w:val="000000" w:themeColor="text1"/>
          <w:sz w:val="20"/>
        </w:rPr>
      </w:pPr>
    </w:p>
    <w:p>
      <w:pPr>
        <w:pStyle w:val="Default"/>
        <w:ind w:left="220"/>
        <w:jc w:val="both"/>
        <w:rPr>
          <w:rFonts w:ascii="Arial" w:hAnsi="Arial" w:cs="Arial"/>
          <w:b/>
          <w:bCs/>
          <w:color w:val="000000" w:themeColor="text1"/>
          <w:sz w:val="20"/>
        </w:rPr>
      </w:pPr>
    </w:p>
    <w:p>
      <w:pPr>
        <w:pStyle w:val="Default"/>
        <w:ind w:left="220"/>
        <w:jc w:val="both"/>
        <w:rPr>
          <w:rFonts w:ascii="Arial" w:hAnsi="Arial" w:cs="Arial"/>
          <w:b/>
          <w:bCs/>
          <w:color w:val="000000" w:themeColor="text1"/>
          <w:sz w:val="20"/>
        </w:rPr>
      </w:pPr>
    </w:p>
    <w:p>
      <w:pPr>
        <w:pStyle w:val="Default"/>
        <w:ind w:left="220"/>
        <w:jc w:val="both"/>
        <w:rPr>
          <w:rFonts w:ascii="Arial" w:hAnsi="Arial" w:cs="Arial"/>
          <w:b/>
          <w:bCs/>
          <w:color w:val="000000" w:themeColor="text1"/>
          <w:sz w:val="20"/>
        </w:rPr>
      </w:pPr>
    </w:p>
    <w:p>
      <w:pPr>
        <w:pStyle w:val="Default"/>
        <w:ind w:left="220"/>
        <w:jc w:val="both"/>
        <w:rPr>
          <w:rFonts w:ascii="Arial" w:hAnsi="Arial" w:cs="Arial"/>
          <w:b/>
          <w:bCs/>
          <w:color w:val="000000" w:themeColor="text1"/>
          <w:sz w:val="20"/>
        </w:rPr>
      </w:pPr>
    </w:p>
    <w:p>
      <w:pPr>
        <w:pStyle w:val="Default"/>
        <w:ind w:left="220"/>
        <w:jc w:val="both"/>
        <w:rPr>
          <w:rFonts w:ascii="Arial" w:hAnsi="Arial" w:cs="Arial"/>
          <w:b/>
          <w:bCs/>
          <w:color w:val="000000" w:themeColor="text1"/>
          <w:sz w:val="20"/>
        </w:rPr>
      </w:pPr>
    </w:p>
    <w:p>
      <w:pPr>
        <w:pStyle w:val="Default"/>
        <w:ind w:left="220"/>
        <w:jc w:val="both"/>
        <w:rPr>
          <w:rFonts w:ascii="Arial" w:hAnsi="Arial" w:cs="Arial"/>
          <w:color w:val="000000" w:themeColor="text1"/>
          <w:sz w:val="20"/>
        </w:rPr>
      </w:pPr>
      <w:r>
        <w:rPr>
          <w:rFonts w:ascii="Arial" w:hAnsi="Arial" w:cs="Arial"/>
          <w:b/>
          <w:bCs/>
          <w:color w:val="000000" w:themeColor="text1"/>
          <w:sz w:val="20"/>
        </w:rPr>
        <w:t>Figure 2</w:t>
      </w:r>
      <w:r>
        <w:rPr>
          <w:rFonts w:ascii="Arial" w:hAnsi="Arial" w:cs="Arial"/>
          <w:color w:val="000000" w:themeColor="text1"/>
          <w:sz w:val="20"/>
        </w:rPr>
        <w:t xml:space="preserve">: (A-B): Total thyroidectomy specimen showing solid white homogenous cut surface; (C-F) Microphotograph showing </w:t>
      </w:r>
      <w:proofErr w:type="spellStart"/>
      <w:r>
        <w:rPr>
          <w:rFonts w:ascii="Arial" w:hAnsi="Arial" w:cs="Arial"/>
          <w:color w:val="000000" w:themeColor="text1"/>
          <w:sz w:val="20"/>
        </w:rPr>
        <w:t>tumor</w:t>
      </w:r>
      <w:proofErr w:type="spellEnd"/>
      <w:r>
        <w:rPr>
          <w:rFonts w:ascii="Arial" w:hAnsi="Arial" w:cs="Arial"/>
          <w:color w:val="000000" w:themeColor="text1"/>
          <w:sz w:val="20"/>
        </w:rPr>
        <w:t xml:space="preserve"> cells arranged in papillae with </w:t>
      </w:r>
      <w:r>
        <w:rPr>
          <w:rFonts w:ascii="Arial" w:hAnsi="Arial" w:cs="Arial"/>
          <w:color w:val="000000" w:themeColor="text1"/>
          <w:sz w:val="20"/>
        </w:rPr>
        <w:lastRenderedPageBreak/>
        <w:t xml:space="preserve">fibrovascular core. The individual </w:t>
      </w:r>
      <w:proofErr w:type="spellStart"/>
      <w:r>
        <w:rPr>
          <w:rFonts w:ascii="Arial" w:hAnsi="Arial" w:cs="Arial"/>
          <w:color w:val="000000" w:themeColor="text1"/>
          <w:sz w:val="20"/>
        </w:rPr>
        <w:t>tumor</w:t>
      </w:r>
      <w:proofErr w:type="spellEnd"/>
      <w:r>
        <w:rPr>
          <w:rFonts w:ascii="Arial" w:hAnsi="Arial" w:cs="Arial"/>
          <w:color w:val="000000" w:themeColor="text1"/>
          <w:sz w:val="20"/>
        </w:rPr>
        <w:t xml:space="preserve"> cells have optically clear nuclei and nuclear grooving at places (</w:t>
      </w:r>
      <w:proofErr w:type="spellStart"/>
      <w:r>
        <w:rPr>
          <w:rFonts w:ascii="Arial" w:hAnsi="Arial" w:cs="Arial"/>
          <w:color w:val="000000" w:themeColor="text1"/>
          <w:sz w:val="20"/>
        </w:rPr>
        <w:t>Hematoxylin</w:t>
      </w:r>
      <w:proofErr w:type="spellEnd"/>
      <w:r>
        <w:rPr>
          <w:rFonts w:ascii="Arial" w:hAnsi="Arial" w:cs="Arial"/>
          <w:color w:val="000000" w:themeColor="text1"/>
          <w:sz w:val="20"/>
        </w:rPr>
        <w:t xml:space="preserve"> and Eosin 40 X, 100X, 200X, 400X). </w:t>
      </w:r>
    </w:p>
    <w:p>
      <w:pPr>
        <w:spacing w:line="480" w:lineRule="auto"/>
        <w:rPr>
          <w:rFonts w:ascii="Times New Roman" w:hAnsi="Times New Roman"/>
          <w:color w:val="000000" w:themeColor="text1"/>
          <w:sz w:val="24"/>
          <w:szCs w:val="32"/>
        </w:rPr>
      </w:pPr>
    </w:p>
    <w:p>
      <w:pPr>
        <w:spacing w:line="480" w:lineRule="auto"/>
        <w:rPr>
          <w:rFonts w:ascii="Times New Roman" w:hAnsi="Times New Roman"/>
          <w:color w:val="000000" w:themeColor="text1"/>
          <w:sz w:val="24"/>
          <w:szCs w:val="32"/>
        </w:rPr>
      </w:pPr>
      <w:r>
        <w:rPr>
          <w:rFonts w:ascii="Times New Roman" w:hAnsi="Times New Roman"/>
          <w:noProof/>
          <w:color w:val="000000" w:themeColor="text1"/>
          <w:sz w:val="24"/>
          <w:szCs w:val="32"/>
        </w:rPr>
        <w:drawing>
          <wp:inline distT="0" distB="0" distL="0" distR="0">
            <wp:extent cx="5212080" cy="2606040"/>
            <wp:effectExtent l="0" t="0" r="0" b="0"/>
            <wp:docPr id="184579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9925" name="Picture 184579925"/>
                    <pic:cNvPicPr/>
                  </pic:nvPicPr>
                  <pic:blipFill>
                    <a:blip r:embed="rId9">
                      <a:extLst>
                        <a:ext uri="{28A0092B-C50C-407E-A947-70E740481C1C}">
                          <a14:useLocalDpi xmlns:a14="http://schemas.microsoft.com/office/drawing/2010/main" val="0"/>
                        </a:ext>
                      </a:extLst>
                    </a:blip>
                    <a:stretch>
                      <a:fillRect/>
                    </a:stretch>
                  </pic:blipFill>
                  <pic:spPr>
                    <a:xfrm>
                      <a:off x="0" y="0"/>
                      <a:ext cx="5212080" cy="2606040"/>
                    </a:xfrm>
                    <a:prstGeom prst="rect">
                      <a:avLst/>
                    </a:prstGeom>
                  </pic:spPr>
                </pic:pic>
              </a:graphicData>
            </a:graphic>
          </wp:inline>
        </w:drawing>
      </w:r>
    </w:p>
    <w:p>
      <w:pPr>
        <w:pStyle w:val="Body"/>
        <w:spacing w:after="0"/>
        <w:rPr>
          <w:rFonts w:ascii="Arial" w:hAnsi="Arial" w:cs="Arial"/>
        </w:rPr>
      </w:pPr>
    </w:p>
    <w:p>
      <w:pPr>
        <w:pStyle w:val="Body"/>
        <w:spacing w:after="0"/>
        <w:rPr>
          <w:rFonts w:ascii="Arial" w:hAnsi="Arial" w:cs="Arial"/>
        </w:rPr>
      </w:pPr>
    </w:p>
    <w:p>
      <w:pPr>
        <w:pStyle w:val="ConcHead"/>
        <w:spacing w:after="0"/>
        <w:jc w:val="both"/>
        <w:rPr>
          <w:rFonts w:ascii="Arial" w:hAnsi="Arial" w:cs="Arial"/>
        </w:rPr>
      </w:pPr>
      <w:r>
        <w:rPr>
          <w:rFonts w:ascii="Arial" w:hAnsi="Arial" w:cs="Arial"/>
        </w:rPr>
        <w:t>4. Conclusion</w:t>
      </w:r>
    </w:p>
    <w:p>
      <w:pPr>
        <w:pStyle w:val="ConcHead"/>
        <w:spacing w:after="0"/>
        <w:jc w:val="both"/>
        <w:rPr>
          <w:rFonts w:ascii="Arial" w:hAnsi="Arial" w:cs="Arial"/>
        </w:rPr>
      </w:pPr>
    </w:p>
    <w:p>
      <w:pPr>
        <w:pStyle w:val="Body"/>
        <w:spacing w:after="0"/>
        <w:rPr>
          <w:rFonts w:ascii="Arial" w:hAnsi="Arial" w:cs="Arial"/>
          <w:bCs/>
          <w:vertAlign w:val="superscript"/>
        </w:rPr>
      </w:pPr>
      <w:r>
        <w:rPr>
          <w:rFonts w:ascii="Arial" w:hAnsi="Arial" w:cs="Arial"/>
          <w:bCs/>
        </w:rPr>
        <w:t>In this case there was uncommon co-existence of papillary thyroid carcinoma with toxic multinodular goiter. Clinicians need to keep in mind that although rare, there is a risk of thyroid cancer in hyperthyroid patients. Consequently, a detailed workup for carcinoma should be done before deciding on radioactive thyroid therapy or long-term medical therapy for hyperthyroid. Further, resected specimens must undergo a detailed histopathological examination to rule out the possibility of co-existing carcinoma which can modify postoperative management.</w:t>
      </w:r>
      <w:r>
        <w:rPr>
          <w:rFonts w:ascii="Arial" w:hAnsi="Arial" w:cs="Arial"/>
          <w:bCs/>
          <w:vertAlign w:val="superscript"/>
        </w:rPr>
        <w:t xml:space="preserve"> [7</w:t>
      </w:r>
      <w:r>
        <w:rPr>
          <w:rFonts w:ascii="Arial" w:hAnsi="Arial" w:cs="Arial"/>
          <w:bCs/>
          <w:vertAlign w:val="superscript"/>
          <w:lang w:val="en-IN"/>
        </w:rPr>
        <w:t>, 8</w:t>
      </w:r>
      <w:r>
        <w:rPr>
          <w:rFonts w:ascii="Arial" w:hAnsi="Arial" w:cs="Arial"/>
          <w:bCs/>
          <w:vertAlign w:val="superscript"/>
        </w:rPr>
        <w:t>]</w:t>
      </w:r>
    </w:p>
    <w:p>
      <w:pPr>
        <w:pStyle w:val="ReferHead"/>
        <w:spacing w:after="0"/>
        <w:jc w:val="both"/>
        <w:rPr>
          <w:rFonts w:ascii="Arial" w:hAnsi="Arial" w:cs="Arial"/>
          <w:b w:val="0"/>
          <w:caps w:val="0"/>
          <w:sz w:val="20"/>
        </w:rPr>
      </w:pPr>
    </w:p>
    <w:p>
      <w:pPr>
        <w:pStyle w:val="ReferHead"/>
        <w:spacing w:after="0"/>
        <w:jc w:val="both"/>
        <w:rPr>
          <w:rFonts w:ascii="Arial" w:hAnsi="Arial" w:cs="Arial"/>
          <w:bCs/>
        </w:rPr>
      </w:pPr>
      <w:r>
        <w:rPr>
          <w:rFonts w:ascii="Arial" w:hAnsi="Arial" w:cs="Arial"/>
          <w:bCs/>
        </w:rPr>
        <w:t>Consent</w:t>
      </w:r>
    </w:p>
    <w:p>
      <w:pPr>
        <w:pStyle w:val="ReferHead"/>
        <w:spacing w:after="0"/>
        <w:jc w:val="both"/>
        <w:rPr>
          <w:rFonts w:ascii="Arial" w:hAnsi="Arial" w:cs="Arial"/>
          <w:bCs/>
        </w:rPr>
      </w:pPr>
    </w:p>
    <w:p>
      <w:pPr>
        <w:pStyle w:val="Default"/>
        <w:jc w:val="both"/>
        <w:rPr>
          <w:rFonts w:ascii="Arial" w:eastAsia="Times New Roman" w:hAnsi="Arial" w:cs="Arial"/>
          <w:color w:val="auto"/>
          <w:sz w:val="20"/>
          <w:szCs w:val="20"/>
          <w:lang w:val="en-US"/>
        </w:rPr>
      </w:pPr>
      <w:r>
        <w:rPr>
          <w:rFonts w:ascii="Arial" w:eastAsia="Times New Roman" w:hAnsi="Arial" w:cs="Arial"/>
          <w:color w:val="auto"/>
          <w:sz w:val="20"/>
          <w:szCs w:val="20"/>
          <w:lang w:val="en-US"/>
        </w:rPr>
        <w:t>All authors declare that ‘written informed consent was obtained from the patient for publication of this case report and accompanying images. A copy of the written consent is available for review by the Editorial office/Chief Editor/Editorial Board members of this journal.</w:t>
      </w:r>
    </w:p>
    <w:p>
      <w:pPr>
        <w:pStyle w:val="ReferHead"/>
        <w:spacing w:after="0"/>
        <w:jc w:val="both"/>
        <w:rPr>
          <w:rFonts w:ascii="Arial" w:hAnsi="Arial" w:cs="Arial"/>
          <w:b w:val="0"/>
          <w:caps w:val="0"/>
          <w:sz w:val="20"/>
        </w:rPr>
      </w:pPr>
    </w:p>
    <w:p>
      <w:pPr>
        <w:pStyle w:val="ReferHead"/>
        <w:spacing w:after="0"/>
        <w:jc w:val="both"/>
        <w:rPr>
          <w:rFonts w:ascii="Arial" w:hAnsi="Arial" w:cs="Arial"/>
          <w:b w:val="0"/>
          <w:caps w:val="0"/>
          <w:sz w:val="20"/>
        </w:rPr>
      </w:pPr>
    </w:p>
    <w:p>
      <w:pPr>
        <w:pStyle w:val="ReferHead"/>
        <w:spacing w:after="0"/>
        <w:jc w:val="both"/>
        <w:rPr>
          <w:rFonts w:ascii="Arial" w:hAnsi="Arial" w:cs="Arial"/>
          <w:bCs/>
        </w:rPr>
      </w:pPr>
      <w:r>
        <w:rPr>
          <w:rFonts w:ascii="Arial" w:hAnsi="Arial" w:cs="Arial"/>
          <w:bCs/>
        </w:rPr>
        <w:t xml:space="preserve">Ethical approval </w:t>
      </w:r>
    </w:p>
    <w:p>
      <w:pPr>
        <w:pStyle w:val="ReferHead"/>
        <w:spacing w:after="0"/>
        <w:jc w:val="both"/>
        <w:rPr>
          <w:rFonts w:ascii="Arial" w:hAnsi="Arial" w:cs="Arial"/>
          <w:bCs/>
        </w:rPr>
      </w:pPr>
    </w:p>
    <w:p>
      <w:pPr>
        <w:pStyle w:val="ReferHead"/>
        <w:spacing w:after="0"/>
        <w:jc w:val="both"/>
        <w:rPr>
          <w:rFonts w:ascii="Arial" w:hAnsi="Arial" w:cs="Arial"/>
          <w:b w:val="0"/>
          <w:caps w:val="0"/>
          <w:sz w:val="20"/>
          <w:u w:val="single"/>
        </w:rPr>
      </w:pPr>
      <w:r>
        <w:rPr>
          <w:rFonts w:ascii="Arial" w:hAnsi="Arial" w:cs="Arial"/>
          <w:b w:val="0"/>
          <w:caps w:val="0"/>
          <w:sz w:val="20"/>
        </w:rPr>
        <w:t xml:space="preserve">Not applicable </w:t>
      </w:r>
    </w:p>
    <w:p>
      <w:pPr>
        <w:pStyle w:val="ReferHead"/>
        <w:spacing w:after="0"/>
        <w:jc w:val="both"/>
        <w:rPr>
          <w:rFonts w:ascii="Arial" w:hAnsi="Arial" w:cs="Arial"/>
        </w:rPr>
      </w:pPr>
    </w:p>
    <w:p>
      <w:pPr>
        <w:pStyle w:val="ReferHead"/>
        <w:spacing w:after="0"/>
        <w:jc w:val="both"/>
        <w:rPr>
          <w:rFonts w:ascii="Arial" w:hAnsi="Arial" w:cs="Arial"/>
        </w:rPr>
      </w:pPr>
      <w:r>
        <w:rPr>
          <w:rFonts w:ascii="Arial" w:hAnsi="Arial" w:cs="Arial"/>
        </w:rPr>
        <w:t>References</w:t>
      </w:r>
    </w:p>
    <w:p>
      <w:pPr>
        <w:pStyle w:val="Body"/>
        <w:spacing w:after="0"/>
      </w:pPr>
    </w:p>
    <w:p>
      <w:pPr>
        <w:pStyle w:val="Body"/>
        <w:numPr>
          <w:ilvl w:val="0"/>
          <w:numId w:val="31"/>
        </w:numPr>
        <w:spacing w:after="0"/>
        <w:rPr>
          <w:lang w:val="en-IN"/>
        </w:rPr>
      </w:pPr>
      <w:r>
        <w:rPr>
          <w:lang w:val="en-IN"/>
        </w:rPr>
        <w:t xml:space="preserve">Pandey RK, Sharma E, Roy S, et al. Hot and malignant – a case of invasive papillary carcinoma in hyperthyroid patient with hot nodules. Journal of Community </w:t>
      </w:r>
      <w:r>
        <w:rPr>
          <w:lang w:val="en-IN"/>
        </w:rPr>
        <w:lastRenderedPageBreak/>
        <w:t xml:space="preserve">Hospital Internal Medicine Perspectives. 2018;8(4):220-222. </w:t>
      </w:r>
      <w:proofErr w:type="spellStart"/>
      <w:proofErr w:type="gramStart"/>
      <w:r>
        <w:rPr>
          <w:lang w:val="en-IN"/>
        </w:rPr>
        <w:t>doi:https</w:t>
      </w:r>
      <w:proofErr w:type="spellEnd"/>
      <w:r>
        <w:rPr>
          <w:lang w:val="en-IN"/>
        </w:rPr>
        <w:t>://doi.org/10.1080/20009666.2018.1490139</w:t>
      </w:r>
      <w:proofErr w:type="gramEnd"/>
    </w:p>
    <w:p>
      <w:pPr>
        <w:pStyle w:val="Body"/>
        <w:numPr>
          <w:ilvl w:val="0"/>
          <w:numId w:val="31"/>
        </w:numPr>
        <w:spacing w:after="0"/>
        <w:rPr>
          <w:lang w:val="en-IN"/>
        </w:rPr>
      </w:pPr>
      <w:r>
        <w:rPr>
          <w:lang w:val="en-IN"/>
        </w:rPr>
        <w:t xml:space="preserve">Mao J, Zhang Q, Zhang H, Zheng K, Wang R, Wang G. Risk Factors for Lymph Node Metastasis in Papillary Thyroid Carcinoma: A Systematic Review and Meta-Analysis. Frontiers in Endocrinology. 2020;11. </w:t>
      </w:r>
      <w:proofErr w:type="spellStart"/>
      <w:proofErr w:type="gramStart"/>
      <w:r>
        <w:rPr>
          <w:lang w:val="en-IN"/>
        </w:rPr>
        <w:t>doi:https</w:t>
      </w:r>
      <w:proofErr w:type="spellEnd"/>
      <w:r>
        <w:rPr>
          <w:lang w:val="en-IN"/>
        </w:rPr>
        <w:t>://doi.org/10.3389/fendo.2020.00265</w:t>
      </w:r>
      <w:proofErr w:type="gramEnd"/>
    </w:p>
    <w:p>
      <w:pPr>
        <w:pStyle w:val="Body"/>
        <w:numPr>
          <w:ilvl w:val="0"/>
          <w:numId w:val="31"/>
        </w:numPr>
        <w:spacing w:after="0"/>
        <w:rPr>
          <w:lang w:val="en-IN"/>
        </w:rPr>
      </w:pPr>
      <w:proofErr w:type="spellStart"/>
      <w:r>
        <w:rPr>
          <w:lang w:val="en-IN"/>
        </w:rPr>
        <w:t>Varadharajan</w:t>
      </w:r>
      <w:proofErr w:type="spellEnd"/>
      <w:r>
        <w:rPr>
          <w:lang w:val="en-IN"/>
        </w:rPr>
        <w:t xml:space="preserve"> K, Choudhury N. A systematic review of the incidence of thyroid carcinoma in patients undergoing thyroidectomy for thyrotoxicosis. Clinical Otolaryngology. 2020;45(4):538-544. </w:t>
      </w:r>
      <w:proofErr w:type="spellStart"/>
      <w:proofErr w:type="gramStart"/>
      <w:r>
        <w:rPr>
          <w:lang w:val="en-IN"/>
        </w:rPr>
        <w:t>doi:https</w:t>
      </w:r>
      <w:proofErr w:type="spellEnd"/>
      <w:r>
        <w:rPr>
          <w:lang w:val="en-IN"/>
        </w:rPr>
        <w:t>://doi.org/10.1111/coa.13527</w:t>
      </w:r>
      <w:proofErr w:type="gramEnd"/>
    </w:p>
    <w:p>
      <w:pPr>
        <w:pStyle w:val="Body"/>
        <w:numPr>
          <w:ilvl w:val="0"/>
          <w:numId w:val="31"/>
        </w:numPr>
        <w:spacing w:after="0"/>
        <w:rPr>
          <w:lang w:val="en-IN"/>
        </w:rPr>
      </w:pPr>
      <w:proofErr w:type="spellStart"/>
      <w:r>
        <w:rPr>
          <w:lang w:val="en-IN"/>
        </w:rPr>
        <w:t>Kunjumohamed</w:t>
      </w:r>
      <w:proofErr w:type="spellEnd"/>
      <w:r>
        <w:rPr>
          <w:lang w:val="en-IN"/>
        </w:rPr>
        <w:t xml:space="preserve"> F, Al-</w:t>
      </w:r>
      <w:proofErr w:type="spellStart"/>
      <w:r>
        <w:rPr>
          <w:lang w:val="en-IN"/>
        </w:rPr>
        <w:t>Busaidi</w:t>
      </w:r>
      <w:proofErr w:type="spellEnd"/>
      <w:r>
        <w:rPr>
          <w:lang w:val="en-IN"/>
        </w:rPr>
        <w:t xml:space="preserve"> N, Al-</w:t>
      </w:r>
      <w:proofErr w:type="spellStart"/>
      <w:r>
        <w:rPr>
          <w:lang w:val="en-IN"/>
        </w:rPr>
        <w:t>Musalhi</w:t>
      </w:r>
      <w:proofErr w:type="spellEnd"/>
      <w:r>
        <w:rPr>
          <w:lang w:val="en-IN"/>
        </w:rPr>
        <w:t xml:space="preserve"> H, Al-</w:t>
      </w:r>
      <w:proofErr w:type="spellStart"/>
      <w:r>
        <w:rPr>
          <w:lang w:val="en-IN"/>
        </w:rPr>
        <w:t>Shereiqi</w:t>
      </w:r>
      <w:proofErr w:type="spellEnd"/>
      <w:r>
        <w:rPr>
          <w:lang w:val="en-IN"/>
        </w:rPr>
        <w:t xml:space="preserve"> S, Al-</w:t>
      </w:r>
      <w:proofErr w:type="spellStart"/>
      <w:r>
        <w:rPr>
          <w:lang w:val="en-IN"/>
        </w:rPr>
        <w:t>Salmi</w:t>
      </w:r>
      <w:proofErr w:type="spellEnd"/>
      <w:r>
        <w:rPr>
          <w:lang w:val="en-IN"/>
        </w:rPr>
        <w:t xml:space="preserve"> I. The prevalence of thyroid cancer in patients with hyperthyroidism. Saudi Medical Journal. 2015;36(7):874-877. </w:t>
      </w:r>
      <w:proofErr w:type="spellStart"/>
      <w:proofErr w:type="gramStart"/>
      <w:r>
        <w:rPr>
          <w:lang w:val="en-IN"/>
        </w:rPr>
        <w:t>doi:https</w:t>
      </w:r>
      <w:proofErr w:type="spellEnd"/>
      <w:r>
        <w:rPr>
          <w:lang w:val="en-IN"/>
        </w:rPr>
        <w:t>://doi.org/10.15537/smj.2015.7.11463</w:t>
      </w:r>
      <w:proofErr w:type="gramEnd"/>
    </w:p>
    <w:p>
      <w:pPr>
        <w:pStyle w:val="Body"/>
        <w:numPr>
          <w:ilvl w:val="0"/>
          <w:numId w:val="31"/>
        </w:numPr>
        <w:spacing w:after="0"/>
        <w:rPr>
          <w:lang w:val="en-IN"/>
        </w:rPr>
      </w:pPr>
      <w:r>
        <w:rPr>
          <w:lang w:val="en-IN"/>
        </w:rPr>
        <w:t xml:space="preserve">Liu J, Wang Y, Da D, Zheng M. Hyperfunctioning thyroid carcinoma: A systematic review. Molecular and Clinical Oncology. 2019;11(6):535-550. </w:t>
      </w:r>
      <w:proofErr w:type="spellStart"/>
      <w:proofErr w:type="gramStart"/>
      <w:r>
        <w:rPr>
          <w:lang w:val="en-IN"/>
        </w:rPr>
        <w:t>doi:https</w:t>
      </w:r>
      <w:proofErr w:type="spellEnd"/>
      <w:r>
        <w:rPr>
          <w:lang w:val="en-IN"/>
        </w:rPr>
        <w:t>://doi.org/10.3892/mco.2019.1927</w:t>
      </w:r>
      <w:proofErr w:type="gramEnd"/>
    </w:p>
    <w:p>
      <w:pPr>
        <w:pStyle w:val="Body"/>
        <w:numPr>
          <w:ilvl w:val="0"/>
          <w:numId w:val="31"/>
        </w:numPr>
        <w:spacing w:after="0"/>
        <w:rPr>
          <w:lang w:val="en-IN"/>
        </w:rPr>
      </w:pPr>
      <w:proofErr w:type="spellStart"/>
      <w:r>
        <w:rPr>
          <w:lang w:val="en-IN"/>
        </w:rPr>
        <w:t>Gozu</w:t>
      </w:r>
      <w:proofErr w:type="spellEnd"/>
      <w:r>
        <w:rPr>
          <w:lang w:val="en-IN"/>
        </w:rPr>
        <w:t xml:space="preserve"> H, </w:t>
      </w:r>
      <w:proofErr w:type="spellStart"/>
      <w:r>
        <w:rPr>
          <w:lang w:val="en-IN"/>
        </w:rPr>
        <w:t>Avsar</w:t>
      </w:r>
      <w:proofErr w:type="spellEnd"/>
      <w:r>
        <w:rPr>
          <w:lang w:val="en-IN"/>
        </w:rPr>
        <w:t xml:space="preserve"> M, </w:t>
      </w:r>
      <w:proofErr w:type="spellStart"/>
      <w:r>
        <w:rPr>
          <w:lang w:val="en-IN"/>
        </w:rPr>
        <w:t>Bircan</w:t>
      </w:r>
      <w:proofErr w:type="spellEnd"/>
      <w:r>
        <w:rPr>
          <w:lang w:val="en-IN"/>
        </w:rPr>
        <w:t xml:space="preserve"> R, et al. Does a Leu 512 </w:t>
      </w:r>
      <w:proofErr w:type="spellStart"/>
      <w:r>
        <w:rPr>
          <w:lang w:val="en-IN"/>
        </w:rPr>
        <w:t>Arg</w:t>
      </w:r>
      <w:proofErr w:type="spellEnd"/>
      <w:r>
        <w:rPr>
          <w:lang w:val="en-IN"/>
        </w:rPr>
        <w:t xml:space="preserve"> Thyrotropin Receptor Mutation Cause an Autonomously Functioning Papillary Carcinoma? Thyroid. 2004;14(11):975-980. </w:t>
      </w:r>
      <w:proofErr w:type="spellStart"/>
      <w:proofErr w:type="gramStart"/>
      <w:r>
        <w:rPr>
          <w:lang w:val="en-IN"/>
        </w:rPr>
        <w:t>doi:https</w:t>
      </w:r>
      <w:proofErr w:type="spellEnd"/>
      <w:r>
        <w:rPr>
          <w:lang w:val="en-IN"/>
        </w:rPr>
        <w:t>://doi.org/10.1089/thy.2004.14.975</w:t>
      </w:r>
      <w:proofErr w:type="gramEnd"/>
    </w:p>
    <w:p>
      <w:pPr>
        <w:pStyle w:val="Body"/>
        <w:numPr>
          <w:ilvl w:val="0"/>
          <w:numId w:val="31"/>
        </w:numPr>
        <w:spacing w:after="0"/>
        <w:rPr>
          <w:lang w:val="en-IN"/>
        </w:rPr>
      </w:pPr>
      <w:proofErr w:type="spellStart"/>
      <w:r>
        <w:rPr>
          <w:lang w:val="en-IN"/>
        </w:rPr>
        <w:t>Ocak</w:t>
      </w:r>
      <w:proofErr w:type="spellEnd"/>
      <w:r>
        <w:rPr>
          <w:lang w:val="en-IN"/>
        </w:rPr>
        <w:t xml:space="preserve"> S, </w:t>
      </w:r>
      <w:proofErr w:type="spellStart"/>
      <w:r>
        <w:rPr>
          <w:lang w:val="en-IN"/>
        </w:rPr>
        <w:t>Akten</w:t>
      </w:r>
      <w:proofErr w:type="spellEnd"/>
      <w:r>
        <w:rPr>
          <w:lang w:val="en-IN"/>
        </w:rPr>
        <w:t xml:space="preserve"> AO, </w:t>
      </w:r>
      <w:proofErr w:type="spellStart"/>
      <w:r>
        <w:rPr>
          <w:lang w:val="en-IN"/>
        </w:rPr>
        <w:t>Tez</w:t>
      </w:r>
      <w:proofErr w:type="spellEnd"/>
      <w:r>
        <w:rPr>
          <w:lang w:val="en-IN"/>
        </w:rPr>
        <w:t xml:space="preserve"> M. Thyroid cancer in hyperthyroid patients: Is </w:t>
      </w:r>
      <w:proofErr w:type="gramStart"/>
      <w:r>
        <w:rPr>
          <w:lang w:val="en-IN"/>
        </w:rPr>
        <w:t>it</w:t>
      </w:r>
      <w:proofErr w:type="gramEnd"/>
      <w:r>
        <w:rPr>
          <w:lang w:val="en-IN"/>
        </w:rPr>
        <w:t xml:space="preserve"> different clinical entity? Endocrine Regulations. 2014;48(02):65-68. </w:t>
      </w:r>
      <w:proofErr w:type="spellStart"/>
      <w:proofErr w:type="gramStart"/>
      <w:r>
        <w:rPr>
          <w:lang w:val="en-IN"/>
        </w:rPr>
        <w:t>doi:https</w:t>
      </w:r>
      <w:proofErr w:type="spellEnd"/>
      <w:r>
        <w:rPr>
          <w:lang w:val="en-IN"/>
        </w:rPr>
        <w:t>://doi.org/10.4149/endo_2014_02_65</w:t>
      </w:r>
      <w:proofErr w:type="gramEnd"/>
    </w:p>
    <w:p>
      <w:pPr>
        <w:pStyle w:val="Body"/>
        <w:numPr>
          <w:ilvl w:val="0"/>
          <w:numId w:val="31"/>
        </w:numPr>
        <w:spacing w:after="0"/>
        <w:rPr>
          <w:lang w:val="en-IN"/>
        </w:rPr>
      </w:pPr>
      <w:r>
        <w:rPr>
          <w:lang w:val="en-IN"/>
        </w:rPr>
        <w:t xml:space="preserve">Nassim </w:t>
      </w:r>
      <w:proofErr w:type="spellStart"/>
      <w:r>
        <w:rPr>
          <w:lang w:val="en-IN"/>
        </w:rPr>
        <w:t>Essabah</w:t>
      </w:r>
      <w:proofErr w:type="spellEnd"/>
      <w:r>
        <w:rPr>
          <w:lang w:val="en-IN"/>
        </w:rPr>
        <w:t xml:space="preserve"> </w:t>
      </w:r>
      <w:proofErr w:type="spellStart"/>
      <w:r>
        <w:rPr>
          <w:lang w:val="en-IN"/>
        </w:rPr>
        <w:t>Haraj</w:t>
      </w:r>
      <w:proofErr w:type="spellEnd"/>
      <w:r>
        <w:rPr>
          <w:lang w:val="en-IN"/>
        </w:rPr>
        <w:t xml:space="preserve">, Hayat </w:t>
      </w:r>
      <w:proofErr w:type="spellStart"/>
      <w:r>
        <w:rPr>
          <w:lang w:val="en-IN"/>
        </w:rPr>
        <w:t>Ahandar</w:t>
      </w:r>
      <w:proofErr w:type="spellEnd"/>
      <w:r>
        <w:rPr>
          <w:lang w:val="en-IN"/>
        </w:rPr>
        <w:t xml:space="preserve">, </w:t>
      </w:r>
      <w:proofErr w:type="spellStart"/>
      <w:r>
        <w:rPr>
          <w:lang w:val="en-IN"/>
        </w:rPr>
        <w:t>Siham</w:t>
      </w:r>
      <w:proofErr w:type="spellEnd"/>
      <w:r>
        <w:rPr>
          <w:lang w:val="en-IN"/>
        </w:rPr>
        <w:t xml:space="preserve"> El Aziz, Asma </w:t>
      </w:r>
      <w:proofErr w:type="spellStart"/>
      <w:r>
        <w:rPr>
          <w:lang w:val="en-IN"/>
        </w:rPr>
        <w:t>Chadli</w:t>
      </w:r>
      <w:proofErr w:type="spellEnd"/>
      <w:r>
        <w:rPr>
          <w:lang w:val="en-IN"/>
        </w:rPr>
        <w:t xml:space="preserve">. Association </w:t>
      </w:r>
      <w:proofErr w:type="spellStart"/>
      <w:r>
        <w:rPr>
          <w:lang w:val="en-IN"/>
        </w:rPr>
        <w:t>hyperthyroïdie</w:t>
      </w:r>
      <w:proofErr w:type="spellEnd"/>
      <w:r>
        <w:rPr>
          <w:lang w:val="en-IN"/>
        </w:rPr>
        <w:t xml:space="preserve"> et cancers </w:t>
      </w:r>
      <w:proofErr w:type="spellStart"/>
      <w:r>
        <w:rPr>
          <w:lang w:val="en-IN"/>
        </w:rPr>
        <w:t>différenciés</w:t>
      </w:r>
      <w:proofErr w:type="spellEnd"/>
      <w:r>
        <w:rPr>
          <w:lang w:val="en-IN"/>
        </w:rPr>
        <w:t xml:space="preserve"> de la </w:t>
      </w:r>
      <w:proofErr w:type="spellStart"/>
      <w:r>
        <w:rPr>
          <w:lang w:val="en-IN"/>
        </w:rPr>
        <w:t>thyroïde</w:t>
      </w:r>
      <w:proofErr w:type="spellEnd"/>
      <w:r>
        <w:rPr>
          <w:lang w:val="en-IN"/>
        </w:rPr>
        <w:t xml:space="preserve">. Pan African Medical Journal. 2016;24. </w:t>
      </w:r>
      <w:proofErr w:type="spellStart"/>
      <w:proofErr w:type="gramStart"/>
      <w:r>
        <w:rPr>
          <w:lang w:val="en-IN"/>
        </w:rPr>
        <w:t>doi:https</w:t>
      </w:r>
      <w:proofErr w:type="spellEnd"/>
      <w:r>
        <w:rPr>
          <w:lang w:val="en-IN"/>
        </w:rPr>
        <w:t>://doi.org/10.11604/pamj.2016.24.18.7605</w:t>
      </w:r>
      <w:proofErr w:type="gramEnd"/>
    </w:p>
    <w:p>
      <w:pPr>
        <w:pStyle w:val="Body"/>
        <w:numPr>
          <w:ilvl w:val="0"/>
          <w:numId w:val="31"/>
        </w:numPr>
        <w:spacing w:after="0"/>
        <w:rPr>
          <w:lang w:val="en-IN"/>
        </w:rPr>
      </w:pPr>
      <w:proofErr w:type="spellStart"/>
      <w:r>
        <w:rPr>
          <w:lang w:val="en-IN"/>
        </w:rPr>
        <w:t>Pazaitou</w:t>
      </w:r>
      <w:proofErr w:type="spellEnd"/>
      <w:r>
        <w:rPr>
          <w:lang w:val="en-IN"/>
        </w:rPr>
        <w:t xml:space="preserve">-Panayiotou K, </w:t>
      </w:r>
      <w:proofErr w:type="spellStart"/>
      <w:r>
        <w:rPr>
          <w:lang w:val="en-IN"/>
        </w:rPr>
        <w:t>Perros</w:t>
      </w:r>
      <w:proofErr w:type="spellEnd"/>
      <w:r>
        <w:rPr>
          <w:lang w:val="en-IN"/>
        </w:rPr>
        <w:t xml:space="preserve"> P, </w:t>
      </w:r>
      <w:proofErr w:type="spellStart"/>
      <w:r>
        <w:rPr>
          <w:lang w:val="en-IN"/>
        </w:rPr>
        <w:t>Boudina</w:t>
      </w:r>
      <w:proofErr w:type="spellEnd"/>
      <w:r>
        <w:rPr>
          <w:lang w:val="en-IN"/>
        </w:rPr>
        <w:t xml:space="preserve"> M, et al. Mortality from thyroid cancer in patients with hyperthyroidism: the </w:t>
      </w:r>
      <w:proofErr w:type="spellStart"/>
      <w:r>
        <w:rPr>
          <w:lang w:val="en-IN"/>
        </w:rPr>
        <w:t>Theagenion</w:t>
      </w:r>
      <w:proofErr w:type="spellEnd"/>
      <w:r>
        <w:rPr>
          <w:lang w:val="en-IN"/>
        </w:rPr>
        <w:t xml:space="preserve"> Cancer Hospital experience. European Journal of Endocrinology. 2008;159(6):799-803. </w:t>
      </w:r>
      <w:proofErr w:type="spellStart"/>
      <w:proofErr w:type="gramStart"/>
      <w:r>
        <w:rPr>
          <w:lang w:val="en-IN"/>
        </w:rPr>
        <w:t>doi:https</w:t>
      </w:r>
      <w:proofErr w:type="spellEnd"/>
      <w:r>
        <w:rPr>
          <w:lang w:val="en-IN"/>
        </w:rPr>
        <w:t>://doi.org/10.1530/eje-08-0468</w:t>
      </w:r>
      <w:proofErr w:type="gramEnd"/>
    </w:p>
    <w:p>
      <w:pPr>
        <w:pStyle w:val="Body"/>
        <w:spacing w:after="0"/>
        <w:rPr>
          <w:rFonts w:ascii="Arial" w:hAnsi="Arial" w:cs="Arial"/>
        </w:rPr>
      </w:pPr>
      <w:r>
        <w:t xml:space="preserve"> </w:t>
      </w:r>
    </w:p>
    <w:p>
      <w:pPr>
        <w:pStyle w:val="Body"/>
        <w:spacing w:after="0"/>
        <w:jc w:val="left"/>
      </w:pPr>
    </w:p>
    <w:p>
      <w:pPr>
        <w:pStyle w:val="DefAcrHead"/>
        <w:spacing w:after="0"/>
        <w:jc w:val="both"/>
        <w:rPr>
          <w:rFonts w:ascii="Arial" w:hAnsi="Arial" w:cs="Arial"/>
        </w:rPr>
      </w:pPr>
    </w:p>
    <w:p>
      <w:pPr>
        <w:pStyle w:val="DefAcrHead"/>
        <w:spacing w:after="0"/>
        <w:jc w:val="both"/>
        <w:rPr>
          <w:rFonts w:ascii="Arial" w:hAnsi="Arial" w:cs="Arial"/>
        </w:rPr>
        <w:sectPr>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pPr>
        <w:pStyle w:val="Appendix"/>
        <w:spacing w:after="0"/>
        <w:jc w:val="both"/>
        <w:rPr>
          <w:rFonts w:ascii="Arial" w:hAnsi="Arial" w:cs="Arial"/>
          <w:b w:val="0"/>
        </w:rPr>
      </w:pPr>
    </w:p>
    <w:sect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169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169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0169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51C5E8"/>
    <w:multiLevelType w:val="singleLevel"/>
    <w:tmpl w:val="3551C5E8"/>
    <w:lvl w:ilvl="0">
      <w:start w:val="1"/>
      <w:numFmt w:val="decimal"/>
      <w:suff w:val="space"/>
      <w:lvlText w:val="%1."/>
      <w:lvlJc w:val="left"/>
    </w:lvl>
  </w:abstractNum>
  <w:abstractNum w:abstractNumId="16" w15:restartNumberingAfterBreak="0">
    <w:nsid w:val="46DD2EC2"/>
    <w:multiLevelType w:val="singleLevel"/>
    <w:tmpl w:val="46DD2EC2"/>
    <w:lvl w:ilvl="0">
      <w:start w:val="1"/>
      <w:numFmt w:val="decimal"/>
      <w:suff w:val="space"/>
      <w:lvlText w:val="%1."/>
      <w:lvlJc w:val="left"/>
      <w:pPr>
        <w:ind w:left="220" w:firstLine="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5468BB"/>
    <w:multiLevelType w:val="hybridMultilevel"/>
    <w:tmpl w:val="1110DC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C2A92"/>
    <w:multiLevelType w:val="singleLevel"/>
    <w:tmpl w:val="46DD2EC2"/>
    <w:lvl w:ilvl="0">
      <w:start w:val="1"/>
      <w:numFmt w:val="decimal"/>
      <w:suff w:val="space"/>
      <w:lvlText w:val="%1."/>
      <w:lvlJc w:val="left"/>
      <w:pPr>
        <w:ind w:left="220" w:firstLine="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0"/>
  </w:num>
  <w:num w:numId="32">
    <w:abstractNumId w:val="15"/>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DD4F8-3DDE-4BFC-9BF9-5B40742D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196</TotalTime>
  <Pages>9</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1170</cp:lastModifiedBy>
  <cp:revision>23</cp:revision>
  <cp:lastPrinted>1999-07-06T11:00:00Z</cp:lastPrinted>
  <dcterms:created xsi:type="dcterms:W3CDTF">2014-10-25T14:34:00Z</dcterms:created>
  <dcterms:modified xsi:type="dcterms:W3CDTF">2025-07-15T06:14:00Z</dcterms:modified>
</cp:coreProperties>
</file>