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9B804C" w14:textId="77777777" w:rsidR="00E970DE" w:rsidRDefault="00E970DE" w:rsidP="00BD4BCA">
      <w:pPr>
        <w:spacing w:line="276" w:lineRule="auto"/>
        <w:jc w:val="center"/>
        <w:rPr>
          <w:rFonts w:ascii="Times New Roman" w:hAnsi="Times New Roman" w:cs="Times New Roman"/>
          <w:b/>
          <w:bCs/>
          <w:sz w:val="24"/>
          <w:szCs w:val="24"/>
        </w:rPr>
      </w:pPr>
      <w:r w:rsidRPr="00E970DE">
        <w:rPr>
          <w:rFonts w:ascii="Times New Roman" w:hAnsi="Times New Roman" w:cs="Times New Roman"/>
          <w:b/>
          <w:bCs/>
          <w:sz w:val="24"/>
          <w:szCs w:val="24"/>
        </w:rPr>
        <w:t xml:space="preserve">Case report </w:t>
      </w:r>
    </w:p>
    <w:p w14:paraId="339A2A8D" w14:textId="77777777" w:rsidR="00E970DE" w:rsidRDefault="00E970DE" w:rsidP="00BD4BCA">
      <w:pPr>
        <w:spacing w:line="276" w:lineRule="auto"/>
        <w:jc w:val="center"/>
        <w:rPr>
          <w:rFonts w:ascii="Times New Roman" w:hAnsi="Times New Roman" w:cs="Times New Roman"/>
          <w:b/>
          <w:bCs/>
          <w:sz w:val="24"/>
          <w:szCs w:val="24"/>
        </w:rPr>
      </w:pPr>
    </w:p>
    <w:p w14:paraId="424CEF3B" w14:textId="5395C457" w:rsidR="00206807" w:rsidRDefault="00E44DED" w:rsidP="00BD4BCA">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Environmental factors exacerbated t</w:t>
      </w:r>
      <w:r w:rsidR="00206807" w:rsidRPr="00206807">
        <w:rPr>
          <w:rFonts w:ascii="Times New Roman" w:hAnsi="Times New Roman" w:cs="Times New Roman"/>
          <w:b/>
          <w:bCs/>
          <w:sz w:val="24"/>
          <w:szCs w:val="24"/>
        </w:rPr>
        <w:t>hiazide induced Podagra- Case report</w:t>
      </w:r>
    </w:p>
    <w:p w14:paraId="06A4C705" w14:textId="77777777" w:rsidR="00EB4BA2" w:rsidRPr="00206807" w:rsidRDefault="00EB4BA2" w:rsidP="00BD4BCA">
      <w:pPr>
        <w:spacing w:line="276" w:lineRule="auto"/>
        <w:jc w:val="center"/>
        <w:rPr>
          <w:rFonts w:ascii="Times New Roman" w:hAnsi="Times New Roman" w:cs="Times New Roman"/>
          <w:b/>
          <w:bCs/>
          <w:sz w:val="24"/>
          <w:szCs w:val="24"/>
        </w:rPr>
      </w:pPr>
    </w:p>
    <w:p w14:paraId="28E390B7" w14:textId="19D53491" w:rsidR="002A7BAA" w:rsidRPr="002A7BAA" w:rsidRDefault="00993BEB" w:rsidP="002A7BAA">
      <w:pPr>
        <w:spacing w:line="276" w:lineRule="auto"/>
        <w:jc w:val="both"/>
        <w:rPr>
          <w:rFonts w:ascii="Times New Roman" w:hAnsi="Times New Roman" w:cs="Times New Roman"/>
          <w:sz w:val="24"/>
          <w:szCs w:val="24"/>
        </w:rPr>
      </w:pPr>
      <w:bookmarkStart w:id="0" w:name="_GoBack"/>
      <w:bookmarkEnd w:id="0"/>
      <w:r w:rsidRPr="002A7BAA">
        <w:rPr>
          <w:rFonts w:ascii="Times New Roman" w:hAnsi="Times New Roman" w:cs="Times New Roman"/>
          <w:b/>
          <w:bCs/>
          <w:sz w:val="24"/>
          <w:szCs w:val="24"/>
        </w:rPr>
        <w:t>ABSTRACT</w:t>
      </w:r>
    </w:p>
    <w:p w14:paraId="3D33981E" w14:textId="0940C180" w:rsidR="002A7BAA" w:rsidRPr="002A7BAA" w:rsidRDefault="00993BEB" w:rsidP="002A7BAA">
      <w:pPr>
        <w:spacing w:line="276" w:lineRule="auto"/>
        <w:jc w:val="both"/>
        <w:rPr>
          <w:rFonts w:ascii="Times New Roman" w:hAnsi="Times New Roman" w:cs="Times New Roman"/>
          <w:sz w:val="24"/>
          <w:szCs w:val="24"/>
        </w:rPr>
      </w:pPr>
      <w:r w:rsidRPr="002A7BAA">
        <w:rPr>
          <w:rFonts w:ascii="Times New Roman" w:hAnsi="Times New Roman" w:cs="Times New Roman"/>
          <w:b/>
          <w:bCs/>
          <w:sz w:val="24"/>
          <w:szCs w:val="24"/>
        </w:rPr>
        <w:t>AIM:</w:t>
      </w:r>
      <w:r w:rsidR="002A7BAA" w:rsidRPr="002A7BAA">
        <w:rPr>
          <w:rFonts w:ascii="Times New Roman" w:hAnsi="Times New Roman" w:cs="Times New Roman"/>
          <w:sz w:val="24"/>
          <w:szCs w:val="24"/>
        </w:rPr>
        <w:br/>
        <w:t>To highlight a rare case of thiazide-induced podagra at a low dose of hydrochlorothiazide in the context of seasonal and environmental influences.</w:t>
      </w:r>
    </w:p>
    <w:p w14:paraId="7F5F965B" w14:textId="0E759443" w:rsidR="002A7BAA" w:rsidRPr="002A7BAA" w:rsidRDefault="00993BEB" w:rsidP="00993BEB">
      <w:pPr>
        <w:spacing w:line="276" w:lineRule="auto"/>
        <w:rPr>
          <w:rFonts w:ascii="Times New Roman" w:hAnsi="Times New Roman" w:cs="Times New Roman"/>
          <w:sz w:val="24"/>
          <w:szCs w:val="24"/>
        </w:rPr>
      </w:pPr>
      <w:r w:rsidRPr="00993BEB">
        <w:rPr>
          <w:rFonts w:ascii="Times New Roman" w:hAnsi="Times New Roman" w:cs="Times New Roman"/>
          <w:b/>
          <w:bCs/>
          <w:sz w:val="24"/>
          <w:szCs w:val="24"/>
        </w:rPr>
        <w:t>PRESENTATION OF CASE:</w:t>
      </w:r>
      <w:r w:rsidR="002A7BAA" w:rsidRPr="002A7BAA">
        <w:rPr>
          <w:rFonts w:ascii="Times New Roman" w:hAnsi="Times New Roman" w:cs="Times New Roman"/>
          <w:sz w:val="24"/>
          <w:szCs w:val="24"/>
        </w:rPr>
        <w:br/>
        <w:t>A 52-year-old male with ischemic heart disease and hypertension, on long-term hydrochlorothiazide (12.5 mg) for 10 years, presented in early summer with acute pain, swelling, and redness of the left great toe. Laboratory investigations revealed slightly elevated serum uric acid (7.4 mg/dL). Hydrochlorothiazide was identified as the potential culprit drug and subsequently discontinued, while antihypertensive therapy was continued with telmisartan. The patient responded to treatment with prednisolone after NSAIDs were stopped due to drug interactions with anticoagulation therapy. He improved clinically and was discharged hemodynamically stable.</w:t>
      </w:r>
    </w:p>
    <w:p w14:paraId="11180AA3" w14:textId="3914B055" w:rsidR="002A7BAA" w:rsidRPr="002A7BAA" w:rsidRDefault="00993BEB" w:rsidP="002A7BAA">
      <w:pPr>
        <w:spacing w:line="276" w:lineRule="auto"/>
        <w:jc w:val="both"/>
        <w:rPr>
          <w:rFonts w:ascii="Times New Roman" w:hAnsi="Times New Roman" w:cs="Times New Roman"/>
          <w:sz w:val="24"/>
          <w:szCs w:val="24"/>
        </w:rPr>
      </w:pPr>
      <w:r w:rsidRPr="002A7BAA">
        <w:rPr>
          <w:rFonts w:ascii="Times New Roman" w:hAnsi="Times New Roman" w:cs="Times New Roman"/>
          <w:b/>
          <w:bCs/>
          <w:sz w:val="24"/>
          <w:szCs w:val="24"/>
        </w:rPr>
        <w:t>DISCUSSION:</w:t>
      </w:r>
      <w:r w:rsidRPr="002A7BAA">
        <w:rPr>
          <w:rFonts w:ascii="Times New Roman" w:hAnsi="Times New Roman" w:cs="Times New Roman"/>
          <w:sz w:val="24"/>
          <w:szCs w:val="24"/>
        </w:rPr>
        <w:br/>
      </w:r>
      <w:r w:rsidR="002A7BAA" w:rsidRPr="002A7BAA">
        <w:rPr>
          <w:rFonts w:ascii="Times New Roman" w:hAnsi="Times New Roman" w:cs="Times New Roman"/>
          <w:sz w:val="24"/>
          <w:szCs w:val="24"/>
        </w:rPr>
        <w:t>Although thiazide-induced hyperuricemia and gout are typically associated with higher doses, this case demonstrates that long-term use of even a low dose (12.5 mg) may precipitate podagra, particularly in the setting of seasonal and climatic risk factors. Temperature and humidity variations during early summer may exacerbate uric acid crystallization and trigger gout flares, especially in predisposed individuals. Thiazides promote hyperuricemia via altered renal urate handling, an effect amplified by genetic and environmental contributors. The case underscores the need to balance thiazide efficacy in hypertension against its metabolic side effects and consider alternative antihypertensives, such as losartan, in high-risk patients.</w:t>
      </w:r>
    </w:p>
    <w:p w14:paraId="625CC024" w14:textId="26CF138D" w:rsidR="002A7BAA" w:rsidRPr="002A7BAA" w:rsidRDefault="00993BEB" w:rsidP="002A7BAA">
      <w:pPr>
        <w:spacing w:line="276" w:lineRule="auto"/>
        <w:jc w:val="both"/>
        <w:rPr>
          <w:rFonts w:ascii="Times New Roman" w:hAnsi="Times New Roman" w:cs="Times New Roman"/>
          <w:sz w:val="24"/>
          <w:szCs w:val="24"/>
        </w:rPr>
      </w:pPr>
      <w:r w:rsidRPr="002A7BAA">
        <w:rPr>
          <w:rFonts w:ascii="Times New Roman" w:hAnsi="Times New Roman" w:cs="Times New Roman"/>
          <w:b/>
          <w:bCs/>
          <w:sz w:val="24"/>
          <w:szCs w:val="24"/>
        </w:rPr>
        <w:t>CONCLUSION:</w:t>
      </w:r>
      <w:r w:rsidR="002A7BAA" w:rsidRPr="002A7BAA">
        <w:rPr>
          <w:rFonts w:ascii="Times New Roman" w:hAnsi="Times New Roman" w:cs="Times New Roman"/>
          <w:sz w:val="24"/>
          <w:szCs w:val="24"/>
        </w:rPr>
        <w:br/>
        <w:t>This report reinforces that hydrochlorothiazide can induce podagra even at low doses after long-term use, with seasonal and environmental factors serving as additional triggers. Careful monitoring of serum uric acid and consideration of alternative therapies are essential in the long-term management of hypertensive patients on thiazides.</w:t>
      </w:r>
    </w:p>
    <w:p w14:paraId="1C9AE01E" w14:textId="132D6C2D" w:rsidR="002A7BAA" w:rsidRPr="00BE2E60" w:rsidRDefault="00363A0D" w:rsidP="00BD4BCA">
      <w:pPr>
        <w:spacing w:line="276" w:lineRule="auto"/>
        <w:jc w:val="both"/>
        <w:rPr>
          <w:rFonts w:ascii="Times New Roman" w:hAnsi="Times New Roman" w:cs="Times New Roman"/>
          <w:sz w:val="24"/>
          <w:szCs w:val="24"/>
        </w:rPr>
      </w:pPr>
      <w:r>
        <w:rPr>
          <w:rFonts w:ascii="Times New Roman" w:hAnsi="Times New Roman" w:cs="Times New Roman"/>
          <w:sz w:val="24"/>
          <w:szCs w:val="24"/>
        </w:rPr>
        <w:t>INTRODUCTION</w:t>
      </w:r>
    </w:p>
    <w:p w14:paraId="177629CA" w14:textId="4EBAE8AF" w:rsidR="00206807" w:rsidRPr="00206807" w:rsidRDefault="00BE2E60" w:rsidP="00BD4BCA">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B</w:t>
      </w:r>
      <w:r w:rsidR="00206807" w:rsidRPr="00206807">
        <w:rPr>
          <w:rFonts w:ascii="Times New Roman" w:hAnsi="Times New Roman" w:cs="Times New Roman"/>
          <w:b/>
          <w:bCs/>
          <w:sz w:val="24"/>
          <w:szCs w:val="24"/>
        </w:rPr>
        <w:t>ACKGROUND</w:t>
      </w:r>
    </w:p>
    <w:p w14:paraId="2B2DF3E4" w14:textId="2C5A7E13" w:rsidR="00206807" w:rsidRPr="00206807" w:rsidRDefault="00206807" w:rsidP="00BD4BCA">
      <w:pPr>
        <w:spacing w:line="276" w:lineRule="auto"/>
        <w:jc w:val="both"/>
        <w:rPr>
          <w:rFonts w:ascii="Times New Roman" w:hAnsi="Times New Roman" w:cs="Times New Roman"/>
          <w:sz w:val="24"/>
          <w:szCs w:val="24"/>
        </w:rPr>
      </w:pPr>
      <w:r w:rsidRPr="00206807">
        <w:rPr>
          <w:rFonts w:ascii="Times New Roman" w:hAnsi="Times New Roman" w:cs="Times New Roman"/>
          <w:sz w:val="24"/>
          <w:szCs w:val="24"/>
        </w:rPr>
        <w:t xml:space="preserve">Gout is a common type of inflammatory arthritis that occurs when monosodium urate (MSU) crystals accumulate in the joints, resulting in painful inflammatory episodes. A key risk factor for the development of gout is hyperuricemia, which is defined as having elevated levels of uric acid in the serum that exceed the physiological solubility threshold [1]. Podagra is the classic manifestation of gout, marked by acute inflammatory arthritis that primarily affects the </w:t>
      </w:r>
      <w:r w:rsidRPr="00206807">
        <w:rPr>
          <w:rFonts w:ascii="Times New Roman" w:hAnsi="Times New Roman" w:cs="Times New Roman"/>
          <w:sz w:val="24"/>
          <w:szCs w:val="24"/>
        </w:rPr>
        <w:lastRenderedPageBreak/>
        <w:t>first metatarsophalangeal (MTP) joint. Although podagra can result from various risk factors, drug-induced hyperuricemia is increasingly acknowledged as a significant contributor. Notably, thiazide diuretics are well-recognized for precipitating hyperuricemia, which can trigger gout attacks, including podagra</w:t>
      </w:r>
      <w:r w:rsidR="002275DF">
        <w:rPr>
          <w:rFonts w:ascii="Times New Roman" w:hAnsi="Times New Roman" w:cs="Times New Roman"/>
          <w:sz w:val="24"/>
          <w:szCs w:val="24"/>
        </w:rPr>
        <w:t xml:space="preserve"> </w:t>
      </w:r>
      <w:r w:rsidRPr="00206807">
        <w:rPr>
          <w:rFonts w:ascii="Times New Roman" w:hAnsi="Times New Roman" w:cs="Times New Roman"/>
          <w:sz w:val="24"/>
          <w:szCs w:val="24"/>
        </w:rPr>
        <w:t>[2,3].</w:t>
      </w:r>
    </w:p>
    <w:p w14:paraId="1CF22C93" w14:textId="00760F31" w:rsidR="00206807" w:rsidRPr="00206807" w:rsidRDefault="00206807" w:rsidP="00BD4BCA">
      <w:pPr>
        <w:spacing w:line="276" w:lineRule="auto"/>
        <w:jc w:val="both"/>
        <w:rPr>
          <w:rFonts w:ascii="Times New Roman" w:hAnsi="Times New Roman" w:cs="Times New Roman"/>
          <w:sz w:val="24"/>
          <w:szCs w:val="24"/>
        </w:rPr>
      </w:pPr>
      <w:r w:rsidRPr="00206807">
        <w:rPr>
          <w:rFonts w:ascii="Times New Roman" w:hAnsi="Times New Roman" w:cs="Times New Roman"/>
          <w:sz w:val="24"/>
          <w:szCs w:val="24"/>
        </w:rPr>
        <w:t>Thiazide diuretics are commonly prescribed for hypertension and heart failure. However, they can contribute to hyperuricemia by affecting the kidneys' handling of urate. These medications reduce the excretion of uric acid by inhibiting organic anion transporters (OAT1 and OAT3) in the proximal tubule, which results in increased serum urate levels</w:t>
      </w:r>
      <w:r w:rsidR="002275DF">
        <w:rPr>
          <w:rFonts w:ascii="Times New Roman" w:hAnsi="Times New Roman" w:cs="Times New Roman"/>
          <w:sz w:val="24"/>
          <w:szCs w:val="24"/>
        </w:rPr>
        <w:t xml:space="preserve"> </w:t>
      </w:r>
      <w:r w:rsidRPr="00206807">
        <w:rPr>
          <w:rFonts w:ascii="Times New Roman" w:hAnsi="Times New Roman" w:cs="Times New Roman"/>
          <w:sz w:val="24"/>
          <w:szCs w:val="24"/>
        </w:rPr>
        <w:t>[3</w:t>
      </w:r>
      <w:r w:rsidR="002275DF" w:rsidRPr="00206807">
        <w:rPr>
          <w:rFonts w:ascii="Times New Roman" w:hAnsi="Times New Roman" w:cs="Times New Roman"/>
          <w:sz w:val="24"/>
          <w:szCs w:val="24"/>
        </w:rPr>
        <w:t>]. The</w:t>
      </w:r>
      <w:r w:rsidRPr="00206807">
        <w:rPr>
          <w:rFonts w:ascii="Times New Roman" w:hAnsi="Times New Roman" w:cs="Times New Roman"/>
          <w:sz w:val="24"/>
          <w:szCs w:val="24"/>
        </w:rPr>
        <w:t xml:space="preserve"> likelihood of developing gout due to thiazide therapy is dose-dependent. Higher doses (≥25 mg/day of hydrochlorothiazide equivalents) significantly increase the risk of requiring anti-gout treatment</w:t>
      </w:r>
      <w:r w:rsidR="00E44DED">
        <w:rPr>
          <w:rFonts w:ascii="Times New Roman" w:hAnsi="Times New Roman" w:cs="Times New Roman"/>
          <w:sz w:val="24"/>
          <w:szCs w:val="24"/>
        </w:rPr>
        <w:t xml:space="preserve"> </w:t>
      </w:r>
      <w:r w:rsidRPr="00206807">
        <w:rPr>
          <w:rFonts w:ascii="Times New Roman" w:hAnsi="Times New Roman" w:cs="Times New Roman"/>
          <w:sz w:val="24"/>
          <w:szCs w:val="24"/>
        </w:rPr>
        <w:t>[4]</w:t>
      </w:r>
      <w:r w:rsidR="00E44DED">
        <w:rPr>
          <w:rFonts w:ascii="Times New Roman" w:hAnsi="Times New Roman" w:cs="Times New Roman"/>
          <w:sz w:val="24"/>
          <w:szCs w:val="24"/>
        </w:rPr>
        <w:t xml:space="preserve">. </w:t>
      </w:r>
    </w:p>
    <w:p w14:paraId="7AFC77D5" w14:textId="5FBCEEB0" w:rsidR="00E44DED" w:rsidRPr="00206807" w:rsidRDefault="00206807" w:rsidP="00BD4BCA">
      <w:pPr>
        <w:spacing w:line="276" w:lineRule="auto"/>
        <w:jc w:val="both"/>
        <w:rPr>
          <w:rFonts w:ascii="Times New Roman" w:hAnsi="Times New Roman" w:cs="Times New Roman"/>
          <w:sz w:val="24"/>
          <w:szCs w:val="24"/>
        </w:rPr>
      </w:pPr>
      <w:r w:rsidRPr="00206807">
        <w:rPr>
          <w:rFonts w:ascii="Times New Roman" w:hAnsi="Times New Roman" w:cs="Times New Roman"/>
          <w:sz w:val="24"/>
          <w:szCs w:val="24"/>
        </w:rPr>
        <w:t>The development of thiazide-induced podagra can be linked to temporary increases in the local concentration of uric acid within the first metatarsophalangeal (MTP) joint. This process is exacerbated by factors such as joint degeneration, lower temperatures,</w:t>
      </w:r>
      <w:r w:rsidR="00E44DED">
        <w:rPr>
          <w:rFonts w:ascii="Times New Roman" w:hAnsi="Times New Roman" w:cs="Times New Roman"/>
          <w:sz w:val="24"/>
          <w:szCs w:val="24"/>
        </w:rPr>
        <w:t xml:space="preserve"> and </w:t>
      </w:r>
      <w:r w:rsidRPr="00206807">
        <w:rPr>
          <w:rFonts w:ascii="Times New Roman" w:hAnsi="Times New Roman" w:cs="Times New Roman"/>
          <w:sz w:val="24"/>
          <w:szCs w:val="24"/>
        </w:rPr>
        <w:t>reduced pH levels,</w:t>
      </w:r>
      <w:r w:rsidR="00E44DED">
        <w:rPr>
          <w:rFonts w:ascii="Times New Roman" w:hAnsi="Times New Roman" w:cs="Times New Roman"/>
          <w:sz w:val="24"/>
          <w:szCs w:val="24"/>
        </w:rPr>
        <w:t xml:space="preserve"> </w:t>
      </w:r>
      <w:r w:rsidRPr="00206807">
        <w:rPr>
          <w:rFonts w:ascii="Times New Roman" w:hAnsi="Times New Roman" w:cs="Times New Roman"/>
          <w:sz w:val="24"/>
          <w:szCs w:val="24"/>
        </w:rPr>
        <w:t>all of which encourage crystal formation</w:t>
      </w:r>
      <w:r w:rsidR="002275DF">
        <w:rPr>
          <w:rFonts w:ascii="Times New Roman" w:hAnsi="Times New Roman" w:cs="Times New Roman"/>
          <w:sz w:val="24"/>
          <w:szCs w:val="24"/>
        </w:rPr>
        <w:t xml:space="preserve"> </w:t>
      </w:r>
      <w:r w:rsidRPr="00206807">
        <w:rPr>
          <w:rFonts w:ascii="Times New Roman" w:hAnsi="Times New Roman" w:cs="Times New Roman"/>
          <w:sz w:val="24"/>
          <w:szCs w:val="24"/>
        </w:rPr>
        <w:t>[1,5]</w:t>
      </w:r>
      <w:r w:rsidR="00E44DED">
        <w:rPr>
          <w:rFonts w:ascii="Times New Roman" w:hAnsi="Times New Roman" w:cs="Times New Roman"/>
          <w:sz w:val="24"/>
          <w:szCs w:val="24"/>
        </w:rPr>
        <w:t xml:space="preserve">. </w:t>
      </w:r>
      <w:r w:rsidR="00E44DED" w:rsidRPr="00E44DED">
        <w:rPr>
          <w:rFonts w:ascii="Times New Roman" w:hAnsi="Times New Roman" w:cs="Times New Roman"/>
          <w:sz w:val="24"/>
          <w:szCs w:val="24"/>
        </w:rPr>
        <w:t>Studies suggest that environmental factors, such as diet, alcohol, and seasonal climate changes during spring and early summer, may lead to hyperuricemia and gout</w:t>
      </w:r>
      <w:r w:rsidR="00BD4BCA">
        <w:rPr>
          <w:rFonts w:ascii="Times New Roman" w:hAnsi="Times New Roman" w:cs="Times New Roman"/>
          <w:sz w:val="24"/>
          <w:szCs w:val="24"/>
        </w:rPr>
        <w:t xml:space="preserve"> </w:t>
      </w:r>
      <w:r w:rsidR="00E44DED">
        <w:rPr>
          <w:rFonts w:ascii="Times New Roman" w:hAnsi="Times New Roman" w:cs="Times New Roman"/>
          <w:sz w:val="24"/>
          <w:szCs w:val="24"/>
        </w:rPr>
        <w:t>[</w:t>
      </w:r>
      <w:r w:rsidR="00BD4BCA">
        <w:rPr>
          <w:rFonts w:ascii="Times New Roman" w:hAnsi="Times New Roman" w:cs="Times New Roman"/>
          <w:sz w:val="24"/>
          <w:szCs w:val="24"/>
        </w:rPr>
        <w:t>6</w:t>
      </w:r>
      <w:r w:rsidR="00E44DED">
        <w:rPr>
          <w:rFonts w:ascii="Times New Roman" w:hAnsi="Times New Roman" w:cs="Times New Roman"/>
          <w:sz w:val="24"/>
          <w:szCs w:val="24"/>
        </w:rPr>
        <w:t>]</w:t>
      </w:r>
    </w:p>
    <w:p w14:paraId="64BEBBAE" w14:textId="080947A3" w:rsidR="00206807" w:rsidRPr="00206807" w:rsidRDefault="00206807" w:rsidP="00BD4BCA">
      <w:pPr>
        <w:spacing w:line="276" w:lineRule="auto"/>
        <w:jc w:val="both"/>
        <w:rPr>
          <w:rFonts w:ascii="Times New Roman" w:hAnsi="Times New Roman" w:cs="Times New Roman"/>
          <w:sz w:val="24"/>
          <w:szCs w:val="24"/>
        </w:rPr>
      </w:pPr>
      <w:r w:rsidRPr="00206807">
        <w:rPr>
          <w:rFonts w:ascii="Times New Roman" w:hAnsi="Times New Roman" w:cs="Times New Roman"/>
          <w:sz w:val="24"/>
          <w:szCs w:val="24"/>
        </w:rPr>
        <w:t xml:space="preserve">Despite the risk of podagra, thiazide diuretics remain essential in managing hypertension and cardiovascular disease. Strategies to mitigate their </w:t>
      </w:r>
      <w:proofErr w:type="spellStart"/>
      <w:r w:rsidRPr="00206807">
        <w:rPr>
          <w:rFonts w:ascii="Times New Roman" w:hAnsi="Times New Roman" w:cs="Times New Roman"/>
          <w:sz w:val="24"/>
          <w:szCs w:val="24"/>
        </w:rPr>
        <w:t>hyperuricemic</w:t>
      </w:r>
      <w:proofErr w:type="spellEnd"/>
      <w:r w:rsidRPr="00206807">
        <w:rPr>
          <w:rFonts w:ascii="Times New Roman" w:hAnsi="Times New Roman" w:cs="Times New Roman"/>
          <w:sz w:val="24"/>
          <w:szCs w:val="24"/>
        </w:rPr>
        <w:t xml:space="preserve"> effects include dose reduction, adequate hydration, and concurrent use of urate-lowering agents like allopurinol [</w:t>
      </w:r>
      <w:r w:rsidR="00BD4BCA">
        <w:rPr>
          <w:rFonts w:ascii="Times New Roman" w:hAnsi="Times New Roman" w:cs="Times New Roman"/>
          <w:sz w:val="24"/>
          <w:szCs w:val="24"/>
        </w:rPr>
        <w:t>7</w:t>
      </w:r>
      <w:r w:rsidRPr="00206807">
        <w:rPr>
          <w:rFonts w:ascii="Times New Roman" w:hAnsi="Times New Roman" w:cs="Times New Roman"/>
          <w:sz w:val="24"/>
          <w:szCs w:val="24"/>
        </w:rPr>
        <w:t>]. We present a case involving an individual who</w:t>
      </w:r>
      <w:r w:rsidR="008C5132">
        <w:rPr>
          <w:rFonts w:ascii="Times New Roman" w:hAnsi="Times New Roman" w:cs="Times New Roman"/>
          <w:sz w:val="24"/>
          <w:szCs w:val="24"/>
        </w:rPr>
        <w:t xml:space="preserve"> came around early summer,</w:t>
      </w:r>
      <w:r w:rsidRPr="00206807">
        <w:rPr>
          <w:rFonts w:ascii="Times New Roman" w:hAnsi="Times New Roman" w:cs="Times New Roman"/>
          <w:sz w:val="24"/>
          <w:szCs w:val="24"/>
        </w:rPr>
        <w:t xml:space="preserve"> has been taking </w:t>
      </w:r>
      <w:proofErr w:type="spellStart"/>
      <w:r w:rsidRPr="00206807">
        <w:rPr>
          <w:rFonts w:ascii="Times New Roman" w:hAnsi="Times New Roman" w:cs="Times New Roman"/>
          <w:sz w:val="24"/>
          <w:szCs w:val="24"/>
        </w:rPr>
        <w:t>hydrochlorthiazide</w:t>
      </w:r>
      <w:proofErr w:type="spellEnd"/>
      <w:r w:rsidRPr="00206807">
        <w:rPr>
          <w:rFonts w:ascii="Times New Roman" w:hAnsi="Times New Roman" w:cs="Times New Roman"/>
          <w:sz w:val="24"/>
          <w:szCs w:val="24"/>
        </w:rPr>
        <w:t xml:space="preserve"> for the past 10 years and has subsequently developed podagra.</w:t>
      </w:r>
    </w:p>
    <w:p w14:paraId="19DDA0AA" w14:textId="411F319A" w:rsidR="009F47C7" w:rsidRPr="00206807" w:rsidRDefault="00856504" w:rsidP="00BD4BCA">
      <w:pPr>
        <w:spacing w:line="276" w:lineRule="auto"/>
        <w:jc w:val="both"/>
        <w:rPr>
          <w:rFonts w:ascii="Times New Roman" w:hAnsi="Times New Roman" w:cs="Times New Roman"/>
          <w:b/>
          <w:bCs/>
          <w:sz w:val="24"/>
          <w:szCs w:val="24"/>
          <w:lang w:val="en-US"/>
        </w:rPr>
      </w:pPr>
      <w:r w:rsidRPr="00206807">
        <w:rPr>
          <w:rFonts w:ascii="Times New Roman" w:hAnsi="Times New Roman" w:cs="Times New Roman"/>
          <w:b/>
          <w:bCs/>
          <w:sz w:val="24"/>
          <w:szCs w:val="24"/>
          <w:lang w:val="en-US"/>
        </w:rPr>
        <w:t>CASE PRESENTATION</w:t>
      </w:r>
    </w:p>
    <w:p w14:paraId="7B5629D7" w14:textId="78F1F68A" w:rsidR="00CB10AE" w:rsidRPr="00206807" w:rsidRDefault="00C01B28" w:rsidP="00BD4BCA">
      <w:pPr>
        <w:spacing w:line="276" w:lineRule="auto"/>
        <w:jc w:val="both"/>
        <w:rPr>
          <w:rFonts w:ascii="Times New Roman" w:hAnsi="Times New Roman" w:cs="Times New Roman"/>
          <w:sz w:val="24"/>
          <w:szCs w:val="24"/>
        </w:rPr>
      </w:pPr>
      <w:r w:rsidRPr="00206807">
        <w:rPr>
          <w:rFonts w:ascii="Times New Roman" w:hAnsi="Times New Roman" w:cs="Times New Roman"/>
          <w:sz w:val="24"/>
          <w:szCs w:val="24"/>
        </w:rPr>
        <w:t xml:space="preserve">A 52-year-old male patient was </w:t>
      </w:r>
      <w:r w:rsidR="00012C9D" w:rsidRPr="00206807">
        <w:rPr>
          <w:rFonts w:ascii="Times New Roman" w:hAnsi="Times New Roman" w:cs="Times New Roman"/>
          <w:sz w:val="24"/>
          <w:szCs w:val="24"/>
        </w:rPr>
        <w:t>admitted</w:t>
      </w:r>
      <w:r w:rsidRPr="00206807">
        <w:rPr>
          <w:rFonts w:ascii="Times New Roman" w:hAnsi="Times New Roman" w:cs="Times New Roman"/>
          <w:sz w:val="24"/>
          <w:szCs w:val="24"/>
        </w:rPr>
        <w:t xml:space="preserve"> to </w:t>
      </w:r>
      <w:r w:rsidR="00012C9D" w:rsidRPr="00206807">
        <w:rPr>
          <w:rFonts w:ascii="Times New Roman" w:hAnsi="Times New Roman" w:cs="Times New Roman"/>
          <w:sz w:val="24"/>
          <w:szCs w:val="24"/>
        </w:rPr>
        <w:t>a tertiary care hospital</w:t>
      </w:r>
      <w:r w:rsidR="008C5132">
        <w:rPr>
          <w:rFonts w:ascii="Times New Roman" w:hAnsi="Times New Roman" w:cs="Times New Roman"/>
          <w:sz w:val="24"/>
          <w:szCs w:val="24"/>
        </w:rPr>
        <w:t xml:space="preserve"> in early summer</w:t>
      </w:r>
      <w:r w:rsidR="00012C9D" w:rsidRPr="00206807">
        <w:rPr>
          <w:rFonts w:ascii="Times New Roman" w:hAnsi="Times New Roman" w:cs="Times New Roman"/>
          <w:sz w:val="24"/>
          <w:szCs w:val="24"/>
        </w:rPr>
        <w:t xml:space="preserve"> </w:t>
      </w:r>
      <w:r w:rsidRPr="00206807">
        <w:rPr>
          <w:rFonts w:ascii="Times New Roman" w:hAnsi="Times New Roman" w:cs="Times New Roman"/>
          <w:sz w:val="24"/>
          <w:szCs w:val="24"/>
        </w:rPr>
        <w:t xml:space="preserve">with the complaints of pain in the left great toe for 3 days. </w:t>
      </w:r>
      <w:r w:rsidR="00012C9D" w:rsidRPr="00206807">
        <w:rPr>
          <w:rFonts w:ascii="Times New Roman" w:hAnsi="Times New Roman" w:cs="Times New Roman"/>
          <w:sz w:val="24"/>
          <w:szCs w:val="24"/>
        </w:rPr>
        <w:t xml:space="preserve">The patient was apparently normal 3 days back when he developed pain and swelling of left great toe which was sudden in onset and pain was gradually increasing in intensity. </w:t>
      </w:r>
      <w:r w:rsidRPr="00206807">
        <w:rPr>
          <w:rFonts w:ascii="Times New Roman" w:hAnsi="Times New Roman" w:cs="Times New Roman"/>
          <w:sz w:val="24"/>
          <w:szCs w:val="24"/>
        </w:rPr>
        <w:t>He was a known case of IHD (ischemic heart disease) and Hypertension</w:t>
      </w:r>
      <w:r w:rsidR="00FD5A8A" w:rsidRPr="00206807">
        <w:rPr>
          <w:rFonts w:ascii="Times New Roman" w:hAnsi="Times New Roman" w:cs="Times New Roman"/>
          <w:sz w:val="24"/>
          <w:szCs w:val="24"/>
        </w:rPr>
        <w:t xml:space="preserve"> for </w:t>
      </w:r>
      <w:r w:rsidR="00E44DED">
        <w:rPr>
          <w:rFonts w:ascii="Times New Roman" w:hAnsi="Times New Roman" w:cs="Times New Roman"/>
          <w:sz w:val="24"/>
          <w:szCs w:val="24"/>
        </w:rPr>
        <w:t>4</w:t>
      </w:r>
      <w:r w:rsidR="00FD5A8A" w:rsidRPr="00206807">
        <w:rPr>
          <w:rFonts w:ascii="Times New Roman" w:hAnsi="Times New Roman" w:cs="Times New Roman"/>
          <w:sz w:val="24"/>
          <w:szCs w:val="24"/>
        </w:rPr>
        <w:t xml:space="preserve"> years</w:t>
      </w:r>
      <w:r w:rsidR="00202E38" w:rsidRPr="00206807">
        <w:rPr>
          <w:rFonts w:ascii="Times New Roman" w:hAnsi="Times New Roman" w:cs="Times New Roman"/>
          <w:sz w:val="24"/>
          <w:szCs w:val="24"/>
        </w:rPr>
        <w:t xml:space="preserve"> and</w:t>
      </w:r>
      <w:r w:rsidR="00012C9D" w:rsidRPr="00206807">
        <w:rPr>
          <w:rFonts w:ascii="Times New Roman" w:hAnsi="Times New Roman" w:cs="Times New Roman"/>
          <w:sz w:val="24"/>
          <w:szCs w:val="24"/>
        </w:rPr>
        <w:t xml:space="preserve"> was on </w:t>
      </w:r>
      <w:r w:rsidR="007E31CD" w:rsidRPr="00206807">
        <w:rPr>
          <w:rFonts w:ascii="Times New Roman" w:hAnsi="Times New Roman" w:cs="Times New Roman"/>
          <w:sz w:val="24"/>
          <w:szCs w:val="24"/>
        </w:rPr>
        <w:t xml:space="preserve">tablet telmisartan 40 mg OD, tablet bisoprolol 5 mg OD, tablet amiodarone 100 mg OD, tablet </w:t>
      </w:r>
      <w:proofErr w:type="spellStart"/>
      <w:r w:rsidR="007E31CD" w:rsidRPr="00206807">
        <w:rPr>
          <w:rFonts w:ascii="Times New Roman" w:hAnsi="Times New Roman" w:cs="Times New Roman"/>
          <w:sz w:val="24"/>
          <w:szCs w:val="24"/>
        </w:rPr>
        <w:t>acenocoumarol</w:t>
      </w:r>
      <w:proofErr w:type="spellEnd"/>
      <w:r w:rsidR="007E31CD" w:rsidRPr="00206807">
        <w:rPr>
          <w:rFonts w:ascii="Times New Roman" w:hAnsi="Times New Roman" w:cs="Times New Roman"/>
          <w:sz w:val="24"/>
          <w:szCs w:val="24"/>
        </w:rPr>
        <w:t xml:space="preserve"> </w:t>
      </w:r>
      <w:r w:rsidR="00215EA1" w:rsidRPr="00206807">
        <w:rPr>
          <w:rFonts w:ascii="Times New Roman" w:hAnsi="Times New Roman" w:cs="Times New Roman"/>
          <w:sz w:val="24"/>
          <w:szCs w:val="24"/>
        </w:rPr>
        <w:t>1 mg OD, tablet rosuvastatin 10 mg OD</w:t>
      </w:r>
      <w:r w:rsidRPr="00206807">
        <w:rPr>
          <w:rFonts w:ascii="Times New Roman" w:hAnsi="Times New Roman" w:cs="Times New Roman"/>
          <w:sz w:val="24"/>
          <w:szCs w:val="24"/>
        </w:rPr>
        <w:t xml:space="preserve">. </w:t>
      </w:r>
      <w:r w:rsidR="00FD5A8A" w:rsidRPr="00206807">
        <w:rPr>
          <w:rFonts w:ascii="Times New Roman" w:hAnsi="Times New Roman" w:cs="Times New Roman"/>
          <w:sz w:val="24"/>
          <w:szCs w:val="24"/>
        </w:rPr>
        <w:t xml:space="preserve">The patient was on </w:t>
      </w:r>
      <w:proofErr w:type="spellStart"/>
      <w:r w:rsidR="00215EA1" w:rsidRPr="00206807">
        <w:rPr>
          <w:rFonts w:ascii="Times New Roman" w:hAnsi="Times New Roman" w:cs="Times New Roman"/>
          <w:sz w:val="24"/>
          <w:szCs w:val="24"/>
        </w:rPr>
        <w:t>hydrochlort</w:t>
      </w:r>
      <w:r w:rsidR="00FD5A8A" w:rsidRPr="00206807">
        <w:rPr>
          <w:rFonts w:ascii="Times New Roman" w:hAnsi="Times New Roman" w:cs="Times New Roman"/>
          <w:sz w:val="24"/>
          <w:szCs w:val="24"/>
        </w:rPr>
        <w:t>hiazide</w:t>
      </w:r>
      <w:proofErr w:type="spellEnd"/>
      <w:r w:rsidR="00215EA1" w:rsidRPr="00206807">
        <w:rPr>
          <w:rFonts w:ascii="Times New Roman" w:hAnsi="Times New Roman" w:cs="Times New Roman"/>
          <w:sz w:val="24"/>
          <w:szCs w:val="24"/>
        </w:rPr>
        <w:t xml:space="preserve"> 12.5 mg</w:t>
      </w:r>
      <w:r w:rsidR="00FD5A8A" w:rsidRPr="00206807">
        <w:rPr>
          <w:rFonts w:ascii="Times New Roman" w:hAnsi="Times New Roman" w:cs="Times New Roman"/>
          <w:sz w:val="24"/>
          <w:szCs w:val="24"/>
        </w:rPr>
        <w:t xml:space="preserve"> for hypertension for </w:t>
      </w:r>
      <w:r w:rsidR="00E44DED">
        <w:rPr>
          <w:rFonts w:ascii="Times New Roman" w:hAnsi="Times New Roman" w:cs="Times New Roman"/>
          <w:sz w:val="24"/>
          <w:szCs w:val="24"/>
        </w:rPr>
        <w:t>10</w:t>
      </w:r>
      <w:r w:rsidR="00FD5A8A" w:rsidRPr="00206807">
        <w:rPr>
          <w:rFonts w:ascii="Times New Roman" w:hAnsi="Times New Roman" w:cs="Times New Roman"/>
          <w:sz w:val="24"/>
          <w:szCs w:val="24"/>
        </w:rPr>
        <w:t xml:space="preserve"> years. </w:t>
      </w:r>
      <w:r w:rsidR="00012C9D" w:rsidRPr="00206807">
        <w:rPr>
          <w:rFonts w:ascii="Times New Roman" w:hAnsi="Times New Roman" w:cs="Times New Roman"/>
          <w:sz w:val="24"/>
          <w:szCs w:val="24"/>
        </w:rPr>
        <w:t xml:space="preserve">The social </w:t>
      </w:r>
      <w:r w:rsidR="00E73CBF" w:rsidRPr="00206807">
        <w:rPr>
          <w:rFonts w:ascii="Times New Roman" w:hAnsi="Times New Roman" w:cs="Times New Roman"/>
          <w:sz w:val="24"/>
          <w:szCs w:val="24"/>
        </w:rPr>
        <w:t xml:space="preserve">and </w:t>
      </w:r>
      <w:r w:rsidR="00012C9D" w:rsidRPr="00206807">
        <w:rPr>
          <w:rFonts w:ascii="Times New Roman" w:hAnsi="Times New Roman" w:cs="Times New Roman"/>
          <w:sz w:val="24"/>
          <w:szCs w:val="24"/>
        </w:rPr>
        <w:t xml:space="preserve">family </w:t>
      </w:r>
      <w:r w:rsidR="00FD5A8A" w:rsidRPr="00206807">
        <w:rPr>
          <w:rFonts w:ascii="Times New Roman" w:hAnsi="Times New Roman" w:cs="Times New Roman"/>
          <w:sz w:val="24"/>
          <w:szCs w:val="24"/>
        </w:rPr>
        <w:t>history</w:t>
      </w:r>
      <w:r w:rsidR="00012C9D" w:rsidRPr="00206807">
        <w:rPr>
          <w:rFonts w:ascii="Times New Roman" w:hAnsi="Times New Roman" w:cs="Times New Roman"/>
          <w:sz w:val="24"/>
          <w:szCs w:val="24"/>
        </w:rPr>
        <w:t xml:space="preserve"> </w:t>
      </w:r>
      <w:r w:rsidR="00215EA1" w:rsidRPr="00206807">
        <w:rPr>
          <w:rFonts w:ascii="Times New Roman" w:hAnsi="Times New Roman" w:cs="Times New Roman"/>
          <w:sz w:val="24"/>
          <w:szCs w:val="24"/>
        </w:rPr>
        <w:t>was</w:t>
      </w:r>
      <w:r w:rsidR="00012C9D" w:rsidRPr="00206807">
        <w:rPr>
          <w:rFonts w:ascii="Times New Roman" w:hAnsi="Times New Roman" w:cs="Times New Roman"/>
          <w:sz w:val="24"/>
          <w:szCs w:val="24"/>
        </w:rPr>
        <w:t xml:space="preserve"> insignificant</w:t>
      </w:r>
      <w:r w:rsidR="00FD5A8A" w:rsidRPr="00206807">
        <w:rPr>
          <w:rFonts w:ascii="Times New Roman" w:hAnsi="Times New Roman" w:cs="Times New Roman"/>
          <w:sz w:val="24"/>
          <w:szCs w:val="24"/>
        </w:rPr>
        <w:t>.</w:t>
      </w:r>
      <w:r w:rsidR="00012C9D" w:rsidRPr="00206807">
        <w:rPr>
          <w:rFonts w:ascii="Times New Roman" w:hAnsi="Times New Roman" w:cs="Times New Roman"/>
          <w:sz w:val="24"/>
          <w:szCs w:val="24"/>
        </w:rPr>
        <w:t xml:space="preserve"> On general examination, patient was conscious and coherent. On physical examination, his blood pressure was 130/80 mmHg, pulse rate was 90 bpm, and respiratory rate was 16 cycles per minute. On local examination, the patient had swelling, tenderness and redness in the left great toe. Systemic examination of the abdomen, respiratory, cardiovascular and central nervous system was normal. </w:t>
      </w:r>
      <w:r w:rsidR="00BC7FC1" w:rsidRPr="00206807">
        <w:rPr>
          <w:rFonts w:ascii="Times New Roman" w:hAnsi="Times New Roman" w:cs="Times New Roman"/>
          <w:sz w:val="24"/>
          <w:szCs w:val="24"/>
        </w:rPr>
        <w:t xml:space="preserve">Based on his complaints a clinical diagnosis of drug induced podagra was provisionally made. </w:t>
      </w:r>
    </w:p>
    <w:p w14:paraId="1C71BEE1" w14:textId="665F0C02" w:rsidR="00221C72" w:rsidRPr="00206807" w:rsidRDefault="00FD5A8A" w:rsidP="00BD4BCA">
      <w:pPr>
        <w:spacing w:line="276" w:lineRule="auto"/>
        <w:jc w:val="both"/>
        <w:rPr>
          <w:rFonts w:ascii="Times New Roman" w:hAnsi="Times New Roman" w:cs="Times New Roman"/>
          <w:sz w:val="24"/>
          <w:szCs w:val="24"/>
        </w:rPr>
      </w:pPr>
      <w:r w:rsidRPr="00206807">
        <w:rPr>
          <w:rFonts w:ascii="Times New Roman" w:hAnsi="Times New Roman" w:cs="Times New Roman"/>
          <w:sz w:val="24"/>
          <w:szCs w:val="24"/>
        </w:rPr>
        <w:t>On day 1 o</w:t>
      </w:r>
      <w:r w:rsidR="00BC7FC1" w:rsidRPr="00206807">
        <w:rPr>
          <w:rFonts w:ascii="Times New Roman" w:hAnsi="Times New Roman" w:cs="Times New Roman"/>
          <w:sz w:val="24"/>
          <w:szCs w:val="24"/>
        </w:rPr>
        <w:t>f hospitalisation</w:t>
      </w:r>
      <w:r w:rsidRPr="00206807">
        <w:rPr>
          <w:rFonts w:ascii="Times New Roman" w:hAnsi="Times New Roman" w:cs="Times New Roman"/>
          <w:sz w:val="24"/>
          <w:szCs w:val="24"/>
        </w:rPr>
        <w:t xml:space="preserve">, </w:t>
      </w:r>
      <w:r w:rsidR="00EF118E" w:rsidRPr="00206807">
        <w:rPr>
          <w:rFonts w:ascii="Times New Roman" w:hAnsi="Times New Roman" w:cs="Times New Roman"/>
          <w:sz w:val="24"/>
          <w:szCs w:val="24"/>
        </w:rPr>
        <w:t xml:space="preserve">patient was symptomatically treated with oral </w:t>
      </w:r>
      <w:proofErr w:type="spellStart"/>
      <w:r w:rsidR="00E44DED">
        <w:rPr>
          <w:rFonts w:ascii="Times New Roman" w:hAnsi="Times New Roman" w:cs="Times New Roman"/>
          <w:sz w:val="24"/>
          <w:szCs w:val="24"/>
        </w:rPr>
        <w:t>a</w:t>
      </w:r>
      <w:r w:rsidR="00EF118E" w:rsidRPr="00206807">
        <w:rPr>
          <w:rFonts w:ascii="Times New Roman" w:hAnsi="Times New Roman" w:cs="Times New Roman"/>
          <w:sz w:val="24"/>
          <w:szCs w:val="24"/>
        </w:rPr>
        <w:t>ceclofenac</w:t>
      </w:r>
      <w:proofErr w:type="spellEnd"/>
      <w:r w:rsidR="00EF118E" w:rsidRPr="00206807">
        <w:rPr>
          <w:rFonts w:ascii="Times New Roman" w:hAnsi="Times New Roman" w:cs="Times New Roman"/>
          <w:sz w:val="24"/>
          <w:szCs w:val="24"/>
        </w:rPr>
        <w:t xml:space="preserve"> 100 mg twice daily. T</w:t>
      </w:r>
      <w:r w:rsidR="00E73CBF" w:rsidRPr="00206807">
        <w:rPr>
          <w:rFonts w:ascii="Times New Roman" w:hAnsi="Times New Roman" w:cs="Times New Roman"/>
          <w:sz w:val="24"/>
          <w:szCs w:val="24"/>
        </w:rPr>
        <w:t xml:space="preserve">he </w:t>
      </w:r>
      <w:r w:rsidR="00BC7FC1" w:rsidRPr="00206807">
        <w:rPr>
          <w:rFonts w:ascii="Times New Roman" w:hAnsi="Times New Roman" w:cs="Times New Roman"/>
          <w:sz w:val="24"/>
          <w:szCs w:val="24"/>
        </w:rPr>
        <w:t xml:space="preserve">laboratory </w:t>
      </w:r>
      <w:r w:rsidR="00E73CBF" w:rsidRPr="00206807">
        <w:rPr>
          <w:rFonts w:ascii="Times New Roman" w:hAnsi="Times New Roman" w:cs="Times New Roman"/>
          <w:sz w:val="24"/>
          <w:szCs w:val="24"/>
        </w:rPr>
        <w:t xml:space="preserve">investigations </w:t>
      </w:r>
      <w:r w:rsidR="00BC7FC1" w:rsidRPr="00206807">
        <w:rPr>
          <w:rFonts w:ascii="Times New Roman" w:hAnsi="Times New Roman" w:cs="Times New Roman"/>
          <w:sz w:val="24"/>
          <w:szCs w:val="24"/>
        </w:rPr>
        <w:t xml:space="preserve">revealed that </w:t>
      </w:r>
      <w:r w:rsidR="00E73CBF" w:rsidRPr="00206807">
        <w:rPr>
          <w:rFonts w:ascii="Times New Roman" w:hAnsi="Times New Roman" w:cs="Times New Roman"/>
          <w:sz w:val="24"/>
          <w:szCs w:val="24"/>
        </w:rPr>
        <w:t xml:space="preserve">the uric acid level was slightly </w:t>
      </w:r>
      <w:r w:rsidR="00EF118E" w:rsidRPr="00206807">
        <w:rPr>
          <w:rFonts w:ascii="Times New Roman" w:hAnsi="Times New Roman" w:cs="Times New Roman"/>
          <w:sz w:val="24"/>
          <w:szCs w:val="24"/>
        </w:rPr>
        <w:t>elevated</w:t>
      </w:r>
      <w:r w:rsidR="00AC0BB5" w:rsidRPr="00206807">
        <w:rPr>
          <w:rFonts w:ascii="Times New Roman" w:hAnsi="Times New Roman" w:cs="Times New Roman"/>
          <w:sz w:val="24"/>
          <w:szCs w:val="24"/>
        </w:rPr>
        <w:t>3</w:t>
      </w:r>
      <w:r w:rsidR="00E73CBF" w:rsidRPr="00206807">
        <w:rPr>
          <w:rFonts w:ascii="Times New Roman" w:hAnsi="Times New Roman" w:cs="Times New Roman"/>
          <w:sz w:val="24"/>
          <w:szCs w:val="24"/>
        </w:rPr>
        <w:t xml:space="preserve"> </w:t>
      </w:r>
      <w:r w:rsidR="00BC7FC1" w:rsidRPr="00206807">
        <w:rPr>
          <w:rFonts w:ascii="Times New Roman" w:hAnsi="Times New Roman" w:cs="Times New Roman"/>
          <w:sz w:val="24"/>
          <w:szCs w:val="24"/>
        </w:rPr>
        <w:t>(</w:t>
      </w:r>
      <w:r w:rsidR="00E73CBF" w:rsidRPr="00206807">
        <w:rPr>
          <w:rFonts w:ascii="Times New Roman" w:hAnsi="Times New Roman" w:cs="Times New Roman"/>
          <w:sz w:val="24"/>
          <w:szCs w:val="24"/>
        </w:rPr>
        <w:t>7.4 mg/dL</w:t>
      </w:r>
      <w:r w:rsidR="00BC7FC1" w:rsidRPr="00206807">
        <w:rPr>
          <w:rFonts w:ascii="Times New Roman" w:hAnsi="Times New Roman" w:cs="Times New Roman"/>
          <w:sz w:val="24"/>
          <w:szCs w:val="24"/>
        </w:rPr>
        <w:t>)</w:t>
      </w:r>
      <w:r w:rsidR="00E73CBF" w:rsidRPr="00206807">
        <w:rPr>
          <w:rFonts w:ascii="Times New Roman" w:hAnsi="Times New Roman" w:cs="Times New Roman"/>
          <w:sz w:val="24"/>
          <w:szCs w:val="24"/>
        </w:rPr>
        <w:t xml:space="preserve">. </w:t>
      </w:r>
      <w:r w:rsidR="00BC7FC1" w:rsidRPr="00206807">
        <w:rPr>
          <w:rFonts w:ascii="Times New Roman" w:hAnsi="Times New Roman" w:cs="Times New Roman"/>
          <w:sz w:val="24"/>
          <w:szCs w:val="24"/>
        </w:rPr>
        <w:t xml:space="preserve">Based on the clinical pharmacy opinion, </w:t>
      </w:r>
      <w:proofErr w:type="spellStart"/>
      <w:r w:rsidR="00BC7FC1" w:rsidRPr="00206807">
        <w:rPr>
          <w:rFonts w:ascii="Times New Roman" w:hAnsi="Times New Roman" w:cs="Times New Roman"/>
          <w:sz w:val="24"/>
          <w:szCs w:val="24"/>
        </w:rPr>
        <w:t>hydroc</w:t>
      </w:r>
      <w:r w:rsidR="00215EA1" w:rsidRPr="00206807">
        <w:rPr>
          <w:rFonts w:ascii="Times New Roman" w:hAnsi="Times New Roman" w:cs="Times New Roman"/>
          <w:sz w:val="24"/>
          <w:szCs w:val="24"/>
        </w:rPr>
        <w:t>hlorthiazide</w:t>
      </w:r>
      <w:proofErr w:type="spellEnd"/>
      <w:r w:rsidR="00215EA1" w:rsidRPr="00206807">
        <w:rPr>
          <w:rFonts w:ascii="Times New Roman" w:hAnsi="Times New Roman" w:cs="Times New Roman"/>
          <w:sz w:val="24"/>
          <w:szCs w:val="24"/>
        </w:rPr>
        <w:t xml:space="preserve"> 12.5 mg was</w:t>
      </w:r>
      <w:r w:rsidR="00BC7FC1" w:rsidRPr="00206807">
        <w:rPr>
          <w:rFonts w:ascii="Times New Roman" w:hAnsi="Times New Roman" w:cs="Times New Roman"/>
          <w:sz w:val="24"/>
          <w:szCs w:val="24"/>
        </w:rPr>
        <w:t xml:space="preserve"> suspected as the culprit drug and was interrupted. However, the patient was prescribed </w:t>
      </w:r>
      <w:r w:rsidR="00202E38" w:rsidRPr="00206807">
        <w:rPr>
          <w:rFonts w:ascii="Times New Roman" w:hAnsi="Times New Roman" w:cs="Times New Roman"/>
          <w:sz w:val="24"/>
          <w:szCs w:val="24"/>
        </w:rPr>
        <w:t xml:space="preserve">with </w:t>
      </w:r>
      <w:r w:rsidR="00215EA1" w:rsidRPr="00206807">
        <w:rPr>
          <w:rFonts w:ascii="Times New Roman" w:hAnsi="Times New Roman" w:cs="Times New Roman"/>
          <w:sz w:val="24"/>
          <w:szCs w:val="24"/>
        </w:rPr>
        <w:t xml:space="preserve">tablet </w:t>
      </w:r>
      <w:r w:rsidR="00BC7FC1" w:rsidRPr="00206807">
        <w:rPr>
          <w:rFonts w:ascii="Times New Roman" w:hAnsi="Times New Roman" w:cs="Times New Roman"/>
          <w:sz w:val="24"/>
          <w:szCs w:val="24"/>
        </w:rPr>
        <w:t>t</w:t>
      </w:r>
      <w:r w:rsidR="00202E38" w:rsidRPr="00206807">
        <w:rPr>
          <w:rFonts w:ascii="Times New Roman" w:hAnsi="Times New Roman" w:cs="Times New Roman"/>
          <w:sz w:val="24"/>
          <w:szCs w:val="24"/>
        </w:rPr>
        <w:t>elmisartan 40 mg for hypertension</w:t>
      </w:r>
      <w:r w:rsidR="00CB10AE" w:rsidRPr="00206807">
        <w:rPr>
          <w:rFonts w:ascii="Times New Roman" w:hAnsi="Times New Roman" w:cs="Times New Roman"/>
          <w:sz w:val="24"/>
          <w:szCs w:val="24"/>
        </w:rPr>
        <w:t xml:space="preserve">. </w:t>
      </w:r>
      <w:r w:rsidR="00221C72" w:rsidRPr="00206807">
        <w:rPr>
          <w:rFonts w:ascii="Times New Roman" w:hAnsi="Times New Roman" w:cs="Times New Roman"/>
          <w:sz w:val="24"/>
          <w:szCs w:val="24"/>
        </w:rPr>
        <w:t>On day 2</w:t>
      </w:r>
      <w:r w:rsidR="00EF118E" w:rsidRPr="00206807">
        <w:rPr>
          <w:rFonts w:ascii="Times New Roman" w:hAnsi="Times New Roman" w:cs="Times New Roman"/>
          <w:sz w:val="24"/>
          <w:szCs w:val="24"/>
        </w:rPr>
        <w:t>,</w:t>
      </w:r>
      <w:r w:rsidR="00221C72" w:rsidRPr="00206807">
        <w:rPr>
          <w:rFonts w:ascii="Times New Roman" w:hAnsi="Times New Roman" w:cs="Times New Roman"/>
          <w:sz w:val="24"/>
          <w:szCs w:val="24"/>
        </w:rPr>
        <w:t xml:space="preserve"> the patient still had swelling, </w:t>
      </w:r>
      <w:r w:rsidR="00221C72" w:rsidRPr="00206807">
        <w:rPr>
          <w:rFonts w:ascii="Times New Roman" w:hAnsi="Times New Roman" w:cs="Times New Roman"/>
          <w:sz w:val="24"/>
          <w:szCs w:val="24"/>
        </w:rPr>
        <w:lastRenderedPageBreak/>
        <w:t>tenderness and redness in the left great toe and he was prescribed with Tablet Prednisolone 10 mg once daily based on the rheumatology opinion.</w:t>
      </w:r>
      <w:r w:rsidR="00E4471E" w:rsidRPr="00206807">
        <w:rPr>
          <w:rFonts w:ascii="Times New Roman" w:hAnsi="Times New Roman" w:cs="Times New Roman"/>
          <w:sz w:val="24"/>
          <w:szCs w:val="24"/>
        </w:rPr>
        <w:t xml:space="preserve"> Based on clinical pharmacy opinion,</w:t>
      </w:r>
      <w:r w:rsidR="00221C72" w:rsidRPr="00206807">
        <w:rPr>
          <w:rFonts w:ascii="Times New Roman" w:hAnsi="Times New Roman" w:cs="Times New Roman"/>
          <w:sz w:val="24"/>
          <w:szCs w:val="24"/>
        </w:rPr>
        <w:t xml:space="preserve"> </w:t>
      </w:r>
      <w:r w:rsidR="00E4471E" w:rsidRPr="00206807">
        <w:rPr>
          <w:rFonts w:ascii="Times New Roman" w:hAnsi="Times New Roman" w:cs="Times New Roman"/>
          <w:sz w:val="24"/>
          <w:szCs w:val="24"/>
        </w:rPr>
        <w:t>d</w:t>
      </w:r>
      <w:r w:rsidR="00BA501F" w:rsidRPr="00206807">
        <w:rPr>
          <w:rFonts w:ascii="Times New Roman" w:hAnsi="Times New Roman" w:cs="Times New Roman"/>
          <w:sz w:val="24"/>
          <w:szCs w:val="24"/>
        </w:rPr>
        <w:t xml:space="preserve">ue to increased risk of bleeding with concurrent use of </w:t>
      </w:r>
      <w:proofErr w:type="spellStart"/>
      <w:r w:rsidR="00BA501F" w:rsidRPr="00206807">
        <w:rPr>
          <w:rFonts w:ascii="Times New Roman" w:hAnsi="Times New Roman" w:cs="Times New Roman"/>
          <w:sz w:val="24"/>
          <w:szCs w:val="24"/>
        </w:rPr>
        <w:t>ace</w:t>
      </w:r>
      <w:r w:rsidR="00E44DED">
        <w:rPr>
          <w:rFonts w:ascii="Times New Roman" w:hAnsi="Times New Roman" w:cs="Times New Roman"/>
          <w:sz w:val="24"/>
          <w:szCs w:val="24"/>
        </w:rPr>
        <w:t>nocoumarol</w:t>
      </w:r>
      <w:proofErr w:type="spellEnd"/>
      <w:r w:rsidR="00BA501F" w:rsidRPr="00206807">
        <w:rPr>
          <w:rFonts w:ascii="Times New Roman" w:hAnsi="Times New Roman" w:cs="Times New Roman"/>
          <w:sz w:val="24"/>
          <w:szCs w:val="24"/>
        </w:rPr>
        <w:t xml:space="preserve"> and</w:t>
      </w:r>
      <w:r w:rsidR="00E4471E" w:rsidRPr="00206807">
        <w:rPr>
          <w:rFonts w:ascii="Times New Roman" w:hAnsi="Times New Roman" w:cs="Times New Roman"/>
          <w:sz w:val="24"/>
          <w:szCs w:val="24"/>
        </w:rPr>
        <w:t xml:space="preserve"> </w:t>
      </w:r>
      <w:proofErr w:type="spellStart"/>
      <w:r w:rsidR="00E4471E" w:rsidRPr="00206807">
        <w:rPr>
          <w:rFonts w:ascii="Times New Roman" w:hAnsi="Times New Roman" w:cs="Times New Roman"/>
          <w:sz w:val="24"/>
          <w:szCs w:val="24"/>
        </w:rPr>
        <w:t>aceclofenac</w:t>
      </w:r>
      <w:proofErr w:type="spellEnd"/>
      <w:r w:rsidR="00E4471E" w:rsidRPr="00206807">
        <w:rPr>
          <w:rFonts w:ascii="Times New Roman" w:hAnsi="Times New Roman" w:cs="Times New Roman"/>
          <w:sz w:val="24"/>
          <w:szCs w:val="24"/>
        </w:rPr>
        <w:t xml:space="preserve"> was stopped. On day 3, the patient had the complaints of swelling and redness was continued on prednisolone 10 mg OD. On day 4, patient was symptomatically better and hemodynamically stable and hence discharged. On discharge, he was continued on </w:t>
      </w:r>
      <w:r w:rsidR="00215EA1" w:rsidRPr="00206807">
        <w:rPr>
          <w:rFonts w:ascii="Times New Roman" w:hAnsi="Times New Roman" w:cs="Times New Roman"/>
          <w:sz w:val="24"/>
          <w:szCs w:val="24"/>
        </w:rPr>
        <w:t xml:space="preserve">tablet telmisartan 40 mg OD, tablet bisoprolol 5 mg OD, tablet amiodarone 100 mg OD, tablet </w:t>
      </w:r>
      <w:proofErr w:type="spellStart"/>
      <w:r w:rsidR="00215EA1" w:rsidRPr="00206807">
        <w:rPr>
          <w:rFonts w:ascii="Times New Roman" w:hAnsi="Times New Roman" w:cs="Times New Roman"/>
          <w:sz w:val="24"/>
          <w:szCs w:val="24"/>
        </w:rPr>
        <w:t>acenocoumarol</w:t>
      </w:r>
      <w:proofErr w:type="spellEnd"/>
      <w:r w:rsidR="00215EA1" w:rsidRPr="00206807">
        <w:rPr>
          <w:rFonts w:ascii="Times New Roman" w:hAnsi="Times New Roman" w:cs="Times New Roman"/>
          <w:sz w:val="24"/>
          <w:szCs w:val="24"/>
        </w:rPr>
        <w:t xml:space="preserve"> 1 mg OD, tablet rosuvastatin 10 mg OD. </w:t>
      </w:r>
    </w:p>
    <w:p w14:paraId="7F66E7CA" w14:textId="667619DA" w:rsidR="00215EA1" w:rsidRPr="00206807" w:rsidRDefault="00206807" w:rsidP="00BD4BCA">
      <w:pPr>
        <w:spacing w:line="276" w:lineRule="auto"/>
        <w:jc w:val="both"/>
        <w:rPr>
          <w:rFonts w:ascii="Times New Roman" w:hAnsi="Times New Roman" w:cs="Times New Roman"/>
          <w:b/>
          <w:bCs/>
          <w:sz w:val="24"/>
          <w:szCs w:val="24"/>
        </w:rPr>
      </w:pPr>
      <w:r w:rsidRPr="00206807">
        <w:rPr>
          <w:rFonts w:ascii="Times New Roman" w:hAnsi="Times New Roman" w:cs="Times New Roman"/>
          <w:b/>
          <w:bCs/>
          <w:sz w:val="24"/>
          <w:szCs w:val="24"/>
        </w:rPr>
        <w:t>DISCUSSION</w:t>
      </w:r>
      <w:r w:rsidR="00215EA1" w:rsidRPr="00206807">
        <w:rPr>
          <w:rFonts w:ascii="Times New Roman" w:hAnsi="Times New Roman" w:cs="Times New Roman"/>
          <w:b/>
          <w:bCs/>
          <w:sz w:val="24"/>
          <w:szCs w:val="24"/>
        </w:rPr>
        <w:t xml:space="preserve"> </w:t>
      </w:r>
    </w:p>
    <w:p w14:paraId="089AD779" w14:textId="1E637BFF" w:rsidR="00215EA1" w:rsidRDefault="006B55B4" w:rsidP="00BD4BCA">
      <w:pPr>
        <w:spacing w:line="276" w:lineRule="auto"/>
        <w:jc w:val="both"/>
        <w:rPr>
          <w:rFonts w:ascii="Times New Roman" w:hAnsi="Times New Roman" w:cs="Times New Roman"/>
          <w:sz w:val="24"/>
          <w:szCs w:val="24"/>
        </w:rPr>
      </w:pPr>
      <w:r w:rsidRPr="00206807">
        <w:rPr>
          <w:rFonts w:ascii="Times New Roman" w:hAnsi="Times New Roman" w:cs="Times New Roman"/>
          <w:sz w:val="24"/>
          <w:szCs w:val="24"/>
        </w:rPr>
        <w:t>Thiazide and thiazide-type diuretics are effective anti-hypertensive drugs. It will not only maintain blood pressure but also prevent stroke, cardiac problems like heart failure associated with morbidity and mortality in hypertensive patients</w:t>
      </w:r>
      <w:r w:rsidR="00F23710" w:rsidRPr="00206807">
        <w:rPr>
          <w:rFonts w:ascii="Times New Roman" w:hAnsi="Times New Roman" w:cs="Times New Roman"/>
          <w:sz w:val="24"/>
          <w:szCs w:val="24"/>
        </w:rPr>
        <w:t xml:space="preserve"> [</w:t>
      </w:r>
      <w:r w:rsidR="00BD4BCA">
        <w:rPr>
          <w:rFonts w:ascii="Times New Roman" w:hAnsi="Times New Roman" w:cs="Times New Roman"/>
          <w:sz w:val="24"/>
          <w:szCs w:val="24"/>
        </w:rPr>
        <w:t>8</w:t>
      </w:r>
      <w:r w:rsidR="00F23710" w:rsidRPr="00206807">
        <w:rPr>
          <w:rFonts w:ascii="Times New Roman" w:hAnsi="Times New Roman" w:cs="Times New Roman"/>
          <w:sz w:val="24"/>
          <w:szCs w:val="24"/>
        </w:rPr>
        <w:t>]</w:t>
      </w:r>
      <w:r w:rsidRPr="00206807">
        <w:rPr>
          <w:rFonts w:ascii="Times New Roman" w:hAnsi="Times New Roman" w:cs="Times New Roman"/>
          <w:sz w:val="24"/>
          <w:szCs w:val="24"/>
        </w:rPr>
        <w:t xml:space="preserve">. </w:t>
      </w:r>
      <w:r w:rsidR="00BD1CB1" w:rsidRPr="00206807">
        <w:rPr>
          <w:rFonts w:ascii="Times New Roman" w:hAnsi="Times New Roman" w:cs="Times New Roman"/>
          <w:sz w:val="24"/>
          <w:szCs w:val="24"/>
        </w:rPr>
        <w:t xml:space="preserve">There </w:t>
      </w:r>
      <w:r w:rsidR="00DC08F9" w:rsidRPr="00206807">
        <w:rPr>
          <w:rFonts w:ascii="Times New Roman" w:hAnsi="Times New Roman" w:cs="Times New Roman"/>
          <w:sz w:val="24"/>
          <w:szCs w:val="24"/>
        </w:rPr>
        <w:t>is</w:t>
      </w:r>
      <w:r w:rsidR="00BD1CB1" w:rsidRPr="00206807">
        <w:rPr>
          <w:rFonts w:ascii="Times New Roman" w:hAnsi="Times New Roman" w:cs="Times New Roman"/>
          <w:sz w:val="24"/>
          <w:szCs w:val="24"/>
        </w:rPr>
        <w:t xml:space="preserve"> no evidence of </w:t>
      </w:r>
      <w:proofErr w:type="spellStart"/>
      <w:r w:rsidR="00FA0A99" w:rsidRPr="00206807">
        <w:rPr>
          <w:rFonts w:ascii="Times New Roman" w:hAnsi="Times New Roman" w:cs="Times New Roman"/>
          <w:sz w:val="24"/>
          <w:szCs w:val="24"/>
        </w:rPr>
        <w:t>h</w:t>
      </w:r>
      <w:r w:rsidR="00BD1CB1" w:rsidRPr="00206807">
        <w:rPr>
          <w:rFonts w:ascii="Times New Roman" w:hAnsi="Times New Roman" w:cs="Times New Roman"/>
          <w:sz w:val="24"/>
          <w:szCs w:val="24"/>
        </w:rPr>
        <w:t>ydrochlorthiazide</w:t>
      </w:r>
      <w:proofErr w:type="spellEnd"/>
      <w:r w:rsidR="00BD1CB1" w:rsidRPr="00206807">
        <w:rPr>
          <w:rFonts w:ascii="Times New Roman" w:hAnsi="Times New Roman" w:cs="Times New Roman"/>
          <w:sz w:val="24"/>
          <w:szCs w:val="24"/>
        </w:rPr>
        <w:t xml:space="preserve"> inducing gout or podagra in lower doses but there are studies that indicate </w:t>
      </w:r>
      <w:proofErr w:type="spellStart"/>
      <w:r w:rsidR="00BD1CB1" w:rsidRPr="00206807">
        <w:rPr>
          <w:rFonts w:ascii="Times New Roman" w:hAnsi="Times New Roman" w:cs="Times New Roman"/>
          <w:sz w:val="24"/>
          <w:szCs w:val="24"/>
        </w:rPr>
        <w:t>hydrochlorthiazide</w:t>
      </w:r>
      <w:proofErr w:type="spellEnd"/>
      <w:r w:rsidR="00BD1CB1" w:rsidRPr="00206807">
        <w:rPr>
          <w:rFonts w:ascii="Times New Roman" w:hAnsi="Times New Roman" w:cs="Times New Roman"/>
          <w:sz w:val="24"/>
          <w:szCs w:val="24"/>
        </w:rPr>
        <w:t xml:space="preserve"> inducing hyperuricemia in p</w:t>
      </w:r>
      <w:r w:rsidR="00DC08F9" w:rsidRPr="00206807">
        <w:rPr>
          <w:rFonts w:ascii="Times New Roman" w:hAnsi="Times New Roman" w:cs="Times New Roman"/>
          <w:sz w:val="24"/>
          <w:szCs w:val="24"/>
        </w:rPr>
        <w:t>atients who receive higher doses of 20 mg to 40 mg</w:t>
      </w:r>
      <w:r w:rsidR="00F23710" w:rsidRPr="00206807">
        <w:rPr>
          <w:rFonts w:ascii="Times New Roman" w:hAnsi="Times New Roman" w:cs="Times New Roman"/>
          <w:sz w:val="24"/>
          <w:szCs w:val="24"/>
        </w:rPr>
        <w:t xml:space="preserve"> [</w:t>
      </w:r>
      <w:r w:rsidR="00BD4BCA">
        <w:rPr>
          <w:rFonts w:ascii="Times New Roman" w:hAnsi="Times New Roman" w:cs="Times New Roman"/>
          <w:sz w:val="24"/>
          <w:szCs w:val="24"/>
        </w:rPr>
        <w:t>9</w:t>
      </w:r>
      <w:r w:rsidR="00F23710" w:rsidRPr="00206807">
        <w:rPr>
          <w:rFonts w:ascii="Times New Roman" w:hAnsi="Times New Roman" w:cs="Times New Roman"/>
          <w:sz w:val="24"/>
          <w:szCs w:val="24"/>
        </w:rPr>
        <w:t>]</w:t>
      </w:r>
      <w:r w:rsidR="00DC08F9" w:rsidRPr="00206807">
        <w:rPr>
          <w:rFonts w:ascii="Times New Roman" w:hAnsi="Times New Roman" w:cs="Times New Roman"/>
          <w:sz w:val="24"/>
          <w:szCs w:val="24"/>
        </w:rPr>
        <w:t xml:space="preserve">. In our case the patient developed podagra with slight hyperuricemia for 12.5 mg of </w:t>
      </w:r>
      <w:proofErr w:type="spellStart"/>
      <w:r w:rsidR="00DC08F9" w:rsidRPr="00206807">
        <w:rPr>
          <w:rFonts w:ascii="Times New Roman" w:hAnsi="Times New Roman" w:cs="Times New Roman"/>
          <w:sz w:val="24"/>
          <w:szCs w:val="24"/>
        </w:rPr>
        <w:t>hydrochlorthiazide</w:t>
      </w:r>
      <w:proofErr w:type="spellEnd"/>
      <w:r w:rsidR="00DC08F9" w:rsidRPr="00206807">
        <w:rPr>
          <w:rFonts w:ascii="Times New Roman" w:hAnsi="Times New Roman" w:cs="Times New Roman"/>
          <w:sz w:val="24"/>
          <w:szCs w:val="24"/>
        </w:rPr>
        <w:t xml:space="preserve">. </w:t>
      </w:r>
    </w:p>
    <w:p w14:paraId="67052109" w14:textId="16779068" w:rsidR="0059330F" w:rsidRPr="0059330F" w:rsidRDefault="00F11D73" w:rsidP="00BD4BCA">
      <w:pPr>
        <w:spacing w:line="276" w:lineRule="auto"/>
        <w:jc w:val="both"/>
        <w:rPr>
          <w:rFonts w:ascii="Times New Roman" w:hAnsi="Times New Roman" w:cs="Times New Roman"/>
          <w:sz w:val="24"/>
          <w:szCs w:val="24"/>
        </w:rPr>
      </w:pPr>
      <w:r>
        <w:rPr>
          <w:rFonts w:ascii="Times New Roman" w:hAnsi="Times New Roman" w:cs="Times New Roman"/>
          <w:sz w:val="24"/>
          <w:szCs w:val="24"/>
        </w:rPr>
        <w:t>The patient was admitted with podagra to the hospital during the early summers</w:t>
      </w:r>
      <w:r w:rsidR="0059330F">
        <w:rPr>
          <w:rFonts w:ascii="Times New Roman" w:hAnsi="Times New Roman" w:cs="Times New Roman"/>
          <w:sz w:val="24"/>
          <w:szCs w:val="24"/>
        </w:rPr>
        <w:t xml:space="preserve">. </w:t>
      </w:r>
      <w:r w:rsidR="0059330F" w:rsidRPr="0059330F">
        <w:rPr>
          <w:rFonts w:ascii="Times New Roman" w:hAnsi="Times New Roman" w:cs="Times New Roman"/>
          <w:sz w:val="24"/>
          <w:szCs w:val="24"/>
        </w:rPr>
        <w:t>Climate can influence the development of gout, particularly triggering flare-ups. A study indicates that people are most likely to search for information on "gout" during the spring and early summer, suggesting that weather may impact gout symptoms. Cooler temperatures can lead to the formation of uric acid crystals, which may explain why gout commonly occurs in cooler areas of the body, such as the big toe joint</w:t>
      </w:r>
      <w:r w:rsidR="00BD4BCA">
        <w:rPr>
          <w:rFonts w:ascii="Times New Roman" w:hAnsi="Times New Roman" w:cs="Times New Roman"/>
          <w:sz w:val="24"/>
          <w:szCs w:val="24"/>
        </w:rPr>
        <w:t xml:space="preserve"> [10,6]</w:t>
      </w:r>
      <w:r w:rsidR="0059330F" w:rsidRPr="0059330F">
        <w:rPr>
          <w:rFonts w:ascii="Times New Roman" w:hAnsi="Times New Roman" w:cs="Times New Roman"/>
          <w:sz w:val="24"/>
          <w:szCs w:val="24"/>
        </w:rPr>
        <w:t xml:space="preserve">. </w:t>
      </w:r>
    </w:p>
    <w:p w14:paraId="2796D9E7" w14:textId="539D5332" w:rsidR="00F11D73" w:rsidRPr="00206807" w:rsidRDefault="0059330F" w:rsidP="00BD4BCA">
      <w:pPr>
        <w:spacing w:line="276" w:lineRule="auto"/>
        <w:jc w:val="both"/>
        <w:rPr>
          <w:rFonts w:ascii="Times New Roman" w:hAnsi="Times New Roman" w:cs="Times New Roman"/>
          <w:sz w:val="24"/>
          <w:szCs w:val="24"/>
        </w:rPr>
      </w:pPr>
      <w:r w:rsidRPr="0059330F">
        <w:rPr>
          <w:rFonts w:ascii="Times New Roman" w:hAnsi="Times New Roman" w:cs="Times New Roman"/>
          <w:sz w:val="24"/>
          <w:szCs w:val="24"/>
        </w:rPr>
        <w:t>A review by Park and colleagues found that gout flare-ups are more likely to occur with sudden changes in daily temperatures, especially increases, which tend to happen in the spring. Humidity may also play a role in these flare-ups. One study found that many gout flares happen during hot and humid conditions. Although we do not fully understand the connection between weather, temperature, and gout flare-ups, increasing global temperatures could result in a higher incidence of gout</w:t>
      </w:r>
      <w:r w:rsidR="00BD4BCA">
        <w:rPr>
          <w:rFonts w:ascii="Times New Roman" w:hAnsi="Times New Roman" w:cs="Times New Roman"/>
          <w:sz w:val="24"/>
          <w:szCs w:val="24"/>
        </w:rPr>
        <w:t xml:space="preserve"> [11]</w:t>
      </w:r>
      <w:r w:rsidRPr="0059330F">
        <w:rPr>
          <w:rFonts w:ascii="Times New Roman" w:hAnsi="Times New Roman" w:cs="Times New Roman"/>
          <w:sz w:val="24"/>
          <w:szCs w:val="24"/>
        </w:rPr>
        <w:t>.</w:t>
      </w:r>
    </w:p>
    <w:p w14:paraId="74A75191" w14:textId="2B2B2AA7" w:rsidR="00E25029" w:rsidRPr="00206807" w:rsidRDefault="0067377F" w:rsidP="00BD4BCA">
      <w:pPr>
        <w:spacing w:line="276" w:lineRule="auto"/>
        <w:jc w:val="both"/>
        <w:rPr>
          <w:rFonts w:ascii="Times New Roman" w:hAnsi="Times New Roman" w:cs="Times New Roman"/>
          <w:sz w:val="24"/>
          <w:szCs w:val="24"/>
        </w:rPr>
      </w:pPr>
      <w:r w:rsidRPr="00206807">
        <w:rPr>
          <w:rFonts w:ascii="Times New Roman" w:hAnsi="Times New Roman" w:cs="Times New Roman"/>
          <w:sz w:val="24"/>
          <w:szCs w:val="24"/>
        </w:rPr>
        <w:t xml:space="preserve">Drug induced hyperuricemia or gout/podagra is usually caused by enhancing reabsorption, reducing excretion or increasing production. </w:t>
      </w:r>
      <w:r w:rsidR="00FB1871" w:rsidRPr="00206807">
        <w:rPr>
          <w:rFonts w:ascii="Times New Roman" w:hAnsi="Times New Roman" w:cs="Times New Roman"/>
          <w:sz w:val="24"/>
          <w:szCs w:val="24"/>
        </w:rPr>
        <w:t>Diuretics, which include loop, thiazide, and thiazide-like diuretics, significantly contribute to secondary hyperuricemia and increase the risk of gout. This effect is dose-dependent and can persist with prolonged use; however, uric acid levels typically return to baseline after the discontinuation of the medication</w:t>
      </w:r>
      <w:r w:rsidR="00E25029" w:rsidRPr="00206807">
        <w:rPr>
          <w:rFonts w:ascii="Times New Roman" w:hAnsi="Times New Roman" w:cs="Times New Roman"/>
          <w:sz w:val="24"/>
          <w:szCs w:val="24"/>
        </w:rPr>
        <w:t xml:space="preserve"> [</w:t>
      </w:r>
      <w:r w:rsidR="00206807" w:rsidRPr="00206807">
        <w:rPr>
          <w:rFonts w:ascii="Times New Roman" w:hAnsi="Times New Roman" w:cs="Times New Roman"/>
          <w:sz w:val="24"/>
          <w:szCs w:val="24"/>
        </w:rPr>
        <w:t>2</w:t>
      </w:r>
      <w:r w:rsidR="00E25029" w:rsidRPr="00206807">
        <w:rPr>
          <w:rFonts w:ascii="Times New Roman" w:hAnsi="Times New Roman" w:cs="Times New Roman"/>
          <w:sz w:val="24"/>
          <w:szCs w:val="24"/>
        </w:rPr>
        <w:t>]</w:t>
      </w:r>
      <w:r w:rsidR="00E030E0" w:rsidRPr="00206807">
        <w:rPr>
          <w:rFonts w:ascii="Times New Roman" w:hAnsi="Times New Roman" w:cs="Times New Roman"/>
          <w:sz w:val="24"/>
          <w:szCs w:val="24"/>
        </w:rPr>
        <w:t xml:space="preserve">. In our case the patient was taking the </w:t>
      </w:r>
      <w:proofErr w:type="spellStart"/>
      <w:r w:rsidR="00E030E0" w:rsidRPr="00206807">
        <w:rPr>
          <w:rFonts w:ascii="Times New Roman" w:hAnsi="Times New Roman" w:cs="Times New Roman"/>
          <w:sz w:val="24"/>
          <w:szCs w:val="24"/>
        </w:rPr>
        <w:t>hydrochlorthiazide</w:t>
      </w:r>
      <w:proofErr w:type="spellEnd"/>
      <w:r w:rsidR="00E030E0" w:rsidRPr="00206807">
        <w:rPr>
          <w:rFonts w:ascii="Times New Roman" w:hAnsi="Times New Roman" w:cs="Times New Roman"/>
          <w:sz w:val="24"/>
          <w:szCs w:val="24"/>
        </w:rPr>
        <w:t xml:space="preserve"> for </w:t>
      </w:r>
      <w:r w:rsidR="008C5132">
        <w:rPr>
          <w:rFonts w:ascii="Times New Roman" w:hAnsi="Times New Roman" w:cs="Times New Roman"/>
          <w:sz w:val="24"/>
          <w:szCs w:val="24"/>
        </w:rPr>
        <w:t>10</w:t>
      </w:r>
      <w:r w:rsidR="00E030E0" w:rsidRPr="00206807">
        <w:rPr>
          <w:rFonts w:ascii="Times New Roman" w:hAnsi="Times New Roman" w:cs="Times New Roman"/>
          <w:sz w:val="24"/>
          <w:szCs w:val="24"/>
        </w:rPr>
        <w:t xml:space="preserve"> years</w:t>
      </w:r>
      <w:r w:rsidR="00FB1871" w:rsidRPr="00206807">
        <w:rPr>
          <w:rFonts w:ascii="Times New Roman" w:hAnsi="Times New Roman" w:cs="Times New Roman"/>
          <w:sz w:val="24"/>
          <w:szCs w:val="24"/>
        </w:rPr>
        <w:t xml:space="preserve">. Loop diuretics are more closely associated with gout compared to thiazides. </w:t>
      </w:r>
    </w:p>
    <w:p w14:paraId="685C404E" w14:textId="62F9426E" w:rsidR="0067377F" w:rsidRDefault="00FB1871" w:rsidP="00BD4BCA">
      <w:pPr>
        <w:spacing w:line="276" w:lineRule="auto"/>
        <w:jc w:val="both"/>
        <w:rPr>
          <w:rFonts w:ascii="Times New Roman" w:hAnsi="Times New Roman" w:cs="Times New Roman"/>
          <w:sz w:val="24"/>
          <w:szCs w:val="24"/>
        </w:rPr>
      </w:pPr>
      <w:r w:rsidRPr="00206807">
        <w:rPr>
          <w:rFonts w:ascii="Times New Roman" w:hAnsi="Times New Roman" w:cs="Times New Roman"/>
          <w:sz w:val="24"/>
          <w:szCs w:val="24"/>
        </w:rPr>
        <w:t>Diuretics</w:t>
      </w:r>
      <w:r w:rsidR="00E25029" w:rsidRPr="00206807">
        <w:rPr>
          <w:rFonts w:ascii="Times New Roman" w:hAnsi="Times New Roman" w:cs="Times New Roman"/>
          <w:sz w:val="24"/>
          <w:szCs w:val="24"/>
        </w:rPr>
        <w:t xml:space="preserve"> may </w:t>
      </w:r>
      <w:r w:rsidRPr="00206807">
        <w:rPr>
          <w:rFonts w:ascii="Times New Roman" w:hAnsi="Times New Roman" w:cs="Times New Roman"/>
          <w:sz w:val="24"/>
          <w:szCs w:val="24"/>
        </w:rPr>
        <w:t>affect renal urate transporters, particularly OAT1, OAT3, and OAT4, which inhibits uric acid secretion and leads to hyperuricemia. Genetic variants in the SLC22A11 gene may further amplify this effect. Additionally, diuretics inhibit the NPT4 and MRP4 transporters, resulting in reduced uric acid excretion. The volume depletion caused by diuretics also promotes uric acid reabsorption, worsening hyperuricemia</w:t>
      </w:r>
      <w:r w:rsidR="00E25029" w:rsidRPr="00206807">
        <w:rPr>
          <w:rFonts w:ascii="Times New Roman" w:hAnsi="Times New Roman" w:cs="Times New Roman"/>
          <w:sz w:val="24"/>
          <w:szCs w:val="24"/>
        </w:rPr>
        <w:t xml:space="preserve"> [</w:t>
      </w:r>
      <w:r w:rsidR="00206807" w:rsidRPr="00206807">
        <w:rPr>
          <w:rFonts w:ascii="Times New Roman" w:hAnsi="Times New Roman" w:cs="Times New Roman"/>
          <w:sz w:val="24"/>
          <w:szCs w:val="24"/>
        </w:rPr>
        <w:t>2</w:t>
      </w:r>
      <w:r w:rsidR="00E25029" w:rsidRPr="00206807">
        <w:rPr>
          <w:rFonts w:ascii="Times New Roman" w:hAnsi="Times New Roman" w:cs="Times New Roman"/>
          <w:sz w:val="24"/>
          <w:szCs w:val="24"/>
        </w:rPr>
        <w:t>]</w:t>
      </w:r>
      <w:r w:rsidRPr="00206807">
        <w:rPr>
          <w:rFonts w:ascii="Times New Roman" w:hAnsi="Times New Roman" w:cs="Times New Roman"/>
          <w:sz w:val="24"/>
          <w:szCs w:val="24"/>
        </w:rPr>
        <w:t>.</w:t>
      </w:r>
      <w:r w:rsidR="00E25029" w:rsidRPr="00206807">
        <w:rPr>
          <w:rFonts w:ascii="Times New Roman" w:hAnsi="Times New Roman" w:cs="Times New Roman"/>
          <w:sz w:val="24"/>
          <w:szCs w:val="24"/>
        </w:rPr>
        <w:t xml:space="preserve"> The exact mechanism is not known. According to Shang-Yeh Lu et al., study, patients who received thiazide had a </w:t>
      </w:r>
      <w:r w:rsidR="00E25029" w:rsidRPr="00206807">
        <w:rPr>
          <w:rFonts w:ascii="Times New Roman" w:hAnsi="Times New Roman" w:cs="Times New Roman"/>
          <w:sz w:val="24"/>
          <w:szCs w:val="24"/>
        </w:rPr>
        <w:lastRenderedPageBreak/>
        <w:t xml:space="preserve">longer history of hypertension and more comorbidities </w:t>
      </w:r>
      <w:r w:rsidR="007E306C" w:rsidRPr="00206807">
        <w:rPr>
          <w:rFonts w:ascii="Times New Roman" w:hAnsi="Times New Roman" w:cs="Times New Roman"/>
          <w:sz w:val="24"/>
          <w:szCs w:val="24"/>
        </w:rPr>
        <w:t>influenced the serum uric acid levels and showed a higher risk of prescribing cascade of antigout agents for the people treated with thiazide [</w:t>
      </w:r>
      <w:r w:rsidR="00BD4BCA">
        <w:rPr>
          <w:rFonts w:ascii="Times New Roman" w:hAnsi="Times New Roman" w:cs="Times New Roman"/>
          <w:sz w:val="24"/>
          <w:szCs w:val="24"/>
        </w:rPr>
        <w:t>12</w:t>
      </w:r>
      <w:r w:rsidR="007E306C" w:rsidRPr="00206807">
        <w:rPr>
          <w:rFonts w:ascii="Times New Roman" w:hAnsi="Times New Roman" w:cs="Times New Roman"/>
          <w:sz w:val="24"/>
          <w:szCs w:val="24"/>
        </w:rPr>
        <w:t xml:space="preserve">]. </w:t>
      </w:r>
      <w:r w:rsidR="00D332B0" w:rsidRPr="00206807">
        <w:rPr>
          <w:rFonts w:ascii="Times New Roman" w:hAnsi="Times New Roman" w:cs="Times New Roman"/>
          <w:sz w:val="24"/>
          <w:szCs w:val="24"/>
        </w:rPr>
        <w:t>Recent population surveys have strongly supported the link between gout, hyperuricaemia, and hypertension. The common belief that renal dysfunction causes both conditions, or that they stem from shared underlying factors, is being challenged by evidence suggesting that hyperuricaemia itself contributes to the development of hypertension. One complicating factor in epidemiological studies is the use of diuretics, which are frequently prescribed for treating hypertension. Gaining a deeper understanding of how diuretics induce hyperuricaemia could pave the way for the development of uricosuric diuretics. Notably, losartan stands out among antihypertensive medications due to its mild uricosuric properties, making it a valuable option for treating hypertensive patients with gout. Addressing diuretic-induced hyperuricaemia remains a challenge, highlighting the need for a uricosuric diuretic [</w:t>
      </w:r>
      <w:r w:rsidR="00BD4BCA">
        <w:rPr>
          <w:rFonts w:ascii="Times New Roman" w:hAnsi="Times New Roman" w:cs="Times New Roman"/>
          <w:sz w:val="24"/>
          <w:szCs w:val="24"/>
        </w:rPr>
        <w:t>13</w:t>
      </w:r>
      <w:r w:rsidR="00D332B0" w:rsidRPr="00206807">
        <w:rPr>
          <w:rFonts w:ascii="Times New Roman" w:hAnsi="Times New Roman" w:cs="Times New Roman"/>
          <w:sz w:val="24"/>
          <w:szCs w:val="24"/>
        </w:rPr>
        <w:t>].</w:t>
      </w:r>
    </w:p>
    <w:p w14:paraId="09367201" w14:textId="65CF9D59" w:rsidR="00430A93" w:rsidRPr="006E1C54" w:rsidRDefault="00430A93" w:rsidP="00BD4BCA">
      <w:pPr>
        <w:spacing w:line="276" w:lineRule="auto"/>
        <w:jc w:val="both"/>
        <w:rPr>
          <w:rFonts w:ascii="Times New Roman" w:hAnsi="Times New Roman" w:cs="Times New Roman"/>
          <w:b/>
          <w:bCs/>
          <w:sz w:val="24"/>
          <w:szCs w:val="24"/>
        </w:rPr>
      </w:pPr>
      <w:r w:rsidRPr="006E1C54">
        <w:rPr>
          <w:rFonts w:ascii="Times New Roman" w:hAnsi="Times New Roman" w:cs="Times New Roman"/>
          <w:b/>
          <w:bCs/>
          <w:sz w:val="24"/>
          <w:szCs w:val="24"/>
        </w:rPr>
        <w:t>CONCLUSION</w:t>
      </w:r>
    </w:p>
    <w:p w14:paraId="35DAEE62" w14:textId="055A7762" w:rsidR="0036527E" w:rsidRPr="0036527E" w:rsidRDefault="0036527E" w:rsidP="0036527E">
      <w:pPr>
        <w:spacing w:line="276" w:lineRule="auto"/>
        <w:jc w:val="both"/>
        <w:rPr>
          <w:rFonts w:ascii="Times New Roman" w:hAnsi="Times New Roman" w:cs="Times New Roman"/>
          <w:sz w:val="24"/>
          <w:szCs w:val="24"/>
        </w:rPr>
      </w:pPr>
      <w:r w:rsidRPr="0036527E">
        <w:rPr>
          <w:rFonts w:ascii="Times New Roman" w:hAnsi="Times New Roman" w:cs="Times New Roman"/>
          <w:sz w:val="24"/>
          <w:szCs w:val="24"/>
        </w:rPr>
        <w:t xml:space="preserve">This case illustrates the potential for thiazide-induced podagra, especially when environmental factors, such as seasonal temperature changes, come into play. The patient, who had been taking hydrochlorothiazide (12.5 mg) for ten years, experienced an acute gout flare in early summer. This suggests that seasonal variations, dehydration, and possibly other environmental triggers may have contributed to hyperuricemia and the subsequent gout flare. </w:t>
      </w:r>
    </w:p>
    <w:p w14:paraId="35A704D9" w14:textId="2AF7F40E" w:rsidR="00430A93" w:rsidRDefault="0036527E" w:rsidP="0036527E">
      <w:pPr>
        <w:spacing w:line="276" w:lineRule="auto"/>
        <w:jc w:val="both"/>
        <w:rPr>
          <w:rFonts w:ascii="Times New Roman" w:hAnsi="Times New Roman" w:cs="Times New Roman"/>
          <w:sz w:val="24"/>
          <w:szCs w:val="24"/>
        </w:rPr>
      </w:pPr>
      <w:r w:rsidRPr="0036527E">
        <w:rPr>
          <w:rFonts w:ascii="Times New Roman" w:hAnsi="Times New Roman" w:cs="Times New Roman"/>
          <w:sz w:val="24"/>
          <w:szCs w:val="24"/>
        </w:rPr>
        <w:t>Although lower doses of thiazide diuretics are not usually linked to gout, the long-term use of this medication, combined with seasonal factors, may have worsened uric acid accumulation. This case emphasizes the importance of monitoring patients on long-term thiazide therapy, particularly those with risk factors for gout.</w:t>
      </w:r>
    </w:p>
    <w:p w14:paraId="0454013C" w14:textId="77777777" w:rsidR="00C224A2" w:rsidRDefault="00C224A2" w:rsidP="0036527E">
      <w:pPr>
        <w:spacing w:line="276" w:lineRule="auto"/>
        <w:jc w:val="both"/>
        <w:rPr>
          <w:rFonts w:ascii="Times New Roman" w:hAnsi="Times New Roman" w:cs="Times New Roman"/>
          <w:sz w:val="24"/>
          <w:szCs w:val="24"/>
        </w:rPr>
      </w:pPr>
    </w:p>
    <w:p w14:paraId="4896C36B" w14:textId="77777777" w:rsidR="00C224A2" w:rsidRPr="00C224A2" w:rsidRDefault="00C224A2" w:rsidP="00C224A2">
      <w:pPr>
        <w:spacing w:after="200" w:line="276" w:lineRule="auto"/>
        <w:jc w:val="both"/>
        <w:outlineLvl w:val="0"/>
        <w:rPr>
          <w:rFonts w:ascii="Arial" w:eastAsia="Times New Roman" w:hAnsi="Arial" w:cs="Arial"/>
          <w:kern w:val="0"/>
          <w:lang w:val="en-GB" w:eastAsia="en-GB"/>
          <w14:ligatures w14:val="none"/>
        </w:rPr>
      </w:pPr>
      <w:r w:rsidRPr="00C224A2">
        <w:rPr>
          <w:rFonts w:ascii="Arial" w:eastAsia="Times New Roman" w:hAnsi="Arial" w:cs="Arial"/>
          <w:b/>
          <w:bCs/>
          <w:kern w:val="0"/>
          <w:lang w:val="en-GB" w:eastAsia="en-GB"/>
          <w14:ligatures w14:val="none"/>
        </w:rPr>
        <w:t>COMPETING INTERESTS DISCLAIMER:</w:t>
      </w:r>
    </w:p>
    <w:p w14:paraId="5AD3B058" w14:textId="77777777" w:rsidR="00C224A2" w:rsidRPr="00C224A2" w:rsidRDefault="00C224A2" w:rsidP="00C224A2">
      <w:pPr>
        <w:spacing w:after="200" w:line="276" w:lineRule="auto"/>
        <w:rPr>
          <w:rFonts w:ascii="Calibri" w:eastAsia="Times New Roman" w:hAnsi="Calibri" w:cs="Times New Roman"/>
          <w:kern w:val="0"/>
          <w:lang w:val="en-GB" w:eastAsia="en-GB"/>
          <w14:ligatures w14:val="none"/>
        </w:rPr>
      </w:pPr>
      <w:r w:rsidRPr="00C224A2">
        <w:rPr>
          <w:rFonts w:ascii="Calibri" w:eastAsia="Times New Roman" w:hAnsi="Calibri"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0620FCF5" w14:textId="77777777" w:rsidR="00C224A2" w:rsidRPr="00C224A2" w:rsidRDefault="00C224A2" w:rsidP="00C224A2">
      <w:pPr>
        <w:spacing w:after="200" w:line="276" w:lineRule="auto"/>
        <w:rPr>
          <w:rFonts w:ascii="Calibri" w:eastAsia="Times New Roman" w:hAnsi="Calibri" w:cs="Times New Roman"/>
          <w:kern w:val="0"/>
          <w:lang w:val="en-GB" w:eastAsia="en-GB"/>
          <w14:ligatures w14:val="none"/>
        </w:rPr>
      </w:pPr>
    </w:p>
    <w:p w14:paraId="3A950671" w14:textId="77777777" w:rsidR="00C224A2" w:rsidRPr="00C224A2" w:rsidRDefault="00C224A2" w:rsidP="00C224A2">
      <w:pPr>
        <w:spacing w:after="200" w:line="276" w:lineRule="auto"/>
        <w:rPr>
          <w:rFonts w:ascii="Calibri" w:eastAsia="Times New Roman" w:hAnsi="Calibri" w:cs="Times New Roman"/>
          <w:kern w:val="0"/>
          <w:lang w:val="en-GB" w:eastAsia="en-GB"/>
          <w14:ligatures w14:val="none"/>
        </w:rPr>
      </w:pPr>
    </w:p>
    <w:p w14:paraId="545AC051" w14:textId="77777777" w:rsidR="00C224A2" w:rsidRPr="00206807" w:rsidRDefault="00C224A2" w:rsidP="0036527E">
      <w:pPr>
        <w:spacing w:line="276" w:lineRule="auto"/>
        <w:jc w:val="both"/>
        <w:rPr>
          <w:rFonts w:ascii="Times New Roman" w:hAnsi="Times New Roman" w:cs="Times New Roman"/>
          <w:sz w:val="24"/>
          <w:szCs w:val="24"/>
        </w:rPr>
      </w:pPr>
    </w:p>
    <w:p w14:paraId="108BE90E" w14:textId="77777777" w:rsidR="00206807" w:rsidRPr="00206807" w:rsidRDefault="00206807" w:rsidP="00BD4BCA">
      <w:pPr>
        <w:spacing w:line="276" w:lineRule="auto"/>
        <w:jc w:val="both"/>
        <w:rPr>
          <w:rFonts w:ascii="Times New Roman" w:hAnsi="Times New Roman" w:cs="Times New Roman"/>
          <w:b/>
          <w:bCs/>
          <w:sz w:val="24"/>
          <w:szCs w:val="24"/>
        </w:rPr>
      </w:pPr>
      <w:r w:rsidRPr="00206807">
        <w:rPr>
          <w:rFonts w:ascii="Times New Roman" w:hAnsi="Times New Roman" w:cs="Times New Roman"/>
          <w:b/>
          <w:bCs/>
          <w:sz w:val="24"/>
          <w:szCs w:val="24"/>
        </w:rPr>
        <w:t>REFERENCES</w:t>
      </w:r>
    </w:p>
    <w:p w14:paraId="62788125" w14:textId="77777777" w:rsidR="00206807" w:rsidRPr="00206807" w:rsidRDefault="00206807" w:rsidP="00BD4BCA">
      <w:pPr>
        <w:numPr>
          <w:ilvl w:val="0"/>
          <w:numId w:val="1"/>
        </w:numPr>
        <w:spacing w:line="276" w:lineRule="auto"/>
        <w:jc w:val="both"/>
        <w:rPr>
          <w:rFonts w:ascii="Times New Roman" w:hAnsi="Times New Roman" w:cs="Times New Roman"/>
          <w:sz w:val="24"/>
          <w:szCs w:val="24"/>
        </w:rPr>
      </w:pPr>
      <w:r w:rsidRPr="00206807">
        <w:rPr>
          <w:rFonts w:ascii="Times New Roman" w:hAnsi="Times New Roman" w:cs="Times New Roman"/>
          <w:sz w:val="24"/>
          <w:szCs w:val="24"/>
        </w:rPr>
        <w:t xml:space="preserve">Roddy E. Revisiting the pathogenesis of podagra: why does gout target the </w:t>
      </w:r>
      <w:proofErr w:type="gramStart"/>
      <w:r w:rsidRPr="00206807">
        <w:rPr>
          <w:rFonts w:ascii="Times New Roman" w:hAnsi="Times New Roman" w:cs="Times New Roman"/>
          <w:sz w:val="24"/>
          <w:szCs w:val="24"/>
        </w:rPr>
        <w:t>foot?.</w:t>
      </w:r>
      <w:proofErr w:type="gramEnd"/>
      <w:r w:rsidRPr="00206807">
        <w:rPr>
          <w:rFonts w:ascii="Times New Roman" w:hAnsi="Times New Roman" w:cs="Times New Roman"/>
          <w:sz w:val="24"/>
          <w:szCs w:val="24"/>
        </w:rPr>
        <w:t xml:space="preserve"> Journal of foot and ankle research. 2011 </w:t>
      </w:r>
      <w:proofErr w:type="gramStart"/>
      <w:r w:rsidRPr="00206807">
        <w:rPr>
          <w:rFonts w:ascii="Times New Roman" w:hAnsi="Times New Roman" w:cs="Times New Roman"/>
          <w:sz w:val="24"/>
          <w:szCs w:val="24"/>
        </w:rPr>
        <w:t>Dec;4:1</w:t>
      </w:r>
      <w:proofErr w:type="gramEnd"/>
      <w:r w:rsidRPr="00206807">
        <w:rPr>
          <w:rFonts w:ascii="Times New Roman" w:hAnsi="Times New Roman" w:cs="Times New Roman"/>
          <w:sz w:val="24"/>
          <w:szCs w:val="24"/>
        </w:rPr>
        <w:t>-7</w:t>
      </w:r>
    </w:p>
    <w:p w14:paraId="43FF5816" w14:textId="77777777" w:rsidR="00206807" w:rsidRPr="00206807" w:rsidRDefault="00206807" w:rsidP="00BD4BCA">
      <w:pPr>
        <w:numPr>
          <w:ilvl w:val="0"/>
          <w:numId w:val="1"/>
        </w:numPr>
        <w:spacing w:line="276" w:lineRule="auto"/>
        <w:jc w:val="both"/>
        <w:rPr>
          <w:rFonts w:ascii="Times New Roman" w:hAnsi="Times New Roman" w:cs="Times New Roman"/>
          <w:sz w:val="24"/>
          <w:szCs w:val="24"/>
        </w:rPr>
      </w:pPr>
      <w:r w:rsidRPr="00206807">
        <w:rPr>
          <w:rFonts w:ascii="Times New Roman" w:hAnsi="Times New Roman" w:cs="Times New Roman"/>
          <w:sz w:val="24"/>
          <w:szCs w:val="24"/>
        </w:rPr>
        <w:t xml:space="preserve">Ben Salem C, Slim R, Fathallah N, </w:t>
      </w:r>
      <w:proofErr w:type="spellStart"/>
      <w:r w:rsidRPr="00206807">
        <w:rPr>
          <w:rFonts w:ascii="Times New Roman" w:hAnsi="Times New Roman" w:cs="Times New Roman"/>
          <w:sz w:val="24"/>
          <w:szCs w:val="24"/>
        </w:rPr>
        <w:t>Hmouda</w:t>
      </w:r>
      <w:proofErr w:type="spellEnd"/>
      <w:r w:rsidRPr="00206807">
        <w:rPr>
          <w:rFonts w:ascii="Times New Roman" w:hAnsi="Times New Roman" w:cs="Times New Roman"/>
          <w:sz w:val="24"/>
          <w:szCs w:val="24"/>
        </w:rPr>
        <w:t xml:space="preserve"> H. Drug-induced hyperuricaemia and gout. Rheumatology. 2017 May 1;56(5):679-88.</w:t>
      </w:r>
    </w:p>
    <w:p w14:paraId="35E31032" w14:textId="77777777" w:rsidR="00206807" w:rsidRPr="00206807" w:rsidRDefault="00206807" w:rsidP="00BD4BCA">
      <w:pPr>
        <w:numPr>
          <w:ilvl w:val="0"/>
          <w:numId w:val="1"/>
        </w:numPr>
        <w:spacing w:line="276" w:lineRule="auto"/>
        <w:jc w:val="both"/>
        <w:rPr>
          <w:rFonts w:ascii="Times New Roman" w:hAnsi="Times New Roman" w:cs="Times New Roman"/>
          <w:sz w:val="24"/>
          <w:szCs w:val="24"/>
        </w:rPr>
      </w:pPr>
      <w:r w:rsidRPr="00206807">
        <w:rPr>
          <w:rFonts w:ascii="Times New Roman" w:hAnsi="Times New Roman" w:cs="Times New Roman"/>
          <w:sz w:val="24"/>
          <w:szCs w:val="24"/>
        </w:rPr>
        <w:lastRenderedPageBreak/>
        <w:t xml:space="preserve">Ellison DH, </w:t>
      </w:r>
      <w:proofErr w:type="spellStart"/>
      <w:r w:rsidRPr="00206807">
        <w:rPr>
          <w:rFonts w:ascii="Times New Roman" w:hAnsi="Times New Roman" w:cs="Times New Roman"/>
          <w:sz w:val="24"/>
          <w:szCs w:val="24"/>
        </w:rPr>
        <w:t>Loffing</w:t>
      </w:r>
      <w:proofErr w:type="spellEnd"/>
      <w:r w:rsidRPr="00206807">
        <w:rPr>
          <w:rFonts w:ascii="Times New Roman" w:hAnsi="Times New Roman" w:cs="Times New Roman"/>
          <w:sz w:val="24"/>
          <w:szCs w:val="24"/>
        </w:rPr>
        <w:t xml:space="preserve"> J. Thiazide effects and adverse effects: insights from molecular genetics. Hypertension. 2009 Aug 1;54(2):196-202.</w:t>
      </w:r>
    </w:p>
    <w:p w14:paraId="62F11D96" w14:textId="77777777" w:rsidR="00206807" w:rsidRPr="00206807" w:rsidRDefault="00206807" w:rsidP="00BD4BCA">
      <w:pPr>
        <w:numPr>
          <w:ilvl w:val="0"/>
          <w:numId w:val="1"/>
        </w:numPr>
        <w:spacing w:line="276" w:lineRule="auto"/>
        <w:jc w:val="both"/>
        <w:rPr>
          <w:rFonts w:ascii="Times New Roman" w:hAnsi="Times New Roman" w:cs="Times New Roman"/>
          <w:sz w:val="24"/>
          <w:szCs w:val="24"/>
        </w:rPr>
      </w:pPr>
      <w:r w:rsidRPr="00206807">
        <w:rPr>
          <w:rFonts w:ascii="Times New Roman" w:hAnsi="Times New Roman" w:cs="Times New Roman"/>
          <w:sz w:val="24"/>
          <w:szCs w:val="24"/>
        </w:rPr>
        <w:t xml:space="preserve">Gurwitz JH, Kalish SC, Bohn RL, Glynn RJ, </w:t>
      </w:r>
      <w:proofErr w:type="spellStart"/>
      <w:r w:rsidRPr="00206807">
        <w:rPr>
          <w:rFonts w:ascii="Times New Roman" w:hAnsi="Times New Roman" w:cs="Times New Roman"/>
          <w:sz w:val="24"/>
          <w:szCs w:val="24"/>
        </w:rPr>
        <w:t>Monane</w:t>
      </w:r>
      <w:proofErr w:type="spellEnd"/>
      <w:r w:rsidRPr="00206807">
        <w:rPr>
          <w:rFonts w:ascii="Times New Roman" w:hAnsi="Times New Roman" w:cs="Times New Roman"/>
          <w:sz w:val="24"/>
          <w:szCs w:val="24"/>
        </w:rPr>
        <w:t xml:space="preserve"> M, </w:t>
      </w:r>
      <w:proofErr w:type="spellStart"/>
      <w:r w:rsidRPr="00206807">
        <w:rPr>
          <w:rFonts w:ascii="Times New Roman" w:hAnsi="Times New Roman" w:cs="Times New Roman"/>
          <w:sz w:val="24"/>
          <w:szCs w:val="24"/>
        </w:rPr>
        <w:t>Mogun</w:t>
      </w:r>
      <w:proofErr w:type="spellEnd"/>
      <w:r w:rsidRPr="00206807">
        <w:rPr>
          <w:rFonts w:ascii="Times New Roman" w:hAnsi="Times New Roman" w:cs="Times New Roman"/>
          <w:sz w:val="24"/>
          <w:szCs w:val="24"/>
        </w:rPr>
        <w:t xml:space="preserve"> H, </w:t>
      </w:r>
      <w:proofErr w:type="spellStart"/>
      <w:r w:rsidRPr="00206807">
        <w:rPr>
          <w:rFonts w:ascii="Times New Roman" w:hAnsi="Times New Roman" w:cs="Times New Roman"/>
          <w:sz w:val="24"/>
          <w:szCs w:val="24"/>
        </w:rPr>
        <w:t>Avorn</w:t>
      </w:r>
      <w:proofErr w:type="spellEnd"/>
      <w:r w:rsidRPr="00206807">
        <w:rPr>
          <w:rFonts w:ascii="Times New Roman" w:hAnsi="Times New Roman" w:cs="Times New Roman"/>
          <w:sz w:val="24"/>
          <w:szCs w:val="24"/>
        </w:rPr>
        <w:t xml:space="preserve"> J. Thiazide diuretics and the initiation of anti-gout therapy. Journal of clinical epidemiology. 1997 Aug 1;50(8):953-9.</w:t>
      </w:r>
    </w:p>
    <w:p w14:paraId="5708F203" w14:textId="77777777" w:rsidR="00206807" w:rsidRDefault="00206807" w:rsidP="00BD4BCA">
      <w:pPr>
        <w:numPr>
          <w:ilvl w:val="0"/>
          <w:numId w:val="1"/>
        </w:numPr>
        <w:spacing w:line="276" w:lineRule="auto"/>
        <w:jc w:val="both"/>
        <w:rPr>
          <w:rFonts w:ascii="Times New Roman" w:hAnsi="Times New Roman" w:cs="Times New Roman"/>
          <w:sz w:val="24"/>
          <w:szCs w:val="24"/>
        </w:rPr>
      </w:pPr>
      <w:r w:rsidRPr="00206807">
        <w:rPr>
          <w:rFonts w:ascii="Times New Roman" w:hAnsi="Times New Roman" w:cs="Times New Roman"/>
          <w:sz w:val="24"/>
          <w:szCs w:val="24"/>
        </w:rPr>
        <w:t>SIMKIN PA. The pathogenesis of podagra. Annals of Internal Medicine. 1977 Feb 1;86(2):230-3.</w:t>
      </w:r>
    </w:p>
    <w:p w14:paraId="7C42CA81" w14:textId="29BB6BA5" w:rsidR="00BD4BCA" w:rsidRPr="00BD4BCA" w:rsidRDefault="00BD4BCA" w:rsidP="00BD4BCA">
      <w:pPr>
        <w:pStyle w:val="ListParagraph"/>
        <w:numPr>
          <w:ilvl w:val="0"/>
          <w:numId w:val="1"/>
        </w:numPr>
        <w:spacing w:after="0" w:line="276" w:lineRule="auto"/>
        <w:rPr>
          <w:rFonts w:ascii="Times New Roman" w:eastAsia="Times New Roman" w:hAnsi="Times New Roman" w:cs="Times New Roman"/>
          <w:kern w:val="0"/>
          <w:sz w:val="24"/>
          <w:szCs w:val="24"/>
          <w:lang w:eastAsia="en-IN"/>
          <w14:ligatures w14:val="none"/>
        </w:rPr>
      </w:pPr>
      <w:proofErr w:type="spellStart"/>
      <w:r w:rsidRPr="00BD4BCA">
        <w:rPr>
          <w:rFonts w:ascii="Times New Roman" w:eastAsia="Times New Roman" w:hAnsi="Times New Roman" w:cs="Times New Roman"/>
          <w:kern w:val="0"/>
          <w:sz w:val="24"/>
          <w:szCs w:val="24"/>
          <w:lang w:eastAsia="en-IN"/>
          <w14:ligatures w14:val="none"/>
        </w:rPr>
        <w:t>Helget</w:t>
      </w:r>
      <w:proofErr w:type="spellEnd"/>
      <w:r w:rsidRPr="00BD4BCA">
        <w:rPr>
          <w:rFonts w:ascii="Times New Roman" w:eastAsia="Times New Roman" w:hAnsi="Times New Roman" w:cs="Times New Roman"/>
          <w:kern w:val="0"/>
          <w:sz w:val="24"/>
          <w:szCs w:val="24"/>
          <w:lang w:eastAsia="en-IN"/>
          <w14:ligatures w14:val="none"/>
        </w:rPr>
        <w:t xml:space="preserve"> LN, </w:t>
      </w:r>
      <w:proofErr w:type="spellStart"/>
      <w:r w:rsidRPr="00BD4BCA">
        <w:rPr>
          <w:rFonts w:ascii="Times New Roman" w:eastAsia="Times New Roman" w:hAnsi="Times New Roman" w:cs="Times New Roman"/>
          <w:kern w:val="0"/>
          <w:sz w:val="24"/>
          <w:szCs w:val="24"/>
          <w:lang w:eastAsia="en-IN"/>
          <w14:ligatures w14:val="none"/>
        </w:rPr>
        <w:t>Mikuls</w:t>
      </w:r>
      <w:proofErr w:type="spellEnd"/>
      <w:r w:rsidRPr="00BD4BCA">
        <w:rPr>
          <w:rFonts w:ascii="Times New Roman" w:eastAsia="Times New Roman" w:hAnsi="Times New Roman" w:cs="Times New Roman"/>
          <w:kern w:val="0"/>
          <w:sz w:val="24"/>
          <w:szCs w:val="24"/>
          <w:lang w:eastAsia="en-IN"/>
          <w14:ligatures w14:val="none"/>
        </w:rPr>
        <w:t xml:space="preserve"> TR. Environmental Triggers of Hyperuricemia and Gout. Rheumatic Disease Clinics of North America. 2022 Nov;48(4):891–906.</w:t>
      </w:r>
    </w:p>
    <w:p w14:paraId="0D3933DC" w14:textId="77777777" w:rsidR="00206807" w:rsidRDefault="00206807" w:rsidP="00BD4BCA">
      <w:pPr>
        <w:numPr>
          <w:ilvl w:val="0"/>
          <w:numId w:val="1"/>
        </w:numPr>
        <w:spacing w:line="276" w:lineRule="auto"/>
        <w:jc w:val="both"/>
        <w:rPr>
          <w:rFonts w:ascii="Times New Roman" w:hAnsi="Times New Roman" w:cs="Times New Roman"/>
          <w:sz w:val="24"/>
          <w:szCs w:val="24"/>
        </w:rPr>
      </w:pPr>
      <w:r w:rsidRPr="00206807">
        <w:rPr>
          <w:rFonts w:ascii="Times New Roman" w:hAnsi="Times New Roman" w:cs="Times New Roman"/>
          <w:sz w:val="24"/>
          <w:szCs w:val="24"/>
        </w:rPr>
        <w:t>Handler J. Managing hypertensive patients with gout who take thiazide. The Journal of Clinical Hypertension. 2010 Jul 8;12(9):731.</w:t>
      </w:r>
    </w:p>
    <w:p w14:paraId="4105D04E" w14:textId="69E88BE4" w:rsidR="00BD4BCA" w:rsidRPr="00BD4BCA" w:rsidRDefault="00BD4BCA" w:rsidP="00BD4BCA">
      <w:pPr>
        <w:pStyle w:val="ListParagraph"/>
        <w:numPr>
          <w:ilvl w:val="0"/>
          <w:numId w:val="1"/>
        </w:numPr>
        <w:spacing w:after="0" w:line="276" w:lineRule="auto"/>
        <w:rPr>
          <w:rFonts w:ascii="Times New Roman" w:eastAsia="Times New Roman" w:hAnsi="Times New Roman" w:cs="Times New Roman"/>
          <w:kern w:val="0"/>
          <w:sz w:val="24"/>
          <w:szCs w:val="24"/>
          <w:lang w:eastAsia="en-IN"/>
          <w14:ligatures w14:val="none"/>
        </w:rPr>
      </w:pPr>
      <w:proofErr w:type="spellStart"/>
      <w:r w:rsidRPr="00BD4BCA">
        <w:rPr>
          <w:rFonts w:ascii="Times New Roman" w:eastAsia="Times New Roman" w:hAnsi="Times New Roman" w:cs="Times New Roman"/>
          <w:kern w:val="0"/>
          <w:sz w:val="24"/>
          <w:szCs w:val="24"/>
          <w:lang w:eastAsia="en-IN"/>
          <w14:ligatures w14:val="none"/>
        </w:rPr>
        <w:t>Anisman</w:t>
      </w:r>
      <w:proofErr w:type="spellEnd"/>
      <w:r w:rsidRPr="00BD4BCA">
        <w:rPr>
          <w:rFonts w:ascii="Times New Roman" w:eastAsia="Times New Roman" w:hAnsi="Times New Roman" w:cs="Times New Roman"/>
          <w:kern w:val="0"/>
          <w:sz w:val="24"/>
          <w:szCs w:val="24"/>
          <w:lang w:eastAsia="en-IN"/>
          <w14:ligatures w14:val="none"/>
        </w:rPr>
        <w:t xml:space="preserve"> SD, Erickson SB, Fodor KM. Thiazide diuretics. BMJ [Internet]. 2024 Feb 5;384(1</w:t>
      </w:r>
      <w:proofErr w:type="gramStart"/>
      <w:r w:rsidRPr="00BD4BCA">
        <w:rPr>
          <w:rFonts w:ascii="Times New Roman" w:eastAsia="Times New Roman" w:hAnsi="Times New Roman" w:cs="Times New Roman"/>
          <w:kern w:val="0"/>
          <w:sz w:val="24"/>
          <w:szCs w:val="24"/>
          <w:lang w:eastAsia="en-IN"/>
          <w14:ligatures w14:val="none"/>
        </w:rPr>
        <w:t>):e</w:t>
      </w:r>
      <w:proofErr w:type="gramEnd"/>
      <w:r w:rsidRPr="00BD4BCA">
        <w:rPr>
          <w:rFonts w:ascii="Times New Roman" w:eastAsia="Times New Roman" w:hAnsi="Times New Roman" w:cs="Times New Roman"/>
          <w:kern w:val="0"/>
          <w:sz w:val="24"/>
          <w:szCs w:val="24"/>
          <w:lang w:eastAsia="en-IN"/>
          <w14:ligatures w14:val="none"/>
        </w:rPr>
        <w:t>075174. Available from: https://www.bmj.com/content/384/bmj-2023-075174</w:t>
      </w:r>
    </w:p>
    <w:p w14:paraId="1D219E79" w14:textId="390A47F6" w:rsidR="00BD4BCA" w:rsidRPr="00BD4BCA" w:rsidRDefault="00BD4BCA" w:rsidP="00BD4BCA">
      <w:pPr>
        <w:pStyle w:val="ListParagraph"/>
        <w:numPr>
          <w:ilvl w:val="0"/>
          <w:numId w:val="1"/>
        </w:numPr>
        <w:spacing w:after="0" w:line="276" w:lineRule="auto"/>
        <w:rPr>
          <w:rFonts w:ascii="Times New Roman" w:eastAsia="Times New Roman" w:hAnsi="Times New Roman" w:cs="Times New Roman"/>
          <w:kern w:val="0"/>
          <w:sz w:val="24"/>
          <w:szCs w:val="24"/>
          <w:lang w:eastAsia="en-IN"/>
          <w14:ligatures w14:val="none"/>
        </w:rPr>
      </w:pPr>
      <w:r w:rsidRPr="00BD4BCA">
        <w:rPr>
          <w:rFonts w:ascii="Times New Roman" w:eastAsia="Times New Roman" w:hAnsi="Times New Roman" w:cs="Times New Roman"/>
          <w:kern w:val="0"/>
          <w:sz w:val="24"/>
          <w:szCs w:val="24"/>
          <w:lang w:eastAsia="en-IN"/>
          <w14:ligatures w14:val="none"/>
        </w:rPr>
        <w:t>Freund J, Kraus C. Risk of Gout with the Use of Thiazide Diuretics. American Family Physician [Internet]. 2015 Oct 1;92(7):622–3. Available from: https://www.aafp.org/pubs/afp/issues/2015/1001/p622.html</w:t>
      </w:r>
    </w:p>
    <w:p w14:paraId="1F8BF9DF" w14:textId="7514CF3B" w:rsidR="00BD4BCA" w:rsidRPr="00BD4BCA" w:rsidRDefault="00BD4BCA" w:rsidP="00BD4BCA">
      <w:pPr>
        <w:pStyle w:val="ListParagraph"/>
        <w:numPr>
          <w:ilvl w:val="0"/>
          <w:numId w:val="1"/>
        </w:numPr>
        <w:spacing w:after="0" w:line="276" w:lineRule="auto"/>
        <w:rPr>
          <w:rFonts w:ascii="Times New Roman" w:eastAsia="Times New Roman" w:hAnsi="Times New Roman" w:cs="Times New Roman"/>
          <w:kern w:val="0"/>
          <w:sz w:val="24"/>
          <w:szCs w:val="24"/>
          <w:lang w:eastAsia="en-IN"/>
          <w14:ligatures w14:val="none"/>
        </w:rPr>
      </w:pPr>
      <w:proofErr w:type="spellStart"/>
      <w:r w:rsidRPr="00BD4BCA">
        <w:rPr>
          <w:rFonts w:ascii="Times New Roman" w:eastAsia="Times New Roman" w:hAnsi="Times New Roman" w:cs="Times New Roman"/>
          <w:kern w:val="0"/>
          <w:sz w:val="24"/>
          <w:szCs w:val="24"/>
          <w:lang w:eastAsia="en-IN"/>
          <w14:ligatures w14:val="none"/>
        </w:rPr>
        <w:t>Kardeş</w:t>
      </w:r>
      <w:proofErr w:type="spellEnd"/>
      <w:r w:rsidRPr="00BD4BCA">
        <w:rPr>
          <w:rFonts w:ascii="Times New Roman" w:eastAsia="Times New Roman" w:hAnsi="Times New Roman" w:cs="Times New Roman"/>
          <w:kern w:val="0"/>
          <w:sz w:val="24"/>
          <w:szCs w:val="24"/>
          <w:lang w:eastAsia="en-IN"/>
          <w14:ligatures w14:val="none"/>
        </w:rPr>
        <w:t xml:space="preserve"> S. Seasonal variation in the internet searches for gout: an ecological study. Clinical Rheumatology. 2018 Oct 29;38(3):769–75.</w:t>
      </w:r>
    </w:p>
    <w:p w14:paraId="3AD2BD40" w14:textId="1B3C87FC" w:rsidR="00BD4BCA" w:rsidRPr="00BD4BCA" w:rsidRDefault="00BD4BCA" w:rsidP="00BD4BCA">
      <w:pPr>
        <w:pStyle w:val="ListParagraph"/>
        <w:numPr>
          <w:ilvl w:val="0"/>
          <w:numId w:val="1"/>
        </w:numPr>
        <w:spacing w:after="0" w:line="276" w:lineRule="auto"/>
        <w:rPr>
          <w:rFonts w:ascii="Times New Roman" w:eastAsia="Times New Roman" w:hAnsi="Times New Roman" w:cs="Times New Roman"/>
          <w:kern w:val="0"/>
          <w:sz w:val="24"/>
          <w:szCs w:val="24"/>
          <w:lang w:eastAsia="en-IN"/>
          <w14:ligatures w14:val="none"/>
        </w:rPr>
      </w:pPr>
      <w:r w:rsidRPr="00BD4BCA">
        <w:rPr>
          <w:rFonts w:ascii="Times New Roman" w:eastAsia="Times New Roman" w:hAnsi="Times New Roman" w:cs="Times New Roman"/>
          <w:kern w:val="0"/>
          <w:sz w:val="24"/>
          <w:szCs w:val="24"/>
          <w:lang w:eastAsia="en-IN"/>
          <w14:ligatures w14:val="none"/>
        </w:rPr>
        <w:t>Park KY, Kim HJ, Ahn HS, Yim SY, Jun JB. Association between acute gouty arthritis and meteorological factors: An ecological study using a systematic review and meta-analysis. Seminars in Arthritis and Rheumatism. 2017 May 20;47(3):369–75.</w:t>
      </w:r>
    </w:p>
    <w:p w14:paraId="0BC69B05" w14:textId="7CC8B8EF" w:rsidR="00BD4BCA" w:rsidRPr="00BD4BCA" w:rsidRDefault="00BD4BCA" w:rsidP="00BD4BCA">
      <w:pPr>
        <w:pStyle w:val="ListParagraph"/>
        <w:numPr>
          <w:ilvl w:val="0"/>
          <w:numId w:val="1"/>
        </w:numPr>
        <w:spacing w:after="0" w:line="276" w:lineRule="auto"/>
        <w:rPr>
          <w:rFonts w:ascii="Times New Roman" w:eastAsia="Times New Roman" w:hAnsi="Times New Roman" w:cs="Times New Roman"/>
          <w:kern w:val="0"/>
          <w:sz w:val="24"/>
          <w:szCs w:val="24"/>
          <w:lang w:eastAsia="en-IN"/>
          <w14:ligatures w14:val="none"/>
        </w:rPr>
      </w:pPr>
      <w:r w:rsidRPr="00BD4BCA">
        <w:rPr>
          <w:rFonts w:ascii="Times New Roman" w:eastAsia="Times New Roman" w:hAnsi="Times New Roman" w:cs="Times New Roman"/>
          <w:kern w:val="0"/>
          <w:sz w:val="24"/>
          <w:szCs w:val="24"/>
          <w:lang w:eastAsia="en-IN"/>
          <w14:ligatures w14:val="none"/>
        </w:rPr>
        <w:t>Lu SY, Hsu HY, Hsieh YW, Lu CR, Huang HY, Chang SS. Prescribing cascades of antigout medications from thiazide diuretics in gout-naïve hypertensive adults receiving first-line pharmacological management. Scientific Reports [Internet]. 2024 Mar 28 [cited 2024 Apr 10];14(1):7402. Available from: https://www.nature.com/articles/s41598-024-58153-0</w:t>
      </w:r>
    </w:p>
    <w:p w14:paraId="70C21C0E" w14:textId="2C42FCE3" w:rsidR="00BD4BCA" w:rsidRPr="00BD4BCA" w:rsidRDefault="00BD4BCA" w:rsidP="00BD4BCA">
      <w:pPr>
        <w:pStyle w:val="ListParagraph"/>
        <w:numPr>
          <w:ilvl w:val="0"/>
          <w:numId w:val="1"/>
        </w:numPr>
        <w:spacing w:after="0" w:line="276" w:lineRule="auto"/>
        <w:rPr>
          <w:rFonts w:ascii="Times New Roman" w:eastAsia="Times New Roman" w:hAnsi="Times New Roman" w:cs="Times New Roman"/>
          <w:kern w:val="0"/>
          <w:sz w:val="24"/>
          <w:szCs w:val="24"/>
          <w:lang w:eastAsia="en-IN"/>
          <w14:ligatures w14:val="none"/>
        </w:rPr>
      </w:pPr>
      <w:r w:rsidRPr="00BD4BCA">
        <w:rPr>
          <w:rFonts w:ascii="Times New Roman" w:eastAsia="Times New Roman" w:hAnsi="Times New Roman" w:cs="Times New Roman"/>
          <w:kern w:val="0"/>
          <w:sz w:val="24"/>
          <w:szCs w:val="24"/>
          <w:lang w:eastAsia="en-IN"/>
          <w14:ligatures w14:val="none"/>
        </w:rPr>
        <w:t>Gibson TJ. Hypertension, its treatment, hyperuricaemia and gout. Current Opinion in Rheumatology. 2013 Mar;25(2):217–22.</w:t>
      </w:r>
    </w:p>
    <w:p w14:paraId="4CCB7002" w14:textId="77777777" w:rsidR="00BD4BCA" w:rsidRPr="00206807" w:rsidRDefault="00BD4BCA" w:rsidP="00BD4BCA">
      <w:pPr>
        <w:spacing w:line="276" w:lineRule="auto"/>
        <w:ind w:left="720"/>
        <w:jc w:val="both"/>
        <w:rPr>
          <w:rFonts w:ascii="Times New Roman" w:hAnsi="Times New Roman" w:cs="Times New Roman"/>
          <w:sz w:val="24"/>
          <w:szCs w:val="24"/>
        </w:rPr>
      </w:pPr>
    </w:p>
    <w:p w14:paraId="33FCF765" w14:textId="77777777" w:rsidR="00206807" w:rsidRPr="00206807" w:rsidRDefault="00206807" w:rsidP="00BD4BCA">
      <w:pPr>
        <w:spacing w:line="276" w:lineRule="auto"/>
        <w:jc w:val="both"/>
        <w:rPr>
          <w:rFonts w:ascii="Times New Roman" w:hAnsi="Times New Roman" w:cs="Times New Roman"/>
          <w:sz w:val="24"/>
          <w:szCs w:val="24"/>
        </w:rPr>
      </w:pPr>
    </w:p>
    <w:sectPr w:rsidR="00206807" w:rsidRPr="0020680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3CD974" w14:textId="77777777" w:rsidR="004C61F0" w:rsidRDefault="004C61F0" w:rsidP="001D3CA1">
      <w:pPr>
        <w:spacing w:after="0" w:line="240" w:lineRule="auto"/>
      </w:pPr>
      <w:r>
        <w:separator/>
      </w:r>
    </w:p>
  </w:endnote>
  <w:endnote w:type="continuationSeparator" w:id="0">
    <w:p w14:paraId="377EDD52" w14:textId="77777777" w:rsidR="004C61F0" w:rsidRDefault="004C61F0" w:rsidP="001D3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696FB" w14:textId="77777777" w:rsidR="001D3CA1" w:rsidRDefault="001D3C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248E4" w14:textId="77777777" w:rsidR="001D3CA1" w:rsidRDefault="001D3C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CCB29" w14:textId="77777777" w:rsidR="001D3CA1" w:rsidRDefault="001D3C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15B1B0" w14:textId="77777777" w:rsidR="004C61F0" w:rsidRDefault="004C61F0" w:rsidP="001D3CA1">
      <w:pPr>
        <w:spacing w:after="0" w:line="240" w:lineRule="auto"/>
      </w:pPr>
      <w:r>
        <w:separator/>
      </w:r>
    </w:p>
  </w:footnote>
  <w:footnote w:type="continuationSeparator" w:id="0">
    <w:p w14:paraId="0D5F6277" w14:textId="77777777" w:rsidR="004C61F0" w:rsidRDefault="004C61F0" w:rsidP="001D3C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582F4" w14:textId="3A667782" w:rsidR="001D3CA1" w:rsidRDefault="001D3CA1">
    <w:pPr>
      <w:pStyle w:val="Header"/>
    </w:pPr>
    <w:r>
      <w:rPr>
        <w:noProof/>
      </w:rPr>
      <w:pict w14:anchorId="3AF093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64051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3CC15" w14:textId="401876E5" w:rsidR="001D3CA1" w:rsidRDefault="001D3CA1">
    <w:pPr>
      <w:pStyle w:val="Header"/>
    </w:pPr>
    <w:r>
      <w:rPr>
        <w:noProof/>
      </w:rPr>
      <w:pict w14:anchorId="4BBD81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64051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BDB94" w14:textId="228F1A7E" w:rsidR="001D3CA1" w:rsidRDefault="001D3CA1">
    <w:pPr>
      <w:pStyle w:val="Header"/>
    </w:pPr>
    <w:r>
      <w:rPr>
        <w:noProof/>
      </w:rPr>
      <w:pict w14:anchorId="28FA39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64051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644A9D"/>
    <w:multiLevelType w:val="hybridMultilevel"/>
    <w:tmpl w:val="67F4560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504"/>
    <w:rsid w:val="00012C9D"/>
    <w:rsid w:val="000B1936"/>
    <w:rsid w:val="00122365"/>
    <w:rsid w:val="001853AB"/>
    <w:rsid w:val="001D3CA1"/>
    <w:rsid w:val="00202E38"/>
    <w:rsid w:val="00206807"/>
    <w:rsid w:val="00215EA1"/>
    <w:rsid w:val="00221C72"/>
    <w:rsid w:val="002275DF"/>
    <w:rsid w:val="002A7BAA"/>
    <w:rsid w:val="002F55AE"/>
    <w:rsid w:val="00363A0D"/>
    <w:rsid w:val="00364D36"/>
    <w:rsid w:val="0036527E"/>
    <w:rsid w:val="00397ECF"/>
    <w:rsid w:val="003B5C42"/>
    <w:rsid w:val="003F1E01"/>
    <w:rsid w:val="00430A93"/>
    <w:rsid w:val="004C61F0"/>
    <w:rsid w:val="0059330F"/>
    <w:rsid w:val="005C00C6"/>
    <w:rsid w:val="0067377F"/>
    <w:rsid w:val="006B55B4"/>
    <w:rsid w:val="006E1C54"/>
    <w:rsid w:val="00704FC1"/>
    <w:rsid w:val="0075132D"/>
    <w:rsid w:val="00781F50"/>
    <w:rsid w:val="007915FC"/>
    <w:rsid w:val="007E306C"/>
    <w:rsid w:val="007E31CD"/>
    <w:rsid w:val="00856504"/>
    <w:rsid w:val="008663BD"/>
    <w:rsid w:val="008C5132"/>
    <w:rsid w:val="00913C46"/>
    <w:rsid w:val="00993BEB"/>
    <w:rsid w:val="009B6546"/>
    <w:rsid w:val="009F47C7"/>
    <w:rsid w:val="00AC0BB5"/>
    <w:rsid w:val="00B03BC3"/>
    <w:rsid w:val="00BA501F"/>
    <w:rsid w:val="00BC7FC1"/>
    <w:rsid w:val="00BD1CB1"/>
    <w:rsid w:val="00BD43A6"/>
    <w:rsid w:val="00BD4BCA"/>
    <w:rsid w:val="00BE2E60"/>
    <w:rsid w:val="00C01B28"/>
    <w:rsid w:val="00C224A2"/>
    <w:rsid w:val="00CB10AE"/>
    <w:rsid w:val="00D332B0"/>
    <w:rsid w:val="00DB49C7"/>
    <w:rsid w:val="00DC08F9"/>
    <w:rsid w:val="00E030E0"/>
    <w:rsid w:val="00E25029"/>
    <w:rsid w:val="00E4471E"/>
    <w:rsid w:val="00E44DED"/>
    <w:rsid w:val="00E73CBF"/>
    <w:rsid w:val="00E970DE"/>
    <w:rsid w:val="00EB4BA2"/>
    <w:rsid w:val="00EF118E"/>
    <w:rsid w:val="00F11D73"/>
    <w:rsid w:val="00F23710"/>
    <w:rsid w:val="00FA0A99"/>
    <w:rsid w:val="00FB1871"/>
    <w:rsid w:val="00FD5A8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935AF5E"/>
  <w15:chartTrackingRefBased/>
  <w15:docId w15:val="{FAC34123-53BD-4482-AB9E-6A1C33453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65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65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650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650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5650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565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65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65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65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50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65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650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650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650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65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65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65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6504"/>
    <w:rPr>
      <w:rFonts w:eastAsiaTheme="majorEastAsia" w:cstheme="majorBidi"/>
      <w:color w:val="272727" w:themeColor="text1" w:themeTint="D8"/>
    </w:rPr>
  </w:style>
  <w:style w:type="paragraph" w:styleId="Title">
    <w:name w:val="Title"/>
    <w:basedOn w:val="Normal"/>
    <w:next w:val="Normal"/>
    <w:link w:val="TitleChar"/>
    <w:uiPriority w:val="10"/>
    <w:qFormat/>
    <w:rsid w:val="008565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65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65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65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6504"/>
    <w:pPr>
      <w:spacing w:before="160"/>
      <w:jc w:val="center"/>
    </w:pPr>
    <w:rPr>
      <w:i/>
      <w:iCs/>
      <w:color w:val="404040" w:themeColor="text1" w:themeTint="BF"/>
    </w:rPr>
  </w:style>
  <w:style w:type="character" w:customStyle="1" w:styleId="QuoteChar">
    <w:name w:val="Quote Char"/>
    <w:basedOn w:val="DefaultParagraphFont"/>
    <w:link w:val="Quote"/>
    <w:uiPriority w:val="29"/>
    <w:rsid w:val="00856504"/>
    <w:rPr>
      <w:i/>
      <w:iCs/>
      <w:color w:val="404040" w:themeColor="text1" w:themeTint="BF"/>
    </w:rPr>
  </w:style>
  <w:style w:type="paragraph" w:styleId="ListParagraph">
    <w:name w:val="List Paragraph"/>
    <w:basedOn w:val="Normal"/>
    <w:uiPriority w:val="34"/>
    <w:qFormat/>
    <w:rsid w:val="00856504"/>
    <w:pPr>
      <w:ind w:left="720"/>
      <w:contextualSpacing/>
    </w:pPr>
  </w:style>
  <w:style w:type="character" w:styleId="IntenseEmphasis">
    <w:name w:val="Intense Emphasis"/>
    <w:basedOn w:val="DefaultParagraphFont"/>
    <w:uiPriority w:val="21"/>
    <w:qFormat/>
    <w:rsid w:val="00856504"/>
    <w:rPr>
      <w:i/>
      <w:iCs/>
      <w:color w:val="2F5496" w:themeColor="accent1" w:themeShade="BF"/>
    </w:rPr>
  </w:style>
  <w:style w:type="paragraph" w:styleId="IntenseQuote">
    <w:name w:val="Intense Quote"/>
    <w:basedOn w:val="Normal"/>
    <w:next w:val="Normal"/>
    <w:link w:val="IntenseQuoteChar"/>
    <w:uiPriority w:val="30"/>
    <w:qFormat/>
    <w:rsid w:val="008565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6504"/>
    <w:rPr>
      <w:i/>
      <w:iCs/>
      <w:color w:val="2F5496" w:themeColor="accent1" w:themeShade="BF"/>
    </w:rPr>
  </w:style>
  <w:style w:type="character" w:styleId="IntenseReference">
    <w:name w:val="Intense Reference"/>
    <w:basedOn w:val="DefaultParagraphFont"/>
    <w:uiPriority w:val="32"/>
    <w:qFormat/>
    <w:rsid w:val="00856504"/>
    <w:rPr>
      <w:b/>
      <w:bCs/>
      <w:smallCaps/>
      <w:color w:val="2F5496" w:themeColor="accent1" w:themeShade="BF"/>
      <w:spacing w:val="5"/>
    </w:rPr>
  </w:style>
  <w:style w:type="character" w:styleId="Hyperlink">
    <w:name w:val="Hyperlink"/>
    <w:basedOn w:val="DefaultParagraphFont"/>
    <w:uiPriority w:val="99"/>
    <w:unhideWhenUsed/>
    <w:rsid w:val="00EB4BA2"/>
    <w:rPr>
      <w:color w:val="0563C1" w:themeColor="hyperlink"/>
      <w:u w:val="single"/>
    </w:rPr>
  </w:style>
  <w:style w:type="character" w:styleId="UnresolvedMention">
    <w:name w:val="Unresolved Mention"/>
    <w:basedOn w:val="DefaultParagraphFont"/>
    <w:uiPriority w:val="99"/>
    <w:semiHidden/>
    <w:unhideWhenUsed/>
    <w:rsid w:val="00EB4BA2"/>
    <w:rPr>
      <w:color w:val="605E5C"/>
      <w:shd w:val="clear" w:color="auto" w:fill="E1DFDD"/>
    </w:rPr>
  </w:style>
  <w:style w:type="paragraph" w:styleId="Header">
    <w:name w:val="header"/>
    <w:basedOn w:val="Normal"/>
    <w:link w:val="HeaderChar"/>
    <w:uiPriority w:val="99"/>
    <w:unhideWhenUsed/>
    <w:rsid w:val="001D3C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3CA1"/>
  </w:style>
  <w:style w:type="paragraph" w:styleId="Footer">
    <w:name w:val="footer"/>
    <w:basedOn w:val="Normal"/>
    <w:link w:val="FooterChar"/>
    <w:uiPriority w:val="99"/>
    <w:unhideWhenUsed/>
    <w:rsid w:val="001D3C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3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427324">
      <w:bodyDiv w:val="1"/>
      <w:marLeft w:val="0"/>
      <w:marRight w:val="0"/>
      <w:marTop w:val="0"/>
      <w:marBottom w:val="0"/>
      <w:divBdr>
        <w:top w:val="none" w:sz="0" w:space="0" w:color="auto"/>
        <w:left w:val="none" w:sz="0" w:space="0" w:color="auto"/>
        <w:bottom w:val="none" w:sz="0" w:space="0" w:color="auto"/>
        <w:right w:val="none" w:sz="0" w:space="0" w:color="auto"/>
      </w:divBdr>
    </w:div>
    <w:div w:id="360936860">
      <w:bodyDiv w:val="1"/>
      <w:marLeft w:val="0"/>
      <w:marRight w:val="0"/>
      <w:marTop w:val="0"/>
      <w:marBottom w:val="0"/>
      <w:divBdr>
        <w:top w:val="none" w:sz="0" w:space="0" w:color="auto"/>
        <w:left w:val="none" w:sz="0" w:space="0" w:color="auto"/>
        <w:bottom w:val="none" w:sz="0" w:space="0" w:color="auto"/>
        <w:right w:val="none" w:sz="0" w:space="0" w:color="auto"/>
      </w:divBdr>
    </w:div>
    <w:div w:id="398871083">
      <w:bodyDiv w:val="1"/>
      <w:marLeft w:val="0"/>
      <w:marRight w:val="0"/>
      <w:marTop w:val="0"/>
      <w:marBottom w:val="0"/>
      <w:divBdr>
        <w:top w:val="none" w:sz="0" w:space="0" w:color="auto"/>
        <w:left w:val="none" w:sz="0" w:space="0" w:color="auto"/>
        <w:bottom w:val="none" w:sz="0" w:space="0" w:color="auto"/>
        <w:right w:val="none" w:sz="0" w:space="0" w:color="auto"/>
      </w:divBdr>
      <w:divsChild>
        <w:div w:id="841773778">
          <w:marLeft w:val="0"/>
          <w:marRight w:val="0"/>
          <w:marTop w:val="0"/>
          <w:marBottom w:val="0"/>
          <w:divBdr>
            <w:top w:val="none" w:sz="0" w:space="0" w:color="auto"/>
            <w:left w:val="none" w:sz="0" w:space="0" w:color="auto"/>
            <w:bottom w:val="none" w:sz="0" w:space="0" w:color="auto"/>
            <w:right w:val="none" w:sz="0" w:space="0" w:color="auto"/>
          </w:divBdr>
          <w:divsChild>
            <w:div w:id="2098364156">
              <w:marLeft w:val="0"/>
              <w:marRight w:val="0"/>
              <w:marTop w:val="0"/>
              <w:marBottom w:val="0"/>
              <w:divBdr>
                <w:top w:val="none" w:sz="0" w:space="0" w:color="auto"/>
                <w:left w:val="none" w:sz="0" w:space="0" w:color="auto"/>
                <w:bottom w:val="none" w:sz="0" w:space="0" w:color="auto"/>
                <w:right w:val="none" w:sz="0" w:space="0" w:color="auto"/>
              </w:divBdr>
            </w:div>
            <w:div w:id="71011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168118">
      <w:bodyDiv w:val="1"/>
      <w:marLeft w:val="0"/>
      <w:marRight w:val="0"/>
      <w:marTop w:val="0"/>
      <w:marBottom w:val="0"/>
      <w:divBdr>
        <w:top w:val="none" w:sz="0" w:space="0" w:color="auto"/>
        <w:left w:val="none" w:sz="0" w:space="0" w:color="auto"/>
        <w:bottom w:val="none" w:sz="0" w:space="0" w:color="auto"/>
        <w:right w:val="none" w:sz="0" w:space="0" w:color="auto"/>
      </w:divBdr>
      <w:divsChild>
        <w:div w:id="997151934">
          <w:marLeft w:val="0"/>
          <w:marRight w:val="0"/>
          <w:marTop w:val="0"/>
          <w:marBottom w:val="0"/>
          <w:divBdr>
            <w:top w:val="none" w:sz="0" w:space="0" w:color="auto"/>
            <w:left w:val="none" w:sz="0" w:space="0" w:color="auto"/>
            <w:bottom w:val="none" w:sz="0" w:space="0" w:color="auto"/>
            <w:right w:val="none" w:sz="0" w:space="0" w:color="auto"/>
          </w:divBdr>
          <w:divsChild>
            <w:div w:id="89397891">
              <w:marLeft w:val="0"/>
              <w:marRight w:val="0"/>
              <w:marTop w:val="0"/>
              <w:marBottom w:val="0"/>
              <w:divBdr>
                <w:top w:val="none" w:sz="0" w:space="0" w:color="auto"/>
                <w:left w:val="none" w:sz="0" w:space="0" w:color="auto"/>
                <w:bottom w:val="none" w:sz="0" w:space="0" w:color="auto"/>
                <w:right w:val="none" w:sz="0" w:space="0" w:color="auto"/>
              </w:divBdr>
            </w:div>
            <w:div w:id="367727857">
              <w:marLeft w:val="0"/>
              <w:marRight w:val="0"/>
              <w:marTop w:val="0"/>
              <w:marBottom w:val="0"/>
              <w:divBdr>
                <w:top w:val="none" w:sz="0" w:space="0" w:color="auto"/>
                <w:left w:val="none" w:sz="0" w:space="0" w:color="auto"/>
                <w:bottom w:val="none" w:sz="0" w:space="0" w:color="auto"/>
                <w:right w:val="none" w:sz="0" w:space="0" w:color="auto"/>
              </w:divBdr>
            </w:div>
            <w:div w:id="2125296742">
              <w:marLeft w:val="0"/>
              <w:marRight w:val="0"/>
              <w:marTop w:val="0"/>
              <w:marBottom w:val="0"/>
              <w:divBdr>
                <w:top w:val="none" w:sz="0" w:space="0" w:color="auto"/>
                <w:left w:val="none" w:sz="0" w:space="0" w:color="auto"/>
                <w:bottom w:val="none" w:sz="0" w:space="0" w:color="auto"/>
                <w:right w:val="none" w:sz="0" w:space="0" w:color="auto"/>
              </w:divBdr>
            </w:div>
            <w:div w:id="298268623">
              <w:marLeft w:val="0"/>
              <w:marRight w:val="0"/>
              <w:marTop w:val="0"/>
              <w:marBottom w:val="0"/>
              <w:divBdr>
                <w:top w:val="none" w:sz="0" w:space="0" w:color="auto"/>
                <w:left w:val="none" w:sz="0" w:space="0" w:color="auto"/>
                <w:bottom w:val="none" w:sz="0" w:space="0" w:color="auto"/>
                <w:right w:val="none" w:sz="0" w:space="0" w:color="auto"/>
              </w:divBdr>
            </w:div>
            <w:div w:id="600725755">
              <w:marLeft w:val="0"/>
              <w:marRight w:val="0"/>
              <w:marTop w:val="0"/>
              <w:marBottom w:val="0"/>
              <w:divBdr>
                <w:top w:val="none" w:sz="0" w:space="0" w:color="auto"/>
                <w:left w:val="none" w:sz="0" w:space="0" w:color="auto"/>
                <w:bottom w:val="none" w:sz="0" w:space="0" w:color="auto"/>
                <w:right w:val="none" w:sz="0" w:space="0" w:color="auto"/>
              </w:divBdr>
            </w:div>
            <w:div w:id="1133714198">
              <w:marLeft w:val="0"/>
              <w:marRight w:val="0"/>
              <w:marTop w:val="0"/>
              <w:marBottom w:val="0"/>
              <w:divBdr>
                <w:top w:val="none" w:sz="0" w:space="0" w:color="auto"/>
                <w:left w:val="none" w:sz="0" w:space="0" w:color="auto"/>
                <w:bottom w:val="none" w:sz="0" w:space="0" w:color="auto"/>
                <w:right w:val="none" w:sz="0" w:space="0" w:color="auto"/>
              </w:divBdr>
            </w:div>
            <w:div w:id="952906243">
              <w:marLeft w:val="0"/>
              <w:marRight w:val="0"/>
              <w:marTop w:val="0"/>
              <w:marBottom w:val="0"/>
              <w:divBdr>
                <w:top w:val="none" w:sz="0" w:space="0" w:color="auto"/>
                <w:left w:val="none" w:sz="0" w:space="0" w:color="auto"/>
                <w:bottom w:val="none" w:sz="0" w:space="0" w:color="auto"/>
                <w:right w:val="none" w:sz="0" w:space="0" w:color="auto"/>
              </w:divBdr>
            </w:div>
            <w:div w:id="873157091">
              <w:marLeft w:val="0"/>
              <w:marRight w:val="0"/>
              <w:marTop w:val="0"/>
              <w:marBottom w:val="0"/>
              <w:divBdr>
                <w:top w:val="none" w:sz="0" w:space="0" w:color="auto"/>
                <w:left w:val="none" w:sz="0" w:space="0" w:color="auto"/>
                <w:bottom w:val="none" w:sz="0" w:space="0" w:color="auto"/>
                <w:right w:val="none" w:sz="0" w:space="0" w:color="auto"/>
              </w:divBdr>
            </w:div>
            <w:div w:id="235406426">
              <w:marLeft w:val="0"/>
              <w:marRight w:val="0"/>
              <w:marTop w:val="0"/>
              <w:marBottom w:val="0"/>
              <w:divBdr>
                <w:top w:val="none" w:sz="0" w:space="0" w:color="auto"/>
                <w:left w:val="none" w:sz="0" w:space="0" w:color="auto"/>
                <w:bottom w:val="none" w:sz="0" w:space="0" w:color="auto"/>
                <w:right w:val="none" w:sz="0" w:space="0" w:color="auto"/>
              </w:divBdr>
            </w:div>
            <w:div w:id="176163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838460">
      <w:bodyDiv w:val="1"/>
      <w:marLeft w:val="0"/>
      <w:marRight w:val="0"/>
      <w:marTop w:val="0"/>
      <w:marBottom w:val="0"/>
      <w:divBdr>
        <w:top w:val="none" w:sz="0" w:space="0" w:color="auto"/>
        <w:left w:val="none" w:sz="0" w:space="0" w:color="auto"/>
        <w:bottom w:val="none" w:sz="0" w:space="0" w:color="auto"/>
        <w:right w:val="none" w:sz="0" w:space="0" w:color="auto"/>
      </w:divBdr>
    </w:div>
    <w:div w:id="1044452642">
      <w:bodyDiv w:val="1"/>
      <w:marLeft w:val="0"/>
      <w:marRight w:val="0"/>
      <w:marTop w:val="0"/>
      <w:marBottom w:val="0"/>
      <w:divBdr>
        <w:top w:val="none" w:sz="0" w:space="0" w:color="auto"/>
        <w:left w:val="none" w:sz="0" w:space="0" w:color="auto"/>
        <w:bottom w:val="none" w:sz="0" w:space="0" w:color="auto"/>
        <w:right w:val="none" w:sz="0" w:space="0" w:color="auto"/>
      </w:divBdr>
      <w:divsChild>
        <w:div w:id="243800231">
          <w:marLeft w:val="0"/>
          <w:marRight w:val="0"/>
          <w:marTop w:val="0"/>
          <w:marBottom w:val="0"/>
          <w:divBdr>
            <w:top w:val="none" w:sz="0" w:space="0" w:color="auto"/>
            <w:left w:val="none" w:sz="0" w:space="0" w:color="auto"/>
            <w:bottom w:val="none" w:sz="0" w:space="0" w:color="auto"/>
            <w:right w:val="none" w:sz="0" w:space="0" w:color="auto"/>
          </w:divBdr>
          <w:divsChild>
            <w:div w:id="2070613566">
              <w:marLeft w:val="0"/>
              <w:marRight w:val="0"/>
              <w:marTop w:val="0"/>
              <w:marBottom w:val="0"/>
              <w:divBdr>
                <w:top w:val="none" w:sz="0" w:space="0" w:color="auto"/>
                <w:left w:val="none" w:sz="0" w:space="0" w:color="auto"/>
                <w:bottom w:val="none" w:sz="0" w:space="0" w:color="auto"/>
                <w:right w:val="none" w:sz="0" w:space="0" w:color="auto"/>
              </w:divBdr>
            </w:div>
            <w:div w:id="1812017447">
              <w:marLeft w:val="0"/>
              <w:marRight w:val="0"/>
              <w:marTop w:val="0"/>
              <w:marBottom w:val="0"/>
              <w:divBdr>
                <w:top w:val="none" w:sz="0" w:space="0" w:color="auto"/>
                <w:left w:val="none" w:sz="0" w:space="0" w:color="auto"/>
                <w:bottom w:val="none" w:sz="0" w:space="0" w:color="auto"/>
                <w:right w:val="none" w:sz="0" w:space="0" w:color="auto"/>
              </w:divBdr>
            </w:div>
            <w:div w:id="821578956">
              <w:marLeft w:val="0"/>
              <w:marRight w:val="0"/>
              <w:marTop w:val="0"/>
              <w:marBottom w:val="0"/>
              <w:divBdr>
                <w:top w:val="none" w:sz="0" w:space="0" w:color="auto"/>
                <w:left w:val="none" w:sz="0" w:space="0" w:color="auto"/>
                <w:bottom w:val="none" w:sz="0" w:space="0" w:color="auto"/>
                <w:right w:val="none" w:sz="0" w:space="0" w:color="auto"/>
              </w:divBdr>
            </w:div>
            <w:div w:id="1120875036">
              <w:marLeft w:val="0"/>
              <w:marRight w:val="0"/>
              <w:marTop w:val="0"/>
              <w:marBottom w:val="0"/>
              <w:divBdr>
                <w:top w:val="none" w:sz="0" w:space="0" w:color="auto"/>
                <w:left w:val="none" w:sz="0" w:space="0" w:color="auto"/>
                <w:bottom w:val="none" w:sz="0" w:space="0" w:color="auto"/>
                <w:right w:val="none" w:sz="0" w:space="0" w:color="auto"/>
              </w:divBdr>
            </w:div>
            <w:div w:id="1844315620">
              <w:marLeft w:val="0"/>
              <w:marRight w:val="0"/>
              <w:marTop w:val="0"/>
              <w:marBottom w:val="0"/>
              <w:divBdr>
                <w:top w:val="none" w:sz="0" w:space="0" w:color="auto"/>
                <w:left w:val="none" w:sz="0" w:space="0" w:color="auto"/>
                <w:bottom w:val="none" w:sz="0" w:space="0" w:color="auto"/>
                <w:right w:val="none" w:sz="0" w:space="0" w:color="auto"/>
              </w:divBdr>
            </w:div>
            <w:div w:id="51781484">
              <w:marLeft w:val="0"/>
              <w:marRight w:val="0"/>
              <w:marTop w:val="0"/>
              <w:marBottom w:val="0"/>
              <w:divBdr>
                <w:top w:val="none" w:sz="0" w:space="0" w:color="auto"/>
                <w:left w:val="none" w:sz="0" w:space="0" w:color="auto"/>
                <w:bottom w:val="none" w:sz="0" w:space="0" w:color="auto"/>
                <w:right w:val="none" w:sz="0" w:space="0" w:color="auto"/>
              </w:divBdr>
            </w:div>
            <w:div w:id="48766005">
              <w:marLeft w:val="0"/>
              <w:marRight w:val="0"/>
              <w:marTop w:val="0"/>
              <w:marBottom w:val="0"/>
              <w:divBdr>
                <w:top w:val="none" w:sz="0" w:space="0" w:color="auto"/>
                <w:left w:val="none" w:sz="0" w:space="0" w:color="auto"/>
                <w:bottom w:val="none" w:sz="0" w:space="0" w:color="auto"/>
                <w:right w:val="none" w:sz="0" w:space="0" w:color="auto"/>
              </w:divBdr>
            </w:div>
            <w:div w:id="489636435">
              <w:marLeft w:val="0"/>
              <w:marRight w:val="0"/>
              <w:marTop w:val="0"/>
              <w:marBottom w:val="0"/>
              <w:divBdr>
                <w:top w:val="none" w:sz="0" w:space="0" w:color="auto"/>
                <w:left w:val="none" w:sz="0" w:space="0" w:color="auto"/>
                <w:bottom w:val="none" w:sz="0" w:space="0" w:color="auto"/>
                <w:right w:val="none" w:sz="0" w:space="0" w:color="auto"/>
              </w:divBdr>
            </w:div>
            <w:div w:id="119111043">
              <w:marLeft w:val="0"/>
              <w:marRight w:val="0"/>
              <w:marTop w:val="0"/>
              <w:marBottom w:val="0"/>
              <w:divBdr>
                <w:top w:val="none" w:sz="0" w:space="0" w:color="auto"/>
                <w:left w:val="none" w:sz="0" w:space="0" w:color="auto"/>
                <w:bottom w:val="none" w:sz="0" w:space="0" w:color="auto"/>
                <w:right w:val="none" w:sz="0" w:space="0" w:color="auto"/>
              </w:divBdr>
            </w:div>
            <w:div w:id="1215969970">
              <w:marLeft w:val="0"/>
              <w:marRight w:val="0"/>
              <w:marTop w:val="0"/>
              <w:marBottom w:val="0"/>
              <w:divBdr>
                <w:top w:val="none" w:sz="0" w:space="0" w:color="auto"/>
                <w:left w:val="none" w:sz="0" w:space="0" w:color="auto"/>
                <w:bottom w:val="none" w:sz="0" w:space="0" w:color="auto"/>
                <w:right w:val="none" w:sz="0" w:space="0" w:color="auto"/>
              </w:divBdr>
            </w:div>
            <w:div w:id="1703168423">
              <w:marLeft w:val="0"/>
              <w:marRight w:val="0"/>
              <w:marTop w:val="0"/>
              <w:marBottom w:val="0"/>
              <w:divBdr>
                <w:top w:val="none" w:sz="0" w:space="0" w:color="auto"/>
                <w:left w:val="none" w:sz="0" w:space="0" w:color="auto"/>
                <w:bottom w:val="none" w:sz="0" w:space="0" w:color="auto"/>
                <w:right w:val="none" w:sz="0" w:space="0" w:color="auto"/>
              </w:divBdr>
            </w:div>
            <w:div w:id="86987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89850">
      <w:bodyDiv w:val="1"/>
      <w:marLeft w:val="0"/>
      <w:marRight w:val="0"/>
      <w:marTop w:val="0"/>
      <w:marBottom w:val="0"/>
      <w:divBdr>
        <w:top w:val="none" w:sz="0" w:space="0" w:color="auto"/>
        <w:left w:val="none" w:sz="0" w:space="0" w:color="auto"/>
        <w:bottom w:val="none" w:sz="0" w:space="0" w:color="auto"/>
        <w:right w:val="none" w:sz="0" w:space="0" w:color="auto"/>
      </w:divBdr>
      <w:divsChild>
        <w:div w:id="1104955833">
          <w:marLeft w:val="0"/>
          <w:marRight w:val="0"/>
          <w:marTop w:val="0"/>
          <w:marBottom w:val="0"/>
          <w:divBdr>
            <w:top w:val="none" w:sz="0" w:space="0" w:color="auto"/>
            <w:left w:val="none" w:sz="0" w:space="0" w:color="auto"/>
            <w:bottom w:val="none" w:sz="0" w:space="0" w:color="auto"/>
            <w:right w:val="none" w:sz="0" w:space="0" w:color="auto"/>
          </w:divBdr>
          <w:divsChild>
            <w:div w:id="1761487009">
              <w:marLeft w:val="0"/>
              <w:marRight w:val="0"/>
              <w:marTop w:val="0"/>
              <w:marBottom w:val="0"/>
              <w:divBdr>
                <w:top w:val="none" w:sz="0" w:space="0" w:color="auto"/>
                <w:left w:val="none" w:sz="0" w:space="0" w:color="auto"/>
                <w:bottom w:val="none" w:sz="0" w:space="0" w:color="auto"/>
                <w:right w:val="none" w:sz="0" w:space="0" w:color="auto"/>
              </w:divBdr>
            </w:div>
            <w:div w:id="920064717">
              <w:marLeft w:val="0"/>
              <w:marRight w:val="0"/>
              <w:marTop w:val="0"/>
              <w:marBottom w:val="0"/>
              <w:divBdr>
                <w:top w:val="none" w:sz="0" w:space="0" w:color="auto"/>
                <w:left w:val="none" w:sz="0" w:space="0" w:color="auto"/>
                <w:bottom w:val="none" w:sz="0" w:space="0" w:color="auto"/>
                <w:right w:val="none" w:sz="0" w:space="0" w:color="auto"/>
              </w:divBdr>
            </w:div>
            <w:div w:id="1607612508">
              <w:marLeft w:val="0"/>
              <w:marRight w:val="0"/>
              <w:marTop w:val="0"/>
              <w:marBottom w:val="0"/>
              <w:divBdr>
                <w:top w:val="none" w:sz="0" w:space="0" w:color="auto"/>
                <w:left w:val="none" w:sz="0" w:space="0" w:color="auto"/>
                <w:bottom w:val="none" w:sz="0" w:space="0" w:color="auto"/>
                <w:right w:val="none" w:sz="0" w:space="0" w:color="auto"/>
              </w:divBdr>
            </w:div>
            <w:div w:id="819612676">
              <w:marLeft w:val="0"/>
              <w:marRight w:val="0"/>
              <w:marTop w:val="0"/>
              <w:marBottom w:val="0"/>
              <w:divBdr>
                <w:top w:val="none" w:sz="0" w:space="0" w:color="auto"/>
                <w:left w:val="none" w:sz="0" w:space="0" w:color="auto"/>
                <w:bottom w:val="none" w:sz="0" w:space="0" w:color="auto"/>
                <w:right w:val="none" w:sz="0" w:space="0" w:color="auto"/>
              </w:divBdr>
            </w:div>
            <w:div w:id="1170099056">
              <w:marLeft w:val="0"/>
              <w:marRight w:val="0"/>
              <w:marTop w:val="0"/>
              <w:marBottom w:val="0"/>
              <w:divBdr>
                <w:top w:val="none" w:sz="0" w:space="0" w:color="auto"/>
                <w:left w:val="none" w:sz="0" w:space="0" w:color="auto"/>
                <w:bottom w:val="none" w:sz="0" w:space="0" w:color="auto"/>
                <w:right w:val="none" w:sz="0" w:space="0" w:color="auto"/>
              </w:divBdr>
            </w:div>
            <w:div w:id="585312446">
              <w:marLeft w:val="0"/>
              <w:marRight w:val="0"/>
              <w:marTop w:val="0"/>
              <w:marBottom w:val="0"/>
              <w:divBdr>
                <w:top w:val="none" w:sz="0" w:space="0" w:color="auto"/>
                <w:left w:val="none" w:sz="0" w:space="0" w:color="auto"/>
                <w:bottom w:val="none" w:sz="0" w:space="0" w:color="auto"/>
                <w:right w:val="none" w:sz="0" w:space="0" w:color="auto"/>
              </w:divBdr>
            </w:div>
            <w:div w:id="245960771">
              <w:marLeft w:val="0"/>
              <w:marRight w:val="0"/>
              <w:marTop w:val="0"/>
              <w:marBottom w:val="0"/>
              <w:divBdr>
                <w:top w:val="none" w:sz="0" w:space="0" w:color="auto"/>
                <w:left w:val="none" w:sz="0" w:space="0" w:color="auto"/>
                <w:bottom w:val="none" w:sz="0" w:space="0" w:color="auto"/>
                <w:right w:val="none" w:sz="0" w:space="0" w:color="auto"/>
              </w:divBdr>
            </w:div>
            <w:div w:id="174367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87293">
      <w:bodyDiv w:val="1"/>
      <w:marLeft w:val="0"/>
      <w:marRight w:val="0"/>
      <w:marTop w:val="0"/>
      <w:marBottom w:val="0"/>
      <w:divBdr>
        <w:top w:val="none" w:sz="0" w:space="0" w:color="auto"/>
        <w:left w:val="none" w:sz="0" w:space="0" w:color="auto"/>
        <w:bottom w:val="none" w:sz="0" w:space="0" w:color="auto"/>
        <w:right w:val="none" w:sz="0" w:space="0" w:color="auto"/>
      </w:divBdr>
      <w:divsChild>
        <w:div w:id="994332166">
          <w:marLeft w:val="0"/>
          <w:marRight w:val="0"/>
          <w:marTop w:val="0"/>
          <w:marBottom w:val="0"/>
          <w:divBdr>
            <w:top w:val="none" w:sz="0" w:space="0" w:color="auto"/>
            <w:left w:val="none" w:sz="0" w:space="0" w:color="auto"/>
            <w:bottom w:val="none" w:sz="0" w:space="0" w:color="auto"/>
            <w:right w:val="none" w:sz="0" w:space="0" w:color="auto"/>
          </w:divBdr>
          <w:divsChild>
            <w:div w:id="240799611">
              <w:marLeft w:val="0"/>
              <w:marRight w:val="0"/>
              <w:marTop w:val="0"/>
              <w:marBottom w:val="0"/>
              <w:divBdr>
                <w:top w:val="none" w:sz="0" w:space="0" w:color="auto"/>
                <w:left w:val="none" w:sz="0" w:space="0" w:color="auto"/>
                <w:bottom w:val="none" w:sz="0" w:space="0" w:color="auto"/>
                <w:right w:val="none" w:sz="0" w:space="0" w:color="auto"/>
              </w:divBdr>
            </w:div>
            <w:div w:id="933974967">
              <w:marLeft w:val="0"/>
              <w:marRight w:val="0"/>
              <w:marTop w:val="0"/>
              <w:marBottom w:val="0"/>
              <w:divBdr>
                <w:top w:val="none" w:sz="0" w:space="0" w:color="auto"/>
                <w:left w:val="none" w:sz="0" w:space="0" w:color="auto"/>
                <w:bottom w:val="none" w:sz="0" w:space="0" w:color="auto"/>
                <w:right w:val="none" w:sz="0" w:space="0" w:color="auto"/>
              </w:divBdr>
            </w:div>
            <w:div w:id="1198663713">
              <w:marLeft w:val="0"/>
              <w:marRight w:val="0"/>
              <w:marTop w:val="0"/>
              <w:marBottom w:val="0"/>
              <w:divBdr>
                <w:top w:val="none" w:sz="0" w:space="0" w:color="auto"/>
                <w:left w:val="none" w:sz="0" w:space="0" w:color="auto"/>
                <w:bottom w:val="none" w:sz="0" w:space="0" w:color="auto"/>
                <w:right w:val="none" w:sz="0" w:space="0" w:color="auto"/>
              </w:divBdr>
            </w:div>
            <w:div w:id="163320995">
              <w:marLeft w:val="0"/>
              <w:marRight w:val="0"/>
              <w:marTop w:val="0"/>
              <w:marBottom w:val="0"/>
              <w:divBdr>
                <w:top w:val="none" w:sz="0" w:space="0" w:color="auto"/>
                <w:left w:val="none" w:sz="0" w:space="0" w:color="auto"/>
                <w:bottom w:val="none" w:sz="0" w:space="0" w:color="auto"/>
                <w:right w:val="none" w:sz="0" w:space="0" w:color="auto"/>
              </w:divBdr>
            </w:div>
            <w:div w:id="970863003">
              <w:marLeft w:val="0"/>
              <w:marRight w:val="0"/>
              <w:marTop w:val="0"/>
              <w:marBottom w:val="0"/>
              <w:divBdr>
                <w:top w:val="none" w:sz="0" w:space="0" w:color="auto"/>
                <w:left w:val="none" w:sz="0" w:space="0" w:color="auto"/>
                <w:bottom w:val="none" w:sz="0" w:space="0" w:color="auto"/>
                <w:right w:val="none" w:sz="0" w:space="0" w:color="auto"/>
              </w:divBdr>
            </w:div>
            <w:div w:id="415782745">
              <w:marLeft w:val="0"/>
              <w:marRight w:val="0"/>
              <w:marTop w:val="0"/>
              <w:marBottom w:val="0"/>
              <w:divBdr>
                <w:top w:val="none" w:sz="0" w:space="0" w:color="auto"/>
                <w:left w:val="none" w:sz="0" w:space="0" w:color="auto"/>
                <w:bottom w:val="none" w:sz="0" w:space="0" w:color="auto"/>
                <w:right w:val="none" w:sz="0" w:space="0" w:color="auto"/>
              </w:divBdr>
            </w:div>
            <w:div w:id="194659164">
              <w:marLeft w:val="0"/>
              <w:marRight w:val="0"/>
              <w:marTop w:val="0"/>
              <w:marBottom w:val="0"/>
              <w:divBdr>
                <w:top w:val="none" w:sz="0" w:space="0" w:color="auto"/>
                <w:left w:val="none" w:sz="0" w:space="0" w:color="auto"/>
                <w:bottom w:val="none" w:sz="0" w:space="0" w:color="auto"/>
                <w:right w:val="none" w:sz="0" w:space="0" w:color="auto"/>
              </w:divBdr>
            </w:div>
            <w:div w:id="1223516320">
              <w:marLeft w:val="0"/>
              <w:marRight w:val="0"/>
              <w:marTop w:val="0"/>
              <w:marBottom w:val="0"/>
              <w:divBdr>
                <w:top w:val="none" w:sz="0" w:space="0" w:color="auto"/>
                <w:left w:val="none" w:sz="0" w:space="0" w:color="auto"/>
                <w:bottom w:val="none" w:sz="0" w:space="0" w:color="auto"/>
                <w:right w:val="none" w:sz="0" w:space="0" w:color="auto"/>
              </w:divBdr>
            </w:div>
            <w:div w:id="68582561">
              <w:marLeft w:val="0"/>
              <w:marRight w:val="0"/>
              <w:marTop w:val="0"/>
              <w:marBottom w:val="0"/>
              <w:divBdr>
                <w:top w:val="none" w:sz="0" w:space="0" w:color="auto"/>
                <w:left w:val="none" w:sz="0" w:space="0" w:color="auto"/>
                <w:bottom w:val="none" w:sz="0" w:space="0" w:color="auto"/>
                <w:right w:val="none" w:sz="0" w:space="0" w:color="auto"/>
              </w:divBdr>
            </w:div>
            <w:div w:id="118582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85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2038</Words>
  <Characters>11621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swetha kumar</dc:creator>
  <cp:keywords/>
  <dc:description/>
  <cp:lastModifiedBy>SDI 1084</cp:lastModifiedBy>
  <cp:revision>7</cp:revision>
  <dcterms:created xsi:type="dcterms:W3CDTF">2025-08-20T07:52:00Z</dcterms:created>
  <dcterms:modified xsi:type="dcterms:W3CDTF">2025-08-20T11:53:00Z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4c01ec71-494a-4f21-9187-4829f64a6099</vt:lpwstr>
  </property>
</Properties>
</file>