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40101" w14:textId="77777777" w:rsidR="00F63BC6" w:rsidRDefault="00F63BC6" w:rsidP="00F63BC6">
      <w:pPr>
        <w:jc w:val="both"/>
        <w:rPr>
          <w:rFonts w:ascii="Times New Roman" w:hAnsi="Times New Roman" w:cs="Times New Roman"/>
          <w:b/>
          <w:sz w:val="24"/>
          <w:szCs w:val="24"/>
        </w:rPr>
      </w:pPr>
      <w:r>
        <w:rPr>
          <w:rFonts w:ascii="Times New Roman" w:hAnsi="Times New Roman" w:cs="Times New Roman"/>
          <w:b/>
          <w:sz w:val="24"/>
          <w:szCs w:val="24"/>
        </w:rPr>
        <w:t xml:space="preserve">Comparative Impacts </w:t>
      </w:r>
      <w:r w:rsidRPr="00B7643F">
        <w:rPr>
          <w:rFonts w:ascii="Times New Roman" w:hAnsi="Times New Roman" w:cs="Times New Roman"/>
          <w:b/>
          <w:sz w:val="24"/>
          <w:szCs w:val="24"/>
        </w:rPr>
        <w:t>of Alternating Magnetic Field and</w:t>
      </w:r>
      <w:r>
        <w:rPr>
          <w:rFonts w:ascii="Times New Roman" w:hAnsi="Times New Roman" w:cs="Times New Roman"/>
          <w:b/>
          <w:sz w:val="24"/>
          <w:szCs w:val="24"/>
        </w:rPr>
        <w:t xml:space="preserve"> Crude Extract of</w:t>
      </w:r>
      <w:r w:rsidRPr="00B7643F">
        <w:rPr>
          <w:rFonts w:ascii="Times New Roman" w:hAnsi="Times New Roman" w:cs="Times New Roman"/>
          <w:b/>
          <w:sz w:val="24"/>
          <w:szCs w:val="24"/>
        </w:rPr>
        <w:t xml:space="preserve"> </w:t>
      </w:r>
      <w:proofErr w:type="spellStart"/>
      <w:r w:rsidRPr="00B7643F">
        <w:rPr>
          <w:rFonts w:ascii="Times New Roman" w:hAnsi="Times New Roman" w:cs="Times New Roman"/>
          <w:b/>
          <w:i/>
          <w:sz w:val="24"/>
          <w:szCs w:val="24"/>
        </w:rPr>
        <w:t>Tithonia</w:t>
      </w:r>
      <w:proofErr w:type="spellEnd"/>
      <w:r w:rsidRPr="00B7643F">
        <w:rPr>
          <w:rFonts w:ascii="Times New Roman" w:hAnsi="Times New Roman" w:cs="Times New Roman"/>
          <w:b/>
          <w:i/>
          <w:sz w:val="24"/>
          <w:szCs w:val="24"/>
        </w:rPr>
        <w:t xml:space="preserve"> </w:t>
      </w:r>
      <w:proofErr w:type="spellStart"/>
      <w:r w:rsidRPr="00B7643F">
        <w:rPr>
          <w:rFonts w:ascii="Times New Roman" w:hAnsi="Times New Roman" w:cs="Times New Roman"/>
          <w:b/>
          <w:i/>
          <w:sz w:val="24"/>
          <w:szCs w:val="24"/>
        </w:rPr>
        <w:t>diversifolia</w:t>
      </w:r>
      <w:proofErr w:type="spellEnd"/>
      <w:r>
        <w:rPr>
          <w:rFonts w:ascii="Times New Roman" w:hAnsi="Times New Roman" w:cs="Times New Roman"/>
          <w:b/>
          <w:sz w:val="24"/>
          <w:szCs w:val="24"/>
        </w:rPr>
        <w:t xml:space="preserve"> Leaf</w:t>
      </w:r>
      <w:r w:rsidRPr="00B7643F">
        <w:rPr>
          <w:rFonts w:ascii="Times New Roman" w:hAnsi="Times New Roman" w:cs="Times New Roman"/>
          <w:b/>
          <w:sz w:val="24"/>
          <w:szCs w:val="24"/>
        </w:rPr>
        <w:t xml:space="preserve"> on</w:t>
      </w:r>
      <w:r>
        <w:rPr>
          <w:rFonts w:ascii="Times New Roman" w:hAnsi="Times New Roman" w:cs="Times New Roman"/>
          <w:b/>
          <w:sz w:val="24"/>
          <w:szCs w:val="24"/>
        </w:rPr>
        <w:t xml:space="preserve"> Hematological Indices of</w:t>
      </w:r>
      <w:r w:rsidRPr="00B7643F">
        <w:rPr>
          <w:rFonts w:ascii="Times New Roman" w:hAnsi="Times New Roman" w:cs="Times New Roman"/>
          <w:b/>
          <w:sz w:val="24"/>
          <w:szCs w:val="24"/>
        </w:rPr>
        <w:t xml:space="preserve"> </w:t>
      </w:r>
      <w:r w:rsidRPr="00B7643F">
        <w:rPr>
          <w:rFonts w:ascii="Times New Roman" w:hAnsi="Times New Roman" w:cs="Times New Roman"/>
          <w:b/>
          <w:i/>
          <w:sz w:val="24"/>
          <w:szCs w:val="24"/>
        </w:rPr>
        <w:t xml:space="preserve">Plasmodium </w:t>
      </w:r>
      <w:proofErr w:type="spellStart"/>
      <w:r w:rsidRPr="00B7643F">
        <w:rPr>
          <w:rFonts w:ascii="Times New Roman" w:hAnsi="Times New Roman" w:cs="Times New Roman"/>
          <w:b/>
          <w:i/>
          <w:sz w:val="24"/>
          <w:szCs w:val="24"/>
        </w:rPr>
        <w:t>berghei</w:t>
      </w:r>
      <w:proofErr w:type="spellEnd"/>
      <w:r>
        <w:rPr>
          <w:rFonts w:ascii="Times New Roman" w:hAnsi="Times New Roman" w:cs="Times New Roman"/>
          <w:b/>
          <w:sz w:val="24"/>
          <w:szCs w:val="24"/>
        </w:rPr>
        <w:t>-infected M</w:t>
      </w:r>
      <w:r w:rsidRPr="00B7643F">
        <w:rPr>
          <w:rFonts w:ascii="Times New Roman" w:hAnsi="Times New Roman" w:cs="Times New Roman"/>
          <w:b/>
          <w:sz w:val="24"/>
          <w:szCs w:val="24"/>
        </w:rPr>
        <w:t>ice</w:t>
      </w:r>
    </w:p>
    <w:p w14:paraId="18300122" w14:textId="77777777" w:rsidR="002F5FC0" w:rsidRDefault="002F5FC0" w:rsidP="0064379A">
      <w:pPr>
        <w:spacing w:after="0" w:line="360" w:lineRule="auto"/>
        <w:jc w:val="both"/>
        <w:rPr>
          <w:rFonts w:ascii="Times New Roman" w:hAnsi="Times New Roman" w:cs="Times New Roman"/>
          <w:b/>
          <w:sz w:val="24"/>
          <w:szCs w:val="24"/>
        </w:rPr>
      </w:pPr>
    </w:p>
    <w:p w14:paraId="436990B8" w14:textId="77777777" w:rsidR="002F5FC0" w:rsidRDefault="002F5FC0" w:rsidP="0064379A">
      <w:pPr>
        <w:spacing w:after="0" w:line="360" w:lineRule="auto"/>
        <w:jc w:val="both"/>
        <w:rPr>
          <w:rFonts w:ascii="Times New Roman" w:hAnsi="Times New Roman" w:cs="Times New Roman"/>
          <w:b/>
          <w:sz w:val="24"/>
          <w:szCs w:val="24"/>
        </w:rPr>
      </w:pPr>
    </w:p>
    <w:p w14:paraId="0579D84F" w14:textId="04A830EC" w:rsidR="00B7643F" w:rsidRPr="0007353C" w:rsidRDefault="00B7643F" w:rsidP="0064379A">
      <w:pPr>
        <w:spacing w:after="0" w:line="360" w:lineRule="auto"/>
        <w:jc w:val="both"/>
        <w:rPr>
          <w:rFonts w:ascii="Times New Roman" w:hAnsi="Times New Roman" w:cs="Times New Roman"/>
          <w:b/>
          <w:sz w:val="24"/>
          <w:szCs w:val="24"/>
        </w:rPr>
      </w:pPr>
      <w:bookmarkStart w:id="0" w:name="_GoBack"/>
      <w:bookmarkEnd w:id="0"/>
      <w:r w:rsidRPr="0007353C">
        <w:rPr>
          <w:rFonts w:ascii="Times New Roman" w:hAnsi="Times New Roman" w:cs="Times New Roman"/>
          <w:b/>
          <w:sz w:val="24"/>
          <w:szCs w:val="24"/>
        </w:rPr>
        <w:t>Abstract</w:t>
      </w:r>
    </w:p>
    <w:p w14:paraId="5CB3E084" w14:textId="74820110" w:rsidR="008E391A" w:rsidRDefault="008E391A" w:rsidP="0064379A">
      <w:pPr>
        <w:spacing w:after="0" w:line="360" w:lineRule="auto"/>
        <w:jc w:val="both"/>
        <w:rPr>
          <w:rFonts w:ascii="Times New Roman" w:hAnsi="Times New Roman" w:cs="Times New Roman"/>
          <w:bCs/>
          <w:sz w:val="24"/>
          <w:szCs w:val="24"/>
        </w:rPr>
      </w:pPr>
      <w:r w:rsidRPr="0007353C">
        <w:rPr>
          <w:rFonts w:ascii="Times New Roman" w:hAnsi="Times New Roman" w:cs="Times New Roman"/>
          <w:bCs/>
          <w:sz w:val="24"/>
          <w:szCs w:val="24"/>
        </w:rPr>
        <w:t xml:space="preserve">The present study investigated the comparative effects of varying intensities of alternating magnetic field and </w:t>
      </w:r>
      <w:proofErr w:type="spellStart"/>
      <w:r w:rsidRPr="0007353C">
        <w:rPr>
          <w:rFonts w:ascii="Times New Roman" w:hAnsi="Times New Roman" w:cs="Times New Roman"/>
          <w:bCs/>
          <w:i/>
          <w:iCs/>
          <w:sz w:val="24"/>
          <w:szCs w:val="24"/>
        </w:rPr>
        <w:t>Tithionia</w:t>
      </w:r>
      <w:proofErr w:type="spellEnd"/>
      <w:r w:rsidRPr="0007353C">
        <w:rPr>
          <w:rFonts w:ascii="Times New Roman" w:hAnsi="Times New Roman" w:cs="Times New Roman"/>
          <w:bCs/>
          <w:i/>
          <w:iCs/>
          <w:sz w:val="24"/>
          <w:szCs w:val="24"/>
        </w:rPr>
        <w:t xml:space="preserve"> </w:t>
      </w:r>
      <w:proofErr w:type="spellStart"/>
      <w:r w:rsidRPr="0007353C">
        <w:rPr>
          <w:rFonts w:ascii="Times New Roman" w:hAnsi="Times New Roman" w:cs="Times New Roman"/>
          <w:bCs/>
          <w:i/>
          <w:iCs/>
          <w:sz w:val="24"/>
          <w:szCs w:val="24"/>
        </w:rPr>
        <w:t>diversifolia</w:t>
      </w:r>
      <w:proofErr w:type="spellEnd"/>
      <w:r w:rsidRPr="0007353C">
        <w:rPr>
          <w:rFonts w:ascii="Times New Roman" w:hAnsi="Times New Roman" w:cs="Times New Roman"/>
          <w:bCs/>
          <w:sz w:val="24"/>
          <w:szCs w:val="24"/>
        </w:rPr>
        <w:t xml:space="preserve"> crude extract on hematologic</w:t>
      </w:r>
      <w:r w:rsidR="00502A32" w:rsidRPr="0007353C">
        <w:rPr>
          <w:rFonts w:ascii="Times New Roman" w:hAnsi="Times New Roman" w:cs="Times New Roman"/>
          <w:bCs/>
          <w:sz w:val="24"/>
          <w:szCs w:val="24"/>
        </w:rPr>
        <w:t>al</w:t>
      </w:r>
      <w:r w:rsidRPr="0007353C">
        <w:rPr>
          <w:rFonts w:ascii="Times New Roman" w:hAnsi="Times New Roman" w:cs="Times New Roman"/>
          <w:bCs/>
          <w:sz w:val="24"/>
          <w:szCs w:val="24"/>
        </w:rPr>
        <w:t xml:space="preserve"> parameters of mice infected with </w:t>
      </w:r>
      <w:r w:rsidRPr="0007353C">
        <w:rPr>
          <w:rFonts w:ascii="Times New Roman" w:hAnsi="Times New Roman" w:cs="Times New Roman"/>
          <w:bCs/>
          <w:i/>
          <w:iCs/>
          <w:sz w:val="24"/>
          <w:szCs w:val="24"/>
        </w:rPr>
        <w:t xml:space="preserve">Plasmodium </w:t>
      </w:r>
      <w:proofErr w:type="spellStart"/>
      <w:r w:rsidRPr="0007353C">
        <w:rPr>
          <w:rFonts w:ascii="Times New Roman" w:hAnsi="Times New Roman" w:cs="Times New Roman"/>
          <w:bCs/>
          <w:i/>
          <w:iCs/>
          <w:sz w:val="24"/>
          <w:szCs w:val="24"/>
        </w:rPr>
        <w:t>berghei</w:t>
      </w:r>
      <w:proofErr w:type="spellEnd"/>
      <w:r w:rsidRPr="0007353C">
        <w:rPr>
          <w:rFonts w:ascii="Times New Roman" w:hAnsi="Times New Roman" w:cs="Times New Roman"/>
          <w:bCs/>
          <w:sz w:val="24"/>
          <w:szCs w:val="24"/>
        </w:rPr>
        <w:t>.</w:t>
      </w:r>
      <w:r w:rsidR="00D32947" w:rsidRPr="0007353C">
        <w:rPr>
          <w:rFonts w:ascii="Times New Roman" w:hAnsi="Times New Roman" w:cs="Times New Roman"/>
          <w:bCs/>
          <w:sz w:val="24"/>
          <w:szCs w:val="24"/>
        </w:rPr>
        <w:t xml:space="preserve"> </w:t>
      </w:r>
      <w:r w:rsidR="00C219B4" w:rsidRPr="0007353C">
        <w:rPr>
          <w:rFonts w:ascii="Times New Roman" w:hAnsi="Times New Roman" w:cs="Times New Roman"/>
          <w:bCs/>
          <w:sz w:val="24"/>
          <w:szCs w:val="24"/>
        </w:rPr>
        <w:t>E</w:t>
      </w:r>
      <w:r w:rsidR="00D32947" w:rsidRPr="0007353C">
        <w:rPr>
          <w:rFonts w:ascii="Times New Roman" w:hAnsi="Times New Roman" w:cs="Times New Roman"/>
          <w:bCs/>
          <w:sz w:val="24"/>
          <w:szCs w:val="24"/>
        </w:rPr>
        <w:t>xperimental</w:t>
      </w:r>
      <w:r w:rsidR="00C219B4" w:rsidRPr="0007353C">
        <w:rPr>
          <w:rFonts w:ascii="Times New Roman" w:hAnsi="Times New Roman" w:cs="Times New Roman"/>
          <w:bCs/>
          <w:sz w:val="24"/>
          <w:szCs w:val="24"/>
        </w:rPr>
        <w:t xml:space="preserve"> solenoids were designed to generate the magnetic field, </w:t>
      </w:r>
      <w:proofErr w:type="gramStart"/>
      <w:r w:rsidR="00C219B4" w:rsidRPr="0007353C">
        <w:rPr>
          <w:rFonts w:ascii="Times New Roman" w:hAnsi="Times New Roman" w:cs="Times New Roman"/>
          <w:bCs/>
          <w:sz w:val="24"/>
          <w:szCs w:val="24"/>
        </w:rPr>
        <w:t xml:space="preserve">whereas  </w:t>
      </w:r>
      <w:r w:rsidR="008232B2" w:rsidRPr="0007353C">
        <w:rPr>
          <w:rFonts w:ascii="Times New Roman" w:hAnsi="Times New Roman" w:cs="Times New Roman"/>
          <w:bCs/>
          <w:i/>
          <w:iCs/>
          <w:sz w:val="24"/>
          <w:szCs w:val="24"/>
        </w:rPr>
        <w:t>T.</w:t>
      </w:r>
      <w:proofErr w:type="gramEnd"/>
      <w:r w:rsidR="008232B2" w:rsidRPr="0007353C">
        <w:rPr>
          <w:rFonts w:ascii="Times New Roman" w:hAnsi="Times New Roman" w:cs="Times New Roman"/>
          <w:bCs/>
          <w:i/>
          <w:iCs/>
          <w:sz w:val="24"/>
          <w:szCs w:val="24"/>
        </w:rPr>
        <w:t xml:space="preserve"> </w:t>
      </w:r>
      <w:proofErr w:type="spellStart"/>
      <w:r w:rsidR="008232B2" w:rsidRPr="0007353C">
        <w:rPr>
          <w:rFonts w:ascii="Times New Roman" w:hAnsi="Times New Roman" w:cs="Times New Roman"/>
          <w:bCs/>
          <w:i/>
          <w:iCs/>
          <w:sz w:val="24"/>
          <w:szCs w:val="24"/>
        </w:rPr>
        <w:t>diversifolia</w:t>
      </w:r>
      <w:proofErr w:type="spellEnd"/>
      <w:r w:rsidR="008232B2" w:rsidRPr="0007353C">
        <w:rPr>
          <w:rFonts w:ascii="Times New Roman" w:hAnsi="Times New Roman" w:cs="Times New Roman"/>
          <w:bCs/>
          <w:sz w:val="24"/>
          <w:szCs w:val="24"/>
        </w:rPr>
        <w:t xml:space="preserve"> </w:t>
      </w:r>
      <w:r w:rsidR="00211DF8" w:rsidRPr="0007353C">
        <w:rPr>
          <w:rFonts w:ascii="Times New Roman" w:hAnsi="Times New Roman" w:cs="Times New Roman"/>
          <w:bCs/>
          <w:sz w:val="24"/>
          <w:szCs w:val="24"/>
        </w:rPr>
        <w:t xml:space="preserve">crude </w:t>
      </w:r>
      <w:r w:rsidR="008232B2" w:rsidRPr="0007353C">
        <w:rPr>
          <w:rFonts w:ascii="Times New Roman" w:hAnsi="Times New Roman" w:cs="Times New Roman"/>
          <w:bCs/>
          <w:sz w:val="24"/>
          <w:szCs w:val="24"/>
        </w:rPr>
        <w:t>extract was prepared using 80% methanol</w:t>
      </w:r>
      <w:r w:rsidR="00211DF8" w:rsidRPr="0007353C">
        <w:rPr>
          <w:rFonts w:ascii="Times New Roman" w:hAnsi="Times New Roman" w:cs="Times New Roman"/>
          <w:bCs/>
          <w:sz w:val="24"/>
          <w:szCs w:val="24"/>
        </w:rPr>
        <w:t xml:space="preserve"> as solvent</w:t>
      </w:r>
      <w:r w:rsidR="00C219B4" w:rsidRPr="0007353C">
        <w:rPr>
          <w:rFonts w:ascii="Times New Roman" w:hAnsi="Times New Roman" w:cs="Times New Roman"/>
          <w:bCs/>
          <w:sz w:val="24"/>
          <w:szCs w:val="24"/>
        </w:rPr>
        <w:t>.</w:t>
      </w:r>
      <w:r w:rsidR="008232B2" w:rsidRPr="0007353C">
        <w:rPr>
          <w:rFonts w:ascii="Times New Roman" w:hAnsi="Times New Roman" w:cs="Times New Roman"/>
          <w:bCs/>
          <w:sz w:val="24"/>
          <w:szCs w:val="24"/>
        </w:rPr>
        <w:t xml:space="preserve"> </w:t>
      </w:r>
      <w:r w:rsidRPr="0007353C">
        <w:rPr>
          <w:rFonts w:ascii="Times New Roman" w:hAnsi="Times New Roman" w:cs="Times New Roman"/>
          <w:bCs/>
          <w:sz w:val="24"/>
          <w:szCs w:val="24"/>
        </w:rPr>
        <w:t xml:space="preserve">Twenty-five </w:t>
      </w:r>
      <w:r w:rsidR="005E06B1" w:rsidRPr="0007353C">
        <w:rPr>
          <w:rFonts w:ascii="Times New Roman" w:hAnsi="Times New Roman" w:cs="Times New Roman"/>
          <w:bCs/>
          <w:sz w:val="24"/>
          <w:szCs w:val="24"/>
        </w:rPr>
        <w:t xml:space="preserve">male </w:t>
      </w:r>
      <w:r w:rsidRPr="0007353C">
        <w:rPr>
          <w:rFonts w:ascii="Times New Roman" w:hAnsi="Times New Roman" w:cs="Times New Roman"/>
          <w:bCs/>
          <w:sz w:val="24"/>
          <w:szCs w:val="24"/>
        </w:rPr>
        <w:t>mice were divided into five groups of five mice each. Mice in the first group were infected with parasite, but untreated; group 2 consisted of parasitized mic</w:t>
      </w:r>
      <w:r w:rsidR="00211DF8" w:rsidRPr="0007353C">
        <w:rPr>
          <w:rFonts w:ascii="Times New Roman" w:hAnsi="Times New Roman" w:cs="Times New Roman"/>
          <w:bCs/>
          <w:sz w:val="24"/>
          <w:szCs w:val="24"/>
        </w:rPr>
        <w:t>e</w:t>
      </w:r>
      <w:r w:rsidRPr="0007353C">
        <w:rPr>
          <w:rFonts w:ascii="Times New Roman" w:hAnsi="Times New Roman" w:cs="Times New Roman"/>
          <w:bCs/>
          <w:sz w:val="24"/>
          <w:szCs w:val="24"/>
        </w:rPr>
        <w:t xml:space="preserve"> treated with </w:t>
      </w:r>
      <w:proofErr w:type="spellStart"/>
      <w:r w:rsidRPr="0007353C">
        <w:rPr>
          <w:rFonts w:ascii="Times New Roman" w:hAnsi="Times New Roman" w:cs="Times New Roman"/>
          <w:bCs/>
          <w:sz w:val="24"/>
          <w:szCs w:val="24"/>
        </w:rPr>
        <w:t>Arthemeter</w:t>
      </w:r>
      <w:proofErr w:type="spellEnd"/>
      <w:r w:rsidRPr="0007353C">
        <w:rPr>
          <w:rFonts w:ascii="Times New Roman" w:hAnsi="Times New Roman" w:cs="Times New Roman"/>
          <w:bCs/>
          <w:sz w:val="24"/>
          <w:szCs w:val="24"/>
        </w:rPr>
        <w:t>/Lumefantrine</w:t>
      </w:r>
      <w:r w:rsidR="000B2835" w:rsidRPr="0007353C">
        <w:rPr>
          <w:rFonts w:ascii="Times New Roman" w:hAnsi="Times New Roman" w:cs="Times New Roman"/>
          <w:bCs/>
          <w:sz w:val="24"/>
          <w:szCs w:val="24"/>
        </w:rPr>
        <w:t>;</w:t>
      </w:r>
      <w:r w:rsidRPr="0007353C">
        <w:rPr>
          <w:rFonts w:ascii="Times New Roman" w:hAnsi="Times New Roman" w:cs="Times New Roman"/>
          <w:bCs/>
          <w:sz w:val="24"/>
          <w:szCs w:val="24"/>
        </w:rPr>
        <w:t xml:space="preserve"> group 3 contained </w:t>
      </w:r>
      <w:r w:rsidR="000B2835" w:rsidRPr="0007353C">
        <w:rPr>
          <w:rFonts w:ascii="Times New Roman" w:hAnsi="Times New Roman" w:cs="Times New Roman"/>
          <w:bCs/>
          <w:sz w:val="24"/>
          <w:szCs w:val="24"/>
        </w:rPr>
        <w:t>infected mice t</w:t>
      </w:r>
      <w:r w:rsidR="00211DF8" w:rsidRPr="0007353C">
        <w:rPr>
          <w:rFonts w:ascii="Times New Roman" w:hAnsi="Times New Roman" w:cs="Times New Roman"/>
          <w:bCs/>
          <w:sz w:val="24"/>
          <w:szCs w:val="24"/>
        </w:rPr>
        <w:t>r</w:t>
      </w:r>
      <w:r w:rsidR="000B2835" w:rsidRPr="0007353C">
        <w:rPr>
          <w:rFonts w:ascii="Times New Roman" w:hAnsi="Times New Roman" w:cs="Times New Roman"/>
          <w:bCs/>
          <w:sz w:val="24"/>
          <w:szCs w:val="24"/>
        </w:rPr>
        <w:t xml:space="preserve">eated with crude extract of </w:t>
      </w:r>
      <w:r w:rsidR="000B2835" w:rsidRPr="0007353C">
        <w:rPr>
          <w:rFonts w:ascii="Times New Roman" w:hAnsi="Times New Roman" w:cs="Times New Roman"/>
          <w:bCs/>
          <w:i/>
          <w:iCs/>
          <w:sz w:val="24"/>
          <w:szCs w:val="24"/>
        </w:rPr>
        <w:t xml:space="preserve">T. </w:t>
      </w:r>
      <w:proofErr w:type="spellStart"/>
      <w:r w:rsidR="000B2835" w:rsidRPr="0007353C">
        <w:rPr>
          <w:rFonts w:ascii="Times New Roman" w:hAnsi="Times New Roman" w:cs="Times New Roman"/>
          <w:bCs/>
          <w:i/>
          <w:iCs/>
          <w:sz w:val="24"/>
          <w:szCs w:val="24"/>
        </w:rPr>
        <w:t>diversifolia</w:t>
      </w:r>
      <w:proofErr w:type="spellEnd"/>
      <w:r w:rsidR="000B2835" w:rsidRPr="0007353C">
        <w:rPr>
          <w:rFonts w:ascii="Times New Roman" w:hAnsi="Times New Roman" w:cs="Times New Roman"/>
          <w:bCs/>
          <w:sz w:val="24"/>
          <w:szCs w:val="24"/>
        </w:rPr>
        <w:t xml:space="preserve"> </w:t>
      </w:r>
      <w:proofErr w:type="gramStart"/>
      <w:r w:rsidR="000B2835" w:rsidRPr="0007353C">
        <w:rPr>
          <w:rFonts w:ascii="Times New Roman" w:hAnsi="Times New Roman" w:cs="Times New Roman"/>
          <w:bCs/>
          <w:sz w:val="24"/>
          <w:szCs w:val="24"/>
        </w:rPr>
        <w:t xml:space="preserve">leaf; </w:t>
      </w:r>
      <w:r w:rsidRPr="0007353C">
        <w:rPr>
          <w:rFonts w:ascii="Times New Roman" w:hAnsi="Times New Roman" w:cs="Times New Roman"/>
          <w:bCs/>
          <w:sz w:val="24"/>
          <w:szCs w:val="24"/>
        </w:rPr>
        <w:t xml:space="preserve"> </w:t>
      </w:r>
      <w:r w:rsidR="000B2835" w:rsidRPr="0007353C">
        <w:rPr>
          <w:rFonts w:ascii="Times New Roman" w:hAnsi="Times New Roman" w:cs="Times New Roman"/>
          <w:bCs/>
          <w:sz w:val="24"/>
          <w:szCs w:val="24"/>
        </w:rPr>
        <w:t>group</w:t>
      </w:r>
      <w:proofErr w:type="gramEnd"/>
      <w:r w:rsidR="000B2835" w:rsidRPr="0007353C">
        <w:rPr>
          <w:rFonts w:ascii="Times New Roman" w:hAnsi="Times New Roman" w:cs="Times New Roman"/>
          <w:bCs/>
          <w:sz w:val="24"/>
          <w:szCs w:val="24"/>
        </w:rPr>
        <w:t xml:space="preserve"> 4 contained parasitized mice exposed to a 10mT magnetic field, whereas mice in group 5 consisted of parasitized mice exposed to alternating magnetic field intensity of 20 </w:t>
      </w:r>
      <w:proofErr w:type="spellStart"/>
      <w:r w:rsidR="000B2835" w:rsidRPr="0007353C">
        <w:rPr>
          <w:rFonts w:ascii="Times New Roman" w:hAnsi="Times New Roman" w:cs="Times New Roman"/>
          <w:bCs/>
          <w:sz w:val="24"/>
          <w:szCs w:val="24"/>
        </w:rPr>
        <w:t>mT.</w:t>
      </w:r>
      <w:proofErr w:type="spellEnd"/>
      <w:r w:rsidR="000B2835" w:rsidRPr="0007353C">
        <w:rPr>
          <w:rFonts w:ascii="Times New Roman" w:hAnsi="Times New Roman" w:cs="Times New Roman"/>
          <w:bCs/>
          <w:sz w:val="24"/>
          <w:szCs w:val="24"/>
        </w:rPr>
        <w:t xml:space="preserve"> </w:t>
      </w:r>
      <w:r w:rsidR="00211DF8" w:rsidRPr="0007353C">
        <w:rPr>
          <w:rFonts w:ascii="Times New Roman" w:hAnsi="Times New Roman" w:cs="Times New Roman"/>
          <w:bCs/>
          <w:sz w:val="24"/>
          <w:szCs w:val="24"/>
        </w:rPr>
        <w:t>P</w:t>
      </w:r>
      <w:r w:rsidR="000B2835" w:rsidRPr="0007353C">
        <w:rPr>
          <w:rFonts w:ascii="Times New Roman" w:hAnsi="Times New Roman" w:cs="Times New Roman"/>
          <w:bCs/>
          <w:sz w:val="24"/>
          <w:szCs w:val="24"/>
        </w:rPr>
        <w:t xml:space="preserve">arasitemia was confirmed by testing blood drawn from their tails. Group III was treated with 100 mg/kg body weight of the extract each day for seven days whereas Groups IV and V were exposed to alternating magnetic field for six hours each day for seven days. A </w:t>
      </w:r>
      <w:r w:rsidR="00211DF8" w:rsidRPr="0007353C">
        <w:rPr>
          <w:rFonts w:ascii="Times New Roman" w:hAnsi="Times New Roman" w:cs="Times New Roman"/>
          <w:bCs/>
          <w:sz w:val="24"/>
          <w:szCs w:val="24"/>
        </w:rPr>
        <w:t>four-day</w:t>
      </w:r>
      <w:r w:rsidR="000B2835" w:rsidRPr="0007353C">
        <w:rPr>
          <w:rFonts w:ascii="Times New Roman" w:hAnsi="Times New Roman" w:cs="Times New Roman"/>
          <w:bCs/>
          <w:sz w:val="24"/>
          <w:szCs w:val="24"/>
        </w:rPr>
        <w:t xml:space="preserve"> suppressive test was carried out, and </w:t>
      </w:r>
      <w:r w:rsidR="00980BA5" w:rsidRPr="0007353C">
        <w:rPr>
          <w:rFonts w:ascii="Times New Roman" w:hAnsi="Times New Roman" w:cs="Times New Roman"/>
          <w:bCs/>
          <w:sz w:val="24"/>
          <w:szCs w:val="24"/>
        </w:rPr>
        <w:t>the animals were sacrificed after the seventh day, for the collection of blood prior to assay for hematological parameters.</w:t>
      </w:r>
      <w:r w:rsidR="00211DF8" w:rsidRPr="0007353C">
        <w:rPr>
          <w:rFonts w:ascii="Times New Roman" w:hAnsi="Times New Roman" w:cs="Times New Roman"/>
          <w:bCs/>
          <w:sz w:val="24"/>
          <w:szCs w:val="24"/>
        </w:rPr>
        <w:t xml:space="preserve"> Results from the suppressive test revealed that </w:t>
      </w:r>
      <w:r w:rsidR="005E06B1" w:rsidRPr="0007353C">
        <w:rPr>
          <w:rFonts w:ascii="Times New Roman" w:hAnsi="Times New Roman" w:cs="Times New Roman"/>
          <w:bCs/>
          <w:i/>
          <w:iCs/>
          <w:sz w:val="24"/>
          <w:szCs w:val="24"/>
        </w:rPr>
        <w:t xml:space="preserve">T. </w:t>
      </w:r>
      <w:proofErr w:type="spellStart"/>
      <w:r w:rsidR="005E06B1" w:rsidRPr="0007353C">
        <w:rPr>
          <w:rFonts w:ascii="Times New Roman" w:hAnsi="Times New Roman" w:cs="Times New Roman"/>
          <w:bCs/>
          <w:i/>
          <w:iCs/>
          <w:sz w:val="24"/>
          <w:szCs w:val="24"/>
        </w:rPr>
        <w:t>diversifolia</w:t>
      </w:r>
      <w:proofErr w:type="spellEnd"/>
      <w:r w:rsidR="005E06B1" w:rsidRPr="0007353C">
        <w:rPr>
          <w:rFonts w:ascii="Times New Roman" w:hAnsi="Times New Roman" w:cs="Times New Roman"/>
          <w:bCs/>
          <w:sz w:val="24"/>
          <w:szCs w:val="24"/>
        </w:rPr>
        <w:t xml:space="preserve"> suppressed parasitemia count better than alternative magnetic fields, whereas mice that received a magnetic field intensity</w:t>
      </w:r>
      <w:r w:rsidR="00852F5F" w:rsidRPr="0007353C">
        <w:rPr>
          <w:rFonts w:ascii="Times New Roman" w:hAnsi="Times New Roman" w:cs="Times New Roman"/>
          <w:bCs/>
          <w:sz w:val="24"/>
          <w:szCs w:val="24"/>
        </w:rPr>
        <w:t xml:space="preserve"> of 20mT</w:t>
      </w:r>
      <w:r w:rsidR="005E06B1" w:rsidRPr="0007353C">
        <w:rPr>
          <w:rFonts w:ascii="Times New Roman" w:hAnsi="Times New Roman" w:cs="Times New Roman"/>
          <w:bCs/>
          <w:sz w:val="24"/>
          <w:szCs w:val="24"/>
        </w:rPr>
        <w:t xml:space="preserve"> had the most improved hematological indices. The study concludes that </w:t>
      </w:r>
      <w:r w:rsidR="00852F5F" w:rsidRPr="0007353C">
        <w:rPr>
          <w:rFonts w:ascii="Times New Roman" w:hAnsi="Times New Roman" w:cs="Times New Roman"/>
          <w:bCs/>
          <w:sz w:val="24"/>
          <w:szCs w:val="24"/>
        </w:rPr>
        <w:t>alternating magnetic fields have the potential to ameliorate anemic conditions in mouse models of malaria and should be explored further at higher intensities.</w:t>
      </w:r>
    </w:p>
    <w:p w14:paraId="0EE76E47" w14:textId="1C836494" w:rsidR="0007353C" w:rsidRDefault="001268DB" w:rsidP="0038398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Keywords: </w:t>
      </w:r>
      <w:proofErr w:type="spellStart"/>
      <w:r w:rsidRPr="001268DB">
        <w:rPr>
          <w:rFonts w:ascii="Times New Roman" w:hAnsi="Times New Roman" w:cs="Times New Roman"/>
          <w:bCs/>
          <w:i/>
          <w:iCs/>
          <w:sz w:val="24"/>
          <w:szCs w:val="24"/>
        </w:rPr>
        <w:t>Tithonia</w:t>
      </w:r>
      <w:proofErr w:type="spellEnd"/>
      <w:r w:rsidRPr="001268DB">
        <w:rPr>
          <w:rFonts w:ascii="Times New Roman" w:hAnsi="Times New Roman" w:cs="Times New Roman"/>
          <w:bCs/>
          <w:i/>
          <w:iCs/>
          <w:sz w:val="24"/>
          <w:szCs w:val="24"/>
        </w:rPr>
        <w:t xml:space="preserve"> </w:t>
      </w:r>
      <w:proofErr w:type="spellStart"/>
      <w:r w:rsidRPr="001268DB">
        <w:rPr>
          <w:rFonts w:ascii="Times New Roman" w:hAnsi="Times New Roman" w:cs="Times New Roman"/>
          <w:bCs/>
          <w:i/>
          <w:iCs/>
          <w:sz w:val="24"/>
          <w:szCs w:val="24"/>
        </w:rPr>
        <w:t>diversifolia</w:t>
      </w:r>
      <w:proofErr w:type="spellEnd"/>
      <w:r>
        <w:rPr>
          <w:rFonts w:ascii="Times New Roman" w:hAnsi="Times New Roman" w:cs="Times New Roman"/>
          <w:bCs/>
          <w:i/>
          <w:iCs/>
          <w:sz w:val="24"/>
          <w:szCs w:val="24"/>
        </w:rPr>
        <w:t xml:space="preserve">, </w:t>
      </w:r>
      <w:r w:rsidRPr="001268DB">
        <w:rPr>
          <w:rFonts w:ascii="Times New Roman" w:hAnsi="Times New Roman" w:cs="Times New Roman"/>
          <w:bCs/>
          <w:sz w:val="24"/>
          <w:szCs w:val="24"/>
        </w:rPr>
        <w:t>alternating magnetic field,</w:t>
      </w:r>
      <w:r>
        <w:rPr>
          <w:rFonts w:ascii="Times New Roman" w:hAnsi="Times New Roman" w:cs="Times New Roman"/>
          <w:bCs/>
          <w:sz w:val="24"/>
          <w:szCs w:val="24"/>
        </w:rPr>
        <w:t xml:space="preserve"> malaria, </w:t>
      </w:r>
      <w:r w:rsidRPr="001268DB">
        <w:rPr>
          <w:rFonts w:ascii="Times New Roman" w:hAnsi="Times New Roman" w:cs="Times New Roman"/>
          <w:bCs/>
          <w:i/>
          <w:iCs/>
          <w:sz w:val="24"/>
          <w:szCs w:val="24"/>
        </w:rPr>
        <w:t xml:space="preserve">Plasmodium </w:t>
      </w:r>
      <w:proofErr w:type="spellStart"/>
      <w:r w:rsidRPr="001268DB">
        <w:rPr>
          <w:rFonts w:ascii="Times New Roman" w:hAnsi="Times New Roman" w:cs="Times New Roman"/>
          <w:bCs/>
          <w:i/>
          <w:iCs/>
          <w:sz w:val="24"/>
          <w:szCs w:val="24"/>
        </w:rPr>
        <w:t>berghei</w:t>
      </w:r>
      <w:proofErr w:type="spellEnd"/>
      <w:r w:rsidR="00C40C56">
        <w:rPr>
          <w:rFonts w:ascii="Times New Roman" w:hAnsi="Times New Roman" w:cs="Times New Roman"/>
          <w:bCs/>
          <w:i/>
          <w:iCs/>
          <w:sz w:val="24"/>
          <w:szCs w:val="24"/>
        </w:rPr>
        <w:t xml:space="preserve">, </w:t>
      </w:r>
      <w:r w:rsidR="00C40C56" w:rsidRPr="00C40C56">
        <w:rPr>
          <w:rFonts w:ascii="Times New Roman" w:hAnsi="Times New Roman" w:cs="Times New Roman"/>
          <w:bCs/>
          <w:sz w:val="24"/>
          <w:szCs w:val="24"/>
        </w:rPr>
        <w:t>hematolog</w:t>
      </w:r>
      <w:r w:rsidR="00C40C56">
        <w:rPr>
          <w:rFonts w:ascii="Times New Roman" w:hAnsi="Times New Roman" w:cs="Times New Roman"/>
          <w:bCs/>
          <w:sz w:val="24"/>
          <w:szCs w:val="24"/>
        </w:rPr>
        <w:t>ical indices</w:t>
      </w:r>
    </w:p>
    <w:p w14:paraId="7C030FD5" w14:textId="77777777" w:rsidR="00FE4B3E" w:rsidRPr="00FE4B3E" w:rsidRDefault="00FE4B3E" w:rsidP="00383980">
      <w:pPr>
        <w:spacing w:after="0" w:line="360" w:lineRule="auto"/>
        <w:jc w:val="both"/>
        <w:rPr>
          <w:rFonts w:ascii="Times New Roman" w:hAnsi="Times New Roman" w:cs="Times New Roman"/>
          <w:bCs/>
          <w:sz w:val="24"/>
          <w:szCs w:val="24"/>
        </w:rPr>
      </w:pPr>
    </w:p>
    <w:p w14:paraId="2E6C0A45" w14:textId="00A32C4E" w:rsidR="00B7643F" w:rsidRDefault="00B23AA5" w:rsidP="003839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B7643F" w:rsidRPr="00C91765">
        <w:rPr>
          <w:rFonts w:ascii="Times New Roman" w:hAnsi="Times New Roman" w:cs="Times New Roman"/>
          <w:b/>
          <w:sz w:val="24"/>
          <w:szCs w:val="24"/>
        </w:rPr>
        <w:t>Introduction</w:t>
      </w:r>
    </w:p>
    <w:p w14:paraId="2C097EDF" w14:textId="77777777" w:rsidR="00C03C84" w:rsidRDefault="007F2832" w:rsidP="00383980">
      <w:pPr>
        <w:spacing w:after="0" w:line="360" w:lineRule="auto"/>
        <w:jc w:val="both"/>
        <w:rPr>
          <w:rFonts w:ascii="Times New Roman" w:hAnsi="Times New Roman" w:cs="Times New Roman"/>
          <w:sz w:val="24"/>
          <w:szCs w:val="24"/>
        </w:rPr>
      </w:pPr>
      <w:r w:rsidRPr="00CB1042">
        <w:rPr>
          <w:rFonts w:ascii="Times New Roman" w:hAnsi="Times New Roman" w:cs="Times New Roman"/>
          <w:sz w:val="24"/>
          <w:szCs w:val="24"/>
        </w:rPr>
        <w:t xml:space="preserve">Plasmodium parasite protozoans are the cause of malaria, an infectious disease that affects humans and other mammals. The female Anopheles mosquito is the carrier of this parasite. If treatment is not received, the parasite's growth within erythrocytes might cause fatal symptoms like high fever, chills in the evening, and headaches. Malaria complications include brain, liver, and kidney </w:t>
      </w:r>
      <w:r w:rsidRPr="00CB1042">
        <w:rPr>
          <w:rFonts w:ascii="Times New Roman" w:hAnsi="Times New Roman" w:cs="Times New Roman"/>
          <w:sz w:val="24"/>
          <w:szCs w:val="24"/>
        </w:rPr>
        <w:lastRenderedPageBreak/>
        <w:t xml:space="preserve">damage, as well as deadly anemia (Ekun </w:t>
      </w:r>
      <w:r w:rsidRPr="00CB1042">
        <w:rPr>
          <w:rFonts w:ascii="Times New Roman" w:hAnsi="Times New Roman" w:cs="Times New Roman"/>
          <w:i/>
          <w:iCs/>
          <w:sz w:val="24"/>
          <w:szCs w:val="24"/>
        </w:rPr>
        <w:t>et al.,</w:t>
      </w:r>
      <w:r w:rsidRPr="00CB1042">
        <w:rPr>
          <w:rFonts w:ascii="Times New Roman" w:hAnsi="Times New Roman" w:cs="Times New Roman"/>
          <w:sz w:val="24"/>
          <w:szCs w:val="24"/>
        </w:rPr>
        <w:t xml:space="preserve"> 2023</w:t>
      </w:r>
      <w:r w:rsidRPr="00545BAC">
        <w:rPr>
          <w:rFonts w:ascii="Times New Roman" w:hAnsi="Times New Roman" w:cs="Times New Roman"/>
          <w:i/>
          <w:iCs/>
          <w:sz w:val="24"/>
          <w:szCs w:val="24"/>
        </w:rPr>
        <w:t xml:space="preserve">). P. vivax, P. malariae, P. </w:t>
      </w:r>
      <w:proofErr w:type="spellStart"/>
      <w:r w:rsidRPr="00545BAC">
        <w:rPr>
          <w:rFonts w:ascii="Times New Roman" w:hAnsi="Times New Roman" w:cs="Times New Roman"/>
          <w:i/>
          <w:iCs/>
          <w:sz w:val="24"/>
          <w:szCs w:val="24"/>
        </w:rPr>
        <w:t>ovale</w:t>
      </w:r>
      <w:proofErr w:type="spellEnd"/>
      <w:r w:rsidRPr="00545BAC">
        <w:rPr>
          <w:rFonts w:ascii="Times New Roman" w:hAnsi="Times New Roman" w:cs="Times New Roman"/>
          <w:i/>
          <w:iCs/>
          <w:sz w:val="24"/>
          <w:szCs w:val="24"/>
        </w:rPr>
        <w:t>, P. falciparum, P. knowlesi,</w:t>
      </w:r>
      <w:r w:rsidRPr="00CB1042">
        <w:rPr>
          <w:rFonts w:ascii="Times New Roman" w:hAnsi="Times New Roman" w:cs="Times New Roman"/>
          <w:sz w:val="24"/>
          <w:szCs w:val="24"/>
        </w:rPr>
        <w:t xml:space="preserve"> are the major species of Plasmodium that cause malaria. It has been shown that </w:t>
      </w:r>
      <w:r w:rsidRPr="001B2F59">
        <w:rPr>
          <w:rFonts w:ascii="Times New Roman" w:hAnsi="Times New Roman" w:cs="Times New Roman"/>
          <w:i/>
          <w:iCs/>
          <w:sz w:val="24"/>
          <w:szCs w:val="24"/>
        </w:rPr>
        <w:t>P. vivax</w:t>
      </w:r>
      <w:r w:rsidRPr="00CB1042">
        <w:rPr>
          <w:rFonts w:ascii="Times New Roman" w:hAnsi="Times New Roman" w:cs="Times New Roman"/>
          <w:sz w:val="24"/>
          <w:szCs w:val="24"/>
        </w:rPr>
        <w:t xml:space="preserve"> and </w:t>
      </w:r>
      <w:r w:rsidRPr="001B2F59">
        <w:rPr>
          <w:rFonts w:ascii="Times New Roman" w:hAnsi="Times New Roman" w:cs="Times New Roman"/>
          <w:i/>
          <w:iCs/>
          <w:sz w:val="24"/>
          <w:szCs w:val="24"/>
        </w:rPr>
        <w:t>P. falciparum</w:t>
      </w:r>
      <w:r w:rsidRPr="00CB1042">
        <w:rPr>
          <w:rFonts w:ascii="Times New Roman" w:hAnsi="Times New Roman" w:cs="Times New Roman"/>
          <w:sz w:val="24"/>
          <w:szCs w:val="24"/>
        </w:rPr>
        <w:t xml:space="preserve"> play a major role in the pathogenesis of malaria worldwide, resulting in millions of cases and deaths (Ahmed and Cox-Singh, 2015). Malaria frequently causes biochemical changes in tissue metabolism because the parasite's metabolic processes deplete structural biomolecules</w:t>
      </w:r>
      <w:r w:rsidR="00A85AA9" w:rsidRPr="00CB1042">
        <w:rPr>
          <w:rFonts w:ascii="Times New Roman" w:hAnsi="Times New Roman" w:cs="Times New Roman"/>
          <w:sz w:val="24"/>
          <w:szCs w:val="24"/>
        </w:rPr>
        <w:t xml:space="preserve"> such as lipids, </w:t>
      </w:r>
      <w:r w:rsidR="00CB1042" w:rsidRPr="00CB1042">
        <w:rPr>
          <w:rFonts w:ascii="Times New Roman" w:hAnsi="Times New Roman" w:cs="Times New Roman"/>
          <w:sz w:val="24"/>
          <w:szCs w:val="24"/>
        </w:rPr>
        <w:t>proteins in</w:t>
      </w:r>
      <w:r w:rsidRPr="00CB1042">
        <w:rPr>
          <w:rFonts w:ascii="Times New Roman" w:hAnsi="Times New Roman" w:cs="Times New Roman"/>
          <w:sz w:val="24"/>
          <w:szCs w:val="24"/>
        </w:rPr>
        <w:t xml:space="preserve"> organs such the liver, kidney, heart, and brain (Olusola, 2018). These result in the loss of these biomolecules from the tissue and increased levels of specific enzymes and biomolecules in blood plasma, which suggests a progressive death of the affected animals' critical organs (</w:t>
      </w:r>
      <w:proofErr w:type="spellStart"/>
      <w:r w:rsidRPr="00CB1042">
        <w:rPr>
          <w:rFonts w:ascii="Times New Roman" w:hAnsi="Times New Roman" w:cs="Times New Roman"/>
          <w:sz w:val="24"/>
          <w:szCs w:val="24"/>
        </w:rPr>
        <w:t>Megabiaw</w:t>
      </w:r>
      <w:proofErr w:type="spellEnd"/>
      <w:r w:rsidRPr="00CB1042">
        <w:rPr>
          <w:rFonts w:ascii="Times New Roman" w:hAnsi="Times New Roman" w:cs="Times New Roman"/>
          <w:sz w:val="24"/>
          <w:szCs w:val="24"/>
        </w:rPr>
        <w:t xml:space="preserve"> </w:t>
      </w:r>
      <w:r w:rsidRPr="00CB1042">
        <w:rPr>
          <w:rFonts w:ascii="Times New Roman" w:hAnsi="Times New Roman" w:cs="Times New Roman"/>
          <w:i/>
          <w:iCs/>
          <w:sz w:val="24"/>
          <w:szCs w:val="24"/>
        </w:rPr>
        <w:t xml:space="preserve">et al., </w:t>
      </w:r>
      <w:r w:rsidRPr="00CB1042">
        <w:rPr>
          <w:rFonts w:ascii="Times New Roman" w:hAnsi="Times New Roman" w:cs="Times New Roman"/>
          <w:sz w:val="24"/>
          <w:szCs w:val="24"/>
        </w:rPr>
        <w:t>2022).</w:t>
      </w:r>
      <w:r w:rsidR="00A85AA9" w:rsidRPr="00CB1042">
        <w:rPr>
          <w:rFonts w:ascii="Times New Roman" w:hAnsi="Times New Roman" w:cs="Times New Roman"/>
          <w:sz w:val="24"/>
          <w:szCs w:val="24"/>
        </w:rPr>
        <w:t xml:space="preserve"> In addition, malaria parasite progressively </w:t>
      </w:r>
      <w:r w:rsidR="00CB1042" w:rsidRPr="00CB1042">
        <w:rPr>
          <w:rFonts w:ascii="Times New Roman" w:hAnsi="Times New Roman" w:cs="Times New Roman"/>
          <w:sz w:val="24"/>
          <w:szCs w:val="24"/>
        </w:rPr>
        <w:t>degrades</w:t>
      </w:r>
      <w:r w:rsidR="00A85AA9" w:rsidRPr="00CB1042">
        <w:rPr>
          <w:rFonts w:ascii="Times New Roman" w:hAnsi="Times New Roman" w:cs="Times New Roman"/>
          <w:sz w:val="24"/>
          <w:szCs w:val="24"/>
        </w:rPr>
        <w:t xml:space="preserve"> hemoglobin, and by extension the erythrocytes, causing </w:t>
      </w:r>
      <w:r w:rsidR="00CB1042" w:rsidRPr="00CB1042">
        <w:rPr>
          <w:rFonts w:ascii="Times New Roman" w:hAnsi="Times New Roman" w:cs="Times New Roman"/>
          <w:sz w:val="24"/>
          <w:szCs w:val="24"/>
        </w:rPr>
        <w:t>anemia</w:t>
      </w:r>
      <w:r w:rsidR="00A85AA9" w:rsidRPr="00CB1042">
        <w:rPr>
          <w:rFonts w:ascii="Times New Roman" w:hAnsi="Times New Roman" w:cs="Times New Roman"/>
          <w:sz w:val="24"/>
          <w:szCs w:val="24"/>
        </w:rPr>
        <w:t xml:space="preserve"> </w:t>
      </w:r>
      <w:r w:rsidR="00CB1042">
        <w:rPr>
          <w:rFonts w:ascii="Times New Roman" w:hAnsi="Times New Roman" w:cs="Times New Roman"/>
          <w:sz w:val="24"/>
          <w:szCs w:val="24"/>
        </w:rPr>
        <w:t>in</w:t>
      </w:r>
      <w:r w:rsidR="00A85AA9" w:rsidRPr="00CB1042">
        <w:rPr>
          <w:rFonts w:ascii="Times New Roman" w:hAnsi="Times New Roman" w:cs="Times New Roman"/>
          <w:sz w:val="24"/>
          <w:szCs w:val="24"/>
        </w:rPr>
        <w:t xml:space="preserve"> infected individuals.</w:t>
      </w:r>
      <w:r w:rsidR="00545BAC">
        <w:rPr>
          <w:rFonts w:ascii="Times New Roman" w:hAnsi="Times New Roman" w:cs="Times New Roman"/>
          <w:sz w:val="24"/>
          <w:szCs w:val="24"/>
        </w:rPr>
        <w:t xml:space="preserve"> </w:t>
      </w:r>
      <w:proofErr w:type="spellStart"/>
      <w:r w:rsidR="00545BAC">
        <w:rPr>
          <w:rFonts w:ascii="Times New Roman" w:hAnsi="Times New Roman" w:cs="Times New Roman"/>
          <w:sz w:val="24"/>
          <w:szCs w:val="24"/>
        </w:rPr>
        <w:t>A</w:t>
      </w:r>
      <w:r w:rsidR="00CB1042" w:rsidRPr="00CB1042">
        <w:rPr>
          <w:rFonts w:ascii="Times New Roman" w:hAnsi="Times New Roman" w:cs="Times New Roman"/>
          <w:sz w:val="24"/>
          <w:szCs w:val="24"/>
        </w:rPr>
        <w:t>termisinin</w:t>
      </w:r>
      <w:proofErr w:type="spellEnd"/>
      <w:r w:rsidR="00CB1042" w:rsidRPr="00CB1042">
        <w:rPr>
          <w:rFonts w:ascii="Times New Roman" w:hAnsi="Times New Roman" w:cs="Times New Roman"/>
          <w:sz w:val="24"/>
          <w:szCs w:val="24"/>
        </w:rPr>
        <w:t xml:space="preserve"> derivative</w:t>
      </w:r>
      <w:r w:rsidR="00545BAC">
        <w:rPr>
          <w:rFonts w:ascii="Times New Roman" w:hAnsi="Times New Roman" w:cs="Times New Roman"/>
          <w:sz w:val="24"/>
          <w:szCs w:val="24"/>
        </w:rPr>
        <w:t>s are commonly</w:t>
      </w:r>
      <w:r w:rsidR="00CB1042" w:rsidRPr="00CB1042">
        <w:rPr>
          <w:rFonts w:ascii="Times New Roman" w:hAnsi="Times New Roman" w:cs="Times New Roman"/>
          <w:sz w:val="24"/>
          <w:szCs w:val="24"/>
        </w:rPr>
        <w:t xml:space="preserve"> used in conventional chemotherapeutic techniques, particularly when combined with a quinoline or an antimetabolite as in the case of the advised artemisinin combination treatments, ACT</w:t>
      </w:r>
      <w:r w:rsidR="00545BAC">
        <w:rPr>
          <w:rFonts w:ascii="Times New Roman" w:hAnsi="Times New Roman" w:cs="Times New Roman"/>
          <w:sz w:val="24"/>
          <w:szCs w:val="24"/>
        </w:rPr>
        <w:t>s</w:t>
      </w:r>
      <w:r w:rsidR="00CB1042" w:rsidRPr="00CB1042">
        <w:rPr>
          <w:rFonts w:ascii="Times New Roman" w:hAnsi="Times New Roman" w:cs="Times New Roman"/>
          <w:sz w:val="24"/>
          <w:szCs w:val="24"/>
        </w:rPr>
        <w:t xml:space="preserve"> </w:t>
      </w:r>
      <w:r w:rsidR="00545BAC">
        <w:rPr>
          <w:rFonts w:ascii="Times New Roman" w:hAnsi="Times New Roman" w:cs="Times New Roman"/>
          <w:sz w:val="24"/>
          <w:szCs w:val="24"/>
        </w:rPr>
        <w:t>(</w:t>
      </w:r>
      <w:r w:rsidR="00CB1042" w:rsidRPr="00CB1042">
        <w:rPr>
          <w:rFonts w:ascii="Times New Roman" w:hAnsi="Times New Roman" w:cs="Times New Roman"/>
          <w:sz w:val="24"/>
          <w:szCs w:val="24"/>
        </w:rPr>
        <w:t xml:space="preserve">Assefa </w:t>
      </w:r>
      <w:r w:rsidR="00CB1042" w:rsidRPr="00545BAC">
        <w:rPr>
          <w:rFonts w:ascii="Times New Roman" w:hAnsi="Times New Roman" w:cs="Times New Roman"/>
          <w:i/>
          <w:iCs/>
          <w:sz w:val="24"/>
          <w:szCs w:val="24"/>
        </w:rPr>
        <w:t>et al.,</w:t>
      </w:r>
      <w:r w:rsidR="00CB1042" w:rsidRPr="00CB1042">
        <w:rPr>
          <w:rFonts w:ascii="Times New Roman" w:hAnsi="Times New Roman" w:cs="Times New Roman"/>
          <w:sz w:val="24"/>
          <w:szCs w:val="24"/>
        </w:rPr>
        <w:t xml:space="preserve"> 2010). Nonetheless, a number of studies and case reports have documented instances of antimalarial resistance, </w:t>
      </w:r>
      <w:r w:rsidR="00545BAC">
        <w:rPr>
          <w:rFonts w:ascii="Times New Roman" w:hAnsi="Times New Roman" w:cs="Times New Roman"/>
          <w:sz w:val="24"/>
          <w:szCs w:val="24"/>
        </w:rPr>
        <w:t xml:space="preserve">via several mechanisms such as drug inactivation and drug efflux from </w:t>
      </w:r>
      <w:proofErr w:type="spellStart"/>
      <w:r w:rsidR="00545BAC">
        <w:rPr>
          <w:rFonts w:ascii="Times New Roman" w:hAnsi="Times New Roman" w:cs="Times New Roman"/>
          <w:sz w:val="24"/>
          <w:szCs w:val="24"/>
        </w:rPr>
        <w:t>vacoules</w:t>
      </w:r>
      <w:proofErr w:type="spellEnd"/>
      <w:r w:rsidR="00CB1042" w:rsidRPr="00CB1042">
        <w:rPr>
          <w:rFonts w:ascii="Times New Roman" w:hAnsi="Times New Roman" w:cs="Times New Roman"/>
          <w:sz w:val="24"/>
          <w:szCs w:val="24"/>
        </w:rPr>
        <w:t xml:space="preserve"> (</w:t>
      </w:r>
      <w:proofErr w:type="spellStart"/>
      <w:r w:rsidR="00CB1042" w:rsidRPr="00CB1042">
        <w:rPr>
          <w:rFonts w:ascii="Times New Roman" w:hAnsi="Times New Roman" w:cs="Times New Roman"/>
          <w:sz w:val="24"/>
          <w:szCs w:val="24"/>
        </w:rPr>
        <w:t>Dondorp</w:t>
      </w:r>
      <w:proofErr w:type="spellEnd"/>
      <w:r w:rsidR="00CB1042" w:rsidRPr="00CB1042">
        <w:rPr>
          <w:rFonts w:ascii="Times New Roman" w:hAnsi="Times New Roman" w:cs="Times New Roman"/>
          <w:sz w:val="24"/>
          <w:szCs w:val="24"/>
        </w:rPr>
        <w:t xml:space="preserve"> </w:t>
      </w:r>
      <w:r w:rsidR="00CB1042" w:rsidRPr="00545BAC">
        <w:rPr>
          <w:rFonts w:ascii="Times New Roman" w:hAnsi="Times New Roman" w:cs="Times New Roman"/>
          <w:i/>
          <w:iCs/>
          <w:sz w:val="24"/>
          <w:szCs w:val="24"/>
        </w:rPr>
        <w:t>et al.,</w:t>
      </w:r>
      <w:r w:rsidR="00CB1042" w:rsidRPr="00CB1042">
        <w:rPr>
          <w:rFonts w:ascii="Times New Roman" w:hAnsi="Times New Roman" w:cs="Times New Roman"/>
          <w:sz w:val="24"/>
          <w:szCs w:val="24"/>
        </w:rPr>
        <w:t xml:space="preserve"> 2009).</w:t>
      </w:r>
      <w:r w:rsidR="00545BAC">
        <w:rPr>
          <w:rFonts w:ascii="Times New Roman" w:hAnsi="Times New Roman" w:cs="Times New Roman"/>
          <w:sz w:val="24"/>
          <w:szCs w:val="24"/>
        </w:rPr>
        <w:t xml:space="preserve"> Due to this, there is need for research into other alternatives, which in this study we explored </w:t>
      </w:r>
      <w:proofErr w:type="spellStart"/>
      <w:r w:rsidR="00545BAC" w:rsidRPr="00545BAC">
        <w:rPr>
          <w:rFonts w:ascii="Times New Roman" w:hAnsi="Times New Roman" w:cs="Times New Roman"/>
          <w:i/>
          <w:iCs/>
          <w:sz w:val="24"/>
          <w:szCs w:val="24"/>
        </w:rPr>
        <w:t>Tithonia</w:t>
      </w:r>
      <w:proofErr w:type="spellEnd"/>
      <w:r w:rsidR="00545BAC" w:rsidRPr="00545BAC">
        <w:rPr>
          <w:rFonts w:ascii="Times New Roman" w:hAnsi="Times New Roman" w:cs="Times New Roman"/>
          <w:i/>
          <w:iCs/>
          <w:sz w:val="24"/>
          <w:szCs w:val="24"/>
        </w:rPr>
        <w:t xml:space="preserve"> </w:t>
      </w:r>
      <w:proofErr w:type="spellStart"/>
      <w:r w:rsidR="00545BAC" w:rsidRPr="00545BAC">
        <w:rPr>
          <w:rFonts w:ascii="Times New Roman" w:hAnsi="Times New Roman" w:cs="Times New Roman"/>
          <w:i/>
          <w:iCs/>
          <w:sz w:val="24"/>
          <w:szCs w:val="24"/>
        </w:rPr>
        <w:t>diversifolia</w:t>
      </w:r>
      <w:proofErr w:type="spellEnd"/>
      <w:r w:rsidR="00545BAC" w:rsidRPr="00545BAC">
        <w:rPr>
          <w:rFonts w:ascii="Times New Roman" w:hAnsi="Times New Roman" w:cs="Times New Roman"/>
          <w:i/>
          <w:iCs/>
          <w:sz w:val="24"/>
          <w:szCs w:val="24"/>
        </w:rPr>
        <w:t xml:space="preserve"> </w:t>
      </w:r>
      <w:r w:rsidR="00545BAC">
        <w:rPr>
          <w:rFonts w:ascii="Times New Roman" w:hAnsi="Times New Roman" w:cs="Times New Roman"/>
          <w:sz w:val="24"/>
          <w:szCs w:val="24"/>
        </w:rPr>
        <w:t>and alternating magnetic field.</w:t>
      </w:r>
    </w:p>
    <w:p w14:paraId="27913B4A" w14:textId="77777777" w:rsidR="009352E6" w:rsidRDefault="00545BAC" w:rsidP="00383980">
      <w:pPr>
        <w:spacing w:after="0" w:line="360" w:lineRule="auto"/>
        <w:jc w:val="both"/>
        <w:rPr>
          <w:rFonts w:ascii="Times New Roman" w:eastAsia="Times New Roman" w:hAnsi="Times New Roman" w:cs="Times New Roman"/>
          <w:sz w:val="24"/>
          <w:szCs w:val="24"/>
        </w:rPr>
      </w:pPr>
      <w:proofErr w:type="spellStart"/>
      <w:r w:rsidRPr="00545BAC">
        <w:rPr>
          <w:rFonts w:ascii="Times New Roman" w:hAnsi="Times New Roman" w:cs="Times New Roman"/>
          <w:i/>
          <w:iCs/>
          <w:sz w:val="24"/>
          <w:szCs w:val="24"/>
        </w:rPr>
        <w:t>Tithonia</w:t>
      </w:r>
      <w:proofErr w:type="spellEnd"/>
      <w:r w:rsidRPr="00545BAC">
        <w:rPr>
          <w:rFonts w:ascii="Times New Roman" w:hAnsi="Times New Roman" w:cs="Times New Roman"/>
          <w:i/>
          <w:iCs/>
          <w:sz w:val="24"/>
          <w:szCs w:val="24"/>
        </w:rPr>
        <w:t xml:space="preserve"> </w:t>
      </w:r>
      <w:proofErr w:type="spellStart"/>
      <w:r w:rsidRPr="00545BAC">
        <w:rPr>
          <w:rFonts w:ascii="Times New Roman" w:hAnsi="Times New Roman" w:cs="Times New Roman"/>
          <w:i/>
          <w:iCs/>
          <w:sz w:val="24"/>
          <w:szCs w:val="24"/>
        </w:rPr>
        <w:t>diversifolia</w:t>
      </w:r>
      <w:proofErr w:type="spellEnd"/>
      <w:r>
        <w:rPr>
          <w:rFonts w:ascii="Times New Roman" w:hAnsi="Times New Roman" w:cs="Times New Roman"/>
          <w:sz w:val="24"/>
          <w:szCs w:val="24"/>
        </w:rPr>
        <w:t xml:space="preserve"> </w:t>
      </w:r>
      <w:r w:rsidR="000F57B2">
        <w:rPr>
          <w:rFonts w:ascii="Times New Roman" w:hAnsi="Times New Roman" w:cs="Times New Roman"/>
          <w:sz w:val="24"/>
          <w:szCs w:val="24"/>
        </w:rPr>
        <w:t xml:space="preserve">is a perennial shrub belonging to the Asteraceae family. It is known in many places as the </w:t>
      </w:r>
      <w:r w:rsidR="000F57B2" w:rsidRPr="0010389D">
        <w:rPr>
          <w:rFonts w:ascii="Times New Roman" w:eastAsia="Times New Roman" w:hAnsi="Times New Roman" w:cs="Times New Roman"/>
          <w:sz w:val="24"/>
          <w:szCs w:val="24"/>
        </w:rPr>
        <w:t>Mexican sunflower</w:t>
      </w:r>
      <w:r w:rsidR="000F57B2">
        <w:rPr>
          <w:rFonts w:ascii="Times New Roman" w:eastAsia="Times New Roman" w:hAnsi="Times New Roman" w:cs="Times New Roman"/>
          <w:sz w:val="24"/>
          <w:szCs w:val="24"/>
        </w:rPr>
        <w:t xml:space="preserve"> and </w:t>
      </w:r>
      <w:r w:rsidR="000F57B2">
        <w:rPr>
          <w:rFonts w:ascii="Times New Roman" w:hAnsi="Times New Roman" w:cs="Times New Roman"/>
          <w:sz w:val="24"/>
          <w:szCs w:val="24"/>
        </w:rPr>
        <w:t xml:space="preserve">it occurs in several tropical and subtropical regions of the world. It has been reported in folkloric medicine for its diverse ethnomedicinal potentials, as it has been used in treating several ailments. The plant comprises of a plethora of secondary metabolites such as phenolic acids, flavonoids and several classes of terpenoids, which are present in the plant’s roots stems and leaves. The </w:t>
      </w:r>
      <w:proofErr w:type="spellStart"/>
      <w:r w:rsidR="000F57B2">
        <w:rPr>
          <w:rFonts w:ascii="Times New Roman" w:hAnsi="Times New Roman" w:cs="Times New Roman"/>
          <w:sz w:val="24"/>
          <w:szCs w:val="24"/>
        </w:rPr>
        <w:t>terprenoids</w:t>
      </w:r>
      <w:proofErr w:type="spellEnd"/>
      <w:r w:rsidR="000F57B2">
        <w:rPr>
          <w:rFonts w:ascii="Times New Roman" w:hAnsi="Times New Roman" w:cs="Times New Roman"/>
          <w:sz w:val="24"/>
          <w:szCs w:val="24"/>
        </w:rPr>
        <w:t xml:space="preserve">, especially the </w:t>
      </w:r>
      <w:proofErr w:type="spellStart"/>
      <w:r w:rsidR="000F57B2">
        <w:rPr>
          <w:rFonts w:ascii="Times New Roman" w:hAnsi="Times New Roman" w:cs="Times New Roman"/>
          <w:sz w:val="24"/>
          <w:szCs w:val="24"/>
        </w:rPr>
        <w:t>sesquisterpene</w:t>
      </w:r>
      <w:proofErr w:type="spellEnd"/>
      <w:r w:rsidR="000F57B2">
        <w:rPr>
          <w:rFonts w:ascii="Times New Roman" w:hAnsi="Times New Roman" w:cs="Times New Roman"/>
          <w:sz w:val="24"/>
          <w:szCs w:val="24"/>
        </w:rPr>
        <w:t xml:space="preserve"> lactones have been linked to the pharmacologic effects of the plant </w:t>
      </w:r>
      <w:r w:rsidR="000F57B2" w:rsidRPr="0010389D">
        <w:rPr>
          <w:rFonts w:ascii="Times New Roman" w:eastAsia="Times New Roman" w:hAnsi="Times New Roman" w:cs="Times New Roman"/>
          <w:sz w:val="24"/>
          <w:szCs w:val="24"/>
        </w:rPr>
        <w:t>(</w:t>
      </w:r>
      <w:proofErr w:type="spellStart"/>
      <w:r w:rsidR="000F57B2" w:rsidRPr="0010389D">
        <w:rPr>
          <w:rFonts w:ascii="Times New Roman" w:eastAsia="Times New Roman" w:hAnsi="Times New Roman" w:cs="Times New Roman"/>
          <w:sz w:val="24"/>
          <w:szCs w:val="24"/>
        </w:rPr>
        <w:t>Owoyele</w:t>
      </w:r>
      <w:proofErr w:type="spellEnd"/>
      <w:r w:rsidR="000F57B2" w:rsidRPr="0010389D">
        <w:rPr>
          <w:rFonts w:ascii="Times New Roman" w:eastAsia="Times New Roman" w:hAnsi="Times New Roman" w:cs="Times New Roman"/>
          <w:sz w:val="24"/>
          <w:szCs w:val="24"/>
        </w:rPr>
        <w:t xml:space="preserve"> </w:t>
      </w:r>
      <w:r w:rsidR="000F57B2" w:rsidRPr="00DE2F32">
        <w:rPr>
          <w:rFonts w:ascii="Times New Roman" w:eastAsia="Times New Roman" w:hAnsi="Times New Roman" w:cs="Times New Roman"/>
          <w:i/>
          <w:iCs/>
          <w:sz w:val="24"/>
          <w:szCs w:val="24"/>
        </w:rPr>
        <w:t>et al.,</w:t>
      </w:r>
      <w:r w:rsidR="000F57B2" w:rsidRPr="0010389D">
        <w:rPr>
          <w:rFonts w:ascii="Times New Roman" w:eastAsia="Times New Roman" w:hAnsi="Times New Roman" w:cs="Times New Roman"/>
          <w:sz w:val="24"/>
          <w:szCs w:val="24"/>
        </w:rPr>
        <w:t xml:space="preserve"> 2020).</w:t>
      </w:r>
      <w:r w:rsidR="00DE2F32">
        <w:rPr>
          <w:rFonts w:ascii="Times New Roman" w:eastAsia="Times New Roman" w:hAnsi="Times New Roman" w:cs="Times New Roman"/>
          <w:sz w:val="24"/>
          <w:szCs w:val="24"/>
        </w:rPr>
        <w:t xml:space="preserve"> </w:t>
      </w:r>
      <w:r w:rsidR="00DE2F32" w:rsidRPr="00DE2F32">
        <w:rPr>
          <w:rFonts w:ascii="Times New Roman" w:eastAsia="Times New Roman" w:hAnsi="Times New Roman" w:cs="Times New Roman"/>
          <w:i/>
          <w:iCs/>
          <w:sz w:val="24"/>
          <w:szCs w:val="24"/>
        </w:rPr>
        <w:t xml:space="preserve">T. </w:t>
      </w:r>
      <w:proofErr w:type="spellStart"/>
      <w:r w:rsidR="00DE2F32" w:rsidRPr="00DE2F32">
        <w:rPr>
          <w:rFonts w:ascii="Times New Roman" w:eastAsia="Times New Roman" w:hAnsi="Times New Roman" w:cs="Times New Roman"/>
          <w:i/>
          <w:iCs/>
          <w:sz w:val="24"/>
          <w:szCs w:val="24"/>
        </w:rPr>
        <w:t>diversifolia</w:t>
      </w:r>
      <w:proofErr w:type="spellEnd"/>
      <w:r w:rsidR="00DE2F32">
        <w:rPr>
          <w:rFonts w:ascii="Times New Roman" w:eastAsia="Times New Roman" w:hAnsi="Times New Roman" w:cs="Times New Roman"/>
          <w:sz w:val="24"/>
          <w:szCs w:val="24"/>
        </w:rPr>
        <w:t xml:space="preserve"> have been reported in several literature to possess </w:t>
      </w:r>
      <w:r w:rsidR="00DE2F32" w:rsidRPr="0010389D">
        <w:rPr>
          <w:rFonts w:ascii="Times New Roman" w:eastAsia="Times New Roman" w:hAnsi="Times New Roman" w:cs="Times New Roman"/>
          <w:sz w:val="24"/>
          <w:szCs w:val="24"/>
        </w:rPr>
        <w:t>broad-spectrum antimicrobial activity against various pathogens, including bacteria, fungi, and parasites</w:t>
      </w:r>
      <w:r w:rsidR="00DE2F32">
        <w:rPr>
          <w:rFonts w:ascii="Times New Roman" w:eastAsia="Times New Roman" w:hAnsi="Times New Roman" w:cs="Times New Roman"/>
          <w:sz w:val="24"/>
          <w:szCs w:val="24"/>
        </w:rPr>
        <w:t xml:space="preserve">. For example, it was reported that </w:t>
      </w:r>
      <w:r w:rsidR="00DE2F32" w:rsidRPr="00DE2F32">
        <w:rPr>
          <w:rFonts w:ascii="Times New Roman" w:eastAsia="Times New Roman" w:hAnsi="Times New Roman" w:cs="Times New Roman"/>
          <w:i/>
          <w:iCs/>
          <w:sz w:val="24"/>
          <w:szCs w:val="24"/>
        </w:rPr>
        <w:t xml:space="preserve">T. </w:t>
      </w:r>
      <w:proofErr w:type="spellStart"/>
      <w:r w:rsidR="00DE2F32" w:rsidRPr="00DE2F32">
        <w:rPr>
          <w:rFonts w:ascii="Times New Roman" w:eastAsia="Times New Roman" w:hAnsi="Times New Roman" w:cs="Times New Roman"/>
          <w:i/>
          <w:iCs/>
          <w:sz w:val="24"/>
          <w:szCs w:val="24"/>
        </w:rPr>
        <w:t>diversifolia</w:t>
      </w:r>
      <w:proofErr w:type="spellEnd"/>
      <w:r w:rsidR="00DE2F32">
        <w:rPr>
          <w:rFonts w:ascii="Times New Roman" w:eastAsia="Times New Roman" w:hAnsi="Times New Roman" w:cs="Times New Roman"/>
          <w:sz w:val="24"/>
          <w:szCs w:val="24"/>
        </w:rPr>
        <w:t xml:space="preserve"> demonstrated potencies against </w:t>
      </w:r>
      <w:r w:rsidR="00DE2F32" w:rsidRPr="0010389D">
        <w:rPr>
          <w:rFonts w:ascii="Times New Roman" w:eastAsia="Times New Roman" w:hAnsi="Times New Roman" w:cs="Times New Roman"/>
          <w:i/>
          <w:iCs/>
          <w:sz w:val="24"/>
          <w:szCs w:val="24"/>
        </w:rPr>
        <w:t>Escherichia coli</w:t>
      </w:r>
      <w:r w:rsidR="00DE2F32" w:rsidRPr="0010389D">
        <w:rPr>
          <w:rFonts w:ascii="Times New Roman" w:eastAsia="Times New Roman" w:hAnsi="Times New Roman" w:cs="Times New Roman"/>
          <w:sz w:val="24"/>
          <w:szCs w:val="24"/>
        </w:rPr>
        <w:t xml:space="preserve">, </w:t>
      </w:r>
      <w:r w:rsidR="00DE2F32" w:rsidRPr="0010389D">
        <w:rPr>
          <w:rFonts w:ascii="Times New Roman" w:eastAsia="Times New Roman" w:hAnsi="Times New Roman" w:cs="Times New Roman"/>
          <w:i/>
          <w:iCs/>
          <w:sz w:val="24"/>
          <w:szCs w:val="24"/>
        </w:rPr>
        <w:t>Staphylococcus aureus</w:t>
      </w:r>
      <w:r w:rsidR="00DE2F32" w:rsidRPr="0010389D">
        <w:rPr>
          <w:rFonts w:ascii="Times New Roman" w:eastAsia="Times New Roman" w:hAnsi="Times New Roman" w:cs="Times New Roman"/>
          <w:sz w:val="24"/>
          <w:szCs w:val="24"/>
        </w:rPr>
        <w:t xml:space="preserve">, and </w:t>
      </w:r>
      <w:r w:rsidR="00DE2F32" w:rsidRPr="0010389D">
        <w:rPr>
          <w:rFonts w:ascii="Times New Roman" w:eastAsia="Times New Roman" w:hAnsi="Times New Roman" w:cs="Times New Roman"/>
          <w:i/>
          <w:iCs/>
          <w:sz w:val="24"/>
          <w:szCs w:val="24"/>
        </w:rPr>
        <w:t>Candida albicans</w:t>
      </w:r>
      <w:r w:rsidR="00DE2F32" w:rsidRPr="0010389D">
        <w:rPr>
          <w:rFonts w:ascii="Times New Roman" w:eastAsia="Times New Roman" w:hAnsi="Times New Roman" w:cs="Times New Roman"/>
          <w:sz w:val="24"/>
          <w:szCs w:val="24"/>
        </w:rPr>
        <w:t xml:space="preserve"> </w:t>
      </w:r>
      <w:r w:rsidR="00DE2F32">
        <w:rPr>
          <w:rFonts w:ascii="Times New Roman" w:eastAsia="Times New Roman" w:hAnsi="Times New Roman" w:cs="Times New Roman"/>
          <w:sz w:val="24"/>
          <w:szCs w:val="24"/>
        </w:rPr>
        <w:t>and this efficacy was attributed to the presence of phenolic compounds which exhibited antimicrobial effects by inhibiting</w:t>
      </w:r>
      <w:r w:rsidR="00C03C84">
        <w:rPr>
          <w:rFonts w:ascii="Times New Roman" w:eastAsia="Times New Roman" w:hAnsi="Times New Roman" w:cs="Times New Roman"/>
          <w:sz w:val="24"/>
          <w:szCs w:val="24"/>
        </w:rPr>
        <w:t xml:space="preserve"> both of</w:t>
      </w:r>
      <w:r w:rsidR="00DE2F32">
        <w:rPr>
          <w:rFonts w:ascii="Times New Roman" w:eastAsia="Times New Roman" w:hAnsi="Times New Roman" w:cs="Times New Roman"/>
          <w:sz w:val="24"/>
          <w:szCs w:val="24"/>
        </w:rPr>
        <w:t xml:space="preserve"> cell wall formation and enzyme activity </w:t>
      </w:r>
      <w:r w:rsidR="00DE2F32" w:rsidRPr="0010389D">
        <w:rPr>
          <w:rFonts w:ascii="Times New Roman" w:eastAsia="Times New Roman" w:hAnsi="Times New Roman" w:cs="Times New Roman"/>
          <w:sz w:val="24"/>
          <w:szCs w:val="24"/>
        </w:rPr>
        <w:t>(Jiménez-Esquivel et al., 2021)</w:t>
      </w:r>
      <w:r w:rsidR="00DE2F32">
        <w:rPr>
          <w:rFonts w:ascii="Times New Roman" w:eastAsia="Times New Roman" w:hAnsi="Times New Roman" w:cs="Times New Roman"/>
          <w:sz w:val="24"/>
          <w:szCs w:val="24"/>
        </w:rPr>
        <w:t>. In addition</w:t>
      </w:r>
      <w:r w:rsidR="00AD5040">
        <w:rPr>
          <w:rFonts w:ascii="Times New Roman" w:eastAsia="Times New Roman" w:hAnsi="Times New Roman" w:cs="Times New Roman"/>
          <w:sz w:val="24"/>
          <w:szCs w:val="24"/>
        </w:rPr>
        <w:t>,</w:t>
      </w:r>
      <w:r w:rsidR="00DE2F32">
        <w:rPr>
          <w:rFonts w:ascii="Times New Roman" w:eastAsia="Times New Roman" w:hAnsi="Times New Roman" w:cs="Times New Roman"/>
          <w:sz w:val="24"/>
          <w:szCs w:val="24"/>
        </w:rPr>
        <w:t xml:space="preserve"> </w:t>
      </w:r>
      <w:r w:rsidR="00DE2F32" w:rsidRPr="00AD5040">
        <w:rPr>
          <w:rFonts w:ascii="Times New Roman" w:eastAsia="Times New Roman" w:hAnsi="Times New Roman" w:cs="Times New Roman"/>
          <w:i/>
          <w:iCs/>
          <w:sz w:val="24"/>
          <w:szCs w:val="24"/>
        </w:rPr>
        <w:t xml:space="preserve">T. </w:t>
      </w:r>
      <w:proofErr w:type="spellStart"/>
      <w:r w:rsidR="00DE2F32" w:rsidRPr="00AD5040">
        <w:rPr>
          <w:rFonts w:ascii="Times New Roman" w:eastAsia="Times New Roman" w:hAnsi="Times New Roman" w:cs="Times New Roman"/>
          <w:i/>
          <w:iCs/>
          <w:sz w:val="24"/>
          <w:szCs w:val="24"/>
        </w:rPr>
        <w:t>diversifolia</w:t>
      </w:r>
      <w:proofErr w:type="spellEnd"/>
      <w:r w:rsidR="00DE2F32">
        <w:rPr>
          <w:rFonts w:ascii="Times New Roman" w:eastAsia="Times New Roman" w:hAnsi="Times New Roman" w:cs="Times New Roman"/>
          <w:sz w:val="24"/>
          <w:szCs w:val="24"/>
        </w:rPr>
        <w:t xml:space="preserve"> leaf extracts has been reported to possess hypoglycemic, anti-hyperlipidemic (Oyewole </w:t>
      </w:r>
      <w:r w:rsidR="00DE2F32" w:rsidRPr="001B2F59">
        <w:rPr>
          <w:rFonts w:ascii="Times New Roman" w:eastAsia="Times New Roman" w:hAnsi="Times New Roman" w:cs="Times New Roman"/>
          <w:i/>
          <w:iCs/>
          <w:sz w:val="24"/>
          <w:szCs w:val="24"/>
        </w:rPr>
        <w:t>et al.,</w:t>
      </w:r>
      <w:r w:rsidR="00DE2F32">
        <w:rPr>
          <w:rFonts w:ascii="Times New Roman" w:eastAsia="Times New Roman" w:hAnsi="Times New Roman" w:cs="Times New Roman"/>
          <w:sz w:val="24"/>
          <w:szCs w:val="24"/>
        </w:rPr>
        <w:t xml:space="preserve"> 2018) anti-inflammatory and analgesic </w:t>
      </w:r>
      <w:r w:rsidR="00DE2F32">
        <w:rPr>
          <w:rFonts w:ascii="Times New Roman" w:eastAsia="Times New Roman" w:hAnsi="Times New Roman" w:cs="Times New Roman"/>
          <w:sz w:val="24"/>
          <w:szCs w:val="24"/>
        </w:rPr>
        <w:lastRenderedPageBreak/>
        <w:t>properties (</w:t>
      </w:r>
      <w:proofErr w:type="spellStart"/>
      <w:r w:rsidR="00DE2F32" w:rsidRPr="0010389D">
        <w:rPr>
          <w:rFonts w:ascii="Times New Roman" w:eastAsia="Times New Roman" w:hAnsi="Times New Roman" w:cs="Times New Roman"/>
          <w:sz w:val="24"/>
          <w:szCs w:val="24"/>
        </w:rPr>
        <w:t>Owoyele</w:t>
      </w:r>
      <w:proofErr w:type="spellEnd"/>
      <w:r w:rsidR="00DE2F32" w:rsidRPr="0010389D">
        <w:rPr>
          <w:rFonts w:ascii="Times New Roman" w:eastAsia="Times New Roman" w:hAnsi="Times New Roman" w:cs="Times New Roman"/>
          <w:sz w:val="24"/>
          <w:szCs w:val="24"/>
        </w:rPr>
        <w:t xml:space="preserve"> </w:t>
      </w:r>
      <w:r w:rsidR="00DE2F32" w:rsidRPr="00DE2F32">
        <w:rPr>
          <w:rFonts w:ascii="Times New Roman" w:eastAsia="Times New Roman" w:hAnsi="Times New Roman" w:cs="Times New Roman"/>
          <w:i/>
          <w:iCs/>
          <w:sz w:val="24"/>
          <w:szCs w:val="24"/>
        </w:rPr>
        <w:t>et al.,</w:t>
      </w:r>
      <w:r w:rsidR="00DE2F32">
        <w:rPr>
          <w:rFonts w:ascii="Times New Roman" w:eastAsia="Times New Roman" w:hAnsi="Times New Roman" w:cs="Times New Roman"/>
          <w:sz w:val="24"/>
          <w:szCs w:val="24"/>
        </w:rPr>
        <w:t xml:space="preserve"> </w:t>
      </w:r>
      <w:r w:rsidR="00DE2F32" w:rsidRPr="0010389D">
        <w:rPr>
          <w:rFonts w:ascii="Times New Roman" w:eastAsia="Times New Roman" w:hAnsi="Times New Roman" w:cs="Times New Roman"/>
          <w:sz w:val="24"/>
          <w:szCs w:val="24"/>
        </w:rPr>
        <w:t>2020)</w:t>
      </w:r>
      <w:r w:rsidR="00DE2F32">
        <w:rPr>
          <w:rFonts w:ascii="Times New Roman" w:eastAsia="Times New Roman" w:hAnsi="Times New Roman" w:cs="Times New Roman"/>
          <w:sz w:val="24"/>
          <w:szCs w:val="24"/>
        </w:rPr>
        <w:t xml:space="preserve">. </w:t>
      </w:r>
      <w:r w:rsidR="00C03C84">
        <w:rPr>
          <w:rFonts w:ascii="Times New Roman" w:eastAsia="Times New Roman" w:hAnsi="Times New Roman" w:cs="Times New Roman"/>
          <w:sz w:val="24"/>
          <w:szCs w:val="24"/>
        </w:rPr>
        <w:t xml:space="preserve">In addition, </w:t>
      </w:r>
      <w:r w:rsidR="00C03C84" w:rsidRPr="00AD5040">
        <w:rPr>
          <w:rFonts w:ascii="Times New Roman" w:eastAsia="Times New Roman" w:hAnsi="Times New Roman" w:cs="Times New Roman"/>
          <w:i/>
          <w:iCs/>
          <w:sz w:val="24"/>
          <w:szCs w:val="24"/>
        </w:rPr>
        <w:t xml:space="preserve">T. </w:t>
      </w:r>
      <w:proofErr w:type="spellStart"/>
      <w:r w:rsidR="00C03C84" w:rsidRPr="00AD5040">
        <w:rPr>
          <w:rFonts w:ascii="Times New Roman" w:eastAsia="Times New Roman" w:hAnsi="Times New Roman" w:cs="Times New Roman"/>
          <w:i/>
          <w:iCs/>
          <w:sz w:val="24"/>
          <w:szCs w:val="24"/>
        </w:rPr>
        <w:t>diversifolia</w:t>
      </w:r>
      <w:proofErr w:type="spellEnd"/>
      <w:r w:rsidR="00C03C84">
        <w:rPr>
          <w:rFonts w:ascii="Times New Roman" w:eastAsia="Times New Roman" w:hAnsi="Times New Roman" w:cs="Times New Roman"/>
          <w:sz w:val="24"/>
          <w:szCs w:val="24"/>
        </w:rPr>
        <w:t xml:space="preserve"> leaf extracts have been used in speeding up the healing of wounds, and protect against skin infections. These observed effects were thought to be as a result of the antioxidant activity of the plant, as reactive oxygen and nitrogen species are neutralized, reducing oxidative damage to tissues. Also, </w:t>
      </w:r>
      <w:r w:rsidR="00C03C84" w:rsidRPr="0010389D">
        <w:rPr>
          <w:rFonts w:ascii="Times New Roman" w:eastAsia="Times New Roman" w:hAnsi="Times New Roman" w:cs="Times New Roman"/>
          <w:sz w:val="24"/>
          <w:szCs w:val="24"/>
        </w:rPr>
        <w:t xml:space="preserve">antimicrobial properties of </w:t>
      </w:r>
      <w:proofErr w:type="spellStart"/>
      <w:r w:rsidR="00C03C84" w:rsidRPr="0010389D">
        <w:rPr>
          <w:rFonts w:ascii="Times New Roman" w:eastAsia="Times New Roman" w:hAnsi="Times New Roman" w:cs="Times New Roman"/>
          <w:i/>
          <w:iCs/>
          <w:sz w:val="24"/>
          <w:szCs w:val="24"/>
        </w:rPr>
        <w:t>Tithonia</w:t>
      </w:r>
      <w:proofErr w:type="spellEnd"/>
      <w:r w:rsidR="00C03C84" w:rsidRPr="0010389D">
        <w:rPr>
          <w:rFonts w:ascii="Times New Roman" w:eastAsia="Times New Roman" w:hAnsi="Times New Roman" w:cs="Times New Roman"/>
          <w:i/>
          <w:iCs/>
          <w:sz w:val="24"/>
          <w:szCs w:val="24"/>
        </w:rPr>
        <w:t xml:space="preserve"> </w:t>
      </w:r>
      <w:proofErr w:type="spellStart"/>
      <w:r w:rsidR="00C03C84" w:rsidRPr="0010389D">
        <w:rPr>
          <w:rFonts w:ascii="Times New Roman" w:eastAsia="Times New Roman" w:hAnsi="Times New Roman" w:cs="Times New Roman"/>
          <w:i/>
          <w:iCs/>
          <w:sz w:val="24"/>
          <w:szCs w:val="24"/>
        </w:rPr>
        <w:t>diversifolia</w:t>
      </w:r>
      <w:proofErr w:type="spellEnd"/>
      <w:r w:rsidR="00C03C84" w:rsidRPr="0010389D">
        <w:rPr>
          <w:rFonts w:ascii="Times New Roman" w:eastAsia="Times New Roman" w:hAnsi="Times New Roman" w:cs="Times New Roman"/>
          <w:sz w:val="24"/>
          <w:szCs w:val="24"/>
        </w:rPr>
        <w:t xml:space="preserve"> further prevent infection in wounds</w:t>
      </w:r>
      <w:r w:rsidR="00C03C84" w:rsidRPr="00C03C84">
        <w:rPr>
          <w:rFonts w:ascii="Times New Roman" w:eastAsia="Times New Roman" w:hAnsi="Times New Roman" w:cs="Times New Roman"/>
          <w:sz w:val="24"/>
          <w:szCs w:val="24"/>
        </w:rPr>
        <w:t xml:space="preserve"> </w:t>
      </w:r>
      <w:r w:rsidR="00C03C84">
        <w:rPr>
          <w:rFonts w:ascii="Times New Roman" w:eastAsia="Times New Roman" w:hAnsi="Times New Roman" w:cs="Times New Roman"/>
          <w:sz w:val="24"/>
          <w:szCs w:val="24"/>
        </w:rPr>
        <w:t>(</w:t>
      </w:r>
      <w:r w:rsidR="00C03C84" w:rsidRPr="0010389D">
        <w:rPr>
          <w:rFonts w:ascii="Times New Roman" w:eastAsia="Times New Roman" w:hAnsi="Times New Roman" w:cs="Times New Roman"/>
          <w:sz w:val="24"/>
          <w:szCs w:val="24"/>
        </w:rPr>
        <w:t xml:space="preserve">Jiménez-Esquivel </w:t>
      </w:r>
      <w:r w:rsidR="00C03C84" w:rsidRPr="00C03C84">
        <w:rPr>
          <w:rFonts w:ascii="Times New Roman" w:eastAsia="Times New Roman" w:hAnsi="Times New Roman" w:cs="Times New Roman"/>
          <w:i/>
          <w:iCs/>
          <w:sz w:val="24"/>
          <w:szCs w:val="24"/>
        </w:rPr>
        <w:t>et al.,</w:t>
      </w:r>
      <w:r w:rsidR="00C03C84" w:rsidRPr="0010389D">
        <w:rPr>
          <w:rFonts w:ascii="Times New Roman" w:eastAsia="Times New Roman" w:hAnsi="Times New Roman" w:cs="Times New Roman"/>
          <w:sz w:val="24"/>
          <w:szCs w:val="24"/>
        </w:rPr>
        <w:t xml:space="preserve"> 2021).</w:t>
      </w:r>
    </w:p>
    <w:p w14:paraId="067318DB" w14:textId="20ABBF51" w:rsidR="00383980" w:rsidRDefault="00C03C84" w:rsidP="0038398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exploitation of alternating magnetic fields</w:t>
      </w:r>
      <w:r w:rsidR="00AD5040">
        <w:rPr>
          <w:rFonts w:ascii="Times New Roman" w:eastAsia="Times New Roman" w:hAnsi="Times New Roman" w:cs="Times New Roman"/>
          <w:sz w:val="24"/>
          <w:szCs w:val="24"/>
        </w:rPr>
        <w:t xml:space="preserve"> (AMFs)</w:t>
      </w:r>
      <w:r>
        <w:rPr>
          <w:rFonts w:ascii="Times New Roman" w:eastAsia="Times New Roman" w:hAnsi="Times New Roman" w:cs="Times New Roman"/>
          <w:sz w:val="24"/>
          <w:szCs w:val="24"/>
        </w:rPr>
        <w:t xml:space="preserve"> as possible alternatives in the treatment of malaria has gained increasing attention in recent times</w:t>
      </w:r>
      <w:r w:rsidR="00AD50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sidR="000064C8" w:rsidRPr="00810FD0">
        <w:rPr>
          <w:rFonts w:ascii="Times New Roman" w:eastAsia="Times New Roman" w:hAnsi="Times New Roman" w:cs="Times New Roman"/>
          <w:sz w:val="24"/>
          <w:szCs w:val="24"/>
        </w:rPr>
        <w:t>Looareesuwan</w:t>
      </w:r>
      <w:proofErr w:type="spellEnd"/>
      <w:r w:rsidR="000064C8" w:rsidRPr="00810FD0">
        <w:rPr>
          <w:rFonts w:ascii="Times New Roman" w:eastAsia="Times New Roman" w:hAnsi="Times New Roman" w:cs="Times New Roman"/>
          <w:sz w:val="24"/>
          <w:szCs w:val="24"/>
        </w:rPr>
        <w:t xml:space="preserve"> </w:t>
      </w:r>
      <w:r w:rsidR="000064C8" w:rsidRPr="00AD5040">
        <w:rPr>
          <w:rFonts w:ascii="Times New Roman" w:eastAsia="Times New Roman" w:hAnsi="Times New Roman" w:cs="Times New Roman"/>
          <w:i/>
          <w:iCs/>
          <w:sz w:val="24"/>
          <w:szCs w:val="24"/>
        </w:rPr>
        <w:t>et al.,</w:t>
      </w:r>
      <w:r w:rsidR="000064C8" w:rsidRPr="00810FD0">
        <w:rPr>
          <w:rFonts w:ascii="Times New Roman" w:eastAsia="Times New Roman" w:hAnsi="Times New Roman" w:cs="Times New Roman"/>
          <w:sz w:val="24"/>
          <w:szCs w:val="24"/>
        </w:rPr>
        <w:t xml:space="preserve"> 2017</w:t>
      </w:r>
      <w:r w:rsidR="000064C8">
        <w:rPr>
          <w:rFonts w:ascii="Times New Roman" w:eastAsia="Times New Roman" w:hAnsi="Times New Roman" w:cs="Times New Roman"/>
          <w:sz w:val="24"/>
          <w:szCs w:val="24"/>
        </w:rPr>
        <w:t xml:space="preserve">; Ekun </w:t>
      </w:r>
      <w:r w:rsidR="000064C8" w:rsidRPr="00AD5040">
        <w:rPr>
          <w:rFonts w:ascii="Times New Roman" w:eastAsia="Times New Roman" w:hAnsi="Times New Roman" w:cs="Times New Roman"/>
          <w:i/>
          <w:iCs/>
          <w:sz w:val="24"/>
          <w:szCs w:val="24"/>
        </w:rPr>
        <w:t>et al.,</w:t>
      </w:r>
      <w:r w:rsidR="000064C8">
        <w:rPr>
          <w:rFonts w:ascii="Times New Roman" w:eastAsia="Times New Roman" w:hAnsi="Times New Roman" w:cs="Times New Roman"/>
          <w:sz w:val="24"/>
          <w:szCs w:val="24"/>
        </w:rPr>
        <w:t xml:space="preserve"> 2023)</w:t>
      </w:r>
      <w:r w:rsidR="00AD5040">
        <w:rPr>
          <w:rFonts w:ascii="Times New Roman" w:eastAsia="Times New Roman" w:hAnsi="Times New Roman" w:cs="Times New Roman"/>
          <w:sz w:val="24"/>
          <w:szCs w:val="24"/>
        </w:rPr>
        <w:t xml:space="preserve">. Their application as </w:t>
      </w:r>
      <w:r w:rsidR="00383980">
        <w:rPr>
          <w:rFonts w:ascii="Times New Roman" w:eastAsia="Times New Roman" w:hAnsi="Times New Roman" w:cs="Times New Roman"/>
          <w:sz w:val="24"/>
          <w:szCs w:val="24"/>
        </w:rPr>
        <w:t xml:space="preserve">a </w:t>
      </w:r>
      <w:r w:rsidR="00AD5040">
        <w:rPr>
          <w:rFonts w:ascii="Times New Roman" w:eastAsia="Times New Roman" w:hAnsi="Times New Roman" w:cs="Times New Roman"/>
          <w:sz w:val="24"/>
          <w:szCs w:val="24"/>
        </w:rPr>
        <w:t>possible antimalarial alternative</w:t>
      </w:r>
      <w:r w:rsidR="00383980">
        <w:rPr>
          <w:rFonts w:ascii="Times New Roman" w:eastAsia="Times New Roman" w:hAnsi="Times New Roman" w:cs="Times New Roman"/>
          <w:sz w:val="24"/>
          <w:szCs w:val="24"/>
        </w:rPr>
        <w:t xml:space="preserve"> is</w:t>
      </w:r>
      <w:r w:rsidR="00AD5040">
        <w:rPr>
          <w:rFonts w:ascii="Times New Roman" w:eastAsia="Times New Roman" w:hAnsi="Times New Roman" w:cs="Times New Roman"/>
          <w:sz w:val="24"/>
          <w:szCs w:val="24"/>
        </w:rPr>
        <w:t xml:space="preserve"> majorly based on the</w:t>
      </w:r>
      <w:r w:rsidR="00383980">
        <w:rPr>
          <w:rFonts w:ascii="Times New Roman" w:eastAsia="Times New Roman" w:hAnsi="Times New Roman" w:cs="Times New Roman"/>
          <w:sz w:val="24"/>
          <w:szCs w:val="24"/>
        </w:rPr>
        <w:t xml:space="preserve"> </w:t>
      </w:r>
      <w:r w:rsidR="00AD5040">
        <w:rPr>
          <w:rFonts w:ascii="Times New Roman" w:eastAsia="Times New Roman" w:hAnsi="Times New Roman" w:cs="Times New Roman"/>
          <w:sz w:val="24"/>
          <w:szCs w:val="24"/>
        </w:rPr>
        <w:t xml:space="preserve">magnetic susceptibility </w:t>
      </w:r>
      <w:r w:rsidR="00AD5040" w:rsidRPr="00810FD0">
        <w:rPr>
          <w:rFonts w:ascii="Times New Roman" w:eastAsia="Times New Roman" w:hAnsi="Times New Roman" w:cs="Times New Roman"/>
          <w:sz w:val="24"/>
          <w:szCs w:val="24"/>
        </w:rPr>
        <w:t xml:space="preserve">of hemozoin, a byproduct of hemoglobin digestion by </w:t>
      </w:r>
      <w:r w:rsidR="00AD5040" w:rsidRPr="00810FD0">
        <w:rPr>
          <w:rFonts w:ascii="Times New Roman" w:eastAsia="Times New Roman" w:hAnsi="Times New Roman" w:cs="Times New Roman"/>
          <w:i/>
          <w:iCs/>
          <w:sz w:val="24"/>
          <w:szCs w:val="24"/>
        </w:rPr>
        <w:t>Plasmodium</w:t>
      </w:r>
      <w:r w:rsidR="00AD5040" w:rsidRPr="00810FD0">
        <w:rPr>
          <w:rFonts w:ascii="Times New Roman" w:eastAsia="Times New Roman" w:hAnsi="Times New Roman" w:cs="Times New Roman"/>
          <w:sz w:val="24"/>
          <w:szCs w:val="24"/>
        </w:rPr>
        <w:t xml:space="preserve"> parasites</w:t>
      </w:r>
      <w:r w:rsidR="001B2F59">
        <w:rPr>
          <w:rFonts w:ascii="Times New Roman" w:eastAsia="Times New Roman" w:hAnsi="Times New Roman" w:cs="Times New Roman"/>
          <w:sz w:val="24"/>
          <w:szCs w:val="24"/>
        </w:rPr>
        <w:t xml:space="preserve"> (</w:t>
      </w:r>
      <w:proofErr w:type="spellStart"/>
      <w:r w:rsidR="001B2F59">
        <w:rPr>
          <w:rFonts w:ascii="Times New Roman" w:eastAsia="Times New Roman" w:hAnsi="Times New Roman" w:cs="Times New Roman"/>
          <w:sz w:val="24"/>
          <w:szCs w:val="24"/>
        </w:rPr>
        <w:t>Abajingin</w:t>
      </w:r>
      <w:proofErr w:type="spellEnd"/>
      <w:r w:rsidR="001B2F59">
        <w:rPr>
          <w:rFonts w:ascii="Times New Roman" w:eastAsia="Times New Roman" w:hAnsi="Times New Roman" w:cs="Times New Roman"/>
          <w:sz w:val="24"/>
          <w:szCs w:val="24"/>
        </w:rPr>
        <w:t>, 2015)</w:t>
      </w:r>
      <w:r w:rsidR="00AD5040" w:rsidRPr="00810FD0">
        <w:rPr>
          <w:rFonts w:ascii="Times New Roman" w:eastAsia="Times New Roman" w:hAnsi="Times New Roman" w:cs="Times New Roman"/>
          <w:sz w:val="24"/>
          <w:szCs w:val="24"/>
        </w:rPr>
        <w:t xml:space="preserve">. During their intraerythrocytic stages, malaria parasites digest host hemoglobin and </w:t>
      </w:r>
      <w:r w:rsidR="00AD5040">
        <w:rPr>
          <w:rFonts w:ascii="Times New Roman" w:eastAsia="Times New Roman" w:hAnsi="Times New Roman" w:cs="Times New Roman"/>
          <w:sz w:val="24"/>
          <w:szCs w:val="24"/>
        </w:rPr>
        <w:t>aggregate</w:t>
      </w:r>
      <w:r w:rsidR="00AD5040" w:rsidRPr="00810FD0">
        <w:rPr>
          <w:rFonts w:ascii="Times New Roman" w:eastAsia="Times New Roman" w:hAnsi="Times New Roman" w:cs="Times New Roman"/>
          <w:sz w:val="24"/>
          <w:szCs w:val="24"/>
        </w:rPr>
        <w:t xml:space="preserve"> the toxic free</w:t>
      </w:r>
      <w:r w:rsidR="00AD5040">
        <w:rPr>
          <w:rFonts w:ascii="Times New Roman" w:eastAsia="Times New Roman" w:hAnsi="Times New Roman" w:cs="Times New Roman"/>
          <w:sz w:val="24"/>
          <w:szCs w:val="24"/>
        </w:rPr>
        <w:t xml:space="preserve"> heme into a non-toxic structure known as hemozoin. These hemozoin molecules possess paramagnetic properties, which make them interact with external magnetic fields </w:t>
      </w:r>
      <w:r w:rsidR="00AD5040" w:rsidRPr="00810FD0">
        <w:rPr>
          <w:rFonts w:ascii="Times New Roman" w:eastAsia="Times New Roman" w:hAnsi="Times New Roman" w:cs="Times New Roman"/>
          <w:sz w:val="24"/>
          <w:szCs w:val="24"/>
        </w:rPr>
        <w:t>(</w:t>
      </w:r>
      <w:proofErr w:type="spellStart"/>
      <w:r w:rsidR="00AD5040" w:rsidRPr="00810FD0">
        <w:rPr>
          <w:rFonts w:ascii="Times New Roman" w:eastAsia="Times New Roman" w:hAnsi="Times New Roman" w:cs="Times New Roman"/>
          <w:sz w:val="24"/>
          <w:szCs w:val="24"/>
        </w:rPr>
        <w:t>Looareesuwan</w:t>
      </w:r>
      <w:proofErr w:type="spellEnd"/>
      <w:r w:rsidR="00AD5040" w:rsidRPr="00810FD0">
        <w:rPr>
          <w:rFonts w:ascii="Times New Roman" w:eastAsia="Times New Roman" w:hAnsi="Times New Roman" w:cs="Times New Roman"/>
          <w:sz w:val="24"/>
          <w:szCs w:val="24"/>
        </w:rPr>
        <w:t xml:space="preserve"> </w:t>
      </w:r>
      <w:r w:rsidR="00AD5040" w:rsidRPr="00383980">
        <w:rPr>
          <w:rFonts w:ascii="Times New Roman" w:eastAsia="Times New Roman" w:hAnsi="Times New Roman" w:cs="Times New Roman"/>
          <w:i/>
          <w:iCs/>
          <w:sz w:val="24"/>
          <w:szCs w:val="24"/>
        </w:rPr>
        <w:t>et al.,</w:t>
      </w:r>
      <w:r w:rsidR="00AD5040" w:rsidRPr="00810FD0">
        <w:rPr>
          <w:rFonts w:ascii="Times New Roman" w:eastAsia="Times New Roman" w:hAnsi="Times New Roman" w:cs="Times New Roman"/>
          <w:sz w:val="24"/>
          <w:szCs w:val="24"/>
        </w:rPr>
        <w:t xml:space="preserve"> 2017).</w:t>
      </w:r>
      <w:r w:rsidR="00AD5040">
        <w:rPr>
          <w:rFonts w:ascii="Times New Roman" w:eastAsia="Times New Roman" w:hAnsi="Times New Roman" w:cs="Times New Roman"/>
          <w:sz w:val="24"/>
          <w:szCs w:val="24"/>
        </w:rPr>
        <w:t xml:space="preserve"> The interaction of hemozoin-laden plasmodium with alternating magnetic fields create a magnetic torque generated on the hemozoin crystals. This can cause a disruption of the parasite’s physiologic and biochemical processes and damage its cellular organelles, inhibiting growth and/or result in the death of the parasite. In addition, the interaction between the AMF and hemozoin may disrupt redox balance within the parasite, causing oxidative stress and cell death </w:t>
      </w:r>
      <w:r w:rsidR="00AD5040" w:rsidRPr="00810FD0">
        <w:rPr>
          <w:rFonts w:ascii="Times New Roman" w:eastAsia="Times New Roman" w:hAnsi="Times New Roman" w:cs="Times New Roman"/>
          <w:sz w:val="24"/>
          <w:szCs w:val="24"/>
        </w:rPr>
        <w:t xml:space="preserve">(Singh </w:t>
      </w:r>
      <w:r w:rsidR="00AD5040" w:rsidRPr="00383980">
        <w:rPr>
          <w:rFonts w:ascii="Times New Roman" w:eastAsia="Times New Roman" w:hAnsi="Times New Roman" w:cs="Times New Roman"/>
          <w:i/>
          <w:iCs/>
          <w:sz w:val="24"/>
          <w:szCs w:val="24"/>
        </w:rPr>
        <w:t>et al.,</w:t>
      </w:r>
      <w:r w:rsidR="00AD5040" w:rsidRPr="00810FD0">
        <w:rPr>
          <w:rFonts w:ascii="Times New Roman" w:eastAsia="Times New Roman" w:hAnsi="Times New Roman" w:cs="Times New Roman"/>
          <w:sz w:val="24"/>
          <w:szCs w:val="24"/>
        </w:rPr>
        <w:t xml:space="preserve"> 2018).</w:t>
      </w:r>
      <w:r w:rsidR="00383980">
        <w:rPr>
          <w:rFonts w:ascii="Times New Roman" w:eastAsia="Times New Roman" w:hAnsi="Times New Roman" w:cs="Times New Roman"/>
          <w:sz w:val="24"/>
          <w:szCs w:val="24"/>
        </w:rPr>
        <w:t xml:space="preserve"> Several studies have shown the </w:t>
      </w:r>
      <w:proofErr w:type="spellStart"/>
      <w:r w:rsidR="00383980">
        <w:rPr>
          <w:rFonts w:ascii="Times New Roman" w:eastAsia="Times New Roman" w:hAnsi="Times New Roman" w:cs="Times New Roman"/>
          <w:sz w:val="24"/>
          <w:szCs w:val="24"/>
        </w:rPr>
        <w:t>antiplasmodial</w:t>
      </w:r>
      <w:proofErr w:type="spellEnd"/>
      <w:r w:rsidR="00383980">
        <w:rPr>
          <w:rFonts w:ascii="Times New Roman" w:eastAsia="Times New Roman" w:hAnsi="Times New Roman" w:cs="Times New Roman"/>
          <w:sz w:val="24"/>
          <w:szCs w:val="24"/>
        </w:rPr>
        <w:t xml:space="preserve"> effects</w:t>
      </w:r>
      <w:r w:rsidR="00FC7B85">
        <w:rPr>
          <w:rFonts w:ascii="Times New Roman" w:eastAsia="Times New Roman" w:hAnsi="Times New Roman" w:cs="Times New Roman"/>
          <w:sz w:val="24"/>
          <w:szCs w:val="24"/>
        </w:rPr>
        <w:t xml:space="preserve"> and</w:t>
      </w:r>
      <w:r w:rsidR="00383980">
        <w:rPr>
          <w:rFonts w:ascii="Times New Roman" w:eastAsia="Times New Roman" w:hAnsi="Times New Roman" w:cs="Times New Roman"/>
          <w:sz w:val="24"/>
          <w:szCs w:val="24"/>
        </w:rPr>
        <w:t xml:space="preserve"> antimalarial </w:t>
      </w:r>
      <w:r w:rsidR="00FC7B85">
        <w:rPr>
          <w:rFonts w:ascii="Times New Roman" w:eastAsia="Times New Roman" w:hAnsi="Times New Roman" w:cs="Times New Roman"/>
          <w:sz w:val="24"/>
          <w:szCs w:val="24"/>
        </w:rPr>
        <w:t>potencies</w:t>
      </w:r>
      <w:r w:rsidR="00383980">
        <w:rPr>
          <w:rFonts w:ascii="Times New Roman" w:eastAsia="Times New Roman" w:hAnsi="Times New Roman" w:cs="Times New Roman"/>
          <w:sz w:val="24"/>
          <w:szCs w:val="24"/>
        </w:rPr>
        <w:t xml:space="preserve"> of AMFs in </w:t>
      </w:r>
      <w:r w:rsidR="00383980" w:rsidRPr="00383980">
        <w:rPr>
          <w:rFonts w:ascii="Times New Roman" w:eastAsia="Times New Roman" w:hAnsi="Times New Roman" w:cs="Times New Roman"/>
          <w:i/>
          <w:iCs/>
          <w:sz w:val="24"/>
          <w:szCs w:val="24"/>
        </w:rPr>
        <w:t>in vitro</w:t>
      </w:r>
      <w:r w:rsidR="00383980">
        <w:rPr>
          <w:rFonts w:ascii="Times New Roman" w:eastAsia="Times New Roman" w:hAnsi="Times New Roman" w:cs="Times New Roman"/>
          <w:sz w:val="24"/>
          <w:szCs w:val="24"/>
        </w:rPr>
        <w:t xml:space="preserve"> and </w:t>
      </w:r>
      <w:r w:rsidR="00383980" w:rsidRPr="00383980">
        <w:rPr>
          <w:rFonts w:ascii="Times New Roman" w:eastAsia="Times New Roman" w:hAnsi="Times New Roman" w:cs="Times New Roman"/>
          <w:i/>
          <w:iCs/>
          <w:sz w:val="24"/>
          <w:szCs w:val="24"/>
        </w:rPr>
        <w:t>in vivo</w:t>
      </w:r>
      <w:r w:rsidR="00383980">
        <w:rPr>
          <w:rFonts w:ascii="Times New Roman" w:eastAsia="Times New Roman" w:hAnsi="Times New Roman" w:cs="Times New Roman"/>
          <w:sz w:val="24"/>
          <w:szCs w:val="24"/>
        </w:rPr>
        <w:t xml:space="preserve"> studies respectively. </w:t>
      </w:r>
      <w:r w:rsidR="00383980" w:rsidRPr="00810FD0">
        <w:rPr>
          <w:rFonts w:ascii="Times New Roman" w:eastAsia="Times New Roman" w:hAnsi="Times New Roman" w:cs="Times New Roman"/>
          <w:sz w:val="24"/>
          <w:szCs w:val="24"/>
        </w:rPr>
        <w:t xml:space="preserve">Gudmundsson </w:t>
      </w:r>
      <w:r w:rsidR="00383980" w:rsidRPr="00FC7B85">
        <w:rPr>
          <w:rFonts w:ascii="Times New Roman" w:eastAsia="Times New Roman" w:hAnsi="Times New Roman" w:cs="Times New Roman"/>
          <w:i/>
          <w:iCs/>
          <w:sz w:val="24"/>
          <w:szCs w:val="24"/>
        </w:rPr>
        <w:t xml:space="preserve">et al. </w:t>
      </w:r>
      <w:r w:rsidR="00383980" w:rsidRPr="00810FD0">
        <w:rPr>
          <w:rFonts w:ascii="Times New Roman" w:eastAsia="Times New Roman" w:hAnsi="Times New Roman" w:cs="Times New Roman"/>
          <w:sz w:val="24"/>
          <w:szCs w:val="24"/>
        </w:rPr>
        <w:t>(2020)</w:t>
      </w:r>
      <w:r w:rsidR="00383980">
        <w:rPr>
          <w:rFonts w:ascii="Times New Roman" w:eastAsia="Times New Roman" w:hAnsi="Times New Roman" w:cs="Times New Roman"/>
          <w:sz w:val="24"/>
          <w:szCs w:val="24"/>
        </w:rPr>
        <w:t xml:space="preserve"> demonstrated that the exposure of </w:t>
      </w:r>
      <w:r w:rsidR="00383980" w:rsidRPr="00383980">
        <w:rPr>
          <w:rFonts w:ascii="Times New Roman" w:eastAsia="Times New Roman" w:hAnsi="Times New Roman" w:cs="Times New Roman"/>
          <w:i/>
          <w:iCs/>
          <w:sz w:val="24"/>
          <w:szCs w:val="24"/>
        </w:rPr>
        <w:t>P. falciparum</w:t>
      </w:r>
      <w:r w:rsidR="00383980">
        <w:rPr>
          <w:rFonts w:ascii="Times New Roman" w:eastAsia="Times New Roman" w:hAnsi="Times New Roman" w:cs="Times New Roman"/>
          <w:sz w:val="24"/>
          <w:szCs w:val="24"/>
        </w:rPr>
        <w:t xml:space="preserve"> cultures to </w:t>
      </w:r>
      <w:r w:rsidR="00383980" w:rsidRPr="00810FD0">
        <w:rPr>
          <w:rFonts w:ascii="Times New Roman" w:eastAsia="Times New Roman" w:hAnsi="Times New Roman" w:cs="Times New Roman"/>
          <w:sz w:val="24"/>
          <w:szCs w:val="24"/>
        </w:rPr>
        <w:t>low-frequency AMFs resulted in a significant reduction in parasite growth. The study suggested that the AMFs interfered with the hemozoin formation process, which is crucial for the parasite's survival. This finding was further supported by electron microscopy, which revealed structural damage to the parasite following AMF exposure.</w:t>
      </w:r>
      <w:r w:rsidR="00383980">
        <w:rPr>
          <w:rFonts w:ascii="Times New Roman" w:eastAsia="Times New Roman" w:hAnsi="Times New Roman" w:cs="Times New Roman"/>
          <w:sz w:val="24"/>
          <w:szCs w:val="24"/>
        </w:rPr>
        <w:t xml:space="preserve"> </w:t>
      </w:r>
      <w:r w:rsidR="005A1DE8">
        <w:rPr>
          <w:rFonts w:ascii="Times New Roman" w:eastAsia="Times New Roman" w:hAnsi="Times New Roman" w:cs="Times New Roman"/>
          <w:sz w:val="24"/>
          <w:szCs w:val="24"/>
        </w:rPr>
        <w:t xml:space="preserve">In </w:t>
      </w:r>
      <w:r w:rsidR="004400A6">
        <w:rPr>
          <w:rFonts w:ascii="Times New Roman" w:eastAsia="Times New Roman" w:hAnsi="Times New Roman" w:cs="Times New Roman"/>
          <w:sz w:val="24"/>
          <w:szCs w:val="24"/>
        </w:rPr>
        <w:t xml:space="preserve">vivo studies also gave promising results. </w:t>
      </w:r>
      <w:r w:rsidR="004400A6" w:rsidRPr="00810FD0">
        <w:rPr>
          <w:rFonts w:ascii="Times New Roman" w:eastAsia="Times New Roman" w:hAnsi="Times New Roman" w:cs="Times New Roman"/>
          <w:sz w:val="24"/>
          <w:szCs w:val="24"/>
        </w:rPr>
        <w:t xml:space="preserve">In a mouse model of malaria, AMF exposure significantly reduced parasitemia and improved survival rates compared to untreated controls (Khan </w:t>
      </w:r>
      <w:r w:rsidR="004400A6" w:rsidRPr="004400A6">
        <w:rPr>
          <w:rFonts w:ascii="Times New Roman" w:eastAsia="Times New Roman" w:hAnsi="Times New Roman" w:cs="Times New Roman"/>
          <w:i/>
          <w:iCs/>
          <w:sz w:val="24"/>
          <w:szCs w:val="24"/>
        </w:rPr>
        <w:t>et al.,</w:t>
      </w:r>
      <w:r w:rsidR="004400A6" w:rsidRPr="00810FD0">
        <w:rPr>
          <w:rFonts w:ascii="Times New Roman" w:eastAsia="Times New Roman" w:hAnsi="Times New Roman" w:cs="Times New Roman"/>
          <w:sz w:val="24"/>
          <w:szCs w:val="24"/>
        </w:rPr>
        <w:t xml:space="preserve"> 2019).</w:t>
      </w:r>
      <w:r w:rsidR="004400A6">
        <w:rPr>
          <w:rFonts w:ascii="Times New Roman" w:eastAsia="Times New Roman" w:hAnsi="Times New Roman" w:cs="Times New Roman"/>
          <w:sz w:val="24"/>
          <w:szCs w:val="24"/>
        </w:rPr>
        <w:t xml:space="preserve"> In the same vein, </w:t>
      </w:r>
      <w:r w:rsidR="004400A6" w:rsidRPr="00810FD0">
        <w:rPr>
          <w:rFonts w:ascii="Times New Roman" w:eastAsia="Times New Roman" w:hAnsi="Times New Roman" w:cs="Times New Roman"/>
          <w:sz w:val="24"/>
          <w:szCs w:val="24"/>
        </w:rPr>
        <w:t>AMF exposure</w:t>
      </w:r>
      <w:r w:rsidR="004400A6">
        <w:rPr>
          <w:rFonts w:ascii="Times New Roman" w:eastAsia="Times New Roman" w:hAnsi="Times New Roman" w:cs="Times New Roman"/>
          <w:sz w:val="24"/>
          <w:szCs w:val="24"/>
        </w:rPr>
        <w:t xml:space="preserve"> reduced levels of </w:t>
      </w:r>
      <w:r w:rsidR="00FC7B85">
        <w:rPr>
          <w:rFonts w:ascii="Times New Roman" w:eastAsia="Times New Roman" w:hAnsi="Times New Roman" w:cs="Times New Roman"/>
          <w:sz w:val="24"/>
          <w:szCs w:val="24"/>
        </w:rPr>
        <w:t>low-density</w:t>
      </w:r>
      <w:r w:rsidR="004400A6">
        <w:rPr>
          <w:rFonts w:ascii="Times New Roman" w:eastAsia="Times New Roman" w:hAnsi="Times New Roman" w:cs="Times New Roman"/>
          <w:sz w:val="24"/>
          <w:szCs w:val="24"/>
        </w:rPr>
        <w:t xml:space="preserve"> lipoprotein and normalized kidney function in mouse model of malaria in a previous study (Ekun </w:t>
      </w:r>
      <w:r w:rsidR="004400A6" w:rsidRPr="004400A6">
        <w:rPr>
          <w:rFonts w:ascii="Times New Roman" w:eastAsia="Times New Roman" w:hAnsi="Times New Roman" w:cs="Times New Roman"/>
          <w:i/>
          <w:iCs/>
          <w:sz w:val="24"/>
          <w:szCs w:val="24"/>
        </w:rPr>
        <w:t>et al.,</w:t>
      </w:r>
      <w:r w:rsidR="004400A6">
        <w:rPr>
          <w:rFonts w:ascii="Times New Roman" w:eastAsia="Times New Roman" w:hAnsi="Times New Roman" w:cs="Times New Roman"/>
          <w:sz w:val="24"/>
          <w:szCs w:val="24"/>
        </w:rPr>
        <w:t xml:space="preserve"> 2023).</w:t>
      </w:r>
    </w:p>
    <w:p w14:paraId="7AFE7980" w14:textId="412ECD6E" w:rsidR="00FC7B85" w:rsidRDefault="004400A6" w:rsidP="00FC7B85">
      <w:pPr>
        <w:spacing w:after="0" w:line="360" w:lineRule="auto"/>
        <w:jc w:val="both"/>
        <w:rPr>
          <w:rFonts w:ascii="Times New Roman" w:eastAsia="Times New Roman" w:hAnsi="Times New Roman" w:cs="Times New Roman"/>
          <w:sz w:val="24"/>
          <w:szCs w:val="24"/>
        </w:rPr>
      </w:pPr>
      <w:r w:rsidRPr="004400A6">
        <w:rPr>
          <w:rFonts w:ascii="Times New Roman" w:eastAsia="Times New Roman" w:hAnsi="Times New Roman" w:cs="Times New Roman"/>
          <w:sz w:val="24"/>
          <w:szCs w:val="24"/>
        </w:rPr>
        <w:lastRenderedPageBreak/>
        <w:t>However, since the search for fresh approaches is ongoing, this study focuses on the comparative effects of AMF, and</w:t>
      </w:r>
      <w:r>
        <w:rPr>
          <w:rFonts w:ascii="Times New Roman" w:eastAsia="Times New Roman" w:hAnsi="Times New Roman" w:cs="Times New Roman"/>
          <w:sz w:val="24"/>
          <w:szCs w:val="24"/>
        </w:rPr>
        <w:t xml:space="preserve"> crude extracts of</w:t>
      </w:r>
      <w:r w:rsidRPr="004400A6">
        <w:rPr>
          <w:rFonts w:ascii="Times New Roman" w:eastAsia="Times New Roman" w:hAnsi="Times New Roman" w:cs="Times New Roman"/>
          <w:sz w:val="24"/>
          <w:szCs w:val="24"/>
        </w:rPr>
        <w:t xml:space="preserve"> </w:t>
      </w:r>
      <w:r w:rsidRPr="004400A6">
        <w:rPr>
          <w:rFonts w:ascii="Times New Roman" w:eastAsia="Times New Roman" w:hAnsi="Times New Roman" w:cs="Times New Roman"/>
          <w:i/>
          <w:iCs/>
          <w:sz w:val="24"/>
          <w:szCs w:val="24"/>
        </w:rPr>
        <w:t xml:space="preserve">T. </w:t>
      </w:r>
      <w:proofErr w:type="spellStart"/>
      <w:r w:rsidRPr="004400A6">
        <w:rPr>
          <w:rFonts w:ascii="Times New Roman" w:eastAsia="Times New Roman" w:hAnsi="Times New Roman" w:cs="Times New Roman"/>
          <w:i/>
          <w:iCs/>
          <w:sz w:val="24"/>
          <w:szCs w:val="24"/>
        </w:rPr>
        <w:t>diversifolia</w:t>
      </w:r>
      <w:proofErr w:type="spellEnd"/>
      <w:r w:rsidRPr="004400A6">
        <w:rPr>
          <w:rFonts w:ascii="Times New Roman" w:eastAsia="Times New Roman" w:hAnsi="Times New Roman" w:cs="Times New Roman"/>
          <w:sz w:val="24"/>
          <w:szCs w:val="24"/>
        </w:rPr>
        <w:t xml:space="preserve"> leaf on </w:t>
      </w:r>
      <w:r w:rsidRPr="004400A6">
        <w:rPr>
          <w:rFonts w:ascii="Times New Roman" w:hAnsi="Times New Roman" w:cs="Times New Roman"/>
          <w:sz w:val="24"/>
          <w:szCs w:val="24"/>
        </w:rPr>
        <w:t xml:space="preserve">hematological parameters </w:t>
      </w:r>
      <w:r w:rsidR="00FC7B85" w:rsidRPr="004400A6">
        <w:rPr>
          <w:rFonts w:ascii="Times New Roman" w:hAnsi="Times New Roman" w:cs="Times New Roman"/>
          <w:sz w:val="24"/>
          <w:szCs w:val="24"/>
        </w:rPr>
        <w:t>of mouse</w:t>
      </w:r>
      <w:r>
        <w:rPr>
          <w:rFonts w:ascii="Times New Roman" w:hAnsi="Times New Roman" w:cs="Times New Roman"/>
          <w:sz w:val="24"/>
          <w:szCs w:val="24"/>
        </w:rPr>
        <w:t xml:space="preserve"> model of malaria.</w:t>
      </w:r>
    </w:p>
    <w:p w14:paraId="73BD6E58" w14:textId="12F25FE1" w:rsidR="00FC7B85" w:rsidRDefault="00B23AA5" w:rsidP="00FC7B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B7643F" w:rsidRPr="00C91765">
        <w:rPr>
          <w:rFonts w:ascii="Times New Roman" w:hAnsi="Times New Roman" w:cs="Times New Roman"/>
          <w:b/>
          <w:sz w:val="24"/>
          <w:szCs w:val="24"/>
        </w:rPr>
        <w:t>Materials and Methods</w:t>
      </w:r>
    </w:p>
    <w:p w14:paraId="7754F2EE" w14:textId="7DAF528E" w:rsidR="00B23AA5" w:rsidRDefault="00B23AA5" w:rsidP="00FC7B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Materials</w:t>
      </w:r>
    </w:p>
    <w:p w14:paraId="23C4CB01" w14:textId="5B76ABD1" w:rsidR="00FC7B85" w:rsidRDefault="00B23AA5" w:rsidP="00FC7B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E62152">
        <w:rPr>
          <w:rFonts w:ascii="Times New Roman" w:hAnsi="Times New Roman" w:cs="Times New Roman"/>
          <w:b/>
          <w:sz w:val="24"/>
          <w:szCs w:val="24"/>
        </w:rPr>
        <w:t>Animals</w:t>
      </w:r>
    </w:p>
    <w:p w14:paraId="03902A38" w14:textId="177CD97C" w:rsidR="00FC7B85" w:rsidRDefault="00E62152" w:rsidP="00FC7B85">
      <w:pPr>
        <w:spacing w:after="0" w:line="360" w:lineRule="auto"/>
        <w:jc w:val="both"/>
        <w:rPr>
          <w:rFonts w:ascii="Times New Roman" w:eastAsia="Times New Roman" w:hAnsi="Times New Roman" w:cs="Times New Roman"/>
          <w:sz w:val="24"/>
          <w:szCs w:val="24"/>
        </w:rPr>
      </w:pPr>
      <w:r w:rsidRPr="00E62152">
        <w:rPr>
          <w:rFonts w:ascii="Times New Roman" w:hAnsi="Times New Roman" w:cs="Times New Roman"/>
          <w:sz w:val="24"/>
          <w:szCs w:val="24"/>
        </w:rPr>
        <w:t xml:space="preserve">A total of </w:t>
      </w:r>
      <w:r w:rsidR="00DC2F2B">
        <w:rPr>
          <w:rFonts w:ascii="Times New Roman" w:hAnsi="Times New Roman" w:cs="Times New Roman"/>
          <w:sz w:val="24"/>
          <w:szCs w:val="24"/>
        </w:rPr>
        <w:t>thirty (30)</w:t>
      </w:r>
      <w:r w:rsidRPr="00E62152">
        <w:rPr>
          <w:rFonts w:ascii="Times New Roman" w:hAnsi="Times New Roman" w:cs="Times New Roman"/>
          <w:sz w:val="24"/>
          <w:szCs w:val="24"/>
        </w:rPr>
        <w:t xml:space="preserve"> male mice</w:t>
      </w:r>
      <w:r>
        <w:rPr>
          <w:rFonts w:ascii="Times New Roman" w:hAnsi="Times New Roman" w:cs="Times New Roman"/>
          <w:sz w:val="24"/>
          <w:szCs w:val="24"/>
        </w:rPr>
        <w:t>,</w:t>
      </w:r>
      <w:r w:rsidRPr="00E62152">
        <w:rPr>
          <w:rFonts w:ascii="Times New Roman" w:hAnsi="Times New Roman" w:cs="Times New Roman"/>
          <w:sz w:val="24"/>
          <w:szCs w:val="24"/>
        </w:rPr>
        <w:t xml:space="preserve"> three weeks old, weighing 65 kg on average,</w:t>
      </w:r>
      <w:r>
        <w:rPr>
          <w:rFonts w:ascii="Times New Roman" w:hAnsi="Times New Roman" w:cs="Times New Roman"/>
          <w:sz w:val="24"/>
          <w:szCs w:val="24"/>
        </w:rPr>
        <w:t xml:space="preserve"> </w:t>
      </w:r>
      <w:r w:rsidRPr="00E62152">
        <w:rPr>
          <w:rFonts w:ascii="Times New Roman" w:hAnsi="Times New Roman" w:cs="Times New Roman"/>
          <w:sz w:val="24"/>
          <w:szCs w:val="24"/>
        </w:rPr>
        <w:t>were acquired from the University College Hospital's parasitology department in Ibadan, Nigeria.</w:t>
      </w:r>
      <w:r>
        <w:rPr>
          <w:rFonts w:ascii="Times New Roman" w:hAnsi="Times New Roman" w:cs="Times New Roman"/>
          <w:b/>
          <w:sz w:val="24"/>
          <w:szCs w:val="24"/>
        </w:rPr>
        <w:t xml:space="preserve"> </w:t>
      </w:r>
    </w:p>
    <w:p w14:paraId="241F42B7" w14:textId="7F3E06E0" w:rsidR="00FC7B85" w:rsidRDefault="00B23AA5" w:rsidP="00FC7B8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E62152" w:rsidRPr="00E62152">
        <w:rPr>
          <w:rFonts w:ascii="Times New Roman" w:hAnsi="Times New Roman" w:cs="Times New Roman"/>
          <w:b/>
          <w:bCs/>
          <w:sz w:val="24"/>
          <w:szCs w:val="24"/>
        </w:rPr>
        <w:t>Malarial parasit</w:t>
      </w:r>
      <w:r w:rsidR="00582099">
        <w:rPr>
          <w:rFonts w:ascii="Times New Roman" w:hAnsi="Times New Roman" w:cs="Times New Roman"/>
          <w:b/>
          <w:bCs/>
          <w:sz w:val="24"/>
          <w:szCs w:val="24"/>
        </w:rPr>
        <w:t>e</w:t>
      </w:r>
    </w:p>
    <w:p w14:paraId="4378BB71" w14:textId="77777777" w:rsidR="00FC7B85" w:rsidRDefault="00FC7B85" w:rsidP="00FC7B85">
      <w:pPr>
        <w:spacing w:after="0" w:line="360" w:lineRule="auto"/>
        <w:jc w:val="both"/>
        <w:rPr>
          <w:rFonts w:ascii="Times New Roman" w:eastAsia="Times New Roman" w:hAnsi="Times New Roman" w:cs="Times New Roman"/>
          <w:sz w:val="24"/>
          <w:szCs w:val="24"/>
        </w:rPr>
      </w:pPr>
      <w:r w:rsidRPr="00FC7B85">
        <w:rPr>
          <w:rFonts w:ascii="Times New Roman" w:hAnsi="Times New Roman" w:cs="Times New Roman"/>
          <w:sz w:val="24"/>
          <w:szCs w:val="24"/>
        </w:rPr>
        <w:t>The Institute of Advanced Medical Research, College of Medicine, Ibadan, Oyo State, Nigeria, provided the parasitized mice. Serial blood passage from an infected mouse to a healthy mouse was the approach used to inoculate the experimental animals with parasites.</w:t>
      </w:r>
    </w:p>
    <w:p w14:paraId="10E7860E" w14:textId="2948B637" w:rsidR="00AD4DE8" w:rsidRDefault="00B23AA5" w:rsidP="00AD4D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2.1.3 </w:t>
      </w:r>
      <w:r w:rsidR="00582099">
        <w:rPr>
          <w:rFonts w:ascii="Times New Roman" w:hAnsi="Times New Roman" w:cs="Times New Roman"/>
          <w:b/>
          <w:sz w:val="24"/>
          <w:szCs w:val="24"/>
        </w:rPr>
        <w:t>Experimental Solenoid</w:t>
      </w:r>
    </w:p>
    <w:p w14:paraId="61C50A97" w14:textId="19D781EF" w:rsidR="0011599B" w:rsidRDefault="00FC7B85" w:rsidP="0011599B">
      <w:pPr>
        <w:spacing w:after="0" w:line="360" w:lineRule="auto"/>
        <w:jc w:val="both"/>
        <w:rPr>
          <w:rFonts w:ascii="Times New Roman" w:eastAsia="Times New Roman" w:hAnsi="Times New Roman" w:cs="Times New Roman"/>
          <w:sz w:val="24"/>
          <w:szCs w:val="24"/>
        </w:rPr>
      </w:pPr>
      <w:r w:rsidRPr="00AD4DE8">
        <w:rPr>
          <w:rFonts w:ascii="Times New Roman" w:hAnsi="Times New Roman" w:cs="Times New Roman"/>
          <w:sz w:val="24"/>
          <w:szCs w:val="24"/>
        </w:rPr>
        <w:t xml:space="preserve">The procedure described by </w:t>
      </w:r>
      <w:proofErr w:type="spellStart"/>
      <w:r w:rsidRPr="00AD4DE8">
        <w:rPr>
          <w:rFonts w:ascii="Times New Roman" w:hAnsi="Times New Roman" w:cs="Times New Roman"/>
          <w:sz w:val="24"/>
          <w:szCs w:val="24"/>
        </w:rPr>
        <w:t>Abajigin</w:t>
      </w:r>
      <w:proofErr w:type="spellEnd"/>
      <w:r w:rsidRPr="00AD4DE8">
        <w:rPr>
          <w:rFonts w:ascii="Times New Roman" w:hAnsi="Times New Roman" w:cs="Times New Roman"/>
          <w:sz w:val="24"/>
          <w:szCs w:val="24"/>
        </w:rPr>
        <w:t xml:space="preserve"> (201</w:t>
      </w:r>
      <w:r w:rsidR="001B2F59">
        <w:rPr>
          <w:rFonts w:ascii="Times New Roman" w:hAnsi="Times New Roman" w:cs="Times New Roman"/>
          <w:sz w:val="24"/>
          <w:szCs w:val="24"/>
        </w:rPr>
        <w:t>5</w:t>
      </w:r>
      <w:r w:rsidRPr="00AD4DE8">
        <w:rPr>
          <w:rFonts w:ascii="Times New Roman" w:hAnsi="Times New Roman" w:cs="Times New Roman"/>
          <w:sz w:val="24"/>
          <w:szCs w:val="24"/>
        </w:rPr>
        <w:t xml:space="preserve">), was used to generate the experimental solenoid. In order to create the oscillating magnetic field needed for the experiment, it was built on a 7 cm-diameter, pliable, cylindrical metal sheet frame that held 220 turns of a conventional wire </w:t>
      </w:r>
      <w:proofErr w:type="spellStart"/>
      <w:r w:rsidRPr="00AD4DE8">
        <w:rPr>
          <w:rFonts w:ascii="Times New Roman" w:hAnsi="Times New Roman" w:cs="Times New Roman"/>
          <w:sz w:val="24"/>
          <w:szCs w:val="24"/>
        </w:rPr>
        <w:t>guaze</w:t>
      </w:r>
      <w:proofErr w:type="spellEnd"/>
      <w:r w:rsidRPr="00AD4DE8">
        <w:rPr>
          <w:rFonts w:ascii="Times New Roman" w:hAnsi="Times New Roman" w:cs="Times New Roman"/>
          <w:sz w:val="24"/>
          <w:szCs w:val="24"/>
        </w:rPr>
        <w:t xml:space="preserve"> coil conductor at 37 degrees Celsius. The conductor's inner radius measured 750 mm and its thickness measured 102.5 mm. A </w:t>
      </w:r>
      <w:r w:rsidR="003321EF" w:rsidRPr="00AD4DE8">
        <w:rPr>
          <w:rFonts w:ascii="Times New Roman" w:hAnsi="Times New Roman" w:cs="Times New Roman"/>
          <w:sz w:val="24"/>
          <w:szCs w:val="24"/>
        </w:rPr>
        <w:t>30-volt</w:t>
      </w:r>
      <w:r w:rsidRPr="00AD4DE8">
        <w:rPr>
          <w:rFonts w:ascii="Times New Roman" w:hAnsi="Times New Roman" w:cs="Times New Roman"/>
          <w:sz w:val="24"/>
          <w:szCs w:val="24"/>
        </w:rPr>
        <w:t xml:space="preserve"> step down transformer was used to link the solenoid to an alternating current source, which was crucial for generating an output of 6.0 amperes of AC power. A specialized regulator that regulates the alternating magnetic field's intensity from 10mT to 40mT was used to control the magnetic field.</w:t>
      </w:r>
      <w:r w:rsidR="00AD4DE8" w:rsidRPr="00AD4DE8">
        <w:rPr>
          <w:rFonts w:ascii="Times New Roman" w:hAnsi="Times New Roman" w:cs="Times New Roman"/>
          <w:sz w:val="24"/>
          <w:szCs w:val="24"/>
        </w:rPr>
        <w:t xml:space="preserve"> The solenoid's self-inductance was 13 </w:t>
      </w:r>
      <w:proofErr w:type="spellStart"/>
      <w:r w:rsidR="00AD4DE8" w:rsidRPr="00AD4DE8">
        <w:rPr>
          <w:rFonts w:ascii="Times New Roman" w:hAnsi="Times New Roman" w:cs="Times New Roman"/>
          <w:sz w:val="24"/>
          <w:szCs w:val="24"/>
        </w:rPr>
        <w:t>mH</w:t>
      </w:r>
      <w:proofErr w:type="spellEnd"/>
      <w:r w:rsidR="00AD4DE8" w:rsidRPr="00AD4DE8">
        <w:rPr>
          <w:rFonts w:ascii="Times New Roman" w:hAnsi="Times New Roman" w:cs="Times New Roman"/>
          <w:sz w:val="24"/>
          <w:szCs w:val="24"/>
        </w:rPr>
        <w:t xml:space="preserve">, and it was powered by 30 </w:t>
      </w:r>
      <w:r w:rsidR="003321EF">
        <w:rPr>
          <w:rFonts w:ascii="Times New Roman" w:hAnsi="Times New Roman" w:cs="Times New Roman"/>
          <w:sz w:val="24"/>
          <w:szCs w:val="24"/>
        </w:rPr>
        <w:t>volts</w:t>
      </w:r>
      <w:r w:rsidR="00AD4DE8" w:rsidRPr="00AD4DE8">
        <w:rPr>
          <w:rFonts w:ascii="Times New Roman" w:hAnsi="Times New Roman" w:cs="Times New Roman"/>
          <w:sz w:val="24"/>
          <w:szCs w:val="24"/>
        </w:rPr>
        <w:t xml:space="preserve"> of stored energy.</w:t>
      </w:r>
    </w:p>
    <w:p w14:paraId="3290D38F" w14:textId="2003C7DB" w:rsidR="0011599B" w:rsidRDefault="00B92C7B" w:rsidP="0011599B">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2.1.4 </w:t>
      </w:r>
      <w:r w:rsidR="00E62152">
        <w:rPr>
          <w:rFonts w:ascii="Times New Roman" w:hAnsi="Times New Roman" w:cs="Times New Roman"/>
          <w:b/>
          <w:sz w:val="24"/>
          <w:szCs w:val="24"/>
        </w:rPr>
        <w:t>Plant Material</w:t>
      </w:r>
    </w:p>
    <w:p w14:paraId="7A81AA62" w14:textId="3539BA81" w:rsidR="00B92C7B" w:rsidRDefault="008F4DE5" w:rsidP="00B92C7B">
      <w:pPr>
        <w:spacing w:after="0" w:line="360" w:lineRule="auto"/>
        <w:jc w:val="both"/>
        <w:rPr>
          <w:rFonts w:ascii="Times New Roman" w:eastAsia="Times New Roman" w:hAnsi="Times New Roman" w:cs="Times New Roman"/>
          <w:sz w:val="24"/>
          <w:szCs w:val="24"/>
        </w:rPr>
      </w:pPr>
      <w:proofErr w:type="spellStart"/>
      <w:r w:rsidRPr="003E01B9">
        <w:rPr>
          <w:rFonts w:ascii="Times New Roman" w:hAnsi="Times New Roman" w:cs="Times New Roman"/>
          <w:bCs/>
          <w:i/>
          <w:iCs/>
          <w:sz w:val="24"/>
          <w:szCs w:val="24"/>
        </w:rPr>
        <w:t>Tithonia</w:t>
      </w:r>
      <w:proofErr w:type="spellEnd"/>
      <w:r w:rsidRPr="003E01B9">
        <w:rPr>
          <w:rFonts w:ascii="Times New Roman" w:hAnsi="Times New Roman" w:cs="Times New Roman"/>
          <w:bCs/>
          <w:i/>
          <w:iCs/>
          <w:sz w:val="24"/>
          <w:szCs w:val="24"/>
        </w:rPr>
        <w:t xml:space="preserve"> </w:t>
      </w:r>
      <w:proofErr w:type="spellStart"/>
      <w:r w:rsidRPr="003E01B9">
        <w:rPr>
          <w:rFonts w:ascii="Times New Roman" w:hAnsi="Times New Roman" w:cs="Times New Roman"/>
          <w:bCs/>
          <w:i/>
          <w:iCs/>
          <w:sz w:val="24"/>
          <w:szCs w:val="24"/>
        </w:rPr>
        <w:t>diversifolia</w:t>
      </w:r>
      <w:proofErr w:type="spellEnd"/>
      <w:r w:rsidRPr="003E01B9">
        <w:rPr>
          <w:rFonts w:ascii="Times New Roman" w:hAnsi="Times New Roman" w:cs="Times New Roman"/>
          <w:bCs/>
          <w:sz w:val="24"/>
          <w:szCs w:val="24"/>
        </w:rPr>
        <w:t xml:space="preserve"> leaves were </w:t>
      </w:r>
      <w:r w:rsidR="00B23AA5">
        <w:rPr>
          <w:rFonts w:ascii="Times New Roman" w:hAnsi="Times New Roman" w:cs="Times New Roman"/>
          <w:bCs/>
          <w:sz w:val="24"/>
          <w:szCs w:val="24"/>
        </w:rPr>
        <w:t xml:space="preserve">collected from </w:t>
      </w:r>
      <w:r w:rsidR="00FD54FF">
        <w:rPr>
          <w:rFonts w:ascii="Times New Roman" w:hAnsi="Times New Roman" w:cs="Times New Roman"/>
          <w:bCs/>
          <w:sz w:val="24"/>
          <w:szCs w:val="24"/>
        </w:rPr>
        <w:t xml:space="preserve">farmlands within the </w:t>
      </w:r>
      <w:r w:rsidR="00B92C7B">
        <w:rPr>
          <w:rFonts w:ascii="Times New Roman" w:hAnsi="Times New Roman" w:cs="Times New Roman"/>
          <w:bCs/>
          <w:sz w:val="24"/>
          <w:szCs w:val="24"/>
        </w:rPr>
        <w:t>U</w:t>
      </w:r>
      <w:r w:rsidR="00FD54FF">
        <w:rPr>
          <w:rFonts w:ascii="Times New Roman" w:hAnsi="Times New Roman" w:cs="Times New Roman"/>
          <w:bCs/>
          <w:sz w:val="24"/>
          <w:szCs w:val="24"/>
        </w:rPr>
        <w:t>niversity</w:t>
      </w:r>
      <w:r w:rsidR="00B92C7B">
        <w:rPr>
          <w:rFonts w:ascii="Times New Roman" w:hAnsi="Times New Roman" w:cs="Times New Roman"/>
          <w:bCs/>
          <w:sz w:val="24"/>
          <w:szCs w:val="24"/>
        </w:rPr>
        <w:t>, and they were subsequently identified by the Department of Plant Science and Biotechnology</w:t>
      </w:r>
      <w:r w:rsidR="001E0738">
        <w:rPr>
          <w:rFonts w:ascii="Times New Roman" w:hAnsi="Times New Roman" w:cs="Times New Roman"/>
          <w:bCs/>
          <w:sz w:val="24"/>
          <w:szCs w:val="24"/>
        </w:rPr>
        <w:t xml:space="preserve">, Adekunle </w:t>
      </w:r>
      <w:proofErr w:type="spellStart"/>
      <w:r w:rsidR="001E0738">
        <w:rPr>
          <w:rFonts w:ascii="Times New Roman" w:hAnsi="Times New Roman" w:cs="Times New Roman"/>
          <w:bCs/>
          <w:sz w:val="24"/>
          <w:szCs w:val="24"/>
        </w:rPr>
        <w:t>Ajasin</w:t>
      </w:r>
      <w:proofErr w:type="spellEnd"/>
      <w:r w:rsidR="001E0738">
        <w:rPr>
          <w:rFonts w:ascii="Times New Roman" w:hAnsi="Times New Roman" w:cs="Times New Roman"/>
          <w:bCs/>
          <w:sz w:val="24"/>
          <w:szCs w:val="24"/>
        </w:rPr>
        <w:t xml:space="preserve"> University, </w:t>
      </w:r>
      <w:proofErr w:type="spellStart"/>
      <w:r w:rsidR="001E0738">
        <w:rPr>
          <w:rFonts w:ascii="Times New Roman" w:hAnsi="Times New Roman" w:cs="Times New Roman"/>
          <w:bCs/>
          <w:sz w:val="24"/>
          <w:szCs w:val="24"/>
        </w:rPr>
        <w:t>Akungba-Akoko</w:t>
      </w:r>
      <w:proofErr w:type="spellEnd"/>
      <w:r w:rsidR="001E0738">
        <w:rPr>
          <w:rFonts w:ascii="Times New Roman" w:hAnsi="Times New Roman" w:cs="Times New Roman"/>
          <w:bCs/>
          <w:sz w:val="24"/>
          <w:szCs w:val="24"/>
        </w:rPr>
        <w:t xml:space="preserve">. </w:t>
      </w:r>
      <w:r w:rsidR="00B92C7B">
        <w:rPr>
          <w:rFonts w:ascii="Times New Roman" w:hAnsi="Times New Roman" w:cs="Times New Roman"/>
          <w:bCs/>
          <w:sz w:val="24"/>
          <w:szCs w:val="24"/>
        </w:rPr>
        <w:t xml:space="preserve">Voucher samples of the plant were also deposited and kept for reference. </w:t>
      </w:r>
      <w:r w:rsidR="00FD54FF">
        <w:rPr>
          <w:rFonts w:ascii="Times New Roman" w:hAnsi="Times New Roman" w:cs="Times New Roman"/>
          <w:bCs/>
          <w:sz w:val="24"/>
          <w:szCs w:val="24"/>
        </w:rPr>
        <w:t xml:space="preserve"> </w:t>
      </w:r>
    </w:p>
    <w:p w14:paraId="5611FBB6" w14:textId="77777777" w:rsidR="00B92C7B" w:rsidRDefault="00B92C7B" w:rsidP="00B92C7B">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2.1.5 </w:t>
      </w:r>
      <w:r w:rsidR="00582099" w:rsidRPr="001A1C76">
        <w:rPr>
          <w:rFonts w:ascii="Times New Roman" w:hAnsi="Times New Roman" w:cs="Times New Roman"/>
          <w:b/>
          <w:sz w:val="24"/>
          <w:szCs w:val="24"/>
        </w:rPr>
        <w:t>Reagents</w:t>
      </w:r>
      <w:r w:rsidR="00582099">
        <w:rPr>
          <w:rFonts w:ascii="Times New Roman" w:hAnsi="Times New Roman" w:cs="Times New Roman"/>
          <w:b/>
          <w:sz w:val="24"/>
          <w:szCs w:val="24"/>
        </w:rPr>
        <w:t xml:space="preserve">, </w:t>
      </w:r>
      <w:r w:rsidR="00582099" w:rsidRPr="001A1C76">
        <w:rPr>
          <w:rFonts w:ascii="Times New Roman" w:hAnsi="Times New Roman" w:cs="Times New Roman"/>
          <w:b/>
          <w:sz w:val="24"/>
          <w:szCs w:val="24"/>
        </w:rPr>
        <w:t>Chemicals</w:t>
      </w:r>
      <w:r w:rsidR="00582099">
        <w:rPr>
          <w:rFonts w:ascii="Times New Roman" w:hAnsi="Times New Roman" w:cs="Times New Roman"/>
          <w:b/>
          <w:sz w:val="24"/>
          <w:szCs w:val="24"/>
        </w:rPr>
        <w:t xml:space="preserve"> and Equipment</w:t>
      </w:r>
    </w:p>
    <w:p w14:paraId="563DEE7F" w14:textId="54111409" w:rsidR="00B92C7B" w:rsidRDefault="00B92C7B" w:rsidP="00B92C7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All chemicals and reagents used for this study were of analytical grade and were products of Sigma-Aldrich </w:t>
      </w:r>
      <w:r w:rsidR="001E0738">
        <w:rPr>
          <w:rFonts w:ascii="Times New Roman" w:hAnsi="Times New Roman" w:cs="Times New Roman"/>
          <w:bCs/>
          <w:sz w:val="24"/>
          <w:szCs w:val="24"/>
        </w:rPr>
        <w:t>Limited</w:t>
      </w:r>
      <w:r w:rsidR="00EF4D49">
        <w:rPr>
          <w:rFonts w:ascii="Times New Roman" w:hAnsi="Times New Roman" w:cs="Times New Roman"/>
          <w:bCs/>
          <w:sz w:val="24"/>
          <w:szCs w:val="24"/>
        </w:rPr>
        <w:t xml:space="preserve">, </w:t>
      </w:r>
      <w:r w:rsidR="00EF4D49" w:rsidRPr="00EF4D49">
        <w:rPr>
          <w:rFonts w:ascii="Times New Roman" w:hAnsi="Times New Roman" w:cs="Times New Roman"/>
          <w:bCs/>
          <w:sz w:val="24"/>
          <w:szCs w:val="24"/>
        </w:rPr>
        <w:t>Co</w:t>
      </w:r>
      <w:r w:rsidR="00EF4D49">
        <w:rPr>
          <w:rFonts w:ascii="Times New Roman" w:hAnsi="Times New Roman" w:cs="Times New Roman"/>
          <w:bCs/>
          <w:sz w:val="24"/>
          <w:szCs w:val="24"/>
        </w:rPr>
        <w:t>-</w:t>
      </w:r>
      <w:r w:rsidR="00EF4D49" w:rsidRPr="00EF4D49">
        <w:rPr>
          <w:rFonts w:ascii="Times New Roman" w:hAnsi="Times New Roman" w:cs="Times New Roman"/>
          <w:bCs/>
          <w:sz w:val="24"/>
          <w:szCs w:val="24"/>
        </w:rPr>
        <w:t>A</w:t>
      </w:r>
      <w:r w:rsidR="00EF4D49">
        <w:rPr>
          <w:rFonts w:ascii="Times New Roman" w:hAnsi="Times New Roman" w:cs="Times New Roman"/>
          <w:bCs/>
          <w:sz w:val="24"/>
          <w:szCs w:val="24"/>
        </w:rPr>
        <w:t>n</w:t>
      </w:r>
      <w:r w:rsidR="00EF4D49" w:rsidRPr="00EF4D49">
        <w:rPr>
          <w:rFonts w:ascii="Times New Roman" w:hAnsi="Times New Roman" w:cs="Times New Roman"/>
          <w:bCs/>
          <w:sz w:val="24"/>
          <w:szCs w:val="24"/>
        </w:rPr>
        <w:t>trim, United Kingdom</w:t>
      </w:r>
      <w:r w:rsidR="001E0738">
        <w:rPr>
          <w:rFonts w:ascii="Times New Roman" w:hAnsi="Times New Roman" w:cs="Times New Roman"/>
          <w:bCs/>
          <w:sz w:val="24"/>
          <w:szCs w:val="24"/>
        </w:rPr>
        <w:t xml:space="preserve">. </w:t>
      </w:r>
      <w:r>
        <w:rPr>
          <w:rFonts w:ascii="Times New Roman" w:hAnsi="Times New Roman" w:cs="Times New Roman"/>
          <w:bCs/>
          <w:sz w:val="24"/>
          <w:szCs w:val="24"/>
        </w:rPr>
        <w:t xml:space="preserve">Equipment used in this study included </w:t>
      </w:r>
      <w:r>
        <w:rPr>
          <w:rFonts w:ascii="Times New Roman" w:hAnsi="Times New Roman" w:cs="Times New Roman"/>
          <w:bCs/>
          <w:sz w:val="24"/>
          <w:szCs w:val="24"/>
        </w:rPr>
        <w:lastRenderedPageBreak/>
        <w:t xml:space="preserve">microplate reader, weighing balance, bench centrifuge, </w:t>
      </w:r>
      <w:r w:rsidR="001E0738">
        <w:rPr>
          <w:rFonts w:ascii="Times New Roman" w:hAnsi="Times New Roman" w:cs="Times New Roman"/>
          <w:bCs/>
          <w:sz w:val="24"/>
          <w:szCs w:val="24"/>
        </w:rPr>
        <w:t xml:space="preserve">experimental solenoid, automated </w:t>
      </w:r>
      <w:proofErr w:type="spellStart"/>
      <w:r w:rsidR="001E0738">
        <w:rPr>
          <w:rFonts w:ascii="Times New Roman" w:hAnsi="Times New Roman" w:cs="Times New Roman"/>
          <w:bCs/>
          <w:sz w:val="24"/>
          <w:szCs w:val="24"/>
        </w:rPr>
        <w:t>stromatolyser</w:t>
      </w:r>
      <w:proofErr w:type="spellEnd"/>
      <w:r w:rsidR="001E0738">
        <w:rPr>
          <w:rFonts w:ascii="Times New Roman" w:hAnsi="Times New Roman" w:cs="Times New Roman"/>
          <w:bCs/>
          <w:sz w:val="24"/>
          <w:szCs w:val="24"/>
        </w:rPr>
        <w:t>, water bath, pH meter, refrigerator, rotary evaporator, among other equipment.</w:t>
      </w:r>
    </w:p>
    <w:p w14:paraId="65E5017D" w14:textId="1492AD63" w:rsidR="00E62152" w:rsidRDefault="00B92C7B" w:rsidP="00B7643F">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00E62152">
        <w:rPr>
          <w:rFonts w:ascii="Times New Roman" w:hAnsi="Times New Roman" w:cs="Times New Roman"/>
          <w:b/>
          <w:sz w:val="24"/>
          <w:szCs w:val="24"/>
        </w:rPr>
        <w:t>Methods</w:t>
      </w:r>
    </w:p>
    <w:p w14:paraId="4F46611A" w14:textId="49396D8B" w:rsidR="00B23AA5" w:rsidRDefault="00B92C7B" w:rsidP="00B23AA5">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2.2.1 </w:t>
      </w:r>
      <w:r w:rsidR="00B23AA5">
        <w:rPr>
          <w:rFonts w:ascii="Times New Roman" w:hAnsi="Times New Roman" w:cs="Times New Roman"/>
          <w:b/>
          <w:sz w:val="24"/>
          <w:szCs w:val="24"/>
        </w:rPr>
        <w:t>Preparation of Plant Material</w:t>
      </w:r>
    </w:p>
    <w:p w14:paraId="0D3AE5F2" w14:textId="3C8A97DA" w:rsidR="00AA3291" w:rsidRDefault="00B23AA5" w:rsidP="00370C27">
      <w:pPr>
        <w:spacing w:after="0" w:line="360" w:lineRule="auto"/>
        <w:jc w:val="both"/>
        <w:rPr>
          <w:rFonts w:ascii="Times New Roman" w:eastAsia="Times New Roman" w:hAnsi="Times New Roman" w:cs="Times New Roman"/>
          <w:sz w:val="24"/>
          <w:szCs w:val="24"/>
        </w:rPr>
      </w:pPr>
      <w:proofErr w:type="spellStart"/>
      <w:r w:rsidRPr="003E01B9">
        <w:rPr>
          <w:rFonts w:ascii="Times New Roman" w:hAnsi="Times New Roman" w:cs="Times New Roman"/>
          <w:bCs/>
          <w:i/>
          <w:iCs/>
          <w:sz w:val="24"/>
          <w:szCs w:val="24"/>
        </w:rPr>
        <w:t>Tithonia</w:t>
      </w:r>
      <w:proofErr w:type="spellEnd"/>
      <w:r w:rsidRPr="003E01B9">
        <w:rPr>
          <w:rFonts w:ascii="Times New Roman" w:hAnsi="Times New Roman" w:cs="Times New Roman"/>
          <w:bCs/>
          <w:i/>
          <w:iCs/>
          <w:sz w:val="24"/>
          <w:szCs w:val="24"/>
        </w:rPr>
        <w:t xml:space="preserve"> </w:t>
      </w:r>
      <w:proofErr w:type="spellStart"/>
      <w:r w:rsidRPr="003E01B9">
        <w:rPr>
          <w:rFonts w:ascii="Times New Roman" w:hAnsi="Times New Roman" w:cs="Times New Roman"/>
          <w:bCs/>
          <w:i/>
          <w:iCs/>
          <w:sz w:val="24"/>
          <w:szCs w:val="24"/>
        </w:rPr>
        <w:t>diversifolia</w:t>
      </w:r>
      <w:proofErr w:type="spellEnd"/>
      <w:r w:rsidRPr="003E01B9">
        <w:rPr>
          <w:rFonts w:ascii="Times New Roman" w:hAnsi="Times New Roman" w:cs="Times New Roman"/>
          <w:bCs/>
          <w:sz w:val="24"/>
          <w:szCs w:val="24"/>
        </w:rPr>
        <w:t xml:space="preserve"> leaves were washed with distilled water, air-dried and subsequently ground into powder. The leaf powder was mixed with </w:t>
      </w:r>
      <w:r w:rsidR="008E391A">
        <w:rPr>
          <w:rFonts w:ascii="Times New Roman" w:hAnsi="Times New Roman" w:cs="Times New Roman"/>
          <w:bCs/>
          <w:sz w:val="24"/>
          <w:szCs w:val="24"/>
        </w:rPr>
        <w:t>80</w:t>
      </w:r>
      <w:r w:rsidRPr="003E01B9">
        <w:rPr>
          <w:rFonts w:ascii="Times New Roman" w:hAnsi="Times New Roman" w:cs="Times New Roman"/>
          <w:bCs/>
          <w:sz w:val="24"/>
          <w:szCs w:val="24"/>
        </w:rPr>
        <w:t xml:space="preserve">% methanol in a 1:10 ratio, and stirred continuously for 48 hours using a magnetic stirrer. The mixture was filtered using </w:t>
      </w:r>
      <w:proofErr w:type="spellStart"/>
      <w:r w:rsidRPr="003E01B9">
        <w:rPr>
          <w:rFonts w:ascii="Times New Roman" w:hAnsi="Times New Roman" w:cs="Times New Roman"/>
          <w:bCs/>
          <w:sz w:val="24"/>
          <w:szCs w:val="24"/>
        </w:rPr>
        <w:t>Whatmann</w:t>
      </w:r>
      <w:proofErr w:type="spellEnd"/>
      <w:r w:rsidRPr="003E01B9">
        <w:rPr>
          <w:rFonts w:ascii="Times New Roman" w:hAnsi="Times New Roman" w:cs="Times New Roman"/>
          <w:bCs/>
          <w:sz w:val="24"/>
          <w:szCs w:val="24"/>
        </w:rPr>
        <w:t xml:space="preserve"> filter paper, and a rotary evaporator was used to concentrate the filtrate, evaporating it to dryness in the process. The powder obtained is then referred to as the crude extract and kept in</w:t>
      </w:r>
      <w:r>
        <w:rPr>
          <w:rFonts w:ascii="Times New Roman" w:hAnsi="Times New Roman" w:cs="Times New Roman"/>
          <w:bCs/>
          <w:sz w:val="24"/>
          <w:szCs w:val="24"/>
        </w:rPr>
        <w:t xml:space="preserve"> an air-tight container at 4</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C until needed.</w:t>
      </w:r>
    </w:p>
    <w:p w14:paraId="0A60987C" w14:textId="77777777" w:rsidR="00AA3291" w:rsidRDefault="001E0738" w:rsidP="00AA3291">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2.2.2 </w:t>
      </w:r>
      <w:r w:rsidR="00E62152">
        <w:rPr>
          <w:rFonts w:ascii="Times New Roman" w:hAnsi="Times New Roman" w:cs="Times New Roman"/>
          <w:b/>
          <w:sz w:val="24"/>
          <w:szCs w:val="24"/>
        </w:rPr>
        <w:t>Experimental Design</w:t>
      </w:r>
    </w:p>
    <w:p w14:paraId="23F04834" w14:textId="77777777" w:rsidR="00AA3291" w:rsidRDefault="00235C4B" w:rsidP="00AA3291">
      <w:p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rPr>
        <w:t>Twenty</w:t>
      </w:r>
      <w:r w:rsidR="00DC2F2B">
        <w:rPr>
          <w:rFonts w:ascii="Times New Roman" w:hAnsi="Times New Roman" w:cs="Times New Roman"/>
          <w:bCs/>
          <w:sz w:val="24"/>
          <w:szCs w:val="24"/>
        </w:rPr>
        <w:t>-five male mice were divided into five groups of five mice each</w:t>
      </w:r>
      <w:r w:rsidR="00083C86">
        <w:rPr>
          <w:rFonts w:ascii="Times New Roman" w:hAnsi="Times New Roman" w:cs="Times New Roman"/>
          <w:bCs/>
          <w:sz w:val="24"/>
          <w:szCs w:val="24"/>
        </w:rPr>
        <w:t xml:space="preserve">, and fed with standard rat pellet and water. </w:t>
      </w:r>
      <w:r w:rsidR="002B000F">
        <w:rPr>
          <w:rFonts w:ascii="Times New Roman" w:hAnsi="Times New Roman" w:cs="Times New Roman"/>
          <w:bCs/>
          <w:sz w:val="24"/>
          <w:szCs w:val="24"/>
        </w:rPr>
        <w:t xml:space="preserve"> The group</w:t>
      </w:r>
      <w:r w:rsidR="00083C86">
        <w:rPr>
          <w:rFonts w:ascii="Times New Roman" w:hAnsi="Times New Roman" w:cs="Times New Roman"/>
          <w:bCs/>
          <w:sz w:val="24"/>
          <w:szCs w:val="24"/>
        </w:rPr>
        <w:t>s were inoculated with the parasite</w:t>
      </w:r>
      <w:r w:rsidR="000F6195">
        <w:rPr>
          <w:rFonts w:ascii="Times New Roman" w:hAnsi="Times New Roman" w:cs="Times New Roman"/>
          <w:bCs/>
          <w:sz w:val="24"/>
          <w:szCs w:val="24"/>
        </w:rPr>
        <w:t xml:space="preserve">. Group III was treated with </w:t>
      </w:r>
      <w:r w:rsidR="000F6195" w:rsidRPr="000F6195">
        <w:rPr>
          <w:rFonts w:ascii="Times New Roman" w:hAnsi="Times New Roman" w:cs="Times New Roman"/>
          <w:bCs/>
          <w:sz w:val="24"/>
          <w:szCs w:val="24"/>
        </w:rPr>
        <w:t xml:space="preserve">100 </w:t>
      </w:r>
      <w:r w:rsidR="000F6195">
        <w:rPr>
          <w:rFonts w:ascii="Times New Roman" w:hAnsi="Times New Roman" w:cs="Times New Roman"/>
          <w:bCs/>
          <w:sz w:val="24"/>
          <w:szCs w:val="24"/>
        </w:rPr>
        <w:t xml:space="preserve">mg/kg body weight of the extract each day for seven days whereas Groups IV and V were exposed to alternating magnetic field for six hours each day for seven days. The animals were categorized into groups </w:t>
      </w:r>
      <w:r w:rsidR="002B000F">
        <w:rPr>
          <w:rFonts w:ascii="Times New Roman" w:hAnsi="Times New Roman" w:cs="Times New Roman"/>
          <w:bCs/>
          <w:sz w:val="24"/>
          <w:szCs w:val="24"/>
        </w:rPr>
        <w:t>as follows:</w:t>
      </w:r>
    </w:p>
    <w:p w14:paraId="1F5DAC2B" w14:textId="1CE2E946" w:rsidR="00AA3291" w:rsidRDefault="002B000F" w:rsidP="00AA3291">
      <w:pPr>
        <w:spacing w:after="0" w:line="360" w:lineRule="auto"/>
        <w:jc w:val="both"/>
        <w:rPr>
          <w:rFonts w:ascii="Times New Roman" w:eastAsia="Times New Roman" w:hAnsi="Times New Roman" w:cs="Times New Roman"/>
          <w:sz w:val="24"/>
          <w:szCs w:val="24"/>
        </w:rPr>
      </w:pPr>
      <w:r w:rsidRPr="002F56A0">
        <w:rPr>
          <w:rFonts w:ascii="Times New Roman" w:hAnsi="Times New Roman" w:cs="Times New Roman"/>
          <w:bCs/>
          <w:sz w:val="24"/>
          <w:szCs w:val="24"/>
        </w:rPr>
        <w:t>Group I</w:t>
      </w:r>
      <w:r w:rsidR="008E391A">
        <w:rPr>
          <w:rFonts w:ascii="Times New Roman" w:hAnsi="Times New Roman" w:cs="Times New Roman"/>
          <w:bCs/>
          <w:sz w:val="24"/>
          <w:szCs w:val="24"/>
        </w:rPr>
        <w:t xml:space="preserve"> (IBNT</w:t>
      </w:r>
      <w:proofErr w:type="gramStart"/>
      <w:r w:rsidR="008E391A">
        <w:rPr>
          <w:rFonts w:ascii="Times New Roman" w:hAnsi="Times New Roman" w:cs="Times New Roman"/>
          <w:bCs/>
          <w:sz w:val="24"/>
          <w:szCs w:val="24"/>
        </w:rPr>
        <w:t xml:space="preserve">) </w:t>
      </w:r>
      <w:r w:rsidRPr="002F56A0">
        <w:rPr>
          <w:rFonts w:ascii="Times New Roman" w:hAnsi="Times New Roman" w:cs="Times New Roman"/>
          <w:bCs/>
          <w:sz w:val="24"/>
          <w:szCs w:val="24"/>
        </w:rPr>
        <w:t>:</w:t>
      </w:r>
      <w:proofErr w:type="gramEnd"/>
      <w:r w:rsidRPr="002F56A0">
        <w:rPr>
          <w:rFonts w:ascii="Times New Roman" w:hAnsi="Times New Roman" w:cs="Times New Roman"/>
          <w:bCs/>
          <w:sz w:val="24"/>
          <w:szCs w:val="24"/>
        </w:rPr>
        <w:t xml:space="preserve"> </w:t>
      </w:r>
      <w:r w:rsidR="002F56A0" w:rsidRPr="002F56A0">
        <w:rPr>
          <w:rFonts w:ascii="Times New Roman" w:hAnsi="Times New Roman" w:cs="Times New Roman"/>
          <w:bCs/>
          <w:sz w:val="24"/>
          <w:szCs w:val="24"/>
        </w:rPr>
        <w:t xml:space="preserve">Mice infected with Plasmodium </w:t>
      </w:r>
      <w:proofErr w:type="spellStart"/>
      <w:r w:rsidR="002F56A0" w:rsidRPr="002F56A0">
        <w:rPr>
          <w:rFonts w:ascii="Times New Roman" w:hAnsi="Times New Roman" w:cs="Times New Roman"/>
          <w:bCs/>
          <w:sz w:val="24"/>
          <w:szCs w:val="24"/>
        </w:rPr>
        <w:t>berghei</w:t>
      </w:r>
      <w:proofErr w:type="spellEnd"/>
      <w:r w:rsidR="002F56A0" w:rsidRPr="002F56A0">
        <w:rPr>
          <w:rFonts w:ascii="Times New Roman" w:hAnsi="Times New Roman" w:cs="Times New Roman"/>
          <w:bCs/>
          <w:sz w:val="24"/>
          <w:szCs w:val="24"/>
        </w:rPr>
        <w:t xml:space="preserve"> and not</w:t>
      </w:r>
      <w:r w:rsidRPr="002F56A0">
        <w:rPr>
          <w:rFonts w:ascii="Times New Roman" w:hAnsi="Times New Roman" w:cs="Times New Roman"/>
          <w:bCs/>
          <w:sz w:val="24"/>
          <w:szCs w:val="24"/>
        </w:rPr>
        <w:t xml:space="preserve"> treated </w:t>
      </w:r>
      <w:r w:rsidR="00235C4B">
        <w:rPr>
          <w:rFonts w:ascii="Times New Roman" w:hAnsi="Times New Roman" w:cs="Times New Roman"/>
          <w:bCs/>
          <w:sz w:val="24"/>
          <w:szCs w:val="24"/>
        </w:rPr>
        <w:t>(Control)</w:t>
      </w:r>
      <w:r w:rsidR="008E391A">
        <w:rPr>
          <w:rFonts w:ascii="Times New Roman" w:hAnsi="Times New Roman" w:cs="Times New Roman"/>
          <w:bCs/>
          <w:sz w:val="24"/>
          <w:szCs w:val="24"/>
        </w:rPr>
        <w:t xml:space="preserve"> </w:t>
      </w:r>
    </w:p>
    <w:p w14:paraId="0B89C0CF" w14:textId="51592782" w:rsidR="00AA3291" w:rsidRDefault="002F56A0" w:rsidP="00AA3291">
      <w:pPr>
        <w:spacing w:after="0" w:line="360" w:lineRule="auto"/>
        <w:jc w:val="both"/>
        <w:rPr>
          <w:rFonts w:ascii="Times New Roman" w:eastAsia="Times New Roman" w:hAnsi="Times New Roman" w:cs="Times New Roman"/>
          <w:sz w:val="24"/>
          <w:szCs w:val="24"/>
        </w:rPr>
      </w:pPr>
      <w:r w:rsidRPr="002F56A0">
        <w:rPr>
          <w:rFonts w:ascii="Times New Roman" w:hAnsi="Times New Roman" w:cs="Times New Roman"/>
          <w:bCs/>
          <w:sz w:val="24"/>
          <w:szCs w:val="24"/>
        </w:rPr>
        <w:t xml:space="preserve">Group </w:t>
      </w:r>
      <w:r>
        <w:rPr>
          <w:rFonts w:ascii="Times New Roman" w:hAnsi="Times New Roman" w:cs="Times New Roman"/>
          <w:bCs/>
          <w:sz w:val="24"/>
          <w:szCs w:val="24"/>
        </w:rPr>
        <w:t>I</w:t>
      </w:r>
      <w:r w:rsidRPr="002F56A0">
        <w:rPr>
          <w:rFonts w:ascii="Times New Roman" w:hAnsi="Times New Roman" w:cs="Times New Roman"/>
          <w:bCs/>
          <w:sz w:val="24"/>
          <w:szCs w:val="24"/>
        </w:rPr>
        <w:t>I</w:t>
      </w:r>
      <w:r w:rsidR="008E391A">
        <w:rPr>
          <w:rFonts w:ascii="Times New Roman" w:hAnsi="Times New Roman" w:cs="Times New Roman"/>
          <w:bCs/>
          <w:sz w:val="24"/>
          <w:szCs w:val="24"/>
        </w:rPr>
        <w:t xml:space="preserve"> (IBTL)</w:t>
      </w:r>
      <w:r w:rsidRPr="002F56A0">
        <w:rPr>
          <w:rFonts w:ascii="Times New Roman" w:hAnsi="Times New Roman" w:cs="Times New Roman"/>
          <w:bCs/>
          <w:sz w:val="24"/>
          <w:szCs w:val="24"/>
        </w:rPr>
        <w:t>:</w:t>
      </w:r>
      <w:r>
        <w:rPr>
          <w:rFonts w:ascii="Times New Roman" w:hAnsi="Times New Roman" w:cs="Times New Roman"/>
          <w:bCs/>
          <w:sz w:val="24"/>
          <w:szCs w:val="24"/>
        </w:rPr>
        <w:t xml:space="preserve"> Parasitized</w:t>
      </w:r>
      <w:r w:rsidRPr="002F56A0">
        <w:rPr>
          <w:rFonts w:ascii="Times New Roman" w:hAnsi="Times New Roman" w:cs="Times New Roman"/>
          <w:bCs/>
          <w:sz w:val="24"/>
          <w:szCs w:val="24"/>
        </w:rPr>
        <w:t xml:space="preserve"> </w:t>
      </w:r>
      <w:r>
        <w:rPr>
          <w:rFonts w:ascii="Times New Roman" w:hAnsi="Times New Roman" w:cs="Times New Roman"/>
          <w:bCs/>
          <w:sz w:val="24"/>
          <w:szCs w:val="24"/>
        </w:rPr>
        <w:t>m</w:t>
      </w:r>
      <w:r w:rsidRPr="002F56A0">
        <w:rPr>
          <w:rFonts w:ascii="Times New Roman" w:hAnsi="Times New Roman" w:cs="Times New Roman"/>
          <w:bCs/>
          <w:sz w:val="24"/>
          <w:szCs w:val="24"/>
        </w:rPr>
        <w:t xml:space="preserve">ice </w:t>
      </w:r>
      <w:r>
        <w:rPr>
          <w:rFonts w:ascii="Times New Roman" w:hAnsi="Times New Roman" w:cs="Times New Roman"/>
          <w:bCs/>
          <w:sz w:val="24"/>
          <w:szCs w:val="24"/>
        </w:rPr>
        <w:t xml:space="preserve">treated with </w:t>
      </w:r>
      <w:proofErr w:type="spellStart"/>
      <w:r w:rsidR="00235C4B">
        <w:rPr>
          <w:rFonts w:ascii="Times New Roman" w:hAnsi="Times New Roman" w:cs="Times New Roman"/>
          <w:bCs/>
          <w:sz w:val="24"/>
          <w:szCs w:val="24"/>
        </w:rPr>
        <w:t>L</w:t>
      </w:r>
      <w:r>
        <w:rPr>
          <w:rFonts w:ascii="Times New Roman" w:hAnsi="Times New Roman" w:cs="Times New Roman"/>
          <w:bCs/>
          <w:sz w:val="24"/>
          <w:szCs w:val="24"/>
        </w:rPr>
        <w:t>umartem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Arthemeter</w:t>
      </w:r>
      <w:proofErr w:type="spellEnd"/>
      <w:r>
        <w:rPr>
          <w:rFonts w:ascii="Times New Roman" w:hAnsi="Times New Roman" w:cs="Times New Roman"/>
          <w:bCs/>
          <w:sz w:val="24"/>
          <w:szCs w:val="24"/>
        </w:rPr>
        <w:t>/Lumefantrine)</w:t>
      </w:r>
    </w:p>
    <w:p w14:paraId="57F56C23" w14:textId="2D592E7C" w:rsidR="00AA3291" w:rsidRDefault="002F56A0" w:rsidP="00AA3291">
      <w:p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rPr>
        <w:t>Group III</w:t>
      </w:r>
      <w:r w:rsidR="008E391A">
        <w:rPr>
          <w:rFonts w:ascii="Times New Roman" w:hAnsi="Times New Roman" w:cs="Times New Roman"/>
          <w:bCs/>
          <w:sz w:val="24"/>
          <w:szCs w:val="24"/>
        </w:rPr>
        <w:t xml:space="preserve"> (IBTT)</w:t>
      </w:r>
      <w:r>
        <w:rPr>
          <w:rFonts w:ascii="Times New Roman" w:hAnsi="Times New Roman" w:cs="Times New Roman"/>
          <w:bCs/>
          <w:sz w:val="24"/>
          <w:szCs w:val="24"/>
        </w:rPr>
        <w:t xml:space="preserve">: </w:t>
      </w:r>
      <w:r w:rsidRPr="002F56A0">
        <w:rPr>
          <w:rFonts w:ascii="Times New Roman" w:hAnsi="Times New Roman" w:cs="Times New Roman"/>
          <w:bCs/>
          <w:sz w:val="24"/>
          <w:szCs w:val="24"/>
        </w:rPr>
        <w:t xml:space="preserve"> </w:t>
      </w:r>
      <w:r>
        <w:rPr>
          <w:rFonts w:ascii="Times New Roman" w:hAnsi="Times New Roman" w:cs="Times New Roman"/>
          <w:bCs/>
          <w:sz w:val="24"/>
          <w:szCs w:val="24"/>
        </w:rPr>
        <w:t>Parasitized</w:t>
      </w:r>
      <w:r w:rsidRPr="002F56A0">
        <w:rPr>
          <w:rFonts w:ascii="Times New Roman" w:hAnsi="Times New Roman" w:cs="Times New Roman"/>
          <w:bCs/>
          <w:sz w:val="24"/>
          <w:szCs w:val="24"/>
        </w:rPr>
        <w:t xml:space="preserve"> </w:t>
      </w:r>
      <w:r>
        <w:rPr>
          <w:rFonts w:ascii="Times New Roman" w:hAnsi="Times New Roman" w:cs="Times New Roman"/>
          <w:bCs/>
          <w:sz w:val="24"/>
          <w:szCs w:val="24"/>
        </w:rPr>
        <w:t>m</w:t>
      </w:r>
      <w:r w:rsidRPr="002F56A0">
        <w:rPr>
          <w:rFonts w:ascii="Times New Roman" w:hAnsi="Times New Roman" w:cs="Times New Roman"/>
          <w:bCs/>
          <w:sz w:val="24"/>
          <w:szCs w:val="24"/>
        </w:rPr>
        <w:t xml:space="preserve">ice </w:t>
      </w:r>
      <w:r>
        <w:rPr>
          <w:rFonts w:ascii="Times New Roman" w:hAnsi="Times New Roman" w:cs="Times New Roman"/>
          <w:bCs/>
          <w:sz w:val="24"/>
          <w:szCs w:val="24"/>
        </w:rPr>
        <w:t>treated with</w:t>
      </w:r>
      <w:r w:rsidR="00235C4B">
        <w:rPr>
          <w:rFonts w:ascii="Times New Roman" w:hAnsi="Times New Roman" w:cs="Times New Roman"/>
          <w:bCs/>
          <w:sz w:val="24"/>
          <w:szCs w:val="24"/>
        </w:rPr>
        <w:t xml:space="preserve"> Crude extract of </w:t>
      </w:r>
      <w:proofErr w:type="spellStart"/>
      <w:r w:rsidR="00235C4B" w:rsidRPr="00235C4B">
        <w:rPr>
          <w:rFonts w:ascii="Times New Roman" w:hAnsi="Times New Roman" w:cs="Times New Roman"/>
          <w:bCs/>
          <w:i/>
          <w:iCs/>
          <w:sz w:val="24"/>
          <w:szCs w:val="24"/>
        </w:rPr>
        <w:t>Tithonia</w:t>
      </w:r>
      <w:proofErr w:type="spellEnd"/>
      <w:r w:rsidR="00235C4B" w:rsidRPr="00235C4B">
        <w:rPr>
          <w:rFonts w:ascii="Times New Roman" w:hAnsi="Times New Roman" w:cs="Times New Roman"/>
          <w:bCs/>
          <w:i/>
          <w:iCs/>
          <w:sz w:val="24"/>
          <w:szCs w:val="24"/>
        </w:rPr>
        <w:t xml:space="preserve"> </w:t>
      </w:r>
      <w:proofErr w:type="spellStart"/>
      <w:r w:rsidR="00235C4B" w:rsidRPr="00235C4B">
        <w:rPr>
          <w:rFonts w:ascii="Times New Roman" w:hAnsi="Times New Roman" w:cs="Times New Roman"/>
          <w:bCs/>
          <w:i/>
          <w:iCs/>
          <w:sz w:val="24"/>
          <w:szCs w:val="24"/>
        </w:rPr>
        <w:t>diversifolia</w:t>
      </w:r>
      <w:proofErr w:type="spellEnd"/>
      <w:r w:rsidR="00235C4B">
        <w:rPr>
          <w:rFonts w:ascii="Times New Roman" w:hAnsi="Times New Roman" w:cs="Times New Roman"/>
          <w:bCs/>
          <w:sz w:val="24"/>
          <w:szCs w:val="24"/>
        </w:rPr>
        <w:t xml:space="preserve"> leaf</w:t>
      </w:r>
    </w:p>
    <w:p w14:paraId="790AA367" w14:textId="13BBF957" w:rsidR="00AA3291" w:rsidRDefault="00235C4B" w:rsidP="00AA3291">
      <w:pPr>
        <w:spacing w:after="0" w:line="360" w:lineRule="auto"/>
        <w:jc w:val="both"/>
        <w:rPr>
          <w:rFonts w:ascii="Times New Roman" w:eastAsia="Times New Roman" w:hAnsi="Times New Roman" w:cs="Times New Roman"/>
          <w:sz w:val="24"/>
          <w:szCs w:val="24"/>
        </w:rPr>
      </w:pPr>
      <w:r w:rsidRPr="00235C4B">
        <w:rPr>
          <w:rFonts w:ascii="Times New Roman" w:hAnsi="Times New Roman" w:cs="Times New Roman"/>
          <w:bCs/>
          <w:sz w:val="24"/>
          <w:szCs w:val="24"/>
        </w:rPr>
        <w:t>Group IV</w:t>
      </w:r>
      <w:r w:rsidR="008E391A">
        <w:rPr>
          <w:rFonts w:ascii="Times New Roman" w:hAnsi="Times New Roman" w:cs="Times New Roman"/>
          <w:bCs/>
          <w:sz w:val="24"/>
          <w:szCs w:val="24"/>
        </w:rPr>
        <w:t xml:space="preserve"> (IBTM-10):</w:t>
      </w:r>
      <w:r w:rsidRPr="00235C4B">
        <w:rPr>
          <w:rFonts w:ascii="Times New Roman" w:hAnsi="Times New Roman" w:cs="Times New Roman"/>
          <w:bCs/>
          <w:sz w:val="24"/>
          <w:szCs w:val="24"/>
        </w:rPr>
        <w:t xml:space="preserve"> Parasitized mice exposed to alternating magnetic field intensity of 10 </w:t>
      </w:r>
      <w:proofErr w:type="spellStart"/>
      <w:r w:rsidRPr="00235C4B">
        <w:rPr>
          <w:rFonts w:ascii="Times New Roman" w:hAnsi="Times New Roman" w:cs="Times New Roman"/>
          <w:bCs/>
          <w:sz w:val="24"/>
          <w:szCs w:val="24"/>
        </w:rPr>
        <w:t>mT.</w:t>
      </w:r>
      <w:proofErr w:type="spellEnd"/>
    </w:p>
    <w:p w14:paraId="0EB35D8D" w14:textId="0D0B9448" w:rsidR="00AA3291" w:rsidRDefault="00235C4B" w:rsidP="00AA3291">
      <w:pPr>
        <w:spacing w:after="0" w:line="360" w:lineRule="auto"/>
        <w:jc w:val="both"/>
        <w:rPr>
          <w:rFonts w:ascii="Times New Roman" w:eastAsia="Times New Roman" w:hAnsi="Times New Roman" w:cs="Times New Roman"/>
          <w:sz w:val="24"/>
          <w:szCs w:val="24"/>
        </w:rPr>
      </w:pPr>
      <w:r w:rsidRPr="00235C4B">
        <w:rPr>
          <w:rFonts w:ascii="Times New Roman" w:hAnsi="Times New Roman" w:cs="Times New Roman"/>
          <w:bCs/>
          <w:sz w:val="24"/>
          <w:szCs w:val="24"/>
        </w:rPr>
        <w:t>Group V</w:t>
      </w:r>
      <w:r w:rsidR="008E391A">
        <w:rPr>
          <w:rFonts w:ascii="Times New Roman" w:hAnsi="Times New Roman" w:cs="Times New Roman"/>
          <w:bCs/>
          <w:sz w:val="24"/>
          <w:szCs w:val="24"/>
        </w:rPr>
        <w:t xml:space="preserve"> (IBTM-20)</w:t>
      </w:r>
      <w:r>
        <w:rPr>
          <w:rFonts w:ascii="Times New Roman" w:hAnsi="Times New Roman" w:cs="Times New Roman"/>
          <w:bCs/>
          <w:sz w:val="24"/>
          <w:szCs w:val="24"/>
        </w:rPr>
        <w:t xml:space="preserve">: </w:t>
      </w:r>
      <w:r w:rsidRPr="00235C4B">
        <w:rPr>
          <w:rFonts w:ascii="Times New Roman" w:hAnsi="Times New Roman" w:cs="Times New Roman"/>
          <w:bCs/>
          <w:sz w:val="24"/>
          <w:szCs w:val="24"/>
        </w:rPr>
        <w:t xml:space="preserve">Parasitized mice exposed to alternating magnetic field intensity of </w:t>
      </w:r>
      <w:r>
        <w:rPr>
          <w:rFonts w:ascii="Times New Roman" w:hAnsi="Times New Roman" w:cs="Times New Roman"/>
          <w:bCs/>
          <w:sz w:val="24"/>
          <w:szCs w:val="24"/>
        </w:rPr>
        <w:t>2</w:t>
      </w:r>
      <w:r w:rsidRPr="00235C4B">
        <w:rPr>
          <w:rFonts w:ascii="Times New Roman" w:hAnsi="Times New Roman" w:cs="Times New Roman"/>
          <w:bCs/>
          <w:sz w:val="24"/>
          <w:szCs w:val="24"/>
        </w:rPr>
        <w:t xml:space="preserve">0 </w:t>
      </w:r>
      <w:proofErr w:type="spellStart"/>
      <w:r w:rsidRPr="00235C4B">
        <w:rPr>
          <w:rFonts w:ascii="Times New Roman" w:hAnsi="Times New Roman" w:cs="Times New Roman"/>
          <w:bCs/>
          <w:sz w:val="24"/>
          <w:szCs w:val="24"/>
        </w:rPr>
        <w:t>mT</w:t>
      </w:r>
      <w:proofErr w:type="spellEnd"/>
    </w:p>
    <w:p w14:paraId="50F87D39" w14:textId="77777777" w:rsidR="00AA3291" w:rsidRDefault="001E0738" w:rsidP="00AA3291">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2.2.3 </w:t>
      </w:r>
      <w:r w:rsidR="00582099" w:rsidRPr="001A1C76">
        <w:rPr>
          <w:rFonts w:ascii="Times New Roman" w:hAnsi="Times New Roman" w:cs="Times New Roman"/>
          <w:b/>
          <w:sz w:val="24"/>
          <w:szCs w:val="24"/>
        </w:rPr>
        <w:t>Blood collection</w:t>
      </w:r>
      <w:r w:rsidR="00582099">
        <w:rPr>
          <w:rFonts w:ascii="Times New Roman" w:hAnsi="Times New Roman" w:cs="Times New Roman"/>
          <w:b/>
          <w:sz w:val="24"/>
          <w:szCs w:val="24"/>
        </w:rPr>
        <w:t xml:space="preserve"> for hematological assays</w:t>
      </w:r>
    </w:p>
    <w:p w14:paraId="12DB086F" w14:textId="7925621F" w:rsidR="0061320D" w:rsidRDefault="0061320D" w:rsidP="00AA3291">
      <w:pPr>
        <w:spacing w:after="0" w:line="360" w:lineRule="auto"/>
        <w:jc w:val="both"/>
        <w:rPr>
          <w:rFonts w:ascii="Times New Roman" w:hAnsi="Times New Roman" w:cs="Times New Roman"/>
          <w:bCs/>
          <w:sz w:val="24"/>
          <w:szCs w:val="24"/>
        </w:rPr>
      </w:pPr>
      <w:r w:rsidRPr="0061320D">
        <w:rPr>
          <w:rFonts w:ascii="Times New Roman" w:hAnsi="Times New Roman" w:cs="Times New Roman"/>
          <w:bCs/>
          <w:sz w:val="24"/>
          <w:szCs w:val="24"/>
        </w:rPr>
        <w:t xml:space="preserve">The method reported by </w:t>
      </w:r>
      <w:proofErr w:type="spellStart"/>
      <w:r w:rsidRPr="0061320D">
        <w:rPr>
          <w:rFonts w:ascii="Times New Roman" w:hAnsi="Times New Roman" w:cs="Times New Roman"/>
          <w:bCs/>
          <w:sz w:val="24"/>
          <w:szCs w:val="24"/>
        </w:rPr>
        <w:t>Abajingin</w:t>
      </w:r>
      <w:proofErr w:type="spellEnd"/>
      <w:r w:rsidRPr="0061320D">
        <w:rPr>
          <w:rFonts w:ascii="Times New Roman" w:hAnsi="Times New Roman" w:cs="Times New Roman"/>
          <w:bCs/>
          <w:sz w:val="24"/>
          <w:szCs w:val="24"/>
        </w:rPr>
        <w:t xml:space="preserve"> and </w:t>
      </w:r>
      <w:proofErr w:type="spellStart"/>
      <w:r w:rsidRPr="0061320D">
        <w:rPr>
          <w:rFonts w:ascii="Times New Roman" w:hAnsi="Times New Roman" w:cs="Times New Roman"/>
          <w:bCs/>
          <w:sz w:val="24"/>
          <w:szCs w:val="24"/>
        </w:rPr>
        <w:t>Ekun</w:t>
      </w:r>
      <w:proofErr w:type="spellEnd"/>
      <w:r w:rsidRPr="0061320D">
        <w:rPr>
          <w:rFonts w:ascii="Times New Roman" w:hAnsi="Times New Roman" w:cs="Times New Roman"/>
          <w:bCs/>
          <w:sz w:val="24"/>
          <w:szCs w:val="24"/>
        </w:rPr>
        <w:t xml:space="preserve"> (2019) was employed in blood collection fr</w:t>
      </w:r>
      <w:r>
        <w:rPr>
          <w:rFonts w:ascii="Times New Roman" w:hAnsi="Times New Roman" w:cs="Times New Roman"/>
          <w:bCs/>
          <w:sz w:val="24"/>
          <w:szCs w:val="24"/>
        </w:rPr>
        <w:t xml:space="preserve">om the animals. Mice were sacrificed and blood samples collected via jugular puncture. The blood was carefully collected into heparinized tubes. </w:t>
      </w:r>
      <w:r w:rsidR="008561AA">
        <w:rPr>
          <w:rFonts w:ascii="Times New Roman" w:hAnsi="Times New Roman" w:cs="Times New Roman"/>
          <w:bCs/>
          <w:sz w:val="24"/>
          <w:szCs w:val="24"/>
        </w:rPr>
        <w:t>P</w:t>
      </w:r>
      <w:r>
        <w:rPr>
          <w:rFonts w:ascii="Times New Roman" w:hAnsi="Times New Roman" w:cs="Times New Roman"/>
          <w:bCs/>
          <w:sz w:val="24"/>
          <w:szCs w:val="24"/>
        </w:rPr>
        <w:t>arasite count w</w:t>
      </w:r>
      <w:r w:rsidR="008561AA">
        <w:rPr>
          <w:rFonts w:ascii="Times New Roman" w:hAnsi="Times New Roman" w:cs="Times New Roman"/>
          <w:bCs/>
          <w:sz w:val="24"/>
          <w:szCs w:val="24"/>
        </w:rPr>
        <w:t>as</w:t>
      </w:r>
      <w:r>
        <w:rPr>
          <w:rFonts w:ascii="Times New Roman" w:hAnsi="Times New Roman" w:cs="Times New Roman"/>
          <w:bCs/>
          <w:sz w:val="24"/>
          <w:szCs w:val="24"/>
        </w:rPr>
        <w:t xml:space="preserve"> determined by means of </w:t>
      </w:r>
      <w:r w:rsidR="008561AA">
        <w:rPr>
          <w:rFonts w:ascii="Times New Roman" w:hAnsi="Times New Roman" w:cs="Times New Roman"/>
          <w:bCs/>
          <w:sz w:val="24"/>
          <w:szCs w:val="24"/>
        </w:rPr>
        <w:t xml:space="preserve">the improved </w:t>
      </w:r>
      <w:r w:rsidR="008561AA" w:rsidRPr="008561AA">
        <w:rPr>
          <w:rFonts w:ascii="Times New Roman" w:hAnsi="Times New Roman" w:cs="Times New Roman"/>
          <w:bCs/>
          <w:sz w:val="24"/>
          <w:szCs w:val="24"/>
        </w:rPr>
        <w:t xml:space="preserve">Neubauer </w:t>
      </w:r>
      <w:r w:rsidR="008561AA">
        <w:rPr>
          <w:rFonts w:ascii="Times New Roman" w:hAnsi="Times New Roman" w:cs="Times New Roman"/>
          <w:bCs/>
          <w:sz w:val="24"/>
          <w:szCs w:val="24"/>
        </w:rPr>
        <w:t>C</w:t>
      </w:r>
      <w:r w:rsidR="008561AA" w:rsidRPr="008561AA">
        <w:rPr>
          <w:rFonts w:ascii="Times New Roman" w:hAnsi="Times New Roman" w:cs="Times New Roman"/>
          <w:bCs/>
          <w:sz w:val="24"/>
          <w:szCs w:val="24"/>
        </w:rPr>
        <w:t>ounting</w:t>
      </w:r>
      <w:r w:rsidR="008561AA">
        <w:rPr>
          <w:rFonts w:ascii="Times New Roman" w:hAnsi="Times New Roman" w:cs="Times New Roman"/>
          <w:bCs/>
          <w:sz w:val="24"/>
          <w:szCs w:val="24"/>
        </w:rPr>
        <w:t xml:space="preserve"> </w:t>
      </w:r>
      <w:r w:rsidR="008561AA" w:rsidRPr="008561AA">
        <w:rPr>
          <w:rFonts w:ascii="Times New Roman" w:hAnsi="Times New Roman" w:cs="Times New Roman"/>
          <w:bCs/>
          <w:sz w:val="24"/>
          <w:szCs w:val="24"/>
        </w:rPr>
        <w:t>Chamber</w:t>
      </w:r>
      <w:r w:rsidR="008561AA">
        <w:rPr>
          <w:rFonts w:ascii="Times New Roman" w:hAnsi="Times New Roman" w:cs="Times New Roman"/>
          <w:bCs/>
          <w:sz w:val="24"/>
          <w:szCs w:val="24"/>
        </w:rPr>
        <w:t xml:space="preserve"> whereas hematological parameters such as erythrocyte </w:t>
      </w:r>
      <w:proofErr w:type="gramStart"/>
      <w:r w:rsidR="008561AA">
        <w:rPr>
          <w:rFonts w:ascii="Times New Roman" w:hAnsi="Times New Roman" w:cs="Times New Roman"/>
          <w:bCs/>
          <w:sz w:val="24"/>
          <w:szCs w:val="24"/>
        </w:rPr>
        <w:t>count(</w:t>
      </w:r>
      <w:proofErr w:type="gramEnd"/>
      <w:r w:rsidR="008561AA">
        <w:rPr>
          <w:rFonts w:ascii="Times New Roman" w:hAnsi="Times New Roman" w:cs="Times New Roman"/>
          <w:bCs/>
          <w:sz w:val="24"/>
          <w:szCs w:val="24"/>
        </w:rPr>
        <w:t>RBC), white blood cells and its differentials, mean corpuscular volume</w:t>
      </w:r>
      <w:r w:rsidR="00AA3291">
        <w:rPr>
          <w:rFonts w:ascii="Times New Roman" w:hAnsi="Times New Roman" w:cs="Times New Roman"/>
          <w:bCs/>
          <w:sz w:val="24"/>
          <w:szCs w:val="24"/>
        </w:rPr>
        <w:t xml:space="preserve"> </w:t>
      </w:r>
      <w:r w:rsidR="008561AA">
        <w:rPr>
          <w:rFonts w:ascii="Times New Roman" w:hAnsi="Times New Roman" w:cs="Times New Roman"/>
          <w:bCs/>
          <w:sz w:val="24"/>
          <w:szCs w:val="24"/>
        </w:rPr>
        <w:t xml:space="preserve">(MCV), mean corpuscular hemoglobin (MCH), hematocrit/packed cell volume (HCT) platelet count, among other indices in all the samples were determined by means of an automated blood analyzer. These assays were conducted at the Adekunle Ajasin University Health Center, </w:t>
      </w:r>
      <w:proofErr w:type="spellStart"/>
      <w:r w:rsidR="008561AA">
        <w:rPr>
          <w:rFonts w:ascii="Times New Roman" w:hAnsi="Times New Roman" w:cs="Times New Roman"/>
          <w:bCs/>
          <w:sz w:val="24"/>
          <w:szCs w:val="24"/>
        </w:rPr>
        <w:t>Akungba-Akoko</w:t>
      </w:r>
      <w:proofErr w:type="spellEnd"/>
      <w:r w:rsidR="008561AA">
        <w:rPr>
          <w:rFonts w:ascii="Times New Roman" w:hAnsi="Times New Roman" w:cs="Times New Roman"/>
          <w:bCs/>
          <w:sz w:val="24"/>
          <w:szCs w:val="24"/>
        </w:rPr>
        <w:t>.</w:t>
      </w:r>
    </w:p>
    <w:p w14:paraId="3DB675BA" w14:textId="1516C620" w:rsidR="00AA3291" w:rsidRDefault="00AA3291" w:rsidP="00AA3291">
      <w:pPr>
        <w:spacing w:after="0" w:line="360" w:lineRule="auto"/>
        <w:jc w:val="both"/>
        <w:rPr>
          <w:rFonts w:ascii="Times New Roman" w:hAnsi="Times New Roman" w:cs="Times New Roman"/>
          <w:b/>
          <w:sz w:val="24"/>
          <w:szCs w:val="24"/>
        </w:rPr>
      </w:pPr>
      <w:r w:rsidRPr="00AA3291">
        <w:rPr>
          <w:rFonts w:ascii="Times New Roman" w:hAnsi="Times New Roman" w:cs="Times New Roman"/>
          <w:b/>
          <w:sz w:val="24"/>
          <w:szCs w:val="24"/>
        </w:rPr>
        <w:t>2.2.4</w:t>
      </w:r>
      <w:r>
        <w:rPr>
          <w:rFonts w:ascii="Times New Roman" w:hAnsi="Times New Roman" w:cs="Times New Roman"/>
          <w:b/>
          <w:sz w:val="24"/>
          <w:szCs w:val="24"/>
        </w:rPr>
        <w:t xml:space="preserve"> Statistical Analysis</w:t>
      </w:r>
    </w:p>
    <w:p w14:paraId="223C6DD3" w14:textId="77777777" w:rsidR="00C5221D" w:rsidRDefault="00AA3291" w:rsidP="00C5221D">
      <w:pPr>
        <w:spacing w:after="0" w:line="360" w:lineRule="auto"/>
        <w:jc w:val="both"/>
        <w:rPr>
          <w:rFonts w:ascii="Times New Roman" w:hAnsi="Times New Roman" w:cs="Times New Roman"/>
          <w:bCs/>
          <w:sz w:val="24"/>
          <w:szCs w:val="24"/>
        </w:rPr>
      </w:pPr>
      <w:r w:rsidRPr="00AA3291">
        <w:rPr>
          <w:rFonts w:ascii="Times New Roman" w:hAnsi="Times New Roman" w:cs="Times New Roman"/>
          <w:bCs/>
          <w:sz w:val="24"/>
          <w:szCs w:val="24"/>
        </w:rPr>
        <w:lastRenderedPageBreak/>
        <w:t>Results were presented as means</w:t>
      </w:r>
      <w:r>
        <w:rPr>
          <w:rFonts w:ascii="Times New Roman" w:hAnsi="Times New Roman" w:cs="Times New Roman"/>
          <w:bCs/>
          <w:sz w:val="24"/>
          <w:szCs w:val="24"/>
        </w:rPr>
        <w:t xml:space="preserve"> </w:t>
      </w:r>
      <w:r w:rsidRPr="00AA3291">
        <w:rPr>
          <w:rFonts w:ascii="Times New Roman" w:hAnsi="Times New Roman" w:cs="Times New Roman"/>
          <w:bCs/>
          <w:sz w:val="24"/>
          <w:szCs w:val="24"/>
        </w:rPr>
        <w:t>±</w:t>
      </w:r>
      <w:r>
        <w:rPr>
          <w:rFonts w:ascii="Times New Roman" w:hAnsi="Times New Roman" w:cs="Times New Roman"/>
          <w:bCs/>
          <w:sz w:val="24"/>
          <w:szCs w:val="24"/>
        </w:rPr>
        <w:t xml:space="preserve"> </w:t>
      </w:r>
      <w:r w:rsidRPr="00AA3291">
        <w:rPr>
          <w:rFonts w:ascii="Times New Roman" w:hAnsi="Times New Roman" w:cs="Times New Roman"/>
          <w:bCs/>
          <w:sz w:val="24"/>
          <w:szCs w:val="24"/>
        </w:rPr>
        <w:t xml:space="preserve">standard </w:t>
      </w:r>
      <w:r w:rsidR="004C30A8">
        <w:rPr>
          <w:rFonts w:ascii="Times New Roman" w:hAnsi="Times New Roman" w:cs="Times New Roman"/>
          <w:bCs/>
          <w:sz w:val="24"/>
          <w:szCs w:val="24"/>
        </w:rPr>
        <w:t>error of means</w:t>
      </w:r>
      <w:r w:rsidRPr="00AA3291">
        <w:rPr>
          <w:rFonts w:ascii="Times New Roman" w:hAnsi="Times New Roman" w:cs="Times New Roman"/>
          <w:bCs/>
          <w:sz w:val="24"/>
          <w:szCs w:val="24"/>
        </w:rPr>
        <w:t xml:space="preserve"> of five</w:t>
      </w:r>
      <w:r>
        <w:rPr>
          <w:rFonts w:ascii="Times New Roman" w:hAnsi="Times New Roman" w:cs="Times New Roman"/>
          <w:bCs/>
          <w:sz w:val="24"/>
          <w:szCs w:val="24"/>
        </w:rPr>
        <w:t xml:space="preserve"> (5)</w:t>
      </w:r>
      <w:r w:rsidRPr="00AA3291">
        <w:rPr>
          <w:rFonts w:ascii="Times New Roman" w:hAnsi="Times New Roman" w:cs="Times New Roman"/>
          <w:bCs/>
          <w:sz w:val="24"/>
          <w:szCs w:val="24"/>
        </w:rPr>
        <w:t xml:space="preserve"> replicates</w:t>
      </w:r>
      <w:r>
        <w:rPr>
          <w:rFonts w:ascii="Times New Roman" w:hAnsi="Times New Roman" w:cs="Times New Roman"/>
          <w:bCs/>
          <w:sz w:val="24"/>
          <w:szCs w:val="24"/>
        </w:rPr>
        <w:t>. The results were analyzed using GraphPad Software version 7.0(GraphPad Software, San Diego, United States), and it was used to determine statistical differences at 5% level of significance (p&lt;0.05).</w:t>
      </w:r>
    </w:p>
    <w:p w14:paraId="7CDC46B7" w14:textId="77777777" w:rsidR="00C5221D" w:rsidRDefault="00EF4D49" w:rsidP="00C5221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3.0 </w:t>
      </w:r>
      <w:r w:rsidR="00B7643F" w:rsidRPr="00C91765">
        <w:rPr>
          <w:rFonts w:ascii="Times New Roman" w:hAnsi="Times New Roman" w:cs="Times New Roman"/>
          <w:b/>
          <w:sz w:val="24"/>
          <w:szCs w:val="24"/>
        </w:rPr>
        <w:t>Results</w:t>
      </w:r>
      <w:r w:rsidR="004604AB">
        <w:rPr>
          <w:rFonts w:ascii="Times New Roman" w:hAnsi="Times New Roman" w:cs="Times New Roman"/>
          <w:b/>
          <w:sz w:val="24"/>
          <w:szCs w:val="24"/>
        </w:rPr>
        <w:t xml:space="preserve"> and Discussion</w:t>
      </w:r>
    </w:p>
    <w:p w14:paraId="216F0DFE" w14:textId="571C0A58" w:rsidR="002E741F" w:rsidRDefault="00C5221D" w:rsidP="00C5221D">
      <w:pPr>
        <w:spacing w:after="0" w:line="360" w:lineRule="auto"/>
        <w:jc w:val="both"/>
        <w:rPr>
          <w:rFonts w:ascii="Times New Roman" w:hAnsi="Times New Roman" w:cs="Times New Roman"/>
          <w:sz w:val="24"/>
          <w:szCs w:val="24"/>
        </w:rPr>
      </w:pPr>
      <w:r w:rsidRPr="00DE3F7D">
        <w:rPr>
          <w:rFonts w:ascii="Times New Roman" w:hAnsi="Times New Roman" w:cs="Times New Roman"/>
          <w:bCs/>
          <w:sz w:val="24"/>
          <w:szCs w:val="24"/>
        </w:rPr>
        <w:t xml:space="preserve">The chemo-suppressive effects of the </w:t>
      </w:r>
      <w:r w:rsidRPr="00DE3F7D">
        <w:rPr>
          <w:rFonts w:ascii="Times New Roman" w:hAnsi="Times New Roman" w:cs="Times New Roman"/>
          <w:bCs/>
          <w:i/>
          <w:iCs/>
          <w:sz w:val="24"/>
          <w:szCs w:val="24"/>
        </w:rPr>
        <w:t xml:space="preserve">T. </w:t>
      </w:r>
      <w:proofErr w:type="spellStart"/>
      <w:r w:rsidRPr="00DE3F7D">
        <w:rPr>
          <w:rFonts w:ascii="Times New Roman" w:hAnsi="Times New Roman" w:cs="Times New Roman"/>
          <w:bCs/>
          <w:i/>
          <w:iCs/>
          <w:sz w:val="24"/>
          <w:szCs w:val="24"/>
        </w:rPr>
        <w:t>diversifolia</w:t>
      </w:r>
      <w:proofErr w:type="spellEnd"/>
      <w:r w:rsidRPr="00DE3F7D">
        <w:rPr>
          <w:rFonts w:ascii="Times New Roman" w:hAnsi="Times New Roman" w:cs="Times New Roman"/>
          <w:bCs/>
          <w:i/>
          <w:iCs/>
          <w:sz w:val="24"/>
          <w:szCs w:val="24"/>
        </w:rPr>
        <w:t xml:space="preserve"> </w:t>
      </w:r>
      <w:r w:rsidRPr="00DE3F7D">
        <w:rPr>
          <w:rFonts w:ascii="Times New Roman" w:hAnsi="Times New Roman" w:cs="Times New Roman"/>
          <w:bCs/>
          <w:sz w:val="24"/>
          <w:szCs w:val="24"/>
        </w:rPr>
        <w:t xml:space="preserve">leaf extract and </w:t>
      </w:r>
      <w:r>
        <w:rPr>
          <w:rFonts w:ascii="Times New Roman" w:hAnsi="Times New Roman" w:cs="Times New Roman"/>
          <w:bCs/>
          <w:sz w:val="24"/>
          <w:szCs w:val="24"/>
        </w:rPr>
        <w:t xml:space="preserve">varying intensities of the magnetic field on mice infected with </w:t>
      </w:r>
      <w:r w:rsidRPr="00DE3F7D">
        <w:rPr>
          <w:rFonts w:ascii="Times New Roman" w:hAnsi="Times New Roman" w:cs="Times New Roman"/>
          <w:bCs/>
          <w:i/>
          <w:iCs/>
          <w:sz w:val="24"/>
          <w:szCs w:val="24"/>
        </w:rPr>
        <w:t xml:space="preserve">P. </w:t>
      </w:r>
      <w:proofErr w:type="spellStart"/>
      <w:r w:rsidRPr="00DE3F7D">
        <w:rPr>
          <w:rFonts w:ascii="Times New Roman" w:hAnsi="Times New Roman" w:cs="Times New Roman"/>
          <w:bCs/>
          <w:i/>
          <w:iCs/>
          <w:sz w:val="24"/>
          <w:szCs w:val="24"/>
        </w:rPr>
        <w:t>berghei</w:t>
      </w:r>
      <w:proofErr w:type="spellEnd"/>
      <w:r>
        <w:rPr>
          <w:rFonts w:ascii="Times New Roman" w:hAnsi="Times New Roman" w:cs="Times New Roman"/>
          <w:bCs/>
          <w:sz w:val="24"/>
          <w:szCs w:val="24"/>
        </w:rPr>
        <w:t xml:space="preserve"> are illustrated in Figure 1. All treatments displayed varying effects on the parasite load. The group treated with </w:t>
      </w:r>
      <w:r w:rsidRPr="00DE3F7D">
        <w:rPr>
          <w:rFonts w:ascii="Times New Roman" w:hAnsi="Times New Roman" w:cs="Times New Roman"/>
          <w:bCs/>
          <w:i/>
          <w:iCs/>
          <w:sz w:val="24"/>
          <w:szCs w:val="24"/>
        </w:rPr>
        <w:t xml:space="preserve">T. </w:t>
      </w:r>
      <w:proofErr w:type="spellStart"/>
      <w:r w:rsidRPr="00DE3F7D">
        <w:rPr>
          <w:rFonts w:ascii="Times New Roman" w:hAnsi="Times New Roman" w:cs="Times New Roman"/>
          <w:bCs/>
          <w:i/>
          <w:iCs/>
          <w:sz w:val="24"/>
          <w:szCs w:val="24"/>
        </w:rPr>
        <w:t>diversifolia</w:t>
      </w:r>
      <w:proofErr w:type="spellEnd"/>
      <w:r>
        <w:rPr>
          <w:rFonts w:ascii="Times New Roman" w:hAnsi="Times New Roman" w:cs="Times New Roman"/>
          <w:bCs/>
          <w:sz w:val="24"/>
          <w:szCs w:val="24"/>
        </w:rPr>
        <w:t xml:space="preserve"> had the lowest (p&lt;0.05) parasite count among the treatments over the course of the four days. There was a dose-dependent </w:t>
      </w:r>
      <w:proofErr w:type="spellStart"/>
      <w:r>
        <w:rPr>
          <w:rFonts w:ascii="Times New Roman" w:hAnsi="Times New Roman" w:cs="Times New Roman"/>
          <w:bCs/>
          <w:sz w:val="24"/>
          <w:szCs w:val="24"/>
        </w:rPr>
        <w:t>chemosuppression</w:t>
      </w:r>
      <w:proofErr w:type="spellEnd"/>
      <w:r>
        <w:rPr>
          <w:rFonts w:ascii="Times New Roman" w:hAnsi="Times New Roman" w:cs="Times New Roman"/>
          <w:bCs/>
          <w:sz w:val="24"/>
          <w:szCs w:val="24"/>
        </w:rPr>
        <w:t xml:space="preserve"> among the two groups exposed to varying intensities of the magnetic field, with the group which received 20 </w:t>
      </w:r>
      <w:proofErr w:type="spellStart"/>
      <w:r>
        <w:rPr>
          <w:rFonts w:ascii="Times New Roman" w:hAnsi="Times New Roman" w:cs="Times New Roman"/>
          <w:bCs/>
          <w:sz w:val="24"/>
          <w:szCs w:val="24"/>
        </w:rPr>
        <w:t>mT</w:t>
      </w:r>
      <w:proofErr w:type="spellEnd"/>
      <w:r>
        <w:rPr>
          <w:rFonts w:ascii="Times New Roman" w:hAnsi="Times New Roman" w:cs="Times New Roman"/>
          <w:bCs/>
          <w:sz w:val="24"/>
          <w:szCs w:val="24"/>
        </w:rPr>
        <w:t xml:space="preserve"> of the magnetic field showing a more significant (p&lt;0.05) reduction than those which received and magnetic field intensity of 10mT. There was no significant difference in parasite suppression between the group that received the standard drug (</w:t>
      </w:r>
      <w:proofErr w:type="spellStart"/>
      <w:r>
        <w:rPr>
          <w:rFonts w:ascii="Times New Roman" w:hAnsi="Times New Roman" w:cs="Times New Roman"/>
          <w:bCs/>
          <w:sz w:val="24"/>
          <w:szCs w:val="24"/>
        </w:rPr>
        <w:t>Lumartem</w:t>
      </w:r>
      <w:proofErr w:type="spellEnd"/>
      <w:r>
        <w:rPr>
          <w:rFonts w:ascii="Times New Roman" w:hAnsi="Times New Roman" w:cs="Times New Roman"/>
          <w:bCs/>
          <w:sz w:val="24"/>
          <w:szCs w:val="24"/>
        </w:rPr>
        <w:t xml:space="preserve">) and those exposed to different measures of the alternating magnetic field. The negative control had increases in malaria parasite count, owing to the growth and proliferation of the trophozoites as the disease progressed. </w:t>
      </w:r>
      <w:proofErr w:type="spellStart"/>
      <w:r w:rsidRPr="00C5221D">
        <w:rPr>
          <w:rFonts w:ascii="Times New Roman" w:hAnsi="Times New Roman" w:cs="Times New Roman"/>
          <w:bCs/>
          <w:i/>
          <w:iCs/>
          <w:sz w:val="24"/>
          <w:szCs w:val="24"/>
        </w:rPr>
        <w:t>Tithonia</w:t>
      </w:r>
      <w:proofErr w:type="spellEnd"/>
      <w:r w:rsidRPr="00C5221D">
        <w:rPr>
          <w:rFonts w:ascii="Times New Roman" w:hAnsi="Times New Roman" w:cs="Times New Roman"/>
          <w:bCs/>
          <w:i/>
          <w:iCs/>
          <w:sz w:val="24"/>
          <w:szCs w:val="24"/>
        </w:rPr>
        <w:t xml:space="preserve"> </w:t>
      </w:r>
      <w:proofErr w:type="spellStart"/>
      <w:r w:rsidRPr="00C5221D">
        <w:rPr>
          <w:rFonts w:ascii="Times New Roman" w:hAnsi="Times New Roman" w:cs="Times New Roman"/>
          <w:bCs/>
          <w:i/>
          <w:iCs/>
          <w:sz w:val="24"/>
          <w:szCs w:val="24"/>
        </w:rPr>
        <w:t>diversifolia</w:t>
      </w:r>
      <w:proofErr w:type="spellEnd"/>
      <w:r>
        <w:rPr>
          <w:rFonts w:ascii="Times New Roman" w:hAnsi="Times New Roman" w:cs="Times New Roman"/>
          <w:bCs/>
          <w:sz w:val="24"/>
          <w:szCs w:val="24"/>
        </w:rPr>
        <w:t xml:space="preserve"> leaves contain a hos</w:t>
      </w:r>
      <w:r w:rsidR="00FA10D8">
        <w:rPr>
          <w:rFonts w:ascii="Times New Roman" w:hAnsi="Times New Roman" w:cs="Times New Roman"/>
          <w:bCs/>
          <w:sz w:val="24"/>
          <w:szCs w:val="24"/>
        </w:rPr>
        <w:t>t</w:t>
      </w:r>
      <w:r>
        <w:rPr>
          <w:rFonts w:ascii="Times New Roman" w:hAnsi="Times New Roman" w:cs="Times New Roman"/>
          <w:bCs/>
          <w:sz w:val="24"/>
          <w:szCs w:val="24"/>
        </w:rPr>
        <w:t xml:space="preserve"> of secondary metabolites, which include phenolics, alkaloids and </w:t>
      </w:r>
      <w:r w:rsidR="00FA10D8">
        <w:rPr>
          <w:rFonts w:ascii="Times New Roman" w:hAnsi="Times New Roman" w:cs="Times New Roman"/>
          <w:bCs/>
          <w:sz w:val="24"/>
          <w:szCs w:val="24"/>
        </w:rPr>
        <w:t>several flavonoid categories (John-</w:t>
      </w:r>
      <w:proofErr w:type="spellStart"/>
      <w:r w:rsidR="00FA10D8">
        <w:rPr>
          <w:rFonts w:ascii="Times New Roman" w:hAnsi="Times New Roman" w:cs="Times New Roman"/>
          <w:bCs/>
          <w:sz w:val="24"/>
          <w:szCs w:val="24"/>
        </w:rPr>
        <w:t>Dewole</w:t>
      </w:r>
      <w:proofErr w:type="spellEnd"/>
      <w:r w:rsidR="00FA10D8">
        <w:rPr>
          <w:rFonts w:ascii="Times New Roman" w:hAnsi="Times New Roman" w:cs="Times New Roman"/>
          <w:bCs/>
          <w:sz w:val="24"/>
          <w:szCs w:val="24"/>
        </w:rPr>
        <w:t xml:space="preserve"> and Oni, 2021). Alkaloids are especially active against plasmodium in several </w:t>
      </w:r>
      <w:r w:rsidR="00FA10D8" w:rsidRPr="00AC0E7E">
        <w:rPr>
          <w:rFonts w:ascii="Times New Roman" w:hAnsi="Times New Roman" w:cs="Times New Roman"/>
          <w:bCs/>
          <w:i/>
          <w:iCs/>
          <w:sz w:val="24"/>
          <w:szCs w:val="24"/>
        </w:rPr>
        <w:t>in vitro</w:t>
      </w:r>
      <w:r w:rsidR="00FA10D8">
        <w:rPr>
          <w:rFonts w:ascii="Times New Roman" w:hAnsi="Times New Roman" w:cs="Times New Roman"/>
          <w:bCs/>
          <w:sz w:val="24"/>
          <w:szCs w:val="24"/>
        </w:rPr>
        <w:t xml:space="preserve"> and </w:t>
      </w:r>
      <w:r w:rsidR="00FA10D8" w:rsidRPr="00AC0E7E">
        <w:rPr>
          <w:rFonts w:ascii="Times New Roman" w:hAnsi="Times New Roman" w:cs="Times New Roman"/>
          <w:bCs/>
          <w:i/>
          <w:iCs/>
          <w:sz w:val="24"/>
          <w:szCs w:val="24"/>
        </w:rPr>
        <w:t>in</w:t>
      </w:r>
      <w:r w:rsidR="00AC0E7E" w:rsidRPr="00AC0E7E">
        <w:rPr>
          <w:rFonts w:ascii="Times New Roman" w:hAnsi="Times New Roman" w:cs="Times New Roman"/>
          <w:bCs/>
          <w:i/>
          <w:iCs/>
          <w:sz w:val="24"/>
          <w:szCs w:val="24"/>
        </w:rPr>
        <w:t xml:space="preserve"> </w:t>
      </w:r>
      <w:r w:rsidR="00FA10D8" w:rsidRPr="00AC0E7E">
        <w:rPr>
          <w:rFonts w:ascii="Times New Roman" w:hAnsi="Times New Roman" w:cs="Times New Roman"/>
          <w:bCs/>
          <w:i/>
          <w:iCs/>
          <w:sz w:val="24"/>
          <w:szCs w:val="24"/>
        </w:rPr>
        <w:t>vivo</w:t>
      </w:r>
      <w:r w:rsidR="00FA10D8">
        <w:rPr>
          <w:rFonts w:ascii="Times New Roman" w:hAnsi="Times New Roman" w:cs="Times New Roman"/>
          <w:bCs/>
          <w:sz w:val="24"/>
          <w:szCs w:val="24"/>
        </w:rPr>
        <w:t xml:space="preserve"> models,</w:t>
      </w:r>
      <w:r w:rsidR="00AC0E7E">
        <w:rPr>
          <w:rFonts w:ascii="Times New Roman" w:hAnsi="Times New Roman" w:cs="Times New Roman"/>
          <w:bCs/>
          <w:sz w:val="24"/>
          <w:szCs w:val="24"/>
        </w:rPr>
        <w:t xml:space="preserve"> and they are thought to act by inhibiting heme polymerization in several strains of Plasmodium (Taek </w:t>
      </w:r>
      <w:r w:rsidR="00AC0E7E" w:rsidRPr="00AC0E7E">
        <w:rPr>
          <w:rFonts w:ascii="Times New Roman" w:hAnsi="Times New Roman" w:cs="Times New Roman"/>
          <w:bCs/>
          <w:i/>
          <w:iCs/>
          <w:sz w:val="24"/>
          <w:szCs w:val="24"/>
        </w:rPr>
        <w:t>et al.,</w:t>
      </w:r>
      <w:r w:rsidR="00AC0E7E">
        <w:rPr>
          <w:rFonts w:ascii="Times New Roman" w:hAnsi="Times New Roman" w:cs="Times New Roman"/>
          <w:bCs/>
          <w:sz w:val="24"/>
          <w:szCs w:val="24"/>
        </w:rPr>
        <w:t xml:space="preserve"> 2021). Other secondary metabolites in the extract such as t</w:t>
      </w:r>
      <w:r w:rsidR="002E741F">
        <w:rPr>
          <w:rFonts w:ascii="Times New Roman" w:hAnsi="Times New Roman" w:cs="Times New Roman"/>
          <w:bCs/>
          <w:sz w:val="24"/>
          <w:szCs w:val="24"/>
        </w:rPr>
        <w:t xml:space="preserve">erpenes, </w:t>
      </w:r>
      <w:proofErr w:type="spellStart"/>
      <w:r w:rsidR="002E741F">
        <w:rPr>
          <w:rFonts w:ascii="Times New Roman" w:hAnsi="Times New Roman" w:cs="Times New Roman"/>
          <w:bCs/>
          <w:sz w:val="24"/>
          <w:szCs w:val="24"/>
        </w:rPr>
        <w:t>sesquisterpenes</w:t>
      </w:r>
      <w:proofErr w:type="spellEnd"/>
      <w:r w:rsidR="00AC0E7E">
        <w:rPr>
          <w:rFonts w:ascii="Times New Roman" w:hAnsi="Times New Roman" w:cs="Times New Roman"/>
          <w:bCs/>
          <w:sz w:val="24"/>
          <w:szCs w:val="24"/>
        </w:rPr>
        <w:t xml:space="preserve"> and other phenolics also contribute in synergy with alkaloids to anti-plasmodial activity via other mechanisms (</w:t>
      </w:r>
      <w:r w:rsidR="00AC0E7E" w:rsidRPr="00AC0E7E">
        <w:rPr>
          <w:rFonts w:ascii="Times New Roman" w:hAnsi="Times New Roman" w:cs="Times New Roman"/>
          <w:sz w:val="24"/>
          <w:szCs w:val="24"/>
        </w:rPr>
        <w:t>Saxena</w:t>
      </w:r>
      <w:r w:rsidR="00AC0E7E">
        <w:rPr>
          <w:rFonts w:ascii="Times New Roman" w:hAnsi="Times New Roman" w:cs="Times New Roman"/>
          <w:sz w:val="24"/>
          <w:szCs w:val="24"/>
        </w:rPr>
        <w:t xml:space="preserve"> </w:t>
      </w:r>
      <w:r w:rsidR="00AC0E7E" w:rsidRPr="00AC0E7E">
        <w:rPr>
          <w:rFonts w:ascii="Times New Roman" w:hAnsi="Times New Roman" w:cs="Times New Roman"/>
          <w:i/>
          <w:iCs/>
          <w:sz w:val="24"/>
          <w:szCs w:val="24"/>
        </w:rPr>
        <w:t>et al.,</w:t>
      </w:r>
      <w:r w:rsidR="00AC0E7E">
        <w:rPr>
          <w:rFonts w:ascii="Times New Roman" w:hAnsi="Times New Roman" w:cs="Times New Roman"/>
          <w:sz w:val="24"/>
          <w:szCs w:val="24"/>
        </w:rPr>
        <w:t xml:space="preserve"> 2003</w:t>
      </w:r>
      <w:r w:rsidR="002E741F">
        <w:rPr>
          <w:rFonts w:ascii="Times New Roman" w:hAnsi="Times New Roman" w:cs="Times New Roman"/>
          <w:sz w:val="24"/>
          <w:szCs w:val="24"/>
        </w:rPr>
        <w:t xml:space="preserve">, </w:t>
      </w:r>
      <w:proofErr w:type="spellStart"/>
      <w:r w:rsidR="002E741F" w:rsidRPr="0010389D">
        <w:rPr>
          <w:rFonts w:ascii="Times New Roman" w:eastAsia="Times New Roman" w:hAnsi="Times New Roman" w:cs="Times New Roman"/>
          <w:sz w:val="24"/>
          <w:szCs w:val="24"/>
        </w:rPr>
        <w:t>Owoyele</w:t>
      </w:r>
      <w:proofErr w:type="spellEnd"/>
      <w:r w:rsidR="002E741F" w:rsidRPr="0010389D">
        <w:rPr>
          <w:rFonts w:ascii="Times New Roman" w:eastAsia="Times New Roman" w:hAnsi="Times New Roman" w:cs="Times New Roman"/>
          <w:sz w:val="24"/>
          <w:szCs w:val="24"/>
        </w:rPr>
        <w:t xml:space="preserve"> </w:t>
      </w:r>
      <w:r w:rsidR="002E741F" w:rsidRPr="00DE2F32">
        <w:rPr>
          <w:rFonts w:ascii="Times New Roman" w:eastAsia="Times New Roman" w:hAnsi="Times New Roman" w:cs="Times New Roman"/>
          <w:i/>
          <w:iCs/>
          <w:sz w:val="24"/>
          <w:szCs w:val="24"/>
        </w:rPr>
        <w:t>et al.,</w:t>
      </w:r>
      <w:r w:rsidR="002E741F" w:rsidRPr="0010389D">
        <w:rPr>
          <w:rFonts w:ascii="Times New Roman" w:eastAsia="Times New Roman" w:hAnsi="Times New Roman" w:cs="Times New Roman"/>
          <w:sz w:val="24"/>
          <w:szCs w:val="24"/>
        </w:rPr>
        <w:t xml:space="preserve"> 2020</w:t>
      </w:r>
      <w:r w:rsidR="00AC0E7E">
        <w:rPr>
          <w:rFonts w:ascii="Times New Roman" w:hAnsi="Times New Roman" w:cs="Times New Roman"/>
          <w:sz w:val="24"/>
          <w:szCs w:val="24"/>
        </w:rPr>
        <w:t>).</w:t>
      </w:r>
      <w:r w:rsidR="002E741F">
        <w:rPr>
          <w:rFonts w:ascii="Times New Roman" w:hAnsi="Times New Roman" w:cs="Times New Roman"/>
          <w:sz w:val="24"/>
          <w:szCs w:val="24"/>
        </w:rPr>
        <w:t xml:space="preserve"> Alternating magnetic field represents a non-pharmacologic intervention in the treatment of malaria. It has been demonstrated in several studies and models and the results have been largely promising.  Alternating magnetic field therapy is heavily reliant on the ferromagnetic properties of the hemozoin crystals generated by the plasmodium parasite, such that its interaction with the external magnetic field significantly disrupts the metabolism, growth and proliferation of the parasite (Kha </w:t>
      </w:r>
      <w:r w:rsidR="002E741F" w:rsidRPr="002E741F">
        <w:rPr>
          <w:rFonts w:ascii="Times New Roman" w:hAnsi="Times New Roman" w:cs="Times New Roman"/>
          <w:i/>
          <w:iCs/>
          <w:sz w:val="24"/>
          <w:szCs w:val="24"/>
        </w:rPr>
        <w:t>et al.,</w:t>
      </w:r>
      <w:r w:rsidR="002E741F">
        <w:rPr>
          <w:rFonts w:ascii="Times New Roman" w:hAnsi="Times New Roman" w:cs="Times New Roman"/>
          <w:sz w:val="24"/>
          <w:szCs w:val="24"/>
        </w:rPr>
        <w:t xml:space="preserve"> 2019). In our study, the parasite </w:t>
      </w:r>
      <w:r w:rsidR="00194C97">
        <w:rPr>
          <w:rFonts w:ascii="Times New Roman" w:hAnsi="Times New Roman" w:cs="Times New Roman"/>
          <w:sz w:val="24"/>
          <w:szCs w:val="24"/>
        </w:rPr>
        <w:t xml:space="preserve">count reduced with increase in the intensity of the magnetic field applied. This means that there can be increased parasite suppression with the application of intensities above 20 </w:t>
      </w:r>
      <w:proofErr w:type="spellStart"/>
      <w:r w:rsidR="00194C97">
        <w:rPr>
          <w:rFonts w:ascii="Times New Roman" w:hAnsi="Times New Roman" w:cs="Times New Roman"/>
          <w:sz w:val="24"/>
          <w:szCs w:val="24"/>
        </w:rPr>
        <w:t>mT</w:t>
      </w:r>
      <w:proofErr w:type="spellEnd"/>
      <w:r w:rsidR="00194C97">
        <w:rPr>
          <w:rFonts w:ascii="Times New Roman" w:hAnsi="Times New Roman" w:cs="Times New Roman"/>
          <w:sz w:val="24"/>
          <w:szCs w:val="24"/>
        </w:rPr>
        <w:t>, charting potentially new courses in malaria therapy.</w:t>
      </w:r>
    </w:p>
    <w:p w14:paraId="5606F68A" w14:textId="11D31332" w:rsidR="00C16370" w:rsidRPr="00C91765" w:rsidRDefault="00C16370" w:rsidP="00B7643F">
      <w:pPr>
        <w:jc w:val="both"/>
        <w:rPr>
          <w:rFonts w:ascii="Times New Roman" w:hAnsi="Times New Roman" w:cs="Times New Roman"/>
          <w:b/>
          <w:sz w:val="24"/>
          <w:szCs w:val="24"/>
        </w:rPr>
      </w:pPr>
      <w:r>
        <w:object w:dxaOrig="7427" w:dyaOrig="4196" w14:anchorId="3E104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9pt;height:210.05pt" o:ole="">
            <v:imagedata r:id="rId7" o:title=""/>
          </v:shape>
          <o:OLEObject Type="Embed" ProgID="Prism5.Document" ShapeID="_x0000_i1025" DrawAspect="Content" ObjectID="_1816081881" r:id="rId8"/>
        </w:object>
      </w:r>
    </w:p>
    <w:p w14:paraId="17287B8D" w14:textId="69C5BF49" w:rsidR="00C16370" w:rsidRDefault="004C30A8" w:rsidP="00B7643F">
      <w:pPr>
        <w:jc w:val="both"/>
        <w:rPr>
          <w:rFonts w:ascii="Times New Roman" w:hAnsi="Times New Roman" w:cs="Times New Roman"/>
          <w:bCs/>
          <w:sz w:val="24"/>
          <w:szCs w:val="24"/>
        </w:rPr>
      </w:pPr>
      <w:r>
        <w:rPr>
          <w:rFonts w:ascii="Times New Roman" w:hAnsi="Times New Roman" w:cs="Times New Roman"/>
          <w:b/>
          <w:sz w:val="24"/>
          <w:szCs w:val="24"/>
        </w:rPr>
        <w:t xml:space="preserve">Figure 1. Effect of Treatments on Parasite count of mice infected with </w:t>
      </w:r>
      <w:r w:rsidRPr="004C30A8">
        <w:rPr>
          <w:rFonts w:ascii="Times New Roman" w:hAnsi="Times New Roman" w:cs="Times New Roman"/>
          <w:b/>
          <w:i/>
          <w:iCs/>
          <w:sz w:val="24"/>
          <w:szCs w:val="24"/>
        </w:rPr>
        <w:t xml:space="preserve">plasmodium </w:t>
      </w:r>
      <w:proofErr w:type="spellStart"/>
      <w:r w:rsidRPr="004C30A8">
        <w:rPr>
          <w:rFonts w:ascii="Times New Roman" w:hAnsi="Times New Roman" w:cs="Times New Roman"/>
          <w:b/>
          <w:i/>
          <w:iCs/>
          <w:sz w:val="24"/>
          <w:szCs w:val="24"/>
        </w:rPr>
        <w:t>berghei</w:t>
      </w:r>
      <w:proofErr w:type="spellEnd"/>
      <w:r w:rsidRPr="004C30A8">
        <w:rPr>
          <w:rFonts w:ascii="Times New Roman" w:hAnsi="Times New Roman" w:cs="Times New Roman"/>
          <w:b/>
          <w:i/>
          <w:iCs/>
          <w:sz w:val="24"/>
          <w:szCs w:val="24"/>
        </w:rPr>
        <w:t>.</w:t>
      </w:r>
      <w:r>
        <w:rPr>
          <w:rFonts w:ascii="Times New Roman" w:hAnsi="Times New Roman" w:cs="Times New Roman"/>
          <w:b/>
          <w:sz w:val="24"/>
          <w:szCs w:val="24"/>
        </w:rPr>
        <w:t xml:space="preserve"> </w:t>
      </w:r>
      <w:r w:rsidRPr="00194C97">
        <w:rPr>
          <w:rFonts w:ascii="Times New Roman" w:hAnsi="Times New Roman" w:cs="Times New Roman"/>
          <w:bCs/>
          <w:sz w:val="20"/>
          <w:szCs w:val="20"/>
        </w:rPr>
        <w:t>Each point on the line represent means± standard error of means of five (5) replicates. Comparisons are made across groups strictly with respect to each day. Points bearing different alphabets are significantly different (p&lt;0.05) from one another, whereas points having the same letters are not significantly different (p&gt;0.05).</w:t>
      </w:r>
      <w:r w:rsidR="00476CBD" w:rsidRPr="00194C97">
        <w:rPr>
          <w:rFonts w:ascii="Times New Roman" w:hAnsi="Times New Roman" w:cs="Times New Roman"/>
          <w:bCs/>
          <w:sz w:val="20"/>
          <w:szCs w:val="20"/>
        </w:rPr>
        <w:t xml:space="preserve"> IBNT: Infected but not treated, IBTL: infected but treated with </w:t>
      </w:r>
      <w:proofErr w:type="spellStart"/>
      <w:r w:rsidR="00476CBD" w:rsidRPr="00194C97">
        <w:rPr>
          <w:rFonts w:ascii="Times New Roman" w:hAnsi="Times New Roman" w:cs="Times New Roman"/>
          <w:bCs/>
          <w:sz w:val="20"/>
          <w:szCs w:val="20"/>
        </w:rPr>
        <w:t>Lumartem</w:t>
      </w:r>
      <w:proofErr w:type="spellEnd"/>
      <w:r w:rsidR="00476CBD" w:rsidRPr="00194C97">
        <w:rPr>
          <w:rFonts w:ascii="Times New Roman" w:hAnsi="Times New Roman" w:cs="Times New Roman"/>
          <w:bCs/>
          <w:sz w:val="20"/>
          <w:szCs w:val="20"/>
        </w:rPr>
        <w:t xml:space="preserve">, IBTT: Infected but treated with </w:t>
      </w:r>
      <w:r w:rsidR="00476CBD" w:rsidRPr="00194C97">
        <w:rPr>
          <w:rFonts w:ascii="Times New Roman" w:hAnsi="Times New Roman" w:cs="Times New Roman"/>
          <w:bCs/>
          <w:i/>
          <w:iCs/>
          <w:sz w:val="20"/>
          <w:szCs w:val="20"/>
        </w:rPr>
        <w:t xml:space="preserve">T. </w:t>
      </w:r>
      <w:proofErr w:type="spellStart"/>
      <w:r w:rsidR="00476CBD" w:rsidRPr="00194C97">
        <w:rPr>
          <w:rFonts w:ascii="Times New Roman" w:hAnsi="Times New Roman" w:cs="Times New Roman"/>
          <w:bCs/>
          <w:i/>
          <w:iCs/>
          <w:sz w:val="20"/>
          <w:szCs w:val="20"/>
        </w:rPr>
        <w:t>diversifolia</w:t>
      </w:r>
      <w:proofErr w:type="spellEnd"/>
      <w:r w:rsidR="00476CBD" w:rsidRPr="00194C97">
        <w:rPr>
          <w:rFonts w:ascii="Times New Roman" w:hAnsi="Times New Roman" w:cs="Times New Roman"/>
          <w:bCs/>
          <w:sz w:val="20"/>
          <w:szCs w:val="20"/>
        </w:rPr>
        <w:t>,</w:t>
      </w:r>
      <w:r w:rsidR="004604AB" w:rsidRPr="00194C97">
        <w:rPr>
          <w:rFonts w:ascii="Times New Roman" w:hAnsi="Times New Roman" w:cs="Times New Roman"/>
          <w:bCs/>
          <w:sz w:val="20"/>
          <w:szCs w:val="20"/>
        </w:rPr>
        <w:t xml:space="preserve"> </w:t>
      </w:r>
      <w:r w:rsidR="00C16370" w:rsidRPr="00194C97">
        <w:rPr>
          <w:rFonts w:ascii="Times New Roman" w:hAnsi="Times New Roman" w:cs="Times New Roman"/>
          <w:bCs/>
          <w:sz w:val="20"/>
          <w:szCs w:val="20"/>
        </w:rPr>
        <w:t xml:space="preserve">IBTM-10: Infected but treated with magnetic field of 10 </w:t>
      </w:r>
      <w:proofErr w:type="spellStart"/>
      <w:r w:rsidR="00C16370" w:rsidRPr="00194C97">
        <w:rPr>
          <w:rFonts w:ascii="Times New Roman" w:hAnsi="Times New Roman" w:cs="Times New Roman"/>
          <w:bCs/>
          <w:sz w:val="20"/>
          <w:szCs w:val="20"/>
        </w:rPr>
        <w:t>mT</w:t>
      </w:r>
      <w:proofErr w:type="spellEnd"/>
      <w:r w:rsidR="00C16370" w:rsidRPr="00194C97">
        <w:rPr>
          <w:rFonts w:ascii="Times New Roman" w:hAnsi="Times New Roman" w:cs="Times New Roman"/>
          <w:bCs/>
          <w:sz w:val="20"/>
          <w:szCs w:val="20"/>
        </w:rPr>
        <w:t xml:space="preserve"> intensity IBTM-20: Infected but treated with magnetic field of 20 </w:t>
      </w:r>
      <w:proofErr w:type="spellStart"/>
      <w:r w:rsidR="00C16370" w:rsidRPr="00194C97">
        <w:rPr>
          <w:rFonts w:ascii="Times New Roman" w:hAnsi="Times New Roman" w:cs="Times New Roman"/>
          <w:bCs/>
          <w:sz w:val="20"/>
          <w:szCs w:val="20"/>
        </w:rPr>
        <w:t>mT</w:t>
      </w:r>
      <w:proofErr w:type="spellEnd"/>
      <w:r w:rsidR="00C16370" w:rsidRPr="00194C97">
        <w:rPr>
          <w:rFonts w:ascii="Times New Roman" w:hAnsi="Times New Roman" w:cs="Times New Roman"/>
          <w:bCs/>
          <w:sz w:val="20"/>
          <w:szCs w:val="20"/>
        </w:rPr>
        <w:t xml:space="preserve"> intensity</w:t>
      </w:r>
      <w:r w:rsidR="00225714" w:rsidRPr="00194C97">
        <w:rPr>
          <w:rFonts w:ascii="Times New Roman" w:hAnsi="Times New Roman" w:cs="Times New Roman"/>
          <w:bCs/>
          <w:sz w:val="20"/>
          <w:szCs w:val="20"/>
        </w:rPr>
        <w:t>.</w:t>
      </w:r>
    </w:p>
    <w:p w14:paraId="1F8B6216" w14:textId="77777777" w:rsidR="007368BE" w:rsidRDefault="007368BE" w:rsidP="00B7643F">
      <w:pPr>
        <w:jc w:val="both"/>
        <w:rPr>
          <w:rFonts w:ascii="Times New Roman" w:hAnsi="Times New Roman" w:cs="Times New Roman"/>
          <w:bCs/>
          <w:sz w:val="24"/>
          <w:szCs w:val="24"/>
        </w:rPr>
      </w:pPr>
    </w:p>
    <w:p w14:paraId="05F45EA0" w14:textId="46881CEB" w:rsidR="007368BE" w:rsidRDefault="00194C97" w:rsidP="00CC30C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effects of </w:t>
      </w:r>
      <w:r w:rsidRPr="00194C97">
        <w:rPr>
          <w:rFonts w:ascii="Times New Roman" w:hAnsi="Times New Roman" w:cs="Times New Roman"/>
          <w:bCs/>
          <w:i/>
          <w:iCs/>
          <w:sz w:val="24"/>
          <w:szCs w:val="24"/>
        </w:rPr>
        <w:t xml:space="preserve">T. </w:t>
      </w:r>
      <w:proofErr w:type="spellStart"/>
      <w:r w:rsidRPr="00194C97">
        <w:rPr>
          <w:rFonts w:ascii="Times New Roman" w:hAnsi="Times New Roman" w:cs="Times New Roman"/>
          <w:bCs/>
          <w:i/>
          <w:iCs/>
          <w:sz w:val="24"/>
          <w:szCs w:val="24"/>
        </w:rPr>
        <w:t>diversifolia</w:t>
      </w:r>
      <w:proofErr w:type="spellEnd"/>
      <w:r>
        <w:rPr>
          <w:rFonts w:ascii="Times New Roman" w:hAnsi="Times New Roman" w:cs="Times New Roman"/>
          <w:bCs/>
          <w:sz w:val="24"/>
          <w:szCs w:val="24"/>
        </w:rPr>
        <w:t xml:space="preserve"> extract and varied intensities of alternating magnetic field (10mT and 20mT) on hematological parameters of mice infected with </w:t>
      </w:r>
      <w:r w:rsidRPr="00194C97">
        <w:rPr>
          <w:rFonts w:ascii="Times New Roman" w:hAnsi="Times New Roman" w:cs="Times New Roman"/>
          <w:bCs/>
          <w:i/>
          <w:iCs/>
          <w:sz w:val="24"/>
          <w:szCs w:val="24"/>
        </w:rPr>
        <w:t xml:space="preserve">Plasmodium </w:t>
      </w:r>
      <w:proofErr w:type="spellStart"/>
      <w:r w:rsidRPr="00194C97">
        <w:rPr>
          <w:rFonts w:ascii="Times New Roman" w:hAnsi="Times New Roman" w:cs="Times New Roman"/>
          <w:bCs/>
          <w:i/>
          <w:iCs/>
          <w:sz w:val="24"/>
          <w:szCs w:val="24"/>
        </w:rPr>
        <w:t>berghei</w:t>
      </w:r>
      <w:proofErr w:type="spellEnd"/>
      <w:r>
        <w:rPr>
          <w:rFonts w:ascii="Times New Roman" w:hAnsi="Times New Roman" w:cs="Times New Roman"/>
          <w:bCs/>
          <w:sz w:val="24"/>
          <w:szCs w:val="24"/>
        </w:rPr>
        <w:t xml:space="preserve"> are displayed in Table 1. T</w:t>
      </w:r>
      <w:r w:rsidR="00A16BE4">
        <w:rPr>
          <w:rFonts w:ascii="Times New Roman" w:hAnsi="Times New Roman" w:cs="Times New Roman"/>
          <w:bCs/>
          <w:sz w:val="24"/>
          <w:szCs w:val="24"/>
        </w:rPr>
        <w:t xml:space="preserve">he group that received no treatment had increased lymphocyte counts when compared to the groups that received the standard drug, </w:t>
      </w:r>
      <w:r w:rsidR="00A16BE4" w:rsidRPr="00A3383E">
        <w:rPr>
          <w:rFonts w:ascii="Times New Roman" w:hAnsi="Times New Roman" w:cs="Times New Roman"/>
          <w:bCs/>
          <w:i/>
          <w:iCs/>
          <w:sz w:val="24"/>
          <w:szCs w:val="24"/>
        </w:rPr>
        <w:t xml:space="preserve">T. </w:t>
      </w:r>
      <w:proofErr w:type="spellStart"/>
      <w:r w:rsidR="00A16BE4" w:rsidRPr="00A3383E">
        <w:rPr>
          <w:rFonts w:ascii="Times New Roman" w:hAnsi="Times New Roman" w:cs="Times New Roman"/>
          <w:bCs/>
          <w:i/>
          <w:iCs/>
          <w:sz w:val="24"/>
          <w:szCs w:val="24"/>
        </w:rPr>
        <w:t>diversifolia</w:t>
      </w:r>
      <w:proofErr w:type="spellEnd"/>
      <w:r w:rsidR="00A16BE4">
        <w:rPr>
          <w:rFonts w:ascii="Times New Roman" w:hAnsi="Times New Roman" w:cs="Times New Roman"/>
          <w:bCs/>
          <w:sz w:val="24"/>
          <w:szCs w:val="24"/>
        </w:rPr>
        <w:t xml:space="preserve"> and 20 </w:t>
      </w:r>
      <w:proofErr w:type="spellStart"/>
      <w:r w:rsidR="00A16BE4">
        <w:rPr>
          <w:rFonts w:ascii="Times New Roman" w:hAnsi="Times New Roman" w:cs="Times New Roman"/>
          <w:bCs/>
          <w:sz w:val="24"/>
          <w:szCs w:val="24"/>
        </w:rPr>
        <w:t>mT</w:t>
      </w:r>
      <w:proofErr w:type="spellEnd"/>
      <w:r w:rsidR="00A16BE4">
        <w:rPr>
          <w:rFonts w:ascii="Times New Roman" w:hAnsi="Times New Roman" w:cs="Times New Roman"/>
          <w:bCs/>
          <w:sz w:val="24"/>
          <w:szCs w:val="24"/>
        </w:rPr>
        <w:t xml:space="preserve"> of the magnetic field. In addition, there was also low</w:t>
      </w:r>
      <w:r w:rsidR="00A3383E">
        <w:rPr>
          <w:rFonts w:ascii="Times New Roman" w:hAnsi="Times New Roman" w:cs="Times New Roman"/>
          <w:bCs/>
          <w:sz w:val="24"/>
          <w:szCs w:val="24"/>
        </w:rPr>
        <w:t xml:space="preserve"> counts of</w:t>
      </w:r>
      <w:r w:rsidR="00A16BE4">
        <w:rPr>
          <w:rFonts w:ascii="Times New Roman" w:hAnsi="Times New Roman" w:cs="Times New Roman"/>
          <w:bCs/>
          <w:sz w:val="24"/>
          <w:szCs w:val="24"/>
        </w:rPr>
        <w:t xml:space="preserve"> erythrocyte</w:t>
      </w:r>
      <w:r w:rsidR="00A3383E">
        <w:rPr>
          <w:rFonts w:ascii="Times New Roman" w:hAnsi="Times New Roman" w:cs="Times New Roman"/>
          <w:bCs/>
          <w:sz w:val="24"/>
          <w:szCs w:val="24"/>
        </w:rPr>
        <w:t xml:space="preserve">s, hemoglobin, hematocrit and platelets when compared to other treatment groups. The group that received the standard drug presented with significantly increased (p&lt;0.05) red blood cell indices, and also have the lowest (p&lt;0.05) leukocyte counts, among the treatment groups. The group that received </w:t>
      </w:r>
      <w:r w:rsidR="00A3383E" w:rsidRPr="00A3383E">
        <w:rPr>
          <w:rFonts w:ascii="Times New Roman" w:hAnsi="Times New Roman" w:cs="Times New Roman"/>
          <w:bCs/>
          <w:i/>
          <w:iCs/>
          <w:sz w:val="24"/>
          <w:szCs w:val="24"/>
        </w:rPr>
        <w:t xml:space="preserve">T. </w:t>
      </w:r>
      <w:proofErr w:type="spellStart"/>
      <w:r w:rsidR="00A3383E" w:rsidRPr="00A3383E">
        <w:rPr>
          <w:rFonts w:ascii="Times New Roman" w:hAnsi="Times New Roman" w:cs="Times New Roman"/>
          <w:bCs/>
          <w:i/>
          <w:iCs/>
          <w:sz w:val="24"/>
          <w:szCs w:val="24"/>
        </w:rPr>
        <w:t>diversifolia</w:t>
      </w:r>
      <w:proofErr w:type="spellEnd"/>
      <w:r w:rsidR="00A3383E">
        <w:rPr>
          <w:rFonts w:ascii="Times New Roman" w:hAnsi="Times New Roman" w:cs="Times New Roman"/>
          <w:bCs/>
          <w:sz w:val="24"/>
          <w:szCs w:val="24"/>
        </w:rPr>
        <w:t xml:space="preserve"> extract</w:t>
      </w:r>
      <w:r w:rsidR="007368BE">
        <w:rPr>
          <w:rFonts w:ascii="Times New Roman" w:hAnsi="Times New Roman" w:cs="Times New Roman"/>
          <w:bCs/>
          <w:sz w:val="24"/>
          <w:szCs w:val="24"/>
        </w:rPr>
        <w:t xml:space="preserve"> showed no difference(p&gt;0.05) in overall leukocyte and lymphocyte count when compared to the group that was exposed to 10mT of the alternating magnetic field, However, the 20mT group demonstrated significantly(p&lt;0.05) improved hematological indices when compared with the 10mT group and the mice that received </w:t>
      </w:r>
      <w:r w:rsidR="007368BE" w:rsidRPr="007368BE">
        <w:rPr>
          <w:rFonts w:ascii="Times New Roman" w:hAnsi="Times New Roman" w:cs="Times New Roman"/>
          <w:bCs/>
          <w:i/>
          <w:iCs/>
          <w:sz w:val="24"/>
          <w:szCs w:val="24"/>
        </w:rPr>
        <w:t xml:space="preserve">T. </w:t>
      </w:r>
      <w:proofErr w:type="spellStart"/>
      <w:r w:rsidR="007368BE" w:rsidRPr="007368BE">
        <w:rPr>
          <w:rFonts w:ascii="Times New Roman" w:hAnsi="Times New Roman" w:cs="Times New Roman"/>
          <w:bCs/>
          <w:i/>
          <w:iCs/>
          <w:sz w:val="24"/>
          <w:szCs w:val="24"/>
        </w:rPr>
        <w:t>diversifolia</w:t>
      </w:r>
      <w:proofErr w:type="spellEnd"/>
      <w:r w:rsidR="007368BE">
        <w:rPr>
          <w:rFonts w:ascii="Times New Roman" w:hAnsi="Times New Roman" w:cs="Times New Roman"/>
          <w:bCs/>
          <w:sz w:val="24"/>
          <w:szCs w:val="24"/>
        </w:rPr>
        <w:t xml:space="preserve"> extract. Blood</w:t>
      </w:r>
      <w:r w:rsidR="009A3A24">
        <w:rPr>
          <w:rFonts w:ascii="Times New Roman" w:hAnsi="Times New Roman" w:cs="Times New Roman"/>
          <w:bCs/>
          <w:sz w:val="24"/>
          <w:szCs w:val="24"/>
        </w:rPr>
        <w:t xml:space="preserve"> leucocytes are the major responders of the immune response, and they include the lymphocytes, neutrophils, basophil cells and eosinophils (</w:t>
      </w:r>
      <w:proofErr w:type="spellStart"/>
      <w:r w:rsidR="009A3A24">
        <w:rPr>
          <w:rFonts w:ascii="Times New Roman" w:hAnsi="Times New Roman" w:cs="Times New Roman"/>
          <w:bCs/>
          <w:sz w:val="24"/>
          <w:szCs w:val="24"/>
        </w:rPr>
        <w:t>Abajingin</w:t>
      </w:r>
      <w:proofErr w:type="spellEnd"/>
      <w:r w:rsidR="009A3A24">
        <w:rPr>
          <w:rFonts w:ascii="Times New Roman" w:hAnsi="Times New Roman" w:cs="Times New Roman"/>
          <w:bCs/>
          <w:sz w:val="24"/>
          <w:szCs w:val="24"/>
        </w:rPr>
        <w:t xml:space="preserve"> and </w:t>
      </w:r>
      <w:proofErr w:type="spellStart"/>
      <w:r w:rsidR="009A3A24">
        <w:rPr>
          <w:rFonts w:ascii="Times New Roman" w:hAnsi="Times New Roman" w:cs="Times New Roman"/>
          <w:bCs/>
          <w:sz w:val="24"/>
          <w:szCs w:val="24"/>
        </w:rPr>
        <w:t>Ekun</w:t>
      </w:r>
      <w:proofErr w:type="spellEnd"/>
      <w:r w:rsidR="009A3A24">
        <w:rPr>
          <w:rFonts w:ascii="Times New Roman" w:hAnsi="Times New Roman" w:cs="Times New Roman"/>
          <w:bCs/>
          <w:sz w:val="24"/>
          <w:szCs w:val="24"/>
        </w:rPr>
        <w:t xml:space="preserve">, 2019). Lymphocytes are the main sub-category of leucocytes which function in the immune system of mammals, and their numbers increase in the face of pathogenic invasion </w:t>
      </w:r>
      <w:r w:rsidR="00CC30CD" w:rsidRPr="00CC30CD">
        <w:rPr>
          <w:rFonts w:ascii="Times New Roman" w:hAnsi="Times New Roman" w:cs="Times New Roman"/>
          <w:bCs/>
          <w:sz w:val="24"/>
          <w:szCs w:val="24"/>
        </w:rPr>
        <w:lastRenderedPageBreak/>
        <w:t>They contribute to improving the overall immune response by engulfing invading pathogens, secreting cytotoxic chemicals, and generating immunomodulatory cytokines</w:t>
      </w:r>
      <w:r w:rsidR="00CC30CD">
        <w:rPr>
          <w:rFonts w:ascii="Times New Roman" w:hAnsi="Times New Roman" w:cs="Times New Roman"/>
          <w:bCs/>
          <w:sz w:val="24"/>
          <w:szCs w:val="24"/>
        </w:rPr>
        <w:t xml:space="preserve"> </w:t>
      </w:r>
      <w:r w:rsidR="009A3A24">
        <w:rPr>
          <w:rFonts w:ascii="Times New Roman" w:hAnsi="Times New Roman" w:cs="Times New Roman"/>
          <w:bCs/>
          <w:sz w:val="24"/>
          <w:szCs w:val="24"/>
        </w:rPr>
        <w:t>(</w:t>
      </w:r>
      <w:r w:rsidR="009A3A24" w:rsidRPr="009A3A24">
        <w:rPr>
          <w:rFonts w:ascii="Times New Roman" w:hAnsi="Times New Roman" w:cs="Times New Roman"/>
          <w:bCs/>
          <w:sz w:val="24"/>
          <w:szCs w:val="24"/>
        </w:rPr>
        <w:t>Chakravarty, 2006</w:t>
      </w:r>
      <w:r w:rsidR="009A3A24">
        <w:rPr>
          <w:rFonts w:ascii="Times New Roman" w:hAnsi="Times New Roman" w:cs="Times New Roman"/>
          <w:bCs/>
          <w:sz w:val="24"/>
          <w:szCs w:val="24"/>
        </w:rPr>
        <w:t>).</w:t>
      </w:r>
      <w:r w:rsidR="00E531E9">
        <w:rPr>
          <w:rFonts w:ascii="Times New Roman" w:hAnsi="Times New Roman" w:cs="Times New Roman"/>
          <w:bCs/>
          <w:sz w:val="24"/>
          <w:szCs w:val="24"/>
        </w:rPr>
        <w:t xml:space="preserve"> </w:t>
      </w:r>
      <w:r w:rsidR="00E531E9" w:rsidRPr="00E531E9">
        <w:rPr>
          <w:rFonts w:ascii="Times New Roman" w:hAnsi="Times New Roman" w:cs="Times New Roman"/>
          <w:sz w:val="24"/>
          <w:szCs w:val="24"/>
        </w:rPr>
        <w:t xml:space="preserve">The B and T lymphocytes contribute to cellular immunity by the production of antigen-specific antibodies and the release of toxic chemicals that kill foreign cells that invade the body, respectively. When blood basophils are activated by the immunoglobulin subclass </w:t>
      </w:r>
      <w:proofErr w:type="spellStart"/>
      <w:r w:rsidR="00E531E9" w:rsidRPr="00E531E9">
        <w:rPr>
          <w:rFonts w:ascii="Times New Roman" w:hAnsi="Times New Roman" w:cs="Times New Roman"/>
          <w:sz w:val="24"/>
          <w:szCs w:val="24"/>
        </w:rPr>
        <w:t>IgE</w:t>
      </w:r>
      <w:proofErr w:type="spellEnd"/>
      <w:r w:rsidR="00E531E9" w:rsidRPr="00E531E9">
        <w:rPr>
          <w:rFonts w:ascii="Times New Roman" w:hAnsi="Times New Roman" w:cs="Times New Roman"/>
          <w:sz w:val="24"/>
          <w:szCs w:val="24"/>
        </w:rPr>
        <w:t>, they release pharmacologically active mediators that ultimately lead to the elimination of pathogens</w:t>
      </w:r>
      <w:r w:rsidR="00E531E9">
        <w:rPr>
          <w:rFonts w:ascii="Times New Roman" w:hAnsi="Times New Roman" w:cs="Times New Roman"/>
          <w:sz w:val="24"/>
          <w:szCs w:val="24"/>
        </w:rPr>
        <w:t xml:space="preserve"> (Rosales, 2018)</w:t>
      </w:r>
      <w:r w:rsidR="00E531E9" w:rsidRPr="00E531E9">
        <w:rPr>
          <w:rFonts w:ascii="Times New Roman" w:hAnsi="Times New Roman" w:cs="Times New Roman"/>
          <w:sz w:val="24"/>
          <w:szCs w:val="24"/>
        </w:rPr>
        <w:t>.</w:t>
      </w:r>
      <w:r w:rsidR="00B73324">
        <w:rPr>
          <w:rFonts w:ascii="Times New Roman" w:hAnsi="Times New Roman" w:cs="Times New Roman"/>
          <w:sz w:val="24"/>
          <w:szCs w:val="24"/>
        </w:rPr>
        <w:t xml:space="preserve"> Also, </w:t>
      </w:r>
      <w:r w:rsidR="00B73324">
        <w:rPr>
          <w:rFonts w:ascii="Times New Roman" w:hAnsi="Times New Roman" w:cs="Times New Roman"/>
          <w:bCs/>
          <w:sz w:val="24"/>
          <w:szCs w:val="24"/>
        </w:rPr>
        <w:t>h</w:t>
      </w:r>
      <w:r w:rsidR="00436576" w:rsidRPr="00436576">
        <w:rPr>
          <w:rFonts w:ascii="Times New Roman" w:hAnsi="Times New Roman" w:cs="Times New Roman"/>
          <w:bCs/>
          <w:sz w:val="24"/>
          <w:szCs w:val="24"/>
        </w:rPr>
        <w:t>emoglobin tests</w:t>
      </w:r>
      <w:r w:rsidR="00436576">
        <w:rPr>
          <w:rFonts w:ascii="Times New Roman" w:hAnsi="Times New Roman" w:cs="Times New Roman"/>
          <w:bCs/>
          <w:sz w:val="24"/>
          <w:szCs w:val="24"/>
        </w:rPr>
        <w:t xml:space="preserve"> </w:t>
      </w:r>
      <w:r w:rsidR="00B73324">
        <w:rPr>
          <w:rFonts w:ascii="Times New Roman" w:hAnsi="Times New Roman" w:cs="Times New Roman"/>
          <w:bCs/>
          <w:sz w:val="24"/>
          <w:szCs w:val="24"/>
        </w:rPr>
        <w:t xml:space="preserve">as well as hematocrit measurements </w:t>
      </w:r>
      <w:r w:rsidR="00436576">
        <w:rPr>
          <w:rFonts w:ascii="Times New Roman" w:hAnsi="Times New Roman" w:cs="Times New Roman"/>
          <w:bCs/>
          <w:sz w:val="24"/>
          <w:szCs w:val="24"/>
        </w:rPr>
        <w:t>gives an estimate</w:t>
      </w:r>
      <w:r w:rsidR="00436576" w:rsidRPr="00436576">
        <w:rPr>
          <w:rFonts w:ascii="Times New Roman" w:hAnsi="Times New Roman" w:cs="Times New Roman"/>
          <w:bCs/>
          <w:sz w:val="24"/>
          <w:szCs w:val="24"/>
        </w:rPr>
        <w:t xml:space="preserve"> the amount of </w:t>
      </w:r>
      <w:r w:rsidR="00436576">
        <w:rPr>
          <w:rFonts w:ascii="Times New Roman" w:hAnsi="Times New Roman" w:cs="Times New Roman"/>
          <w:bCs/>
          <w:sz w:val="24"/>
          <w:szCs w:val="24"/>
        </w:rPr>
        <w:t xml:space="preserve">hemoglobin present in a unit sample of </w:t>
      </w:r>
      <w:r w:rsidR="00436576" w:rsidRPr="00436576">
        <w:rPr>
          <w:rFonts w:ascii="Times New Roman" w:hAnsi="Times New Roman" w:cs="Times New Roman"/>
          <w:bCs/>
          <w:sz w:val="24"/>
          <w:szCs w:val="24"/>
        </w:rPr>
        <w:t>whole blood and</w:t>
      </w:r>
      <w:r w:rsidR="00B73324">
        <w:rPr>
          <w:rFonts w:ascii="Times New Roman" w:hAnsi="Times New Roman" w:cs="Times New Roman"/>
          <w:bCs/>
          <w:sz w:val="24"/>
          <w:szCs w:val="24"/>
        </w:rPr>
        <w:t xml:space="preserve"> number of red blood cells respectively. These values </w:t>
      </w:r>
      <w:r w:rsidR="00436576" w:rsidRPr="00436576">
        <w:rPr>
          <w:rFonts w:ascii="Times New Roman" w:hAnsi="Times New Roman" w:cs="Times New Roman"/>
          <w:bCs/>
          <w:sz w:val="24"/>
          <w:szCs w:val="24"/>
        </w:rPr>
        <w:t>provide</w:t>
      </w:r>
      <w:r w:rsidR="00B73324">
        <w:rPr>
          <w:rFonts w:ascii="Times New Roman" w:hAnsi="Times New Roman" w:cs="Times New Roman"/>
          <w:bCs/>
          <w:sz w:val="24"/>
          <w:szCs w:val="24"/>
        </w:rPr>
        <w:t xml:space="preserve"> a measure of</w:t>
      </w:r>
      <w:r w:rsidR="00436576" w:rsidRPr="00436576">
        <w:rPr>
          <w:rFonts w:ascii="Times New Roman" w:hAnsi="Times New Roman" w:cs="Times New Roman"/>
          <w:bCs/>
          <w:sz w:val="24"/>
          <w:szCs w:val="24"/>
        </w:rPr>
        <w:t xml:space="preserve"> </w:t>
      </w:r>
      <w:r w:rsidR="00B73324">
        <w:rPr>
          <w:rFonts w:ascii="Times New Roman" w:hAnsi="Times New Roman" w:cs="Times New Roman"/>
          <w:bCs/>
          <w:sz w:val="24"/>
          <w:szCs w:val="24"/>
        </w:rPr>
        <w:t xml:space="preserve">both the amount of red blood cells and </w:t>
      </w:r>
      <w:r w:rsidR="00436576">
        <w:rPr>
          <w:rFonts w:ascii="Times New Roman" w:hAnsi="Times New Roman" w:cs="Times New Roman"/>
          <w:bCs/>
          <w:sz w:val="24"/>
          <w:szCs w:val="24"/>
        </w:rPr>
        <w:t>the</w:t>
      </w:r>
      <w:r w:rsidR="00B73324">
        <w:rPr>
          <w:rFonts w:ascii="Times New Roman" w:hAnsi="Times New Roman" w:cs="Times New Roman"/>
          <w:bCs/>
          <w:sz w:val="24"/>
          <w:szCs w:val="24"/>
        </w:rPr>
        <w:t>ir</w:t>
      </w:r>
      <w:r w:rsidR="00436576">
        <w:rPr>
          <w:rFonts w:ascii="Times New Roman" w:hAnsi="Times New Roman" w:cs="Times New Roman"/>
          <w:bCs/>
          <w:sz w:val="24"/>
          <w:szCs w:val="24"/>
        </w:rPr>
        <w:t xml:space="preserve"> ability </w:t>
      </w:r>
      <w:r w:rsidR="00B73324">
        <w:rPr>
          <w:rFonts w:ascii="Times New Roman" w:hAnsi="Times New Roman" w:cs="Times New Roman"/>
          <w:bCs/>
          <w:sz w:val="24"/>
          <w:szCs w:val="24"/>
        </w:rPr>
        <w:t xml:space="preserve">to </w:t>
      </w:r>
      <w:r w:rsidR="00436576">
        <w:rPr>
          <w:rFonts w:ascii="Times New Roman" w:hAnsi="Times New Roman" w:cs="Times New Roman"/>
          <w:bCs/>
          <w:sz w:val="24"/>
          <w:szCs w:val="24"/>
        </w:rPr>
        <w:t>convey oxygen</w:t>
      </w:r>
      <w:r w:rsidR="00436576" w:rsidRPr="00436576">
        <w:rPr>
          <w:rFonts w:ascii="Times New Roman" w:hAnsi="Times New Roman" w:cs="Times New Roman"/>
          <w:bCs/>
          <w:sz w:val="24"/>
          <w:szCs w:val="24"/>
        </w:rPr>
        <w:t xml:space="preserve"> </w:t>
      </w:r>
      <w:r w:rsidR="00436576">
        <w:rPr>
          <w:rFonts w:ascii="Times New Roman" w:hAnsi="Times New Roman" w:cs="Times New Roman"/>
          <w:bCs/>
          <w:sz w:val="24"/>
          <w:szCs w:val="24"/>
        </w:rPr>
        <w:t>to and from body tissues</w:t>
      </w:r>
      <w:r w:rsidR="00B73324">
        <w:rPr>
          <w:rFonts w:ascii="Times New Roman" w:hAnsi="Times New Roman" w:cs="Times New Roman"/>
          <w:bCs/>
          <w:sz w:val="24"/>
          <w:szCs w:val="24"/>
        </w:rPr>
        <w:t xml:space="preserve"> </w:t>
      </w:r>
      <w:r w:rsidR="00436576">
        <w:rPr>
          <w:rFonts w:ascii="Times New Roman" w:hAnsi="Times New Roman" w:cs="Times New Roman"/>
          <w:bCs/>
          <w:sz w:val="24"/>
          <w:szCs w:val="24"/>
        </w:rPr>
        <w:t>(</w:t>
      </w:r>
      <w:r w:rsidR="00B73324">
        <w:rPr>
          <w:rFonts w:ascii="Times New Roman" w:hAnsi="Times New Roman" w:cs="Times New Roman"/>
          <w:bCs/>
          <w:sz w:val="24"/>
          <w:szCs w:val="24"/>
        </w:rPr>
        <w:t xml:space="preserve">Vasudevan </w:t>
      </w:r>
      <w:r w:rsidR="00B73324" w:rsidRPr="00B73324">
        <w:rPr>
          <w:rFonts w:ascii="Times New Roman" w:hAnsi="Times New Roman" w:cs="Times New Roman"/>
          <w:bCs/>
          <w:i/>
          <w:iCs/>
          <w:sz w:val="24"/>
          <w:szCs w:val="24"/>
        </w:rPr>
        <w:t>et al.,</w:t>
      </w:r>
      <w:r w:rsidR="00B73324">
        <w:rPr>
          <w:rFonts w:ascii="Times New Roman" w:hAnsi="Times New Roman" w:cs="Times New Roman"/>
          <w:bCs/>
          <w:sz w:val="24"/>
          <w:szCs w:val="24"/>
        </w:rPr>
        <w:t xml:space="preserve"> 2013</w:t>
      </w:r>
      <w:r w:rsidR="00436576">
        <w:rPr>
          <w:rFonts w:ascii="Times New Roman" w:hAnsi="Times New Roman" w:cs="Times New Roman"/>
          <w:bCs/>
          <w:sz w:val="24"/>
          <w:szCs w:val="24"/>
        </w:rPr>
        <w:t>)</w:t>
      </w:r>
      <w:r w:rsidR="00B73324">
        <w:rPr>
          <w:rFonts w:ascii="Times New Roman" w:hAnsi="Times New Roman" w:cs="Times New Roman"/>
          <w:bCs/>
          <w:sz w:val="24"/>
          <w:szCs w:val="24"/>
        </w:rPr>
        <w:t>. I</w:t>
      </w:r>
      <w:r w:rsidR="009A3A24">
        <w:rPr>
          <w:rFonts w:ascii="Times New Roman" w:hAnsi="Times New Roman" w:cs="Times New Roman"/>
          <w:bCs/>
          <w:sz w:val="24"/>
          <w:szCs w:val="24"/>
        </w:rPr>
        <w:t>n the group that received no treatment, their white blood cell numbers increased when compared to other groups.</w:t>
      </w:r>
      <w:r w:rsidR="00CC30CD">
        <w:rPr>
          <w:rFonts w:ascii="Times New Roman" w:hAnsi="Times New Roman" w:cs="Times New Roman"/>
          <w:bCs/>
          <w:sz w:val="24"/>
          <w:szCs w:val="24"/>
        </w:rPr>
        <w:t xml:space="preserve"> In addition, erythrocyte parameters were reduced and this was as a result of progressive red blood cell invasion and destruction during the course of the infect</w:t>
      </w:r>
      <w:r w:rsidR="00E531E9">
        <w:rPr>
          <w:rFonts w:ascii="Times New Roman" w:hAnsi="Times New Roman" w:cs="Times New Roman"/>
          <w:bCs/>
          <w:sz w:val="24"/>
          <w:szCs w:val="24"/>
        </w:rPr>
        <w:t xml:space="preserve">ion. Treatment of mice with </w:t>
      </w:r>
      <w:proofErr w:type="spellStart"/>
      <w:r w:rsidR="00E531E9" w:rsidRPr="00E531E9">
        <w:rPr>
          <w:rFonts w:ascii="Times New Roman" w:hAnsi="Times New Roman" w:cs="Times New Roman"/>
          <w:bCs/>
          <w:i/>
          <w:iCs/>
          <w:sz w:val="24"/>
          <w:szCs w:val="24"/>
        </w:rPr>
        <w:t>Tithonia</w:t>
      </w:r>
      <w:proofErr w:type="spellEnd"/>
      <w:r w:rsidR="00E531E9" w:rsidRPr="00E531E9">
        <w:rPr>
          <w:rFonts w:ascii="Times New Roman" w:hAnsi="Times New Roman" w:cs="Times New Roman"/>
          <w:bCs/>
          <w:i/>
          <w:iCs/>
          <w:sz w:val="24"/>
          <w:szCs w:val="24"/>
        </w:rPr>
        <w:t xml:space="preserve"> </w:t>
      </w:r>
      <w:proofErr w:type="spellStart"/>
      <w:r w:rsidR="00E531E9" w:rsidRPr="00E531E9">
        <w:rPr>
          <w:rFonts w:ascii="Times New Roman" w:hAnsi="Times New Roman" w:cs="Times New Roman"/>
          <w:bCs/>
          <w:i/>
          <w:iCs/>
          <w:sz w:val="24"/>
          <w:szCs w:val="24"/>
        </w:rPr>
        <w:t>diversifolia</w:t>
      </w:r>
      <w:proofErr w:type="spellEnd"/>
      <w:r w:rsidR="00E531E9">
        <w:rPr>
          <w:rFonts w:ascii="Times New Roman" w:hAnsi="Times New Roman" w:cs="Times New Roman"/>
          <w:bCs/>
          <w:sz w:val="24"/>
          <w:szCs w:val="24"/>
        </w:rPr>
        <w:t xml:space="preserve"> extract improved hematological indices, and this may be due to the presence of secondary metabolites that helped to inhibit plasmodial activity in the mice, and ameliorated these indices. The presence of alkaloids and </w:t>
      </w:r>
      <w:r w:rsidR="00436576">
        <w:rPr>
          <w:rFonts w:ascii="Times New Roman" w:hAnsi="Times New Roman" w:cs="Times New Roman"/>
          <w:bCs/>
          <w:sz w:val="24"/>
          <w:szCs w:val="24"/>
        </w:rPr>
        <w:t xml:space="preserve">terpenoids as secondary metabolites in plant extracts have been correlated linked with their antimalarial activities in several </w:t>
      </w:r>
      <w:r w:rsidR="00436576" w:rsidRPr="001E79EC">
        <w:rPr>
          <w:rFonts w:ascii="Times New Roman" w:hAnsi="Times New Roman" w:cs="Times New Roman"/>
          <w:bCs/>
          <w:i/>
          <w:iCs/>
          <w:sz w:val="24"/>
          <w:szCs w:val="24"/>
        </w:rPr>
        <w:t>in vitro</w:t>
      </w:r>
      <w:r w:rsidR="00436576">
        <w:rPr>
          <w:rFonts w:ascii="Times New Roman" w:hAnsi="Times New Roman" w:cs="Times New Roman"/>
          <w:bCs/>
          <w:sz w:val="24"/>
          <w:szCs w:val="24"/>
        </w:rPr>
        <w:t xml:space="preserve"> and </w:t>
      </w:r>
      <w:r w:rsidR="00436576" w:rsidRPr="001E79EC">
        <w:rPr>
          <w:rFonts w:ascii="Times New Roman" w:hAnsi="Times New Roman" w:cs="Times New Roman"/>
          <w:bCs/>
          <w:i/>
          <w:iCs/>
          <w:sz w:val="24"/>
          <w:szCs w:val="24"/>
        </w:rPr>
        <w:t>in vivo</w:t>
      </w:r>
      <w:r w:rsidR="00436576">
        <w:rPr>
          <w:rFonts w:ascii="Times New Roman" w:hAnsi="Times New Roman" w:cs="Times New Roman"/>
          <w:bCs/>
          <w:sz w:val="24"/>
          <w:szCs w:val="24"/>
        </w:rPr>
        <w:t xml:space="preserve"> studies, and their mechanisms of action reported (Taek </w:t>
      </w:r>
      <w:r w:rsidR="00436576" w:rsidRPr="00436576">
        <w:rPr>
          <w:rFonts w:ascii="Times New Roman" w:hAnsi="Times New Roman" w:cs="Times New Roman"/>
          <w:bCs/>
          <w:i/>
          <w:iCs/>
          <w:sz w:val="24"/>
          <w:szCs w:val="24"/>
        </w:rPr>
        <w:t>et al.,</w:t>
      </w:r>
      <w:r w:rsidR="00436576">
        <w:rPr>
          <w:rFonts w:ascii="Times New Roman" w:hAnsi="Times New Roman" w:cs="Times New Roman"/>
          <w:bCs/>
          <w:sz w:val="24"/>
          <w:szCs w:val="24"/>
        </w:rPr>
        <w:t xml:space="preserve"> 2021). Some of such mechanisms include the inhibition of heme polymerase, and the disruption of plasmodial cell membranes</w:t>
      </w:r>
      <w:r w:rsidR="001E79EC">
        <w:rPr>
          <w:rFonts w:ascii="Times New Roman" w:hAnsi="Times New Roman" w:cs="Times New Roman"/>
          <w:bCs/>
          <w:sz w:val="24"/>
          <w:szCs w:val="24"/>
        </w:rPr>
        <w:t xml:space="preserve"> </w:t>
      </w:r>
      <w:r w:rsidR="00436576">
        <w:rPr>
          <w:rFonts w:ascii="Times New Roman" w:hAnsi="Times New Roman" w:cs="Times New Roman"/>
          <w:bCs/>
          <w:sz w:val="24"/>
          <w:szCs w:val="24"/>
        </w:rPr>
        <w:t xml:space="preserve">(Taek </w:t>
      </w:r>
      <w:r w:rsidR="00436576" w:rsidRPr="00436576">
        <w:rPr>
          <w:rFonts w:ascii="Times New Roman" w:hAnsi="Times New Roman" w:cs="Times New Roman"/>
          <w:bCs/>
          <w:i/>
          <w:iCs/>
          <w:sz w:val="24"/>
          <w:szCs w:val="24"/>
        </w:rPr>
        <w:t>et al.,</w:t>
      </w:r>
      <w:r w:rsidR="00436576">
        <w:rPr>
          <w:rFonts w:ascii="Times New Roman" w:hAnsi="Times New Roman" w:cs="Times New Roman"/>
          <w:bCs/>
          <w:sz w:val="24"/>
          <w:szCs w:val="24"/>
        </w:rPr>
        <w:t xml:space="preserve"> 2021, Olusola </w:t>
      </w:r>
      <w:r w:rsidR="00436576" w:rsidRPr="00436576">
        <w:rPr>
          <w:rFonts w:ascii="Times New Roman" w:hAnsi="Times New Roman" w:cs="Times New Roman"/>
          <w:bCs/>
          <w:i/>
          <w:iCs/>
          <w:sz w:val="24"/>
          <w:szCs w:val="24"/>
        </w:rPr>
        <w:t>et al.,</w:t>
      </w:r>
      <w:r w:rsidR="00436576">
        <w:rPr>
          <w:rFonts w:ascii="Times New Roman" w:hAnsi="Times New Roman" w:cs="Times New Roman"/>
          <w:bCs/>
          <w:sz w:val="24"/>
          <w:szCs w:val="24"/>
        </w:rPr>
        <w:t xml:space="preserve"> 2024). Treatment of mice with </w:t>
      </w:r>
      <w:r w:rsidR="00422811">
        <w:rPr>
          <w:rFonts w:ascii="Times New Roman" w:hAnsi="Times New Roman" w:cs="Times New Roman"/>
          <w:bCs/>
          <w:sz w:val="24"/>
          <w:szCs w:val="24"/>
        </w:rPr>
        <w:t xml:space="preserve">varying doses of the alternating magnetic field, showed improved hematological indices in a dose dependent manner, such that the group that received an intensity of 20mT had better hematologic results. This group fared even better than the group that </w:t>
      </w:r>
      <w:r w:rsidR="00C903B7">
        <w:rPr>
          <w:rFonts w:ascii="Times New Roman" w:hAnsi="Times New Roman" w:cs="Times New Roman"/>
          <w:bCs/>
          <w:sz w:val="24"/>
          <w:szCs w:val="24"/>
        </w:rPr>
        <w:t xml:space="preserve">received </w:t>
      </w:r>
      <w:r w:rsidR="00C903B7" w:rsidRPr="00CF38F6">
        <w:rPr>
          <w:rFonts w:ascii="Times New Roman" w:hAnsi="Times New Roman" w:cs="Times New Roman"/>
          <w:bCs/>
          <w:i/>
          <w:iCs/>
          <w:sz w:val="24"/>
          <w:szCs w:val="24"/>
        </w:rPr>
        <w:t>T.</w:t>
      </w:r>
      <w:r w:rsidR="00422811" w:rsidRPr="00CF38F6">
        <w:rPr>
          <w:rFonts w:ascii="Times New Roman" w:hAnsi="Times New Roman" w:cs="Times New Roman"/>
          <w:bCs/>
          <w:i/>
          <w:iCs/>
          <w:sz w:val="24"/>
          <w:szCs w:val="24"/>
        </w:rPr>
        <w:t xml:space="preserve"> </w:t>
      </w:r>
      <w:proofErr w:type="spellStart"/>
      <w:r w:rsidR="00422811" w:rsidRPr="00CF38F6">
        <w:rPr>
          <w:rFonts w:ascii="Times New Roman" w:hAnsi="Times New Roman" w:cs="Times New Roman"/>
          <w:bCs/>
          <w:i/>
          <w:iCs/>
          <w:sz w:val="24"/>
          <w:szCs w:val="24"/>
        </w:rPr>
        <w:t>diversifolia</w:t>
      </w:r>
      <w:proofErr w:type="spellEnd"/>
      <w:r w:rsidR="00422811">
        <w:rPr>
          <w:rFonts w:ascii="Times New Roman" w:hAnsi="Times New Roman" w:cs="Times New Roman"/>
          <w:bCs/>
          <w:sz w:val="24"/>
          <w:szCs w:val="24"/>
        </w:rPr>
        <w:t xml:space="preserve"> </w:t>
      </w:r>
      <w:r w:rsidR="00CF38F6">
        <w:rPr>
          <w:rFonts w:ascii="Times New Roman" w:hAnsi="Times New Roman" w:cs="Times New Roman"/>
          <w:bCs/>
          <w:sz w:val="24"/>
          <w:szCs w:val="24"/>
        </w:rPr>
        <w:t>extract</w:t>
      </w:r>
      <w:r w:rsidR="00422811">
        <w:rPr>
          <w:rFonts w:ascii="Times New Roman" w:hAnsi="Times New Roman" w:cs="Times New Roman"/>
          <w:bCs/>
          <w:sz w:val="24"/>
          <w:szCs w:val="24"/>
        </w:rPr>
        <w:t xml:space="preserve">, when </w:t>
      </w:r>
      <w:r w:rsidR="004F76D8">
        <w:rPr>
          <w:rFonts w:ascii="Times New Roman" w:hAnsi="Times New Roman" w:cs="Times New Roman"/>
          <w:bCs/>
          <w:sz w:val="24"/>
          <w:szCs w:val="24"/>
        </w:rPr>
        <w:t>white blood cell indices and erythrocyte measurements are compared. This is as a result of differing mechanisms of antimalarial activities of the extract and the alternating magnetic field, AMF. AMFs have been known in recent times to elicit anti</w:t>
      </w:r>
      <w:r w:rsidR="00C903B7">
        <w:rPr>
          <w:rFonts w:ascii="Times New Roman" w:hAnsi="Times New Roman" w:cs="Times New Roman"/>
          <w:bCs/>
          <w:sz w:val="24"/>
          <w:szCs w:val="24"/>
        </w:rPr>
        <w:t>-</w:t>
      </w:r>
      <w:r w:rsidR="004F76D8">
        <w:rPr>
          <w:rFonts w:ascii="Times New Roman" w:hAnsi="Times New Roman" w:cs="Times New Roman"/>
          <w:bCs/>
          <w:sz w:val="24"/>
          <w:szCs w:val="24"/>
        </w:rPr>
        <w:t>plasmodial potentials by means of leveraging on the paramagnetic properties of the hemozoin crystals synthesized by the malarial parasite</w:t>
      </w:r>
      <w:r w:rsidR="00C903B7">
        <w:rPr>
          <w:rFonts w:ascii="Times New Roman" w:hAnsi="Times New Roman" w:cs="Times New Roman"/>
          <w:bCs/>
          <w:sz w:val="24"/>
          <w:szCs w:val="24"/>
        </w:rPr>
        <w:t xml:space="preserve"> (Singh </w:t>
      </w:r>
      <w:r w:rsidR="00C903B7" w:rsidRPr="00C903B7">
        <w:rPr>
          <w:rFonts w:ascii="Times New Roman" w:hAnsi="Times New Roman" w:cs="Times New Roman"/>
          <w:bCs/>
          <w:i/>
          <w:iCs/>
          <w:sz w:val="24"/>
          <w:szCs w:val="24"/>
        </w:rPr>
        <w:t>et al.,</w:t>
      </w:r>
      <w:r w:rsidR="00C903B7">
        <w:rPr>
          <w:rFonts w:ascii="Times New Roman" w:hAnsi="Times New Roman" w:cs="Times New Roman"/>
          <w:bCs/>
          <w:sz w:val="24"/>
          <w:szCs w:val="24"/>
        </w:rPr>
        <w:t xml:space="preserve"> 2018; Khan </w:t>
      </w:r>
      <w:r w:rsidR="00C903B7" w:rsidRPr="00C903B7">
        <w:rPr>
          <w:rFonts w:ascii="Times New Roman" w:hAnsi="Times New Roman" w:cs="Times New Roman"/>
          <w:bCs/>
          <w:i/>
          <w:iCs/>
          <w:sz w:val="24"/>
          <w:szCs w:val="24"/>
        </w:rPr>
        <w:t>et al.,</w:t>
      </w:r>
      <w:r w:rsidR="00C903B7">
        <w:rPr>
          <w:rFonts w:ascii="Times New Roman" w:hAnsi="Times New Roman" w:cs="Times New Roman"/>
          <w:bCs/>
          <w:sz w:val="24"/>
          <w:szCs w:val="24"/>
        </w:rPr>
        <w:t xml:space="preserve"> 2019)</w:t>
      </w:r>
      <w:r w:rsidR="004F76D8">
        <w:rPr>
          <w:rFonts w:ascii="Times New Roman" w:hAnsi="Times New Roman" w:cs="Times New Roman"/>
          <w:bCs/>
          <w:sz w:val="24"/>
          <w:szCs w:val="24"/>
        </w:rPr>
        <w:t xml:space="preserve">. The interaction between the applied magnetic field and hemozoin in the parasite may have contributed to the inhibition of plasmodial growth, and the improvement of hematological parameters as a whole in the mice. In addition, our study </w:t>
      </w:r>
      <w:r w:rsidR="003C31A3">
        <w:rPr>
          <w:rFonts w:ascii="Times New Roman" w:hAnsi="Times New Roman" w:cs="Times New Roman"/>
          <w:bCs/>
          <w:sz w:val="24"/>
          <w:szCs w:val="24"/>
        </w:rPr>
        <w:t>suggests</w:t>
      </w:r>
      <w:r w:rsidR="004F76D8">
        <w:rPr>
          <w:rFonts w:ascii="Times New Roman" w:hAnsi="Times New Roman" w:cs="Times New Roman"/>
          <w:bCs/>
          <w:sz w:val="24"/>
          <w:szCs w:val="24"/>
        </w:rPr>
        <w:t xml:space="preserve"> that increasing the magnetic field intensity may also give more improved outcomes. </w:t>
      </w:r>
    </w:p>
    <w:p w14:paraId="7B7AB862" w14:textId="0D3B8993" w:rsidR="00750B2E" w:rsidRPr="00750B2E" w:rsidRDefault="00C16370" w:rsidP="00B7643F">
      <w:pPr>
        <w:jc w:val="both"/>
        <w:rPr>
          <w:rFonts w:ascii="Times New Roman" w:hAnsi="Times New Roman" w:cs="Times New Roman"/>
          <w:bCs/>
          <w:sz w:val="24"/>
          <w:szCs w:val="24"/>
        </w:rPr>
      </w:pPr>
      <w:r w:rsidRPr="00C16370">
        <w:rPr>
          <w:rFonts w:ascii="Times New Roman" w:hAnsi="Times New Roman" w:cs="Times New Roman"/>
          <w:b/>
          <w:sz w:val="24"/>
          <w:szCs w:val="24"/>
        </w:rPr>
        <w:lastRenderedPageBreak/>
        <w:t>Table 1.</w:t>
      </w:r>
      <w:r>
        <w:rPr>
          <w:rFonts w:ascii="Times New Roman" w:hAnsi="Times New Roman" w:cs="Times New Roman"/>
          <w:bCs/>
          <w:sz w:val="24"/>
          <w:szCs w:val="24"/>
        </w:rPr>
        <w:t xml:space="preserve"> </w:t>
      </w:r>
      <w:r w:rsidRPr="00C16370">
        <w:rPr>
          <w:rFonts w:ascii="Times New Roman" w:hAnsi="Times New Roman" w:cs="Times New Roman"/>
          <w:b/>
          <w:sz w:val="24"/>
          <w:szCs w:val="24"/>
        </w:rPr>
        <w:t>Effect of</w:t>
      </w:r>
      <w:r>
        <w:rPr>
          <w:rFonts w:ascii="Times New Roman" w:hAnsi="Times New Roman" w:cs="Times New Roman"/>
          <w:b/>
          <w:sz w:val="24"/>
          <w:szCs w:val="24"/>
        </w:rPr>
        <w:t xml:space="preserve"> Treatments on Selected Hematological Parameters of Mice Infected with </w:t>
      </w:r>
      <w:r>
        <w:rPr>
          <w:rFonts w:ascii="Times New Roman" w:hAnsi="Times New Roman" w:cs="Times New Roman"/>
          <w:b/>
          <w:i/>
          <w:iCs/>
          <w:sz w:val="24"/>
          <w:szCs w:val="24"/>
        </w:rPr>
        <w:t>P</w:t>
      </w:r>
      <w:r w:rsidRPr="004C30A8">
        <w:rPr>
          <w:rFonts w:ascii="Times New Roman" w:hAnsi="Times New Roman" w:cs="Times New Roman"/>
          <w:b/>
          <w:i/>
          <w:iCs/>
          <w:sz w:val="24"/>
          <w:szCs w:val="24"/>
        </w:rPr>
        <w:t xml:space="preserve">lasmodium </w:t>
      </w:r>
      <w:proofErr w:type="spellStart"/>
      <w:r w:rsidRPr="004C30A8">
        <w:rPr>
          <w:rFonts w:ascii="Times New Roman" w:hAnsi="Times New Roman" w:cs="Times New Roman"/>
          <w:b/>
          <w:i/>
          <w:iCs/>
          <w:sz w:val="24"/>
          <w:szCs w:val="24"/>
        </w:rPr>
        <w:t>berghei</w:t>
      </w:r>
      <w:proofErr w:type="spellEnd"/>
      <w:r w:rsidRPr="004C30A8">
        <w:rPr>
          <w:rFonts w:ascii="Times New Roman" w:hAnsi="Times New Roman" w:cs="Times New Roman"/>
          <w:b/>
          <w:i/>
          <w:iCs/>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 </w:t>
      </w:r>
    </w:p>
    <w:tbl>
      <w:tblPr>
        <w:tblStyle w:val="TableGrid"/>
        <w:tblW w:w="0" w:type="auto"/>
        <w:tblLook w:val="04A0" w:firstRow="1" w:lastRow="0" w:firstColumn="1" w:lastColumn="0" w:noHBand="0" w:noVBand="1"/>
      </w:tblPr>
      <w:tblGrid>
        <w:gridCol w:w="713"/>
        <w:gridCol w:w="940"/>
        <w:gridCol w:w="1164"/>
        <w:gridCol w:w="886"/>
        <w:gridCol w:w="940"/>
        <w:gridCol w:w="1188"/>
        <w:gridCol w:w="1063"/>
        <w:gridCol w:w="1108"/>
        <w:gridCol w:w="1348"/>
      </w:tblGrid>
      <w:tr w:rsidR="00D01EE8" w:rsidRPr="000343B2" w14:paraId="1FEEDC7F" w14:textId="65430F29" w:rsidTr="00750B2E">
        <w:tc>
          <w:tcPr>
            <w:tcW w:w="710" w:type="dxa"/>
          </w:tcPr>
          <w:p w14:paraId="05F7C7AE" w14:textId="77777777" w:rsidR="00763147" w:rsidRPr="00D01EE8" w:rsidRDefault="00763147" w:rsidP="00B7643F">
            <w:pPr>
              <w:jc w:val="both"/>
              <w:rPr>
                <w:rFonts w:ascii="Times New Roman" w:hAnsi="Times New Roman" w:cs="Times New Roman"/>
                <w:bCs/>
                <w:sz w:val="20"/>
                <w:szCs w:val="20"/>
              </w:rPr>
            </w:pPr>
          </w:p>
        </w:tc>
        <w:tc>
          <w:tcPr>
            <w:tcW w:w="975" w:type="dxa"/>
          </w:tcPr>
          <w:p w14:paraId="583353AE" w14:textId="77777777" w:rsidR="00D01EE8" w:rsidRPr="00D01EE8" w:rsidRDefault="00763147" w:rsidP="00B7643F">
            <w:pPr>
              <w:jc w:val="both"/>
              <w:rPr>
                <w:rFonts w:ascii="Times New Roman" w:hAnsi="Times New Roman" w:cs="Times New Roman"/>
                <w:b/>
                <w:sz w:val="20"/>
                <w:szCs w:val="20"/>
              </w:rPr>
            </w:pPr>
            <w:r w:rsidRPr="00D01EE8">
              <w:rPr>
                <w:rFonts w:ascii="Times New Roman" w:hAnsi="Times New Roman" w:cs="Times New Roman"/>
                <w:b/>
                <w:sz w:val="20"/>
                <w:szCs w:val="20"/>
              </w:rPr>
              <w:t>W</w:t>
            </w:r>
            <w:r w:rsidR="00D01EE8" w:rsidRPr="00D01EE8">
              <w:rPr>
                <w:rFonts w:ascii="Times New Roman" w:hAnsi="Times New Roman" w:cs="Times New Roman"/>
                <w:b/>
                <w:sz w:val="20"/>
                <w:szCs w:val="20"/>
              </w:rPr>
              <w:t>hite</w:t>
            </w:r>
          </w:p>
          <w:p w14:paraId="0DB410B7" w14:textId="462DC7F6" w:rsidR="00763147" w:rsidRPr="00D01EE8" w:rsidRDefault="00763147" w:rsidP="00B7643F">
            <w:pPr>
              <w:jc w:val="both"/>
              <w:rPr>
                <w:rFonts w:ascii="Times New Roman" w:hAnsi="Times New Roman" w:cs="Times New Roman"/>
                <w:b/>
                <w:sz w:val="20"/>
                <w:szCs w:val="20"/>
              </w:rPr>
            </w:pPr>
            <w:r w:rsidRPr="00D01EE8">
              <w:rPr>
                <w:rFonts w:ascii="Times New Roman" w:hAnsi="Times New Roman" w:cs="Times New Roman"/>
                <w:b/>
                <w:sz w:val="20"/>
                <w:szCs w:val="20"/>
              </w:rPr>
              <w:t>B</w:t>
            </w:r>
            <w:r w:rsidR="00D01EE8" w:rsidRPr="00D01EE8">
              <w:rPr>
                <w:rFonts w:ascii="Times New Roman" w:hAnsi="Times New Roman" w:cs="Times New Roman"/>
                <w:b/>
                <w:sz w:val="20"/>
                <w:szCs w:val="20"/>
              </w:rPr>
              <w:t>lood</w:t>
            </w:r>
            <w:r w:rsidR="004604AB">
              <w:rPr>
                <w:rFonts w:ascii="Times New Roman" w:hAnsi="Times New Roman" w:cs="Times New Roman"/>
                <w:b/>
                <w:sz w:val="20"/>
                <w:szCs w:val="20"/>
              </w:rPr>
              <w:t xml:space="preserve"> </w:t>
            </w:r>
            <w:r w:rsidRPr="00D01EE8">
              <w:rPr>
                <w:rFonts w:ascii="Times New Roman" w:hAnsi="Times New Roman" w:cs="Times New Roman"/>
                <w:b/>
                <w:sz w:val="20"/>
                <w:szCs w:val="20"/>
              </w:rPr>
              <w:t>C</w:t>
            </w:r>
            <w:r w:rsidR="00D01EE8" w:rsidRPr="00D01EE8">
              <w:rPr>
                <w:rFonts w:ascii="Times New Roman" w:hAnsi="Times New Roman" w:cs="Times New Roman"/>
                <w:b/>
                <w:sz w:val="20"/>
                <w:szCs w:val="20"/>
              </w:rPr>
              <w:t>ells</w:t>
            </w:r>
            <w:r w:rsidR="00344FF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(10</w:t>
            </w:r>
            <w:r w:rsidRPr="00D01EE8">
              <w:rPr>
                <w:rFonts w:ascii="Times New Roman" w:hAnsi="Times New Roman" w:cs="Times New Roman"/>
                <w:b/>
                <w:sz w:val="20"/>
                <w:szCs w:val="20"/>
                <w:vertAlign w:val="superscript"/>
              </w:rPr>
              <w:t>9</w:t>
            </w:r>
            <w:r w:rsidRPr="00D01EE8">
              <w:rPr>
                <w:rFonts w:ascii="Times New Roman" w:hAnsi="Times New Roman" w:cs="Times New Roman"/>
                <w:b/>
                <w:sz w:val="20"/>
                <w:szCs w:val="20"/>
              </w:rPr>
              <w:t>/L)</w:t>
            </w:r>
          </w:p>
        </w:tc>
        <w:tc>
          <w:tcPr>
            <w:tcW w:w="1158" w:type="dxa"/>
          </w:tcPr>
          <w:p w14:paraId="13091068" w14:textId="4D47128A" w:rsidR="000343B2" w:rsidRPr="00D01EE8" w:rsidRDefault="00763147" w:rsidP="00B7643F">
            <w:pPr>
              <w:jc w:val="both"/>
              <w:rPr>
                <w:rFonts w:ascii="Times New Roman" w:hAnsi="Times New Roman" w:cs="Times New Roman"/>
                <w:b/>
                <w:sz w:val="20"/>
                <w:szCs w:val="20"/>
              </w:rPr>
            </w:pPr>
            <w:r w:rsidRPr="00D01EE8">
              <w:rPr>
                <w:rFonts w:ascii="Times New Roman" w:hAnsi="Times New Roman" w:cs="Times New Roman"/>
                <w:b/>
                <w:sz w:val="20"/>
                <w:szCs w:val="20"/>
              </w:rPr>
              <w:t>Lym</w:t>
            </w:r>
            <w:r w:rsidR="00D01EE8" w:rsidRPr="00D01EE8">
              <w:rPr>
                <w:rFonts w:ascii="Times New Roman" w:hAnsi="Times New Roman" w:cs="Times New Roman"/>
                <w:b/>
                <w:sz w:val="20"/>
                <w:szCs w:val="20"/>
              </w:rPr>
              <w:t>phocytes</w:t>
            </w:r>
          </w:p>
          <w:p w14:paraId="4FF2004A" w14:textId="0B2E874B" w:rsidR="00763147" w:rsidRPr="00D01EE8" w:rsidRDefault="00344FF8" w:rsidP="00B7643F">
            <w:pPr>
              <w:jc w:val="both"/>
              <w:rPr>
                <w:rFonts w:ascii="Times New Roman" w:hAnsi="Times New Roman" w:cs="Times New Roman"/>
                <w:b/>
                <w:sz w:val="20"/>
                <w:szCs w:val="20"/>
              </w:rPr>
            </w:pPr>
            <w:r w:rsidRPr="00D01EE8">
              <w:rPr>
                <w:rFonts w:ascii="Times New Roman" w:hAnsi="Times New Roman" w:cs="Times New Roman"/>
                <w:b/>
                <w:sz w:val="20"/>
                <w:szCs w:val="20"/>
              </w:rPr>
              <w:t xml:space="preserve"> </w:t>
            </w:r>
            <w:r w:rsidR="00763147" w:rsidRPr="00D01EE8">
              <w:rPr>
                <w:rFonts w:ascii="Times New Roman" w:hAnsi="Times New Roman" w:cs="Times New Roman"/>
                <w:b/>
                <w:sz w:val="20"/>
                <w:szCs w:val="20"/>
              </w:rPr>
              <w:t>(10</w:t>
            </w:r>
            <w:r w:rsidR="00763147" w:rsidRPr="00D01EE8">
              <w:rPr>
                <w:rFonts w:ascii="Times New Roman" w:hAnsi="Times New Roman" w:cs="Times New Roman"/>
                <w:b/>
                <w:sz w:val="20"/>
                <w:szCs w:val="20"/>
                <w:vertAlign w:val="superscript"/>
              </w:rPr>
              <w:t>9</w:t>
            </w:r>
            <w:r w:rsidR="00763147" w:rsidRPr="00D01EE8">
              <w:rPr>
                <w:rFonts w:ascii="Times New Roman" w:hAnsi="Times New Roman" w:cs="Times New Roman"/>
                <w:b/>
                <w:sz w:val="20"/>
                <w:szCs w:val="20"/>
              </w:rPr>
              <w:t>/L)</w:t>
            </w:r>
          </w:p>
        </w:tc>
        <w:tc>
          <w:tcPr>
            <w:tcW w:w="882" w:type="dxa"/>
          </w:tcPr>
          <w:p w14:paraId="1201FF7C" w14:textId="71DB497C" w:rsidR="00763147" w:rsidRPr="00D01EE8" w:rsidRDefault="00763147" w:rsidP="00B7643F">
            <w:pPr>
              <w:jc w:val="both"/>
              <w:rPr>
                <w:rFonts w:ascii="Times New Roman" w:hAnsi="Times New Roman" w:cs="Times New Roman"/>
                <w:b/>
                <w:sz w:val="20"/>
                <w:szCs w:val="20"/>
              </w:rPr>
            </w:pPr>
            <w:proofErr w:type="spellStart"/>
            <w:r w:rsidRPr="00D01EE8">
              <w:rPr>
                <w:rFonts w:ascii="Times New Roman" w:hAnsi="Times New Roman" w:cs="Times New Roman"/>
                <w:b/>
                <w:sz w:val="20"/>
                <w:szCs w:val="20"/>
              </w:rPr>
              <w:t>Gra</w:t>
            </w:r>
            <w:proofErr w:type="spellEnd"/>
            <w:r w:rsidR="00344FF8" w:rsidRPr="00D01EE8">
              <w:rPr>
                <w:rFonts w:ascii="Times New Roman" w:hAnsi="Times New Roman" w:cs="Times New Roman"/>
                <w:b/>
                <w:sz w:val="20"/>
                <w:szCs w:val="20"/>
              </w:rPr>
              <w:t xml:space="preserve"> </w:t>
            </w:r>
            <w:proofErr w:type="spellStart"/>
            <w:r w:rsidR="00D01EE8" w:rsidRPr="00D01EE8">
              <w:rPr>
                <w:rFonts w:ascii="Times New Roman" w:hAnsi="Times New Roman" w:cs="Times New Roman"/>
                <w:b/>
                <w:sz w:val="20"/>
                <w:szCs w:val="20"/>
              </w:rPr>
              <w:t>nulocytes</w:t>
            </w:r>
            <w:proofErr w:type="spellEnd"/>
            <w:r w:rsidR="00D01EE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(10</w:t>
            </w:r>
            <w:r w:rsidRPr="00D01EE8">
              <w:rPr>
                <w:rFonts w:ascii="Times New Roman" w:hAnsi="Times New Roman" w:cs="Times New Roman"/>
                <w:b/>
                <w:sz w:val="20"/>
                <w:szCs w:val="20"/>
                <w:vertAlign w:val="superscript"/>
              </w:rPr>
              <w:t>9</w:t>
            </w:r>
            <w:r w:rsidRPr="00D01EE8">
              <w:rPr>
                <w:rFonts w:ascii="Times New Roman" w:hAnsi="Times New Roman" w:cs="Times New Roman"/>
                <w:b/>
                <w:sz w:val="20"/>
                <w:szCs w:val="20"/>
              </w:rPr>
              <w:t>/L)</w:t>
            </w:r>
          </w:p>
        </w:tc>
        <w:tc>
          <w:tcPr>
            <w:tcW w:w="936" w:type="dxa"/>
          </w:tcPr>
          <w:p w14:paraId="71B30166" w14:textId="33C5C281" w:rsidR="00763147" w:rsidRPr="00D01EE8" w:rsidRDefault="00763147" w:rsidP="00B7643F">
            <w:pPr>
              <w:jc w:val="both"/>
              <w:rPr>
                <w:rFonts w:ascii="Times New Roman" w:hAnsi="Times New Roman" w:cs="Times New Roman"/>
                <w:b/>
                <w:sz w:val="20"/>
                <w:szCs w:val="20"/>
              </w:rPr>
            </w:pPr>
            <w:r w:rsidRPr="00D01EE8">
              <w:rPr>
                <w:rFonts w:ascii="Times New Roman" w:hAnsi="Times New Roman" w:cs="Times New Roman"/>
                <w:b/>
                <w:sz w:val="20"/>
                <w:szCs w:val="20"/>
              </w:rPr>
              <w:t>RBC</w:t>
            </w:r>
            <w:r w:rsidR="00344FF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(10</w:t>
            </w:r>
            <w:r w:rsidRPr="00D01EE8">
              <w:rPr>
                <w:rFonts w:ascii="Times New Roman" w:hAnsi="Times New Roman" w:cs="Times New Roman"/>
                <w:b/>
                <w:sz w:val="20"/>
                <w:szCs w:val="20"/>
                <w:vertAlign w:val="superscript"/>
              </w:rPr>
              <w:t>12</w:t>
            </w:r>
            <w:r w:rsidRPr="00D01EE8">
              <w:rPr>
                <w:rFonts w:ascii="Times New Roman" w:hAnsi="Times New Roman" w:cs="Times New Roman"/>
                <w:b/>
                <w:sz w:val="20"/>
                <w:szCs w:val="20"/>
              </w:rPr>
              <w:t>/L)</w:t>
            </w:r>
          </w:p>
        </w:tc>
        <w:tc>
          <w:tcPr>
            <w:tcW w:w="1182" w:type="dxa"/>
          </w:tcPr>
          <w:p w14:paraId="7B499F96" w14:textId="011DBC8B" w:rsidR="00763147" w:rsidRPr="00D01EE8" w:rsidRDefault="00763147" w:rsidP="00B7643F">
            <w:pPr>
              <w:jc w:val="both"/>
              <w:rPr>
                <w:rFonts w:ascii="Times New Roman" w:hAnsi="Times New Roman" w:cs="Times New Roman"/>
                <w:b/>
                <w:sz w:val="20"/>
                <w:szCs w:val="20"/>
              </w:rPr>
            </w:pPr>
            <w:r w:rsidRPr="00D01EE8">
              <w:rPr>
                <w:rFonts w:ascii="Times New Roman" w:hAnsi="Times New Roman" w:cs="Times New Roman"/>
                <w:b/>
                <w:sz w:val="20"/>
                <w:szCs w:val="20"/>
              </w:rPr>
              <w:t>H</w:t>
            </w:r>
            <w:r w:rsidR="00D01EE8" w:rsidRPr="00D01EE8">
              <w:rPr>
                <w:rFonts w:ascii="Times New Roman" w:hAnsi="Times New Roman" w:cs="Times New Roman"/>
                <w:b/>
                <w:sz w:val="20"/>
                <w:szCs w:val="20"/>
              </w:rPr>
              <w:t>emoglobin</w:t>
            </w:r>
            <w:r w:rsidR="00344FF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(g/L)</w:t>
            </w:r>
          </w:p>
        </w:tc>
        <w:tc>
          <w:tcPr>
            <w:tcW w:w="1057" w:type="dxa"/>
          </w:tcPr>
          <w:p w14:paraId="527C2F4F" w14:textId="14C61099" w:rsidR="00763147" w:rsidRPr="00D01EE8" w:rsidRDefault="00763147" w:rsidP="00B7643F">
            <w:pPr>
              <w:jc w:val="both"/>
              <w:rPr>
                <w:rFonts w:ascii="Times New Roman" w:hAnsi="Times New Roman" w:cs="Times New Roman"/>
                <w:b/>
                <w:sz w:val="20"/>
                <w:szCs w:val="20"/>
              </w:rPr>
            </w:pPr>
            <w:r w:rsidRPr="00D01EE8">
              <w:rPr>
                <w:rFonts w:ascii="Times New Roman" w:hAnsi="Times New Roman" w:cs="Times New Roman"/>
                <w:b/>
                <w:sz w:val="20"/>
                <w:szCs w:val="20"/>
              </w:rPr>
              <w:t>M</w:t>
            </w:r>
            <w:r w:rsidR="00D01EE8" w:rsidRPr="00D01EE8">
              <w:rPr>
                <w:rFonts w:ascii="Times New Roman" w:hAnsi="Times New Roman" w:cs="Times New Roman"/>
                <w:b/>
                <w:sz w:val="20"/>
                <w:szCs w:val="20"/>
              </w:rPr>
              <w:t>ean corpuscular hemoglobin</w:t>
            </w:r>
            <w:r w:rsidR="00344FF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w:t>
            </w:r>
            <w:proofErr w:type="spellStart"/>
            <w:r w:rsidRPr="00D01EE8">
              <w:rPr>
                <w:rFonts w:ascii="Times New Roman" w:hAnsi="Times New Roman" w:cs="Times New Roman"/>
                <w:b/>
                <w:sz w:val="20"/>
                <w:szCs w:val="20"/>
              </w:rPr>
              <w:t>pg</w:t>
            </w:r>
            <w:proofErr w:type="spellEnd"/>
            <w:r w:rsidRPr="00D01EE8">
              <w:rPr>
                <w:rFonts w:ascii="Times New Roman" w:hAnsi="Times New Roman" w:cs="Times New Roman"/>
                <w:b/>
                <w:sz w:val="20"/>
                <w:szCs w:val="20"/>
              </w:rPr>
              <w:t>)</w:t>
            </w:r>
          </w:p>
        </w:tc>
        <w:tc>
          <w:tcPr>
            <w:tcW w:w="1103" w:type="dxa"/>
          </w:tcPr>
          <w:p w14:paraId="012FC03F" w14:textId="6DEF4BF6" w:rsidR="00763147" w:rsidRPr="00D01EE8" w:rsidRDefault="00763147" w:rsidP="00B7643F">
            <w:pPr>
              <w:jc w:val="both"/>
              <w:rPr>
                <w:rFonts w:ascii="Times New Roman" w:hAnsi="Times New Roman" w:cs="Times New Roman"/>
                <w:b/>
                <w:sz w:val="20"/>
                <w:szCs w:val="20"/>
              </w:rPr>
            </w:pPr>
            <w:proofErr w:type="spellStart"/>
            <w:r w:rsidRPr="00D01EE8">
              <w:rPr>
                <w:rFonts w:ascii="Times New Roman" w:hAnsi="Times New Roman" w:cs="Times New Roman"/>
                <w:b/>
                <w:sz w:val="20"/>
                <w:szCs w:val="20"/>
              </w:rPr>
              <w:t>H</w:t>
            </w:r>
            <w:r w:rsidR="00D01EE8" w:rsidRPr="00D01EE8">
              <w:rPr>
                <w:rFonts w:ascii="Times New Roman" w:hAnsi="Times New Roman" w:cs="Times New Roman"/>
                <w:b/>
                <w:sz w:val="20"/>
                <w:szCs w:val="20"/>
              </w:rPr>
              <w:t>aematocrit</w:t>
            </w:r>
            <w:proofErr w:type="spellEnd"/>
            <w:r w:rsidR="00344FF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w:t>
            </w:r>
          </w:p>
        </w:tc>
        <w:tc>
          <w:tcPr>
            <w:tcW w:w="1347" w:type="dxa"/>
          </w:tcPr>
          <w:p w14:paraId="58A974A8" w14:textId="795CC167" w:rsidR="00763147" w:rsidRPr="00D01EE8" w:rsidRDefault="00763147" w:rsidP="00B7643F">
            <w:pPr>
              <w:jc w:val="both"/>
              <w:rPr>
                <w:rFonts w:ascii="Times New Roman" w:hAnsi="Times New Roman" w:cs="Times New Roman"/>
                <w:b/>
                <w:sz w:val="20"/>
                <w:szCs w:val="20"/>
              </w:rPr>
            </w:pPr>
            <w:proofErr w:type="gramStart"/>
            <w:r w:rsidRPr="00D01EE8">
              <w:rPr>
                <w:rFonts w:ascii="Times New Roman" w:hAnsi="Times New Roman" w:cs="Times New Roman"/>
                <w:b/>
                <w:sz w:val="20"/>
                <w:szCs w:val="20"/>
              </w:rPr>
              <w:t>P</w:t>
            </w:r>
            <w:r w:rsidR="00D01EE8" w:rsidRPr="00D01EE8">
              <w:rPr>
                <w:rFonts w:ascii="Times New Roman" w:hAnsi="Times New Roman" w:cs="Times New Roman"/>
                <w:b/>
                <w:sz w:val="20"/>
                <w:szCs w:val="20"/>
              </w:rPr>
              <w:t>latelets</w:t>
            </w:r>
            <w:r w:rsidRPr="00D01EE8">
              <w:rPr>
                <w:rFonts w:ascii="Times New Roman" w:hAnsi="Times New Roman" w:cs="Times New Roman"/>
                <w:b/>
                <w:sz w:val="20"/>
                <w:szCs w:val="20"/>
              </w:rPr>
              <w:t xml:space="preserve"> </w:t>
            </w:r>
            <w:r w:rsidR="00344FF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w:t>
            </w:r>
            <w:proofErr w:type="gramEnd"/>
            <w:r w:rsidRPr="00D01EE8">
              <w:rPr>
                <w:rFonts w:ascii="Times New Roman" w:hAnsi="Times New Roman" w:cs="Times New Roman"/>
                <w:b/>
                <w:sz w:val="20"/>
                <w:szCs w:val="20"/>
              </w:rPr>
              <w:t>10</w:t>
            </w:r>
            <w:r w:rsidRPr="00D01EE8">
              <w:rPr>
                <w:rFonts w:ascii="Times New Roman" w:hAnsi="Times New Roman" w:cs="Times New Roman"/>
                <w:b/>
                <w:sz w:val="20"/>
                <w:szCs w:val="20"/>
                <w:vertAlign w:val="superscript"/>
              </w:rPr>
              <w:t>9</w:t>
            </w:r>
            <w:r w:rsidRPr="00D01EE8">
              <w:rPr>
                <w:rFonts w:ascii="Times New Roman" w:hAnsi="Times New Roman" w:cs="Times New Roman"/>
                <w:b/>
                <w:sz w:val="20"/>
                <w:szCs w:val="20"/>
              </w:rPr>
              <w:t>/L)</w:t>
            </w:r>
          </w:p>
        </w:tc>
      </w:tr>
      <w:tr w:rsidR="00750B2E" w:rsidRPr="000343B2" w14:paraId="190C8152" w14:textId="77ED25EC" w:rsidTr="00750B2E">
        <w:tc>
          <w:tcPr>
            <w:tcW w:w="710" w:type="dxa"/>
          </w:tcPr>
          <w:p w14:paraId="298DC30A" w14:textId="6669BD64" w:rsidR="00D01EE8" w:rsidRPr="00D01EE8" w:rsidRDefault="00D01EE8" w:rsidP="00D01EE8">
            <w:pPr>
              <w:jc w:val="both"/>
              <w:rPr>
                <w:rFonts w:ascii="Times New Roman" w:hAnsi="Times New Roman" w:cs="Times New Roman"/>
                <w:b/>
                <w:sz w:val="20"/>
                <w:szCs w:val="20"/>
              </w:rPr>
            </w:pPr>
            <w:r w:rsidRPr="00D01EE8">
              <w:rPr>
                <w:rFonts w:ascii="Times New Roman" w:hAnsi="Times New Roman" w:cs="Times New Roman"/>
                <w:b/>
                <w:sz w:val="20"/>
                <w:szCs w:val="20"/>
              </w:rPr>
              <w:t>IBNT</w:t>
            </w:r>
          </w:p>
        </w:tc>
        <w:tc>
          <w:tcPr>
            <w:tcW w:w="975" w:type="dxa"/>
          </w:tcPr>
          <w:p w14:paraId="3E801FE0" w14:textId="3E1580FC" w:rsidR="00D01EE8" w:rsidRPr="00D01EE8" w:rsidRDefault="00D01EE8" w:rsidP="00D01EE8">
            <w:pPr>
              <w:rPr>
                <w:rFonts w:ascii="Times New Roman" w:hAnsi="Times New Roman" w:cs="Times New Roman"/>
                <w:bCs/>
                <w:color w:val="000000"/>
                <w:sz w:val="20"/>
                <w:szCs w:val="20"/>
              </w:rPr>
            </w:pPr>
            <w:r w:rsidRPr="00D01EE8">
              <w:rPr>
                <w:rFonts w:ascii="Times New Roman" w:hAnsi="Times New Roman" w:cs="Times New Roman"/>
                <w:bCs/>
                <w:color w:val="000000"/>
                <w:sz w:val="20"/>
                <w:szCs w:val="20"/>
              </w:rPr>
              <w:t>9.96</w:t>
            </w:r>
            <w:r w:rsidRPr="00D01EE8">
              <w:rPr>
                <w:rFonts w:ascii="Times New Roman" w:hAnsi="Times New Roman" w:cs="Times New Roman"/>
                <w:bCs/>
                <w:sz w:val="20"/>
                <w:szCs w:val="20"/>
              </w:rPr>
              <w:t>±2.26</w:t>
            </w:r>
            <w:r w:rsidRPr="00D01EE8">
              <w:rPr>
                <w:rFonts w:ascii="Times New Roman" w:hAnsi="Times New Roman" w:cs="Times New Roman"/>
                <w:bCs/>
                <w:sz w:val="20"/>
                <w:szCs w:val="20"/>
                <w:vertAlign w:val="superscript"/>
              </w:rPr>
              <w:t>c</w:t>
            </w:r>
          </w:p>
        </w:tc>
        <w:tc>
          <w:tcPr>
            <w:tcW w:w="1158" w:type="dxa"/>
          </w:tcPr>
          <w:p w14:paraId="5453B046" w14:textId="75256AA9"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9.52±2.21</w:t>
            </w:r>
            <w:r w:rsidRPr="00D01EE8">
              <w:rPr>
                <w:rFonts w:ascii="Times New Roman" w:hAnsi="Times New Roman" w:cs="Times New Roman"/>
                <w:bCs/>
                <w:sz w:val="20"/>
                <w:szCs w:val="20"/>
                <w:vertAlign w:val="superscript"/>
              </w:rPr>
              <w:t>c</w:t>
            </w:r>
          </w:p>
        </w:tc>
        <w:tc>
          <w:tcPr>
            <w:tcW w:w="882" w:type="dxa"/>
          </w:tcPr>
          <w:p w14:paraId="299E5223" w14:textId="680E9AFC"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0.08±0.01</w:t>
            </w:r>
            <w:r w:rsidRPr="00D01EE8">
              <w:rPr>
                <w:rFonts w:ascii="Times New Roman" w:hAnsi="Times New Roman" w:cs="Times New Roman"/>
                <w:bCs/>
                <w:sz w:val="20"/>
                <w:szCs w:val="20"/>
                <w:vertAlign w:val="superscript"/>
              </w:rPr>
              <w:t xml:space="preserve"> a</w:t>
            </w:r>
          </w:p>
        </w:tc>
        <w:tc>
          <w:tcPr>
            <w:tcW w:w="936" w:type="dxa"/>
          </w:tcPr>
          <w:p w14:paraId="39C1C0FD" w14:textId="69FECE2B" w:rsidR="00D01EE8" w:rsidRPr="00D01EE8" w:rsidRDefault="00C06193" w:rsidP="00D01EE8">
            <w:pPr>
              <w:jc w:val="both"/>
              <w:rPr>
                <w:rFonts w:ascii="Times New Roman" w:hAnsi="Times New Roman" w:cs="Times New Roman"/>
                <w:bCs/>
                <w:sz w:val="20"/>
                <w:szCs w:val="20"/>
              </w:rPr>
            </w:pPr>
            <w:r>
              <w:rPr>
                <w:rFonts w:ascii="Times New Roman" w:hAnsi="Times New Roman" w:cs="Times New Roman"/>
                <w:bCs/>
                <w:sz w:val="20"/>
                <w:szCs w:val="20"/>
              </w:rPr>
              <w:t>2</w:t>
            </w:r>
            <w:r w:rsidR="00D01EE8" w:rsidRPr="00D01EE8">
              <w:rPr>
                <w:rFonts w:ascii="Times New Roman" w:hAnsi="Times New Roman" w:cs="Times New Roman"/>
                <w:bCs/>
                <w:sz w:val="20"/>
                <w:szCs w:val="20"/>
              </w:rPr>
              <w:t>.</w:t>
            </w:r>
            <w:r>
              <w:rPr>
                <w:rFonts w:ascii="Times New Roman" w:hAnsi="Times New Roman" w:cs="Times New Roman"/>
                <w:bCs/>
                <w:sz w:val="20"/>
                <w:szCs w:val="20"/>
              </w:rPr>
              <w:t>25</w:t>
            </w:r>
            <w:r w:rsidR="00D01EE8" w:rsidRPr="00D01EE8">
              <w:rPr>
                <w:rFonts w:ascii="Times New Roman" w:hAnsi="Times New Roman" w:cs="Times New Roman"/>
                <w:bCs/>
                <w:sz w:val="20"/>
                <w:szCs w:val="20"/>
              </w:rPr>
              <w:t>±0.03</w:t>
            </w:r>
            <w:r w:rsidR="001C5AF8" w:rsidRPr="001C5AF8">
              <w:rPr>
                <w:rFonts w:ascii="Times New Roman" w:hAnsi="Times New Roman" w:cs="Times New Roman"/>
                <w:bCs/>
                <w:sz w:val="20"/>
                <w:szCs w:val="20"/>
                <w:vertAlign w:val="superscript"/>
              </w:rPr>
              <w:t>b</w:t>
            </w:r>
          </w:p>
        </w:tc>
        <w:tc>
          <w:tcPr>
            <w:tcW w:w="1182" w:type="dxa"/>
          </w:tcPr>
          <w:p w14:paraId="59156D32" w14:textId="1B48A701" w:rsidR="00D01EE8" w:rsidRPr="00D01EE8" w:rsidRDefault="00C06193" w:rsidP="00D01EE8">
            <w:pPr>
              <w:jc w:val="both"/>
              <w:rPr>
                <w:rFonts w:ascii="Times New Roman" w:hAnsi="Times New Roman" w:cs="Times New Roman"/>
                <w:bCs/>
                <w:sz w:val="20"/>
                <w:szCs w:val="20"/>
              </w:rPr>
            </w:pPr>
            <w:r>
              <w:rPr>
                <w:rFonts w:ascii="Times New Roman" w:hAnsi="Times New Roman" w:cs="Times New Roman"/>
                <w:bCs/>
                <w:sz w:val="20"/>
                <w:szCs w:val="20"/>
              </w:rPr>
              <w:t>51</w:t>
            </w:r>
            <w:r w:rsidR="00D01EE8" w:rsidRPr="00D01EE8">
              <w:rPr>
                <w:rFonts w:ascii="Times New Roman" w:hAnsi="Times New Roman" w:cs="Times New Roman"/>
                <w:bCs/>
                <w:sz w:val="20"/>
                <w:szCs w:val="20"/>
              </w:rPr>
              <w:t>.</w:t>
            </w:r>
            <w:r>
              <w:rPr>
                <w:rFonts w:ascii="Times New Roman" w:hAnsi="Times New Roman" w:cs="Times New Roman"/>
                <w:bCs/>
                <w:sz w:val="20"/>
                <w:szCs w:val="20"/>
              </w:rPr>
              <w:t>55</w:t>
            </w:r>
            <w:r w:rsidR="00D01EE8" w:rsidRPr="00D01EE8">
              <w:rPr>
                <w:rFonts w:ascii="Times New Roman" w:hAnsi="Times New Roman" w:cs="Times New Roman"/>
                <w:bCs/>
                <w:sz w:val="20"/>
                <w:szCs w:val="20"/>
              </w:rPr>
              <w:t>±</w:t>
            </w:r>
            <w:r>
              <w:rPr>
                <w:rFonts w:ascii="Times New Roman" w:hAnsi="Times New Roman" w:cs="Times New Roman"/>
                <w:bCs/>
                <w:sz w:val="20"/>
                <w:szCs w:val="20"/>
              </w:rPr>
              <w:t>3</w:t>
            </w:r>
            <w:r w:rsidR="00D01EE8" w:rsidRPr="00D01EE8">
              <w:rPr>
                <w:rFonts w:ascii="Times New Roman" w:hAnsi="Times New Roman" w:cs="Times New Roman"/>
                <w:bCs/>
                <w:sz w:val="20"/>
                <w:szCs w:val="20"/>
              </w:rPr>
              <w:t>.</w:t>
            </w:r>
            <w:r>
              <w:rPr>
                <w:rFonts w:ascii="Times New Roman" w:hAnsi="Times New Roman" w:cs="Times New Roman"/>
                <w:bCs/>
                <w:sz w:val="20"/>
                <w:szCs w:val="20"/>
              </w:rPr>
              <w:t>67</w:t>
            </w:r>
            <w:r w:rsidR="001C5AF8" w:rsidRPr="001C5AF8">
              <w:rPr>
                <w:rFonts w:ascii="Times New Roman" w:hAnsi="Times New Roman" w:cs="Times New Roman"/>
                <w:bCs/>
                <w:sz w:val="20"/>
                <w:szCs w:val="20"/>
                <w:vertAlign w:val="superscript"/>
              </w:rPr>
              <w:t>a</w:t>
            </w:r>
          </w:p>
        </w:tc>
        <w:tc>
          <w:tcPr>
            <w:tcW w:w="1057" w:type="dxa"/>
          </w:tcPr>
          <w:p w14:paraId="260AF55A" w14:textId="739AD27E"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w:t>
            </w:r>
            <w:r w:rsidR="00C06193">
              <w:rPr>
                <w:rFonts w:ascii="Times New Roman" w:hAnsi="Times New Roman" w:cs="Times New Roman"/>
                <w:bCs/>
                <w:sz w:val="20"/>
                <w:szCs w:val="20"/>
              </w:rPr>
              <w:t>5</w:t>
            </w:r>
            <w:r w:rsidRPr="00D01EE8">
              <w:rPr>
                <w:rFonts w:ascii="Times New Roman" w:hAnsi="Times New Roman" w:cs="Times New Roman"/>
                <w:bCs/>
                <w:sz w:val="20"/>
                <w:szCs w:val="20"/>
              </w:rPr>
              <w:t>.8</w:t>
            </w:r>
            <w:r w:rsidR="00C06193">
              <w:rPr>
                <w:rFonts w:ascii="Times New Roman" w:hAnsi="Times New Roman" w:cs="Times New Roman"/>
                <w:bCs/>
                <w:sz w:val="20"/>
                <w:szCs w:val="20"/>
              </w:rPr>
              <w:t>4</w:t>
            </w:r>
            <w:r w:rsidRPr="00D01EE8">
              <w:rPr>
                <w:rFonts w:ascii="Times New Roman" w:hAnsi="Times New Roman" w:cs="Times New Roman"/>
                <w:bCs/>
                <w:sz w:val="20"/>
                <w:szCs w:val="20"/>
              </w:rPr>
              <w:t>±0.02</w:t>
            </w:r>
            <w:r w:rsidRPr="00D01EE8">
              <w:rPr>
                <w:rFonts w:ascii="Times New Roman" w:hAnsi="Times New Roman" w:cs="Times New Roman"/>
                <w:bCs/>
                <w:sz w:val="20"/>
                <w:szCs w:val="20"/>
                <w:vertAlign w:val="superscript"/>
              </w:rPr>
              <w:t>a</w:t>
            </w:r>
          </w:p>
        </w:tc>
        <w:tc>
          <w:tcPr>
            <w:tcW w:w="1103" w:type="dxa"/>
          </w:tcPr>
          <w:p w14:paraId="0D733D8A" w14:textId="5ECBEB48" w:rsidR="00D01EE8" w:rsidRPr="00D01EE8" w:rsidRDefault="00C06193" w:rsidP="00D01EE8">
            <w:pPr>
              <w:jc w:val="both"/>
              <w:rPr>
                <w:rFonts w:ascii="Times New Roman" w:hAnsi="Times New Roman" w:cs="Times New Roman"/>
                <w:bCs/>
                <w:sz w:val="20"/>
                <w:szCs w:val="20"/>
              </w:rPr>
            </w:pPr>
            <w:r>
              <w:rPr>
                <w:rFonts w:ascii="Times New Roman" w:hAnsi="Times New Roman" w:cs="Times New Roman"/>
                <w:bCs/>
                <w:sz w:val="20"/>
                <w:szCs w:val="20"/>
              </w:rPr>
              <w:t>7</w:t>
            </w:r>
            <w:r w:rsidR="00D01EE8" w:rsidRPr="00D01EE8">
              <w:rPr>
                <w:rFonts w:ascii="Times New Roman" w:hAnsi="Times New Roman" w:cs="Times New Roman"/>
                <w:bCs/>
                <w:sz w:val="20"/>
                <w:szCs w:val="20"/>
              </w:rPr>
              <w:t>.</w:t>
            </w:r>
            <w:r>
              <w:rPr>
                <w:rFonts w:ascii="Times New Roman" w:hAnsi="Times New Roman" w:cs="Times New Roman"/>
                <w:bCs/>
                <w:sz w:val="20"/>
                <w:szCs w:val="20"/>
              </w:rPr>
              <w:t>52</w:t>
            </w:r>
            <w:r w:rsidR="00D01EE8" w:rsidRPr="00D01EE8">
              <w:rPr>
                <w:rFonts w:ascii="Times New Roman" w:hAnsi="Times New Roman" w:cs="Times New Roman"/>
                <w:bCs/>
                <w:sz w:val="20"/>
                <w:szCs w:val="20"/>
              </w:rPr>
              <w:t>±1.17</w:t>
            </w:r>
            <w:r w:rsidR="001C5AF8" w:rsidRPr="001C5AF8">
              <w:rPr>
                <w:rFonts w:ascii="Times New Roman" w:hAnsi="Times New Roman" w:cs="Times New Roman"/>
                <w:bCs/>
                <w:sz w:val="20"/>
                <w:szCs w:val="20"/>
                <w:vertAlign w:val="superscript"/>
              </w:rPr>
              <w:t>a</w:t>
            </w:r>
          </w:p>
        </w:tc>
        <w:tc>
          <w:tcPr>
            <w:tcW w:w="1347" w:type="dxa"/>
          </w:tcPr>
          <w:p w14:paraId="5FD4C738" w14:textId="5F89B37F" w:rsidR="00D01EE8" w:rsidRPr="00D01EE8" w:rsidRDefault="00C06193" w:rsidP="00D01EE8">
            <w:pPr>
              <w:jc w:val="both"/>
              <w:rPr>
                <w:rFonts w:ascii="Times New Roman" w:hAnsi="Times New Roman" w:cs="Times New Roman"/>
                <w:bCs/>
                <w:sz w:val="20"/>
                <w:szCs w:val="20"/>
              </w:rPr>
            </w:pPr>
            <w:r>
              <w:rPr>
                <w:rFonts w:ascii="Times New Roman" w:hAnsi="Times New Roman" w:cs="Times New Roman"/>
                <w:bCs/>
                <w:sz w:val="20"/>
                <w:szCs w:val="20"/>
              </w:rPr>
              <w:t>447</w:t>
            </w:r>
            <w:r w:rsidR="00D01EE8" w:rsidRPr="00D01EE8">
              <w:rPr>
                <w:rFonts w:ascii="Times New Roman" w:hAnsi="Times New Roman" w:cs="Times New Roman"/>
                <w:bCs/>
                <w:sz w:val="20"/>
                <w:szCs w:val="20"/>
              </w:rPr>
              <w:t>.00±144.00</w:t>
            </w:r>
            <w:r w:rsidRPr="00C06193">
              <w:rPr>
                <w:rFonts w:ascii="Times New Roman" w:hAnsi="Times New Roman" w:cs="Times New Roman"/>
                <w:bCs/>
                <w:sz w:val="20"/>
                <w:szCs w:val="20"/>
                <w:vertAlign w:val="superscript"/>
              </w:rPr>
              <w:t>a</w:t>
            </w:r>
          </w:p>
        </w:tc>
      </w:tr>
      <w:tr w:rsidR="00750B2E" w:rsidRPr="000343B2" w14:paraId="22C797E6" w14:textId="00EB8C2F" w:rsidTr="00750B2E">
        <w:tc>
          <w:tcPr>
            <w:tcW w:w="710" w:type="dxa"/>
          </w:tcPr>
          <w:p w14:paraId="0FC9E462" w14:textId="45741256" w:rsidR="00D01EE8" w:rsidRPr="00D01EE8" w:rsidRDefault="00D01EE8" w:rsidP="00D01EE8">
            <w:pPr>
              <w:jc w:val="both"/>
              <w:rPr>
                <w:rFonts w:ascii="Times New Roman" w:hAnsi="Times New Roman" w:cs="Times New Roman"/>
                <w:b/>
                <w:sz w:val="20"/>
                <w:szCs w:val="20"/>
              </w:rPr>
            </w:pPr>
            <w:r w:rsidRPr="00D01EE8">
              <w:rPr>
                <w:rFonts w:ascii="Times New Roman" w:hAnsi="Times New Roman" w:cs="Times New Roman"/>
                <w:b/>
                <w:sz w:val="20"/>
                <w:szCs w:val="20"/>
              </w:rPr>
              <w:t>IBTL</w:t>
            </w:r>
          </w:p>
        </w:tc>
        <w:tc>
          <w:tcPr>
            <w:tcW w:w="975" w:type="dxa"/>
          </w:tcPr>
          <w:p w14:paraId="4F4B42EA" w14:textId="0DB6B6C1"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2.43±0.30</w:t>
            </w:r>
            <w:r w:rsidRPr="00D01EE8">
              <w:rPr>
                <w:rFonts w:ascii="Times New Roman" w:hAnsi="Times New Roman" w:cs="Times New Roman"/>
                <w:bCs/>
                <w:sz w:val="20"/>
                <w:szCs w:val="20"/>
                <w:vertAlign w:val="superscript"/>
              </w:rPr>
              <w:t>a</w:t>
            </w:r>
          </w:p>
        </w:tc>
        <w:tc>
          <w:tcPr>
            <w:tcW w:w="1158" w:type="dxa"/>
          </w:tcPr>
          <w:p w14:paraId="1552F782" w14:textId="5C3CA1CC"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2.14±0.03</w:t>
            </w:r>
            <w:r w:rsidRPr="00D01EE8">
              <w:rPr>
                <w:rFonts w:ascii="Times New Roman" w:hAnsi="Times New Roman" w:cs="Times New Roman"/>
                <w:bCs/>
                <w:sz w:val="20"/>
                <w:szCs w:val="20"/>
                <w:vertAlign w:val="superscript"/>
              </w:rPr>
              <w:t>a</w:t>
            </w:r>
          </w:p>
        </w:tc>
        <w:tc>
          <w:tcPr>
            <w:tcW w:w="882" w:type="dxa"/>
          </w:tcPr>
          <w:p w14:paraId="2AEDEA4E" w14:textId="0C3E37CA"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0.25±0.01</w:t>
            </w:r>
            <w:r w:rsidRPr="00D01EE8">
              <w:rPr>
                <w:rFonts w:ascii="Times New Roman" w:hAnsi="Times New Roman" w:cs="Times New Roman"/>
                <w:bCs/>
                <w:sz w:val="20"/>
                <w:szCs w:val="20"/>
                <w:vertAlign w:val="superscript"/>
              </w:rPr>
              <w:t xml:space="preserve"> b</w:t>
            </w:r>
          </w:p>
        </w:tc>
        <w:tc>
          <w:tcPr>
            <w:tcW w:w="936" w:type="dxa"/>
          </w:tcPr>
          <w:p w14:paraId="04426F08" w14:textId="58BE8E26"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3.72±0.46</w:t>
            </w:r>
            <w:r w:rsidR="001C5AF8" w:rsidRPr="001C5AF8">
              <w:rPr>
                <w:rFonts w:ascii="Times New Roman" w:hAnsi="Times New Roman" w:cs="Times New Roman"/>
                <w:bCs/>
                <w:sz w:val="20"/>
                <w:szCs w:val="20"/>
                <w:vertAlign w:val="superscript"/>
              </w:rPr>
              <w:t>c</w:t>
            </w:r>
          </w:p>
        </w:tc>
        <w:tc>
          <w:tcPr>
            <w:tcW w:w="1182" w:type="dxa"/>
          </w:tcPr>
          <w:p w14:paraId="03AA3E55" w14:textId="7F611DE7"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69.00±18.00</w:t>
            </w:r>
            <w:r w:rsidR="001C5AF8" w:rsidRPr="001C5AF8">
              <w:rPr>
                <w:rFonts w:ascii="Times New Roman" w:hAnsi="Times New Roman" w:cs="Times New Roman"/>
                <w:bCs/>
                <w:sz w:val="20"/>
                <w:szCs w:val="20"/>
                <w:vertAlign w:val="superscript"/>
              </w:rPr>
              <w:t>b</w:t>
            </w:r>
          </w:p>
        </w:tc>
        <w:tc>
          <w:tcPr>
            <w:tcW w:w="1057" w:type="dxa"/>
          </w:tcPr>
          <w:p w14:paraId="3525EDBD" w14:textId="1D40BF1F"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17.42±0.63</w:t>
            </w:r>
            <w:r w:rsidR="001C5AF8" w:rsidRPr="001C5AF8">
              <w:rPr>
                <w:rFonts w:ascii="Times New Roman" w:hAnsi="Times New Roman" w:cs="Times New Roman"/>
                <w:bCs/>
                <w:sz w:val="20"/>
                <w:szCs w:val="20"/>
                <w:vertAlign w:val="superscript"/>
              </w:rPr>
              <w:t>b</w:t>
            </w:r>
          </w:p>
        </w:tc>
        <w:tc>
          <w:tcPr>
            <w:tcW w:w="1103" w:type="dxa"/>
          </w:tcPr>
          <w:p w14:paraId="0B1E419B" w14:textId="7EBE4516"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27.89±4.43</w:t>
            </w:r>
            <w:r w:rsidR="001C5AF8" w:rsidRPr="001C5AF8">
              <w:rPr>
                <w:rFonts w:ascii="Times New Roman" w:hAnsi="Times New Roman" w:cs="Times New Roman"/>
                <w:bCs/>
                <w:sz w:val="20"/>
                <w:szCs w:val="20"/>
                <w:vertAlign w:val="superscript"/>
              </w:rPr>
              <w:t>c</w:t>
            </w:r>
          </w:p>
        </w:tc>
        <w:tc>
          <w:tcPr>
            <w:tcW w:w="1347" w:type="dxa"/>
          </w:tcPr>
          <w:p w14:paraId="676D9C92" w14:textId="06620556"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1511.50±160.50</w:t>
            </w:r>
            <w:r w:rsidRPr="00D01EE8">
              <w:rPr>
                <w:rFonts w:ascii="Times New Roman" w:hAnsi="Times New Roman" w:cs="Times New Roman"/>
                <w:bCs/>
                <w:sz w:val="20"/>
                <w:szCs w:val="20"/>
                <w:vertAlign w:val="superscript"/>
              </w:rPr>
              <w:t>c</w:t>
            </w:r>
          </w:p>
        </w:tc>
      </w:tr>
      <w:tr w:rsidR="00750B2E" w:rsidRPr="000343B2" w14:paraId="746CA0D9" w14:textId="731C8167" w:rsidTr="00750B2E">
        <w:tc>
          <w:tcPr>
            <w:tcW w:w="710" w:type="dxa"/>
          </w:tcPr>
          <w:p w14:paraId="5E1B1C0F" w14:textId="1E4017AC" w:rsidR="00D01EE8" w:rsidRPr="00D01EE8" w:rsidRDefault="00D01EE8" w:rsidP="00D01EE8">
            <w:pPr>
              <w:jc w:val="both"/>
              <w:rPr>
                <w:rFonts w:ascii="Times New Roman" w:hAnsi="Times New Roman" w:cs="Times New Roman"/>
                <w:b/>
                <w:sz w:val="20"/>
                <w:szCs w:val="20"/>
              </w:rPr>
            </w:pPr>
            <w:r w:rsidRPr="00D01EE8">
              <w:rPr>
                <w:rFonts w:ascii="Times New Roman" w:hAnsi="Times New Roman" w:cs="Times New Roman"/>
                <w:b/>
                <w:sz w:val="20"/>
                <w:szCs w:val="20"/>
              </w:rPr>
              <w:t>IBTT</w:t>
            </w:r>
          </w:p>
        </w:tc>
        <w:tc>
          <w:tcPr>
            <w:tcW w:w="975" w:type="dxa"/>
          </w:tcPr>
          <w:p w14:paraId="51104C8E" w14:textId="358DB7E5"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9.07±0.34</w:t>
            </w:r>
            <w:r w:rsidRPr="00D01EE8">
              <w:rPr>
                <w:rFonts w:ascii="Times New Roman" w:hAnsi="Times New Roman" w:cs="Times New Roman"/>
                <w:bCs/>
                <w:sz w:val="20"/>
                <w:szCs w:val="20"/>
                <w:vertAlign w:val="superscript"/>
              </w:rPr>
              <w:t>c</w:t>
            </w:r>
          </w:p>
        </w:tc>
        <w:tc>
          <w:tcPr>
            <w:tcW w:w="1158" w:type="dxa"/>
          </w:tcPr>
          <w:p w14:paraId="7955CD02" w14:textId="7B573942"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6.68±0.45</w:t>
            </w:r>
            <w:r w:rsidRPr="00D01EE8">
              <w:rPr>
                <w:rFonts w:ascii="Times New Roman" w:hAnsi="Times New Roman" w:cs="Times New Roman"/>
                <w:bCs/>
                <w:sz w:val="20"/>
                <w:szCs w:val="20"/>
                <w:vertAlign w:val="superscript"/>
              </w:rPr>
              <w:t>b</w:t>
            </w:r>
          </w:p>
        </w:tc>
        <w:tc>
          <w:tcPr>
            <w:tcW w:w="882" w:type="dxa"/>
          </w:tcPr>
          <w:p w14:paraId="6BA6B55E" w14:textId="3C805D6D"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0.23±0.11</w:t>
            </w:r>
            <w:r w:rsidRPr="00D01EE8">
              <w:rPr>
                <w:rFonts w:ascii="Times New Roman" w:hAnsi="Times New Roman" w:cs="Times New Roman"/>
                <w:bCs/>
                <w:sz w:val="20"/>
                <w:szCs w:val="20"/>
                <w:vertAlign w:val="superscript"/>
              </w:rPr>
              <w:t xml:space="preserve"> b</w:t>
            </w:r>
          </w:p>
        </w:tc>
        <w:tc>
          <w:tcPr>
            <w:tcW w:w="936" w:type="dxa"/>
          </w:tcPr>
          <w:p w14:paraId="7588C9DC" w14:textId="01283AE9"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3.13±0.69</w:t>
            </w:r>
            <w:r w:rsidR="001C5AF8" w:rsidRPr="001C5AF8">
              <w:rPr>
                <w:rFonts w:ascii="Times New Roman" w:hAnsi="Times New Roman" w:cs="Times New Roman"/>
                <w:bCs/>
                <w:sz w:val="20"/>
                <w:szCs w:val="20"/>
                <w:vertAlign w:val="superscript"/>
              </w:rPr>
              <w:t>c</w:t>
            </w:r>
          </w:p>
        </w:tc>
        <w:tc>
          <w:tcPr>
            <w:tcW w:w="1182" w:type="dxa"/>
          </w:tcPr>
          <w:p w14:paraId="1BB500B9" w14:textId="66077B98"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69.50±2.50</w:t>
            </w:r>
            <w:r w:rsidR="001C5AF8" w:rsidRPr="001C5AF8">
              <w:rPr>
                <w:rFonts w:ascii="Times New Roman" w:hAnsi="Times New Roman" w:cs="Times New Roman"/>
                <w:bCs/>
                <w:sz w:val="20"/>
                <w:szCs w:val="20"/>
                <w:vertAlign w:val="superscript"/>
              </w:rPr>
              <w:t>b</w:t>
            </w:r>
          </w:p>
        </w:tc>
        <w:tc>
          <w:tcPr>
            <w:tcW w:w="1057" w:type="dxa"/>
          </w:tcPr>
          <w:p w14:paraId="09E9802B" w14:textId="2BBF9125"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19.51±0.47</w:t>
            </w:r>
            <w:r w:rsidR="001C5AF8" w:rsidRPr="001C5AF8">
              <w:rPr>
                <w:rFonts w:ascii="Times New Roman" w:hAnsi="Times New Roman" w:cs="Times New Roman"/>
                <w:bCs/>
                <w:sz w:val="20"/>
                <w:szCs w:val="20"/>
                <w:vertAlign w:val="superscript"/>
              </w:rPr>
              <w:t>c</w:t>
            </w:r>
          </w:p>
        </w:tc>
        <w:tc>
          <w:tcPr>
            <w:tcW w:w="1103" w:type="dxa"/>
          </w:tcPr>
          <w:p w14:paraId="5DE6A59F" w14:textId="484497E4"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18.20±1.01</w:t>
            </w:r>
            <w:r w:rsidR="001C5AF8" w:rsidRPr="001C5AF8">
              <w:rPr>
                <w:rFonts w:ascii="Times New Roman" w:hAnsi="Times New Roman" w:cs="Times New Roman"/>
                <w:bCs/>
                <w:sz w:val="20"/>
                <w:szCs w:val="20"/>
                <w:vertAlign w:val="superscript"/>
              </w:rPr>
              <w:t>b</w:t>
            </w:r>
          </w:p>
        </w:tc>
        <w:tc>
          <w:tcPr>
            <w:tcW w:w="1347" w:type="dxa"/>
          </w:tcPr>
          <w:p w14:paraId="279D3518" w14:textId="6C3A9BED"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758.50±62.50</w:t>
            </w:r>
            <w:r w:rsidR="00C06193" w:rsidRPr="00C06193">
              <w:rPr>
                <w:rFonts w:ascii="Times New Roman" w:hAnsi="Times New Roman" w:cs="Times New Roman"/>
                <w:bCs/>
                <w:sz w:val="20"/>
                <w:szCs w:val="20"/>
                <w:vertAlign w:val="superscript"/>
              </w:rPr>
              <w:t>b</w:t>
            </w:r>
          </w:p>
        </w:tc>
      </w:tr>
      <w:tr w:rsidR="00750B2E" w:rsidRPr="000343B2" w14:paraId="47332C22" w14:textId="550AAA1E" w:rsidTr="00750B2E">
        <w:tc>
          <w:tcPr>
            <w:tcW w:w="710" w:type="dxa"/>
          </w:tcPr>
          <w:p w14:paraId="066387BE" w14:textId="42A11ED6" w:rsidR="00D01EE8" w:rsidRPr="00D01EE8" w:rsidRDefault="00D01EE8" w:rsidP="00D01EE8">
            <w:pPr>
              <w:jc w:val="both"/>
              <w:rPr>
                <w:rFonts w:ascii="Times New Roman" w:hAnsi="Times New Roman" w:cs="Times New Roman"/>
                <w:b/>
                <w:sz w:val="20"/>
                <w:szCs w:val="20"/>
              </w:rPr>
            </w:pPr>
            <w:r w:rsidRPr="00D01EE8">
              <w:rPr>
                <w:rFonts w:ascii="Times New Roman" w:hAnsi="Times New Roman" w:cs="Times New Roman"/>
                <w:b/>
                <w:sz w:val="20"/>
                <w:szCs w:val="20"/>
              </w:rPr>
              <w:t>IBT</w:t>
            </w:r>
            <w:r w:rsidR="00C16370">
              <w:rPr>
                <w:rFonts w:ascii="Times New Roman" w:hAnsi="Times New Roman" w:cs="Times New Roman"/>
                <w:b/>
                <w:sz w:val="20"/>
                <w:szCs w:val="20"/>
              </w:rPr>
              <w:t>M</w:t>
            </w:r>
            <w:r w:rsidRPr="00D01EE8">
              <w:rPr>
                <w:rFonts w:ascii="Times New Roman" w:hAnsi="Times New Roman" w:cs="Times New Roman"/>
                <w:b/>
                <w:sz w:val="20"/>
                <w:szCs w:val="20"/>
              </w:rPr>
              <w:t>-10</w:t>
            </w:r>
          </w:p>
        </w:tc>
        <w:tc>
          <w:tcPr>
            <w:tcW w:w="975" w:type="dxa"/>
          </w:tcPr>
          <w:p w14:paraId="335B2E82" w14:textId="18D4A55C"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9.11±0.20</w:t>
            </w:r>
            <w:r w:rsidRPr="00D01EE8">
              <w:rPr>
                <w:rFonts w:ascii="Times New Roman" w:hAnsi="Times New Roman" w:cs="Times New Roman"/>
                <w:bCs/>
                <w:sz w:val="20"/>
                <w:szCs w:val="20"/>
                <w:vertAlign w:val="superscript"/>
              </w:rPr>
              <w:t>c</w:t>
            </w:r>
          </w:p>
        </w:tc>
        <w:tc>
          <w:tcPr>
            <w:tcW w:w="1158" w:type="dxa"/>
          </w:tcPr>
          <w:p w14:paraId="4C140AB1" w14:textId="6248F2DD" w:rsidR="00D01EE8" w:rsidRPr="00D01EE8" w:rsidRDefault="0052303D" w:rsidP="00D01EE8">
            <w:pPr>
              <w:rPr>
                <w:rFonts w:ascii="Times New Roman" w:hAnsi="Times New Roman" w:cs="Times New Roman"/>
                <w:bCs/>
                <w:sz w:val="20"/>
                <w:szCs w:val="20"/>
              </w:rPr>
            </w:pPr>
            <w:r>
              <w:rPr>
                <w:rFonts w:ascii="Times New Roman" w:hAnsi="Times New Roman" w:cs="Times New Roman"/>
                <w:bCs/>
                <w:sz w:val="20"/>
                <w:szCs w:val="20"/>
              </w:rPr>
              <w:t>7</w:t>
            </w:r>
            <w:r w:rsidR="00D01EE8" w:rsidRPr="00D01EE8">
              <w:rPr>
                <w:rFonts w:ascii="Times New Roman" w:hAnsi="Times New Roman" w:cs="Times New Roman"/>
                <w:bCs/>
                <w:sz w:val="20"/>
                <w:szCs w:val="20"/>
              </w:rPr>
              <w:t>.19±3.01</w:t>
            </w:r>
            <w:r w:rsidR="00D01EE8" w:rsidRPr="00D01EE8">
              <w:rPr>
                <w:rFonts w:ascii="Times New Roman" w:hAnsi="Times New Roman" w:cs="Times New Roman"/>
                <w:bCs/>
                <w:sz w:val="20"/>
                <w:szCs w:val="20"/>
                <w:vertAlign w:val="superscript"/>
              </w:rPr>
              <w:t xml:space="preserve"> </w:t>
            </w:r>
            <w:proofErr w:type="spellStart"/>
            <w:proofErr w:type="gramStart"/>
            <w:r w:rsidR="006C2EA4">
              <w:rPr>
                <w:rFonts w:ascii="Times New Roman" w:hAnsi="Times New Roman" w:cs="Times New Roman"/>
                <w:bCs/>
                <w:sz w:val="20"/>
                <w:szCs w:val="20"/>
                <w:vertAlign w:val="superscript"/>
              </w:rPr>
              <w:t>b,c</w:t>
            </w:r>
            <w:proofErr w:type="spellEnd"/>
            <w:proofErr w:type="gramEnd"/>
          </w:p>
        </w:tc>
        <w:tc>
          <w:tcPr>
            <w:tcW w:w="882" w:type="dxa"/>
          </w:tcPr>
          <w:p w14:paraId="37EAFD7F" w14:textId="001D9D77"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0.31±0.01</w:t>
            </w:r>
            <w:r w:rsidRPr="00D01EE8">
              <w:rPr>
                <w:rFonts w:ascii="Times New Roman" w:hAnsi="Times New Roman" w:cs="Times New Roman"/>
                <w:bCs/>
                <w:sz w:val="20"/>
                <w:szCs w:val="20"/>
                <w:vertAlign w:val="superscript"/>
              </w:rPr>
              <w:t xml:space="preserve"> b</w:t>
            </w:r>
          </w:p>
        </w:tc>
        <w:tc>
          <w:tcPr>
            <w:tcW w:w="936" w:type="dxa"/>
          </w:tcPr>
          <w:p w14:paraId="4D0BB8C5" w14:textId="7082F774"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1.05±0.16</w:t>
            </w:r>
            <w:r w:rsidRPr="00D01EE8">
              <w:rPr>
                <w:rFonts w:ascii="Times New Roman" w:hAnsi="Times New Roman" w:cs="Times New Roman"/>
                <w:bCs/>
                <w:sz w:val="20"/>
                <w:szCs w:val="20"/>
                <w:vertAlign w:val="superscript"/>
              </w:rPr>
              <w:t>a</w:t>
            </w:r>
          </w:p>
        </w:tc>
        <w:tc>
          <w:tcPr>
            <w:tcW w:w="1182" w:type="dxa"/>
          </w:tcPr>
          <w:p w14:paraId="55BC29EB" w14:textId="63230B6E"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211.00±10.00</w:t>
            </w:r>
            <w:r w:rsidRPr="00D01EE8">
              <w:rPr>
                <w:rFonts w:ascii="Times New Roman" w:hAnsi="Times New Roman" w:cs="Times New Roman"/>
                <w:bCs/>
                <w:sz w:val="20"/>
                <w:szCs w:val="20"/>
                <w:vertAlign w:val="superscript"/>
              </w:rPr>
              <w:t>d</w:t>
            </w:r>
          </w:p>
        </w:tc>
        <w:tc>
          <w:tcPr>
            <w:tcW w:w="1057" w:type="dxa"/>
          </w:tcPr>
          <w:p w14:paraId="2EA0F9BC" w14:textId="4CB1ED0D"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16.70±0.42</w:t>
            </w:r>
            <w:r w:rsidR="001C5AF8" w:rsidRPr="001C5AF8">
              <w:rPr>
                <w:rFonts w:ascii="Times New Roman" w:hAnsi="Times New Roman" w:cs="Times New Roman"/>
                <w:bCs/>
                <w:sz w:val="20"/>
                <w:szCs w:val="20"/>
                <w:vertAlign w:val="superscript"/>
              </w:rPr>
              <w:t>b</w:t>
            </w:r>
          </w:p>
        </w:tc>
        <w:tc>
          <w:tcPr>
            <w:tcW w:w="1103" w:type="dxa"/>
          </w:tcPr>
          <w:p w14:paraId="70996135" w14:textId="1F200404"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75.32±2.87</w:t>
            </w:r>
            <w:r w:rsidRPr="00D01EE8">
              <w:rPr>
                <w:rFonts w:ascii="Times New Roman" w:hAnsi="Times New Roman" w:cs="Times New Roman"/>
                <w:bCs/>
                <w:sz w:val="20"/>
                <w:szCs w:val="20"/>
                <w:vertAlign w:val="superscript"/>
              </w:rPr>
              <w:t>d</w:t>
            </w:r>
          </w:p>
        </w:tc>
        <w:tc>
          <w:tcPr>
            <w:tcW w:w="1347" w:type="dxa"/>
          </w:tcPr>
          <w:p w14:paraId="152D16EB" w14:textId="5C2AE655"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2400.50±25.50</w:t>
            </w:r>
            <w:r w:rsidRPr="00D01EE8">
              <w:rPr>
                <w:rFonts w:ascii="Times New Roman" w:hAnsi="Times New Roman" w:cs="Times New Roman"/>
                <w:bCs/>
                <w:sz w:val="20"/>
                <w:szCs w:val="20"/>
                <w:vertAlign w:val="superscript"/>
              </w:rPr>
              <w:t>e</w:t>
            </w:r>
          </w:p>
        </w:tc>
      </w:tr>
      <w:tr w:rsidR="00750B2E" w:rsidRPr="000343B2" w14:paraId="61DAB911" w14:textId="7DD4FCED" w:rsidTr="00750B2E">
        <w:tc>
          <w:tcPr>
            <w:tcW w:w="710" w:type="dxa"/>
          </w:tcPr>
          <w:p w14:paraId="1130F430" w14:textId="497BE421" w:rsidR="00D01EE8" w:rsidRPr="00D01EE8" w:rsidRDefault="00D01EE8" w:rsidP="00D01EE8">
            <w:pPr>
              <w:jc w:val="both"/>
              <w:rPr>
                <w:rFonts w:ascii="Times New Roman" w:hAnsi="Times New Roman" w:cs="Times New Roman"/>
                <w:b/>
                <w:sz w:val="20"/>
                <w:szCs w:val="20"/>
              </w:rPr>
            </w:pPr>
            <w:r w:rsidRPr="00D01EE8">
              <w:rPr>
                <w:rFonts w:ascii="Times New Roman" w:hAnsi="Times New Roman" w:cs="Times New Roman"/>
                <w:b/>
                <w:sz w:val="20"/>
                <w:szCs w:val="20"/>
              </w:rPr>
              <w:t>IBT</w:t>
            </w:r>
            <w:r w:rsidR="00C16370">
              <w:rPr>
                <w:rFonts w:ascii="Times New Roman" w:hAnsi="Times New Roman" w:cs="Times New Roman"/>
                <w:b/>
                <w:sz w:val="20"/>
                <w:szCs w:val="20"/>
              </w:rPr>
              <w:t>M</w:t>
            </w:r>
            <w:r w:rsidRPr="00D01EE8">
              <w:rPr>
                <w:rFonts w:ascii="Times New Roman" w:hAnsi="Times New Roman" w:cs="Times New Roman"/>
                <w:b/>
                <w:sz w:val="20"/>
                <w:szCs w:val="20"/>
              </w:rPr>
              <w:t>-20</w:t>
            </w:r>
          </w:p>
        </w:tc>
        <w:tc>
          <w:tcPr>
            <w:tcW w:w="975" w:type="dxa"/>
          </w:tcPr>
          <w:p w14:paraId="1E149521" w14:textId="30D873BE"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4.83±0.51</w:t>
            </w:r>
            <w:r w:rsidRPr="00D01EE8">
              <w:rPr>
                <w:rFonts w:ascii="Times New Roman" w:hAnsi="Times New Roman" w:cs="Times New Roman"/>
                <w:bCs/>
                <w:sz w:val="20"/>
                <w:szCs w:val="20"/>
                <w:vertAlign w:val="superscript"/>
              </w:rPr>
              <w:t>b</w:t>
            </w:r>
          </w:p>
        </w:tc>
        <w:tc>
          <w:tcPr>
            <w:tcW w:w="1158" w:type="dxa"/>
          </w:tcPr>
          <w:p w14:paraId="16A9D59A" w14:textId="551E623D" w:rsidR="00D01EE8" w:rsidRPr="00D01EE8" w:rsidRDefault="0052303D" w:rsidP="00D01EE8">
            <w:pPr>
              <w:rPr>
                <w:rFonts w:ascii="Times New Roman" w:hAnsi="Times New Roman" w:cs="Times New Roman"/>
                <w:bCs/>
                <w:sz w:val="20"/>
                <w:szCs w:val="20"/>
              </w:rPr>
            </w:pPr>
            <w:r>
              <w:rPr>
                <w:rFonts w:ascii="Times New Roman" w:hAnsi="Times New Roman" w:cs="Times New Roman"/>
                <w:bCs/>
                <w:sz w:val="20"/>
                <w:szCs w:val="20"/>
              </w:rPr>
              <w:t>2</w:t>
            </w:r>
            <w:r w:rsidR="00D01EE8" w:rsidRPr="00D01EE8">
              <w:rPr>
                <w:rFonts w:ascii="Times New Roman" w:hAnsi="Times New Roman" w:cs="Times New Roman"/>
                <w:bCs/>
                <w:sz w:val="20"/>
                <w:szCs w:val="20"/>
              </w:rPr>
              <w:t>.82±0.53</w:t>
            </w:r>
            <w:r w:rsidR="006C2EA4" w:rsidRPr="006C2EA4">
              <w:rPr>
                <w:rFonts w:ascii="Times New Roman" w:hAnsi="Times New Roman" w:cs="Times New Roman"/>
                <w:bCs/>
                <w:sz w:val="20"/>
                <w:szCs w:val="20"/>
                <w:vertAlign w:val="superscript"/>
              </w:rPr>
              <w:t>a</w:t>
            </w:r>
          </w:p>
        </w:tc>
        <w:tc>
          <w:tcPr>
            <w:tcW w:w="882" w:type="dxa"/>
          </w:tcPr>
          <w:p w14:paraId="0C743AC8" w14:textId="728368C2"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0.29±0.08</w:t>
            </w:r>
            <w:r w:rsidRPr="00D01EE8">
              <w:rPr>
                <w:rFonts w:ascii="Times New Roman" w:hAnsi="Times New Roman" w:cs="Times New Roman"/>
                <w:bCs/>
                <w:sz w:val="20"/>
                <w:szCs w:val="20"/>
                <w:vertAlign w:val="superscript"/>
              </w:rPr>
              <w:t xml:space="preserve"> b</w:t>
            </w:r>
          </w:p>
        </w:tc>
        <w:tc>
          <w:tcPr>
            <w:tcW w:w="936" w:type="dxa"/>
          </w:tcPr>
          <w:p w14:paraId="61FFC938" w14:textId="6BEF0151"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6.75±1.90</w:t>
            </w:r>
            <w:r w:rsidR="001C5AF8" w:rsidRPr="001C5AF8">
              <w:rPr>
                <w:rFonts w:ascii="Times New Roman" w:hAnsi="Times New Roman" w:cs="Times New Roman"/>
                <w:bCs/>
                <w:sz w:val="20"/>
                <w:szCs w:val="20"/>
                <w:vertAlign w:val="superscript"/>
              </w:rPr>
              <w:t>d</w:t>
            </w:r>
          </w:p>
        </w:tc>
        <w:tc>
          <w:tcPr>
            <w:tcW w:w="1182" w:type="dxa"/>
          </w:tcPr>
          <w:p w14:paraId="2CD75CE2" w14:textId="527A7132"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171.50±0.50</w:t>
            </w:r>
            <w:r w:rsidRPr="00D01EE8">
              <w:rPr>
                <w:rFonts w:ascii="Times New Roman" w:hAnsi="Times New Roman" w:cs="Times New Roman"/>
                <w:bCs/>
                <w:sz w:val="20"/>
                <w:szCs w:val="20"/>
                <w:vertAlign w:val="superscript"/>
              </w:rPr>
              <w:t>c</w:t>
            </w:r>
          </w:p>
        </w:tc>
        <w:tc>
          <w:tcPr>
            <w:tcW w:w="1057" w:type="dxa"/>
          </w:tcPr>
          <w:p w14:paraId="5D132763" w14:textId="09904A50"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17.58±0.61</w:t>
            </w:r>
            <w:r w:rsidR="001C5AF8" w:rsidRPr="001C5AF8">
              <w:rPr>
                <w:rFonts w:ascii="Times New Roman" w:hAnsi="Times New Roman" w:cs="Times New Roman"/>
                <w:bCs/>
                <w:sz w:val="20"/>
                <w:szCs w:val="20"/>
                <w:vertAlign w:val="superscript"/>
              </w:rPr>
              <w:t>b</w:t>
            </w:r>
          </w:p>
        </w:tc>
        <w:tc>
          <w:tcPr>
            <w:tcW w:w="1103" w:type="dxa"/>
          </w:tcPr>
          <w:p w14:paraId="42DAE046" w14:textId="2A46C653"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71.39±1.28</w:t>
            </w:r>
            <w:r w:rsidRPr="00D01EE8">
              <w:rPr>
                <w:rFonts w:ascii="Times New Roman" w:hAnsi="Times New Roman" w:cs="Times New Roman"/>
                <w:bCs/>
                <w:sz w:val="20"/>
                <w:szCs w:val="20"/>
                <w:vertAlign w:val="superscript"/>
              </w:rPr>
              <w:t>d</w:t>
            </w:r>
          </w:p>
        </w:tc>
        <w:tc>
          <w:tcPr>
            <w:tcW w:w="1347" w:type="dxa"/>
          </w:tcPr>
          <w:p w14:paraId="6EF7FBD8" w14:textId="74D332A7"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2177.50±69.50</w:t>
            </w:r>
            <w:r w:rsidRPr="00D01EE8">
              <w:rPr>
                <w:rFonts w:ascii="Times New Roman" w:hAnsi="Times New Roman" w:cs="Times New Roman"/>
                <w:bCs/>
                <w:sz w:val="20"/>
                <w:szCs w:val="20"/>
                <w:vertAlign w:val="superscript"/>
              </w:rPr>
              <w:t>d</w:t>
            </w:r>
          </w:p>
        </w:tc>
      </w:tr>
    </w:tbl>
    <w:p w14:paraId="5553227D" w14:textId="4F0F965C" w:rsidR="004604AB" w:rsidRPr="00B2798F" w:rsidRDefault="004604AB" w:rsidP="00B7643F">
      <w:pPr>
        <w:jc w:val="both"/>
        <w:rPr>
          <w:rFonts w:ascii="Times New Roman" w:hAnsi="Times New Roman" w:cs="Times New Roman"/>
          <w:bCs/>
          <w:sz w:val="20"/>
          <w:szCs w:val="20"/>
        </w:rPr>
      </w:pPr>
      <w:r w:rsidRPr="00B2798F">
        <w:rPr>
          <w:rFonts w:ascii="Times New Roman" w:hAnsi="Times New Roman" w:cs="Times New Roman"/>
          <w:bCs/>
          <w:sz w:val="20"/>
          <w:szCs w:val="20"/>
        </w:rPr>
        <w:t>Values are presented as</w:t>
      </w:r>
      <w:r w:rsidR="00750B2E" w:rsidRPr="00B2798F">
        <w:rPr>
          <w:rFonts w:ascii="Times New Roman" w:hAnsi="Times New Roman" w:cs="Times New Roman"/>
          <w:bCs/>
          <w:sz w:val="20"/>
          <w:szCs w:val="20"/>
        </w:rPr>
        <w:t xml:space="preserve"> means± standard error of means of five (5) replicates. Comparisons are made across groups. </w:t>
      </w:r>
      <w:r w:rsidRPr="00B2798F">
        <w:rPr>
          <w:rFonts w:ascii="Times New Roman" w:hAnsi="Times New Roman" w:cs="Times New Roman"/>
          <w:bCs/>
          <w:sz w:val="20"/>
          <w:szCs w:val="20"/>
        </w:rPr>
        <w:t>Values</w:t>
      </w:r>
      <w:r w:rsidR="00750B2E" w:rsidRPr="00B2798F">
        <w:rPr>
          <w:rFonts w:ascii="Times New Roman" w:hAnsi="Times New Roman" w:cs="Times New Roman"/>
          <w:bCs/>
          <w:sz w:val="20"/>
          <w:szCs w:val="20"/>
        </w:rPr>
        <w:t xml:space="preserve"> bearing different </w:t>
      </w:r>
      <w:r w:rsidRPr="00B2798F">
        <w:rPr>
          <w:rFonts w:ascii="Times New Roman" w:hAnsi="Times New Roman" w:cs="Times New Roman"/>
          <w:bCs/>
          <w:sz w:val="20"/>
          <w:szCs w:val="20"/>
        </w:rPr>
        <w:t>superscripts</w:t>
      </w:r>
      <w:r w:rsidR="00750B2E" w:rsidRPr="00B2798F">
        <w:rPr>
          <w:rFonts w:ascii="Times New Roman" w:hAnsi="Times New Roman" w:cs="Times New Roman"/>
          <w:bCs/>
          <w:sz w:val="20"/>
          <w:szCs w:val="20"/>
        </w:rPr>
        <w:t xml:space="preserve"> are significantly different (p&lt;0.05) from one another, whereas </w:t>
      </w:r>
      <w:r w:rsidRPr="00B2798F">
        <w:rPr>
          <w:rFonts w:ascii="Times New Roman" w:hAnsi="Times New Roman" w:cs="Times New Roman"/>
          <w:bCs/>
          <w:sz w:val="20"/>
          <w:szCs w:val="20"/>
        </w:rPr>
        <w:t>those</w:t>
      </w:r>
      <w:r w:rsidR="00750B2E" w:rsidRPr="00B2798F">
        <w:rPr>
          <w:rFonts w:ascii="Times New Roman" w:hAnsi="Times New Roman" w:cs="Times New Roman"/>
          <w:bCs/>
          <w:sz w:val="20"/>
          <w:szCs w:val="20"/>
        </w:rPr>
        <w:t xml:space="preserve"> having the same letters are not significantly different (p&gt;0.05</w:t>
      </w:r>
      <w:proofErr w:type="gramStart"/>
      <w:r w:rsidR="00750B2E" w:rsidRPr="00B2798F">
        <w:rPr>
          <w:rFonts w:ascii="Times New Roman" w:hAnsi="Times New Roman" w:cs="Times New Roman"/>
          <w:bCs/>
          <w:sz w:val="20"/>
          <w:szCs w:val="20"/>
        </w:rPr>
        <w:t>).</w:t>
      </w:r>
      <w:r w:rsidR="00763147" w:rsidRPr="00B2798F">
        <w:rPr>
          <w:rFonts w:ascii="Times New Roman" w:hAnsi="Times New Roman" w:cs="Times New Roman"/>
          <w:bCs/>
          <w:sz w:val="20"/>
          <w:szCs w:val="20"/>
        </w:rPr>
        <w:t>IBNT</w:t>
      </w:r>
      <w:proofErr w:type="gramEnd"/>
      <w:r w:rsidR="00763147" w:rsidRPr="00B2798F">
        <w:rPr>
          <w:rFonts w:ascii="Times New Roman" w:hAnsi="Times New Roman" w:cs="Times New Roman"/>
          <w:bCs/>
          <w:sz w:val="20"/>
          <w:szCs w:val="20"/>
        </w:rPr>
        <w:t xml:space="preserve">: Infected but not treated, IBTL: infected but treated with </w:t>
      </w:r>
      <w:proofErr w:type="spellStart"/>
      <w:r w:rsidR="00763147" w:rsidRPr="00B2798F">
        <w:rPr>
          <w:rFonts w:ascii="Times New Roman" w:hAnsi="Times New Roman" w:cs="Times New Roman"/>
          <w:bCs/>
          <w:sz w:val="20"/>
          <w:szCs w:val="20"/>
        </w:rPr>
        <w:t>Lumartem</w:t>
      </w:r>
      <w:proofErr w:type="spellEnd"/>
      <w:r w:rsidR="00763147" w:rsidRPr="00B2798F">
        <w:rPr>
          <w:rFonts w:ascii="Times New Roman" w:hAnsi="Times New Roman" w:cs="Times New Roman"/>
          <w:bCs/>
          <w:sz w:val="20"/>
          <w:szCs w:val="20"/>
        </w:rPr>
        <w:t xml:space="preserve">, IBTT: Infected but treated with </w:t>
      </w:r>
      <w:r w:rsidR="00763147" w:rsidRPr="00B2798F">
        <w:rPr>
          <w:rFonts w:ascii="Times New Roman" w:hAnsi="Times New Roman" w:cs="Times New Roman"/>
          <w:bCs/>
          <w:i/>
          <w:iCs/>
          <w:sz w:val="20"/>
          <w:szCs w:val="20"/>
        </w:rPr>
        <w:t xml:space="preserve">T. </w:t>
      </w:r>
      <w:proofErr w:type="spellStart"/>
      <w:r w:rsidR="00763147" w:rsidRPr="00B2798F">
        <w:rPr>
          <w:rFonts w:ascii="Times New Roman" w:hAnsi="Times New Roman" w:cs="Times New Roman"/>
          <w:bCs/>
          <w:i/>
          <w:iCs/>
          <w:sz w:val="20"/>
          <w:szCs w:val="20"/>
        </w:rPr>
        <w:t>diversifolia</w:t>
      </w:r>
      <w:proofErr w:type="spellEnd"/>
      <w:r w:rsidR="00763147" w:rsidRPr="00B2798F">
        <w:rPr>
          <w:rFonts w:ascii="Times New Roman" w:hAnsi="Times New Roman" w:cs="Times New Roman"/>
          <w:bCs/>
          <w:sz w:val="20"/>
          <w:szCs w:val="20"/>
        </w:rPr>
        <w:t>, IBT</w:t>
      </w:r>
      <w:r w:rsidR="00C16370" w:rsidRPr="00B2798F">
        <w:rPr>
          <w:rFonts w:ascii="Times New Roman" w:hAnsi="Times New Roman" w:cs="Times New Roman"/>
          <w:bCs/>
          <w:sz w:val="20"/>
          <w:szCs w:val="20"/>
        </w:rPr>
        <w:t>M</w:t>
      </w:r>
      <w:r w:rsidR="00763147" w:rsidRPr="00B2798F">
        <w:rPr>
          <w:rFonts w:ascii="Times New Roman" w:hAnsi="Times New Roman" w:cs="Times New Roman"/>
          <w:bCs/>
          <w:sz w:val="20"/>
          <w:szCs w:val="20"/>
        </w:rPr>
        <w:t xml:space="preserve">-10: Infected but treated with </w:t>
      </w:r>
      <w:r w:rsidR="00C16370" w:rsidRPr="00B2798F">
        <w:rPr>
          <w:rFonts w:ascii="Times New Roman" w:hAnsi="Times New Roman" w:cs="Times New Roman"/>
          <w:bCs/>
          <w:sz w:val="20"/>
          <w:szCs w:val="20"/>
        </w:rPr>
        <w:t xml:space="preserve">magnetic field of 10 </w:t>
      </w:r>
      <w:proofErr w:type="spellStart"/>
      <w:r w:rsidR="00C16370" w:rsidRPr="00B2798F">
        <w:rPr>
          <w:rFonts w:ascii="Times New Roman" w:hAnsi="Times New Roman" w:cs="Times New Roman"/>
          <w:bCs/>
          <w:sz w:val="20"/>
          <w:szCs w:val="20"/>
        </w:rPr>
        <w:t>mT</w:t>
      </w:r>
      <w:proofErr w:type="spellEnd"/>
      <w:r w:rsidR="00C16370" w:rsidRPr="00B2798F">
        <w:rPr>
          <w:rFonts w:ascii="Times New Roman" w:hAnsi="Times New Roman" w:cs="Times New Roman"/>
          <w:bCs/>
          <w:sz w:val="20"/>
          <w:szCs w:val="20"/>
        </w:rPr>
        <w:t xml:space="preserve"> intensity </w:t>
      </w:r>
      <w:r w:rsidR="00763147" w:rsidRPr="00B2798F">
        <w:rPr>
          <w:rFonts w:ascii="Times New Roman" w:hAnsi="Times New Roman" w:cs="Times New Roman"/>
          <w:bCs/>
          <w:sz w:val="20"/>
          <w:szCs w:val="20"/>
        </w:rPr>
        <w:t>IBT</w:t>
      </w:r>
      <w:r w:rsidR="00C16370" w:rsidRPr="00B2798F">
        <w:rPr>
          <w:rFonts w:ascii="Times New Roman" w:hAnsi="Times New Roman" w:cs="Times New Roman"/>
          <w:bCs/>
          <w:sz w:val="20"/>
          <w:szCs w:val="20"/>
        </w:rPr>
        <w:t>M</w:t>
      </w:r>
      <w:r w:rsidR="00763147" w:rsidRPr="00B2798F">
        <w:rPr>
          <w:rFonts w:ascii="Times New Roman" w:hAnsi="Times New Roman" w:cs="Times New Roman"/>
          <w:bCs/>
          <w:sz w:val="20"/>
          <w:szCs w:val="20"/>
        </w:rPr>
        <w:t>-20: Infected but treated wit</w:t>
      </w:r>
      <w:r w:rsidR="00C16370" w:rsidRPr="00B2798F">
        <w:rPr>
          <w:rFonts w:ascii="Times New Roman" w:hAnsi="Times New Roman" w:cs="Times New Roman"/>
          <w:bCs/>
          <w:sz w:val="20"/>
          <w:szCs w:val="20"/>
        </w:rPr>
        <w:t>h</w:t>
      </w:r>
      <w:r w:rsidR="00763147" w:rsidRPr="00B2798F">
        <w:rPr>
          <w:rFonts w:ascii="Times New Roman" w:hAnsi="Times New Roman" w:cs="Times New Roman"/>
          <w:bCs/>
          <w:sz w:val="20"/>
          <w:szCs w:val="20"/>
        </w:rPr>
        <w:t xml:space="preserve"> </w:t>
      </w:r>
      <w:bookmarkStart w:id="1" w:name="OLE_LINK1"/>
      <w:r w:rsidR="00763147" w:rsidRPr="00B2798F">
        <w:rPr>
          <w:rFonts w:ascii="Times New Roman" w:hAnsi="Times New Roman" w:cs="Times New Roman"/>
          <w:bCs/>
          <w:sz w:val="20"/>
          <w:szCs w:val="20"/>
        </w:rPr>
        <w:t>magnetic field</w:t>
      </w:r>
      <w:r w:rsidR="00C16370" w:rsidRPr="00B2798F">
        <w:rPr>
          <w:rFonts w:ascii="Times New Roman" w:hAnsi="Times New Roman" w:cs="Times New Roman"/>
          <w:bCs/>
          <w:sz w:val="20"/>
          <w:szCs w:val="20"/>
        </w:rPr>
        <w:t xml:space="preserve"> of 20 </w:t>
      </w:r>
      <w:proofErr w:type="spellStart"/>
      <w:r w:rsidR="00C16370" w:rsidRPr="00B2798F">
        <w:rPr>
          <w:rFonts w:ascii="Times New Roman" w:hAnsi="Times New Roman" w:cs="Times New Roman"/>
          <w:bCs/>
          <w:sz w:val="20"/>
          <w:szCs w:val="20"/>
        </w:rPr>
        <w:t>mT</w:t>
      </w:r>
      <w:proofErr w:type="spellEnd"/>
      <w:r w:rsidR="00C16370" w:rsidRPr="00B2798F">
        <w:rPr>
          <w:rFonts w:ascii="Times New Roman" w:hAnsi="Times New Roman" w:cs="Times New Roman"/>
          <w:bCs/>
          <w:sz w:val="20"/>
          <w:szCs w:val="20"/>
        </w:rPr>
        <w:t xml:space="preserve"> intensity</w:t>
      </w:r>
      <w:bookmarkEnd w:id="1"/>
      <w:r w:rsidR="00763147" w:rsidRPr="00B2798F">
        <w:rPr>
          <w:rFonts w:ascii="Times New Roman" w:hAnsi="Times New Roman" w:cs="Times New Roman"/>
          <w:bCs/>
          <w:sz w:val="20"/>
          <w:szCs w:val="20"/>
        </w:rPr>
        <w:t>.</w:t>
      </w:r>
    </w:p>
    <w:p w14:paraId="3405FC66" w14:textId="77777777" w:rsidR="00B2798F" w:rsidRDefault="00B7643F" w:rsidP="00B2798F">
      <w:pPr>
        <w:spacing w:after="0" w:line="360" w:lineRule="auto"/>
        <w:jc w:val="both"/>
        <w:rPr>
          <w:rFonts w:ascii="Times New Roman" w:hAnsi="Times New Roman" w:cs="Times New Roman"/>
          <w:b/>
          <w:sz w:val="24"/>
          <w:szCs w:val="24"/>
        </w:rPr>
      </w:pPr>
      <w:r w:rsidRPr="00C91765">
        <w:rPr>
          <w:rFonts w:ascii="Times New Roman" w:hAnsi="Times New Roman" w:cs="Times New Roman"/>
          <w:b/>
          <w:sz w:val="24"/>
          <w:szCs w:val="24"/>
        </w:rPr>
        <w:t>Conclusion</w:t>
      </w:r>
    </w:p>
    <w:p w14:paraId="65710568" w14:textId="15FC0DB8" w:rsidR="004F76D8" w:rsidRDefault="004F76D8" w:rsidP="00B2798F">
      <w:pPr>
        <w:spacing w:after="0" w:line="360" w:lineRule="auto"/>
        <w:jc w:val="both"/>
        <w:rPr>
          <w:rFonts w:ascii="Times New Roman" w:hAnsi="Times New Roman" w:cs="Times New Roman"/>
          <w:bCs/>
          <w:sz w:val="24"/>
          <w:szCs w:val="24"/>
        </w:rPr>
      </w:pPr>
      <w:r w:rsidRPr="004F76D8">
        <w:rPr>
          <w:rFonts w:ascii="Times New Roman" w:hAnsi="Times New Roman" w:cs="Times New Roman"/>
          <w:bCs/>
          <w:sz w:val="24"/>
          <w:szCs w:val="24"/>
        </w:rPr>
        <w:t>The study demonstrated the</w:t>
      </w:r>
      <w:r>
        <w:rPr>
          <w:rFonts w:ascii="Times New Roman" w:hAnsi="Times New Roman" w:cs="Times New Roman"/>
          <w:bCs/>
          <w:sz w:val="24"/>
          <w:szCs w:val="24"/>
        </w:rPr>
        <w:t xml:space="preserve"> comparative effects of the administration of T. </w:t>
      </w:r>
      <w:proofErr w:type="spellStart"/>
      <w:r>
        <w:rPr>
          <w:rFonts w:ascii="Times New Roman" w:hAnsi="Times New Roman" w:cs="Times New Roman"/>
          <w:bCs/>
          <w:sz w:val="24"/>
          <w:szCs w:val="24"/>
        </w:rPr>
        <w:t>diversifolia</w:t>
      </w:r>
      <w:proofErr w:type="spellEnd"/>
      <w:r>
        <w:rPr>
          <w:rFonts w:ascii="Times New Roman" w:hAnsi="Times New Roman" w:cs="Times New Roman"/>
          <w:bCs/>
          <w:sz w:val="24"/>
          <w:szCs w:val="24"/>
        </w:rPr>
        <w:t xml:space="preserve"> crude extract and varying </w:t>
      </w:r>
      <w:r w:rsidR="0007487F">
        <w:rPr>
          <w:rFonts w:ascii="Times New Roman" w:hAnsi="Times New Roman" w:cs="Times New Roman"/>
          <w:bCs/>
          <w:sz w:val="24"/>
          <w:szCs w:val="24"/>
        </w:rPr>
        <w:t>intensities</w:t>
      </w:r>
      <w:r>
        <w:rPr>
          <w:rFonts w:ascii="Times New Roman" w:hAnsi="Times New Roman" w:cs="Times New Roman"/>
          <w:bCs/>
          <w:sz w:val="24"/>
          <w:szCs w:val="24"/>
        </w:rPr>
        <w:t xml:space="preserve"> of alternating magnetic field. </w:t>
      </w:r>
      <w:r w:rsidR="0007487F">
        <w:rPr>
          <w:rFonts w:ascii="Times New Roman" w:hAnsi="Times New Roman" w:cs="Times New Roman"/>
          <w:bCs/>
          <w:sz w:val="24"/>
          <w:szCs w:val="24"/>
        </w:rPr>
        <w:t xml:space="preserve">From our study, exposure of mice to </w:t>
      </w:r>
      <w:r w:rsidR="0007487F" w:rsidRPr="0007487F">
        <w:rPr>
          <w:rFonts w:ascii="Times New Roman" w:hAnsi="Times New Roman" w:cs="Times New Roman"/>
          <w:bCs/>
          <w:i/>
          <w:iCs/>
          <w:sz w:val="24"/>
          <w:szCs w:val="24"/>
        </w:rPr>
        <w:t xml:space="preserve">T. </w:t>
      </w:r>
      <w:proofErr w:type="spellStart"/>
      <w:r w:rsidR="0007487F" w:rsidRPr="0007487F">
        <w:rPr>
          <w:rFonts w:ascii="Times New Roman" w:hAnsi="Times New Roman" w:cs="Times New Roman"/>
          <w:bCs/>
          <w:i/>
          <w:iCs/>
          <w:sz w:val="24"/>
          <w:szCs w:val="24"/>
        </w:rPr>
        <w:t>diversifolia</w:t>
      </w:r>
      <w:proofErr w:type="spellEnd"/>
      <w:r w:rsidR="0007487F">
        <w:rPr>
          <w:rFonts w:ascii="Times New Roman" w:hAnsi="Times New Roman" w:cs="Times New Roman"/>
          <w:bCs/>
          <w:sz w:val="24"/>
          <w:szCs w:val="24"/>
        </w:rPr>
        <w:t xml:space="preserve"> administration showed better parasite suppression than those exposed to magnetic field However, exposure to alternating magnetic field intensity of 20mT resulted in better hematologic indices than the effects of </w:t>
      </w:r>
      <w:r w:rsidR="0007487F" w:rsidRPr="0007487F">
        <w:rPr>
          <w:rFonts w:ascii="Times New Roman" w:hAnsi="Times New Roman" w:cs="Times New Roman"/>
          <w:bCs/>
          <w:i/>
          <w:iCs/>
          <w:sz w:val="24"/>
          <w:szCs w:val="24"/>
        </w:rPr>
        <w:t xml:space="preserve">T. </w:t>
      </w:r>
      <w:proofErr w:type="spellStart"/>
      <w:r w:rsidR="0007487F" w:rsidRPr="0007487F">
        <w:rPr>
          <w:rFonts w:ascii="Times New Roman" w:hAnsi="Times New Roman" w:cs="Times New Roman"/>
          <w:bCs/>
          <w:i/>
          <w:iCs/>
          <w:sz w:val="24"/>
          <w:szCs w:val="24"/>
        </w:rPr>
        <w:t>diversifolia</w:t>
      </w:r>
      <w:proofErr w:type="spellEnd"/>
      <w:r w:rsidR="0007487F">
        <w:rPr>
          <w:rFonts w:ascii="Times New Roman" w:hAnsi="Times New Roman" w:cs="Times New Roman"/>
          <w:bCs/>
          <w:sz w:val="24"/>
          <w:szCs w:val="24"/>
        </w:rPr>
        <w:t xml:space="preserve"> administration in mice models. Further studies in unravelling the mode of interaction between hemozoin crystals and alternating magnetic fields is recommended, for the exploration of this approach in malaria therapy.</w:t>
      </w:r>
    </w:p>
    <w:p w14:paraId="646FD29D" w14:textId="1233399F" w:rsidR="00C903B7" w:rsidRDefault="00B2798F" w:rsidP="00965B8E">
      <w:pPr>
        <w:spacing w:after="0" w:line="360" w:lineRule="auto"/>
        <w:jc w:val="both"/>
        <w:rPr>
          <w:rFonts w:ascii="Times New Roman" w:hAnsi="Times New Roman" w:cs="Times New Roman"/>
          <w:b/>
          <w:sz w:val="24"/>
          <w:szCs w:val="24"/>
        </w:rPr>
      </w:pPr>
      <w:r w:rsidRPr="00B2798F">
        <w:rPr>
          <w:rFonts w:ascii="Times New Roman" w:hAnsi="Times New Roman" w:cs="Times New Roman"/>
          <w:b/>
          <w:sz w:val="24"/>
          <w:szCs w:val="24"/>
        </w:rPr>
        <w:t>References</w:t>
      </w:r>
    </w:p>
    <w:p w14:paraId="4986FC1E" w14:textId="77777777" w:rsidR="008D7D5E" w:rsidRDefault="008D7D5E" w:rsidP="00965B8E">
      <w:pPr>
        <w:spacing w:after="0" w:line="360" w:lineRule="auto"/>
        <w:ind w:left="720" w:hanging="720"/>
        <w:jc w:val="both"/>
        <w:rPr>
          <w:rFonts w:ascii="Times" w:hAnsi="Times" w:cs="Times"/>
          <w:iCs/>
          <w:sz w:val="24"/>
          <w:szCs w:val="24"/>
        </w:rPr>
      </w:pPr>
      <w:proofErr w:type="spellStart"/>
      <w:r>
        <w:rPr>
          <w:rFonts w:ascii="Times New Roman" w:hAnsi="Times New Roman" w:cs="Times New Roman"/>
          <w:sz w:val="24"/>
          <w:szCs w:val="24"/>
        </w:rPr>
        <w:t>Abajingin</w:t>
      </w:r>
      <w:proofErr w:type="spellEnd"/>
      <w:r>
        <w:rPr>
          <w:rFonts w:ascii="Times New Roman" w:hAnsi="Times New Roman" w:cs="Times New Roman"/>
          <w:sz w:val="24"/>
          <w:szCs w:val="24"/>
        </w:rPr>
        <w:t xml:space="preserve">, D.D. and </w:t>
      </w:r>
      <w:proofErr w:type="spellStart"/>
      <w:r w:rsidRPr="00F5374C">
        <w:rPr>
          <w:rFonts w:ascii="Times New Roman" w:hAnsi="Times New Roman" w:cs="Times New Roman"/>
          <w:bCs/>
          <w:sz w:val="24"/>
          <w:szCs w:val="24"/>
        </w:rPr>
        <w:t>Ekun</w:t>
      </w:r>
      <w:proofErr w:type="spellEnd"/>
      <w:r w:rsidRPr="00F5374C">
        <w:rPr>
          <w:rFonts w:ascii="Times New Roman" w:hAnsi="Times New Roman" w:cs="Times New Roman"/>
          <w:bCs/>
          <w:sz w:val="24"/>
          <w:szCs w:val="24"/>
        </w:rPr>
        <w:t>, O.E. (2019</w:t>
      </w:r>
      <w:r>
        <w:rPr>
          <w:rFonts w:ascii="Times New Roman" w:hAnsi="Times New Roman" w:cs="Times New Roman"/>
          <w:sz w:val="24"/>
          <w:szCs w:val="24"/>
        </w:rPr>
        <w:t xml:space="preserve">) </w:t>
      </w:r>
      <w:proofErr w:type="spellStart"/>
      <w:r w:rsidRPr="00FA117E">
        <w:rPr>
          <w:rFonts w:ascii="Times New Roman" w:hAnsi="Times New Roman" w:cs="Times New Roman"/>
          <w:sz w:val="24"/>
          <w:szCs w:val="24"/>
        </w:rPr>
        <w:t>Haematological</w:t>
      </w:r>
      <w:proofErr w:type="spellEnd"/>
      <w:r w:rsidRPr="00FA117E">
        <w:rPr>
          <w:rFonts w:ascii="Times New Roman" w:hAnsi="Times New Roman" w:cs="Times New Roman"/>
          <w:sz w:val="24"/>
          <w:szCs w:val="24"/>
        </w:rPr>
        <w:t xml:space="preserve"> and Biochemical Parameters of Rats Fed with Heavy Metaled Fish after Exposure to a </w:t>
      </w:r>
      <w:r>
        <w:rPr>
          <w:rFonts w:ascii="Times New Roman" w:hAnsi="Times New Roman" w:cs="Times New Roman"/>
          <w:sz w:val="24"/>
          <w:szCs w:val="24"/>
        </w:rPr>
        <w:t xml:space="preserve">47mT Oscillating Magnetic Field. </w:t>
      </w:r>
      <w:r>
        <w:rPr>
          <w:rFonts w:ascii="Times" w:hAnsi="Times" w:cs="Times"/>
          <w:i/>
          <w:iCs/>
          <w:sz w:val="24"/>
          <w:szCs w:val="24"/>
        </w:rPr>
        <w:t xml:space="preserve">American Journal of Medical Sciences and Medicine.  </w:t>
      </w:r>
      <w:r w:rsidRPr="00FA117E">
        <w:rPr>
          <w:rFonts w:ascii="Times" w:hAnsi="Times" w:cs="Times"/>
          <w:iCs/>
          <w:sz w:val="24"/>
          <w:szCs w:val="24"/>
        </w:rPr>
        <w:t>7(2): 30-35</w:t>
      </w:r>
    </w:p>
    <w:p w14:paraId="5A82E5AC" w14:textId="77777777" w:rsidR="008D7D5E" w:rsidRDefault="008D7D5E" w:rsidP="001B2F5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1B2F59">
        <w:rPr>
          <w:rFonts w:ascii="Times New Roman" w:eastAsia="Times New Roman" w:hAnsi="Times New Roman" w:cs="Times New Roman"/>
          <w:sz w:val="24"/>
          <w:szCs w:val="24"/>
        </w:rPr>
        <w:t>Abajingin</w:t>
      </w:r>
      <w:proofErr w:type="spellEnd"/>
      <w:r>
        <w:rPr>
          <w:rFonts w:ascii="Times New Roman" w:eastAsia="Times New Roman" w:hAnsi="Times New Roman" w:cs="Times New Roman"/>
          <w:sz w:val="24"/>
          <w:szCs w:val="24"/>
        </w:rPr>
        <w:t>,</w:t>
      </w:r>
      <w:r w:rsidRPr="001B2F59">
        <w:rPr>
          <w:rFonts w:ascii="Times New Roman" w:eastAsia="Times New Roman" w:hAnsi="Times New Roman" w:cs="Times New Roman"/>
          <w:sz w:val="24"/>
          <w:szCs w:val="24"/>
        </w:rPr>
        <w:t xml:space="preserve"> </w:t>
      </w:r>
      <w:proofErr w:type="gramStart"/>
      <w:r w:rsidRPr="001B2F59">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Pr="001B2F59">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2015) </w:t>
      </w:r>
      <w:proofErr w:type="spellStart"/>
      <w:r w:rsidRPr="001B2F59">
        <w:rPr>
          <w:rFonts w:ascii="Times New Roman" w:eastAsia="Times New Roman" w:hAnsi="Times New Roman" w:cs="Times New Roman"/>
          <w:sz w:val="24"/>
          <w:szCs w:val="24"/>
        </w:rPr>
        <w:t>Oscilating</w:t>
      </w:r>
      <w:proofErr w:type="spellEnd"/>
      <w:r w:rsidRPr="001B2F59">
        <w:rPr>
          <w:rFonts w:ascii="Times New Roman" w:eastAsia="Times New Roman" w:hAnsi="Times New Roman" w:cs="Times New Roman"/>
          <w:sz w:val="24"/>
          <w:szCs w:val="24"/>
        </w:rPr>
        <w:t xml:space="preserve"> magnetic field an antimalaria therapy. </w:t>
      </w:r>
      <w:r w:rsidRPr="001B2F59">
        <w:rPr>
          <w:rFonts w:ascii="Times New Roman" w:eastAsia="Times New Roman" w:hAnsi="Times New Roman" w:cs="Times New Roman"/>
          <w:i/>
          <w:iCs/>
          <w:sz w:val="24"/>
          <w:szCs w:val="24"/>
        </w:rPr>
        <w:t xml:space="preserve">Int J </w:t>
      </w:r>
      <w:proofErr w:type="spellStart"/>
      <w:r w:rsidRPr="001B2F59">
        <w:rPr>
          <w:rFonts w:ascii="Times New Roman" w:eastAsia="Times New Roman" w:hAnsi="Times New Roman" w:cs="Times New Roman"/>
          <w:i/>
          <w:iCs/>
          <w:sz w:val="24"/>
          <w:szCs w:val="24"/>
        </w:rPr>
        <w:t>Phy</w:t>
      </w:r>
      <w:proofErr w:type="spellEnd"/>
      <w:r w:rsidRPr="001B2F59">
        <w:rPr>
          <w:rFonts w:ascii="Times New Roman" w:eastAsia="Times New Roman" w:hAnsi="Times New Roman" w:cs="Times New Roman"/>
          <w:i/>
          <w:iCs/>
          <w:sz w:val="24"/>
          <w:szCs w:val="24"/>
        </w:rPr>
        <w:t xml:space="preserve"> Sci</w:t>
      </w:r>
      <w:r w:rsidRPr="001B2F59">
        <w:rPr>
          <w:rFonts w:ascii="Times New Roman" w:eastAsia="Times New Roman" w:hAnsi="Times New Roman" w:cs="Times New Roman"/>
          <w:sz w:val="24"/>
          <w:szCs w:val="24"/>
        </w:rPr>
        <w:t>.;10(10):329-34.</w:t>
      </w:r>
    </w:p>
    <w:p w14:paraId="6AB1E6AD" w14:textId="77777777" w:rsidR="008D7D5E" w:rsidRDefault="008D7D5E" w:rsidP="001B2F59">
      <w:pPr>
        <w:spacing w:before="100" w:beforeAutospacing="1" w:after="100" w:afterAutospacing="1"/>
        <w:ind w:left="720" w:hanging="720"/>
        <w:jc w:val="both"/>
        <w:rPr>
          <w:rFonts w:ascii="Times New Roman" w:eastAsia="Times New Roman" w:hAnsi="Times New Roman" w:cs="Times New Roman"/>
          <w:sz w:val="24"/>
          <w:szCs w:val="24"/>
        </w:rPr>
      </w:pPr>
      <w:r w:rsidRPr="00F5374C">
        <w:rPr>
          <w:rFonts w:ascii="Times New Roman" w:eastAsia="Times New Roman" w:hAnsi="Times New Roman" w:cs="Times New Roman"/>
          <w:sz w:val="24"/>
          <w:szCs w:val="24"/>
        </w:rPr>
        <w:t>Ahmed</w:t>
      </w:r>
      <w:r>
        <w:rPr>
          <w:rFonts w:ascii="Times New Roman" w:eastAsia="Times New Roman" w:hAnsi="Times New Roman" w:cs="Times New Roman"/>
          <w:sz w:val="24"/>
          <w:szCs w:val="24"/>
        </w:rPr>
        <w:t>,</w:t>
      </w:r>
      <w:r w:rsidRPr="00F5374C">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w:t>
      </w:r>
      <w:r w:rsidRPr="00F5374C">
        <w:rPr>
          <w:rFonts w:ascii="Times New Roman" w:eastAsia="Times New Roman" w:hAnsi="Times New Roman" w:cs="Times New Roman"/>
          <w:sz w:val="24"/>
          <w:szCs w:val="24"/>
        </w:rPr>
        <w:t>A</w:t>
      </w:r>
      <w:r>
        <w:rPr>
          <w:rFonts w:ascii="Times New Roman" w:eastAsia="Times New Roman" w:hAnsi="Times New Roman" w:cs="Times New Roman"/>
          <w:sz w:val="24"/>
          <w:szCs w:val="24"/>
        </w:rPr>
        <w:t>. and</w:t>
      </w:r>
      <w:r w:rsidRPr="00F5374C">
        <w:rPr>
          <w:rFonts w:ascii="Times New Roman" w:eastAsia="Times New Roman" w:hAnsi="Times New Roman" w:cs="Times New Roman"/>
          <w:sz w:val="24"/>
          <w:szCs w:val="24"/>
        </w:rPr>
        <w:t xml:space="preserve"> Cox-Singh </w:t>
      </w:r>
      <w:proofErr w:type="gramStart"/>
      <w:r w:rsidRPr="00F5374C">
        <w:rPr>
          <w:rFonts w:ascii="Times New Roman" w:eastAsia="Times New Roman" w:hAnsi="Times New Roman" w:cs="Times New Roman"/>
          <w:sz w:val="24"/>
          <w:szCs w:val="24"/>
        </w:rPr>
        <w:t>J.</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2015)</w:t>
      </w:r>
      <w:r w:rsidRPr="00F5374C">
        <w:rPr>
          <w:rFonts w:ascii="Times New Roman" w:eastAsia="Times New Roman" w:hAnsi="Times New Roman" w:cs="Times New Roman"/>
          <w:sz w:val="24"/>
          <w:szCs w:val="24"/>
        </w:rPr>
        <w:t xml:space="preserve"> </w:t>
      </w:r>
      <w:r w:rsidRPr="00F5374C">
        <w:rPr>
          <w:rFonts w:ascii="Times New Roman" w:eastAsia="Times New Roman" w:hAnsi="Times New Roman" w:cs="Times New Roman"/>
          <w:i/>
          <w:iCs/>
          <w:sz w:val="24"/>
          <w:szCs w:val="24"/>
        </w:rPr>
        <w:t>Plasmodium knowlesi</w:t>
      </w:r>
      <w:r w:rsidRPr="00F5374C">
        <w:rPr>
          <w:rFonts w:ascii="Times New Roman" w:eastAsia="Times New Roman" w:hAnsi="Times New Roman" w:cs="Times New Roman"/>
          <w:sz w:val="24"/>
          <w:szCs w:val="24"/>
        </w:rPr>
        <w:t xml:space="preserve">- An emerging pathogen. </w:t>
      </w:r>
      <w:r w:rsidRPr="00F5374C">
        <w:rPr>
          <w:rFonts w:ascii="Times New Roman" w:eastAsia="Times New Roman" w:hAnsi="Times New Roman" w:cs="Times New Roman"/>
          <w:i/>
          <w:iCs/>
          <w:sz w:val="24"/>
          <w:szCs w:val="24"/>
        </w:rPr>
        <w:t>ISBT Sci Ser</w:t>
      </w:r>
      <w:r w:rsidRPr="00F5374C">
        <w:rPr>
          <w:rFonts w:ascii="Times New Roman" w:eastAsia="Times New Roman" w:hAnsi="Times New Roman" w:cs="Times New Roman"/>
          <w:sz w:val="24"/>
          <w:szCs w:val="24"/>
        </w:rPr>
        <w:t>. 10(Suppl 1):134-40.</w:t>
      </w:r>
    </w:p>
    <w:p w14:paraId="45EB69F7" w14:textId="77777777" w:rsidR="008D7D5E" w:rsidRDefault="008D7D5E" w:rsidP="001B2F59">
      <w:pPr>
        <w:spacing w:before="100" w:beforeAutospacing="1" w:after="100" w:afterAutospacing="1"/>
        <w:ind w:left="720" w:hanging="720"/>
        <w:jc w:val="both"/>
        <w:rPr>
          <w:rFonts w:ascii="Times New Roman" w:eastAsia="Times New Roman" w:hAnsi="Times New Roman" w:cs="Times New Roman"/>
          <w:sz w:val="24"/>
          <w:szCs w:val="24"/>
        </w:rPr>
      </w:pPr>
      <w:proofErr w:type="gramStart"/>
      <w:r w:rsidRPr="00F5374C">
        <w:rPr>
          <w:rFonts w:ascii="Times New Roman" w:eastAsia="Times New Roman" w:hAnsi="Times New Roman" w:cs="Times New Roman"/>
          <w:sz w:val="24"/>
          <w:szCs w:val="24"/>
        </w:rPr>
        <w:lastRenderedPageBreak/>
        <w:t>Assefa  A</w:t>
      </w:r>
      <w:proofErr w:type="gramEnd"/>
      <w:r w:rsidRPr="00F5374C">
        <w:rPr>
          <w:rFonts w:ascii="Times New Roman" w:eastAsia="Times New Roman" w:hAnsi="Times New Roman" w:cs="Times New Roman"/>
          <w:sz w:val="24"/>
          <w:szCs w:val="24"/>
        </w:rPr>
        <w:t xml:space="preserve">,  Kassa  M,  Tadese  G,  Mohamed  H,  </w:t>
      </w:r>
      <w:proofErr w:type="spellStart"/>
      <w:r w:rsidRPr="00F5374C">
        <w:rPr>
          <w:rFonts w:ascii="Times New Roman" w:eastAsia="Times New Roman" w:hAnsi="Times New Roman" w:cs="Times New Roman"/>
          <w:sz w:val="24"/>
          <w:szCs w:val="24"/>
        </w:rPr>
        <w:t>Animut</w:t>
      </w:r>
      <w:proofErr w:type="spellEnd"/>
      <w:r w:rsidRPr="00F5374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and</w:t>
      </w:r>
      <w:r w:rsidRPr="00F5374C">
        <w:rPr>
          <w:rFonts w:ascii="Times New Roman" w:eastAsia="Times New Roman" w:hAnsi="Times New Roman" w:cs="Times New Roman"/>
          <w:sz w:val="24"/>
          <w:szCs w:val="24"/>
        </w:rPr>
        <w:t xml:space="preserve">  Mengesha  T.</w:t>
      </w:r>
      <w:r>
        <w:rPr>
          <w:rFonts w:ascii="Times New Roman" w:eastAsia="Times New Roman" w:hAnsi="Times New Roman" w:cs="Times New Roman"/>
          <w:sz w:val="24"/>
          <w:szCs w:val="24"/>
        </w:rPr>
        <w:t>(2010)n</w:t>
      </w:r>
      <w:r w:rsidRPr="00F5374C">
        <w:rPr>
          <w:rFonts w:ascii="Times New Roman" w:eastAsia="Times New Roman" w:hAnsi="Times New Roman" w:cs="Times New Roman"/>
          <w:sz w:val="24"/>
          <w:szCs w:val="24"/>
        </w:rPr>
        <w:t xml:space="preserve"> Therapeutic  efficacy  of  artemether/lumefantrine  (</w:t>
      </w:r>
      <w:proofErr w:type="spellStart"/>
      <w:r w:rsidRPr="00F5374C">
        <w:rPr>
          <w:rFonts w:ascii="Times New Roman" w:eastAsia="Times New Roman" w:hAnsi="Times New Roman" w:cs="Times New Roman"/>
          <w:sz w:val="24"/>
          <w:szCs w:val="24"/>
        </w:rPr>
        <w:t>Coartem</w:t>
      </w:r>
      <w:proofErr w:type="spellEnd"/>
      <w:r w:rsidRPr="00F5374C">
        <w:rPr>
          <w:rFonts w:ascii="Times New Roman" w:eastAsia="Times New Roman" w:hAnsi="Times New Roman" w:cs="Times New Roman"/>
          <w:sz w:val="24"/>
          <w:szCs w:val="24"/>
        </w:rPr>
        <w:t xml:space="preserve">®)  against Plasmodium falciparum in Kersa, South West Ethiopia. </w:t>
      </w:r>
      <w:r w:rsidRPr="00F5374C">
        <w:rPr>
          <w:rFonts w:ascii="Times New Roman" w:eastAsia="Times New Roman" w:hAnsi="Times New Roman" w:cs="Times New Roman"/>
          <w:i/>
          <w:iCs/>
          <w:sz w:val="24"/>
          <w:szCs w:val="24"/>
        </w:rPr>
        <w:t>Parasite Vectors.</w:t>
      </w:r>
      <w:r w:rsidRPr="00F5374C">
        <w:rPr>
          <w:rFonts w:ascii="Times New Roman" w:eastAsia="Times New Roman" w:hAnsi="Times New Roman" w:cs="Times New Roman"/>
          <w:sz w:val="24"/>
          <w:szCs w:val="24"/>
        </w:rPr>
        <w:t xml:space="preserve"> 3(1):1.</w:t>
      </w:r>
    </w:p>
    <w:p w14:paraId="734D10E1" w14:textId="77777777" w:rsidR="008D7D5E" w:rsidRDefault="008D7D5E" w:rsidP="00E36A08">
      <w:pPr>
        <w:spacing w:before="100" w:beforeAutospacing="1" w:after="100" w:afterAutospacing="1"/>
        <w:ind w:left="720" w:hanging="720"/>
        <w:jc w:val="both"/>
        <w:rPr>
          <w:rFonts w:ascii="Times New Roman" w:hAnsi="Times New Roman" w:cs="Times New Roman"/>
          <w:color w:val="0D0D0D" w:themeColor="text1" w:themeTint="F2"/>
          <w:sz w:val="24"/>
          <w:szCs w:val="24"/>
        </w:rPr>
      </w:pPr>
      <w:r w:rsidRPr="00862AC1">
        <w:rPr>
          <w:rFonts w:ascii="Times New Roman" w:eastAsia="Times New Roman" w:hAnsi="Times New Roman" w:cs="Times New Roman"/>
          <w:sz w:val="24"/>
          <w:szCs w:val="24"/>
        </w:rPr>
        <w:t xml:space="preserve">Chakravarty, A, K. (2006). Immunology and </w:t>
      </w:r>
      <w:proofErr w:type="spellStart"/>
      <w:r w:rsidRPr="00862AC1">
        <w:rPr>
          <w:rFonts w:ascii="Times New Roman" w:eastAsia="Times New Roman" w:hAnsi="Times New Roman" w:cs="Times New Roman"/>
          <w:sz w:val="24"/>
          <w:szCs w:val="24"/>
        </w:rPr>
        <w:t>Immunotechnology</w:t>
      </w:r>
      <w:proofErr w:type="spellEnd"/>
      <w:r w:rsidRPr="00862AC1">
        <w:rPr>
          <w:rFonts w:ascii="Times New Roman" w:eastAsia="Times New Roman" w:hAnsi="Times New Roman" w:cs="Times New Roman"/>
          <w:sz w:val="24"/>
          <w:szCs w:val="24"/>
        </w:rPr>
        <w:t>. Oxford University Press. pp. 184-185.</w:t>
      </w:r>
    </w:p>
    <w:p w14:paraId="6E8D7402" w14:textId="77777777" w:rsidR="008D7D5E" w:rsidRDefault="008D7D5E" w:rsidP="001B2F5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F5374C">
        <w:rPr>
          <w:rFonts w:ascii="Times New Roman" w:eastAsia="Times New Roman" w:hAnsi="Times New Roman" w:cs="Times New Roman"/>
          <w:sz w:val="24"/>
          <w:szCs w:val="24"/>
        </w:rPr>
        <w:t>Dondorp</w:t>
      </w:r>
      <w:proofErr w:type="spellEnd"/>
      <w:r>
        <w:rPr>
          <w:rFonts w:ascii="Times New Roman" w:eastAsia="Times New Roman" w:hAnsi="Times New Roman" w:cs="Times New Roman"/>
          <w:sz w:val="24"/>
          <w:szCs w:val="24"/>
        </w:rPr>
        <w:t xml:space="preserve"> </w:t>
      </w:r>
      <w:r w:rsidRPr="00F5374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sidRPr="00F5374C">
        <w:rPr>
          <w:rFonts w:ascii="Times New Roman" w:eastAsia="Times New Roman" w:hAnsi="Times New Roman" w:cs="Times New Roman"/>
          <w:sz w:val="24"/>
          <w:szCs w:val="24"/>
        </w:rPr>
        <w:t>M</w:t>
      </w:r>
      <w:proofErr w:type="gramEnd"/>
      <w:r w:rsidRPr="00F5374C">
        <w:rPr>
          <w:rFonts w:ascii="Times New Roman" w:eastAsia="Times New Roman" w:hAnsi="Times New Roman" w:cs="Times New Roman"/>
          <w:sz w:val="24"/>
          <w:szCs w:val="24"/>
        </w:rPr>
        <w:t xml:space="preserve">,  </w:t>
      </w:r>
      <w:proofErr w:type="spellStart"/>
      <w:r w:rsidRPr="00F5374C">
        <w:rPr>
          <w:rFonts w:ascii="Times New Roman" w:eastAsia="Times New Roman" w:hAnsi="Times New Roman" w:cs="Times New Roman"/>
          <w:sz w:val="24"/>
          <w:szCs w:val="24"/>
        </w:rPr>
        <w:t>Nosten</w:t>
      </w:r>
      <w:proofErr w:type="spellEnd"/>
      <w:r w:rsidRPr="00F5374C">
        <w:rPr>
          <w:rFonts w:ascii="Times New Roman" w:eastAsia="Times New Roman" w:hAnsi="Times New Roman" w:cs="Times New Roman"/>
          <w:sz w:val="24"/>
          <w:szCs w:val="24"/>
        </w:rPr>
        <w:t xml:space="preserve">  F,  Yi</w:t>
      </w:r>
      <w:r>
        <w:rPr>
          <w:rFonts w:ascii="Times New Roman" w:eastAsia="Times New Roman" w:hAnsi="Times New Roman" w:cs="Times New Roman"/>
          <w:sz w:val="24"/>
          <w:szCs w:val="24"/>
        </w:rPr>
        <w:t>.,</w:t>
      </w:r>
      <w:r w:rsidRPr="00F5374C">
        <w:rPr>
          <w:rFonts w:ascii="Times New Roman" w:eastAsia="Times New Roman" w:hAnsi="Times New Roman" w:cs="Times New Roman"/>
          <w:sz w:val="24"/>
          <w:szCs w:val="24"/>
        </w:rPr>
        <w:t xml:space="preserve">  P,  Das</w:t>
      </w:r>
      <w:r>
        <w:rPr>
          <w:rFonts w:ascii="Times New Roman" w:eastAsia="Times New Roman" w:hAnsi="Times New Roman" w:cs="Times New Roman"/>
          <w:sz w:val="24"/>
          <w:szCs w:val="24"/>
        </w:rPr>
        <w:t>,</w:t>
      </w:r>
      <w:r w:rsidRPr="00F5374C">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w:t>
      </w:r>
      <w:r w:rsidRPr="00F5374C">
        <w:rPr>
          <w:rFonts w:ascii="Times New Roman" w:eastAsia="Times New Roman" w:hAnsi="Times New Roman" w:cs="Times New Roman"/>
          <w:sz w:val="24"/>
          <w:szCs w:val="24"/>
        </w:rPr>
        <w:t>,  Phyo</w:t>
      </w:r>
      <w:r>
        <w:rPr>
          <w:rFonts w:ascii="Times New Roman" w:eastAsia="Times New Roman" w:hAnsi="Times New Roman" w:cs="Times New Roman"/>
          <w:sz w:val="24"/>
          <w:szCs w:val="24"/>
        </w:rPr>
        <w:t>,</w:t>
      </w:r>
      <w:r w:rsidRPr="00F5374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sidRPr="00F5374C">
        <w:rPr>
          <w:rFonts w:ascii="Times New Roman" w:eastAsia="Times New Roman" w:hAnsi="Times New Roman" w:cs="Times New Roman"/>
          <w:sz w:val="24"/>
          <w:szCs w:val="24"/>
        </w:rPr>
        <w:t>P</w:t>
      </w:r>
      <w:r>
        <w:rPr>
          <w:rFonts w:ascii="Times New Roman" w:eastAsia="Times New Roman" w:hAnsi="Times New Roman" w:cs="Times New Roman"/>
          <w:sz w:val="24"/>
          <w:szCs w:val="24"/>
        </w:rPr>
        <w:t>.</w:t>
      </w:r>
      <w:r w:rsidRPr="00F5374C">
        <w:rPr>
          <w:rFonts w:ascii="Times New Roman" w:eastAsia="Times New Roman" w:hAnsi="Times New Roman" w:cs="Times New Roman"/>
          <w:sz w:val="24"/>
          <w:szCs w:val="24"/>
        </w:rPr>
        <w:t>,  Tarning  J</w:t>
      </w:r>
      <w:r>
        <w:rPr>
          <w:rFonts w:ascii="Times New Roman" w:eastAsia="Times New Roman" w:hAnsi="Times New Roman" w:cs="Times New Roman"/>
          <w:sz w:val="24"/>
          <w:szCs w:val="24"/>
        </w:rPr>
        <w:t>.</w:t>
      </w:r>
      <w:r w:rsidRPr="00F5374C">
        <w:rPr>
          <w:rFonts w:ascii="Times New Roman" w:eastAsia="Times New Roman" w:hAnsi="Times New Roman" w:cs="Times New Roman"/>
          <w:sz w:val="24"/>
          <w:szCs w:val="24"/>
        </w:rPr>
        <w:t xml:space="preserve">,  </w:t>
      </w:r>
      <w:r w:rsidRPr="00F5374C">
        <w:rPr>
          <w:rFonts w:ascii="Times New Roman" w:eastAsia="Times New Roman" w:hAnsi="Times New Roman" w:cs="Times New Roman"/>
          <w:i/>
          <w:iCs/>
          <w:sz w:val="24"/>
          <w:szCs w:val="24"/>
        </w:rPr>
        <w:t>et  al.</w:t>
      </w:r>
      <w:r w:rsidRPr="00F537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(2009)</w:t>
      </w:r>
      <w:r w:rsidRPr="00F5374C">
        <w:rPr>
          <w:rFonts w:ascii="Times New Roman" w:eastAsia="Times New Roman" w:hAnsi="Times New Roman" w:cs="Times New Roman"/>
          <w:sz w:val="24"/>
          <w:szCs w:val="24"/>
        </w:rPr>
        <w:t xml:space="preserve">Artemisinin resistance in </w:t>
      </w:r>
      <w:r w:rsidRPr="001B2F59">
        <w:rPr>
          <w:rFonts w:ascii="Times New Roman" w:eastAsia="Times New Roman" w:hAnsi="Times New Roman" w:cs="Times New Roman"/>
          <w:i/>
          <w:iCs/>
          <w:sz w:val="24"/>
          <w:szCs w:val="24"/>
        </w:rPr>
        <w:t>Plasmodium falciparum</w:t>
      </w:r>
      <w:r>
        <w:rPr>
          <w:rFonts w:ascii="Times New Roman" w:eastAsia="Times New Roman" w:hAnsi="Times New Roman" w:cs="Times New Roman"/>
          <w:sz w:val="24"/>
          <w:szCs w:val="24"/>
        </w:rPr>
        <w:t xml:space="preserve"> </w:t>
      </w:r>
      <w:r w:rsidRPr="00F5374C">
        <w:rPr>
          <w:rFonts w:ascii="Times New Roman" w:eastAsia="Times New Roman" w:hAnsi="Times New Roman" w:cs="Times New Roman"/>
          <w:sz w:val="24"/>
          <w:szCs w:val="24"/>
        </w:rPr>
        <w:t>malaria</w:t>
      </w:r>
      <w:r w:rsidRPr="001B2F59">
        <w:rPr>
          <w:rFonts w:ascii="Times New Roman" w:eastAsia="Times New Roman" w:hAnsi="Times New Roman" w:cs="Times New Roman"/>
          <w:i/>
          <w:iCs/>
          <w:sz w:val="24"/>
          <w:szCs w:val="24"/>
        </w:rPr>
        <w:t>. N Engl J Med.</w:t>
      </w:r>
      <w:r w:rsidRPr="00F5374C">
        <w:rPr>
          <w:rFonts w:ascii="Times New Roman" w:eastAsia="Times New Roman" w:hAnsi="Times New Roman" w:cs="Times New Roman"/>
          <w:sz w:val="24"/>
          <w:szCs w:val="24"/>
        </w:rPr>
        <w:t xml:space="preserve"> 361(5):455-67</w:t>
      </w:r>
    </w:p>
    <w:p w14:paraId="43A85CB3" w14:textId="77777777" w:rsidR="008D7D5E" w:rsidRDefault="008D7D5E" w:rsidP="00E36A08">
      <w:pPr>
        <w:spacing w:before="100" w:beforeAutospacing="1" w:after="100" w:afterAutospacing="1"/>
        <w:ind w:left="720" w:hanging="720"/>
        <w:jc w:val="both"/>
        <w:rPr>
          <w:rFonts w:ascii="Times New Roman" w:hAnsi="Times New Roman" w:cs="Times New Roman"/>
          <w:color w:val="0D0D0D" w:themeColor="text1" w:themeTint="F2"/>
          <w:sz w:val="24"/>
          <w:szCs w:val="24"/>
        </w:rPr>
      </w:pPr>
      <w:proofErr w:type="spellStart"/>
      <w:r w:rsidRPr="00862AC1">
        <w:rPr>
          <w:rFonts w:ascii="Times New Roman" w:hAnsi="Times New Roman" w:cs="Times New Roman"/>
          <w:bCs/>
          <w:sz w:val="24"/>
          <w:szCs w:val="24"/>
        </w:rPr>
        <w:t>Ekun</w:t>
      </w:r>
      <w:proofErr w:type="spellEnd"/>
      <w:r w:rsidRPr="00862AC1">
        <w:rPr>
          <w:rFonts w:ascii="Times New Roman" w:hAnsi="Times New Roman" w:cs="Times New Roman"/>
          <w:bCs/>
          <w:sz w:val="24"/>
          <w:szCs w:val="24"/>
        </w:rPr>
        <w:t>, O.E.</w:t>
      </w:r>
      <w:r>
        <w:rPr>
          <w:rFonts w:ascii="Times New Roman" w:hAnsi="Times New Roman" w:cs="Times New Roman"/>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Abajingin</w:t>
      </w:r>
      <w:proofErr w:type="spellEnd"/>
      <w:r>
        <w:rPr>
          <w:rFonts w:ascii="Times New Roman" w:hAnsi="Times New Roman" w:cs="Times New Roman"/>
          <w:sz w:val="24"/>
          <w:szCs w:val="24"/>
        </w:rPr>
        <w:t xml:space="preserve">, D.D and </w:t>
      </w:r>
      <w:r w:rsidRPr="00990108">
        <w:rPr>
          <w:rFonts w:ascii="Times New Roman" w:hAnsi="Times New Roman" w:cs="Times New Roman"/>
          <w:sz w:val="24"/>
          <w:szCs w:val="24"/>
        </w:rPr>
        <w:t>Olusola</w:t>
      </w:r>
      <w:r>
        <w:rPr>
          <w:rFonts w:ascii="Times New Roman" w:hAnsi="Times New Roman" w:cs="Times New Roman"/>
          <w:sz w:val="24"/>
          <w:szCs w:val="24"/>
        </w:rPr>
        <w:t xml:space="preserve">, </w:t>
      </w:r>
      <w:proofErr w:type="gramStart"/>
      <w:r>
        <w:rPr>
          <w:rFonts w:ascii="Times New Roman" w:hAnsi="Times New Roman" w:cs="Times New Roman"/>
          <w:sz w:val="24"/>
          <w:szCs w:val="24"/>
        </w:rPr>
        <w:t>A.O.(</w:t>
      </w:r>
      <w:proofErr w:type="gramEnd"/>
      <w:r>
        <w:rPr>
          <w:rFonts w:ascii="Times New Roman" w:hAnsi="Times New Roman" w:cs="Times New Roman"/>
          <w:sz w:val="24"/>
          <w:szCs w:val="24"/>
        </w:rPr>
        <w:t>2023)</w:t>
      </w:r>
      <w:r w:rsidRPr="00EF2B98">
        <w:rPr>
          <w:rFonts w:ascii="Times New Roman" w:hAnsi="Times New Roman" w:cs="Times New Roman"/>
          <w:b/>
          <w:sz w:val="24"/>
          <w:szCs w:val="24"/>
        </w:rPr>
        <w:t xml:space="preserve"> </w:t>
      </w:r>
      <w:r w:rsidRPr="00EF2B98">
        <w:rPr>
          <w:rFonts w:ascii="Times New Roman" w:hAnsi="Times New Roman" w:cs="Times New Roman"/>
          <w:sz w:val="24"/>
          <w:szCs w:val="24"/>
        </w:rPr>
        <w:t xml:space="preserve">Effects of Alternating Magnetic Field Exposure on Cardiac Lipid Profile and Renal Function of Mice Infected with </w:t>
      </w:r>
      <w:r w:rsidRPr="00EF2B98">
        <w:rPr>
          <w:rFonts w:ascii="Times New Roman" w:hAnsi="Times New Roman" w:cs="Times New Roman"/>
          <w:i/>
          <w:sz w:val="24"/>
          <w:szCs w:val="24"/>
        </w:rPr>
        <w:t xml:space="preserve">Plasmodium </w:t>
      </w:r>
      <w:proofErr w:type="spellStart"/>
      <w:r w:rsidRPr="00EF2B98">
        <w:rPr>
          <w:rFonts w:ascii="Times New Roman" w:hAnsi="Times New Roman" w:cs="Times New Roman"/>
          <w:i/>
          <w:sz w:val="24"/>
          <w:szCs w:val="24"/>
        </w:rPr>
        <w:t>berghei</w:t>
      </w:r>
      <w:proofErr w:type="spellEnd"/>
      <w:r w:rsidRPr="00EF2B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2B98">
        <w:rPr>
          <w:rFonts w:ascii="Times New Roman" w:hAnsi="Times New Roman" w:cs="Times New Roman"/>
          <w:i/>
          <w:sz w:val="24"/>
          <w:szCs w:val="24"/>
        </w:rPr>
        <w:t>American Journal of Medicine and Public Health</w:t>
      </w:r>
      <w:r>
        <w:rPr>
          <w:rFonts w:ascii="Times New Roman" w:hAnsi="Times New Roman" w:cs="Times New Roman"/>
          <w:sz w:val="24"/>
          <w:szCs w:val="24"/>
        </w:rPr>
        <w:t xml:space="preserve"> 4(4):1054</w:t>
      </w:r>
    </w:p>
    <w:p w14:paraId="2CF90F21" w14:textId="77777777" w:rsidR="008D7D5E" w:rsidRDefault="008D7D5E" w:rsidP="00E36A08">
      <w:pPr>
        <w:spacing w:before="100" w:beforeAutospacing="1" w:after="100" w:afterAutospacing="1"/>
        <w:ind w:left="720" w:hanging="720"/>
        <w:jc w:val="both"/>
        <w:rPr>
          <w:rFonts w:ascii="Times New Roman" w:hAnsi="Times New Roman" w:cs="Times New Roman"/>
          <w:color w:val="0D0D0D" w:themeColor="text1" w:themeTint="F2"/>
          <w:sz w:val="24"/>
          <w:szCs w:val="24"/>
        </w:rPr>
      </w:pPr>
      <w:r w:rsidRPr="00810FD0">
        <w:rPr>
          <w:rFonts w:ascii="Times New Roman" w:eastAsia="Times New Roman" w:hAnsi="Times New Roman" w:cs="Times New Roman"/>
          <w:sz w:val="24"/>
          <w:szCs w:val="24"/>
        </w:rPr>
        <w:t>Gudmundsson, S., Mullen, G. E. D.</w:t>
      </w:r>
      <w:r>
        <w:rPr>
          <w:rFonts w:ascii="Times New Roman" w:eastAsia="Times New Roman" w:hAnsi="Times New Roman" w:cs="Times New Roman"/>
          <w:sz w:val="24"/>
          <w:szCs w:val="24"/>
        </w:rPr>
        <w:t xml:space="preserve"> and</w:t>
      </w:r>
      <w:r w:rsidRPr="00810FD0">
        <w:rPr>
          <w:rFonts w:ascii="Times New Roman" w:eastAsia="Times New Roman" w:hAnsi="Times New Roman" w:cs="Times New Roman"/>
          <w:sz w:val="24"/>
          <w:szCs w:val="24"/>
        </w:rPr>
        <w:t xml:space="preserve"> Chalmers, J. J. (2020). Inhibition of hemozoin formation by alternating magnetic fields in Plasmodium falciparum cultures. </w:t>
      </w:r>
      <w:r w:rsidRPr="00810FD0">
        <w:rPr>
          <w:rFonts w:ascii="Times New Roman" w:eastAsia="Times New Roman" w:hAnsi="Times New Roman" w:cs="Times New Roman"/>
          <w:i/>
          <w:iCs/>
          <w:sz w:val="24"/>
          <w:szCs w:val="24"/>
        </w:rPr>
        <w:t>Malaria Journal</w:t>
      </w:r>
      <w:r w:rsidRPr="00C903B7">
        <w:rPr>
          <w:rFonts w:ascii="Times New Roman" w:eastAsia="Times New Roman" w:hAnsi="Times New Roman" w:cs="Times New Roman"/>
          <w:sz w:val="24"/>
          <w:szCs w:val="24"/>
        </w:rPr>
        <w:t>, 19(1), 377</w:t>
      </w:r>
      <w:r w:rsidRPr="00810FD0">
        <w:rPr>
          <w:rFonts w:ascii="Times New Roman" w:eastAsia="Times New Roman" w:hAnsi="Times New Roman" w:cs="Times New Roman"/>
          <w:sz w:val="24"/>
          <w:szCs w:val="24"/>
        </w:rPr>
        <w:t>.</w:t>
      </w:r>
    </w:p>
    <w:p w14:paraId="69C61F21" w14:textId="77777777" w:rsidR="008D7D5E" w:rsidRDefault="008D7D5E" w:rsidP="00F5374C">
      <w:pPr>
        <w:spacing w:before="100" w:beforeAutospacing="1" w:after="100" w:afterAutospacing="1"/>
        <w:ind w:left="720" w:hanging="720"/>
        <w:jc w:val="both"/>
        <w:rPr>
          <w:rFonts w:ascii="Times New Roman" w:eastAsia="Times New Roman" w:hAnsi="Times New Roman" w:cs="Times New Roman"/>
          <w:sz w:val="24"/>
          <w:szCs w:val="24"/>
        </w:rPr>
      </w:pPr>
      <w:r w:rsidRPr="0010389D">
        <w:rPr>
          <w:rFonts w:ascii="Times New Roman" w:eastAsia="Times New Roman" w:hAnsi="Times New Roman" w:cs="Times New Roman"/>
          <w:sz w:val="24"/>
          <w:szCs w:val="24"/>
        </w:rPr>
        <w:t xml:space="preserve">Jiménez-Esquivel, V., García-Sosa, K., Said-Fernández, S., &amp; Said-Fernández, E. (2021). Antimicrobial activity of </w:t>
      </w:r>
      <w:proofErr w:type="spellStart"/>
      <w:r w:rsidRPr="0010389D">
        <w:rPr>
          <w:rFonts w:ascii="Times New Roman" w:eastAsia="Times New Roman" w:hAnsi="Times New Roman" w:cs="Times New Roman"/>
          <w:sz w:val="24"/>
          <w:szCs w:val="24"/>
        </w:rPr>
        <w:t>Tithonia</w:t>
      </w:r>
      <w:proofErr w:type="spellEnd"/>
      <w:r w:rsidRPr="0010389D">
        <w:rPr>
          <w:rFonts w:ascii="Times New Roman" w:eastAsia="Times New Roman" w:hAnsi="Times New Roman" w:cs="Times New Roman"/>
          <w:sz w:val="24"/>
          <w:szCs w:val="24"/>
        </w:rPr>
        <w:t xml:space="preserve"> </w:t>
      </w:r>
      <w:proofErr w:type="spellStart"/>
      <w:r w:rsidRPr="0010389D">
        <w:rPr>
          <w:rFonts w:ascii="Times New Roman" w:eastAsia="Times New Roman" w:hAnsi="Times New Roman" w:cs="Times New Roman"/>
          <w:sz w:val="24"/>
          <w:szCs w:val="24"/>
        </w:rPr>
        <w:t>diversifolia</w:t>
      </w:r>
      <w:proofErr w:type="spellEnd"/>
      <w:r w:rsidRPr="0010389D">
        <w:rPr>
          <w:rFonts w:ascii="Times New Roman" w:eastAsia="Times New Roman" w:hAnsi="Times New Roman" w:cs="Times New Roman"/>
          <w:sz w:val="24"/>
          <w:szCs w:val="24"/>
        </w:rPr>
        <w:t xml:space="preserve"> and characterization of bioactive compounds. </w:t>
      </w:r>
      <w:r w:rsidRPr="0010389D">
        <w:rPr>
          <w:rFonts w:ascii="Times New Roman" w:eastAsia="Times New Roman" w:hAnsi="Times New Roman" w:cs="Times New Roman"/>
          <w:i/>
          <w:iCs/>
          <w:sz w:val="24"/>
          <w:szCs w:val="24"/>
        </w:rPr>
        <w:t>Journal of Ethnopharmacology, 266</w:t>
      </w:r>
      <w:r w:rsidRPr="0010389D">
        <w:rPr>
          <w:rFonts w:ascii="Times New Roman" w:eastAsia="Times New Roman" w:hAnsi="Times New Roman" w:cs="Times New Roman"/>
          <w:sz w:val="24"/>
          <w:szCs w:val="24"/>
        </w:rPr>
        <w:t>, 113412.</w:t>
      </w:r>
    </w:p>
    <w:p w14:paraId="70A53364" w14:textId="77777777" w:rsidR="008D7D5E" w:rsidRDefault="008D7D5E" w:rsidP="001B2F59">
      <w:pPr>
        <w:spacing w:before="100" w:beforeAutospacing="1" w:after="100" w:afterAutospacing="1"/>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722D83">
        <w:rPr>
          <w:rFonts w:ascii="Times New Roman" w:eastAsia="Times New Roman" w:hAnsi="Times New Roman" w:cs="Times New Roman"/>
          <w:sz w:val="24"/>
          <w:szCs w:val="24"/>
        </w:rPr>
        <w:t>ohn-</w:t>
      </w:r>
      <w:proofErr w:type="spellStart"/>
      <w:r w:rsidRPr="00722D83">
        <w:rPr>
          <w:rFonts w:ascii="Times New Roman" w:eastAsia="Times New Roman" w:hAnsi="Times New Roman" w:cs="Times New Roman"/>
          <w:sz w:val="24"/>
          <w:szCs w:val="24"/>
        </w:rPr>
        <w:t>Dewole</w:t>
      </w:r>
      <w:proofErr w:type="spellEnd"/>
      <w:r w:rsidRPr="00722D83">
        <w:rPr>
          <w:rFonts w:ascii="Times New Roman" w:eastAsia="Times New Roman" w:hAnsi="Times New Roman" w:cs="Times New Roman"/>
          <w:sz w:val="24"/>
          <w:szCs w:val="24"/>
        </w:rPr>
        <w:t>, O.O. And Oni, S.O</w:t>
      </w:r>
      <w:r>
        <w:rPr>
          <w:rFonts w:ascii="Times New Roman" w:eastAsia="Times New Roman" w:hAnsi="Times New Roman" w:cs="Times New Roman"/>
          <w:sz w:val="24"/>
          <w:szCs w:val="24"/>
        </w:rPr>
        <w:t xml:space="preserve">. (2021) </w:t>
      </w:r>
      <w:r w:rsidRPr="001B2F59">
        <w:rPr>
          <w:rFonts w:ascii="Times New Roman" w:eastAsia="Times New Roman" w:hAnsi="Times New Roman" w:cs="Times New Roman"/>
          <w:sz w:val="24"/>
          <w:szCs w:val="24"/>
        </w:rPr>
        <w:t xml:space="preserve">Phytochemical and Antimicrobial Studies of Extracts from the Leaves of </w:t>
      </w:r>
      <w:r w:rsidRPr="001B2F59">
        <w:rPr>
          <w:rFonts w:ascii="Times New Roman" w:eastAsia="Times New Roman" w:hAnsi="Times New Roman" w:cs="Times New Roman"/>
          <w:i/>
          <w:iCs/>
          <w:sz w:val="24"/>
          <w:szCs w:val="24"/>
        </w:rPr>
        <w:t>Tithonia Diversifolia</w:t>
      </w:r>
      <w:r w:rsidRPr="001B2F59">
        <w:rPr>
          <w:rFonts w:ascii="Times New Roman" w:eastAsia="Times New Roman" w:hAnsi="Times New Roman" w:cs="Times New Roman"/>
          <w:sz w:val="24"/>
          <w:szCs w:val="24"/>
        </w:rPr>
        <w:t xml:space="preserve"> for Pharmaceutical Importance</w:t>
      </w:r>
      <w:r>
        <w:rPr>
          <w:rFonts w:ascii="Times New Roman" w:eastAsia="Times New Roman" w:hAnsi="Times New Roman" w:cs="Times New Roman"/>
          <w:sz w:val="24"/>
          <w:szCs w:val="24"/>
        </w:rPr>
        <w:t xml:space="preserve">. </w:t>
      </w:r>
      <w:r w:rsidRPr="001B2F59">
        <w:rPr>
          <w:rFonts w:ascii="Times New Roman" w:eastAsia="Times New Roman" w:hAnsi="Times New Roman" w:cs="Times New Roman"/>
          <w:i/>
          <w:iCs/>
          <w:sz w:val="24"/>
          <w:szCs w:val="24"/>
        </w:rPr>
        <w:t>IOSR Journal of Pharmacy and Biological Sciences</w:t>
      </w:r>
      <w:r>
        <w:rPr>
          <w:rFonts w:ascii="Times New Roman" w:eastAsia="Times New Roman" w:hAnsi="Times New Roman" w:cs="Times New Roman"/>
          <w:sz w:val="24"/>
          <w:szCs w:val="24"/>
        </w:rPr>
        <w:t>6(4):21-25</w:t>
      </w:r>
    </w:p>
    <w:p w14:paraId="0CB16D94" w14:textId="77777777" w:rsidR="008D7D5E" w:rsidRDefault="008D7D5E" w:rsidP="00E36A08">
      <w:pPr>
        <w:spacing w:before="100" w:beforeAutospacing="1" w:after="100" w:afterAutospacing="1"/>
        <w:ind w:left="720" w:hanging="720"/>
        <w:jc w:val="both"/>
        <w:rPr>
          <w:rFonts w:ascii="Times New Roman" w:hAnsi="Times New Roman" w:cs="Times New Roman"/>
          <w:color w:val="0D0D0D" w:themeColor="text1" w:themeTint="F2"/>
          <w:sz w:val="24"/>
          <w:szCs w:val="24"/>
        </w:rPr>
      </w:pPr>
      <w:r w:rsidRPr="00810FD0">
        <w:rPr>
          <w:rFonts w:ascii="Times New Roman" w:eastAsia="Times New Roman" w:hAnsi="Times New Roman" w:cs="Times New Roman"/>
          <w:sz w:val="24"/>
          <w:szCs w:val="24"/>
        </w:rPr>
        <w:t xml:space="preserve">Khan, A., Gupta, P., &amp; Singh, S. (2019). Antimalarial effects of low-frequency alternating magnetic fields in a mouse model. </w:t>
      </w:r>
      <w:r w:rsidRPr="00810FD0">
        <w:rPr>
          <w:rFonts w:ascii="Times New Roman" w:eastAsia="Times New Roman" w:hAnsi="Times New Roman" w:cs="Times New Roman"/>
          <w:i/>
          <w:iCs/>
          <w:sz w:val="24"/>
          <w:szCs w:val="24"/>
        </w:rPr>
        <w:t>Experimental Parasitology</w:t>
      </w:r>
      <w:r w:rsidRPr="00C903B7">
        <w:rPr>
          <w:rFonts w:ascii="Times New Roman" w:eastAsia="Times New Roman" w:hAnsi="Times New Roman" w:cs="Times New Roman"/>
          <w:sz w:val="24"/>
          <w:szCs w:val="24"/>
        </w:rPr>
        <w:t>, 204,</w:t>
      </w:r>
      <w:r w:rsidRPr="00810FD0">
        <w:rPr>
          <w:rFonts w:ascii="Times New Roman" w:eastAsia="Times New Roman" w:hAnsi="Times New Roman" w:cs="Times New Roman"/>
          <w:sz w:val="24"/>
          <w:szCs w:val="24"/>
        </w:rPr>
        <w:t xml:space="preserve"> 107711.</w:t>
      </w:r>
    </w:p>
    <w:p w14:paraId="0DC59020" w14:textId="77777777" w:rsidR="008D7D5E" w:rsidRDefault="008D7D5E" w:rsidP="00E36A08">
      <w:pPr>
        <w:spacing w:before="100" w:beforeAutospacing="1" w:after="100" w:afterAutospacing="1"/>
        <w:ind w:left="720" w:hanging="720"/>
        <w:jc w:val="both"/>
        <w:rPr>
          <w:rFonts w:ascii="Times New Roman" w:hAnsi="Times New Roman" w:cs="Times New Roman"/>
          <w:color w:val="0D0D0D" w:themeColor="text1" w:themeTint="F2"/>
          <w:sz w:val="24"/>
          <w:szCs w:val="24"/>
        </w:rPr>
      </w:pPr>
      <w:proofErr w:type="spellStart"/>
      <w:r w:rsidRPr="00810FD0">
        <w:rPr>
          <w:rFonts w:ascii="Times New Roman" w:eastAsia="Times New Roman" w:hAnsi="Times New Roman" w:cs="Times New Roman"/>
          <w:sz w:val="24"/>
          <w:szCs w:val="24"/>
        </w:rPr>
        <w:t>Looareesuwan</w:t>
      </w:r>
      <w:proofErr w:type="spellEnd"/>
      <w:r w:rsidRPr="00810FD0">
        <w:rPr>
          <w:rFonts w:ascii="Times New Roman" w:eastAsia="Times New Roman" w:hAnsi="Times New Roman" w:cs="Times New Roman"/>
          <w:sz w:val="24"/>
          <w:szCs w:val="24"/>
        </w:rPr>
        <w:t xml:space="preserve">, S., </w:t>
      </w:r>
      <w:proofErr w:type="spellStart"/>
      <w:r w:rsidRPr="00810FD0">
        <w:rPr>
          <w:rFonts w:ascii="Times New Roman" w:eastAsia="Times New Roman" w:hAnsi="Times New Roman" w:cs="Times New Roman"/>
          <w:sz w:val="24"/>
          <w:szCs w:val="24"/>
        </w:rPr>
        <w:t>Wilairatana</w:t>
      </w:r>
      <w:proofErr w:type="spellEnd"/>
      <w:r w:rsidRPr="00810FD0">
        <w:rPr>
          <w:rFonts w:ascii="Times New Roman" w:eastAsia="Times New Roman" w:hAnsi="Times New Roman" w:cs="Times New Roman"/>
          <w:sz w:val="24"/>
          <w:szCs w:val="24"/>
        </w:rPr>
        <w:t xml:space="preserve">, P., &amp; </w:t>
      </w:r>
      <w:proofErr w:type="spellStart"/>
      <w:r w:rsidRPr="00810FD0">
        <w:rPr>
          <w:rFonts w:ascii="Times New Roman" w:eastAsia="Times New Roman" w:hAnsi="Times New Roman" w:cs="Times New Roman"/>
          <w:sz w:val="24"/>
          <w:szCs w:val="24"/>
        </w:rPr>
        <w:t>Viriyavejakul</w:t>
      </w:r>
      <w:proofErr w:type="spellEnd"/>
      <w:r w:rsidRPr="00810FD0">
        <w:rPr>
          <w:rFonts w:ascii="Times New Roman" w:eastAsia="Times New Roman" w:hAnsi="Times New Roman" w:cs="Times New Roman"/>
          <w:sz w:val="24"/>
          <w:szCs w:val="24"/>
        </w:rPr>
        <w:t xml:space="preserve">, P. (2017). Magnetic properties of hemozoin and the application of alternating magnetic fields in malaria treatment. </w:t>
      </w:r>
      <w:r w:rsidRPr="00810FD0">
        <w:rPr>
          <w:rFonts w:ascii="Times New Roman" w:eastAsia="Times New Roman" w:hAnsi="Times New Roman" w:cs="Times New Roman"/>
          <w:i/>
          <w:iCs/>
          <w:sz w:val="24"/>
          <w:szCs w:val="24"/>
        </w:rPr>
        <w:t xml:space="preserve">American Journal of Tropical Medicine and Hygiene, </w:t>
      </w:r>
      <w:r w:rsidRPr="00C903B7">
        <w:rPr>
          <w:rFonts w:ascii="Times New Roman" w:eastAsia="Times New Roman" w:hAnsi="Times New Roman" w:cs="Times New Roman"/>
          <w:sz w:val="24"/>
          <w:szCs w:val="24"/>
        </w:rPr>
        <w:t>96(1),</w:t>
      </w:r>
      <w:r w:rsidRPr="00810FD0">
        <w:rPr>
          <w:rFonts w:ascii="Times New Roman" w:eastAsia="Times New Roman" w:hAnsi="Times New Roman" w:cs="Times New Roman"/>
          <w:sz w:val="24"/>
          <w:szCs w:val="24"/>
        </w:rPr>
        <w:t xml:space="preserve"> 54-61</w:t>
      </w:r>
    </w:p>
    <w:p w14:paraId="6F36C86E" w14:textId="77777777" w:rsidR="008D7D5E" w:rsidRDefault="008D7D5E" w:rsidP="00722D83">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722D83">
        <w:rPr>
          <w:rFonts w:ascii="Times New Roman" w:eastAsia="Times New Roman" w:hAnsi="Times New Roman" w:cs="Times New Roman"/>
          <w:sz w:val="24"/>
          <w:szCs w:val="24"/>
        </w:rPr>
        <w:t>Megabiaw</w:t>
      </w:r>
      <w:proofErr w:type="spellEnd"/>
      <w:r>
        <w:rPr>
          <w:rFonts w:ascii="Times New Roman" w:eastAsia="Times New Roman" w:hAnsi="Times New Roman" w:cs="Times New Roman"/>
          <w:sz w:val="24"/>
          <w:szCs w:val="24"/>
        </w:rPr>
        <w:t xml:space="preserve">, F., </w:t>
      </w:r>
      <w:r w:rsidRPr="00722D83">
        <w:rPr>
          <w:rFonts w:ascii="Times New Roman" w:eastAsia="Times New Roman" w:hAnsi="Times New Roman" w:cs="Times New Roman"/>
          <w:sz w:val="24"/>
          <w:szCs w:val="24"/>
        </w:rPr>
        <w:t>Eshetu</w:t>
      </w:r>
      <w:r>
        <w:rPr>
          <w:rFonts w:ascii="Times New Roman" w:eastAsia="Times New Roman" w:hAnsi="Times New Roman" w:cs="Times New Roman"/>
          <w:sz w:val="24"/>
          <w:szCs w:val="24"/>
        </w:rPr>
        <w:t xml:space="preserve">, T., </w:t>
      </w:r>
      <w:proofErr w:type="spellStart"/>
      <w:r w:rsidRPr="00722D83">
        <w:rPr>
          <w:rFonts w:ascii="Times New Roman" w:eastAsia="Times New Roman" w:hAnsi="Times New Roman" w:cs="Times New Roman"/>
          <w:sz w:val="24"/>
          <w:szCs w:val="24"/>
        </w:rPr>
        <w:t>Kassahun</w:t>
      </w:r>
      <w:proofErr w:type="spellEnd"/>
      <w:r>
        <w:rPr>
          <w:rFonts w:ascii="Times New Roman" w:eastAsia="Times New Roman" w:hAnsi="Times New Roman" w:cs="Times New Roman"/>
          <w:sz w:val="24"/>
          <w:szCs w:val="24"/>
        </w:rPr>
        <w:t xml:space="preserve">, Z and </w:t>
      </w:r>
      <w:proofErr w:type="spellStart"/>
      <w:r w:rsidRPr="00722D83">
        <w:rPr>
          <w:rFonts w:ascii="Times New Roman" w:eastAsia="Times New Roman" w:hAnsi="Times New Roman" w:cs="Times New Roman"/>
          <w:sz w:val="24"/>
          <w:szCs w:val="24"/>
        </w:rPr>
        <w:t>Aemero</w:t>
      </w:r>
      <w:proofErr w:type="spellEnd"/>
      <w:r>
        <w:rPr>
          <w:rFonts w:ascii="Times New Roman" w:eastAsia="Times New Roman" w:hAnsi="Times New Roman" w:cs="Times New Roman"/>
          <w:sz w:val="24"/>
          <w:szCs w:val="24"/>
        </w:rPr>
        <w:t>, M (2022). L</w:t>
      </w:r>
      <w:r w:rsidRPr="00722D83">
        <w:rPr>
          <w:rFonts w:ascii="Times New Roman" w:eastAsia="Times New Roman" w:hAnsi="Times New Roman" w:cs="Times New Roman"/>
          <w:sz w:val="24"/>
          <w:szCs w:val="24"/>
        </w:rPr>
        <w:t>iver Enzymes and Lipid Profile of Malaria Patients</w:t>
      </w:r>
      <w:r>
        <w:rPr>
          <w:rFonts w:ascii="Times New Roman" w:eastAsia="Times New Roman" w:hAnsi="Times New Roman" w:cs="Times New Roman"/>
          <w:sz w:val="24"/>
          <w:szCs w:val="24"/>
        </w:rPr>
        <w:t xml:space="preserve"> </w:t>
      </w:r>
      <w:r w:rsidRPr="00722D83">
        <w:rPr>
          <w:rFonts w:ascii="Times New Roman" w:eastAsia="Times New Roman" w:hAnsi="Times New Roman" w:cs="Times New Roman"/>
          <w:sz w:val="24"/>
          <w:szCs w:val="24"/>
        </w:rPr>
        <w:t>Before and After Antimalarial Drug Treatment at</w:t>
      </w:r>
      <w:r>
        <w:rPr>
          <w:rFonts w:ascii="Times New Roman" w:eastAsia="Times New Roman" w:hAnsi="Times New Roman" w:cs="Times New Roman"/>
          <w:sz w:val="24"/>
          <w:szCs w:val="24"/>
        </w:rPr>
        <w:t xml:space="preserve"> </w:t>
      </w:r>
      <w:proofErr w:type="spellStart"/>
      <w:r w:rsidRPr="00722D83">
        <w:rPr>
          <w:rFonts w:ascii="Times New Roman" w:eastAsia="Times New Roman" w:hAnsi="Times New Roman" w:cs="Times New Roman"/>
          <w:sz w:val="24"/>
          <w:szCs w:val="24"/>
        </w:rPr>
        <w:t>Dembia</w:t>
      </w:r>
      <w:proofErr w:type="spellEnd"/>
      <w:r w:rsidRPr="00722D83">
        <w:rPr>
          <w:rFonts w:ascii="Times New Roman" w:eastAsia="Times New Roman" w:hAnsi="Times New Roman" w:cs="Times New Roman"/>
          <w:sz w:val="24"/>
          <w:szCs w:val="24"/>
        </w:rPr>
        <w:t xml:space="preserve"> Primary Hospital and </w:t>
      </w:r>
      <w:proofErr w:type="spellStart"/>
      <w:r w:rsidRPr="00722D83">
        <w:rPr>
          <w:rFonts w:ascii="Times New Roman" w:eastAsia="Times New Roman" w:hAnsi="Times New Roman" w:cs="Times New Roman"/>
          <w:sz w:val="24"/>
          <w:szCs w:val="24"/>
        </w:rPr>
        <w:t>Teda</w:t>
      </w:r>
      <w:proofErr w:type="spellEnd"/>
      <w:r w:rsidRPr="00722D83">
        <w:rPr>
          <w:rFonts w:ascii="Times New Roman" w:eastAsia="Times New Roman" w:hAnsi="Times New Roman" w:cs="Times New Roman"/>
          <w:sz w:val="24"/>
          <w:szCs w:val="24"/>
        </w:rPr>
        <w:t xml:space="preserve"> Health Center,</w:t>
      </w:r>
      <w:r>
        <w:rPr>
          <w:rFonts w:ascii="Times New Roman" w:eastAsia="Times New Roman" w:hAnsi="Times New Roman" w:cs="Times New Roman"/>
          <w:sz w:val="24"/>
          <w:szCs w:val="24"/>
        </w:rPr>
        <w:t xml:space="preserve"> </w:t>
      </w:r>
      <w:r w:rsidRPr="00722D83">
        <w:rPr>
          <w:rFonts w:ascii="Times New Roman" w:eastAsia="Times New Roman" w:hAnsi="Times New Roman" w:cs="Times New Roman"/>
          <w:sz w:val="24"/>
          <w:szCs w:val="24"/>
        </w:rPr>
        <w:t>Northwest, Ethiopia</w:t>
      </w:r>
      <w:r>
        <w:rPr>
          <w:rFonts w:ascii="Times New Roman" w:eastAsia="Times New Roman" w:hAnsi="Times New Roman" w:cs="Times New Roman"/>
          <w:sz w:val="24"/>
          <w:szCs w:val="24"/>
        </w:rPr>
        <w:t xml:space="preserve">. </w:t>
      </w:r>
      <w:r w:rsidRPr="00722D83">
        <w:rPr>
          <w:rFonts w:ascii="Times New Roman" w:eastAsia="Times New Roman" w:hAnsi="Times New Roman" w:cs="Times New Roman"/>
          <w:i/>
          <w:iCs/>
          <w:sz w:val="24"/>
          <w:szCs w:val="24"/>
        </w:rPr>
        <w:t>Research and Reports in Tropical Medicine</w:t>
      </w:r>
      <w:r w:rsidRPr="00722D83">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w:t>
      </w:r>
      <w:r w:rsidRPr="00722D83">
        <w:rPr>
          <w:rFonts w:ascii="Times New Roman" w:eastAsia="Times New Roman" w:hAnsi="Times New Roman" w:cs="Times New Roman"/>
          <w:sz w:val="24"/>
          <w:szCs w:val="24"/>
        </w:rPr>
        <w:t xml:space="preserve"> 11–23</w:t>
      </w:r>
    </w:p>
    <w:p w14:paraId="23B415A1" w14:textId="77777777" w:rsidR="008D7D5E" w:rsidRPr="00722D83" w:rsidRDefault="008D7D5E" w:rsidP="008D7D5E">
      <w:pPr>
        <w:spacing w:before="100" w:beforeAutospacing="1" w:after="100" w:afterAutospacing="1"/>
        <w:ind w:left="720" w:hanging="720"/>
        <w:jc w:val="both"/>
        <w:rPr>
          <w:rFonts w:ascii="Times New Roman" w:eastAsia="Times New Roman" w:hAnsi="Times New Roman" w:cs="Times New Roman"/>
          <w:sz w:val="24"/>
          <w:szCs w:val="24"/>
        </w:rPr>
      </w:pPr>
      <w:r w:rsidRPr="008D7D5E">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lusola, </w:t>
      </w:r>
      <w:proofErr w:type="gramStart"/>
      <w:r>
        <w:rPr>
          <w:rFonts w:ascii="Times New Roman" w:eastAsia="Times New Roman" w:hAnsi="Times New Roman" w:cs="Times New Roman"/>
          <w:sz w:val="24"/>
          <w:szCs w:val="24"/>
        </w:rPr>
        <w:t>A.O</w:t>
      </w:r>
      <w:r w:rsidRPr="008D7D5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2018)</w:t>
      </w:r>
      <w:r w:rsidRPr="008D7D5E">
        <w:rPr>
          <w:rFonts w:ascii="Times New Roman" w:eastAsia="Times New Roman" w:hAnsi="Times New Roman" w:cs="Times New Roman"/>
          <w:sz w:val="24"/>
          <w:szCs w:val="24"/>
        </w:rPr>
        <w:t xml:space="preserve"> Effect of Plasmodium falciparum on liver function parameters of children in Akoko Area of Ondo State, </w:t>
      </w:r>
      <w:proofErr w:type="spellStart"/>
      <w:r w:rsidRPr="008D7D5E">
        <w:rPr>
          <w:rFonts w:ascii="Times New Roman" w:eastAsia="Times New Roman" w:hAnsi="Times New Roman" w:cs="Times New Roman"/>
          <w:i/>
          <w:iCs/>
          <w:sz w:val="24"/>
          <w:szCs w:val="24"/>
        </w:rPr>
        <w:t>Nigeria.J</w:t>
      </w:r>
      <w:proofErr w:type="spellEnd"/>
      <w:r>
        <w:rPr>
          <w:rFonts w:ascii="Times New Roman" w:eastAsia="Times New Roman" w:hAnsi="Times New Roman" w:cs="Times New Roman"/>
          <w:i/>
          <w:iCs/>
          <w:sz w:val="24"/>
          <w:szCs w:val="24"/>
        </w:rPr>
        <w:t>.</w:t>
      </w:r>
      <w:r w:rsidRPr="008D7D5E">
        <w:rPr>
          <w:rFonts w:ascii="Times New Roman" w:eastAsia="Times New Roman" w:hAnsi="Times New Roman" w:cs="Times New Roman"/>
          <w:i/>
          <w:iCs/>
          <w:sz w:val="24"/>
          <w:szCs w:val="24"/>
        </w:rPr>
        <w:t xml:space="preserve"> Diagn.</w:t>
      </w:r>
      <w:r w:rsidRPr="008D7D5E">
        <w:rPr>
          <w:rFonts w:ascii="Times New Roman" w:eastAsia="Times New Roman" w:hAnsi="Times New Roman" w:cs="Times New Roman"/>
          <w:sz w:val="24"/>
          <w:szCs w:val="24"/>
        </w:rPr>
        <w:t xml:space="preserve"> 5(1):1–5.</w:t>
      </w:r>
    </w:p>
    <w:p w14:paraId="4EAE8A18" w14:textId="77777777" w:rsidR="008D7D5E" w:rsidRDefault="008D7D5E" w:rsidP="00E36A08">
      <w:pPr>
        <w:spacing w:before="100" w:beforeAutospacing="1" w:after="100" w:afterAutospacing="1"/>
        <w:ind w:left="720" w:hanging="720"/>
        <w:jc w:val="both"/>
        <w:rPr>
          <w:rFonts w:ascii="Times New Roman" w:hAnsi="Times New Roman" w:cs="Times New Roman"/>
          <w:color w:val="0D0D0D" w:themeColor="text1" w:themeTint="F2"/>
          <w:sz w:val="24"/>
          <w:szCs w:val="24"/>
        </w:rPr>
      </w:pPr>
      <w:r w:rsidRPr="00862AC1">
        <w:rPr>
          <w:rFonts w:ascii="Times New Roman" w:eastAsia="Times New Roman" w:hAnsi="Times New Roman" w:cs="Times New Roman"/>
          <w:sz w:val="24"/>
          <w:szCs w:val="24"/>
        </w:rPr>
        <w:t>Olusola</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O</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 Okoh</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F</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 xml:space="preserve">, </w:t>
      </w:r>
      <w:proofErr w:type="spellStart"/>
      <w:r w:rsidRPr="00862AC1">
        <w:rPr>
          <w:rFonts w:ascii="Times New Roman" w:eastAsia="Times New Roman" w:hAnsi="Times New Roman" w:cs="Times New Roman"/>
          <w:sz w:val="24"/>
          <w:szCs w:val="24"/>
        </w:rPr>
        <w:t>Ekun</w:t>
      </w:r>
      <w:proofErr w:type="spellEnd"/>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 xml:space="preserve">, </w:t>
      </w:r>
      <w:proofErr w:type="spellStart"/>
      <w:r w:rsidRPr="00862AC1">
        <w:rPr>
          <w:rFonts w:ascii="Times New Roman" w:eastAsia="Times New Roman" w:hAnsi="Times New Roman" w:cs="Times New Roman"/>
          <w:sz w:val="24"/>
          <w:szCs w:val="24"/>
        </w:rPr>
        <w:t>Elekan</w:t>
      </w:r>
      <w:proofErr w:type="spellEnd"/>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O</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 xml:space="preserve">, </w:t>
      </w:r>
      <w:proofErr w:type="spellStart"/>
      <w:proofErr w:type="gramStart"/>
      <w:r w:rsidRPr="00862AC1">
        <w:rPr>
          <w:rFonts w:ascii="Times New Roman" w:eastAsia="Times New Roman" w:hAnsi="Times New Roman" w:cs="Times New Roman"/>
          <w:sz w:val="24"/>
          <w:szCs w:val="24"/>
        </w:rPr>
        <w:t>Omoboyowa</w:t>
      </w:r>
      <w:proofErr w:type="spellEnd"/>
      <w:r w:rsidRPr="00862A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sidRPr="00862AC1">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 xml:space="preserve"> and Olusola</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sidRPr="00862AC1">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(2024) </w:t>
      </w:r>
      <w:r w:rsidRPr="00862AC1">
        <w:rPr>
          <w:rFonts w:ascii="Times New Roman" w:eastAsia="Times New Roman" w:hAnsi="Times New Roman" w:cs="Times New Roman"/>
          <w:sz w:val="24"/>
          <w:szCs w:val="24"/>
        </w:rPr>
        <w:t xml:space="preserve">Unveiling Natures Arsenal: Harnessing </w:t>
      </w:r>
      <w:proofErr w:type="spellStart"/>
      <w:r w:rsidRPr="00862AC1">
        <w:rPr>
          <w:rFonts w:ascii="Times New Roman" w:eastAsia="Times New Roman" w:hAnsi="Times New Roman" w:cs="Times New Roman"/>
          <w:i/>
          <w:iCs/>
          <w:sz w:val="24"/>
          <w:szCs w:val="24"/>
        </w:rPr>
        <w:t>Entada</w:t>
      </w:r>
      <w:proofErr w:type="spellEnd"/>
      <w:r w:rsidRPr="00862AC1">
        <w:rPr>
          <w:rFonts w:ascii="Times New Roman" w:eastAsia="Times New Roman" w:hAnsi="Times New Roman" w:cs="Times New Roman"/>
          <w:i/>
          <w:iCs/>
          <w:sz w:val="24"/>
          <w:szCs w:val="24"/>
        </w:rPr>
        <w:t xml:space="preserve"> </w:t>
      </w:r>
      <w:proofErr w:type="spellStart"/>
      <w:r w:rsidRPr="00862AC1">
        <w:rPr>
          <w:rFonts w:ascii="Times New Roman" w:eastAsia="Times New Roman" w:hAnsi="Times New Roman" w:cs="Times New Roman"/>
          <w:i/>
          <w:iCs/>
          <w:sz w:val="24"/>
          <w:szCs w:val="24"/>
        </w:rPr>
        <w:t>africana's</w:t>
      </w:r>
      <w:proofErr w:type="spellEnd"/>
      <w:r>
        <w:rPr>
          <w:rFonts w:ascii="Times New Roman" w:eastAsia="Times New Roman" w:hAnsi="Times New Roman" w:cs="Times New Roman"/>
          <w:sz w:val="24"/>
          <w:szCs w:val="24"/>
        </w:rPr>
        <w:t xml:space="preserve"> </w:t>
      </w:r>
      <w:r w:rsidRPr="00862AC1">
        <w:rPr>
          <w:rFonts w:ascii="Times New Roman" w:eastAsia="Times New Roman" w:hAnsi="Times New Roman" w:cs="Times New Roman"/>
          <w:sz w:val="24"/>
          <w:szCs w:val="24"/>
        </w:rPr>
        <w:t xml:space="preserve">Methanol Bark </w:t>
      </w:r>
      <w:proofErr w:type="spellStart"/>
      <w:r w:rsidRPr="00862AC1">
        <w:rPr>
          <w:rFonts w:ascii="Times New Roman" w:eastAsia="Times New Roman" w:hAnsi="Times New Roman" w:cs="Times New Roman"/>
          <w:sz w:val="24"/>
          <w:szCs w:val="24"/>
        </w:rPr>
        <w:t>Extractto</w:t>
      </w:r>
      <w:proofErr w:type="spellEnd"/>
      <w:r w:rsidRPr="00862AC1">
        <w:rPr>
          <w:rFonts w:ascii="Times New Roman" w:eastAsia="Times New Roman" w:hAnsi="Times New Roman" w:cs="Times New Roman"/>
          <w:sz w:val="24"/>
          <w:szCs w:val="24"/>
        </w:rPr>
        <w:t xml:space="preserve"> </w:t>
      </w:r>
      <w:r w:rsidRPr="00862AC1">
        <w:rPr>
          <w:rFonts w:ascii="Times New Roman" w:eastAsia="Times New Roman" w:hAnsi="Times New Roman" w:cs="Times New Roman"/>
          <w:sz w:val="24"/>
          <w:szCs w:val="24"/>
        </w:rPr>
        <w:lastRenderedPageBreak/>
        <w:t>Combat Malarial infection Through Heme Polymerase Inhibition</w:t>
      </w:r>
      <w:r>
        <w:rPr>
          <w:rFonts w:ascii="Times New Roman" w:eastAsia="Times New Roman" w:hAnsi="Times New Roman" w:cs="Times New Roman"/>
          <w:sz w:val="24"/>
          <w:szCs w:val="24"/>
        </w:rPr>
        <w:t xml:space="preserve">. </w:t>
      </w:r>
      <w:r w:rsidRPr="00862AC1">
        <w:rPr>
          <w:rFonts w:ascii="Times New Roman" w:eastAsia="Times New Roman" w:hAnsi="Times New Roman" w:cs="Times New Roman"/>
          <w:i/>
          <w:iCs/>
          <w:sz w:val="24"/>
          <w:szCs w:val="24"/>
        </w:rPr>
        <w:t>Journal of Pharmaceutics &amp; Drug Development</w:t>
      </w:r>
      <w:r>
        <w:rPr>
          <w:rFonts w:ascii="Times New Roman" w:eastAsia="Times New Roman" w:hAnsi="Times New Roman" w:cs="Times New Roman"/>
          <w:sz w:val="24"/>
          <w:szCs w:val="24"/>
        </w:rPr>
        <w:t xml:space="preserve"> 11(1): 102</w:t>
      </w:r>
    </w:p>
    <w:p w14:paraId="18F494EF" w14:textId="77777777" w:rsidR="008D7D5E" w:rsidRDefault="008D7D5E" w:rsidP="00F5374C">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10389D">
        <w:rPr>
          <w:rFonts w:ascii="Times New Roman" w:eastAsia="Times New Roman" w:hAnsi="Times New Roman" w:cs="Times New Roman"/>
          <w:sz w:val="24"/>
          <w:szCs w:val="24"/>
        </w:rPr>
        <w:t>Owoyele</w:t>
      </w:r>
      <w:proofErr w:type="spellEnd"/>
      <w:r w:rsidRPr="0010389D">
        <w:rPr>
          <w:rFonts w:ascii="Times New Roman" w:eastAsia="Times New Roman" w:hAnsi="Times New Roman" w:cs="Times New Roman"/>
          <w:sz w:val="24"/>
          <w:szCs w:val="24"/>
        </w:rPr>
        <w:t xml:space="preserve">, B. V., </w:t>
      </w:r>
      <w:proofErr w:type="spellStart"/>
      <w:r w:rsidRPr="0010389D">
        <w:rPr>
          <w:rFonts w:ascii="Times New Roman" w:eastAsia="Times New Roman" w:hAnsi="Times New Roman" w:cs="Times New Roman"/>
          <w:sz w:val="24"/>
          <w:szCs w:val="24"/>
        </w:rPr>
        <w:t>Soladoye</w:t>
      </w:r>
      <w:proofErr w:type="spellEnd"/>
      <w:r w:rsidRPr="0010389D">
        <w:rPr>
          <w:rFonts w:ascii="Times New Roman" w:eastAsia="Times New Roman" w:hAnsi="Times New Roman" w:cs="Times New Roman"/>
          <w:sz w:val="24"/>
          <w:szCs w:val="24"/>
        </w:rPr>
        <w:t xml:space="preserve">, A. O., </w:t>
      </w:r>
      <w:proofErr w:type="spellStart"/>
      <w:r w:rsidRPr="0010389D">
        <w:rPr>
          <w:rFonts w:ascii="Times New Roman" w:eastAsia="Times New Roman" w:hAnsi="Times New Roman" w:cs="Times New Roman"/>
          <w:sz w:val="24"/>
          <w:szCs w:val="24"/>
        </w:rPr>
        <w:t>Oloruntola</w:t>
      </w:r>
      <w:proofErr w:type="spellEnd"/>
      <w:r w:rsidRPr="0010389D">
        <w:rPr>
          <w:rFonts w:ascii="Times New Roman" w:eastAsia="Times New Roman" w:hAnsi="Times New Roman" w:cs="Times New Roman"/>
          <w:sz w:val="24"/>
          <w:szCs w:val="24"/>
        </w:rPr>
        <w:t xml:space="preserve">, O. P., &amp; </w:t>
      </w:r>
      <w:proofErr w:type="spellStart"/>
      <w:r w:rsidRPr="0010389D">
        <w:rPr>
          <w:rFonts w:ascii="Times New Roman" w:eastAsia="Times New Roman" w:hAnsi="Times New Roman" w:cs="Times New Roman"/>
          <w:sz w:val="24"/>
          <w:szCs w:val="24"/>
        </w:rPr>
        <w:t>Oladunjoye</w:t>
      </w:r>
      <w:proofErr w:type="spellEnd"/>
      <w:r w:rsidRPr="0010389D">
        <w:rPr>
          <w:rFonts w:ascii="Times New Roman" w:eastAsia="Times New Roman" w:hAnsi="Times New Roman" w:cs="Times New Roman"/>
          <w:sz w:val="24"/>
          <w:szCs w:val="24"/>
        </w:rPr>
        <w:t xml:space="preserve">, M. A. (2020). Anti-inflammatory and analgesic properties of </w:t>
      </w:r>
      <w:proofErr w:type="spellStart"/>
      <w:r w:rsidRPr="0010389D">
        <w:rPr>
          <w:rFonts w:ascii="Times New Roman" w:eastAsia="Times New Roman" w:hAnsi="Times New Roman" w:cs="Times New Roman"/>
          <w:sz w:val="24"/>
          <w:szCs w:val="24"/>
        </w:rPr>
        <w:t>Tithonia</w:t>
      </w:r>
      <w:proofErr w:type="spellEnd"/>
      <w:r w:rsidRPr="0010389D">
        <w:rPr>
          <w:rFonts w:ascii="Times New Roman" w:eastAsia="Times New Roman" w:hAnsi="Times New Roman" w:cs="Times New Roman"/>
          <w:sz w:val="24"/>
          <w:szCs w:val="24"/>
        </w:rPr>
        <w:t xml:space="preserve"> </w:t>
      </w:r>
      <w:proofErr w:type="spellStart"/>
      <w:r w:rsidRPr="0010389D">
        <w:rPr>
          <w:rFonts w:ascii="Times New Roman" w:eastAsia="Times New Roman" w:hAnsi="Times New Roman" w:cs="Times New Roman"/>
          <w:sz w:val="24"/>
          <w:szCs w:val="24"/>
        </w:rPr>
        <w:t>diversifolia</w:t>
      </w:r>
      <w:proofErr w:type="spellEnd"/>
      <w:r w:rsidRPr="0010389D">
        <w:rPr>
          <w:rFonts w:ascii="Times New Roman" w:eastAsia="Times New Roman" w:hAnsi="Times New Roman" w:cs="Times New Roman"/>
          <w:sz w:val="24"/>
          <w:szCs w:val="24"/>
        </w:rPr>
        <w:t xml:space="preserve">: A review. </w:t>
      </w:r>
      <w:r w:rsidRPr="0010389D">
        <w:rPr>
          <w:rFonts w:ascii="Times New Roman" w:eastAsia="Times New Roman" w:hAnsi="Times New Roman" w:cs="Times New Roman"/>
          <w:i/>
          <w:iCs/>
          <w:sz w:val="24"/>
          <w:szCs w:val="24"/>
        </w:rPr>
        <w:t>African Journal of Biomedical Research, 23</w:t>
      </w:r>
      <w:r w:rsidRPr="0010389D">
        <w:rPr>
          <w:rFonts w:ascii="Times New Roman" w:eastAsia="Times New Roman" w:hAnsi="Times New Roman" w:cs="Times New Roman"/>
          <w:sz w:val="24"/>
          <w:szCs w:val="24"/>
        </w:rPr>
        <w:t>(2), 133-143.</w:t>
      </w:r>
    </w:p>
    <w:p w14:paraId="7A0262F9" w14:textId="77777777" w:rsidR="008D7D5E" w:rsidRDefault="008D7D5E" w:rsidP="00F5374C">
      <w:pPr>
        <w:spacing w:before="100" w:beforeAutospacing="1" w:after="100" w:afterAutospacing="1"/>
        <w:ind w:left="720" w:hanging="720"/>
        <w:jc w:val="both"/>
        <w:rPr>
          <w:rFonts w:ascii="Times New Roman" w:eastAsia="Times New Roman" w:hAnsi="Times New Roman" w:cs="Times New Roman"/>
          <w:sz w:val="24"/>
          <w:szCs w:val="24"/>
        </w:rPr>
      </w:pPr>
      <w:r w:rsidRPr="0010389D">
        <w:rPr>
          <w:rFonts w:ascii="Times New Roman" w:eastAsia="Times New Roman" w:hAnsi="Times New Roman" w:cs="Times New Roman"/>
          <w:sz w:val="24"/>
          <w:szCs w:val="24"/>
        </w:rPr>
        <w:t xml:space="preserve">Oyewole, O. I., Alabi, T. D., &amp; </w:t>
      </w:r>
      <w:proofErr w:type="spellStart"/>
      <w:r w:rsidRPr="0010389D">
        <w:rPr>
          <w:rFonts w:ascii="Times New Roman" w:eastAsia="Times New Roman" w:hAnsi="Times New Roman" w:cs="Times New Roman"/>
          <w:sz w:val="24"/>
          <w:szCs w:val="24"/>
        </w:rPr>
        <w:t>Soladoye</w:t>
      </w:r>
      <w:proofErr w:type="spellEnd"/>
      <w:r w:rsidRPr="0010389D">
        <w:rPr>
          <w:rFonts w:ascii="Times New Roman" w:eastAsia="Times New Roman" w:hAnsi="Times New Roman" w:cs="Times New Roman"/>
          <w:sz w:val="24"/>
          <w:szCs w:val="24"/>
        </w:rPr>
        <w:t xml:space="preserve">, A. O. (2018). Antidiabetic and antihyperlipidemic effects of </w:t>
      </w:r>
      <w:proofErr w:type="spellStart"/>
      <w:r w:rsidRPr="0010389D">
        <w:rPr>
          <w:rFonts w:ascii="Times New Roman" w:eastAsia="Times New Roman" w:hAnsi="Times New Roman" w:cs="Times New Roman"/>
          <w:sz w:val="24"/>
          <w:szCs w:val="24"/>
        </w:rPr>
        <w:t>Tithonia</w:t>
      </w:r>
      <w:proofErr w:type="spellEnd"/>
      <w:r w:rsidRPr="0010389D">
        <w:rPr>
          <w:rFonts w:ascii="Times New Roman" w:eastAsia="Times New Roman" w:hAnsi="Times New Roman" w:cs="Times New Roman"/>
          <w:sz w:val="24"/>
          <w:szCs w:val="24"/>
        </w:rPr>
        <w:t xml:space="preserve"> </w:t>
      </w:r>
      <w:proofErr w:type="spellStart"/>
      <w:r w:rsidRPr="0010389D">
        <w:rPr>
          <w:rFonts w:ascii="Times New Roman" w:eastAsia="Times New Roman" w:hAnsi="Times New Roman" w:cs="Times New Roman"/>
          <w:sz w:val="24"/>
          <w:szCs w:val="24"/>
        </w:rPr>
        <w:t>diversifolia</w:t>
      </w:r>
      <w:proofErr w:type="spellEnd"/>
      <w:r w:rsidRPr="0010389D">
        <w:rPr>
          <w:rFonts w:ascii="Times New Roman" w:eastAsia="Times New Roman" w:hAnsi="Times New Roman" w:cs="Times New Roman"/>
          <w:sz w:val="24"/>
          <w:szCs w:val="24"/>
        </w:rPr>
        <w:t xml:space="preserve"> in alloxan-induced diabetic rats. </w:t>
      </w:r>
      <w:r w:rsidRPr="0010389D">
        <w:rPr>
          <w:rFonts w:ascii="Times New Roman" w:eastAsia="Times New Roman" w:hAnsi="Times New Roman" w:cs="Times New Roman"/>
          <w:i/>
          <w:iCs/>
          <w:sz w:val="24"/>
          <w:szCs w:val="24"/>
        </w:rPr>
        <w:t>Journal of Integrative Medicine, 16</w:t>
      </w:r>
      <w:r w:rsidRPr="0010389D">
        <w:rPr>
          <w:rFonts w:ascii="Times New Roman" w:eastAsia="Times New Roman" w:hAnsi="Times New Roman" w:cs="Times New Roman"/>
          <w:sz w:val="24"/>
          <w:szCs w:val="24"/>
        </w:rPr>
        <w:t>(3), 193-198.</w:t>
      </w:r>
    </w:p>
    <w:p w14:paraId="489BD59B" w14:textId="77777777" w:rsidR="008D7D5E" w:rsidRDefault="008D7D5E" w:rsidP="00E36A08">
      <w:pPr>
        <w:spacing w:before="100" w:beforeAutospacing="1" w:after="100" w:afterAutospacing="1"/>
        <w:ind w:left="720" w:hanging="720"/>
        <w:jc w:val="both"/>
        <w:rPr>
          <w:rFonts w:ascii="Times New Roman" w:hAnsi="Times New Roman" w:cs="Times New Roman"/>
          <w:color w:val="0D0D0D" w:themeColor="text1" w:themeTint="F2"/>
          <w:sz w:val="24"/>
          <w:szCs w:val="24"/>
        </w:rPr>
      </w:pPr>
      <w:r w:rsidRPr="00862AC1">
        <w:rPr>
          <w:rFonts w:ascii="Times New Roman" w:eastAsia="Times New Roman" w:hAnsi="Times New Roman" w:cs="Times New Roman"/>
          <w:sz w:val="24"/>
          <w:szCs w:val="24"/>
        </w:rPr>
        <w:t>Rosales, C. (2018). Neutrophil: A Cell with Many Roles in Inflammation or Several Cell Types? Front. Physiol. 9:113.</w:t>
      </w:r>
    </w:p>
    <w:p w14:paraId="1D5E6B8F" w14:textId="77777777" w:rsidR="008D7D5E" w:rsidRDefault="008D7D5E" w:rsidP="00F5374C">
      <w:pPr>
        <w:spacing w:before="100" w:beforeAutospacing="1" w:after="100" w:afterAutospacing="1"/>
        <w:ind w:left="720" w:hanging="720"/>
        <w:jc w:val="both"/>
        <w:rPr>
          <w:rFonts w:ascii="Times New Roman" w:eastAsia="Times New Roman" w:hAnsi="Times New Roman" w:cs="Times New Roman"/>
          <w:sz w:val="24"/>
          <w:szCs w:val="24"/>
        </w:rPr>
      </w:pPr>
      <w:r w:rsidRPr="00E36A08">
        <w:rPr>
          <w:rFonts w:ascii="Times New Roman" w:eastAsia="Times New Roman" w:hAnsi="Times New Roman" w:cs="Times New Roman"/>
          <w:sz w:val="24"/>
          <w:szCs w:val="24"/>
        </w:rPr>
        <w:t xml:space="preserve">Saxena S, Pant N, Jain DC, Bhakuni RS. Antimalarial agents from plant sources. Curr Sci. </w:t>
      </w:r>
      <w:proofErr w:type="gramStart"/>
      <w:r w:rsidRPr="00E36A08">
        <w:rPr>
          <w:rFonts w:ascii="Times New Roman" w:eastAsia="Times New Roman" w:hAnsi="Times New Roman" w:cs="Times New Roman"/>
          <w:sz w:val="24"/>
          <w:szCs w:val="24"/>
        </w:rPr>
        <w:t>2003;85:1314</w:t>
      </w:r>
      <w:proofErr w:type="gramEnd"/>
      <w:r w:rsidRPr="00E36A08">
        <w:rPr>
          <w:rFonts w:ascii="Times New Roman" w:eastAsia="Times New Roman" w:hAnsi="Times New Roman" w:cs="Times New Roman"/>
          <w:sz w:val="24"/>
          <w:szCs w:val="24"/>
        </w:rPr>
        <w:t>-1326.</w:t>
      </w:r>
    </w:p>
    <w:p w14:paraId="4A511508" w14:textId="77777777" w:rsidR="008D7D5E" w:rsidRDefault="008D7D5E" w:rsidP="001B2F59">
      <w:pPr>
        <w:spacing w:before="100" w:beforeAutospacing="1" w:after="100" w:afterAutospacing="1"/>
        <w:ind w:left="720" w:hanging="720"/>
        <w:jc w:val="both"/>
        <w:rPr>
          <w:rFonts w:ascii="Times New Roman" w:eastAsia="Times New Roman" w:hAnsi="Times New Roman" w:cs="Times New Roman"/>
          <w:sz w:val="24"/>
          <w:szCs w:val="24"/>
        </w:rPr>
      </w:pPr>
      <w:r w:rsidRPr="00810FD0">
        <w:rPr>
          <w:rFonts w:ascii="Times New Roman" w:eastAsia="Times New Roman" w:hAnsi="Times New Roman" w:cs="Times New Roman"/>
          <w:sz w:val="24"/>
          <w:szCs w:val="24"/>
        </w:rPr>
        <w:t xml:space="preserve">Singh, N., Puri, S. K., &amp; Chauhan, V. S. (2018). Oxidative stress induced by magnetic fields disrupts parasite metabolism and enhances antimalarial efficacy. </w:t>
      </w:r>
      <w:r w:rsidRPr="00810FD0">
        <w:rPr>
          <w:rFonts w:ascii="Times New Roman" w:eastAsia="Times New Roman" w:hAnsi="Times New Roman" w:cs="Times New Roman"/>
          <w:i/>
          <w:iCs/>
          <w:sz w:val="24"/>
          <w:szCs w:val="24"/>
        </w:rPr>
        <w:t>Antimicrobial Agents and Chemotherapy, 62</w:t>
      </w:r>
      <w:r w:rsidRPr="00810FD0">
        <w:rPr>
          <w:rFonts w:ascii="Times New Roman" w:eastAsia="Times New Roman" w:hAnsi="Times New Roman" w:cs="Times New Roman"/>
          <w:sz w:val="24"/>
          <w:szCs w:val="24"/>
        </w:rPr>
        <w:t>(7), e00720-18.</w:t>
      </w:r>
    </w:p>
    <w:p w14:paraId="23A0A3B5" w14:textId="77777777" w:rsidR="008D7D5E" w:rsidRDefault="008D7D5E" w:rsidP="00E36A08">
      <w:pPr>
        <w:spacing w:before="100" w:beforeAutospacing="1" w:after="100" w:afterAutospacing="1"/>
        <w:ind w:left="720" w:hanging="720"/>
        <w:jc w:val="both"/>
        <w:rPr>
          <w:rFonts w:ascii="Times New Roman" w:hAnsi="Times New Roman" w:cs="Times New Roman"/>
          <w:color w:val="0D0D0D" w:themeColor="text1" w:themeTint="F2"/>
          <w:sz w:val="24"/>
          <w:szCs w:val="24"/>
        </w:rPr>
      </w:pPr>
      <w:proofErr w:type="spellStart"/>
      <w:r w:rsidRPr="00862AC1">
        <w:rPr>
          <w:rFonts w:ascii="Times New Roman" w:eastAsia="Times New Roman" w:hAnsi="Times New Roman" w:cs="Times New Roman"/>
          <w:sz w:val="24"/>
          <w:szCs w:val="24"/>
        </w:rPr>
        <w:t>Taek</w:t>
      </w:r>
      <w:proofErr w:type="spellEnd"/>
      <w:r>
        <w:rPr>
          <w:rFonts w:ascii="Times New Roman" w:eastAsia="Times New Roman" w:hAnsi="Times New Roman" w:cs="Times New Roman"/>
          <w:sz w:val="24"/>
          <w:szCs w:val="24"/>
        </w:rPr>
        <w:t xml:space="preserve">, M.M., </w:t>
      </w:r>
      <w:proofErr w:type="spellStart"/>
      <w:r>
        <w:rPr>
          <w:rFonts w:ascii="Times New Roman" w:eastAsia="Times New Roman" w:hAnsi="Times New Roman" w:cs="Times New Roman"/>
          <w:sz w:val="24"/>
          <w:szCs w:val="24"/>
        </w:rPr>
        <w:t>Tukan</w:t>
      </w:r>
      <w:proofErr w:type="spellEnd"/>
      <w:r>
        <w:rPr>
          <w:rFonts w:ascii="Times New Roman" w:eastAsia="Times New Roman" w:hAnsi="Times New Roman" w:cs="Times New Roman"/>
          <w:sz w:val="24"/>
          <w:szCs w:val="24"/>
        </w:rPr>
        <w:t xml:space="preserve">, G.D., </w:t>
      </w:r>
      <w:proofErr w:type="spellStart"/>
      <w:r>
        <w:rPr>
          <w:rFonts w:ascii="Times New Roman" w:eastAsia="Times New Roman" w:hAnsi="Times New Roman" w:cs="Times New Roman"/>
          <w:sz w:val="24"/>
          <w:szCs w:val="24"/>
        </w:rPr>
        <w:t>Prajogo</w:t>
      </w:r>
      <w:proofErr w:type="spellEnd"/>
      <w:r>
        <w:rPr>
          <w:rFonts w:ascii="Times New Roman" w:eastAsia="Times New Roman" w:hAnsi="Times New Roman" w:cs="Times New Roman"/>
          <w:sz w:val="24"/>
          <w:szCs w:val="24"/>
        </w:rPr>
        <w:t xml:space="preserve">, B.E and </w:t>
      </w:r>
      <w:proofErr w:type="spellStart"/>
      <w:r>
        <w:rPr>
          <w:rFonts w:ascii="Times New Roman" w:eastAsia="Times New Roman" w:hAnsi="Times New Roman" w:cs="Times New Roman"/>
          <w:sz w:val="24"/>
          <w:szCs w:val="24"/>
        </w:rPr>
        <w:t>Agil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xml:space="preserve">2021) </w:t>
      </w:r>
      <w:proofErr w:type="spellStart"/>
      <w:r w:rsidRPr="00E36A08">
        <w:rPr>
          <w:rFonts w:ascii="Times New Roman" w:eastAsia="Times New Roman" w:hAnsi="Times New Roman" w:cs="Times New Roman"/>
          <w:sz w:val="24"/>
          <w:szCs w:val="24"/>
        </w:rPr>
        <w:t>Antiplasmodial</w:t>
      </w:r>
      <w:proofErr w:type="spellEnd"/>
      <w:r w:rsidRPr="00E36A08">
        <w:rPr>
          <w:rFonts w:ascii="Times New Roman" w:eastAsia="Times New Roman" w:hAnsi="Times New Roman" w:cs="Times New Roman"/>
          <w:sz w:val="24"/>
          <w:szCs w:val="24"/>
        </w:rPr>
        <w:t xml:space="preserve"> Activity and Phytochemical Constituents of Selected Antimalarial Plants Used by Native People in West Timor Indonesia</w:t>
      </w:r>
      <w:r>
        <w:rPr>
          <w:rFonts w:ascii="Times New Roman" w:eastAsia="Times New Roman" w:hAnsi="Times New Roman" w:cs="Times New Roman"/>
          <w:sz w:val="24"/>
          <w:szCs w:val="24"/>
        </w:rPr>
        <w:t xml:space="preserve">. </w:t>
      </w:r>
      <w:r w:rsidRPr="00E36A08">
        <w:rPr>
          <w:rFonts w:ascii="Times New Roman" w:eastAsia="Times New Roman" w:hAnsi="Times New Roman" w:cs="Times New Roman"/>
          <w:i/>
          <w:iCs/>
          <w:sz w:val="24"/>
          <w:szCs w:val="24"/>
        </w:rPr>
        <w:t>Turk J Pharm Sci</w:t>
      </w:r>
      <w:r>
        <w:rPr>
          <w:rFonts w:ascii="Times New Roman" w:eastAsia="Times New Roman" w:hAnsi="Times New Roman" w:cs="Times New Roman"/>
          <w:sz w:val="24"/>
          <w:szCs w:val="24"/>
        </w:rPr>
        <w:t xml:space="preserve"> </w:t>
      </w:r>
      <w:r w:rsidRPr="00E36A08">
        <w:rPr>
          <w:rFonts w:ascii="Times New Roman" w:eastAsia="Times New Roman" w:hAnsi="Times New Roman" w:cs="Times New Roman"/>
          <w:sz w:val="24"/>
          <w:szCs w:val="24"/>
        </w:rPr>
        <w:t>18(1):80-90</w:t>
      </w:r>
    </w:p>
    <w:p w14:paraId="754A6D14" w14:textId="12E88D7E" w:rsidR="00862AC1" w:rsidRPr="008D7D5E" w:rsidRDefault="008D7D5E" w:rsidP="008D7D5E">
      <w:pPr>
        <w:spacing w:before="100" w:beforeAutospacing="1" w:after="100" w:afterAutospacing="1"/>
        <w:ind w:left="720" w:hanging="720"/>
        <w:jc w:val="both"/>
        <w:rPr>
          <w:rFonts w:ascii="Times New Roman" w:hAnsi="Times New Roman" w:cs="Times New Roman"/>
          <w:color w:val="0D0D0D" w:themeColor="text1" w:themeTint="F2"/>
          <w:sz w:val="24"/>
          <w:szCs w:val="24"/>
        </w:rPr>
      </w:pPr>
      <w:r w:rsidRPr="00862AC1">
        <w:rPr>
          <w:rFonts w:ascii="Times New Roman" w:eastAsia="Times New Roman" w:hAnsi="Times New Roman" w:cs="Times New Roman"/>
          <w:sz w:val="24"/>
          <w:szCs w:val="24"/>
        </w:rPr>
        <w:t xml:space="preserve">Vasudevan, </w:t>
      </w:r>
      <w:proofErr w:type="gramStart"/>
      <w:r w:rsidRPr="00862AC1">
        <w:rPr>
          <w:rFonts w:ascii="Times New Roman" w:eastAsia="Times New Roman" w:hAnsi="Times New Roman" w:cs="Times New Roman"/>
          <w:sz w:val="24"/>
          <w:szCs w:val="24"/>
        </w:rPr>
        <w:t>D,M.</w:t>
      </w:r>
      <w:proofErr w:type="gramEnd"/>
      <w:r w:rsidRPr="00862AC1">
        <w:rPr>
          <w:rFonts w:ascii="Times New Roman" w:eastAsia="Times New Roman" w:hAnsi="Times New Roman" w:cs="Times New Roman"/>
          <w:sz w:val="24"/>
          <w:szCs w:val="24"/>
        </w:rPr>
        <w:t xml:space="preserve">, </w:t>
      </w:r>
      <w:proofErr w:type="spellStart"/>
      <w:r w:rsidRPr="00862AC1">
        <w:rPr>
          <w:rFonts w:ascii="Times New Roman" w:eastAsia="Times New Roman" w:hAnsi="Times New Roman" w:cs="Times New Roman"/>
          <w:sz w:val="24"/>
          <w:szCs w:val="24"/>
        </w:rPr>
        <w:t>Sreekumari</w:t>
      </w:r>
      <w:proofErr w:type="spellEnd"/>
      <w:r w:rsidRPr="00862AC1">
        <w:rPr>
          <w:rFonts w:ascii="Times New Roman" w:eastAsia="Times New Roman" w:hAnsi="Times New Roman" w:cs="Times New Roman"/>
          <w:sz w:val="24"/>
          <w:szCs w:val="24"/>
        </w:rPr>
        <w:t>, S. and Vaidyanathan, K.(2013). Textbook of biochemistry for medical students (7</w:t>
      </w:r>
      <w:r w:rsidRPr="00862AC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862AC1">
        <w:rPr>
          <w:rFonts w:ascii="Times New Roman" w:eastAsia="Times New Roman" w:hAnsi="Times New Roman" w:cs="Times New Roman"/>
          <w:sz w:val="24"/>
          <w:szCs w:val="24"/>
        </w:rPr>
        <w:t>edition). Jaypee. p.546.</w:t>
      </w:r>
    </w:p>
    <w:sectPr w:rsidR="00862AC1" w:rsidRPr="008D7D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DEC96" w14:textId="77777777" w:rsidR="00541F6B" w:rsidRDefault="00541F6B" w:rsidP="00DE3F7D">
      <w:pPr>
        <w:spacing w:after="0" w:line="240" w:lineRule="auto"/>
      </w:pPr>
      <w:r>
        <w:separator/>
      </w:r>
    </w:p>
  </w:endnote>
  <w:endnote w:type="continuationSeparator" w:id="0">
    <w:p w14:paraId="19D05724" w14:textId="77777777" w:rsidR="00541F6B" w:rsidRDefault="00541F6B" w:rsidP="00DE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5FABA" w14:textId="77777777" w:rsidR="002F5FC0" w:rsidRDefault="002F5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862CD" w14:textId="77777777" w:rsidR="002F5FC0" w:rsidRDefault="002F5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A1D02" w14:textId="77777777" w:rsidR="002F5FC0" w:rsidRDefault="002F5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7CE2A" w14:textId="77777777" w:rsidR="00541F6B" w:rsidRDefault="00541F6B" w:rsidP="00DE3F7D">
      <w:pPr>
        <w:spacing w:after="0" w:line="240" w:lineRule="auto"/>
      </w:pPr>
      <w:r>
        <w:separator/>
      </w:r>
    </w:p>
  </w:footnote>
  <w:footnote w:type="continuationSeparator" w:id="0">
    <w:p w14:paraId="20AB263D" w14:textId="77777777" w:rsidR="00541F6B" w:rsidRDefault="00541F6B" w:rsidP="00DE3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BD38" w14:textId="21E5B3B0" w:rsidR="002F5FC0" w:rsidRDefault="002F5FC0">
    <w:pPr>
      <w:pStyle w:val="Header"/>
    </w:pPr>
    <w:r>
      <w:rPr>
        <w:noProof/>
      </w:rPr>
      <w:pict w14:anchorId="1D174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8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9A1C" w14:textId="4A08B090" w:rsidR="002F5FC0" w:rsidRDefault="002F5FC0">
    <w:pPr>
      <w:pStyle w:val="Header"/>
    </w:pPr>
    <w:r>
      <w:rPr>
        <w:noProof/>
      </w:rPr>
      <w:pict w14:anchorId="6866C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8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7BA41" w14:textId="687DD953" w:rsidR="002F5FC0" w:rsidRDefault="002F5FC0">
    <w:pPr>
      <w:pStyle w:val="Header"/>
    </w:pPr>
    <w:r>
      <w:rPr>
        <w:noProof/>
      </w:rPr>
      <w:pict w14:anchorId="666C6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8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97E0E"/>
    <w:multiLevelType w:val="multilevel"/>
    <w:tmpl w:val="854E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094F3B"/>
    <w:multiLevelType w:val="multilevel"/>
    <w:tmpl w:val="AAAE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3F"/>
    <w:rsid w:val="000064C8"/>
    <w:rsid w:val="000343B2"/>
    <w:rsid w:val="00066AB0"/>
    <w:rsid w:val="0007353C"/>
    <w:rsid w:val="0007487F"/>
    <w:rsid w:val="00083C86"/>
    <w:rsid w:val="000B2835"/>
    <w:rsid w:val="000D48B6"/>
    <w:rsid w:val="000F57B2"/>
    <w:rsid w:val="000F6195"/>
    <w:rsid w:val="0011599B"/>
    <w:rsid w:val="001268DB"/>
    <w:rsid w:val="00182C03"/>
    <w:rsid w:val="00194C97"/>
    <w:rsid w:val="001A370C"/>
    <w:rsid w:val="001B2F59"/>
    <w:rsid w:val="001B5EED"/>
    <w:rsid w:val="001C5AF8"/>
    <w:rsid w:val="001E0738"/>
    <w:rsid w:val="001E79EC"/>
    <w:rsid w:val="00211DF8"/>
    <w:rsid w:val="00225714"/>
    <w:rsid w:val="00235C4B"/>
    <w:rsid w:val="00237543"/>
    <w:rsid w:val="00283744"/>
    <w:rsid w:val="002B000F"/>
    <w:rsid w:val="002E741F"/>
    <w:rsid w:val="002F56A0"/>
    <w:rsid w:val="002F5FC0"/>
    <w:rsid w:val="003321EF"/>
    <w:rsid w:val="00344FF8"/>
    <w:rsid w:val="00370C27"/>
    <w:rsid w:val="003809AD"/>
    <w:rsid w:val="00383980"/>
    <w:rsid w:val="003C31A3"/>
    <w:rsid w:val="003E01B9"/>
    <w:rsid w:val="00422811"/>
    <w:rsid w:val="00436576"/>
    <w:rsid w:val="004400A6"/>
    <w:rsid w:val="004604AB"/>
    <w:rsid w:val="00476CBD"/>
    <w:rsid w:val="004C30A8"/>
    <w:rsid w:val="004E3770"/>
    <w:rsid w:val="004F76D8"/>
    <w:rsid w:val="00502A32"/>
    <w:rsid w:val="00506891"/>
    <w:rsid w:val="0052303D"/>
    <w:rsid w:val="00533DC4"/>
    <w:rsid w:val="00541F6B"/>
    <w:rsid w:val="00545BAC"/>
    <w:rsid w:val="00582099"/>
    <w:rsid w:val="005A1DE8"/>
    <w:rsid w:val="005E06B1"/>
    <w:rsid w:val="005E576E"/>
    <w:rsid w:val="005F4BB3"/>
    <w:rsid w:val="0061320D"/>
    <w:rsid w:val="0064379A"/>
    <w:rsid w:val="00693C32"/>
    <w:rsid w:val="006C2EA4"/>
    <w:rsid w:val="006F6C86"/>
    <w:rsid w:val="00722D83"/>
    <w:rsid w:val="007368BE"/>
    <w:rsid w:val="00750B2E"/>
    <w:rsid w:val="00763147"/>
    <w:rsid w:val="007F2832"/>
    <w:rsid w:val="008232B2"/>
    <w:rsid w:val="008439FE"/>
    <w:rsid w:val="00852F5F"/>
    <w:rsid w:val="008561AA"/>
    <w:rsid w:val="00862AC1"/>
    <w:rsid w:val="008D7D5E"/>
    <w:rsid w:val="008E391A"/>
    <w:rsid w:val="008F4DE5"/>
    <w:rsid w:val="009352E6"/>
    <w:rsid w:val="00965B8E"/>
    <w:rsid w:val="00980BA5"/>
    <w:rsid w:val="009A3A24"/>
    <w:rsid w:val="009E2868"/>
    <w:rsid w:val="00A07308"/>
    <w:rsid w:val="00A121D7"/>
    <w:rsid w:val="00A16BE4"/>
    <w:rsid w:val="00A3383E"/>
    <w:rsid w:val="00A715E9"/>
    <w:rsid w:val="00A85AA9"/>
    <w:rsid w:val="00AA3291"/>
    <w:rsid w:val="00AC0E7E"/>
    <w:rsid w:val="00AD4DE8"/>
    <w:rsid w:val="00AD5040"/>
    <w:rsid w:val="00AE2819"/>
    <w:rsid w:val="00B23AA5"/>
    <w:rsid w:val="00B2798F"/>
    <w:rsid w:val="00B73324"/>
    <w:rsid w:val="00B7643F"/>
    <w:rsid w:val="00B83DCB"/>
    <w:rsid w:val="00B92C7B"/>
    <w:rsid w:val="00B96B33"/>
    <w:rsid w:val="00C03C84"/>
    <w:rsid w:val="00C06193"/>
    <w:rsid w:val="00C16370"/>
    <w:rsid w:val="00C219B4"/>
    <w:rsid w:val="00C40C56"/>
    <w:rsid w:val="00C5221D"/>
    <w:rsid w:val="00C903B7"/>
    <w:rsid w:val="00C91765"/>
    <w:rsid w:val="00CB1042"/>
    <w:rsid w:val="00CC30CD"/>
    <w:rsid w:val="00CF38F6"/>
    <w:rsid w:val="00D01EE8"/>
    <w:rsid w:val="00D32947"/>
    <w:rsid w:val="00DC2F2B"/>
    <w:rsid w:val="00DE2F32"/>
    <w:rsid w:val="00DE3F7D"/>
    <w:rsid w:val="00DF3C3C"/>
    <w:rsid w:val="00E36A08"/>
    <w:rsid w:val="00E436F9"/>
    <w:rsid w:val="00E459B3"/>
    <w:rsid w:val="00E472BB"/>
    <w:rsid w:val="00E531E9"/>
    <w:rsid w:val="00E62152"/>
    <w:rsid w:val="00E67048"/>
    <w:rsid w:val="00EA3D1C"/>
    <w:rsid w:val="00EF1120"/>
    <w:rsid w:val="00EF4D49"/>
    <w:rsid w:val="00F5374C"/>
    <w:rsid w:val="00F63BC6"/>
    <w:rsid w:val="00F64242"/>
    <w:rsid w:val="00FA10D8"/>
    <w:rsid w:val="00FA350B"/>
    <w:rsid w:val="00FC7B85"/>
    <w:rsid w:val="00FD44A9"/>
    <w:rsid w:val="00FD54FF"/>
    <w:rsid w:val="00FE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0E3A94"/>
  <w15:chartTrackingRefBased/>
  <w15:docId w15:val="{89090749-BCCB-4851-BE10-F534A08E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43F"/>
    <w:rPr>
      <w:color w:val="0563C1" w:themeColor="hyperlink"/>
      <w:u w:val="single"/>
    </w:rPr>
  </w:style>
  <w:style w:type="table" w:styleId="TableGrid">
    <w:name w:val="Table Grid"/>
    <w:basedOn w:val="TableNormal"/>
    <w:uiPriority w:val="39"/>
    <w:rsid w:val="00763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3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F7D"/>
  </w:style>
  <w:style w:type="paragraph" w:styleId="Footer">
    <w:name w:val="footer"/>
    <w:basedOn w:val="Normal"/>
    <w:link w:val="FooterChar"/>
    <w:uiPriority w:val="99"/>
    <w:unhideWhenUsed/>
    <w:rsid w:val="00DE3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F7D"/>
  </w:style>
  <w:style w:type="paragraph" w:styleId="BalloonText">
    <w:name w:val="Balloon Text"/>
    <w:basedOn w:val="Normal"/>
    <w:link w:val="BalloonTextChar"/>
    <w:uiPriority w:val="99"/>
    <w:semiHidden/>
    <w:unhideWhenUsed/>
    <w:rsid w:val="00E36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A08"/>
    <w:rPr>
      <w:rFonts w:ascii="Segoe UI" w:hAnsi="Segoe UI" w:cs="Segoe UI"/>
      <w:sz w:val="18"/>
      <w:szCs w:val="18"/>
    </w:rPr>
  </w:style>
  <w:style w:type="character" w:styleId="UnresolvedMention">
    <w:name w:val="Unresolved Mention"/>
    <w:basedOn w:val="DefaultParagraphFont"/>
    <w:uiPriority w:val="99"/>
    <w:semiHidden/>
    <w:unhideWhenUsed/>
    <w:rsid w:val="001A3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8579">
      <w:bodyDiv w:val="1"/>
      <w:marLeft w:val="0"/>
      <w:marRight w:val="0"/>
      <w:marTop w:val="0"/>
      <w:marBottom w:val="0"/>
      <w:divBdr>
        <w:top w:val="none" w:sz="0" w:space="0" w:color="auto"/>
        <w:left w:val="none" w:sz="0" w:space="0" w:color="auto"/>
        <w:bottom w:val="none" w:sz="0" w:space="0" w:color="auto"/>
        <w:right w:val="none" w:sz="0" w:space="0" w:color="auto"/>
      </w:divBdr>
    </w:div>
    <w:div w:id="107242328">
      <w:bodyDiv w:val="1"/>
      <w:marLeft w:val="0"/>
      <w:marRight w:val="0"/>
      <w:marTop w:val="0"/>
      <w:marBottom w:val="0"/>
      <w:divBdr>
        <w:top w:val="none" w:sz="0" w:space="0" w:color="auto"/>
        <w:left w:val="none" w:sz="0" w:space="0" w:color="auto"/>
        <w:bottom w:val="none" w:sz="0" w:space="0" w:color="auto"/>
        <w:right w:val="none" w:sz="0" w:space="0" w:color="auto"/>
      </w:divBdr>
    </w:div>
    <w:div w:id="525172301">
      <w:bodyDiv w:val="1"/>
      <w:marLeft w:val="0"/>
      <w:marRight w:val="0"/>
      <w:marTop w:val="0"/>
      <w:marBottom w:val="0"/>
      <w:divBdr>
        <w:top w:val="none" w:sz="0" w:space="0" w:color="auto"/>
        <w:left w:val="none" w:sz="0" w:space="0" w:color="auto"/>
        <w:bottom w:val="none" w:sz="0" w:space="0" w:color="auto"/>
        <w:right w:val="none" w:sz="0" w:space="0" w:color="auto"/>
      </w:divBdr>
    </w:div>
    <w:div w:id="589313254">
      <w:bodyDiv w:val="1"/>
      <w:marLeft w:val="0"/>
      <w:marRight w:val="0"/>
      <w:marTop w:val="0"/>
      <w:marBottom w:val="0"/>
      <w:divBdr>
        <w:top w:val="none" w:sz="0" w:space="0" w:color="auto"/>
        <w:left w:val="none" w:sz="0" w:space="0" w:color="auto"/>
        <w:bottom w:val="none" w:sz="0" w:space="0" w:color="auto"/>
        <w:right w:val="none" w:sz="0" w:space="0" w:color="auto"/>
      </w:divBdr>
    </w:div>
    <w:div w:id="631256014">
      <w:bodyDiv w:val="1"/>
      <w:marLeft w:val="0"/>
      <w:marRight w:val="0"/>
      <w:marTop w:val="0"/>
      <w:marBottom w:val="0"/>
      <w:divBdr>
        <w:top w:val="none" w:sz="0" w:space="0" w:color="auto"/>
        <w:left w:val="none" w:sz="0" w:space="0" w:color="auto"/>
        <w:bottom w:val="none" w:sz="0" w:space="0" w:color="auto"/>
        <w:right w:val="none" w:sz="0" w:space="0" w:color="auto"/>
      </w:divBdr>
    </w:div>
    <w:div w:id="738480976">
      <w:bodyDiv w:val="1"/>
      <w:marLeft w:val="0"/>
      <w:marRight w:val="0"/>
      <w:marTop w:val="0"/>
      <w:marBottom w:val="0"/>
      <w:divBdr>
        <w:top w:val="none" w:sz="0" w:space="0" w:color="auto"/>
        <w:left w:val="none" w:sz="0" w:space="0" w:color="auto"/>
        <w:bottom w:val="none" w:sz="0" w:space="0" w:color="auto"/>
        <w:right w:val="none" w:sz="0" w:space="0" w:color="auto"/>
      </w:divBdr>
    </w:div>
    <w:div w:id="842234298">
      <w:bodyDiv w:val="1"/>
      <w:marLeft w:val="0"/>
      <w:marRight w:val="0"/>
      <w:marTop w:val="0"/>
      <w:marBottom w:val="0"/>
      <w:divBdr>
        <w:top w:val="none" w:sz="0" w:space="0" w:color="auto"/>
        <w:left w:val="none" w:sz="0" w:space="0" w:color="auto"/>
        <w:bottom w:val="none" w:sz="0" w:space="0" w:color="auto"/>
        <w:right w:val="none" w:sz="0" w:space="0" w:color="auto"/>
      </w:divBdr>
    </w:div>
    <w:div w:id="901988259">
      <w:bodyDiv w:val="1"/>
      <w:marLeft w:val="0"/>
      <w:marRight w:val="0"/>
      <w:marTop w:val="0"/>
      <w:marBottom w:val="0"/>
      <w:divBdr>
        <w:top w:val="none" w:sz="0" w:space="0" w:color="auto"/>
        <w:left w:val="none" w:sz="0" w:space="0" w:color="auto"/>
        <w:bottom w:val="none" w:sz="0" w:space="0" w:color="auto"/>
        <w:right w:val="none" w:sz="0" w:space="0" w:color="auto"/>
      </w:divBdr>
    </w:div>
    <w:div w:id="931011252">
      <w:bodyDiv w:val="1"/>
      <w:marLeft w:val="0"/>
      <w:marRight w:val="0"/>
      <w:marTop w:val="0"/>
      <w:marBottom w:val="0"/>
      <w:divBdr>
        <w:top w:val="none" w:sz="0" w:space="0" w:color="auto"/>
        <w:left w:val="none" w:sz="0" w:space="0" w:color="auto"/>
        <w:bottom w:val="none" w:sz="0" w:space="0" w:color="auto"/>
        <w:right w:val="none" w:sz="0" w:space="0" w:color="auto"/>
      </w:divBdr>
    </w:div>
    <w:div w:id="944965605">
      <w:bodyDiv w:val="1"/>
      <w:marLeft w:val="0"/>
      <w:marRight w:val="0"/>
      <w:marTop w:val="0"/>
      <w:marBottom w:val="0"/>
      <w:divBdr>
        <w:top w:val="none" w:sz="0" w:space="0" w:color="auto"/>
        <w:left w:val="none" w:sz="0" w:space="0" w:color="auto"/>
        <w:bottom w:val="none" w:sz="0" w:space="0" w:color="auto"/>
        <w:right w:val="none" w:sz="0" w:space="0" w:color="auto"/>
      </w:divBdr>
    </w:div>
    <w:div w:id="1504204251">
      <w:bodyDiv w:val="1"/>
      <w:marLeft w:val="0"/>
      <w:marRight w:val="0"/>
      <w:marTop w:val="0"/>
      <w:marBottom w:val="0"/>
      <w:divBdr>
        <w:top w:val="none" w:sz="0" w:space="0" w:color="auto"/>
        <w:left w:val="none" w:sz="0" w:space="0" w:color="auto"/>
        <w:bottom w:val="none" w:sz="0" w:space="0" w:color="auto"/>
        <w:right w:val="none" w:sz="0" w:space="0" w:color="auto"/>
      </w:divBdr>
    </w:div>
    <w:div w:id="1506869535">
      <w:bodyDiv w:val="1"/>
      <w:marLeft w:val="0"/>
      <w:marRight w:val="0"/>
      <w:marTop w:val="0"/>
      <w:marBottom w:val="0"/>
      <w:divBdr>
        <w:top w:val="none" w:sz="0" w:space="0" w:color="auto"/>
        <w:left w:val="none" w:sz="0" w:space="0" w:color="auto"/>
        <w:bottom w:val="none" w:sz="0" w:space="0" w:color="auto"/>
        <w:right w:val="none" w:sz="0" w:space="0" w:color="auto"/>
      </w:divBdr>
    </w:div>
    <w:div w:id="1578902392">
      <w:bodyDiv w:val="1"/>
      <w:marLeft w:val="0"/>
      <w:marRight w:val="0"/>
      <w:marTop w:val="0"/>
      <w:marBottom w:val="0"/>
      <w:divBdr>
        <w:top w:val="none" w:sz="0" w:space="0" w:color="auto"/>
        <w:left w:val="none" w:sz="0" w:space="0" w:color="auto"/>
        <w:bottom w:val="none" w:sz="0" w:space="0" w:color="auto"/>
        <w:right w:val="none" w:sz="0" w:space="0" w:color="auto"/>
      </w:divBdr>
    </w:div>
    <w:div w:id="1650017068">
      <w:bodyDiv w:val="1"/>
      <w:marLeft w:val="0"/>
      <w:marRight w:val="0"/>
      <w:marTop w:val="0"/>
      <w:marBottom w:val="0"/>
      <w:divBdr>
        <w:top w:val="none" w:sz="0" w:space="0" w:color="auto"/>
        <w:left w:val="none" w:sz="0" w:space="0" w:color="auto"/>
        <w:bottom w:val="none" w:sz="0" w:space="0" w:color="auto"/>
        <w:right w:val="none" w:sz="0" w:space="0" w:color="auto"/>
      </w:divBdr>
    </w:div>
    <w:div w:id="1892957428">
      <w:bodyDiv w:val="1"/>
      <w:marLeft w:val="0"/>
      <w:marRight w:val="0"/>
      <w:marTop w:val="0"/>
      <w:marBottom w:val="0"/>
      <w:divBdr>
        <w:top w:val="none" w:sz="0" w:space="0" w:color="auto"/>
        <w:left w:val="none" w:sz="0" w:space="0" w:color="auto"/>
        <w:bottom w:val="none" w:sz="0" w:space="0" w:color="auto"/>
        <w:right w:val="none" w:sz="0" w:space="0" w:color="auto"/>
      </w:divBdr>
    </w:div>
    <w:div w:id="2137747412">
      <w:bodyDiv w:val="1"/>
      <w:marLeft w:val="0"/>
      <w:marRight w:val="0"/>
      <w:marTop w:val="0"/>
      <w:marBottom w:val="0"/>
      <w:divBdr>
        <w:top w:val="none" w:sz="0" w:space="0" w:color="auto"/>
        <w:left w:val="none" w:sz="0" w:space="0" w:color="auto"/>
        <w:bottom w:val="none" w:sz="0" w:space="0" w:color="auto"/>
        <w:right w:val="none" w:sz="0" w:space="0" w:color="auto"/>
      </w:divBdr>
    </w:div>
    <w:div w:id="214087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TotalTime>
  <Pages>11</Pages>
  <Words>3933</Words>
  <Characters>22423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Tiger</dc:creator>
  <cp:keywords/>
  <dc:description/>
  <cp:lastModifiedBy>SDI 1084</cp:lastModifiedBy>
  <cp:revision>64</cp:revision>
  <dcterms:created xsi:type="dcterms:W3CDTF">2024-05-13T15:22:00Z</dcterms:created>
  <dcterms:modified xsi:type="dcterms:W3CDTF">2025-08-07T08:55:00Z</dcterms:modified>
</cp:coreProperties>
</file>