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F98F8" w14:textId="77777777" w:rsidR="00C010EE" w:rsidRDefault="00C010EE" w:rsidP="009201D3">
      <w:pPr>
        <w:spacing w:after="0" w:line="240" w:lineRule="auto"/>
        <w:rPr>
          <w:rFonts w:ascii="Times New Roman" w:hAnsi="Times New Roman" w:cs="Times New Roman"/>
          <w:b/>
          <w:bCs/>
        </w:rPr>
      </w:pPr>
      <w:r w:rsidRPr="00C010EE">
        <w:rPr>
          <w:rFonts w:ascii="Times New Roman" w:hAnsi="Times New Roman" w:cs="Times New Roman"/>
          <w:b/>
          <w:bCs/>
        </w:rPr>
        <w:t xml:space="preserve">Original Research Article </w:t>
      </w:r>
    </w:p>
    <w:p w14:paraId="4C2FFAD7" w14:textId="77777777" w:rsidR="00C010EE" w:rsidRDefault="00C010EE" w:rsidP="009201D3">
      <w:pPr>
        <w:spacing w:after="0" w:line="240" w:lineRule="auto"/>
        <w:rPr>
          <w:rFonts w:ascii="Times New Roman" w:hAnsi="Times New Roman" w:cs="Times New Roman"/>
          <w:b/>
          <w:bCs/>
        </w:rPr>
      </w:pPr>
    </w:p>
    <w:p w14:paraId="45C6E547" w14:textId="352449CD" w:rsidR="00B95063" w:rsidRDefault="003B4279" w:rsidP="009201D3">
      <w:pPr>
        <w:spacing w:after="0" w:line="240" w:lineRule="auto"/>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MACROBUTTON MTEditEquationSection2 </w:instrText>
      </w:r>
      <w:r>
        <w:rPr>
          <w:rStyle w:val="MTEquationSection"/>
        </w:rPr>
        <w:instrText>Equation Chapter 1 Section 1</w:instrText>
      </w:r>
      <w:r>
        <w:rPr>
          <w:rFonts w:ascii="Times New Roman" w:hAnsi="Times New Roman" w:cs="Times New Roman"/>
          <w:b/>
          <w:bCs/>
        </w:rPr>
        <w:fldChar w:fldCharType="begin"/>
      </w:r>
      <w:r>
        <w:rPr>
          <w:rFonts w:ascii="Times New Roman" w:hAnsi="Times New Roman" w:cs="Times New Roman"/>
          <w:b/>
          <w:bCs/>
        </w:rPr>
        <w:instrText xml:space="preserve"> SEQ MTEqn \r \h \* MERGEFORMAT </w:instrText>
      </w:r>
      <w:r>
        <w:rPr>
          <w:rFonts w:ascii="Times New Roman" w:hAnsi="Times New Roman" w:cs="Times New Roman"/>
          <w:b/>
          <w:bCs/>
        </w:rPr>
        <w:fldChar w:fldCharType="end"/>
      </w:r>
      <w:r>
        <w:rPr>
          <w:rFonts w:ascii="Times New Roman" w:hAnsi="Times New Roman" w:cs="Times New Roman"/>
          <w:b/>
          <w:bCs/>
        </w:rPr>
        <w:fldChar w:fldCharType="begin"/>
      </w:r>
      <w:r>
        <w:rPr>
          <w:rFonts w:ascii="Times New Roman" w:hAnsi="Times New Roman" w:cs="Times New Roman"/>
          <w:b/>
          <w:bCs/>
        </w:rPr>
        <w:instrText xml:space="preserve"> SEQ MTSec \r 1 \h \* MERGEFORMAT </w:instrText>
      </w:r>
      <w:r>
        <w:rPr>
          <w:rFonts w:ascii="Times New Roman" w:hAnsi="Times New Roman" w:cs="Times New Roman"/>
          <w:b/>
          <w:bCs/>
        </w:rPr>
        <w:fldChar w:fldCharType="end"/>
      </w:r>
      <w:r>
        <w:rPr>
          <w:rFonts w:ascii="Times New Roman" w:hAnsi="Times New Roman" w:cs="Times New Roman"/>
          <w:b/>
          <w:bCs/>
        </w:rPr>
        <w:fldChar w:fldCharType="begin"/>
      </w:r>
      <w:r>
        <w:rPr>
          <w:rFonts w:ascii="Times New Roman" w:hAnsi="Times New Roman" w:cs="Times New Roman"/>
          <w:b/>
          <w:bCs/>
        </w:rPr>
        <w:instrText xml:space="preserve"> SEQ MTChap \r 1 \h \* MERGEFORMAT </w:instrText>
      </w:r>
      <w:r>
        <w:rPr>
          <w:rFonts w:ascii="Times New Roman" w:hAnsi="Times New Roman" w:cs="Times New Roman"/>
          <w:b/>
          <w:bCs/>
        </w:rPr>
        <w:fldChar w:fldCharType="end"/>
      </w:r>
      <w:r>
        <w:rPr>
          <w:rFonts w:ascii="Times New Roman" w:hAnsi="Times New Roman" w:cs="Times New Roman"/>
          <w:b/>
          <w:bCs/>
        </w:rPr>
        <w:fldChar w:fldCharType="end"/>
      </w:r>
      <w:r w:rsidR="00B95063">
        <w:rPr>
          <w:rFonts w:ascii="Times New Roman" w:hAnsi="Times New Roman" w:cs="Times New Roman"/>
          <w:b/>
          <w:bCs/>
        </w:rPr>
        <w:t xml:space="preserve">EXPERIMENTAL STUDY AND </w:t>
      </w:r>
      <w:r>
        <w:rPr>
          <w:rFonts w:ascii="Times New Roman" w:hAnsi="Times New Roman" w:cs="Times New Roman"/>
          <w:b/>
          <w:bCs/>
        </w:rPr>
        <w:t xml:space="preserve">NUMERICAL </w:t>
      </w:r>
      <w:r w:rsidR="00B95063">
        <w:rPr>
          <w:rFonts w:ascii="Times New Roman" w:hAnsi="Times New Roman" w:cs="Times New Roman"/>
          <w:b/>
          <w:bCs/>
        </w:rPr>
        <w:t>MODELLING OF THE STRUCTURAL BEHAVIOUR OF RETROFITTED RC BEAMS UNDER HYBRID SYSTEM OF CFRP LAMINATE, GFRP BAR, MAS PLATES AND CONCRETE JACKETING</w:t>
      </w:r>
    </w:p>
    <w:p w14:paraId="7A23475E" w14:textId="77777777" w:rsidR="009523E5" w:rsidRDefault="009523E5" w:rsidP="009201D3">
      <w:pPr>
        <w:spacing w:after="0" w:line="240" w:lineRule="auto"/>
        <w:rPr>
          <w:rFonts w:ascii="Times New Roman" w:hAnsi="Times New Roman" w:cs="Times New Roman"/>
        </w:rPr>
      </w:pPr>
    </w:p>
    <w:p w14:paraId="5EC016DC" w14:textId="77777777" w:rsidR="009523E5" w:rsidRDefault="009523E5" w:rsidP="009201D3">
      <w:pPr>
        <w:spacing w:after="0" w:line="240" w:lineRule="auto"/>
        <w:rPr>
          <w:rFonts w:ascii="Times New Roman" w:hAnsi="Times New Roman" w:cs="Times New Roman"/>
        </w:rPr>
      </w:pPr>
    </w:p>
    <w:p w14:paraId="0A39CEA4" w14:textId="77777777" w:rsidR="009523E5" w:rsidRDefault="009523E5" w:rsidP="009201D3">
      <w:pPr>
        <w:spacing w:after="0" w:line="240" w:lineRule="auto"/>
        <w:rPr>
          <w:rFonts w:ascii="Times New Roman" w:hAnsi="Times New Roman" w:cs="Times New Roman"/>
        </w:rPr>
      </w:pPr>
    </w:p>
    <w:p w14:paraId="66B91F73"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 xml:space="preserve">Abstract </w:t>
      </w:r>
    </w:p>
    <w:p w14:paraId="66F86F9E" w14:textId="77777777" w:rsidR="009523E5" w:rsidRDefault="003B4279" w:rsidP="009201D3">
      <w:pPr>
        <w:spacing w:after="0" w:line="240" w:lineRule="auto"/>
        <w:ind w:left="-5" w:right="11"/>
        <w:rPr>
          <w:rFonts w:ascii="Times New Roman" w:hAnsi="Times New Roman" w:cs="Times New Roman"/>
        </w:rPr>
      </w:pPr>
      <w:r>
        <w:rPr>
          <w:rFonts w:ascii="Times New Roman" w:hAnsi="Times New Roman" w:cs="Times New Roman"/>
        </w:rPr>
        <w:t>This study examines the flexural performance of reinforced concrete (RC) beams retrofitted with a hybrid system comprising CFRP laminates, G</w:t>
      </w:r>
      <w:r>
        <w:rPr>
          <w:rFonts w:ascii="Times New Roman" w:hAnsi="Times New Roman" w:cs="Times New Roman"/>
        </w:rPr>
        <w:t>FRP bars, mechanical anchorage plates, and concrete jacketing. Although similar retrofitting methods are increasingly adopted, detailed analyses in line with BS code provisions remain limited. The research addresses this gap through four-point bending test</w:t>
      </w:r>
      <w:r>
        <w:rPr>
          <w:rFonts w:ascii="Times New Roman" w:hAnsi="Times New Roman" w:cs="Times New Roman"/>
        </w:rPr>
        <w:t xml:space="preserve">s, examining crack behaviour, failure modes, load–deflection behaviour, and comparisons between </w:t>
      </w:r>
      <w:r w:rsidRPr="00B66148">
        <w:rPr>
          <w:rFonts w:ascii="Times New Roman" w:hAnsi="Times New Roman" w:cs="Times New Roman"/>
        </w:rPr>
        <w:t>experimental results and analytical predictions based on BS code provisions. Beams A and C ha</w:t>
      </w:r>
      <w:r w:rsidRPr="00B66148">
        <w:rPr>
          <w:rFonts w:ascii="Times New Roman" w:hAnsi="Times New Roman" w:cs="Times New Roman"/>
          <w:lang w:val="en-US"/>
        </w:rPr>
        <w:t>d</w:t>
      </w:r>
      <w:r w:rsidRPr="00B66148">
        <w:rPr>
          <w:rFonts w:ascii="Times New Roman" w:hAnsi="Times New Roman" w:cs="Times New Roman"/>
        </w:rPr>
        <w:t xml:space="preserve"> </w:t>
      </w:r>
      <w:r w:rsidRPr="00B66148">
        <w:rPr>
          <w:rFonts w:ascii="Times New Roman" w:hAnsi="Times New Roman" w:cs="Times New Roman"/>
          <w:lang w:val="en-US"/>
        </w:rPr>
        <w:t>dept</w:t>
      </w:r>
      <w:r w:rsidRPr="00B66148">
        <w:rPr>
          <w:rFonts w:ascii="Times New Roman" w:hAnsi="Times New Roman" w:cs="Times New Roman"/>
        </w:rPr>
        <w:t xml:space="preserve">h of 225 mm and 175 mm respectively, while beams B, D, and E </w:t>
      </w:r>
      <w:r w:rsidRPr="00B66148">
        <w:rPr>
          <w:rFonts w:ascii="Times New Roman" w:hAnsi="Times New Roman" w:cs="Times New Roman"/>
          <w:lang w:val="en-US"/>
        </w:rPr>
        <w:t>we</w:t>
      </w:r>
      <w:r w:rsidRPr="00B66148">
        <w:rPr>
          <w:rFonts w:ascii="Times New Roman" w:hAnsi="Times New Roman" w:cs="Times New Roman"/>
        </w:rPr>
        <w:t>re 200 mm deep. Beams A, B, C, and D share</w:t>
      </w:r>
      <w:r w:rsidRPr="00B66148">
        <w:rPr>
          <w:rFonts w:ascii="Times New Roman" w:hAnsi="Times New Roman" w:cs="Times New Roman"/>
          <w:lang w:val="en-US"/>
        </w:rPr>
        <w:t>d</w:t>
      </w:r>
      <w:r w:rsidRPr="00B66148">
        <w:rPr>
          <w:rFonts w:ascii="Times New Roman" w:hAnsi="Times New Roman" w:cs="Times New Roman"/>
        </w:rPr>
        <w:t xml:space="preserve"> a concrete compressive strength of 37.03 MPa, whereas beam E has a strength of 26.77 MPa. Tension reinforcement consist</w:t>
      </w:r>
      <w:r w:rsidRPr="00B66148">
        <w:rPr>
          <w:rFonts w:ascii="Times New Roman" w:hAnsi="Times New Roman" w:cs="Times New Roman"/>
          <w:lang w:val="en-US"/>
        </w:rPr>
        <w:t>ed</w:t>
      </w:r>
      <w:r w:rsidRPr="00B66148">
        <w:rPr>
          <w:rFonts w:ascii="Times New Roman" w:hAnsi="Times New Roman" w:cs="Times New Roman"/>
        </w:rPr>
        <w:t xml:space="preserve"> of two 12 mm diameter bottom bars in beams A, B, C, and E, and three 12 mm bars in beam </w:t>
      </w:r>
      <w:r w:rsidRPr="00B66148">
        <w:rPr>
          <w:rFonts w:ascii="Times New Roman" w:hAnsi="Times New Roman" w:cs="Times New Roman"/>
        </w:rPr>
        <w:t xml:space="preserve">D. The ratio of the retrofitted beam to the unretrofitted </w:t>
      </w:r>
      <w:r w:rsidRPr="00B66148">
        <w:rPr>
          <w:rFonts w:ascii="Times New Roman" w:hAnsi="Times New Roman" w:cs="Times New Roman"/>
          <w:lang w:val="en-US"/>
        </w:rPr>
        <w:t xml:space="preserve">beam </w:t>
      </w:r>
      <w:r w:rsidRPr="00B66148">
        <w:rPr>
          <w:rFonts w:ascii="Times New Roman" w:hAnsi="Times New Roman" w:cs="Times New Roman"/>
        </w:rPr>
        <w:t>ultimate loads were recorded as 140 %, 158 %, 154 %, 144 %, and 146 % for the beams A, B, C, D, and E respectively, indicating a significant increase as a result of the strengthening. A new for</w:t>
      </w:r>
      <w:r w:rsidRPr="00B66148">
        <w:rPr>
          <w:rFonts w:ascii="Times New Roman" w:hAnsi="Times New Roman" w:cs="Times New Roman"/>
        </w:rPr>
        <w:t xml:space="preserve">mula for estimating the flexural moment capacity of the hybrid retrofitted beam is proposed and validated against </w:t>
      </w:r>
      <w:r>
        <w:rPr>
          <w:rFonts w:ascii="Times New Roman" w:hAnsi="Times New Roman" w:cs="Times New Roman"/>
        </w:rPr>
        <w:t>experimental and analytical results. The mean ratio of experimental to analytical moments is 0.94, with a variance of 0.00541, indicating stro</w:t>
      </w:r>
      <w:r>
        <w:rPr>
          <w:rFonts w:ascii="Times New Roman" w:hAnsi="Times New Roman" w:cs="Times New Roman"/>
        </w:rPr>
        <w:t>ng agreement. The proposed formula demonstrates high accuracy and is suitable for application to beams with similar hybrid retrofitting configurations.</w:t>
      </w:r>
    </w:p>
    <w:p w14:paraId="177E2A63" w14:textId="77777777" w:rsidR="00DE4DF4" w:rsidRDefault="00DE4DF4" w:rsidP="009201D3">
      <w:pPr>
        <w:spacing w:after="0" w:line="240" w:lineRule="auto"/>
        <w:ind w:left="-5" w:right="11"/>
        <w:rPr>
          <w:rFonts w:ascii="Times New Roman" w:hAnsi="Times New Roman" w:cs="Times New Roman"/>
        </w:rPr>
      </w:pPr>
    </w:p>
    <w:p w14:paraId="7A91C35C" w14:textId="44175266" w:rsidR="009523E5" w:rsidRDefault="003B4279" w:rsidP="009201D3">
      <w:pPr>
        <w:spacing w:after="0" w:line="240" w:lineRule="auto"/>
        <w:rPr>
          <w:rFonts w:ascii="Times New Roman" w:hAnsi="Times New Roman" w:cs="Times New Roman"/>
        </w:rPr>
      </w:pPr>
      <w:r>
        <w:rPr>
          <w:rFonts w:ascii="Times New Roman" w:hAnsi="Times New Roman" w:cs="Times New Roman"/>
          <w:b/>
          <w:bCs/>
        </w:rPr>
        <w:t>Key</w:t>
      </w:r>
      <w:r w:rsidR="00DE4DF4">
        <w:rPr>
          <w:rFonts w:ascii="Times New Roman" w:hAnsi="Times New Roman" w:cs="Times New Roman"/>
          <w:b/>
          <w:bCs/>
        </w:rPr>
        <w:t>w</w:t>
      </w:r>
      <w:r>
        <w:rPr>
          <w:rFonts w:ascii="Times New Roman" w:hAnsi="Times New Roman" w:cs="Times New Roman"/>
          <w:b/>
          <w:bCs/>
        </w:rPr>
        <w:t>ords</w:t>
      </w:r>
      <w:r w:rsidR="00DE4DF4">
        <w:rPr>
          <w:rFonts w:ascii="Times New Roman" w:hAnsi="Times New Roman" w:cs="Times New Roman"/>
          <w:b/>
          <w:bCs/>
        </w:rPr>
        <w:t>: c</w:t>
      </w:r>
      <w:r w:rsidR="00DE4DF4">
        <w:rPr>
          <w:rFonts w:ascii="Times New Roman" w:hAnsi="Times New Roman" w:cs="Times New Roman"/>
        </w:rPr>
        <w:t>arbon fibre reinforced polymer (</w:t>
      </w:r>
      <w:r>
        <w:rPr>
          <w:rFonts w:ascii="Times New Roman" w:hAnsi="Times New Roman" w:cs="Times New Roman"/>
        </w:rPr>
        <w:t>CFRP</w:t>
      </w:r>
      <w:r w:rsidR="00DE4DF4">
        <w:rPr>
          <w:rFonts w:ascii="Times New Roman" w:hAnsi="Times New Roman" w:cs="Times New Roman"/>
        </w:rPr>
        <w:t>), glass fibre reinforced polymer</w:t>
      </w:r>
      <w:r>
        <w:rPr>
          <w:rFonts w:ascii="Times New Roman" w:hAnsi="Times New Roman" w:cs="Times New Roman"/>
        </w:rPr>
        <w:t xml:space="preserve"> </w:t>
      </w:r>
      <w:r w:rsidR="00DE4DF4">
        <w:rPr>
          <w:rFonts w:ascii="Times New Roman" w:hAnsi="Times New Roman" w:cs="Times New Roman"/>
        </w:rPr>
        <w:t>(</w:t>
      </w:r>
      <w:r>
        <w:rPr>
          <w:rFonts w:ascii="Times New Roman" w:hAnsi="Times New Roman" w:cs="Times New Roman"/>
        </w:rPr>
        <w:t>GFRP</w:t>
      </w:r>
      <w:r w:rsidR="00DE4DF4">
        <w:rPr>
          <w:rFonts w:ascii="Times New Roman" w:hAnsi="Times New Roman" w:cs="Times New Roman"/>
        </w:rPr>
        <w:t>),</w:t>
      </w:r>
      <w:r>
        <w:rPr>
          <w:rFonts w:ascii="Times New Roman" w:hAnsi="Times New Roman" w:cs="Times New Roman"/>
        </w:rPr>
        <w:t xml:space="preserve"> </w:t>
      </w:r>
      <w:r w:rsidR="00DE4DF4">
        <w:rPr>
          <w:rFonts w:ascii="Times New Roman" w:hAnsi="Times New Roman" w:cs="Times New Roman"/>
        </w:rPr>
        <w:t>mechanical anchorage system (</w:t>
      </w:r>
      <w:r>
        <w:rPr>
          <w:rFonts w:ascii="Times New Roman" w:hAnsi="Times New Roman" w:cs="Times New Roman"/>
        </w:rPr>
        <w:t>MAS</w:t>
      </w:r>
      <w:r w:rsidR="00DE4DF4">
        <w:rPr>
          <w:rFonts w:ascii="Times New Roman" w:hAnsi="Times New Roman" w:cs="Times New Roman"/>
        </w:rPr>
        <w:t>)</w:t>
      </w:r>
      <w:r>
        <w:rPr>
          <w:rFonts w:ascii="Times New Roman" w:hAnsi="Times New Roman" w:cs="Times New Roman"/>
        </w:rPr>
        <w:t xml:space="preserve"> plates</w:t>
      </w:r>
      <w:r w:rsidR="00DE4DF4">
        <w:rPr>
          <w:rFonts w:ascii="Times New Roman" w:hAnsi="Times New Roman" w:cs="Times New Roman"/>
        </w:rPr>
        <w:t>,</w:t>
      </w:r>
      <w:r>
        <w:rPr>
          <w:rFonts w:ascii="Times New Roman" w:hAnsi="Times New Roman" w:cs="Times New Roman"/>
        </w:rPr>
        <w:t xml:space="preserve"> Numerical analysis</w:t>
      </w:r>
      <w:r w:rsidR="00DE4DF4">
        <w:rPr>
          <w:rFonts w:ascii="Times New Roman" w:hAnsi="Times New Roman" w:cs="Times New Roman"/>
        </w:rPr>
        <w:t>,</w:t>
      </w:r>
      <w:r>
        <w:rPr>
          <w:rFonts w:ascii="Times New Roman" w:hAnsi="Times New Roman" w:cs="Times New Roman"/>
        </w:rPr>
        <w:t xml:space="preserve"> Concrete jacket</w:t>
      </w:r>
      <w:r w:rsidR="00631885">
        <w:rPr>
          <w:rFonts w:ascii="Times New Roman" w:hAnsi="Times New Roman" w:cs="Times New Roman"/>
        </w:rPr>
        <w:t>ing</w:t>
      </w:r>
    </w:p>
    <w:p w14:paraId="450094EF" w14:textId="77777777" w:rsidR="009523E5" w:rsidRDefault="009523E5" w:rsidP="009201D3">
      <w:pPr>
        <w:spacing w:after="0" w:line="240" w:lineRule="auto"/>
        <w:rPr>
          <w:rFonts w:ascii="Times New Roman" w:hAnsi="Times New Roman" w:cs="Times New Roman"/>
        </w:rPr>
      </w:pPr>
    </w:p>
    <w:p w14:paraId="425E800C"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1. Introduction</w:t>
      </w:r>
    </w:p>
    <w:p w14:paraId="3E63236D" w14:textId="77777777" w:rsidR="009523E5" w:rsidRPr="00AB1B4B" w:rsidRDefault="003B4279" w:rsidP="009201D3">
      <w:pPr>
        <w:spacing w:after="0" w:line="240" w:lineRule="auto"/>
        <w:rPr>
          <w:rFonts w:ascii="Times New Roman" w:hAnsi="Times New Roman" w:cs="Times New Roman"/>
        </w:rPr>
      </w:pPr>
      <w:r>
        <w:rPr>
          <w:rFonts w:ascii="Times New Roman" w:hAnsi="Times New Roman" w:cs="Times New Roman"/>
        </w:rPr>
        <w:t xml:space="preserve">Reinforced </w:t>
      </w:r>
      <w:r w:rsidRPr="00AB1B4B">
        <w:rPr>
          <w:rFonts w:ascii="Times New Roman" w:hAnsi="Times New Roman" w:cs="Times New Roman"/>
        </w:rPr>
        <w:t xml:space="preserve">concrete is a versatile material that has variety of uses in the construction industry. It can be moulded into different shapes and when correct detailing is </w:t>
      </w:r>
      <w:r w:rsidRPr="00AB1B4B">
        <w:rPr>
          <w:rFonts w:ascii="Times New Roman" w:hAnsi="Times New Roman" w:cs="Times New Roman"/>
        </w:rPr>
        <w:t>adhered to, major cracks can be mitigated. The problem with plain concrete is the development and formation of tensile cracks beyond the neutral axis from the extreme fibres of the tensile region, that is where the reinforcement comes in to have the tensil</w:t>
      </w:r>
      <w:r w:rsidRPr="00AB1B4B">
        <w:rPr>
          <w:rFonts w:ascii="Times New Roman" w:hAnsi="Times New Roman" w:cs="Times New Roman"/>
        </w:rPr>
        <w:t>e stresses effectively transferred to. In the cause of revision of the codes of practice, structures are reviewed and, in some cases, retrofitting or strengthening is needed to bring back the structures to a more enhanced strength. Also, strengthening is n</w:t>
      </w:r>
      <w:r w:rsidRPr="00AB1B4B">
        <w:rPr>
          <w:rFonts w:ascii="Times New Roman" w:hAnsi="Times New Roman" w:cs="Times New Roman"/>
        </w:rPr>
        <w:t xml:space="preserve">eeded when an existing structure is fatigued and has exceeded the design life, as such can no longer be structurally fit. Furthermore, structures are strengthened when they need to be upgraded for instance adding more floors to the existing. In this case, </w:t>
      </w:r>
      <w:r w:rsidRPr="00AB1B4B">
        <w:rPr>
          <w:rFonts w:ascii="Times New Roman" w:hAnsi="Times New Roman" w:cs="Times New Roman"/>
        </w:rPr>
        <w:t xml:space="preserve">the members need to be strengthened to be able to support the additional floors introduced. </w:t>
      </w:r>
    </w:p>
    <w:p w14:paraId="7C52E8FB" w14:textId="77777777" w:rsidR="009523E5" w:rsidRPr="00AB1B4B" w:rsidRDefault="003B4279" w:rsidP="009201D3">
      <w:pPr>
        <w:spacing w:after="0" w:line="240" w:lineRule="auto"/>
        <w:rPr>
          <w:rFonts w:ascii="Times New Roman" w:hAnsi="Times New Roman" w:cs="Times New Roman"/>
        </w:rPr>
      </w:pPr>
      <w:r w:rsidRPr="00AB1B4B">
        <w:rPr>
          <w:rFonts w:ascii="Times New Roman" w:hAnsi="Times New Roman" w:cs="Times New Roman"/>
        </w:rPr>
        <w:t>The introduction of the retrofitting elements is essential to improve upon the tensile capabilities of the reinforced concrete (RC) beam. The glass fibre reinforce</w:t>
      </w:r>
      <w:r w:rsidRPr="00AB1B4B">
        <w:rPr>
          <w:rFonts w:ascii="Times New Roman" w:hAnsi="Times New Roman" w:cs="Times New Roman"/>
        </w:rPr>
        <w:t xml:space="preserve">d polymer (GFRP) bar is not susceptible to corrode and is very strong in tension. The carbon fibre reinforced polymer (CFRP) laminate is a thin material that is </w:t>
      </w:r>
      <w:r w:rsidRPr="00AB1B4B">
        <w:rPr>
          <w:rFonts w:ascii="Times New Roman" w:hAnsi="Times New Roman" w:cs="Times New Roman"/>
          <w:lang w:val="en-US"/>
        </w:rPr>
        <w:t xml:space="preserve">used </w:t>
      </w:r>
      <w:r w:rsidRPr="00AB1B4B">
        <w:rPr>
          <w:rFonts w:ascii="Times New Roman" w:hAnsi="Times New Roman" w:cs="Times New Roman"/>
        </w:rPr>
        <w:t xml:space="preserve">for strengthening RC beams, columns, bridge girders and the advantage of this material is </w:t>
      </w:r>
      <w:r w:rsidRPr="00AB1B4B">
        <w:rPr>
          <w:rFonts w:ascii="Times New Roman" w:hAnsi="Times New Roman" w:cs="Times New Roman"/>
        </w:rPr>
        <w:t>its lightweight and high strength</w:t>
      </w:r>
      <w:r w:rsidRPr="00AB1B4B">
        <w:rPr>
          <w:rFonts w:ascii="Times New Roman" w:hAnsi="Times New Roman" w:cs="Times New Roman"/>
          <w:lang w:val="en-US"/>
        </w:rPr>
        <w:t>.</w:t>
      </w:r>
      <w:r w:rsidRPr="00AB1B4B">
        <w:rPr>
          <w:rFonts w:ascii="Times New Roman" w:hAnsi="Times New Roman" w:cs="Times New Roman"/>
        </w:rPr>
        <w:t xml:space="preserve"> </w:t>
      </w:r>
      <w:r w:rsidRPr="00AB1B4B">
        <w:rPr>
          <w:rFonts w:ascii="Times New Roman" w:hAnsi="Times New Roman" w:cs="Times New Roman"/>
          <w:lang w:val="en-US"/>
        </w:rPr>
        <w:lastRenderedPageBreak/>
        <w:t>A</w:t>
      </w:r>
      <w:proofErr w:type="spellStart"/>
      <w:r w:rsidRPr="00AB1B4B">
        <w:rPr>
          <w:rFonts w:ascii="Times New Roman" w:hAnsi="Times New Roman" w:cs="Times New Roman"/>
        </w:rPr>
        <w:t>lso</w:t>
      </w:r>
      <w:proofErr w:type="spellEnd"/>
      <w:r w:rsidRPr="00AB1B4B">
        <w:rPr>
          <w:rFonts w:ascii="Times New Roman" w:hAnsi="Times New Roman" w:cs="Times New Roman"/>
        </w:rPr>
        <w:t xml:space="preserve"> its high resistance to corrosion makes it environmentally friendly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{"citationItems":[{"id":"ITEM-1","itemData":{"DOI":"10.1016/j.rinma.2022.100355","ISSN":"2590048X","abstract":"Composites consisti</w:instrText>
      </w:r>
      <w:r w:rsidRPr="00AB1B4B">
        <w:rPr>
          <w:rFonts w:ascii="Times New Roman" w:hAnsi="Times New Roman" w:cs="Times New Roman"/>
        </w:rPr>
        <w:instrText>ng of natural fibers and plastics are gaining huge consideration nowadays because of the relentless increase in the use of non-renewable resources. Worldwide, researchers are trying to explore new techniques to effectively utilize non-renewable resources f</w:instrText>
      </w:r>
      <w:r w:rsidRPr="00AB1B4B">
        <w:rPr>
          <w:rFonts w:ascii="Times New Roman" w:hAnsi="Times New Roman" w:cs="Times New Roman"/>
        </w:rPr>
        <w:instrText xml:space="preserve">or various purposes. Plastic materials represent non-biodegradable resources that are excessively used nowadays and are sources of environmental issues. Natural fibers are one of the best substitutes for manufacturing composite products. They are not only </w:instrText>
      </w:r>
      <w:r w:rsidRPr="00AB1B4B">
        <w:rPr>
          <w:rFonts w:ascii="Times New Roman" w:hAnsi="Times New Roman" w:cs="Times New Roman"/>
        </w:rPr>
        <w:instrText>useful in reducing carbon footprints but also in solving various degradation issues. Natural fiber-based polymer composites are in huge demand because of their manufacturing cost, lightweight, availability, and environmentally friendly nature. Prior to the</w:instrText>
      </w:r>
      <w:r w:rsidRPr="00AB1B4B">
        <w:rPr>
          <w:rFonts w:ascii="Times New Roman" w:hAnsi="Times New Roman" w:cs="Times New Roman"/>
        </w:rPr>
        <w:instrText xml:space="preserve"> usage of natural fiber-reinforced polymer composites (NFRPCs) for different applications, their behavioral study is required under different application aspects. Therefore, this paper aims to review the different application aspects of NFRPCs such as mach</w:instrText>
      </w:r>
      <w:r w:rsidRPr="00AB1B4B">
        <w:rPr>
          <w:rFonts w:ascii="Times New Roman" w:hAnsi="Times New Roman" w:cs="Times New Roman"/>
        </w:rPr>
        <w:instrText>ining, tribology, and environmental degradation. Additionally, this review also presents a brief introduction to composites, their constituents, and their various applications. This review study will provide useful information to researchers working on NFR</w:instrText>
      </w:r>
      <w:r w:rsidRPr="00AB1B4B">
        <w:rPr>
          <w:rFonts w:ascii="Times New Roman" w:hAnsi="Times New Roman" w:cs="Times New Roman"/>
        </w:rPr>
        <w:instrText>PCs and exploring the possible applications of NFRPCs under different working conditions.","author":[{"dropping-particle":"","family":"Singh","given":"Manoj Kumar","non-dropping-particle":"","parse-names":false,"suffix":""},{"dropping-particle":"","family"</w:instrText>
      </w:r>
      <w:r w:rsidRPr="00AB1B4B">
        <w:rPr>
          <w:rFonts w:ascii="Times New Roman" w:hAnsi="Times New Roman" w:cs="Times New Roman"/>
        </w:rPr>
        <w:instrText>:"Tewari","given":"Renu","non-dropping-particle":"","parse-names":false,"suffix":""},{"dropping-particle":"","family":"Zafar","given":"Sunny","non-dropping-particle":"","parse-names":false,"suffix":""},{"dropping-particle":"","family":"Rangappa","given":"S</w:instrText>
      </w:r>
      <w:r w:rsidRPr="00AB1B4B">
        <w:rPr>
          <w:rFonts w:ascii="Times New Roman" w:hAnsi="Times New Roman" w:cs="Times New Roman"/>
        </w:rPr>
        <w:instrText>anjay Mavinkere","non-dropping-particle":"","parse-names":false,"suffix":""},{"dropping-particle":"","family":"Siengchin","given":"Suchart","non-dropping-particle":"","parse-names":false,"suffix":""}],"container-title":"Results in Materials","id":"ITEM-1",</w:instrText>
      </w:r>
      <w:r w:rsidRPr="00AB1B4B">
        <w:rPr>
          <w:rFonts w:ascii="Times New Roman" w:hAnsi="Times New Roman" w:cs="Times New Roman"/>
        </w:rPr>
        <w:instrText>"issued":{"date-parts":[["2023","3","1"]]},"publisher":"Elsevier B.V.","title":"A comprehensive review of various factors for application feasibility of natural fiber-reinforced polymer composites","type":"article-journal","volume":"17"},"uris":["http://ww</w:instrText>
      </w:r>
      <w:r w:rsidRPr="00AB1B4B">
        <w:rPr>
          <w:rFonts w:ascii="Times New Roman" w:hAnsi="Times New Roman" w:cs="Times New Roman"/>
        </w:rPr>
        <w:instrText>w.mendeley.com/documents/?uuid=f4cf6a72-2779-3ac0-af06-a4df8f96ded2"]},{"id":"ITEM-2","itemData":{"DOI":"10.1016/j.heliyon.2023.e14225","ISSN":"24058440","abstract":"Fibre reinforced polymer (FRP) composite is a useful material. It has been utilised to enh</w:instrText>
      </w:r>
      <w:r w:rsidRPr="00AB1B4B">
        <w:rPr>
          <w:rFonts w:ascii="Times New Roman" w:hAnsi="Times New Roman" w:cs="Times New Roman"/>
        </w:rPr>
        <w:instrText>ance the structural behaviour of reinforced concrete beams (RCB). It is also crucial to summarise the impact of FRP on various types of RCB properties. This study summarises the FRP usage's impact on the RCB's structural behaviour based on previous researc</w:instrText>
      </w:r>
      <w:r w:rsidRPr="00AB1B4B">
        <w:rPr>
          <w:rFonts w:ascii="Times New Roman" w:hAnsi="Times New Roman" w:cs="Times New Roman"/>
        </w:rPr>
        <w:instrText>h by reviewing and discussing the experimental study and finite element analysis (FEA) results. Based on previous relevant literature reviews, the experimental investigation and FEA showed significant improvements in flexure, stiffness, young modulus, load</w:instrText>
      </w:r>
      <w:r w:rsidRPr="00AB1B4B">
        <w:rPr>
          <w:rFonts w:ascii="Times New Roman" w:hAnsi="Times New Roman" w:cs="Times New Roman"/>
        </w:rPr>
        <w:instrText>-deflection, ultimate load capacity, fracture pattern, and failure mode when FRP was used in RCB production. This FRP composite material can be used as the external reinforcement for RCB due to its high strength capability, force, load, and corrosion resis</w:instrText>
      </w:r>
      <w:r w:rsidRPr="00AB1B4B">
        <w:rPr>
          <w:rFonts w:ascii="Times New Roman" w:hAnsi="Times New Roman" w:cs="Times New Roman"/>
        </w:rPr>
        <w:instrText>tance with adhesive and anchorage properties. Using FRP in RCB can benefit civil engineering by increasing its structural behaviour and performance, especially in construction industry.","author":[{"dropping-particle":"","family":"Solahuddin","given":"B. A</w:instrText>
      </w:r>
      <w:r w:rsidRPr="00AB1B4B">
        <w:rPr>
          <w:rFonts w:ascii="Times New Roman" w:hAnsi="Times New Roman" w:cs="Times New Roman"/>
        </w:rPr>
        <w:instrText>.","non-dropping-particle":"","parse-names":false,"suffix":""},{"dropping-particle":"","family":"Yahaya","given":"F. M.","non-dropping-particle":"","parse-names":false,"suffix":""}],"container-title":"Heliyon","id":"ITEM-2","issue":"3","issued":{"date-part</w:instrText>
      </w:r>
      <w:r w:rsidRPr="00AB1B4B">
        <w:rPr>
          <w:rFonts w:ascii="Times New Roman" w:hAnsi="Times New Roman" w:cs="Times New Roman"/>
        </w:rPr>
        <w:instrText>s":[["2023","3","1"]]},"publisher":"Elsevier Ltd","title":"A state-of-the-art review on experimental investigation and finite element analysis on structural behaviour of fibre reinforced polymer reinforced concrete beams","type":"article","volume":"9"},"ur</w:instrText>
      </w:r>
      <w:r w:rsidRPr="00AB1B4B">
        <w:rPr>
          <w:rFonts w:ascii="Times New Roman" w:hAnsi="Times New Roman" w:cs="Times New Roman"/>
        </w:rPr>
        <w:instrText>is":["http://www.mendeley.com/documents/?uuid=1d9deefd-a5cb-3825-8c0b-6c28dcef243f"]}],"mendeley":{"formattedCitation":"(Singh et al., 2023; Solahuddin &amp; Yahaya, 2023)","plainTextFormattedCitation":"(Singh et al., 2023; Solahuddin &amp; Yahaya, 2023)","previou</w:instrText>
      </w:r>
      <w:r w:rsidRPr="00AB1B4B">
        <w:rPr>
          <w:rFonts w:ascii="Times New Roman" w:hAnsi="Times New Roman" w:cs="Times New Roman"/>
        </w:rPr>
        <w:instrText>slyFormattedCitation":"(Singh et al., 2023; Solahuddin &amp; Yahaya,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(Singh et al., 2023; Solahuddin &amp; Yahaya, 2023)</w:t>
      </w:r>
      <w:r w:rsidRPr="00AB1B4B">
        <w:rPr>
          <w:rFonts w:ascii="Times New Roman" w:hAnsi="Times New Roman" w:cs="Times New Roman"/>
        </w:rPr>
        <w:fldChar w:fldCharType="end"/>
      </w:r>
      <w:r w:rsidRPr="00AB1B4B">
        <w:rPr>
          <w:rFonts w:ascii="Times New Roman" w:hAnsi="Times New Roman" w:cs="Times New Roman"/>
        </w:rPr>
        <w:t>. The retrofit</w:t>
      </w:r>
      <w:r w:rsidRPr="00AB1B4B">
        <w:rPr>
          <w:rFonts w:ascii="Times New Roman" w:hAnsi="Times New Roman" w:cs="Times New Roman"/>
        </w:rPr>
        <w:t xml:space="preserve">ting layer is essential in improving the resistance to crack formation. </w:t>
      </w:r>
    </w:p>
    <w:p w14:paraId="13C0E3F7" w14:textId="77777777"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rPr>
        <w:t>Liu et al. (2023</w:t>
      </w:r>
      <w:r w:rsidRPr="00AB1B4B">
        <w:rPr>
          <w:rFonts w:ascii="Times New Roman" w:hAnsi="Times New Roman" w:cs="Times New Roman"/>
          <w:lang w:val="en-US"/>
        </w:rPr>
        <w:t>a</w:t>
      </w:r>
      <w:r w:rsidRPr="00AB1B4B">
        <w:rPr>
          <w:rFonts w:ascii="Times New Roman" w:hAnsi="Times New Roman" w:cs="Times New Roman"/>
        </w:rPr>
        <w:t xml:space="preserve">) researched into the flexural performance of RC beams strengthened with CFRP and engineered cementitious composites (ECC), arriving at the conclusion that combining </w:t>
      </w:r>
      <w:r w:rsidRPr="00AB1B4B">
        <w:rPr>
          <w:rFonts w:ascii="Times New Roman" w:hAnsi="Times New Roman" w:cs="Times New Roman"/>
        </w:rPr>
        <w:t xml:space="preserve">the CFRP with the ECC improves ductility, toughness, and reduces the </w:t>
      </w:r>
      <w:r>
        <w:rPr>
          <w:rFonts w:ascii="Times New Roman" w:hAnsi="Times New Roman" w:cs="Times New Roman"/>
        </w:rPr>
        <w:t>propagation of cracks. The combined effect of the RC concrete and ECC with regards to the flexural strength of the hybrid beam is 89.23 % at the initial crack load and 42.73 % at the peak</w:t>
      </w:r>
      <w:r>
        <w:rPr>
          <w:rFonts w:ascii="Times New Roman" w:hAnsi="Times New Roman" w:cs="Times New Roman"/>
        </w:rPr>
        <w:t xml:space="preserve"> load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{"citationItems":[{"id":"ITEM-1","itemData":{"DOI":"10.1016/j.engstruct.2023.116163","ISSN":"18737323","abstract":"Glass fiber-reinforced polymer (GFRP) reinforced concrete beams can be effectively strengthened and made more durabl</w:instrText>
      </w:r>
      <w:r>
        <w:rPr>
          <w:rFonts w:ascii="Times New Roman" w:hAnsi="Times New Roman" w:cs="Times New Roman"/>
        </w:rPr>
        <w:instrText>e using carbon fiber-reinforced polymer (CFRP) grid-reinforced engineered cement composite (ECC). However, the bearing mechanism and design formula for the flexural capacity of this type of hybrid beam are not yet clear. Hence, it is necessary to conduct a</w:instrText>
      </w:r>
      <w:r>
        <w:rPr>
          <w:rFonts w:ascii="Times New Roman" w:hAnsi="Times New Roman" w:cs="Times New Roman"/>
        </w:rPr>
        <w:instrText xml:space="preserve"> thorough study on it through numerical analysis. In this paper, a series of refined finite element (FE) models were established and verified by comparing the failure modes and load–displacement curves with experimental results. The mechanical behaviors of</w:instrText>
      </w:r>
      <w:r>
        <w:rPr>
          <w:rFonts w:ascii="Times New Roman" w:hAnsi="Times New Roman" w:cs="Times New Roman"/>
        </w:rPr>
        <w:instrText xml:space="preserve"> GFRP bars, steel bars, CFRP grids, concrete, and ECC were analyzed in depth. Then, the effects of some key parameters on the flexural behavior of the hybrid beam were investigated, including the compressive strength of the concrete prism, diameter of GFRP</w:instrText>
      </w:r>
      <w:r>
        <w:rPr>
          <w:rFonts w:ascii="Times New Roman" w:hAnsi="Times New Roman" w:cs="Times New Roman"/>
        </w:rPr>
        <w:instrText xml:space="preserve"> bars, tensile strength of ECC, cover thickness of ECC, and cross-sectional area of CFRP grid. Finally, a new formula for the flexural capacity of the hybrid beam was proposed based on the plane-section assumption, and its accuracy was verified by both exp</w:instrText>
      </w:r>
      <w:r>
        <w:rPr>
          <w:rFonts w:ascii="Times New Roman" w:hAnsi="Times New Roman" w:cs="Times New Roman"/>
        </w:rPr>
        <w:instrText>erimental and numerical findings. The results showed that the contribution of the combined concrete and ECC to the flexural capacity of the beam was 43.45% at peak load. The proposed formula accurately predicted the flexural capacity of the hybrid beam and</w:instrText>
      </w:r>
      <w:r>
        <w:rPr>
          <w:rFonts w:ascii="Times New Roman" w:hAnsi="Times New Roman" w:cs="Times New Roman"/>
        </w:rPr>
        <w:instrText xml:space="preserve"> can be applied to other beams of similar formations.","author":[{"dropping-particle":"","family":"Zhang","given":"Zaiyu","non-dropping-particle":"","parse-names":false,"suffix":""},{"dropping-particle":"","family":"Wu","given":"Xiaohong","non-dropping-par</w:instrText>
      </w:r>
      <w:r>
        <w:rPr>
          <w:rFonts w:ascii="Times New Roman" w:hAnsi="Times New Roman" w:cs="Times New Roman"/>
        </w:rPr>
        <w:instrText>ticle":"","parse-names":false,"suffix":""},{"dropping-particle":"","family":"Zhang","given":"Jinghua","non-dropping-particle":"","parse-names":false,"suffix":""},{"dropping-particle":"","family":"Sun","given":"Qing","non-dropping-particle":"","parse-names"</w:instrText>
      </w:r>
      <w:r>
        <w:rPr>
          <w:rFonts w:ascii="Times New Roman" w:hAnsi="Times New Roman" w:cs="Times New Roman"/>
        </w:rPr>
        <w:instrText>:false,"suffix":""},{"dropping-particle":"","family":"Tian","given":"Penggang","non-dropping-particle":"","parse-names":false,"suffix":""},{"dropping-particle":"","family":"Hu","given":"Gaoxing","non-dropping-particle":"","parse-names":false,"suffix":""}],</w:instrText>
      </w:r>
      <w:r>
        <w:rPr>
          <w:rFonts w:ascii="Times New Roman" w:hAnsi="Times New Roman" w:cs="Times New Roman"/>
        </w:rPr>
        <w:instrText>"container-title":"Engineering Structures","id":"ITEM-1","issue":"August","issued":{"date-parts":[["2023"]]},"page":"1-28","title":"Numerical investigation on the flexural behavior of GFRP reinforced concrete beams with CFRP grid-reinforced engineered ceme</w:instrText>
      </w:r>
      <w:r>
        <w:rPr>
          <w:rFonts w:ascii="Times New Roman" w:hAnsi="Times New Roman" w:cs="Times New Roman"/>
        </w:rPr>
        <w:instrText>ntitious composites","type":"article-journal","volume":"288"},"uris":["http://www.mendeley.com/documents/?uuid=81b1ee8f-8f37-411e-9ce4-973796c0d02e"]}],"mendeley":{"formattedCitation":"(Zhang et al., 2023)","plainTextFormattedCitation":"(Zhang et al., 2023</w:instrText>
      </w:r>
      <w:r>
        <w:rPr>
          <w:rFonts w:ascii="Times New Roman" w:hAnsi="Times New Roman" w:cs="Times New Roman"/>
        </w:rPr>
        <w:instrText>)","previouslyFormattedCitation":"(Zhang et al.,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(Zhang et al., 2023)</w:t>
      </w:r>
      <w:r>
        <w:rPr>
          <w:rFonts w:ascii="Times New Roman" w:hAnsi="Times New Roman" w:cs="Times New Roman"/>
        </w:rPr>
        <w:fldChar w:fldCharType="end"/>
      </w:r>
      <w:r>
        <w:rPr>
          <w:rFonts w:ascii="Times New Roman" w:hAnsi="Times New Roman" w:cs="Times New Roman"/>
        </w:rPr>
        <w:t xml:space="preserve">. CFRP </w:t>
      </w:r>
      <w:r w:rsidRPr="00AB1B4B">
        <w:rPr>
          <w:rFonts w:ascii="Times New Roman" w:hAnsi="Times New Roman" w:cs="Times New Roman"/>
        </w:rPr>
        <w:t xml:space="preserve">laminates increase the durability and design life of RC beams, resisting corrosion and when applied well, the performance is optimized bringing about a good interaction of the concrete and the CFRP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w:instrText>
      </w:r>
      <w:r w:rsidRPr="00AB1B4B">
        <w:rPr>
          <w:rFonts w:ascii="Times New Roman" w:hAnsi="Times New Roman" w:cs="Times New Roman"/>
        </w:rPr>
        <w:instrText>Data":{"DOI":"10.1016/j.istruc.2023.06.024","ISSN":"23520124","abstract":"The galvanized steel mesh (GSM) systems are novel strengthening materials for the concrete structural elements, but their mechanical and long-term durability properties are needed to</w:instrText>
      </w:r>
      <w:r w:rsidRPr="00AB1B4B">
        <w:rPr>
          <w:rFonts w:ascii="Times New Roman" w:hAnsi="Times New Roman" w:cs="Times New Roman"/>
        </w:rPr>
        <w:instrText xml:space="preserve"> be investigated to enhance understanding and reliability in their use. This study investigates the behavior of reinforced concrete (RC) beams strengthened with carbon fiber reinforced polymers (CFRP) and GSM sheets under harsh climatic conditions of salin</w:instrText>
      </w:r>
      <w:r w:rsidRPr="00AB1B4B">
        <w:rPr>
          <w:rFonts w:ascii="Times New Roman" w:hAnsi="Times New Roman" w:cs="Times New Roman"/>
        </w:rPr>
        <w:instrText>e water and direct sunlight. The main focus was to recommend two important reduction factors, the bond reduction factor and the overall flexural reduction actor, when concrete beams are subjected to two said environments for a long period. These factors we</w:instrText>
      </w:r>
      <w:r w:rsidRPr="00AB1B4B">
        <w:rPr>
          <w:rFonts w:ascii="Times New Roman" w:hAnsi="Times New Roman" w:cs="Times New Roman"/>
        </w:rPr>
        <w:instrText>re compared to the ones recommended by different codes. The CFRP sheets were attached to the beams’ soffit with epoxy adhesive, whereas the GSM sheets were bonded either with epoxy (SME) or epoxy-based mortar (SMM). The specimens were weathered under salin</w:instrText>
      </w:r>
      <w:r w:rsidRPr="00AB1B4B">
        <w:rPr>
          <w:rFonts w:ascii="Times New Roman" w:hAnsi="Times New Roman" w:cs="Times New Roman"/>
        </w:rPr>
        <w:instrText>e water and direct sunlight for a period of 6, 12, and 24 months. The load-carrying capacity of CFRP, SMM, and SME strengthened specimens increased by 47%, 55%, and 55%, respectively, when compared to the unstrengthened specimens at 28 days. The bond capac</w:instrText>
      </w:r>
      <w:r w:rsidRPr="00AB1B4B">
        <w:rPr>
          <w:rFonts w:ascii="Times New Roman" w:hAnsi="Times New Roman" w:cs="Times New Roman"/>
        </w:rPr>
        <w:instrText>ity reduction factors (Rb) for CFRP, SMM, and SME strengthening systems were 0.75, 0.85, and 0.95 for saline water exposure, and 0.95, 0.85, and 0.85 for sun exposure, respectively, over a period of two years. On the other hand, the recommended overall fle</w:instrText>
      </w:r>
      <w:r w:rsidRPr="00AB1B4B">
        <w:rPr>
          <w:rFonts w:ascii="Times New Roman" w:hAnsi="Times New Roman" w:cs="Times New Roman"/>
        </w:rPr>
        <w:instrText>xure strength reduction factors (Rn) for CFRP, SMM, and SME strengthening systems were 0.85, 0.85, and 0.90 for saline water exposure, and 0.95, 0.90, and 0.90 for sun exposure, respectively. The results suggest that epoxy-based strengthening systems are m</w:instrText>
      </w:r>
      <w:r w:rsidRPr="00AB1B4B">
        <w:rPr>
          <w:rFonts w:ascii="Times New Roman" w:hAnsi="Times New Roman" w:cs="Times New Roman"/>
        </w:rPr>
        <w:instrText>ore durable compared to the mortar-based systems under harsh climatic conditions.","author":[{"dropping-particle":"","family":"Douier","given":"Kais","non-dropping-particle":"","parse-names":false,"suffix":""},{"dropping-particle":"","family":"Hawileh","gi</w:instrText>
      </w:r>
      <w:r w:rsidRPr="00AB1B4B">
        <w:rPr>
          <w:rFonts w:ascii="Times New Roman" w:hAnsi="Times New Roman" w:cs="Times New Roman"/>
        </w:rPr>
        <w:instrText>ven":"Rami","non-dropping-particle":"","parse-names":false,"suffix":""},{"dropping-particle":"","family":"Abdalla","given":"Jamal A.","non-dropping-particle":"","parse-names":false,"suffix":""},{"dropping-particle":"","family":"Nuaimi","given":"Nasser","no</w:instrText>
      </w:r>
      <w:r w:rsidRPr="00AB1B4B">
        <w:rPr>
          <w:rFonts w:ascii="Times New Roman" w:hAnsi="Times New Roman" w:cs="Times New Roman"/>
        </w:rPr>
        <w:instrText>n-dropping-particle":"Al","parse-names":false,"suffix":""},{"dropping-particle":"","family":"Ghous Sohail","given":"Muazzam","non-dropping-particle":"","parse-names":false,"suffix":""}],"container-title":"Structures","id":"ITEM-1","issued":{"date-parts":[[</w:instrText>
      </w:r>
      <w:r w:rsidRPr="00AB1B4B">
        <w:rPr>
          <w:rFonts w:ascii="Times New Roman" w:hAnsi="Times New Roman" w:cs="Times New Roman"/>
        </w:rPr>
        <w:instrText>"2023","9","1"]]},"page":"338-353","publisher":"Elsevier Ltd","title":"Durability performance of RC beams strengthened with CFRP laminates and galvanized steel mesh bonded with epoxy and mortar systems","type":"article-journal","volume":"55"},"uris":["http</w:instrText>
      </w:r>
      <w:r w:rsidRPr="00AB1B4B">
        <w:rPr>
          <w:rFonts w:ascii="Times New Roman" w:hAnsi="Times New Roman" w:cs="Times New Roman"/>
        </w:rPr>
        <w:instrText>://www.mendeley.com/documents/?uuid=c476086c-ef0d-3964-9b65-17ecff7ca00a"]}],"mendeley":{"formattedCitation":"(Douier et al., 2023)","plainTextFormattedCitation":"(Douier et al., 2023)","previouslyFormattedCitation":"(Douier et al., 2023)"},"properties":{"</w:instrText>
      </w:r>
      <w:r w:rsidRPr="00AB1B4B">
        <w:rPr>
          <w:rFonts w:ascii="Times New Roman" w:hAnsi="Times New Roman" w:cs="Times New Roman"/>
        </w:rPr>
        <w:instrText>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(Douier et al., 2023)</w:t>
      </w:r>
      <w:r w:rsidRPr="00AB1B4B">
        <w:rPr>
          <w:rFonts w:ascii="Times New Roman" w:hAnsi="Times New Roman" w:cs="Times New Roman"/>
        </w:rPr>
        <w:fldChar w:fldCharType="end"/>
      </w:r>
      <w:r w:rsidRPr="00AB1B4B">
        <w:rPr>
          <w:rFonts w:ascii="Times New Roman" w:hAnsi="Times New Roman" w:cs="Times New Roman"/>
        </w:rPr>
        <w:t>. Another technique which utilize</w:t>
      </w:r>
      <w:r w:rsidRPr="00AB1B4B">
        <w:rPr>
          <w:rFonts w:ascii="Times New Roman" w:hAnsi="Times New Roman" w:cs="Times New Roman"/>
          <w:lang w:val="en-US"/>
        </w:rPr>
        <w:t>d</w:t>
      </w:r>
      <w:r w:rsidRPr="00AB1B4B">
        <w:rPr>
          <w:rFonts w:ascii="Times New Roman" w:hAnsi="Times New Roman" w:cs="Times New Roman"/>
        </w:rPr>
        <w:t xml:space="preserve"> the CFRP ropes as transverse reinforcement improved the flexural performance of deep beams </w:t>
      </w:r>
      <w:r w:rsidRPr="00AB1B4B">
        <w:rPr>
          <w:rFonts w:ascii="Times New Roman" w:hAnsi="Times New Roman" w:cs="Times New Roman"/>
        </w:rPr>
        <w:fldChar w:fldCharType="begin" w:fldLock="1"/>
      </w:r>
      <w:r w:rsidRPr="00AB1B4B">
        <w:rPr>
          <w:rFonts w:ascii="Times New Roman" w:hAnsi="Times New Roman" w:cs="Times New Roman"/>
        </w:rPr>
        <w:instrText>AD</w:instrText>
      </w:r>
      <w:r w:rsidRPr="00AB1B4B">
        <w:rPr>
          <w:rFonts w:ascii="Times New Roman" w:hAnsi="Times New Roman" w:cs="Times New Roman"/>
        </w:rPr>
        <w:instrText>DIN CSL_CITATION {"citationItems":[{"id":"ITEM-1","itemData":{"DOI":"10.3390/fib6030052/(/journal/fibers)","abstract":"","author":[{"dropping-particle":"","family":"Chalioris","given":"Constantin E.","non-dropping-particle":"","parse-names":false,"suffix"</w:instrText>
      </w:r>
      <w:r w:rsidRPr="00AB1B4B">
        <w:rPr>
          <w:rFonts w:ascii="Times New Roman" w:hAnsi="Times New Roman" w:cs="Times New Roman"/>
        </w:rPr>
        <w:instrText>:""},{"dropping-particle":"","family":"Kosmidou","given":"Patherna-Maria K.","non-dropping-particle":"","parse-names":false,"suffix":""},{"dropping-particle":"","family":"Papadopoulos","given":"Nikos A.","non-dropping-particle":"","parse-names":false,"suff</w:instrText>
      </w:r>
      <w:r w:rsidRPr="00AB1B4B">
        <w:rPr>
          <w:rFonts w:ascii="Times New Roman" w:hAnsi="Times New Roman" w:cs="Times New Roman"/>
        </w:rPr>
        <w:instrText>ix":""}],"container-title":"Fibers","id":"ITEM-1","issued":{"date-parts":[["2018"]]},"title":"Investigation of a New Strengthening Technique for RC Deep Beams Using Carbon FRP Ropes as Transverse Reinforcements","type":"article-journal"},"uris":["http://ww</w:instrText>
      </w:r>
      <w:r w:rsidRPr="00AB1B4B">
        <w:rPr>
          <w:rFonts w:ascii="Times New Roman" w:hAnsi="Times New Roman" w:cs="Times New Roman"/>
        </w:rPr>
        <w:instrText>w.mendeley.com/documents/?uuid=7fa451c9-395c-343b-bc55-499bff7ca014"]}],"mendeley":{"formattedCitation":"(Chalioris et al., 2018)","plainTextFormattedCitation":"(Chalioris et al., 2018)","previouslyFormattedCitation":"(Chalioris et al., 2018)"},"properties</w:instrText>
      </w:r>
      <w:r w:rsidRPr="00AB1B4B">
        <w:rPr>
          <w:rFonts w:ascii="Times New Roman" w:hAnsi="Times New Roman" w:cs="Times New Roman"/>
        </w:rPr>
        <w:instrText>":{"noteIndex":0},"schema":"https://github.com/citation-style-language/schema/raw/master/csl-citation.json"}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(Chalioris et al., 2018)</w:t>
      </w:r>
      <w:r w:rsidRPr="00AB1B4B">
        <w:rPr>
          <w:rFonts w:ascii="Times New Roman" w:hAnsi="Times New Roman" w:cs="Times New Roman"/>
        </w:rPr>
        <w:fldChar w:fldCharType="end"/>
      </w:r>
      <w:r w:rsidRPr="00AB1B4B">
        <w:rPr>
          <w:rFonts w:ascii="Times New Roman" w:hAnsi="Times New Roman" w:cs="Times New Roman"/>
        </w:rPr>
        <w:t xml:space="preserve"> and slender beams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{"citationItems":[{"id":"ITEM-1","itemData":{"DOI":"10.1016/j.matpr.2023.07.254","I</w:instrText>
      </w:r>
      <w:r w:rsidRPr="00AB1B4B">
        <w:rPr>
          <w:rFonts w:ascii="Times New Roman" w:hAnsi="Times New Roman" w:cs="Times New Roman"/>
        </w:rPr>
        <w:instrText>SSN":"22147853","author":[{"dropping-particle":"","family":"Nikoloutsopoulos","given":"Nikolaos","non-dropping-particle":"","parse-names":false,"suffix":""},{"dropping-particle":"","family":"Sotiropoulou","given":"Anastasia","non-dropping-particle":"","par</w:instrText>
      </w:r>
      <w:r w:rsidRPr="00AB1B4B">
        <w:rPr>
          <w:rFonts w:ascii="Times New Roman" w:hAnsi="Times New Roman" w:cs="Times New Roman"/>
        </w:rPr>
        <w:instrText>se-names":false,"suffix":""},{"dropping-particle":"","family":"Passa","given":"Dimitra","non-dropping-particle":"","parse-names":false,"suffix":""}],"container-title":"Materials Today: Proceedings","id":"ITEM-1","issued":{"date-parts":[["2023","8"]]},"titl</w:instrText>
      </w:r>
      <w:r w:rsidRPr="00AB1B4B">
        <w:rPr>
          <w:rFonts w:ascii="Times New Roman" w:hAnsi="Times New Roman" w:cs="Times New Roman"/>
        </w:rPr>
        <w:instrText>e":"Deep embedment and NSM techniques for shear strengthening of reinforced concrete slender beams with cFRP ropes","type":"article-journal"},"uris":["http://www.mendeley.com/documents/?uuid=52c5c7a4-8157-3d5f-9cf2-c93a0eb35ae3"]}],"mendeley":{"formattedCi</w:instrText>
      </w:r>
      <w:r w:rsidRPr="00AB1B4B">
        <w:rPr>
          <w:rFonts w:ascii="Times New Roman" w:hAnsi="Times New Roman" w:cs="Times New Roman"/>
        </w:rPr>
        <w:instrText>tation":"(Nikoloutsopoulos et al., 2023)","plainTextFormattedCitation":"(Nikoloutsopoulos et al., 2023)","previouslyFormattedCitation":"(Nikoloutsopoulos et al., 2023)"},"properties":{"noteIndex":0},"schema":"https://github.com/citation-style-language/sche</w:instrText>
      </w:r>
      <w:r w:rsidRPr="00AB1B4B">
        <w:rPr>
          <w:rFonts w:ascii="Times New Roman" w:hAnsi="Times New Roman" w:cs="Times New Roman"/>
        </w:rPr>
        <w:instrText>ma/raw/master/csl-citation.json"}</w:instrText>
      </w:r>
      <w:r w:rsidRPr="00AB1B4B">
        <w:rPr>
          <w:rFonts w:ascii="Times New Roman" w:hAnsi="Times New Roman" w:cs="Times New Roman"/>
        </w:rPr>
        <w:fldChar w:fldCharType="separate"/>
      </w:r>
      <w:r w:rsidRPr="00AB1B4B">
        <w:rPr>
          <w:rFonts w:ascii="Times New Roman" w:hAnsi="Times New Roman" w:cs="Times New Roman"/>
        </w:rPr>
        <w:t>(Nikoloutsopoulos et al., 2023)</w:t>
      </w:r>
      <w:r w:rsidRPr="00AB1B4B">
        <w:rPr>
          <w:rFonts w:ascii="Times New Roman" w:hAnsi="Times New Roman" w:cs="Times New Roman"/>
        </w:rPr>
        <w:fldChar w:fldCharType="end"/>
      </w:r>
      <w:r w:rsidRPr="00AB1B4B">
        <w:rPr>
          <w:rFonts w:ascii="Times New Roman" w:hAnsi="Times New Roman" w:cs="Times New Roman"/>
        </w:rPr>
        <w:t xml:space="preserve">. In other research works, </w:t>
      </w:r>
      <w:r w:rsidRPr="00AB1B4B">
        <w:rPr>
          <w:rFonts w:ascii="Times New Roman" w:hAnsi="Times New Roman" w:cs="Times New Roman"/>
          <w:lang w:val="en-US"/>
        </w:rPr>
        <w:t>two</w:t>
      </w:r>
      <w:r w:rsidRPr="00AB1B4B">
        <w:rPr>
          <w:rFonts w:ascii="Times New Roman" w:hAnsi="Times New Roman" w:cs="Times New Roman"/>
        </w:rPr>
        <w:t xml:space="preserve"> </w:t>
      </w:r>
      <w:r w:rsidRPr="00AB1B4B">
        <w:rPr>
          <w:rFonts w:ascii="Times New Roman" w:hAnsi="Times New Roman" w:cs="Times New Roman"/>
          <w:lang w:val="en-US"/>
        </w:rPr>
        <w:t>beams in which strengthening with steel bars and CFRP bars but without concrete jacketing produced a minor increase (9%) in flexural capacity, but two other b</w:t>
      </w:r>
      <w:r w:rsidRPr="00AB1B4B">
        <w:rPr>
          <w:rFonts w:ascii="Times New Roman" w:hAnsi="Times New Roman" w:cs="Times New Roman"/>
          <w:lang w:val="en-US"/>
        </w:rPr>
        <w:t xml:space="preserve">eams that were strengthened with CFRP bars demonstrated substantial improvements of 97.6% and 133% due to the inclusion of concrete jacketing and mechanical anchorage systems (MAS)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w:instrText>
      </w:r>
      <w:r w:rsidRPr="00AB1B4B">
        <w:rPr>
          <w:rFonts w:ascii="Times New Roman" w:hAnsi="Times New Roman" w:cs="Times New Roman"/>
          <w:lang w:val="en-US"/>
        </w:rPr>
        <w:instrText>016/j.istruc.2022.11.024","ISSN":"23520124","abstract":"This study proposed a new scheme for the retrofitting of Reinforced Concrete (RC) beams using Carbon Fiber Reinforced (CFRP) rods restrained using steel plates and anchorage bolts called the mechanica</w:instrText>
      </w:r>
      <w:r w:rsidRPr="00AB1B4B">
        <w:rPr>
          <w:rFonts w:ascii="Times New Roman" w:hAnsi="Times New Roman" w:cs="Times New Roman"/>
          <w:lang w:val="en-US"/>
        </w:rPr>
        <w:instrText>l anchorage system (MAS). This system also employed an external concrete jacket to cover the MAS and CFRP rods. The performance of the proposed technique was experimentally assessed using the four-point flexural testing of retrofitted beams under increment</w:instrText>
      </w:r>
      <w:r w:rsidRPr="00AB1B4B">
        <w:rPr>
          <w:rFonts w:ascii="Times New Roman" w:hAnsi="Times New Roman" w:cs="Times New Roman"/>
          <w:lang w:val="en-US"/>
        </w:rPr>
        <w:instrText>al cyclic load using a dynamic actuator. A total of eight beams were cast and tested in different configurations to determine the effectiveness of the design parameters including the number of CFRP rods, the contribution of MAS, and concrete jacketing (CJ)</w:instrText>
      </w:r>
      <w:r w:rsidRPr="00AB1B4B">
        <w:rPr>
          <w:rFonts w:ascii="Times New Roman" w:hAnsi="Times New Roman" w:cs="Times New Roman"/>
          <w:lang w:val="en-US"/>
        </w:rPr>
        <w:instrText xml:space="preserve"> in terms of load capacity, cracking, failure mode, and ductility. The results revealed that the efficiency of the proposed retrofitting system was achieved by increasing the load capacity of retrofitted beams and preventing the premature debonding failure</w:instrText>
      </w:r>
      <w:r w:rsidRPr="00AB1B4B">
        <w:rPr>
          <w:rFonts w:ascii="Times New Roman" w:hAnsi="Times New Roman" w:cs="Times New Roman"/>
          <w:lang w:val="en-US"/>
        </w:rPr>
        <w:instrText xml:space="preserve"> of CFRP rods. Although de-bonding can occur on the surface between the old and new concrete, the utilization of a perfect adhesive epoxy on the concrete contact surface led to sufficient bonding between the two surfaces. Therefore, overall, the proposed s</w:instrText>
      </w:r>
      <w:r w:rsidRPr="00AB1B4B">
        <w:rPr>
          <w:rFonts w:ascii="Times New Roman" w:hAnsi="Times New Roman" w:cs="Times New Roman"/>
          <w:lang w:val="en-US"/>
        </w:rPr>
        <w:instrText>trengthening technique can be considered a reliable method to enhance the performance of RC beams without the risk of de-bonding.","author":[{"dropping-particle":"","family":"Alkhateeb","given":"Mahmood Y.","non-dropping-particle":"","parse-names":false,"s</w:instrText>
      </w:r>
      <w:r w:rsidRPr="00AB1B4B">
        <w:rPr>
          <w:rFonts w:ascii="Times New Roman" w:hAnsi="Times New Roman" w:cs="Times New Roman"/>
          <w:lang w:val="en-US"/>
        </w:rPr>
        <w:instrText>uffix":""},{"dropping-particle":"","family":"Hejazi","given":"Farzad","non-dropping-particle":"","parse-names":false,"suffix":""}],"container-title":"Structures","id":"ITEM-1","issued":{"date-parts":[["2022","12","1"]]},"page":"1994-2013","publisher":"Else</w:instrText>
      </w:r>
      <w:r w:rsidRPr="00AB1B4B">
        <w:rPr>
          <w:rFonts w:ascii="Times New Roman" w:hAnsi="Times New Roman" w:cs="Times New Roman"/>
          <w:lang w:val="en-US"/>
        </w:rPr>
        <w:instrText>vier Ltd","title":"Reinforced concrete beams externally strengthened by CFRP rods with steel plate, anchorage bolts, and concrete jacketing","type":"article-journal","volume":"46"},"uris":["http://www.mendeley.com/documents/?uuid=0bd875bc-2241-3895-9346-02</w:instrText>
      </w:r>
      <w:r w:rsidRPr="00AB1B4B">
        <w:rPr>
          <w:rFonts w:ascii="Times New Roman" w:hAnsi="Times New Roman" w:cs="Times New Roman"/>
          <w:lang w:val="en-US"/>
        </w:rPr>
        <w:instrText>6549b929b3"]}],"mendeley":{"formattedCitation":"(Alkhateeb &amp; Hejazi, 2022)","plainTextFormattedCitation":"(Alkhateeb &amp; Hejazi, 2022)","previouslyFormattedCitation":"(Alkhateeb &amp; Hejazi, 2022)"},"properties":{"noteIndex":0},"schema":"https://github.com/cita</w:instrText>
      </w:r>
      <w:r w:rsidRPr="00AB1B4B">
        <w:rPr>
          <w:rFonts w:ascii="Times New Roman" w:hAnsi="Times New Roman" w:cs="Times New Roman"/>
          <w:lang w:val="en-US"/>
        </w:rPr>
        <w:instrText>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(Alkhateeb &amp; Hejazi, 2022)</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The use of CFRP bars significantly increased flexural bearing capacities by 127.83% (lapped bars) and 169.36% (continuous bars) compared to unreinforced beams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w:instrText>
      </w:r>
      <w:r w:rsidRPr="00AB1B4B">
        <w:rPr>
          <w:rFonts w:ascii="Times New Roman" w:hAnsi="Times New Roman" w:cs="Times New Roman"/>
          <w:lang w:val="en-US"/>
        </w:rPr>
        <w:instrText>_CITATION {"citationItems":[{"id":"ITEM-1","itemData":{"DOI":"10.1016/j.jobe.2023.107528","ISSN":"23527102","abstract":"Strengthening existing reinforced concrete (RC) beams using carbon fiber reinforced polymer (CFRP) bars have gained greater interest and</w:instrText>
      </w:r>
      <w:r w:rsidRPr="00AB1B4B">
        <w:rPr>
          <w:rFonts w:ascii="Times New Roman" w:hAnsi="Times New Roman" w:cs="Times New Roman"/>
          <w:lang w:val="en-US"/>
        </w:rPr>
        <w:instrText xml:space="preserve"> increased field applications. Theoretical and experimental investigations have been conducted in this research to learn the flexural behavior of RC beams strengthened by CFRP bars. Bending tests were performed on seven specimens to obtain the load-displac</w:instrText>
      </w:r>
      <w:r w:rsidRPr="00AB1B4B">
        <w:rPr>
          <w:rFonts w:ascii="Times New Roman" w:hAnsi="Times New Roman" w:cs="Times New Roman"/>
          <w:lang w:val="en-US"/>
        </w:rPr>
        <w:instrText xml:space="preserve">ement curves of the beams with different strengthening methods. Different features of the failure modes were observed in the bending tests. Strengthened beams by CFRP bars can significantly increase the flexural bearing capacity of RC beams and retard the </w:instrText>
      </w:r>
      <w:r w:rsidRPr="00AB1B4B">
        <w:rPr>
          <w:rFonts w:ascii="Times New Roman" w:hAnsi="Times New Roman" w:cs="Times New Roman"/>
          <w:lang w:val="en-US"/>
        </w:rPr>
        <w:instrText>development of cracks, which is an effective means to improve flexural stiffness. In addition, the experimental results revealed the influences of the bar connection mode. RC beams strengthened by continue bars have a greater ultimate load than those stren</w:instrText>
      </w:r>
      <w:r w:rsidRPr="00AB1B4B">
        <w:rPr>
          <w:rFonts w:ascii="Times New Roman" w:hAnsi="Times New Roman" w:cs="Times New Roman"/>
          <w:lang w:val="en-US"/>
        </w:rPr>
        <w:instrText>gthened by lapped bars. A refined finite element (FE) model was built and validated by the experimental results. This validated FE model clarified the failure mode of beams from the perspective of displacement evolution and strain development. Furthermore,</w:instrText>
      </w:r>
      <w:r w:rsidRPr="00AB1B4B">
        <w:rPr>
          <w:rFonts w:ascii="Times New Roman" w:hAnsi="Times New Roman" w:cs="Times New Roman"/>
          <w:lang w:val="en-US"/>
        </w:rPr>
        <w:instrText xml:space="preserve"> theoretical formulas were established to calculate the ultimate flexural capacity of the strengthened beams, which was proved to have acceptable accuracy in predicting the flexural behavior of the CFRP-strengthened beams. This research may provide a valua</w:instrText>
      </w:r>
      <w:r w:rsidRPr="00AB1B4B">
        <w:rPr>
          <w:rFonts w:ascii="Times New Roman" w:hAnsi="Times New Roman" w:cs="Times New Roman"/>
          <w:lang w:val="en-US"/>
        </w:rPr>
        <w:instrText>ble reference for strengthening the existing RC beams.","author":[{"dropping-particle":"","family":"Sun","given":"Yong","non-dropping-particle":"","parse-names":false,"suffix":""},{"dropping-particle":"","family":"Fu","given":"Wenwei","non-dropping-particl</w:instrText>
      </w:r>
      <w:r w:rsidRPr="00AB1B4B">
        <w:rPr>
          <w:rFonts w:ascii="Times New Roman" w:hAnsi="Times New Roman" w:cs="Times New Roman"/>
          <w:lang w:val="en-US"/>
        </w:rPr>
        <w:instrText>e":"","parse-names":false,"suffix":""},{"dropping-particle":"","family":"Chen","given":"Xin","non-dropping-particle":"","parse-names":false,"suffix":""},{"dropping-particle":"","family":"Zhang","given":"Zhiqiang","non-dropping-particle":"","parse-names":fa</w:instrText>
      </w:r>
      <w:r w:rsidRPr="00AB1B4B">
        <w:rPr>
          <w:rFonts w:ascii="Times New Roman" w:hAnsi="Times New Roman" w:cs="Times New Roman"/>
          <w:lang w:val="en-US"/>
        </w:rPr>
        <w:instrText>lse,"suffix":""},{"dropping-particle":"","family":"Yu","given":"Weigen","non-dropping-particle":"","parse-names":false,"suffix":""},{"dropping-particle":"","family":"Li","given":"Shuangjiang","non-dropping-particle":"","parse-names":false,"suffix":""}],"co</w:instrText>
      </w:r>
      <w:r w:rsidRPr="00AB1B4B">
        <w:rPr>
          <w:rFonts w:ascii="Times New Roman" w:hAnsi="Times New Roman" w:cs="Times New Roman"/>
          <w:lang w:val="en-US"/>
        </w:rPr>
        <w:instrText>ntainer-title":"Journal of Building Engineering","id":"ITEM-1","issued":{"date-parts":[["2023","10","15"]]},"publisher":"Elsevier Ltd","title":"Theoretical and experimental investigations into flexural behavior of existing reinforced concrete beams strengt</w:instrText>
      </w:r>
      <w:r w:rsidRPr="00AB1B4B">
        <w:rPr>
          <w:rFonts w:ascii="Times New Roman" w:hAnsi="Times New Roman" w:cs="Times New Roman"/>
          <w:lang w:val="en-US"/>
        </w:rPr>
        <w:instrText xml:space="preserve">hened by CFRP bars","type":"article-journal","volume":"77"},"uris":["http://www.mendeley.com/documents/?uuid=5ae0097e-c586-3ed7-974e-a3c75b4068f8"]}],"mendeley":{"formattedCitation":"(Sun, Fu, et al., 2023)","plainTextFormattedCitation":"(Sun, Fu, et al., </w:instrText>
      </w:r>
      <w:r w:rsidRPr="00AB1B4B">
        <w:rPr>
          <w:rFonts w:ascii="Times New Roman" w:hAnsi="Times New Roman" w:cs="Times New Roman"/>
          <w:lang w:val="en-US"/>
        </w:rPr>
        <w:instrText>2023)","previouslyFormattedCitation":"(Sun, Fu,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(Sun et al., 2023a)</w:t>
      </w:r>
      <w:r w:rsidRPr="00AB1B4B">
        <w:rPr>
          <w:rFonts w:ascii="Times New Roman" w:hAnsi="Times New Roman" w:cs="Times New Roman"/>
          <w:lang w:val="en-US"/>
        </w:rPr>
        <w:fldChar w:fldCharType="end"/>
      </w:r>
      <w:r w:rsidRPr="00AB1B4B">
        <w:rPr>
          <w:rFonts w:ascii="Times New Roman" w:hAnsi="Times New Roman" w:cs="Times New Roman"/>
          <w:lang w:val="en-US"/>
        </w:rPr>
        <w:t>. The ultimate load of the geopolymer concrete (GPC</w:t>
      </w:r>
      <w:r w:rsidRPr="00AB1B4B">
        <w:rPr>
          <w:rFonts w:ascii="Times New Roman" w:hAnsi="Times New Roman" w:cs="Times New Roman"/>
          <w:lang w:val="en-US"/>
        </w:rPr>
        <w:t xml:space="preserve">) beam increased by 23% compared to the RC beam. Strengthening with CFRP strips led to increases of 57%, 69%, and 79% for the respective strengthened beams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{"citationItems":[{"id":"ITEM-1","itemData":{"DOI":"10.1016/j.heliyon.2023.e17674</w:instrText>
      </w:r>
      <w:r w:rsidRPr="00AB1B4B">
        <w:rPr>
          <w:rFonts w:ascii="Times New Roman" w:hAnsi="Times New Roman" w:cs="Times New Roman"/>
          <w:lang w:val="en-US"/>
        </w:rPr>
        <w:instrText xml:space="preserve">","ISSN":"24058440","abstract":"Recently, the demand for strengthening and rehabilitation of existing RC structures has increased due to the corrosion of internal steel reinforcement, variations in temperature, and increasing loading. As a result, several </w:instrText>
      </w:r>
      <w:r w:rsidRPr="00AB1B4B">
        <w:rPr>
          <w:rFonts w:ascii="Times New Roman" w:hAnsi="Times New Roman" w:cs="Times New Roman"/>
          <w:lang w:val="en-US"/>
        </w:rPr>
        <w:instrText xml:space="preserve">experimental studies have been performed to investigate the structural behaviour of strengthening RC beams with CFRP sheets, but few for GPC beams; therefore, this investigation focuses on the behaviour of strengthening GPC beams with CFRP sheets. In this </w:instrText>
      </w:r>
      <w:r w:rsidRPr="00AB1B4B">
        <w:rPr>
          <w:rFonts w:ascii="Times New Roman" w:hAnsi="Times New Roman" w:cs="Times New Roman"/>
          <w:lang w:val="en-US"/>
        </w:rPr>
        <w:instrText>experimental work, a set of ten specimen beams with the same cross section of 100 × 250 mm and 850 mm length with a 750 mm clear span were cast in two groups of five beams each. First group (flexural group) to study the flexural behavior, and the second on</w:instrText>
      </w:r>
      <w:r w:rsidRPr="00AB1B4B">
        <w:rPr>
          <w:rFonts w:ascii="Times New Roman" w:hAnsi="Times New Roman" w:cs="Times New Roman"/>
          <w:lang w:val="en-US"/>
        </w:rPr>
        <w:instrText>e for the shear behaviour (shear group). In each group, the first beam was carried out as an RC control beam and the second as a GPC control beam without strengthening, while the other three beams were cast as GPC beams and strengthened with various scheme</w:instrText>
      </w:r>
      <w:r w:rsidRPr="00AB1B4B">
        <w:rPr>
          <w:rFonts w:ascii="Times New Roman" w:hAnsi="Times New Roman" w:cs="Times New Roman"/>
          <w:lang w:val="en-US"/>
        </w:rPr>
        <w:instrText xml:space="preserve">s of CFRP sheets. All specimens were tested up to failure under two-sided static loading (four-point bending). The first cracking, yielding, and ultimate failure loads, the deflection values at midspan, the longitudinal bar strain, and the concrete strain </w:instrText>
      </w:r>
      <w:r w:rsidRPr="00AB1B4B">
        <w:rPr>
          <w:rFonts w:ascii="Times New Roman" w:hAnsi="Times New Roman" w:cs="Times New Roman"/>
          <w:lang w:val="en-US"/>
        </w:rPr>
        <w:instrText xml:space="preserve">were recorded for all tested specimens. The experimental results indicated that the Flextural Strengthening of GPC with CFRP sheet increased the First Cracking, yield and ultimate load capacity by 25.33%, 15.3% and 15% respectively, as well as, deflection </w:instrText>
      </w:r>
      <w:r w:rsidRPr="00AB1B4B">
        <w:rPr>
          <w:rFonts w:ascii="Times New Roman" w:hAnsi="Times New Roman" w:cs="Times New Roman"/>
          <w:lang w:val="en-US"/>
        </w:rPr>
        <w:instrText xml:space="preserve">was decreased by 16% on average while ductility and toughness have improved by 10% and 12% on average compared to R.C Beam.On the other side, the Shear Strengthening of GPC with CFRP strips increased the First Cracking, yield and ultimate load by 43%, 70% </w:instrText>
      </w:r>
      <w:r w:rsidRPr="00AB1B4B">
        <w:rPr>
          <w:rFonts w:ascii="Times New Roman" w:hAnsi="Times New Roman" w:cs="Times New Roman"/>
          <w:lang w:val="en-US"/>
        </w:rPr>
        <w:instrText>and 68% respectively, as well as, shear ductility has improved by 8% on average compared to R.C Beam. Overall, the different schemes of externally bound CFRP sheets have improved the flexural and shear behaviour of GPC beams.","author":[{"dropping-particle</w:instrText>
      </w:r>
      <w:r w:rsidRPr="00AB1B4B">
        <w:rPr>
          <w:rFonts w:ascii="Times New Roman" w:hAnsi="Times New Roman" w:cs="Times New Roman"/>
          <w:lang w:val="en-US"/>
        </w:rPr>
        <w:instrText>":"","family":"Eisa","given":"Ahmed S.","non-dropping-particle":"","parse-names":false,"suffix":""},{"dropping-particle":"","family":"Ahmed","given":"Mostafa H.","non-dropping-particle":"","parse-names":false,"suffix":""},{"dropping-particle":"","family":"</w:instrText>
      </w:r>
      <w:r w:rsidRPr="00AB1B4B">
        <w:rPr>
          <w:rFonts w:ascii="Times New Roman" w:hAnsi="Times New Roman" w:cs="Times New Roman"/>
          <w:lang w:val="en-US"/>
        </w:rPr>
        <w:instrText>Demjan","given":"Ivo","non-dropping-particle":"","parse-names":false,"suffix":""},{"dropping-particle":"","family":"Katunský","given":"Dušan","non-dropping-particle":"","parse-names":false,"suffix":""}],"container-title":"Heliyon","id":"ITEM-1","issue":"7"</w:instrText>
      </w:r>
      <w:r w:rsidRPr="00AB1B4B">
        <w:rPr>
          <w:rFonts w:ascii="Times New Roman" w:hAnsi="Times New Roman" w:cs="Times New Roman"/>
          <w:lang w:val="en-US"/>
        </w:rPr>
        <w:instrText>,"issued":{"date-parts":[["2023","7","1"]]},"publisher":"Elsevier Ltd","title":"Experimental investigation on the behavior of fly-ash based geopolymer reinforced concrete beams strengthened with CFRP","type":"article-journal","volume":"9"},"uris":["http://</w:instrText>
      </w:r>
      <w:r w:rsidRPr="00AB1B4B">
        <w:rPr>
          <w:rFonts w:ascii="Times New Roman" w:hAnsi="Times New Roman" w:cs="Times New Roman"/>
          <w:lang w:val="en-US"/>
        </w:rPr>
        <w:instrText>www.mendeley.com/documents/?uuid=77eb2b89-c1fe-3ad2-95d1-96fcb49d1917"]}],"mendeley":{"formattedCitation":"(Eisa et al., 2023)","plainTextFormattedCitation":"(Eisa et al., 2023)","previouslyFormattedCitation":"(Eisa et al., 2023)"},"properties":{"noteIndex</w:instrText>
      </w:r>
      <w:r w:rsidRPr="00AB1B4B">
        <w:rPr>
          <w:rFonts w:ascii="Times New Roman" w:hAnsi="Times New Roman" w:cs="Times New Roman"/>
          <w:lang w:val="en-US"/>
        </w:rPr>
        <w:instrText>":0},"schema":"https://github.com/citation-style-language/schema/raw/master/csl-citation.json"}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(Eisa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Basalt FRP (BFRP) and CFRP strips effectively enhance the ultimate capacity of the reinforced concrete beams. However, BFRP strips, despi</w:t>
      </w:r>
      <w:r w:rsidRPr="00AB1B4B">
        <w:rPr>
          <w:rFonts w:ascii="Times New Roman" w:hAnsi="Times New Roman" w:cs="Times New Roman"/>
          <w:lang w:val="en-US"/>
        </w:rPr>
        <w:t xml:space="preserve">te their lower stiffness, led to more significant deformation under the same load compared to CFRP strips, resulting in a lower maximum load capacity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{"citationItems":[{"id":"ITEM-1","itemData":{"DOI":"10.1016/j.conbuildmat.2023.132452",</w:instrText>
      </w:r>
      <w:r w:rsidRPr="00AB1B4B">
        <w:rPr>
          <w:rFonts w:ascii="Times New Roman" w:hAnsi="Times New Roman" w:cs="Times New Roman"/>
          <w:lang w:val="en-US"/>
        </w:rPr>
        <w:instrText>"ISSN":"09500618","abstract":"Recently, the implementation of strengthening systems for concrete structures as externally bonded carbon fibre-reinforced polymer (EBR-CFRP) has been used more frequently than the system with an externally bonded basalt fibre</w:instrText>
      </w:r>
      <w:r w:rsidRPr="00AB1B4B">
        <w:rPr>
          <w:rFonts w:ascii="Times New Roman" w:hAnsi="Times New Roman" w:cs="Times New Roman"/>
          <w:lang w:val="en-US"/>
        </w:rPr>
        <w:instrText>-reinforced polymer (EBR-BFRP). Through many years of an international investigation, a safe design model for CFRP strips has been developed, unfortunately, it could not be used for the calculation of reinforced concrete strengthened by lower stiffness str</w:instrText>
      </w:r>
      <w:r w:rsidRPr="00AB1B4B">
        <w:rPr>
          <w:rFonts w:ascii="Times New Roman" w:hAnsi="Times New Roman" w:cs="Times New Roman"/>
          <w:lang w:val="en-US"/>
        </w:rPr>
        <w:instrText xml:space="preserve">ips such as BFRP, without previous validation. The differences appear in the bond shear stress – slip relationship, which is required for a more accurate design. The research on bending behaviour of strengthened concrete structures is necessary to offer a </w:instrText>
      </w:r>
      <w:r w:rsidRPr="00AB1B4B">
        <w:rPr>
          <w:rFonts w:ascii="Times New Roman" w:hAnsi="Times New Roman" w:cs="Times New Roman"/>
          <w:lang w:val="en-US"/>
        </w:rPr>
        <w:instrText>practical engineering and design model for a new retrofitting system. This paper presents the analytical evaluation of externally bonded BFRP and CFRP strips on the load-bearing behaviour of reinforced concrete structures and its verification on the experi</w:instrText>
      </w:r>
      <w:r w:rsidRPr="00AB1B4B">
        <w:rPr>
          <w:rFonts w:ascii="Times New Roman" w:hAnsi="Times New Roman" w:cs="Times New Roman"/>
          <w:lang w:val="en-US"/>
        </w:rPr>
        <w:instrText>mental results. The validity of this study was completed based on the basis of the strain measurement of steel- and FRP-reinforcement using distributed fibre optic sensing.","author":[{"dropping-particle":"","family":"Grzesiak","given":"Szymon","non-droppi</w:instrText>
      </w:r>
      <w:r w:rsidRPr="00AB1B4B">
        <w:rPr>
          <w:rFonts w:ascii="Times New Roman" w:hAnsi="Times New Roman" w:cs="Times New Roman"/>
          <w:lang w:val="en-US"/>
        </w:rPr>
        <w:instrText>ng-particle":"","parse-names":false,"suffix":""},{"dropping-particle":"","family":"Schultz-Cornelius","given":"Milan","non-dropping-particle":"","parse-names":false,"suffix":""},{"dropping-particle":"","family":"Pahn","given":"Matthias","non-dropping-parti</w:instrText>
      </w:r>
      <w:r w:rsidRPr="00AB1B4B">
        <w:rPr>
          <w:rFonts w:ascii="Times New Roman" w:hAnsi="Times New Roman" w:cs="Times New Roman"/>
          <w:lang w:val="en-US"/>
        </w:rPr>
        <w:instrText>cle":"","parse-names":false,"suffix":""}],"container-title":"Construction and Building Materials","id":"ITEM-1","issued":{"date-parts":[["2023","10","12"]]},"publisher":"Elsevier Ltd","title":"Experimental and analytical evaluation of externally bonded BFR</w:instrText>
      </w:r>
      <w:r w:rsidRPr="00AB1B4B">
        <w:rPr>
          <w:rFonts w:ascii="Times New Roman" w:hAnsi="Times New Roman" w:cs="Times New Roman"/>
          <w:lang w:val="en-US"/>
        </w:rPr>
        <w:instrText>P and CFRP strips on the load-bearing behaviour of reinforced concrete structures using distributed fibre optic sensing","type":"article-journal","volume":"400"},"uris":["http://www.mendeley.com/documents/?uuid=2626c50d-74c8-3112-bedd-067d601ce19e"]}],"men</w:instrText>
      </w:r>
      <w:r w:rsidRPr="00AB1B4B">
        <w:rPr>
          <w:rFonts w:ascii="Times New Roman" w:hAnsi="Times New Roman" w:cs="Times New Roman"/>
          <w:lang w:val="en-US"/>
        </w:rPr>
        <w:instrText>deley":{"formattedCitation":"(Grzesiak et al., 2023)","plainTextFormattedCitation":"(Grzesiak et al., 2023)","previouslyFormattedCitation":"(Grzesiak et al., 2023)"},"properties":{"noteIndex":0},"schema":"https://github.com/citation-style-language/schema/r</w:instrText>
      </w:r>
      <w:r w:rsidRPr="00AB1B4B">
        <w:rPr>
          <w:rFonts w:ascii="Times New Roman" w:hAnsi="Times New Roman" w:cs="Times New Roman"/>
          <w:lang w:val="en-US"/>
        </w:rPr>
        <w:instrText>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(Grzesiak et al., 2023)</w:t>
      </w:r>
      <w:r w:rsidRPr="00AB1B4B">
        <w:rPr>
          <w:rFonts w:ascii="Times New Roman" w:hAnsi="Times New Roman" w:cs="Times New Roman"/>
          <w:lang w:val="en-US"/>
        </w:rPr>
        <w:fldChar w:fldCharType="end"/>
      </w:r>
      <w:r w:rsidRPr="00AB1B4B">
        <w:rPr>
          <w:rFonts w:ascii="Times New Roman" w:hAnsi="Times New Roman" w:cs="Times New Roman"/>
          <w:lang w:val="en-US"/>
        </w:rPr>
        <w:t>.</w:t>
      </w:r>
    </w:p>
    <w:p w14:paraId="69F63B17" w14:textId="71BA35F0" w:rsidR="009523E5" w:rsidRPr="00AB1B4B" w:rsidRDefault="003B4279" w:rsidP="009201D3">
      <w:pPr>
        <w:spacing w:after="0" w:line="240" w:lineRule="auto"/>
        <w:rPr>
          <w:rFonts w:ascii="Times New Roman" w:hAnsi="Times New Roman" w:cs="Times New Roman"/>
        </w:rPr>
      </w:pPr>
      <w:r w:rsidRPr="00AB1B4B">
        <w:rPr>
          <w:rFonts w:ascii="Times New Roman" w:hAnsi="Times New Roman" w:cs="Times New Roman"/>
        </w:rPr>
        <w:t>In terms of durability and long term performance, the CFRP tendons when used in concrete beams cast with recycled aggregates maintain</w:t>
      </w:r>
      <w:r w:rsidRPr="00AB1B4B">
        <w:rPr>
          <w:rFonts w:ascii="Times New Roman" w:hAnsi="Times New Roman" w:cs="Times New Roman"/>
          <w:lang w:val="en-US"/>
        </w:rPr>
        <w:t>ed</w:t>
      </w:r>
      <w:r w:rsidRPr="00AB1B4B">
        <w:rPr>
          <w:rFonts w:ascii="Times New Roman" w:hAnsi="Times New Roman" w:cs="Times New Roman"/>
        </w:rPr>
        <w:t xml:space="preserve"> the structural integrity over longer periods with small degrada</w:t>
      </w:r>
      <w:r w:rsidRPr="00AB1B4B">
        <w:rPr>
          <w:rFonts w:ascii="Times New Roman" w:hAnsi="Times New Roman" w:cs="Times New Roman"/>
        </w:rPr>
        <w:t xml:space="preserve">tion, enhancing the longevity of the beams  </w:t>
      </w:r>
      <w:r w:rsidRPr="00AB1B4B">
        <w:rPr>
          <w:rFonts w:ascii="Times New Roman" w:hAnsi="Times New Roman" w:cs="Times New Roman"/>
        </w:rPr>
        <w:fldChar w:fldCharType="begin" w:fldLock="1"/>
      </w:r>
      <w:r w:rsidRPr="00AB1B4B">
        <w:rPr>
          <w:rFonts w:ascii="Times New Roman" w:hAnsi="Times New Roman" w:cs="Times New Roman"/>
        </w:rPr>
        <w:instrText xml:space="preserve">ADDIN CSL_CITATION {"citationItems":[{"id":"ITEM-1","itemData":{"DOI":"10.1016/j.cscm.2022.e01785","ISSN":"22145095","abstract":"The utilisation of recycled aggregate concrete (RAC) is commonly recognised as one </w:instrText>
      </w:r>
      <w:r w:rsidRPr="00AB1B4B">
        <w:rPr>
          <w:rFonts w:ascii="Times New Roman" w:hAnsi="Times New Roman" w:cs="Times New Roman"/>
        </w:rPr>
        <w:instrText>of the most effective means to achieve cleaner and sustainable development in civil engineering. To promote the application of RAC, prestressing technique can be employed to overcome the inherent disadvantages of RAC beams associated with poor cracking res</w:instrText>
      </w:r>
      <w:r w:rsidRPr="00AB1B4B">
        <w:rPr>
          <w:rFonts w:ascii="Times New Roman" w:hAnsi="Times New Roman" w:cs="Times New Roman"/>
        </w:rPr>
        <w:instrText>istance and large deflections. However, the research on the prestressed RAC beam is quite limited, and no research has been performed on their long-term behaviour. This paper presents a finite element (FE) analysis for investigating the long-term behaviour</w:instrText>
      </w:r>
      <w:r w:rsidRPr="00AB1B4B">
        <w:rPr>
          <w:rFonts w:ascii="Times New Roman" w:hAnsi="Times New Roman" w:cs="Times New Roman"/>
        </w:rPr>
        <w:instrText xml:space="preserve"> of RAC beams prestressed with carbon fibre-reinforced polymer (CFRP) tendons considering the effects of concrete creep, concrete shrinkage, tendon relaxation as well as the cracking and tension stiffening of concrete. Based on the principle of superpositi</w:instrText>
      </w:r>
      <w:r w:rsidRPr="00AB1B4B">
        <w:rPr>
          <w:rFonts w:ascii="Times New Roman" w:hAnsi="Times New Roman" w:cs="Times New Roman"/>
        </w:rPr>
        <w:instrText>on, the variations of the stress and strain with time are considered in the numerical analysis using step-by-step method. The FE model is calibrated with the experimental results obtained from the literature. Based on the validated model, a comprehensive p</w:instrText>
      </w:r>
      <w:r w:rsidRPr="00AB1B4B">
        <w:rPr>
          <w:rFonts w:ascii="Times New Roman" w:hAnsi="Times New Roman" w:cs="Times New Roman"/>
        </w:rPr>
        <w:instrText xml:space="preserve">arametric study is performed to investigate the effects of the replacement ratio of recycled coarse aggregate (RCA), concrete strength, reinforcement ratio, prestress level, and sustained load level on the long-term behaviour of prestressed RAC beams. The </w:instrText>
      </w:r>
      <w:r w:rsidRPr="00AB1B4B">
        <w:rPr>
          <w:rFonts w:ascii="Times New Roman" w:hAnsi="Times New Roman" w:cs="Times New Roman"/>
        </w:rPr>
        <w:instrText>obtained results demonstrate that increasing the prestress load is an effective way to reduce the long-term deflection of RAC beams, and the use of RAC with low RCA replacement ratio is suggested. Besides, the main causes of the long-term deflection and ax</w:instrText>
      </w:r>
      <w:r w:rsidRPr="00AB1B4B">
        <w:rPr>
          <w:rFonts w:ascii="Times New Roman" w:hAnsi="Times New Roman" w:cs="Times New Roman"/>
        </w:rPr>
        <w:instrText>ial shorting of the CFRP prestressed RAC beams are also studied. This research provides a pioneering and insightful study of the long-term behaviour of CFRP prestressed RAC beams. The obtained results demonstrate that the time-dependent effects should be w</w:instrText>
      </w:r>
      <w:r w:rsidRPr="00AB1B4B">
        <w:rPr>
          <w:rFonts w:ascii="Times New Roman" w:hAnsi="Times New Roman" w:cs="Times New Roman"/>
        </w:rPr>
        <w:instrText>ell considered in the design before the prestressed RAC beam is used in practice.","author":[{"dropping-particle":"","family":"Liu","given":"Xiaoyang","non-dropping-particle":"","parse-names":false,"suffix":""},{"dropping-particle":"","family":"Yu","given"</w:instrText>
      </w:r>
      <w:r w:rsidRPr="00AB1B4B">
        <w:rPr>
          <w:rFonts w:ascii="Times New Roman" w:hAnsi="Times New Roman" w:cs="Times New Roman"/>
        </w:rPr>
        <w:instrText>:"Wen","non-dropping-particle":"","parse-names":false,"suffix":""},{"dropping-particle":"","family":"Huang","given":"Yue","non-dropping-particle":"","parse-names":false,"suffix":""},{"dropping-particle":"","family":"Yang","given":"Guotao","non-dropping-par</w:instrText>
      </w:r>
      <w:r w:rsidRPr="00AB1B4B">
        <w:rPr>
          <w:rFonts w:ascii="Times New Roman" w:hAnsi="Times New Roman" w:cs="Times New Roman"/>
        </w:rPr>
        <w:instrText>ticle":"","parse-names":false,"suffix":""},{"dropping-particle":"","family":"You","given":"Weijie","non-dropping-particle":"","parse-names":false,"suffix":""},{"dropping-particle":"","family":"Gao","given":"Lei","non-dropping-particle":"","parse-names":fal</w:instrText>
      </w:r>
      <w:r w:rsidRPr="00AB1B4B">
        <w:rPr>
          <w:rFonts w:ascii="Times New Roman" w:hAnsi="Times New Roman" w:cs="Times New Roman"/>
        </w:rPr>
        <w:instrText>se,"suffix":""},{"dropping-particle":"","family":"Song","given":"Jun","non-dropping-particle":"","parse-names":false,"suffix":""}],"container-title":"Case Studies in Construction Materials","id":"ITEM-1","issued":{"date-parts":[["2023","7","1"]]},"publishe</w:instrText>
      </w:r>
      <w:r w:rsidRPr="00AB1B4B">
        <w:rPr>
          <w:rFonts w:ascii="Times New Roman" w:hAnsi="Times New Roman" w:cs="Times New Roman"/>
        </w:rPr>
        <w:instrText>r":"Elsevier Ltd","title":"Long-term behaviour of recycled aggregate concrete beams prestressed with carbon fibre-reinforced polymer (CFRP) tendons","type":"article-journal","volume":"18"},"uris":["http://www.mendeley.com/documents/?uuid=dd4669f5-8bd4-30da</w:instrText>
      </w:r>
      <w:r w:rsidRPr="00AB1B4B">
        <w:rPr>
          <w:rFonts w:ascii="Times New Roman" w:hAnsi="Times New Roman" w:cs="Times New Roman"/>
        </w:rPr>
        <w:instrText>-90ce-f36e38bc58eb"]}],"mendeley":{"formattedCitation":"(X. Liu et al., 2023)","plainTextFormattedCitation":"(X. Liu et al., 2023)","previouslyFormattedCitation":"(X. Liu et al., 2023)"},"properties":{"noteIndex":0},"schema":"https://github.com/citation-st</w:instrText>
      </w:r>
      <w:r w:rsidRPr="00AB1B4B">
        <w:rPr>
          <w:rFonts w:ascii="Times New Roman" w:hAnsi="Times New Roman" w:cs="Times New Roman"/>
        </w:rPr>
        <w:instrTex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 Liu et al., 2023</w:t>
      </w:r>
      <w:r w:rsidRPr="00AB1B4B">
        <w:rPr>
          <w:rFonts w:ascii="Times New Roman" w:hAnsi="Times New Roman" w:cs="Times New Roman"/>
          <w:lang w:val="en-US"/>
        </w:rPr>
        <w:t>b</w:t>
      </w:r>
      <w:r w:rsidRPr="00AB1B4B">
        <w:rPr>
          <w:rFonts w:ascii="Times New Roman" w:hAnsi="Times New Roman" w:cs="Times New Roman"/>
        </w:rPr>
        <w:t>)</w:t>
      </w:r>
      <w:r w:rsidRPr="00AB1B4B">
        <w:rPr>
          <w:rFonts w:ascii="Times New Roman" w:hAnsi="Times New Roman" w:cs="Times New Roman"/>
        </w:rPr>
        <w:fldChar w:fldCharType="end"/>
      </w:r>
      <w:r w:rsidRPr="00AB1B4B">
        <w:rPr>
          <w:rFonts w:ascii="Times New Roman" w:hAnsi="Times New Roman" w:cs="Times New Roman"/>
        </w:rPr>
        <w:t xml:space="preserve">. Zhu et al. (2023) employed an electrochemical impedance for evaluating the bond integrity existing between the concrete and CFRP which easily </w:t>
      </w:r>
      <w:r w:rsidR="00AB1B4B">
        <w:rPr>
          <w:rFonts w:ascii="Times New Roman" w:hAnsi="Times New Roman" w:cs="Times New Roman"/>
        </w:rPr>
        <w:t>identified</w:t>
      </w:r>
      <w:r w:rsidRPr="00AB1B4B">
        <w:rPr>
          <w:rFonts w:ascii="Times New Roman" w:hAnsi="Times New Roman" w:cs="Times New Roman"/>
        </w:rPr>
        <w:t xml:space="preserve"> the potential failures and </w:t>
      </w:r>
      <w:r w:rsidR="00AB1B4B">
        <w:rPr>
          <w:rFonts w:ascii="Times New Roman" w:hAnsi="Times New Roman" w:cs="Times New Roman"/>
        </w:rPr>
        <w:t>brought</w:t>
      </w:r>
      <w:r w:rsidRPr="00AB1B4B">
        <w:rPr>
          <w:rFonts w:ascii="Times New Roman" w:hAnsi="Times New Roman" w:cs="Times New Roman"/>
        </w:rPr>
        <w:t xml:space="preserve"> about timely interventions to curb the long-term damage to RC beams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{"citationItems":[{"id":"ITEM-1","itemData":{"DOI":"10.1016/j.conbuildmat.2022.130238","ISSN":"09500618","abstract":"Environmental exposure and mechanical loads w</w:instrText>
      </w:r>
      <w:r w:rsidRPr="00AB1B4B">
        <w:rPr>
          <w:rFonts w:ascii="Times New Roman" w:hAnsi="Times New Roman" w:cs="Times New Roman"/>
        </w:rPr>
        <w:instrText xml:space="preserve">ould cause interfacial degradation between the concrete and carbon fiber reinforced polymers (CFRP) and thus premature failure for concrete structures strengthened with externally bonded CFRP, while reliable monitoring techniques are still in demand. This </w:instrText>
      </w:r>
      <w:r w:rsidRPr="00AB1B4B">
        <w:rPr>
          <w:rFonts w:ascii="Times New Roman" w:hAnsi="Times New Roman" w:cs="Times New Roman"/>
        </w:rPr>
        <w:instrText>paper presents an investigation into electromechanical impedance (EMI) based monitoring for concrete beams strengthened with CFRP subjected to wetting–drying (WD) cycling and sustained loading. Concrete beams were fabricated and strengthened in flexure wit</w:instrText>
      </w:r>
      <w:r w:rsidRPr="00AB1B4B">
        <w:rPr>
          <w:rFonts w:ascii="Times New Roman" w:hAnsi="Times New Roman" w:cs="Times New Roman"/>
        </w:rPr>
        <w:instrText>h externally bonded CFRP plates. Strengthened beams were subjected to aging tests (WD cycling and sustained loading) and four-point bending tests, whilst the EMI method was applied to monitor the interfacial performance between CFRP and concrete. WD cyclin</w:instrText>
      </w:r>
      <w:r w:rsidRPr="00AB1B4B">
        <w:rPr>
          <w:rFonts w:ascii="Times New Roman" w:hAnsi="Times New Roman" w:cs="Times New Roman"/>
        </w:rPr>
        <w:instrText>g and sustained loading degrade the interfacial performance and reduce the transferrable force via the CFRP-concrete interface. The EMI signals can reflect the changes in the interfacial performance and show good sensitivity to debonding of CFRP plates und</w:instrText>
      </w:r>
      <w:r w:rsidRPr="00AB1B4B">
        <w:rPr>
          <w:rFonts w:ascii="Times New Roman" w:hAnsi="Times New Roman" w:cs="Times New Roman"/>
        </w:rPr>
        <w:instrText>er sustained loading and monotonic bending. The main characteristics for estimating whether interfacial damage occurs are proposed based on the EMI response. More importantly, the EMI technique is practical and promising for monitoring the existing strengt</w:instrText>
      </w:r>
      <w:r w:rsidRPr="00AB1B4B">
        <w:rPr>
          <w:rFonts w:ascii="Times New Roman" w:hAnsi="Times New Roman" w:cs="Times New Roman"/>
        </w:rPr>
        <w:instrText>hened structures even when no EMI history data are available.","author":[{"dropping-particle":"","family":"Zhu","given":"Miaochang","non-dropping-particle":"","parse-names":false,"suffix":""},{"dropping-particle":"","family":"Li","given":"Xiaoda","non-drop</w:instrText>
      </w:r>
      <w:r w:rsidRPr="00AB1B4B">
        <w:rPr>
          <w:rFonts w:ascii="Times New Roman" w:hAnsi="Times New Roman" w:cs="Times New Roman"/>
        </w:rPr>
        <w:instrText>ping-particle":"","parse-names":false,"suffix":""},{"dropping-particle":"","family":"Deng","given":"Jun","non-dropping-particle":"","parse-names":false,"suffix":""},{"dropping-particle":"","family":"Peng","given":"Sirui","non-dropping-particle":"","parse-n</w:instrText>
      </w:r>
      <w:r w:rsidRPr="00AB1B4B">
        <w:rPr>
          <w:rFonts w:ascii="Times New Roman" w:hAnsi="Times New Roman" w:cs="Times New Roman"/>
        </w:rPr>
        <w:instrText>ames":false,"suffix":""}],"container-title":"Construction and Building Materials","id":"ITEM-1","issued":{"date-parts":[["2023","2","22"]]},"publisher":"Elsevier Ltd","title":"Electrochemical impedance based interfacial monitoring for concrete beams streng</w:instrText>
      </w:r>
      <w:r w:rsidRPr="00AB1B4B">
        <w:rPr>
          <w:rFonts w:ascii="Times New Roman" w:hAnsi="Times New Roman" w:cs="Times New Roman"/>
        </w:rPr>
        <w:instrText>thened with CFRP subjected to wetting–drying cycling and sustained loading","type":"article-journal","volume":"366"},"uris":["http://www.mendeley.com/documents/?uuid=24f4f642-a853-31cb-88b4-cb1abd89ff71"]}],"mendeley":{"formattedCitation":"(Zhu et al., 202</w:instrText>
      </w:r>
      <w:r w:rsidRPr="00AB1B4B">
        <w:rPr>
          <w:rFonts w:ascii="Times New Roman" w:hAnsi="Times New Roman" w:cs="Times New Roman"/>
        </w:rPr>
        <w:instrText>3)","plainTextFormattedCitation":"(Zhu et al., 2023)","previouslyFormattedCitation":"(Zhu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(Zhu et al., 2023)</w:t>
      </w:r>
      <w:r w:rsidRPr="00AB1B4B">
        <w:rPr>
          <w:rFonts w:ascii="Times New Roman" w:hAnsi="Times New Roman" w:cs="Times New Roman"/>
        </w:rPr>
        <w:fldChar w:fldCharType="end"/>
      </w:r>
      <w:r w:rsidRPr="00AB1B4B">
        <w:rPr>
          <w:rFonts w:ascii="Times New Roman" w:hAnsi="Times New Roman" w:cs="Times New Roman"/>
        </w:rPr>
        <w:t>. The stif</w:t>
      </w:r>
      <w:r w:rsidRPr="00AB1B4B">
        <w:rPr>
          <w:rFonts w:ascii="Times New Roman" w:hAnsi="Times New Roman" w:cs="Times New Roman"/>
        </w:rPr>
        <w:t xml:space="preserve">fness of the beams strengthened with CFRP and ECC was improved by a maximum of 47.3 % for the specimens tested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{"citationItems":[{"id":"ITEM-1","itemData":{"DOI":"10.1016/j.cscm.2023.e02270","ISSN":"22145095","abstract":"In this study, t</w:instrText>
      </w:r>
      <w:r w:rsidRPr="00AB1B4B">
        <w:rPr>
          <w:rFonts w:ascii="Times New Roman" w:hAnsi="Times New Roman" w:cs="Times New Roman"/>
        </w:rPr>
        <w:instrText>he reinforced concrete (RC) beams were strengthened by use of carbon fiber reinforced polymer (CFRP) and engineering cementitious composite (ECC). The flexural behavior of the strengthened RC beams was investigated experimentally, and analytical prediction</w:instrText>
      </w:r>
      <w:r w:rsidRPr="00AB1B4B">
        <w:rPr>
          <w:rFonts w:ascii="Times New Roman" w:hAnsi="Times New Roman" w:cs="Times New Roman"/>
        </w:rPr>
        <w:instrText xml:space="preserve"> methods were used to verify the experimental results. The experimental results showed that, the premature delamination between CFRP plate and concrete occurred if the beam was solely reinforced by CFRP, nevertheless, this can be effectively prevented by t</w:instrText>
      </w:r>
      <w:r w:rsidRPr="00AB1B4B">
        <w:rPr>
          <w:rFonts w:ascii="Times New Roman" w:hAnsi="Times New Roman" w:cs="Times New Roman"/>
        </w:rPr>
        <w:instrText xml:space="preserve">he composite use of CFRP and ECC. Compared with reference beam, the CFRP-ECC composite strengthened technique significantly enhanced the cracking load, yield load, and ultimate load of beams up to 23–31 %, 4–6 %, and 5–10 %, respectively, in addition, the </w:instrText>
      </w:r>
      <w:r w:rsidRPr="00AB1B4B">
        <w:rPr>
          <w:rFonts w:ascii="Times New Roman" w:hAnsi="Times New Roman" w:cs="Times New Roman"/>
        </w:rPr>
        <w:instrText>stiffness, ductility, and energy absorption capacity (EAC) can also be enhanced upon the composite strengthening. In final, the prediction model has high accuracy, and the error variation within 5 % when comparing the predicted and tested values of flexura</w:instrText>
      </w:r>
      <w:r w:rsidRPr="00AB1B4B">
        <w:rPr>
          <w:rFonts w:ascii="Times New Roman" w:hAnsi="Times New Roman" w:cs="Times New Roman"/>
        </w:rPr>
        <w:instrText>l bearing capacity.","author":[{"dropping-particle":"","family":"Liu","given":"Dawei","non-dropping-particle":"","parse-names":false,"suffix":""},{"dropping-particle":"","family":"Qin","given":"Fengjiang","non-dropping-particle":"","parse-names":false,"suf</w:instrText>
      </w:r>
      <w:r w:rsidRPr="00AB1B4B">
        <w:rPr>
          <w:rFonts w:ascii="Times New Roman" w:hAnsi="Times New Roman" w:cs="Times New Roman"/>
        </w:rPr>
        <w:instrText>fix":""},{"dropping-particle":"","family":"Di","given":"Jin","non-dropping-particle":"","parse-names":false,"suffix":""},{"dropping-particle":"","family":"Zhang","given":"Zhigang","non-dropping-particle":"","parse-names":false,"suffix":""}],"container-titl</w:instrText>
      </w:r>
      <w:r w:rsidRPr="00AB1B4B">
        <w:rPr>
          <w:rFonts w:ascii="Times New Roman" w:hAnsi="Times New Roman" w:cs="Times New Roman"/>
        </w:rPr>
        <w:instrText>e":"Case Studies in Construction Materials","id":"ITEM-1","issued":{"date-parts":[["2023","12","1"]]},"publisher":"Elsevier Ltd","title":"Flexural behavior of reinforced concrete (RC) beams strengthened with carbon fiber reinforced polymer (CFRP) and ECC",</w:instrText>
      </w:r>
      <w:r w:rsidRPr="00AB1B4B">
        <w:rPr>
          <w:rFonts w:ascii="Times New Roman" w:hAnsi="Times New Roman" w:cs="Times New Roman"/>
        </w:rPr>
        <w:instrText>"type":"article-journal","volume":"19"},"uris":["http://www.mendeley.com/documents/?uuid=5c1363af-674d-3dcd-a85f-8fbb8905997f"]}],"mendeley":{"formattedCitation":"(D. Liu et al., 2023)","plainTextFormattedCitation":"(D. Liu et al., 2023)","previouslyFormat</w:instrText>
      </w:r>
      <w:r w:rsidRPr="00AB1B4B">
        <w:rPr>
          <w:rFonts w:ascii="Times New Roman" w:hAnsi="Times New Roman" w:cs="Times New Roman"/>
        </w:rPr>
        <w:instrText>tedCitation":"(D. Liu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(Liu et al., 2023</w:t>
      </w:r>
      <w:r w:rsidRPr="00AB1B4B">
        <w:rPr>
          <w:rFonts w:ascii="Times New Roman" w:hAnsi="Times New Roman" w:cs="Times New Roman"/>
          <w:lang w:val="en-US"/>
        </w:rPr>
        <w:t>a</w:t>
      </w:r>
      <w:r w:rsidRPr="00AB1B4B">
        <w:rPr>
          <w:rFonts w:ascii="Times New Roman" w:hAnsi="Times New Roman" w:cs="Times New Roman"/>
        </w:rPr>
        <w:t>)</w:t>
      </w:r>
      <w:r w:rsidRPr="00AB1B4B">
        <w:rPr>
          <w:rFonts w:ascii="Times New Roman" w:hAnsi="Times New Roman" w:cs="Times New Roman"/>
        </w:rPr>
        <w:fldChar w:fldCharType="end"/>
      </w:r>
      <w:r w:rsidRPr="00AB1B4B">
        <w:rPr>
          <w:rFonts w:ascii="Times New Roman" w:hAnsi="Times New Roman" w:cs="Times New Roman"/>
        </w:rPr>
        <w:t>.</w:t>
      </w:r>
    </w:p>
    <w:p w14:paraId="2645E2AF" w14:textId="1CB842ED"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rPr>
        <w:t xml:space="preserve">In the aspect of shear strengthening,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w:instrText>
      </w:r>
      <w:r w:rsidRPr="00AB1B4B">
        <w:rPr>
          <w:rFonts w:ascii="Times New Roman" w:hAnsi="Times New Roman" w:cs="Times New Roman"/>
        </w:rPr>
        <w:instrText>{"id":"ITEM-1","itemData":{"DOI":"10.1016/j.istruc.2022.11.026","ISSN":"23520124","abstract":"The development and applications of structural high-strength lightweight self-consolidating concrete (HLWSCC) have increased significantly in recent years owing t</w:instrText>
      </w:r>
      <w:r w:rsidRPr="00AB1B4B">
        <w:rPr>
          <w:rFonts w:ascii="Times New Roman" w:hAnsi="Times New Roman" w:cs="Times New Roman"/>
        </w:rPr>
        <w:instrText>o its better mechanical properties and economic benefits over conventional normal weight concrete (NWC). This paper presents the results of an experimental and analytical study to evaluate the shear performance of HLWSCC beams internally reinforced with CF</w:instrText>
      </w:r>
      <w:r w:rsidRPr="00AB1B4B">
        <w:rPr>
          <w:rFonts w:ascii="Times New Roman" w:hAnsi="Times New Roman" w:cs="Times New Roman"/>
        </w:rPr>
        <w:instrText xml:space="preserve">RP sheet stirrups. In addition to one control specimen, seven beams were cast and reinforced with CFRP sheet stirrups. The variables studied in the experimental program were the number of layers, strip spacing, strip (sheet) width, and strip configuration </w:instrText>
      </w:r>
      <w:r w:rsidRPr="00AB1B4B">
        <w:rPr>
          <w:rFonts w:ascii="Times New Roman" w:hAnsi="Times New Roman" w:cs="Times New Roman"/>
        </w:rPr>
        <w:instrText>of CFRP stirrups. All the beams were subjected to four-point bending, and the experimental results include load–deflection response curves and strain values along with the failure modes. Experimental results showed that all the tested beams failed due to s</w:instrText>
      </w:r>
      <w:r w:rsidRPr="00AB1B4B">
        <w:rPr>
          <w:rFonts w:ascii="Times New Roman" w:hAnsi="Times New Roman" w:cs="Times New Roman"/>
        </w:rPr>
        <w:instrText>hear tension failure. However, some of the specimens also failed due to the rupture of CFRP sheet stirrups. The addition of CFRP sheet stirrups has substantially increased the shear capacity of HLWSCC beams and the increase in shear strength ranged from 64</w:instrText>
      </w:r>
      <w:r w:rsidRPr="00AB1B4B">
        <w:rPr>
          <w:rFonts w:ascii="Times New Roman" w:hAnsi="Times New Roman" w:cs="Times New Roman"/>
        </w:rPr>
        <w:instrText>% to 140% over the control specimens. Additionally, the nominal shear strength was predicted using various Fiber Reinforced Polymer (FRP) design standards, including ACI 440.1R-15, CSA S806-12, CSA S6-14, CNR-DT (2013), JSCE, and Fib Bulletin 40. Comparing</w:instrText>
      </w:r>
      <w:r w:rsidRPr="00AB1B4B">
        <w:rPr>
          <w:rFonts w:ascii="Times New Roman" w:hAnsi="Times New Roman" w:cs="Times New Roman"/>
        </w:rPr>
        <w:instrText xml:space="preserve"> the predicted and experimental shear strength has shown that current design standards can be used safely to predict the ultimate shear strength of HLWSCC beams reinforced with newly innovative CFRP sheet stirrups.","author":[{"dropping-particle":"","famil</w:instrText>
      </w:r>
      <w:r w:rsidRPr="00AB1B4B">
        <w:rPr>
          <w:rFonts w:ascii="Times New Roman" w:hAnsi="Times New Roman" w:cs="Times New Roman"/>
        </w:rPr>
        <w:instrText>y":"Nawaz","given":"W.","non-dropping-particle":"","parse-names":false,"suffix":""},{"dropping-particle":"","family":"Elchalakani","given":"M.","non-dropping-particle":"","parse-names":false,"suffix":""},{"dropping-particle":"","family":"Yehia","given":"S.</w:instrText>
      </w:r>
      <w:r w:rsidRPr="00AB1B4B">
        <w:rPr>
          <w:rFonts w:ascii="Times New Roman" w:hAnsi="Times New Roman" w:cs="Times New Roman"/>
        </w:rPr>
        <w:instrText>","non-dropping-particle":"","parse-names":false,"suffix":""},{"dropping-particle":"","family":"Pham","given":"Thong M.","non-dropping-particle":"","parse-names":false,"suffix":""},{"dropping-particle":"","family":"Ayough","given":"P.","non-dropping-partic</w:instrText>
      </w:r>
      <w:r w:rsidRPr="00AB1B4B">
        <w:rPr>
          <w:rFonts w:ascii="Times New Roman" w:hAnsi="Times New Roman" w:cs="Times New Roman"/>
        </w:rPr>
        <w:instrText>le":"","parse-names":false,"suffix":""},{"dropping-particle":"","family":"Nie","given":"Shidong","non-dropping-particle":"","parse-names":false,"suffix":""}],"container-title":"Structures","id":"ITEM-1","issued":{"date-parts":[["2023","1","1"]]},"page":"70</w:instrText>
      </w:r>
      <w:r w:rsidRPr="00AB1B4B">
        <w:rPr>
          <w:rFonts w:ascii="Times New Roman" w:hAnsi="Times New Roman" w:cs="Times New Roman"/>
        </w:rPr>
        <w:instrText>9-724","publisher":"Elsevier Ltd","title":"The effect of CFRP strip stirrups on the shear strength of SCC high strength lightweight concrete beams","type":"article-journal","volume":"47"},"uris":["http://www.mendeley.com/documents/?uuid=f0cf0b1e-9bdf-3b33-</w:instrText>
      </w:r>
      <w:r w:rsidRPr="00AB1B4B">
        <w:rPr>
          <w:rFonts w:ascii="Times New Roman" w:hAnsi="Times New Roman" w:cs="Times New Roman"/>
        </w:rPr>
        <w:instrText>be75-fb05430a2fa0"]}],"mendeley":{"formattedCitation":"(Nawaz et al., 2023)","plainTextFormattedCitation":"(Nawaz et al., 2023)","previouslyFormattedCitation":"(Nawaz et al., 2023)"},"properties":{"noteIndex":0},"schema":"https://github.com/citation-style-</w:instrText>
      </w:r>
      <w:r w:rsidRPr="00AB1B4B">
        <w:rPr>
          <w:rFonts w:ascii="Times New Roman" w:hAnsi="Times New Roman" w:cs="Times New Roman"/>
        </w:rPr>
        <w:instrText>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 xml:space="preserve">Nawaz et al. </w:t>
      </w:r>
      <w:r w:rsidRPr="00AB1B4B">
        <w:rPr>
          <w:rFonts w:ascii="Times New Roman" w:hAnsi="Times New Roman" w:cs="Times New Roman"/>
          <w:lang w:val="en-US"/>
        </w:rPr>
        <w:t>(</w:t>
      </w:r>
      <w:r w:rsidRPr="00AB1B4B">
        <w:rPr>
          <w:rFonts w:ascii="Times New Roman" w:hAnsi="Times New Roman" w:cs="Times New Roman"/>
        </w:rPr>
        <w:t>2023)</w:t>
      </w:r>
      <w:r w:rsidRPr="00AB1B4B">
        <w:rPr>
          <w:rFonts w:ascii="Times New Roman" w:hAnsi="Times New Roman" w:cs="Times New Roman"/>
        </w:rPr>
        <w:fldChar w:fldCharType="end"/>
      </w:r>
      <w:r w:rsidRPr="00AB1B4B">
        <w:rPr>
          <w:rFonts w:ascii="Times New Roman" w:hAnsi="Times New Roman" w:cs="Times New Roman"/>
        </w:rPr>
        <w:t xml:space="preserve"> used CFRP stirrups in increasing the shear strength of the concrete beams, also </w:t>
      </w:r>
      <w:r w:rsidRPr="00AB1B4B">
        <w:rPr>
          <w:rFonts w:ascii="Times New Roman" w:hAnsi="Times New Roman" w:cs="Times New Roman"/>
          <w:lang w:val="en-US"/>
        </w:rPr>
        <w:t>emphasizing</w:t>
      </w:r>
      <w:r w:rsidRPr="00AB1B4B">
        <w:rPr>
          <w:rFonts w:ascii="Times New Roman" w:hAnsi="Times New Roman" w:cs="Times New Roman"/>
        </w:rPr>
        <w:t xml:space="preserve"> on optimal configuration to enhance strength. Medeiros da Costa et al.(2023) utilized the near </w:t>
      </w:r>
      <w:r w:rsidRPr="00AB1B4B">
        <w:rPr>
          <w:rFonts w:ascii="Times New Roman" w:hAnsi="Times New Roman" w:cs="Times New Roman"/>
        </w:rPr>
        <w:t xml:space="preserve">surface mounted (NSM) CFRP laminates in fire damaged beams thereby restoring their shear strengths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{"citationItems":[{"id":"ITEM-1","itemData":{"DOI":"10.1016/j.engstruct.2023.116175","ISSN":"18737323","abstract":"The aim of this study i</w:instrText>
      </w:r>
      <w:r w:rsidRPr="00AB1B4B">
        <w:rPr>
          <w:rFonts w:ascii="Times New Roman" w:hAnsi="Times New Roman" w:cs="Times New Roman"/>
        </w:rPr>
        <w:instrText>s to evaluate the shear strengthening of fire-damaged reinforced concrete (RC) beams with carbon fiber-reinforced polymer (CFRP) laminates using the near-surface mounted (NSM) technique. An experimental program involving 13 RC beams subjected to heating fo</w:instrText>
      </w:r>
      <w:r w:rsidRPr="00AB1B4B">
        <w:rPr>
          <w:rFonts w:ascii="Times New Roman" w:hAnsi="Times New Roman" w:cs="Times New Roman"/>
        </w:rPr>
        <w:instrText>r 60, 90, and 120 min in accordance with the standard fire curve presented in International Organization Standardization (ISO) 834 is presented. After cooling to room temperature, the beams are strengthened with NSM CFRP laminates at spacings of 75, 150, a</w:instrText>
      </w:r>
      <w:r w:rsidRPr="00AB1B4B">
        <w:rPr>
          <w:rFonts w:ascii="Times New Roman" w:hAnsi="Times New Roman" w:cs="Times New Roman"/>
        </w:rPr>
        <w:instrText>nd 200 mm. During heating, explosive spalling of concrete occurred in the samples. The NSM CFRP system can efficiently strengthen the shear of the beams; in most cases, it recovers the initial shear capacity of fire-damaged RC beams and increases it consid</w:instrText>
      </w:r>
      <w:r w:rsidRPr="00AB1B4B">
        <w:rPr>
          <w:rFonts w:ascii="Times New Roman" w:hAnsi="Times New Roman" w:cs="Times New Roman"/>
        </w:rPr>
        <w:instrText xml:space="preserve">erably. A smaller spacing between the laminates results in greater load capacities and stiffness, and a spacing of 75 mm causes the RC beams to fail owing to peeling-out in the strengthening region.","author":[{"dropping-particle":"","family":"Medeiros da </w:instrText>
      </w:r>
      <w:r w:rsidRPr="00AB1B4B">
        <w:rPr>
          <w:rFonts w:ascii="Times New Roman" w:hAnsi="Times New Roman" w:cs="Times New Roman"/>
        </w:rPr>
        <w:instrText>Costa","given":"Leonardo","non-dropping-particle":"","parse-names":false,"suffix":""},{"dropping-particle":"","family":"Ancelmo de Carvalho Pires","given":"Tiago","non-dropping-particle":"","parse-names":false,"suffix":""},{"dropping-particle":"","family":</w:instrText>
      </w:r>
      <w:r w:rsidRPr="00AB1B4B">
        <w:rPr>
          <w:rFonts w:ascii="Times New Roman" w:hAnsi="Times New Roman" w:cs="Times New Roman"/>
        </w:rPr>
        <w:instrText>"Jéferson Rêgo Silva","given":"José","non-dropping-particle":"","parse-names":false,"suffix":""}],"container-title":"Engineering Structures","id":"ITEM-1","issue":"July","issued":{"date-parts":[["2023"]]},"page":"1-25","title":"Shear strengthening of fire-</w:instrText>
      </w:r>
      <w:r w:rsidRPr="00AB1B4B">
        <w:rPr>
          <w:rFonts w:ascii="Times New Roman" w:hAnsi="Times New Roman" w:cs="Times New Roman"/>
        </w:rPr>
        <w:instrText>damaged reinforced concrete beams using NSM CFRP laminates","type":"article-journal","volume":"287"},"uris":["http://www.mendeley.com/documents/?uuid=b0230d76-9392-4486-8dd2-3950e57f1850"]}],"mendeley":{"formattedCitation":"(Medeiros da Costa et al., 2023)</w:instrText>
      </w:r>
      <w:r w:rsidRPr="00AB1B4B">
        <w:rPr>
          <w:rFonts w:ascii="Times New Roman" w:hAnsi="Times New Roman" w:cs="Times New Roman"/>
        </w:rPr>
        <w:instrText>","plainTextFormattedCitation":"(Medeiros da Costa et al., 2023)","previouslyFormattedCitation":"(Medeiros da Costa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(Mede</w:t>
      </w:r>
      <w:r w:rsidRPr="00AB1B4B">
        <w:rPr>
          <w:rFonts w:ascii="Times New Roman" w:hAnsi="Times New Roman" w:cs="Times New Roman"/>
        </w:rPr>
        <w:t>iros da Costa et al., 2023)</w:t>
      </w:r>
      <w:r w:rsidRPr="00AB1B4B">
        <w:rPr>
          <w:rFonts w:ascii="Times New Roman" w:hAnsi="Times New Roman" w:cs="Times New Roman"/>
        </w:rPr>
        <w:fldChar w:fldCharType="end"/>
      </w:r>
      <w:r w:rsidRPr="00AB1B4B">
        <w:rPr>
          <w:rFonts w:ascii="Times New Roman" w:hAnsi="Times New Roman" w:cs="Times New Roman"/>
        </w:rPr>
        <w:t xml:space="preserve">. </w:t>
      </w:r>
      <w:r w:rsidRPr="00AB1B4B">
        <w:rPr>
          <w:rFonts w:ascii="Times New Roman" w:hAnsi="Times New Roman" w:cs="Times New Roman"/>
          <w:lang w:val="en-US"/>
        </w:rPr>
        <w:t xml:space="preserve">The presence of web openings reduces the shear strength </w:t>
      </w:r>
      <w:r w:rsidR="00C868B6" w:rsidRPr="00AB1B4B">
        <w:rPr>
          <w:rFonts w:ascii="Times New Roman" w:hAnsi="Times New Roman" w:cs="Times New Roman"/>
          <w:lang w:val="en-US"/>
        </w:rPr>
        <w:t>of beams</w:t>
      </w:r>
      <w:r w:rsidRPr="00AB1B4B">
        <w:rPr>
          <w:rFonts w:ascii="Times New Roman" w:hAnsi="Times New Roman" w:cs="Times New Roman"/>
          <w:lang w:val="en-US"/>
        </w:rPr>
        <w:t xml:space="preserve"> significantly, </w:t>
      </w:r>
      <w:r w:rsidRPr="00AB1B4B">
        <w:rPr>
          <w:rFonts w:ascii="Times New Roman" w:hAnsi="Times New Roman" w:cs="Times New Roman"/>
        </w:rPr>
        <w:t xml:space="preserve">Kumari and Nayak (2021) </w:t>
      </w:r>
      <w:r w:rsidRPr="00AB1B4B">
        <w:rPr>
          <w:rFonts w:ascii="Times New Roman" w:hAnsi="Times New Roman" w:cs="Times New Roman"/>
          <w:lang w:val="en-US"/>
        </w:rPr>
        <w:t xml:space="preserve">concluded that a reduction in shear strength of un-strengthened beams with web openings by up to 72% is realized when </w:t>
      </w:r>
      <w:r w:rsidRPr="00AB1B4B">
        <w:rPr>
          <w:rFonts w:ascii="Times New Roman" w:hAnsi="Times New Roman" w:cs="Times New Roman"/>
          <w:lang w:val="en-US"/>
        </w:rPr>
        <w:t>compared to solid beams</w:t>
      </w:r>
      <w:r w:rsidRPr="00AB1B4B">
        <w:rPr>
          <w:rFonts w:ascii="Times New Roman" w:hAnsi="Times New Roman" w:cs="Times New Roman"/>
        </w:rPr>
        <w:t>. Also, the researchers studied beams</w:t>
      </w:r>
      <w:r w:rsidRPr="00AB1B4B">
        <w:rPr>
          <w:rFonts w:ascii="Times New Roman" w:hAnsi="Times New Roman" w:cs="Times New Roman"/>
          <w:lang w:val="en-US"/>
        </w:rPr>
        <w:t xml:space="preserve"> strengthened with both externally bonded glass fiber reinforced polymer (EB-GFRP) fabrics and gas actuated fasteners (GAF) and showed a substantial improvement in shear strength compared to their</w:t>
      </w:r>
      <w:r w:rsidRPr="00AB1B4B">
        <w:rPr>
          <w:rFonts w:ascii="Times New Roman" w:hAnsi="Times New Roman" w:cs="Times New Roman"/>
          <w:lang w:val="en-US"/>
        </w:rPr>
        <w:t xml:space="preserve"> un-strengthened beams, even as the opening size was increased. </w:t>
      </w:r>
      <w:r w:rsidRPr="00AB1B4B">
        <w:rPr>
          <w:rFonts w:ascii="Times New Roman" w:hAnsi="Times New Roman" w:cs="Times New Roman"/>
        </w:rPr>
        <w:t>Elghandour et al.</w:t>
      </w:r>
      <w:r w:rsidRPr="00AB1B4B">
        <w:rPr>
          <w:rFonts w:ascii="Times New Roman" w:hAnsi="Times New Roman" w:cs="Times New Roman"/>
          <w:lang w:val="en-US"/>
        </w:rPr>
        <w:t xml:space="preserve"> </w:t>
      </w:r>
      <w:r w:rsidRPr="00AB1B4B">
        <w:rPr>
          <w:rFonts w:ascii="Times New Roman" w:hAnsi="Times New Roman" w:cs="Times New Roman"/>
        </w:rPr>
        <w:t xml:space="preserve">(2023) </w:t>
      </w:r>
      <w:r w:rsidRPr="00AB1B4B">
        <w:rPr>
          <w:rFonts w:ascii="Times New Roman" w:hAnsi="Times New Roman" w:cs="Times New Roman"/>
          <w:lang w:val="en-US"/>
        </w:rPr>
        <w:t>researched into shear capacity of T-section beams and found them to be greater than that of R-section beams, particularly at different shear span-to-depth ratios (a/d)</w:t>
      </w:r>
      <w:r w:rsidRPr="00AB1B4B">
        <w:rPr>
          <w:rFonts w:ascii="Times New Roman" w:hAnsi="Times New Roman" w:cs="Times New Roman"/>
          <w:lang w:val="en-US"/>
        </w:rPr>
        <w:t xml:space="preserve">, for shear span ratios less than 2.5, the shear capacity of T-section beams exceeded that of R-section beams by up to 25%. </w:t>
      </w:r>
      <w:r w:rsidRPr="00AB1B4B">
        <w:rPr>
          <w:rFonts w:ascii="Times New Roman" w:hAnsi="Times New Roman" w:cs="Times New Roman"/>
        </w:rPr>
        <w:t>Abed &amp; Al-Sulayfani (2023)</w:t>
      </w:r>
      <w:r w:rsidRPr="00AB1B4B">
        <w:rPr>
          <w:rFonts w:ascii="Times New Roman" w:hAnsi="Times New Roman" w:cs="Times New Roman"/>
          <w:lang w:val="en-US"/>
        </w:rPr>
        <w:t xml:space="preserve"> compared circular and square openings and found that beams with square openings exhibited greater strengt</w:t>
      </w:r>
      <w:r w:rsidRPr="00AB1B4B">
        <w:rPr>
          <w:rFonts w:ascii="Times New Roman" w:hAnsi="Times New Roman" w:cs="Times New Roman"/>
          <w:lang w:val="en-US"/>
        </w:rPr>
        <w:t xml:space="preserve">h reductions compared to those with circular openings of similar sizes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{"citationItems":[{"id":"ITEM-1","itemData":{"DOI":"10.1016/j.istruc.2023.01.013","ISSN":"23520124","abstract":"This work studies the potential of producing web openi</w:instrText>
      </w:r>
      <w:r w:rsidRPr="00AB1B4B">
        <w:rPr>
          <w:rFonts w:ascii="Times New Roman" w:hAnsi="Times New Roman" w:cs="Times New Roman"/>
          <w:lang w:val="en-US"/>
        </w:rPr>
        <w:instrText xml:space="preserve">ngs within the shear span for the reinforced concrete (RC) deep beams. Carbon fiber reinforced polymer (CFRP) laminates are used to improve the shear strength. 13 specimens with dimensions of 120, 750, and 1800 mm are prepared for the tests. Shapes of the </w:instrText>
      </w:r>
      <w:r w:rsidRPr="00AB1B4B">
        <w:rPr>
          <w:rFonts w:ascii="Times New Roman" w:hAnsi="Times New Roman" w:cs="Times New Roman"/>
          <w:lang w:val="en-US"/>
        </w:rPr>
        <w:instrText xml:space="preserve">web openings are square and circular with diameter of 230, 300, and 370 mm. Their locations are in the center, upper and lower of the shear span. Three angles for wrapping 0°, 45°, and 90° are used to strengthen the beams with circular openings. The shear </w:instrText>
      </w:r>
      <w:r w:rsidRPr="00AB1B4B">
        <w:rPr>
          <w:rFonts w:ascii="Times New Roman" w:hAnsi="Times New Roman" w:cs="Times New Roman"/>
          <w:lang w:val="en-US"/>
        </w:rPr>
        <w:instrText>strength of RC deep beams decreased in the range of 22–74 % depending on the diameter, location, and shape of the openings. While CFRP improved the shear strength, stiffness and toughness in about 17–48 %, 0.7–17 % and 4–20 % respectively. The previous per</w:instrText>
      </w:r>
      <w:r w:rsidRPr="00AB1B4B">
        <w:rPr>
          <w:rFonts w:ascii="Times New Roman" w:hAnsi="Times New Roman" w:cs="Times New Roman"/>
          <w:lang w:val="en-US"/>
        </w:rPr>
        <w:instrText>centages depended on size of openings and the orientation of CFRP laminates in RC deep beams with circular openings. The laminates of CFRP are able to repair and restore the bearing capacity of beams by approximately 100 % of the same beams before they fai</w:instrText>
      </w:r>
      <w:r w:rsidRPr="00AB1B4B">
        <w:rPr>
          <w:rFonts w:ascii="Times New Roman" w:hAnsi="Times New Roman" w:cs="Times New Roman"/>
          <w:lang w:val="en-US"/>
        </w:rPr>
        <w:instrText>led. On the other hand, Strut and Tie method established to estimate the maximum strength of the RC deep beams and it results that the theoretical method succeeded in guessing the practical results.","author":[{"dropping-particle":"","family":"Abed","given</w:instrText>
      </w:r>
      <w:r w:rsidRPr="00AB1B4B">
        <w:rPr>
          <w:rFonts w:ascii="Times New Roman" w:hAnsi="Times New Roman" w:cs="Times New Roman"/>
          <w:lang w:val="en-US"/>
        </w:rPr>
        <w:instrText>":"Huda Saad","non-dropping-particle":"","parse-names":false,"suffix":""},{"dropping-particle":"","family":"Al-Sulayfani","given":"Bayar J.","non-dropping-particle":"","parse-names":false,"suffix":""}],"container-title":"Structures","id":"ITEM-1","issued":</w:instrText>
      </w:r>
      <w:r w:rsidRPr="00AB1B4B">
        <w:rPr>
          <w:rFonts w:ascii="Times New Roman" w:hAnsi="Times New Roman" w:cs="Times New Roman"/>
          <w:lang w:val="en-US"/>
        </w:rPr>
        <w:instrText>{"date-parts":[["2023","2","1"]]},"page":"706-716","publisher":"Elsevier Ltd","title":"Experimental and analytical investigation on effect of openings in behavior of reinforced concrete deep beam and enhanced by CFRP laminates","type":"article-journal","vo</w:instrText>
      </w:r>
      <w:r w:rsidRPr="00AB1B4B">
        <w:rPr>
          <w:rFonts w:ascii="Times New Roman" w:hAnsi="Times New Roman" w:cs="Times New Roman"/>
          <w:lang w:val="en-US"/>
        </w:rPr>
        <w:instrText>lume":"48"},"uris":["http://www.mendeley.com/documents/?uuid=2ca8742f-92dc-359d-88d2-26e382b52494"]}],"mendeley":{"formattedCitation":"(Abed &amp; Al-Sulayfani, 2023)","plainTextFormattedCitation":"(Abed &amp; Al-Sulayfani, 2023)","previouslyFormattedCitation":"(A</w:instrText>
      </w:r>
      <w:r w:rsidRPr="00AB1B4B">
        <w:rPr>
          <w:rFonts w:ascii="Times New Roman" w:hAnsi="Times New Roman" w:cs="Times New Roman"/>
          <w:lang w:val="en-US"/>
        </w:rPr>
        <w:instrText>bed &amp; Al-Sulayfani,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 xml:space="preserve">(Abed &amp; </w:t>
      </w:r>
      <w:r w:rsidRPr="00AB1B4B">
        <w:rPr>
          <w:rFonts w:ascii="Times New Roman" w:hAnsi="Times New Roman" w:cs="Times New Roman"/>
          <w:lang w:val="en-US"/>
        </w:rPr>
        <w:lastRenderedPageBreak/>
        <w:t>Al-Sulayfani,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r w:rsidRPr="00AB1B4B">
        <w:rPr>
          <w:rFonts w:ascii="Times New Roman" w:hAnsi="Times New Roman" w:cs="Times New Roman"/>
        </w:rPr>
        <w:t>Hasan et al. (2023)</w:t>
      </w:r>
      <w:r w:rsidRPr="00AB1B4B">
        <w:rPr>
          <w:rFonts w:ascii="Times New Roman" w:hAnsi="Times New Roman" w:cs="Times New Roman"/>
          <w:lang w:val="en-US"/>
        </w:rPr>
        <w:t xml:space="preserve"> concluded that cutting the bottom arm of stirrups signifi</w:t>
      </w:r>
      <w:r w:rsidRPr="00AB1B4B">
        <w:rPr>
          <w:rFonts w:ascii="Times New Roman" w:hAnsi="Times New Roman" w:cs="Times New Roman"/>
          <w:lang w:val="en-US"/>
        </w:rPr>
        <w:t xml:space="preserve">cantly reduced the shear capacity of RC beams. The maximum load for beams with deficient stirrups (cut stirrups) was found to be substantially lower, approximately 15.8% less than that of beams with normal stirrups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w:instrText>
      </w:r>
      <w:r w:rsidRPr="00AB1B4B">
        <w:rPr>
          <w:rFonts w:ascii="Times New Roman" w:hAnsi="Times New Roman" w:cs="Times New Roman"/>
          <w:lang w:val="en-US"/>
        </w:rPr>
        <w:instrText>":"ITEM-1","itemData":{"DOI":"10.1016/j.conbuildmat.2022.129817","ISSN":"09500618","abstract":"Repairing corroded flexural-deficient reinforced concrete (RC) structures using a hybrid scheme with stainless steel (SS) rebars and carbon-fiber-reinforced poly</w:instrText>
      </w:r>
      <w:r w:rsidRPr="00AB1B4B">
        <w:rPr>
          <w:rFonts w:ascii="Times New Roman" w:hAnsi="Times New Roman" w:cs="Times New Roman"/>
          <w:lang w:val="en-US"/>
        </w:rPr>
        <w:instrText xml:space="preserve">mer (CFRP) sheets revealed excellent structural performance and contributes to lower maintenance costs in the remaining service life of the repaired structure. However, although cutting the bottom arm of stirrups in a hybrid repair method could affect the </w:instrText>
      </w:r>
      <w:r w:rsidRPr="00AB1B4B">
        <w:rPr>
          <w:rFonts w:ascii="Times New Roman" w:hAnsi="Times New Roman" w:cs="Times New Roman"/>
          <w:lang w:val="en-US"/>
        </w:rPr>
        <w:instrText>structural performance of shear-critical RC beams since this effect was not investigated in the past research. In this paper, structural performance of a group of shear-deficient RC beams repaired using the hybrid method is investigated experimentally to e</w:instrText>
      </w:r>
      <w:r w:rsidRPr="00AB1B4B">
        <w:rPr>
          <w:rFonts w:ascii="Times New Roman" w:hAnsi="Times New Roman" w:cs="Times New Roman"/>
          <w:lang w:val="en-US"/>
        </w:rPr>
        <w:instrText xml:space="preserve">xamine the effect of cutting the bottom arm of stirrup on the shear capacity of the repaired beams. The test variables included the longitudinal reinforcement types (i.e. carbon and SS), shear reinforcement configurations, and CFRP sheet wrapping schemes. </w:instrText>
      </w:r>
      <w:r w:rsidRPr="00AB1B4B">
        <w:rPr>
          <w:rFonts w:ascii="Times New Roman" w:hAnsi="Times New Roman" w:cs="Times New Roman"/>
          <w:lang w:val="en-US"/>
        </w:rPr>
        <w:instrText>Experimental results demonstrate that cutting the bottom arm of stirrup for replacing the corroded tensile rebar could significantly reduce the shear capacity of the retrofitted beams. Therefore, strengthening using CFRP sheet is needed to restore the shea</w:instrText>
      </w:r>
      <w:r w:rsidRPr="00AB1B4B">
        <w:rPr>
          <w:rFonts w:ascii="Times New Roman" w:hAnsi="Times New Roman" w:cs="Times New Roman"/>
          <w:lang w:val="en-US"/>
        </w:rPr>
        <w:instrText>r performance of the retrofitted beams. Test results revealed that complete wrapping of CFRP sheet is effective to overcome the shear deficiency due to cutting the bottom arm of stirrup in the shear-critical RC beams. In addition, the effectiveness of CFRP</w:instrText>
      </w:r>
      <w:r w:rsidRPr="00AB1B4B">
        <w:rPr>
          <w:rFonts w:ascii="Times New Roman" w:hAnsi="Times New Roman" w:cs="Times New Roman"/>
          <w:lang w:val="en-US"/>
        </w:rPr>
        <w:instrText xml:space="preserve"> sheet wrapping schemes on shear performance of SS-RC beams is approximately identical with that of CS-RC beams. Finally, a design methodology to repair the corroded RC bridge using hybrid method is developed and presented based on bending and shear tests.</w:instrText>
      </w:r>
      <w:r w:rsidRPr="00AB1B4B">
        <w:rPr>
          <w:rFonts w:ascii="Times New Roman" w:hAnsi="Times New Roman" w:cs="Times New Roman"/>
          <w:lang w:val="en-US"/>
        </w:rPr>
        <w:instrText>","author":[{"dropping-particle":"","family":"Hasan","given":"Md Abul","non-dropping-particle":"","parse-names":false,"suffix":""},{"dropping-particle":"","family":"Akiyama","given":"Mitsuyoshi","non-dropping-particle":"","parse-names":false,"suffix":""},{</w:instrText>
      </w:r>
      <w:r w:rsidRPr="00AB1B4B">
        <w:rPr>
          <w:rFonts w:ascii="Times New Roman" w:hAnsi="Times New Roman" w:cs="Times New Roman"/>
          <w:lang w:val="en-US"/>
        </w:rPr>
        <w:instrText>"dropping-particle":"","family":"Kojima","given":"Keisuke","non-dropping-particle":"","parse-names":false,"suffix":""},{"dropping-particle":"","family":"Izumi","given":"Naoki","non-dropping-particle":"","parse-names":false,"suffix":""}],"container-title":"</w:instrText>
      </w:r>
      <w:r w:rsidRPr="00AB1B4B">
        <w:rPr>
          <w:rFonts w:ascii="Times New Roman" w:hAnsi="Times New Roman" w:cs="Times New Roman"/>
          <w:lang w:val="en-US"/>
        </w:rPr>
        <w:instrText>Construction and Building Materials","id":"ITEM-1","issued":{"date-parts":[["2023","1","11"]]},"publisher":"Elsevier Ltd","title":"Shear behavior of reinforced concrete beams repaired using a hybrid scheme with stainless steel rebars and CFRP sheets","type</w:instrText>
      </w:r>
      <w:r w:rsidRPr="00AB1B4B">
        <w:rPr>
          <w:rFonts w:ascii="Times New Roman" w:hAnsi="Times New Roman" w:cs="Times New Roman"/>
          <w:lang w:val="en-US"/>
        </w:rPr>
        <w:instrText>":"article-journal","volume":"363"},"uris":["http://www.mendeley.com/documents/?uuid=e2d54bb0-d7ea-3540-b02c-17d70b27e599"]}],"mendeley":{"formattedCitation":"(Hasan et al., 2023)","plainTextFormattedCitation":"(Hasan et al., 2023)","previouslyFormattedCit</w:instrText>
      </w:r>
      <w:r w:rsidRPr="00AB1B4B">
        <w:rPr>
          <w:rFonts w:ascii="Times New Roman" w:hAnsi="Times New Roman" w:cs="Times New Roman"/>
          <w:lang w:val="en-US"/>
        </w:rPr>
        <w:instrText>ation":"(Hasan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(Hasan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p>
    <w:p w14:paraId="62161AAE" w14:textId="77777777"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rPr>
        <w:t xml:space="preserve"> </w:t>
      </w:r>
      <w:r w:rsidRPr="00AB1B4B">
        <w:rPr>
          <w:rFonts w:ascii="Times New Roman" w:hAnsi="Times New Roman" w:cs="Times New Roman"/>
          <w:lang w:val="en-US"/>
        </w:rPr>
        <w:t xml:space="preserve">In specimens with ultra-high ductile concrete (UHDC) in the tension zone, multiple narrow cracks developed rather than wide concentrated cracks, indicating better ductility and deformation capacity of the UHDC compared to ordinary concrete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w:instrText>
      </w:r>
      <w:r w:rsidRPr="00AB1B4B">
        <w:rPr>
          <w:rFonts w:ascii="Times New Roman" w:hAnsi="Times New Roman" w:cs="Times New Roman"/>
          <w:lang w:val="en-US"/>
        </w:rPr>
        <w:instrText>ON {"citationItems":[{"id":"ITEM-1","itemData":{"DOI":"10.1016/j.compstruct.2023.117385","ISSN":"02638223","abstract":"Prestressing fiber reinforced polymer (FRP) bars is widely acknowledged as an effective method for exploiting their high strength. Howeve</w:instrText>
      </w:r>
      <w:r w:rsidRPr="00AB1B4B">
        <w:rPr>
          <w:rFonts w:ascii="Times New Roman" w:hAnsi="Times New Roman" w:cs="Times New Roman"/>
          <w:lang w:val="en-US"/>
        </w:rPr>
        <w:instrText>r, compared to FRP reinforced concrete structures, prestressed FRP reinforced concrete structures exhibit weaker deformation capacity. To address this issue, ultra-high ductile concrete (UHDC) was employed to enhance the flexural behaviours of pretensioned</w:instrText>
      </w:r>
      <w:r w:rsidRPr="00AB1B4B">
        <w:rPr>
          <w:rFonts w:ascii="Times New Roman" w:hAnsi="Times New Roman" w:cs="Times New Roman"/>
          <w:lang w:val="en-US"/>
        </w:rPr>
        <w:instrText xml:space="preserve"> prestressed concrete (PPC) beams reinforced with carbon fiber reinforced polymer (CFRP) bars, while additional aluminium alloy ribs (ARs) were utilized to ensure proper anchorage. A total of eight beams were designed and tested, consisting of four PPC bea</w:instrText>
      </w:r>
      <w:r w:rsidRPr="00AB1B4B">
        <w:rPr>
          <w:rFonts w:ascii="Times New Roman" w:hAnsi="Times New Roman" w:cs="Times New Roman"/>
          <w:lang w:val="en-US"/>
        </w:rPr>
        <w:instrText>ms and four PPC-UHDC composite beams, which featured different types of CFRP bars, reinforcement ratios and UHDC placement. The test results revealed that the CFRP-reinforced PPC-UHDC composite beams exhibited significantly improved flexural performance in</w:instrText>
      </w:r>
      <w:r w:rsidRPr="00AB1B4B">
        <w:rPr>
          <w:rFonts w:ascii="Times New Roman" w:hAnsi="Times New Roman" w:cs="Times New Roman"/>
          <w:lang w:val="en-US"/>
        </w:rPr>
        <w:instrText xml:space="preserve"> terms of cracking load, ultimate load and ultimate displacement. For specimens with lower reinforcement ratio, the UHDC effectively controlled the cracks and promoted uniform strain in the CFRP bars, leading to increased ultimate load capacity and ultimat</w:instrText>
      </w:r>
      <w:r w:rsidRPr="00AB1B4B">
        <w:rPr>
          <w:rFonts w:ascii="Times New Roman" w:hAnsi="Times New Roman" w:cs="Times New Roman"/>
          <w:lang w:val="en-US"/>
        </w:rPr>
        <w:instrText>e displacement. For specimens with higher reinforcement ratios, the flexural performance was comprehensively improved when the UHDC was placed in the compression zone. Numerical analysis was conducted to further investigate the flexural behaviours of PPC-U</w:instrText>
      </w:r>
      <w:r w:rsidRPr="00AB1B4B">
        <w:rPr>
          <w:rFonts w:ascii="Times New Roman" w:hAnsi="Times New Roman" w:cs="Times New Roman"/>
          <w:lang w:val="en-US"/>
        </w:rPr>
        <w:instrText>HDC composite beams under various conditions.","author":[{"dropping-particle":"","family":"Sun","given":"Yu","non-dropping-particle":"","parse-names":false,"suffix":""},{"dropping-particle":"","family":"Ji","given":"Jiang Hao","non-dropping-particle":"","p</w:instrText>
      </w:r>
      <w:r w:rsidRPr="00AB1B4B">
        <w:rPr>
          <w:rFonts w:ascii="Times New Roman" w:hAnsi="Times New Roman" w:cs="Times New Roman"/>
          <w:lang w:val="en-US"/>
        </w:rPr>
        <w:instrText>arse-names":false,"suffix":""},{"dropping-particle":"","family":"Zhu","given":"Hong","non-dropping-particle":"","parse-names":false,"suffix":""},{"dropping-particle":"","family":"Dong","given":"Zhi Qiang","non-dropping-particle":"","parse-names":false,"suf</w:instrText>
      </w:r>
      <w:r w:rsidRPr="00AB1B4B">
        <w:rPr>
          <w:rFonts w:ascii="Times New Roman" w:hAnsi="Times New Roman" w:cs="Times New Roman"/>
          <w:lang w:val="en-US"/>
        </w:rPr>
        <w:instrText>fix":""},{"dropping-particle":"","family":"Zhang","given":"Pu","non-dropping-particle":"","parse-names":false,"suffix":""},{"dropping-particle":"","family":"Yan","given":"Meng","non-dropping-particle":"","parse-names":false,"suffix":""},{"dropping-particle</w:instrText>
      </w:r>
      <w:r w:rsidRPr="00AB1B4B">
        <w:rPr>
          <w:rFonts w:ascii="Times New Roman" w:hAnsi="Times New Roman" w:cs="Times New Roman"/>
          <w:lang w:val="en-US"/>
        </w:rPr>
        <w:instrText>":"","family":"Soh","given":"Chee Kiong","non-dropping-particle":"","parse-names":false,"suffix":""}],"container-title":"Composite Structures","id":"ITEM-1","issued":{"date-parts":[["2023","10","15"]]},"publisher":"Elsevier Ltd","title":"Flexural behaviour</w:instrText>
      </w:r>
      <w:r w:rsidRPr="00AB1B4B">
        <w:rPr>
          <w:rFonts w:ascii="Times New Roman" w:hAnsi="Times New Roman" w:cs="Times New Roman"/>
          <w:lang w:val="en-US"/>
        </w:rPr>
        <w:instrText>s of pretensioned prestressed concrete-UHDC composite beams reinforced with CFRP bars","type":"article-journal","volume":"322"},"uris":["http://www.mendeley.com/documents/?uuid=3ea332a4-84f1-32de-92e3-d9d842a1bcd6"]}],"mendeley":{"formattedCitation":"(Sun,</w:instrText>
      </w:r>
      <w:r w:rsidRPr="00AB1B4B">
        <w:rPr>
          <w:rFonts w:ascii="Times New Roman" w:hAnsi="Times New Roman" w:cs="Times New Roman"/>
          <w:lang w:val="en-US"/>
        </w:rPr>
        <w:instrText xml:space="preserve"> Ji, et al., 2023)","plainTextFormattedCitation":"(Sun, Ji, et al., 2023)","previouslyFormattedCitation":"(Sun, Ji,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 xml:space="preserve">(Sun </w:t>
      </w:r>
      <w:r w:rsidRPr="00AB1B4B">
        <w:rPr>
          <w:rFonts w:ascii="Times New Roman" w:hAnsi="Times New Roman" w:cs="Times New Roman"/>
          <w:lang w:val="en-US"/>
        </w:rPr>
        <w:t>et al., 2023b)</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Basalt FRP (BFRP) reinforced ECC beams exhibited greater ductility and superior crack control compared to reinforced concrete beams by quantifying the extent to which ECC mitigates crack development and enhances ductility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w:instrText>
      </w:r>
      <w:r w:rsidRPr="00AB1B4B">
        <w:rPr>
          <w:rFonts w:ascii="Times New Roman" w:hAnsi="Times New Roman" w:cs="Times New Roman"/>
          <w:lang w:val="en-US"/>
        </w:rPr>
        <w:instrText>ION {"citationItems":[{"id":"ITEM-1","itemData":{"author":[{"dropping-particle":"","family":"Cai","given":"Jingming","non-dropping-particle":"","parse-names":false,"suffix":""},{"dropping-particle":"","family":"Pan","given":"Jinlong","non-dropping-particle</w:instrText>
      </w:r>
      <w:r w:rsidRPr="00AB1B4B">
        <w:rPr>
          <w:rFonts w:ascii="Times New Roman" w:hAnsi="Times New Roman" w:cs="Times New Roman"/>
          <w:lang w:val="en-US"/>
        </w:rPr>
        <w:instrText>":"","parse-names":false,"suffix":""},{"dropping-particle":"","family":"Zhou","given":"Xiangming","non-dropping-particle":"","parse-names":false,"suffix":""}],"container-title":"Construction and Building Materials","id":"ITEM-1","issued":{"date-parts":[["2</w:instrText>
      </w:r>
      <w:r w:rsidRPr="00AB1B4B">
        <w:rPr>
          <w:rFonts w:ascii="Times New Roman" w:hAnsi="Times New Roman" w:cs="Times New Roman"/>
          <w:lang w:val="en-US"/>
        </w:rPr>
        <w:instrText xml:space="preserve">017"]]},"title":"Flexural behavior of basalt FRP reinforced ECC and concrete beams","type":"article-journal","volume":"142"},"uris":["http://www.mendeley.com/documents/?uuid=493af074-a3be-3e62-8c41-fa2f2fef9ab9"]}],"mendeley":{"formattedCitation":"(Cai et </w:instrText>
      </w:r>
      <w:r w:rsidRPr="00AB1B4B">
        <w:rPr>
          <w:rFonts w:ascii="Times New Roman" w:hAnsi="Times New Roman" w:cs="Times New Roman"/>
          <w:lang w:val="en-US"/>
        </w:rPr>
        <w:instrText>al., 2017)","plainTextFormattedCitation":"(Cai et al., 2017)","previouslyFormattedCitation":"(Cai et al., 2017)"},"properties":{"noteIndex":0},"schema":"https://github.com/citation-style-language/schema/raw/master/csl-citation.json"}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(Cai et al., 2017)</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r w:rsidRPr="00AB1B4B">
        <w:rPr>
          <w:rFonts w:ascii="Times New Roman" w:hAnsi="Times New Roman" w:cs="Times New Roman"/>
          <w:lang w:val="en-US"/>
        </w:rPr>
        <w:t xml:space="preserve">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{"citationItems":[{"id":"ITEM-1","itemData":{"DOI":"10.1016/j.heliyon.2023.e17145","ISSN":"24058440","abstract":"Recent theoretical developments revealed that reinforced concrete (RC) structures are susceptible to deterioration risk upo</w:instrText>
      </w:r>
      <w:r w:rsidRPr="00AB1B4B">
        <w:rPr>
          <w:rFonts w:ascii="Times New Roman" w:hAnsi="Times New Roman" w:cs="Times New Roman"/>
          <w:lang w:val="en-US"/>
        </w:rPr>
        <w:instrText>n exposure to high temperatures where the mechanical properties of their constituents are affected and therefore require upgrading their overall performance. However, the overall behavior could be improved by strengthing the RC beams using the well-known c</w:instrText>
      </w:r>
      <w:r w:rsidRPr="00AB1B4B">
        <w:rPr>
          <w:rFonts w:ascii="Times New Roman" w:hAnsi="Times New Roman" w:cs="Times New Roman"/>
          <w:lang w:val="en-US"/>
        </w:rPr>
        <w:instrText>arbon fiber-reinforcement polymers (CFRP) materials where its efficiency is highly limited by detachment, and debonding problems appear as a result of the weakness in the bond between the concrete surface and the strengthening material or upon the stress c</w:instrText>
      </w:r>
      <w:r w:rsidRPr="00AB1B4B">
        <w:rPr>
          <w:rFonts w:ascii="Times New Roman" w:hAnsi="Times New Roman" w:cs="Times New Roman"/>
          <w:lang w:val="en-US"/>
        </w:rPr>
        <w:instrText>oncentration induced by the various anchoring systems. The CFRP sheets have been integrated as internal reinforcement in the maximum bending zone within the thermally damaged beams, a new technology used in this study. The suggested method was the first of</w:instrText>
      </w:r>
      <w:r w:rsidRPr="00AB1B4B">
        <w:rPr>
          <w:rFonts w:ascii="Times New Roman" w:hAnsi="Times New Roman" w:cs="Times New Roman"/>
          <w:lang w:val="en-US"/>
        </w:rPr>
        <w:instrText xml:space="preserve"> its kind and did not need an adhesive to be applied where debonding problem is eliminated. In contrast to conventionally reinforced steel, CFRP composite materials are fully compatible with flexural steel and constrained concrete. A total of 40 RC with (1</w:instrText>
      </w:r>
      <w:r w:rsidRPr="00AB1B4B">
        <w:rPr>
          <w:rFonts w:ascii="Times New Roman" w:hAnsi="Times New Roman" w:cs="Times New Roman"/>
          <w:lang w:val="en-US"/>
        </w:rPr>
        <w:instrText>50 × 200) mm2 and an overall length of 1100 mm concrete beams were cast, and the studied parameters were the CFRP length, position, and exposure temperature. The internal strengthening technique has been found to ensure the full utilization of the strength</w:instrText>
      </w:r>
      <w:r w:rsidRPr="00AB1B4B">
        <w:rPr>
          <w:rFonts w:ascii="Times New Roman" w:hAnsi="Times New Roman" w:cs="Times New Roman"/>
          <w:lang w:val="en-US"/>
        </w:rPr>
        <w:instrText>ening material where the externally-strengthened beams fail preceding the CFRP strain reached, and this was confirmed using the linear weighted sum method where the internal strengthening has the highest ranking based on the mechanical characteristics comp</w:instrText>
      </w:r>
      <w:r w:rsidRPr="00AB1B4B">
        <w:rPr>
          <w:rFonts w:ascii="Times New Roman" w:hAnsi="Times New Roman" w:cs="Times New Roman"/>
          <w:lang w:val="en-US"/>
        </w:rPr>
        <w:instrText>arisons. Moreover, the internal CFRP reinforcement improves RC beam performance, strength, stiffness, toughness, and serviceability more than exterior CFRP sheets. However, the enhancement percentages are twice as much for internal strengthening as the ext</w:instrText>
      </w:r>
      <w:r w:rsidRPr="00AB1B4B">
        <w:rPr>
          <w:rFonts w:ascii="Times New Roman" w:hAnsi="Times New Roman" w:cs="Times New Roman"/>
          <w:lang w:val="en-US"/>
        </w:rPr>
        <w:instrText>ernal one. It has also been found that the reinforcement's location substantially impacted the number and length of flexural cracks and its failure mode. In addition, for every 1% reduction in concrete compressive strength in heat damage, the average ultim</w:instrText>
      </w:r>
      <w:r w:rsidRPr="00AB1B4B">
        <w:rPr>
          <w:rFonts w:ascii="Times New Roman" w:hAnsi="Times New Roman" w:cs="Times New Roman"/>
          <w:lang w:val="en-US"/>
        </w:rPr>
        <w:instrText>ate load was reduced by 0.8%. The CFRP profitability indexes decrease as sheet number and temperature increase; the average toughness decrease at 150 °C, 250 °C, and 500 °C is 12%, 21%, and 47%, respectively.","author":[{"dropping-particle":"","family":"Al</w:instrText>
      </w:r>
      <w:r w:rsidRPr="00AB1B4B">
        <w:rPr>
          <w:rFonts w:ascii="Times New Roman" w:hAnsi="Times New Roman" w:cs="Times New Roman"/>
          <w:lang w:val="en-US"/>
        </w:rPr>
        <w:instrText xml:space="preserve">-Rousan","given":"Rajai Z.","non-dropping-particle":"","parse-names":false,"suffix":""}],"container-title":"Heliyon","id":"ITEM-1","issue":"6","issued":{"date-parts":[["2023","6","1"]]},"publisher":"Elsevier Ltd","title":"Impact of Internal CFRP strips on </w:instrText>
      </w:r>
      <w:r w:rsidRPr="00AB1B4B">
        <w:rPr>
          <w:rFonts w:ascii="Times New Roman" w:hAnsi="Times New Roman" w:cs="Times New Roman"/>
          <w:lang w:val="en-US"/>
        </w:rPr>
        <w:instrText>the flexural behavior of heat-damaged reinforced concrete beams","type":"article-journal","volume":"9"},"uris":["http://www.mendeley.com/documents/?uuid=be6080b8-8968-3e1d-96f4-a7dccdc808d7"]}],"mendeley":{"formattedCitation":"(Al-Rousan, 2023)","plainText</w:instrText>
      </w:r>
      <w:r w:rsidRPr="00AB1B4B">
        <w:rPr>
          <w:rFonts w:ascii="Times New Roman" w:hAnsi="Times New Roman" w:cs="Times New Roman"/>
          <w:lang w:val="en-US"/>
        </w:rPr>
        <w:instrText>FormattedCitation":"(Al-Rousan, 2023)","previouslyFormattedCitation":"(Al-Rousan,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Al-Rousan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documented increased cracki</w:t>
      </w:r>
      <w:r w:rsidRPr="00AB1B4B">
        <w:rPr>
          <w:rFonts w:ascii="Times New Roman" w:hAnsi="Times New Roman" w:cs="Times New Roman"/>
          <w:lang w:val="en-US"/>
        </w:rPr>
        <w:t xml:space="preserve">ng intensity and severity with higher temperatures forming thermal cracks as temperatures rose. </w:t>
      </w:r>
      <w:r w:rsidRPr="00AB1B4B">
        <w:rPr>
          <w:rFonts w:ascii="Times New Roman" w:hAnsi="Times New Roman" w:cs="Times New Roman"/>
        </w:rPr>
        <w:t>Kankam</w:t>
      </w:r>
      <w:r w:rsidRPr="00AB1B4B">
        <w:rPr>
          <w:rFonts w:ascii="Times New Roman" w:hAnsi="Times New Roman" w:cs="Times New Roman"/>
          <w:lang w:val="en-US"/>
        </w:rPr>
        <w:t>’s</w:t>
      </w:r>
      <w:r w:rsidRPr="00AB1B4B">
        <w:rPr>
          <w:rFonts w:ascii="Times New Roman" w:hAnsi="Times New Roman" w:cs="Times New Roman"/>
        </w:rPr>
        <w:t xml:space="preserve"> (2003) </w:t>
      </w:r>
      <w:r w:rsidRPr="00AB1B4B">
        <w:rPr>
          <w:rFonts w:ascii="Times New Roman" w:hAnsi="Times New Roman" w:cs="Times New Roman"/>
          <w:lang w:val="en-US"/>
        </w:rPr>
        <w:t xml:space="preserve">demonstrated that reinforced concrete beams that had been initially stressed with bolted end </w:t>
      </w:r>
      <w:proofErr w:type="gramStart"/>
      <w:r w:rsidRPr="00AB1B4B">
        <w:rPr>
          <w:rFonts w:ascii="Times New Roman" w:hAnsi="Times New Roman" w:cs="Times New Roman"/>
          <w:lang w:val="en-US"/>
        </w:rPr>
        <w:t>plates  exhibited</w:t>
      </w:r>
      <w:proofErr w:type="gramEnd"/>
      <w:r w:rsidRPr="00AB1B4B">
        <w:rPr>
          <w:rFonts w:ascii="Times New Roman" w:hAnsi="Times New Roman" w:cs="Times New Roman"/>
          <w:lang w:val="en-US"/>
        </w:rPr>
        <w:t xml:space="preserve"> complete crack closure upon the r</w:t>
      </w:r>
      <w:r w:rsidRPr="00AB1B4B">
        <w:rPr>
          <w:rFonts w:ascii="Times New Roman" w:hAnsi="Times New Roman" w:cs="Times New Roman"/>
          <w:lang w:val="en-US"/>
        </w:rPr>
        <w:t>emoval of applied loads, indicating that the initial compressive stresses induced in the concrete effectively managed the tensile stresses generated during loading. In contrast, the unstressed control beams had cracks that remained open throughout the cycl</w:t>
      </w:r>
      <w:r w:rsidRPr="00AB1B4B">
        <w:rPr>
          <w:rFonts w:ascii="Times New Roman" w:hAnsi="Times New Roman" w:cs="Times New Roman"/>
          <w:lang w:val="en-US"/>
        </w:rPr>
        <w:t xml:space="preserve">ic loading process, demonstrating a lack of effective control over tensile stresses during loading cycles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{"citationItems":[{"id":"ITEM-1","itemData":{"DOI":"10.1016/S0261-3069(03)00037-2","author":[{"dropping-particle":"","family":"Kank</w:instrText>
      </w:r>
      <w:r w:rsidRPr="00AB1B4B">
        <w:rPr>
          <w:rFonts w:ascii="Times New Roman" w:hAnsi="Times New Roman" w:cs="Times New Roman"/>
          <w:lang w:val="en-US"/>
        </w:rPr>
        <w:instrText xml:space="preserve">am","given":"Charles K","non-dropping-particle":"","parse-names":false,"suffix":""}],"container-title":"Materials and Design","id":"ITEM-1","issue":"December","issued":{"date-parts":[["2003"]]},"title":"Structural behaviour of bolted end-plated reinforced </w:instrText>
      </w:r>
      <w:r w:rsidRPr="00AB1B4B">
        <w:rPr>
          <w:rFonts w:ascii="Times New Roman" w:hAnsi="Times New Roman" w:cs="Times New Roman"/>
          <w:lang w:val="en-US"/>
        </w:rPr>
        <w:instrText>concrete beams","type":"article-journal","volume":"3069"},"uris":["http://www.mendeley.com/documents/?uuid=752727f2-7202-4604-950f-43bbcb688cc9"]}],"mendeley":{"formattedCitation":"(Kankam, 2003)","plainTextFormattedCitation":"(Kankam, 2003)","previouslyFo</w:instrText>
      </w:r>
      <w:r w:rsidRPr="00AB1B4B">
        <w:rPr>
          <w:rFonts w:ascii="Times New Roman" w:hAnsi="Times New Roman" w:cs="Times New Roman"/>
          <w:lang w:val="en-US"/>
        </w:rPr>
        <w:instrText>rmattedCitation":"(Kankam, 2003)"},"properties":{"noteIndex":0},"schema":"https://github.com/citation-style-language/schema/raw/master/csl-citation.json"}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(Kankam, 2003)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r w:rsidRPr="00AB1B4B">
        <w:rPr>
          <w:rFonts w:ascii="Times New Roman" w:hAnsi="Times New Roman" w:cs="Times New Roman"/>
        </w:rPr>
        <w:t xml:space="preserve">Liu et al. </w:t>
      </w:r>
      <w:r w:rsidRPr="00AB1B4B">
        <w:rPr>
          <w:rFonts w:ascii="Times New Roman" w:hAnsi="Times New Roman" w:cs="Times New Roman"/>
          <w:lang w:val="en-US"/>
        </w:rPr>
        <w:t>(</w:t>
      </w:r>
      <w:r w:rsidRPr="00AB1B4B">
        <w:rPr>
          <w:rFonts w:ascii="Times New Roman" w:hAnsi="Times New Roman" w:cs="Times New Roman"/>
        </w:rPr>
        <w:t>2023</w:t>
      </w:r>
      <w:r w:rsidRPr="00AB1B4B">
        <w:rPr>
          <w:rFonts w:ascii="Times New Roman" w:hAnsi="Times New Roman" w:cs="Times New Roman"/>
          <w:lang w:val="en-US"/>
        </w:rPr>
        <w:t>b</w:t>
      </w:r>
      <w:r w:rsidRPr="00AB1B4B">
        <w:rPr>
          <w:rFonts w:ascii="Times New Roman" w:hAnsi="Times New Roman" w:cs="Times New Roman"/>
        </w:rPr>
        <w:t xml:space="preserve">) </w:t>
      </w:r>
      <w:r w:rsidRPr="00AB1B4B">
        <w:rPr>
          <w:rFonts w:ascii="Times New Roman" w:hAnsi="Times New Roman" w:cs="Times New Roman"/>
          <w:lang w:val="en-US"/>
        </w:rPr>
        <w:t xml:space="preserve">researched into the effect of recycled aggregate concrete (RAC) </w:t>
      </w:r>
      <w:r w:rsidRPr="00AB1B4B">
        <w:rPr>
          <w:rFonts w:ascii="Times New Roman" w:hAnsi="Times New Roman" w:cs="Times New Roman"/>
          <w:lang w:val="en-US"/>
        </w:rPr>
        <w:t xml:space="preserve">replacement ratio on prestress loss and found that it is relatively minor, with an increase from 0% to 50% resulting in only a 10% or 17% rise in prestress loss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{"citationItems":[{"id":"ITEM-1","itemData":{"DOI":"10.1016/j.cscm.2022.e017</w:instrText>
      </w:r>
      <w:r w:rsidRPr="00AB1B4B">
        <w:rPr>
          <w:rFonts w:ascii="Times New Roman" w:hAnsi="Times New Roman" w:cs="Times New Roman"/>
          <w:lang w:val="en-US"/>
        </w:rPr>
        <w:instrText>85","ISSN":"22145095","abstract":"The utilisation of recycled aggregate concrete (RAC) is commonly recognised as one of the most effective means to achieve cleaner and sustainable development in civil engineering. To promote the application of RAC, prestre</w:instrText>
      </w:r>
      <w:r w:rsidRPr="00AB1B4B">
        <w:rPr>
          <w:rFonts w:ascii="Times New Roman" w:hAnsi="Times New Roman" w:cs="Times New Roman"/>
          <w:lang w:val="en-US"/>
        </w:rPr>
        <w:instrText>ssing technique can be employed to overcome the inherent disadvantages of RAC beams associated with poor cracking resistance and large deflections. However, the research on the prestressed RAC beam is quite limited, and no research has been performed on th</w:instrText>
      </w:r>
      <w:r w:rsidRPr="00AB1B4B">
        <w:rPr>
          <w:rFonts w:ascii="Times New Roman" w:hAnsi="Times New Roman" w:cs="Times New Roman"/>
          <w:lang w:val="en-US"/>
        </w:rPr>
        <w:instrText>eir long-term behaviour. This paper presents a finite element (FE) analysis for investigating the long-term behaviour of RAC beams prestressed with carbon fibre-reinforced polymer (CFRP) tendons considering the effects of concrete creep, concrete shrinkage</w:instrText>
      </w:r>
      <w:r w:rsidRPr="00AB1B4B">
        <w:rPr>
          <w:rFonts w:ascii="Times New Roman" w:hAnsi="Times New Roman" w:cs="Times New Roman"/>
          <w:lang w:val="en-US"/>
        </w:rPr>
        <w:instrText>, tendon relaxation as well as the cracking and tension stiffening of concrete. Based on the principle of superposition, the variations of the stress and strain with time are considered in the numerical analysis using step-by-step method. The FE model is c</w:instrText>
      </w:r>
      <w:r w:rsidRPr="00AB1B4B">
        <w:rPr>
          <w:rFonts w:ascii="Times New Roman" w:hAnsi="Times New Roman" w:cs="Times New Roman"/>
          <w:lang w:val="en-US"/>
        </w:rPr>
        <w:instrText>alibrated with the experimental results obtained from the literature. Based on the validated model, a comprehensive parametric study is performed to investigate the effects of the replacement ratio of recycled coarse aggregate (RCA), concrete strength, rei</w:instrText>
      </w:r>
      <w:r w:rsidRPr="00AB1B4B">
        <w:rPr>
          <w:rFonts w:ascii="Times New Roman" w:hAnsi="Times New Roman" w:cs="Times New Roman"/>
          <w:lang w:val="en-US"/>
        </w:rPr>
        <w:instrText>nforcement ratio, prestress level, and sustained load level on the long-term behaviour of prestressed RAC beams. The obtained results demonstrate that increasing the prestress load is an effective way to reduce the long-term deflection of RAC beams, and th</w:instrText>
      </w:r>
      <w:r w:rsidRPr="00AB1B4B">
        <w:rPr>
          <w:rFonts w:ascii="Times New Roman" w:hAnsi="Times New Roman" w:cs="Times New Roman"/>
          <w:lang w:val="en-US"/>
        </w:rPr>
        <w:instrText xml:space="preserve">e use of RAC with low RCA replacement ratio is suggested. Besides, the main causes of the long-term deflection and axial shorting of the CFRP prestressed RAC beams are also studied. This research provides a pioneering and insightful study of the long-term </w:instrText>
      </w:r>
      <w:r w:rsidRPr="00AB1B4B">
        <w:rPr>
          <w:rFonts w:ascii="Times New Roman" w:hAnsi="Times New Roman" w:cs="Times New Roman"/>
          <w:lang w:val="en-US"/>
        </w:rPr>
        <w:instrText>behaviour of CFRP prestressed RAC beams. The obtained results demonstrate that the time-dependent effects should be well considered in the design before the prestressed RAC beam is used in practice.","author":[{"dropping-particle":"","family":"Liu","given"</w:instrText>
      </w:r>
      <w:r w:rsidRPr="00AB1B4B">
        <w:rPr>
          <w:rFonts w:ascii="Times New Roman" w:hAnsi="Times New Roman" w:cs="Times New Roman"/>
          <w:lang w:val="en-US"/>
        </w:rPr>
        <w:instrText>:"Xiaoyang","non-dropping-particle":"","parse-names":false,"suffix":""},{"dropping-particle":"","family":"Yu","given":"Wen","non-dropping-particle":"","parse-names":false,"suffix":""},{"dropping-particle":"","family":"Huang","given":"Yue","non-dropping-par</w:instrText>
      </w:r>
      <w:r w:rsidRPr="00AB1B4B">
        <w:rPr>
          <w:rFonts w:ascii="Times New Roman" w:hAnsi="Times New Roman" w:cs="Times New Roman"/>
          <w:lang w:val="en-US"/>
        </w:rPr>
        <w:instrText>ticle":"","parse-names":false,"suffix":""},{"dropping-particle":"","family":"Yang","given":"Guotao","non-dropping-particle":"","parse-names":false,"suffix":""},{"dropping-particle":"","family":"You","given":"Weijie","non-dropping-particle":"","parse-names"</w:instrText>
      </w:r>
      <w:r w:rsidRPr="00AB1B4B">
        <w:rPr>
          <w:rFonts w:ascii="Times New Roman" w:hAnsi="Times New Roman" w:cs="Times New Roman"/>
          <w:lang w:val="en-US"/>
        </w:rPr>
        <w:instrText>:false,"suffix":""},{"dropping-particle":"","family":"Gao","given":"Lei","non-dropping-particle":"","parse-names":false,"suffix":""},{"dropping-particle":"","family":"Song","given":"Jun","non-dropping-particle":"","parse-names":false,"suffix":""}],"contain</w:instrText>
      </w:r>
      <w:r w:rsidRPr="00AB1B4B">
        <w:rPr>
          <w:rFonts w:ascii="Times New Roman" w:hAnsi="Times New Roman" w:cs="Times New Roman"/>
          <w:lang w:val="en-US"/>
        </w:rPr>
        <w:instrText>er-title":"Case Studies in Construction Materials","id":"ITEM-1","issued":{"date-parts":[["2023","7","1"]]},"publisher":"Elsevier Ltd","title":"Long-term behaviour of recycled aggregate concrete beams prestressed with carbon fibre-reinforced polymer (CFRP)</w:instrText>
      </w:r>
      <w:r w:rsidRPr="00AB1B4B">
        <w:rPr>
          <w:rFonts w:ascii="Times New Roman" w:hAnsi="Times New Roman" w:cs="Times New Roman"/>
          <w:lang w:val="en-US"/>
        </w:rPr>
        <w:instrText xml:space="preserve"> tendons","type":"article-journal","volume":"18"},"uris":["http://www.mendeley.com/documents/?uuid=dd4669f5-8bd4-30da-90ce-f36e38bc58eb"]}],"mendeley":{"formattedCitation":"(X. Liu et al., 2023)","plainTextFormattedCitation":"(X. Liu et al., 2023)","previo</w:instrText>
      </w:r>
      <w:r w:rsidRPr="00AB1B4B">
        <w:rPr>
          <w:rFonts w:ascii="Times New Roman" w:hAnsi="Times New Roman" w:cs="Times New Roman"/>
          <w:lang w:val="en-US"/>
        </w:rPr>
        <w:instrText>uslyFormattedCitation":"(X. Liu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(Liu et al., 2023b)</w:t>
      </w:r>
      <w:r w:rsidRPr="00AB1B4B">
        <w:rPr>
          <w:rFonts w:ascii="Times New Roman" w:hAnsi="Times New Roman" w:cs="Times New Roman"/>
          <w:lang w:val="en-US"/>
        </w:rPr>
        <w:fldChar w:fldCharType="end"/>
      </w:r>
      <w:r w:rsidRPr="00AB1B4B">
        <w:rPr>
          <w:rFonts w:ascii="Times New Roman" w:hAnsi="Times New Roman" w:cs="Times New Roman"/>
          <w:lang w:val="en-US"/>
        </w:rPr>
        <w:t>.</w:t>
      </w:r>
    </w:p>
    <w:p w14:paraId="050A6D84" w14:textId="77777777" w:rsidR="009523E5" w:rsidRPr="00AB1B4B"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Wu </w:t>
      </w:r>
      <w:proofErr w:type="gramStart"/>
      <w:r w:rsidRPr="00AB1B4B">
        <w:rPr>
          <w:rFonts w:ascii="Times New Roman" w:hAnsi="Times New Roman" w:cs="Times New Roman"/>
        </w:rPr>
        <w:t>et al.(</w:t>
      </w:r>
      <w:proofErr w:type="gramEnd"/>
      <w:r w:rsidRPr="00AB1B4B">
        <w:rPr>
          <w:rFonts w:ascii="Times New Roman" w:hAnsi="Times New Roman" w:cs="Times New Roman"/>
        </w:rPr>
        <w:t>2023) researched effective bonding strategies between c</w:t>
      </w:r>
      <w:r w:rsidRPr="00AB1B4B">
        <w:rPr>
          <w:rFonts w:ascii="Times New Roman" w:hAnsi="Times New Roman" w:cs="Times New Roman"/>
        </w:rPr>
        <w:t xml:space="preserve">oncrete </w:t>
      </w:r>
      <w:r>
        <w:rPr>
          <w:rFonts w:ascii="Times New Roman" w:hAnsi="Times New Roman" w:cs="Times New Roman"/>
        </w:rPr>
        <w:t xml:space="preserve">and GFRP as critical for good performance of the retrofitting layer. The bond behaviour of FRP composites </w:t>
      </w:r>
      <w:r w:rsidRPr="00AB1B4B">
        <w:rPr>
          <w:rFonts w:ascii="Times New Roman" w:hAnsi="Times New Roman" w:cs="Times New Roman"/>
        </w:rPr>
        <w:t>attached to concrete substrates using the externally bond reinforcement on grooves (EBROG) method was influenced by the concrete strength, gro</w:t>
      </w:r>
      <w:r w:rsidRPr="00AB1B4B">
        <w:rPr>
          <w:rFonts w:ascii="Times New Roman" w:hAnsi="Times New Roman" w:cs="Times New Roman"/>
        </w:rPr>
        <w:t xml:space="preserve">ove number and dimensions, environmental conditions (temperature, humidity), type of adhesives used, bond length and type of loading (monotonic or dynamic)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{"citationItems":[{"id":"ITEM-1","itemData":{"author":[{"dropping-particle":"","f</w:instrText>
      </w:r>
      <w:r w:rsidRPr="00AB1B4B">
        <w:rPr>
          <w:rFonts w:ascii="Times New Roman" w:hAnsi="Times New Roman" w:cs="Times New Roman"/>
        </w:rPr>
        <w:instrText>amily":"Sanginabadi","given":"Khaled","non-dropping-particle":"","parse-names":false,"suffix":""},{"dropping-particle":"","family":"Yazdani","given":"Azad","non-dropping-particle":"","parse-names":false,"suffix":""},{"dropping-particle":"","family":"Mostof</w:instrText>
      </w:r>
      <w:r w:rsidRPr="00AB1B4B">
        <w:rPr>
          <w:rFonts w:ascii="Times New Roman" w:hAnsi="Times New Roman" w:cs="Times New Roman"/>
        </w:rPr>
        <w:instrText>ineja","given":"Davood","non-dropping-particle":"","parse-names":false,"suffix":""},{"dropping-particle":"","family":"Czaderski","given":"Christoph","non-dropping-particle":"","parse-names":false,"suffix":""}],"container-title":"Composite Structures","id":</w:instrText>
      </w:r>
      <w:r w:rsidRPr="00AB1B4B">
        <w:rPr>
          <w:rFonts w:ascii="Times New Roman" w:hAnsi="Times New Roman" w:cs="Times New Roman"/>
        </w:rPr>
        <w:instrText>"ITEM-1","issue":"116060","issued":{"date-parts":[["2022"]]},"title":"8 Bond behavior of FRP composites attached to concrete using EBROG method_ A state-of-the-art review - ScienceDirect","type":"article-journal","volume":"299"},"uris":["http://www.mendele</w:instrText>
      </w:r>
      <w:r w:rsidRPr="00AB1B4B">
        <w:rPr>
          <w:rFonts w:ascii="Times New Roman" w:hAnsi="Times New Roman" w:cs="Times New Roman"/>
        </w:rPr>
        <w:instrText>y.com/documents/?uuid=bcf3e9f5-ae98-3915-8d96-544125f9c146"]}],"mendeley":{"formattedCitation":"(Sanginabadi et al., 2022)","plainTextFormattedCitation":"(Sanginabadi et al., 2022)","previouslyFormattedCitation":"(Sanginabadi et al., 2022)"},"properties":{</w:instrText>
      </w:r>
      <w:r w:rsidRPr="00AB1B4B">
        <w:rPr>
          <w:rFonts w:ascii="Times New Roman" w:hAnsi="Times New Roman" w:cs="Times New Roman"/>
        </w:rPr>
        <w:instrText>"noteIndex":0},"schema":"https://github.com/citation-style-language/schema/raw/master/csl-citation.json"}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(Sanginabadi et al., 2022)</w:t>
      </w:r>
      <w:r w:rsidRPr="00AB1B4B">
        <w:rPr>
          <w:rFonts w:ascii="Times New Roman" w:hAnsi="Times New Roman" w:cs="Times New Roman"/>
        </w:rPr>
        <w:fldChar w:fldCharType="end"/>
      </w:r>
      <w:r w:rsidRPr="00AB1B4B">
        <w:rPr>
          <w:rFonts w:ascii="Times New Roman" w:hAnsi="Times New Roman" w:cs="Times New Roman"/>
        </w:rPr>
        <w:t xml:space="preserve">. </w:t>
      </w:r>
    </w:p>
    <w:p w14:paraId="7C180E6E" w14:textId="77777777"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lang w:val="en-US"/>
        </w:rPr>
        <w:t xml:space="preserve">The varying structure of fibrous composites makes them difficult to machine consistently. The material properties vary </w:t>
      </w:r>
      <w:r w:rsidRPr="00AB1B4B">
        <w:rPr>
          <w:rFonts w:ascii="Times New Roman" w:hAnsi="Times New Roman" w:cs="Times New Roman"/>
          <w:lang w:val="en-US"/>
        </w:rPr>
        <w:t xml:space="preserve">based on the fibre orientation and distribution, leading to unpredictable behavior during drilling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{"citationItems":[{"id":"ITEM-1","itemData":{"DOI":"10.1016/j.compositesb.2023.110589","ISSN":"13598368","abstract":"Recent trends in mini</w:instrText>
      </w:r>
      <w:r w:rsidRPr="00AB1B4B">
        <w:rPr>
          <w:rFonts w:ascii="Times New Roman" w:hAnsi="Times New Roman" w:cs="Times New Roman"/>
          <w:lang w:val="en-US"/>
        </w:rPr>
        <w:instrText>aturisation and high-strength fibrous composites encourage the use of mechanical micro-drilling technology of fibre-reinforced polymer composites (FRPs). Although severe expertise has been gained through the past few decades on the machinability of FRPs, t</w:instrText>
      </w:r>
      <w:r w:rsidRPr="00AB1B4B">
        <w:rPr>
          <w:rFonts w:ascii="Times New Roman" w:hAnsi="Times New Roman" w:cs="Times New Roman"/>
          <w:lang w:val="en-US"/>
        </w:rPr>
        <w:instrText>his information cannot be directly adapted to the micro-drilling mainly due to the size effect. Therefore, the main aim of the present study is to comprehensively review challenges, recent experience, and future aspects of mechanical micro-drilling of glas</w:instrText>
      </w:r>
      <w:r w:rsidRPr="00AB1B4B">
        <w:rPr>
          <w:rFonts w:ascii="Times New Roman" w:hAnsi="Times New Roman" w:cs="Times New Roman"/>
          <w:lang w:val="en-US"/>
        </w:rPr>
        <w:instrText>s and carbon fibre reinforced polymer (GFRP, CFRP) composites. The chip removal mechanisms of micro-drilling of FRPs are reviewed and compared to conventional-sized technologies. Furthermore, the micro-drilling-induced geometrical defects (delamination, bu</w:instrText>
      </w:r>
      <w:r w:rsidRPr="00AB1B4B">
        <w:rPr>
          <w:rFonts w:ascii="Times New Roman" w:hAnsi="Times New Roman" w:cs="Times New Roman"/>
          <w:lang w:val="en-US"/>
        </w:rPr>
        <w:instrText>rrs, fibre pull-outs etc.) and the cutting energetics are also discussed. Moreover, the future aspects and research directions are highlighted in this growing research area.","author":[{"dropping-particle":"","family":"Geier","given":"Norbert","non-droppin</w:instrText>
      </w:r>
      <w:r w:rsidRPr="00AB1B4B">
        <w:rPr>
          <w:rFonts w:ascii="Times New Roman" w:hAnsi="Times New Roman" w:cs="Times New Roman"/>
          <w:lang w:val="en-US"/>
        </w:rPr>
        <w:instrText>g-particle":"","parse-names":false,"suffix":""},{"dropping-particle":"","family":"Patra","given":"Karali","non-dropping-particle":"","parse-names":false,"suffix":""},{"dropping-particle":"","family":"Anand","given":"Ravi Shankar","non-dropping-particle":""</w:instrText>
      </w:r>
      <w:r w:rsidRPr="00AB1B4B">
        <w:rPr>
          <w:rFonts w:ascii="Times New Roman" w:hAnsi="Times New Roman" w:cs="Times New Roman"/>
          <w:lang w:val="en-US"/>
        </w:rPr>
        <w:instrText>,"parse-names":false,"suffix":""},{"dropping-particle":"","family":"Ashworth","given":"Sam","non-dropping-particle":"","parse-names":false,"suffix":""},{"dropping-particle":"","family":"Balázs","given":"Barnabás Zoltán","non-dropping-particle":"","parse-na</w:instrText>
      </w:r>
      <w:r w:rsidRPr="00AB1B4B">
        <w:rPr>
          <w:rFonts w:ascii="Times New Roman" w:hAnsi="Times New Roman" w:cs="Times New Roman"/>
          <w:lang w:val="en-US"/>
        </w:rPr>
        <w:instrText>mes":false,"suffix":""},{"dropping-particle":"","family":"Lukács","given":"Tamás","non-dropping-particle":"","parse-names":false,"suffix":""},{"dropping-particle":"","family":"Magyar","given":"Gergely","non-dropping-particle":"","parse-names":false,"suffix</w:instrText>
      </w:r>
      <w:r w:rsidRPr="00AB1B4B">
        <w:rPr>
          <w:rFonts w:ascii="Times New Roman" w:hAnsi="Times New Roman" w:cs="Times New Roman"/>
          <w:lang w:val="en-US"/>
        </w:rPr>
        <w:instrText>":""},{"dropping-particle":"","family":"Tamás-Bényei","given":"Péter","non-dropping-particle":"","parse-names":false,"suffix":""},{"dropping-particle":"","family":"Xu","given":"Jinyang","non-dropping-particle":"","parse-names":false,"suffix":""},{"dropping</w:instrText>
      </w:r>
      <w:r w:rsidRPr="00AB1B4B">
        <w:rPr>
          <w:rFonts w:ascii="Times New Roman" w:hAnsi="Times New Roman" w:cs="Times New Roman"/>
          <w:lang w:val="en-US"/>
        </w:rPr>
        <w:instrText>-particle":"","family":"Davim","given":"J. Paulo","non-dropping-particle":"","parse-names":false,"suffix":""}],"container-title":"Composites Part B: Engineering","id":"ITEM-1","issued":{"date-parts":[["2023","4","1"]]},"publisher":"Elsevier Ltd","title":"A</w:instrText>
      </w:r>
      <w:r w:rsidRPr="00AB1B4B">
        <w:rPr>
          <w:rFonts w:ascii="Times New Roman" w:hAnsi="Times New Roman" w:cs="Times New Roman"/>
          <w:lang w:val="en-US"/>
        </w:rPr>
        <w:instrText xml:space="preserve"> critical review on mechanical micro-drilling of glass and carbon fibre reinforced polymer (GFRP and CFRP) composites","type":"article","volume":"254"},"uris":["http://www.mendeley.com/documents/?uuid=2763bfff-c27c-3b33-b7e2-620d773b7763"]}],"mendeley":{"f</w:instrText>
      </w:r>
      <w:r w:rsidRPr="00AB1B4B">
        <w:rPr>
          <w:rFonts w:ascii="Times New Roman" w:hAnsi="Times New Roman" w:cs="Times New Roman"/>
          <w:lang w:val="en-US"/>
        </w:rPr>
        <w:instrText>ormattedCitation":"(Geier et al., 2023)","plainTextFormattedCitation":"(Geier et al., 2023)","previouslyFormattedCitation":"(Geier et al., 2023)"},"properties":{"noteIndex":0},"schema":"https://github.com/citation-style-language/schema/raw/master/csl-citat</w:instrText>
      </w:r>
      <w:r w:rsidRPr="00AB1B4B">
        <w:rPr>
          <w:rFonts w:ascii="Times New Roman" w:hAnsi="Times New Roman" w:cs="Times New Roman"/>
          <w:lang w:val="en-US"/>
        </w:rPr>
        <w:instrTex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(Geier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During drilling, the individual fibers may break or pull out, leading to additional surface imperfections and a decrease in the mechanical integrity of the composite material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w:instrText>
      </w:r>
      <w:r w:rsidRPr="00AB1B4B">
        <w:rPr>
          <w:rFonts w:ascii="Times New Roman" w:hAnsi="Times New Roman" w:cs="Times New Roman"/>
          <w:lang w:val="en-US"/>
        </w:rPr>
        <w:instrText>EM-1","itemData":{"DOI":"10.1016/j.heliyon.2023.e14428","ISSN":"24058440","abstract":"Fiber-reinforced polymer (FRP) composites play a vital role in the production of structural and semi-structural components for engineering applications. The drilling proc</w:instrText>
      </w:r>
      <w:r w:rsidRPr="00AB1B4B">
        <w:rPr>
          <w:rFonts w:ascii="Times New Roman" w:hAnsi="Times New Roman" w:cs="Times New Roman"/>
          <w:lang w:val="en-US"/>
        </w:rPr>
        <w:instrText>ess is a commonly employed machining process for FRP composites to join the FRP structural elements. Usually, the FRP composites possess a heterogeneous nature because of their multi-layered structure, hybridization, and the presence of multi-phase materia</w:instrText>
      </w:r>
      <w:r w:rsidRPr="00AB1B4B">
        <w:rPr>
          <w:rFonts w:ascii="Times New Roman" w:hAnsi="Times New Roman" w:cs="Times New Roman"/>
          <w:lang w:val="en-US"/>
        </w:rPr>
        <w:instrText>ls. Hence, common problems like delaminations, fuzzing, buckling, cracking, matrix and fiber burning occur during the drilling operations. These problems cause dimensional inaccuracy, poor surface finish, and tool wear and reduce the mechanical strength of</w:instrText>
      </w:r>
      <w:r w:rsidRPr="00AB1B4B">
        <w:rPr>
          <w:rFonts w:ascii="Times New Roman" w:hAnsi="Times New Roman" w:cs="Times New Roman"/>
          <w:lang w:val="en-US"/>
        </w:rPr>
        <w:instrText xml:space="preserve"> the composites. The optimum drilling parameters (drill geometry, speed, feed, and depth of cut) selection for the specific materials is good to achieve effective drilling performance and better surface quality of the holes. Yet, little study has been done</w:instrText>
      </w:r>
      <w:r w:rsidRPr="00AB1B4B">
        <w:rPr>
          <w:rFonts w:ascii="Times New Roman" w:hAnsi="Times New Roman" w:cs="Times New Roman"/>
          <w:lang w:val="en-US"/>
        </w:rPr>
        <w:instrText xml:space="preserve"> on how all of these factors affect the size of the drilled hole. The majority of drilling studies on FRPCs in the past have focused on how to improve the hole quality by maximizing processing conditions, and there has been little discussion on the correla</w:instrText>
      </w:r>
      <w:r w:rsidRPr="00AB1B4B">
        <w:rPr>
          <w:rFonts w:ascii="Times New Roman" w:hAnsi="Times New Roman" w:cs="Times New Roman"/>
          <w:lang w:val="en-US"/>
        </w:rPr>
        <w:instrText>tion between drilling conditions, physical properties, and production techniques. This is what motivated to review the characteristics and properties analysis of FRP composites. As a consequence of this research, it is anticipated that scientists and resea</w:instrText>
      </w:r>
      <w:r w:rsidRPr="00AB1B4B">
        <w:rPr>
          <w:rFonts w:ascii="Times New Roman" w:hAnsi="Times New Roman" w:cs="Times New Roman"/>
          <w:lang w:val="en-US"/>
        </w:rPr>
        <w:instrText>rchers would place a greater emphasis on the drilling characteristic of the workpieces made from FRPCs than on other attributes. This review clearly presents an overview of FRP composites drilling that had progressed from 2000 to 2021. The analysis of diff</w:instrText>
      </w:r>
      <w:r w:rsidRPr="00AB1B4B">
        <w:rPr>
          <w:rFonts w:ascii="Times New Roman" w:hAnsi="Times New Roman" w:cs="Times New Roman"/>
          <w:lang w:val="en-US"/>
        </w:rPr>
        <w:instrText xml:space="preserve">erent drilling conditions and parameters like thrust force, drill geometry, temperature, speed, and feed also includes the post-drilling analysis through delaminations, thermal damage, and surface roughness. Furthermore, the recent developments in carbon, </w:instrText>
      </w:r>
      <w:r w:rsidRPr="00AB1B4B">
        <w:rPr>
          <w:rFonts w:ascii="Times New Roman" w:hAnsi="Times New Roman" w:cs="Times New Roman"/>
          <w:lang w:val="en-US"/>
        </w:rPr>
        <w:instrText>glass, and natural fiber reinforced polymer composites are studied with both conventional and nonconventional drilling techniques. Based on the above studies, some future challenges and conclusions are drawn from this review.","author":[{"dropping-particle</w:instrText>
      </w:r>
      <w:r w:rsidRPr="00AB1B4B">
        <w:rPr>
          <w:rFonts w:ascii="Times New Roman" w:hAnsi="Times New Roman" w:cs="Times New Roman"/>
          <w:lang w:val="en-US"/>
        </w:rPr>
        <w:instrText>":"","family":"Jagadeesh","given":"Praveenkumara","non-dropping-particle":"","parse-names":false,"suffix":""},{"dropping-particle":"","family":"Mavinkere Rangappa","given":"Sanjay","non-dropping-particle":"","parse-names":false,"suffix":""},{"dropping-part</w:instrText>
      </w:r>
      <w:r w:rsidRPr="00AB1B4B">
        <w:rPr>
          <w:rFonts w:ascii="Times New Roman" w:hAnsi="Times New Roman" w:cs="Times New Roman"/>
          <w:lang w:val="en-US"/>
        </w:rPr>
        <w:instrText>icle":"","family":"Suyambulingam","given":"Indran","non-dropping-particle":"","parse-names":false,"suffix":""},{"dropping-particle":"","family":"Siengchin","given":"Suchart","non-dropping-particle":"","parse-names":false,"suffix":""},{"dropping-particle":"</w:instrText>
      </w:r>
      <w:r w:rsidRPr="00AB1B4B">
        <w:rPr>
          <w:rFonts w:ascii="Times New Roman" w:hAnsi="Times New Roman" w:cs="Times New Roman"/>
          <w:lang w:val="en-US"/>
        </w:rPr>
        <w:instrText>","family":"Puttegowda","given":"Madhu","non-dropping-particle":"","parse-names":false,"suffix":""},{"dropping-particle":"","family":"Binoj","given":"Joseph Selvi","non-dropping-particle":"","parse-names":false,"suffix":""},{"dropping-particle":"","family"</w:instrText>
      </w:r>
      <w:r w:rsidRPr="00AB1B4B">
        <w:rPr>
          <w:rFonts w:ascii="Times New Roman" w:hAnsi="Times New Roman" w:cs="Times New Roman"/>
          <w:lang w:val="en-US"/>
        </w:rPr>
        <w:instrText>:"Gorbatyuk","given":"Sergey","non-dropping-particle":"","parse-names":false,"suffix":""},{"dropping-particle":"","family":"Khan","given":"Anish","non-dropping-particle":"","parse-names":false,"suffix":""},{"dropping-particle":"","family":"Doddamani","give</w:instrText>
      </w:r>
      <w:r w:rsidRPr="00AB1B4B">
        <w:rPr>
          <w:rFonts w:ascii="Times New Roman" w:hAnsi="Times New Roman" w:cs="Times New Roman"/>
          <w:lang w:val="en-US"/>
        </w:rPr>
        <w:instrText>n":"Mrityunjay","non-dropping-particle":"","parse-names":false,"suffix":""},{"dropping-particle":"","family":"Fiore","given":"Vincenzo","non-dropping-particle":"","parse-names":false,"suffix":""},{"dropping-particle":"","family":"Cuadrado","given":"Marta M</w:instrText>
      </w:r>
      <w:r w:rsidRPr="00AB1B4B">
        <w:rPr>
          <w:rFonts w:ascii="Times New Roman" w:hAnsi="Times New Roman" w:cs="Times New Roman"/>
          <w:lang w:val="en-US"/>
        </w:rPr>
        <w:instrText>aría Moure","non-dropping-particle":"","parse-names":false,"suffix":""}],"container-title":"Heliyon","id":"ITEM-1","issue":"3","issued":{"date-parts":[["2023","3","1"]]},"publisher":"Elsevier Ltd","title":"Drilling characteristics and properties analysis o</w:instrText>
      </w:r>
      <w:r w:rsidRPr="00AB1B4B">
        <w:rPr>
          <w:rFonts w:ascii="Times New Roman" w:hAnsi="Times New Roman" w:cs="Times New Roman"/>
          <w:lang w:val="en-US"/>
        </w:rPr>
        <w:instrText>f fiber reinforced polymer composites: A comprehensive review","type":"article","volume":"9"},"uris":["http://www.mendeley.com/documents/?uuid=3e8e41e1-099b-38fb-928f-9e058c642392"]}],"mendeley":{"formattedCitation":"(Jagadeesh et al., 2023)","plainTextFor</w:instrText>
      </w:r>
      <w:r w:rsidRPr="00AB1B4B">
        <w:rPr>
          <w:rFonts w:ascii="Times New Roman" w:hAnsi="Times New Roman" w:cs="Times New Roman"/>
          <w:lang w:val="en-US"/>
        </w:rPr>
        <w:instrText>mattedCitation":"(Jagadeesh et al., 2023)","previouslyFormattedCitation":"(Jagadeesh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lang w:val="en-US"/>
        </w:rPr>
        <w:t>(Jagadeesh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w:t>
      </w:r>
      <w:r w:rsidRPr="00AB1B4B">
        <w:rPr>
          <w:rFonts w:ascii="Times New Roman" w:hAnsi="Times New Roman" w:cs="Times New Roman"/>
        </w:rPr>
        <w:t>Ze et a</w:t>
      </w:r>
      <w:r w:rsidRPr="00AB1B4B">
        <w:rPr>
          <w:rFonts w:ascii="Times New Roman" w:hAnsi="Times New Roman" w:cs="Times New Roman"/>
        </w:rPr>
        <w:t>l. (2023) researched into exploration</w:t>
      </w:r>
      <w:r w:rsidRPr="00AB1B4B">
        <w:rPr>
          <w:rFonts w:ascii="Times New Roman" w:hAnsi="Times New Roman" w:cs="Times New Roman"/>
          <w:lang w:val="en-US"/>
        </w:rPr>
        <w:t xml:space="preserve"> of non-conventional drilling methods such as high-speed drilling, electrical discharge machining, laser machining, and vibration-assisted drilling which yielded better results in terms of minimizing drilling-induced da</w:t>
      </w:r>
      <w:r w:rsidRPr="00AB1B4B">
        <w:rPr>
          <w:rFonts w:ascii="Times New Roman" w:hAnsi="Times New Roman" w:cs="Times New Roman"/>
          <w:lang w:val="en-US"/>
        </w:rPr>
        <w:t xml:space="preserve">mages. </w:t>
      </w:r>
    </w:p>
    <w:p w14:paraId="41EE9BFB" w14:textId="211FD65B" w:rsidR="009523E5"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In this study, the strengthening </w:t>
      </w:r>
      <w:proofErr w:type="gramStart"/>
      <w:r w:rsidRPr="00AB1B4B">
        <w:rPr>
          <w:rFonts w:ascii="Times New Roman" w:hAnsi="Times New Roman" w:cs="Times New Roman"/>
        </w:rPr>
        <w:t>of  reinforced</w:t>
      </w:r>
      <w:proofErr w:type="gramEnd"/>
      <w:r w:rsidRPr="00AB1B4B">
        <w:rPr>
          <w:rFonts w:ascii="Times New Roman" w:hAnsi="Times New Roman" w:cs="Times New Roman"/>
        </w:rPr>
        <w:t xml:space="preserve"> concrete beam is done with a hybrid retrofitting system comprising: GFRP bar, CFRP laminate, MAS plates with expandable anchorage bolts, and concrete jacketing. This is a novel combination that has not been c</w:t>
      </w:r>
      <w:r w:rsidRPr="00AB1B4B">
        <w:rPr>
          <w:rFonts w:ascii="Times New Roman" w:hAnsi="Times New Roman" w:cs="Times New Roman"/>
        </w:rPr>
        <w:t xml:space="preserve">arried out </w:t>
      </w:r>
      <w:r w:rsidRPr="00AB1B4B">
        <w:rPr>
          <w:rFonts w:ascii="Times New Roman" w:hAnsi="Times New Roman" w:cs="Times New Roman"/>
          <w:lang w:val="en-US"/>
        </w:rPr>
        <w:t>previously</w:t>
      </w:r>
      <w:r w:rsidRPr="00AB1B4B">
        <w:rPr>
          <w:rFonts w:ascii="Times New Roman" w:hAnsi="Times New Roman" w:cs="Times New Roman"/>
        </w:rPr>
        <w:t xml:space="preserve">. </w:t>
      </w:r>
      <w:r w:rsidR="00AB1B4B" w:rsidRPr="00AB1B4B">
        <w:rPr>
          <w:rFonts w:ascii="Times New Roman" w:hAnsi="Times New Roman" w:cs="Times New Roman"/>
          <w:lang w:val="en-US"/>
        </w:rPr>
        <w:t>Previous</w:t>
      </w:r>
      <w:r w:rsidRPr="00AB1B4B">
        <w:rPr>
          <w:rFonts w:ascii="Times New Roman" w:hAnsi="Times New Roman" w:cs="Times New Roman"/>
        </w:rPr>
        <w:t xml:space="preserve"> works done by other researchers have used some of these retrofitting elements but not all of them. The effects of the flexural behaviour of using these hybrid retrofitting elements on some failure modes, crack analysis, and </w:t>
      </w:r>
      <w:r w:rsidRPr="00AB1B4B">
        <w:rPr>
          <w:rFonts w:ascii="Times New Roman" w:hAnsi="Times New Roman" w:cs="Times New Roman"/>
        </w:rPr>
        <w:t>the load-deflection curves of the reinforced concrete beams are analysed. The experimental first crack and failure loads</w:t>
      </w:r>
      <w:r>
        <w:rPr>
          <w:rFonts w:ascii="Times New Roman" w:hAnsi="Times New Roman" w:cs="Times New Roman"/>
        </w:rPr>
        <w:t xml:space="preserve"> of both the unretrofitted and hybrid retrofitted beams are analysed with the theoretical loads form the provisions of the BS 8110 code </w:t>
      </w:r>
      <w:r>
        <w:rPr>
          <w:rFonts w:ascii="Times New Roman" w:hAnsi="Times New Roman" w:cs="Times New Roman"/>
        </w:rPr>
        <w:t>of practice. A new formula for estimating the flexural moment capacity of the hybrid retrofitted beam is proposed and validated by both experimental and analytical results.</w:t>
      </w:r>
    </w:p>
    <w:p w14:paraId="79E2B622" w14:textId="77777777" w:rsidR="009523E5" w:rsidRDefault="009523E5" w:rsidP="009201D3">
      <w:pPr>
        <w:spacing w:after="0" w:line="240" w:lineRule="auto"/>
        <w:rPr>
          <w:rFonts w:ascii="Times New Roman" w:hAnsi="Times New Roman" w:cs="Times New Roman"/>
        </w:rPr>
      </w:pPr>
    </w:p>
    <w:p w14:paraId="09724146" w14:textId="77777777" w:rsidR="009523E5" w:rsidRDefault="003B4279" w:rsidP="009201D3">
      <w:pPr>
        <w:pStyle w:val="Heading1"/>
        <w:tabs>
          <w:tab w:val="center" w:pos="1850"/>
        </w:tabs>
        <w:spacing w:before="0" w:after="0" w:line="240" w:lineRule="auto"/>
      </w:pPr>
      <w:r>
        <w:t xml:space="preserve">2. </w:t>
      </w:r>
      <w:r>
        <w:rPr>
          <w:lang w:val="en-GB"/>
        </w:rPr>
        <w:t>Methodology</w:t>
      </w:r>
      <w:r>
        <w:t xml:space="preserve"> </w:t>
      </w:r>
    </w:p>
    <w:p w14:paraId="7F3EC4E9" w14:textId="77777777" w:rsidR="009523E5" w:rsidRDefault="003B4279" w:rsidP="009201D3">
      <w:pPr>
        <w:spacing w:after="0" w:line="240" w:lineRule="auto"/>
        <w:ind w:right="11"/>
        <w:rPr>
          <w:b/>
        </w:rPr>
      </w:pPr>
      <w:r>
        <w:rPr>
          <w:b/>
        </w:rPr>
        <w:t>2.1.  Materials and Methods</w:t>
      </w:r>
    </w:p>
    <w:p w14:paraId="26151E79"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2.1.1 Retrofitting materials</w:t>
      </w:r>
    </w:p>
    <w:p w14:paraId="133EDD4E"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lastRenderedPageBreak/>
        <w:t>2.1.1.1 C</w:t>
      </w:r>
      <w:r>
        <w:rPr>
          <w:rFonts w:ascii="Times New Roman" w:hAnsi="Times New Roman" w:cs="Times New Roman"/>
          <w:b/>
          <w:bCs/>
        </w:rPr>
        <w:t>FRP</w:t>
      </w:r>
    </w:p>
    <w:p w14:paraId="6DBCA88A"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CFRP is a composite material comprising carbon fibres and plastic. The material is an essential component in the </w:t>
      </w:r>
      <w:r w:rsidRPr="00AB1B4B">
        <w:rPr>
          <w:rFonts w:ascii="Times New Roman" w:hAnsi="Times New Roman" w:cs="Times New Roman"/>
        </w:rPr>
        <w:t xml:space="preserve">retrofitting layer. The material is generally lightweight, has high strength, and has high resistance to corrosion </w:t>
      </w:r>
      <w:r w:rsidRPr="00AB1B4B">
        <w:rPr>
          <w:rFonts w:ascii="Times New Roman" w:hAnsi="Times New Roman" w:cs="Times New Roman"/>
        </w:rPr>
        <w:fldChar w:fldCharType="begin" w:fldLock="1"/>
      </w:r>
      <w:r w:rsidRPr="00AB1B4B">
        <w:rPr>
          <w:rFonts w:ascii="Times New Roman" w:hAnsi="Times New Roman" w:cs="Times New Roman"/>
        </w:rPr>
        <w:instrText>ADDIN CSL_CITATION {</w:instrText>
      </w:r>
      <w:r w:rsidRPr="00AB1B4B">
        <w:rPr>
          <w:rFonts w:ascii="Times New Roman" w:hAnsi="Times New Roman" w:cs="Times New Roman"/>
        </w:rPr>
        <w:instrText>"citationItems":[{"id":"ITEM-1","itemData":{"DOI":"10.1016/j.compstruct.2020.112752","ISSN":"02638223","abstract":"Fourteen plain and steel fiber-reinforced lightweight aggregate concrete (LWC) beams with two types of fiber-reinforced polymer (FRP) reinfor</w:instrText>
      </w:r>
      <w:r w:rsidRPr="00AB1B4B">
        <w:rPr>
          <w:rFonts w:ascii="Times New Roman" w:hAnsi="Times New Roman" w:cs="Times New Roman"/>
        </w:rPr>
        <w:instrText>cing bars were tested under a four-point bending load with different reinforcement ratios, bar diameters and clear span lengths to evaluate their cracking behavior. The test results showed that using steel fiber-reinforced lightweight aggregate concrete (S</w:instrText>
      </w:r>
      <w:r w:rsidRPr="00AB1B4B">
        <w:rPr>
          <w:rFonts w:ascii="Times New Roman" w:hAnsi="Times New Roman" w:cs="Times New Roman"/>
        </w:rPr>
        <w:instrText>FLWC) and increasing the clear span length mitigated the maximum crack width at low load levels, while increasing the reinforcement ratio tended to decrease the maximum crack width during the entire loading period. At service load, all CFRP-reinforced beam</w:instrText>
      </w:r>
      <w:r w:rsidRPr="00AB1B4B">
        <w:rPr>
          <w:rFonts w:ascii="Times New Roman" w:hAnsi="Times New Roman" w:cs="Times New Roman"/>
        </w:rPr>
        <w:instrText>s satisfied the crack width criteria of 0.7 mm, while more than half of the GFRP-reinforced specimens exhibited unconservative crack widths. Crack width prediction equations in the current design codes in the US, China, and Canada were compared based on th</w:instrText>
      </w:r>
      <w:r w:rsidRPr="00AB1B4B">
        <w:rPr>
          <w:rFonts w:ascii="Times New Roman" w:hAnsi="Times New Roman" w:cs="Times New Roman"/>
        </w:rPr>
        <w:instrText xml:space="preserve">e experimental results. The original average crack spacing equation recommended by GB 50608 was modified considering the effect of bar position. Furthermore, using the method of probability and statistics, the relationships between the maximum crack width </w:instrText>
      </w:r>
      <w:r w:rsidRPr="00AB1B4B">
        <w:rPr>
          <w:rFonts w:ascii="Times New Roman" w:hAnsi="Times New Roman" w:cs="Times New Roman"/>
        </w:rPr>
        <w:instrText>and the average crack width for the tested beams were investigated. Accordingly, a rational alternative crack width model was proposed for CFRP- and GFRP-reinforced beams incorporating the effects of lightweight aggregates and steel fibers.","author":[{"dr</w:instrText>
      </w:r>
      <w:r w:rsidRPr="00AB1B4B">
        <w:rPr>
          <w:rFonts w:ascii="Times New Roman" w:hAnsi="Times New Roman" w:cs="Times New Roman"/>
        </w:rPr>
        <w:instrText>opping-particle":"","family":"Liu","given":"Xi","non-dropping-particle":"","parse-names":false,"suffix":""},{"dropping-particle":"","family":"Sun","given":"Yijia","non-dropping-particle":"","parse-names":false,"suffix":""},{"dropping-particle":"","family":</w:instrText>
      </w:r>
      <w:r w:rsidRPr="00AB1B4B">
        <w:rPr>
          <w:rFonts w:ascii="Times New Roman" w:hAnsi="Times New Roman" w:cs="Times New Roman"/>
        </w:rPr>
        <w:instrText>"Wu","given":"Tao","non-dropping-particle":"","parse-names":false,"suffix":""},{"dropping-particle":"","family":"Liu","given":"Yang","non-dropping-particle":"","parse-names":false,"suffix":""}],"container-title":"Composite Structures","id":"ITEM-1","issue"</w:instrText>
      </w:r>
      <w:r w:rsidRPr="00AB1B4B">
        <w:rPr>
          <w:rFonts w:ascii="Times New Roman" w:hAnsi="Times New Roman" w:cs="Times New Roman"/>
        </w:rPr>
        <w:instrText>:"June","issued":{"date-parts":[["2020"]]},"page":"112752","publisher":"Elsevier Ltd","title":"Flexural cracks in steel fiber-reinforced lightweight aggregate concrete beams reinforced with FRP bars","type":"article-journal","volume":"253"},"uris":["http:/</w:instrText>
      </w:r>
      <w:r w:rsidRPr="00AB1B4B">
        <w:rPr>
          <w:rFonts w:ascii="Times New Roman" w:hAnsi="Times New Roman" w:cs="Times New Roman"/>
        </w:rPr>
        <w:instrText>/www.mendeley.com/documents/?uuid=e6c324e7-0f04-49b5-8d06-a5c0fa8b42a8"]}],"mendeley":{"formattedCitation":"(X. Liu et al., 2020)","plainTextFormattedCitation":"(X. Liu et al., 2020)","previouslyFormattedCitation":"(X. Liu et al., 2020)"},"properties":{"no</w:instrText>
      </w:r>
      <w:r w:rsidRPr="00AB1B4B">
        <w:rPr>
          <w:rFonts w:ascii="Times New Roman" w:hAnsi="Times New Roman" w:cs="Times New Roman"/>
        </w:rPr>
        <w:instrText>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(Liu et al., 2020)</w:t>
      </w:r>
      <w:r w:rsidRPr="00AB1B4B">
        <w:rPr>
          <w:rFonts w:ascii="Times New Roman" w:hAnsi="Times New Roman" w:cs="Times New Roman"/>
        </w:rPr>
        <w:fldChar w:fldCharType="end"/>
      </w:r>
      <w:r w:rsidRPr="00AB1B4B">
        <w:rPr>
          <w:rFonts w:ascii="Times New Roman" w:hAnsi="Times New Roman" w:cs="Times New Roman"/>
        </w:rPr>
        <w:t xml:space="preserve">. The </w:t>
      </w:r>
      <w:r>
        <w:rPr>
          <w:rFonts w:ascii="Times New Roman" w:hAnsi="Times New Roman" w:cs="Times New Roman"/>
        </w:rPr>
        <w:t>tensile strength of the CFRP laminate is 738.1 N/mm</w:t>
      </w:r>
      <w:r>
        <w:rPr>
          <w:rFonts w:ascii="Times New Roman" w:hAnsi="Times New Roman" w:cs="Times New Roman"/>
          <w:vertAlign w:val="superscript"/>
        </w:rPr>
        <w:t>2</w:t>
      </w:r>
      <w:r>
        <w:rPr>
          <w:rFonts w:ascii="Times New Roman" w:hAnsi="Times New Roman" w:cs="Times New Roman"/>
        </w:rPr>
        <w:t xml:space="preserve"> from the manufacturer but an effective strength is used in the formula der</w:t>
      </w:r>
      <w:r>
        <w:rPr>
          <w:rFonts w:ascii="Times New Roman" w:hAnsi="Times New Roman" w:cs="Times New Roman"/>
        </w:rPr>
        <w:t xml:space="preserve">ivation based on some assumptions. </w:t>
      </w:r>
    </w:p>
    <w:p w14:paraId="799AA09A" w14:textId="77777777" w:rsidR="009523E5" w:rsidRDefault="009523E5" w:rsidP="009201D3">
      <w:pPr>
        <w:spacing w:after="0" w:line="240" w:lineRule="auto"/>
        <w:rPr>
          <w:rFonts w:ascii="Times New Roman" w:hAnsi="Times New Roman" w:cs="Times New Roman"/>
        </w:rPr>
      </w:pPr>
    </w:p>
    <w:p w14:paraId="3C10387E"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2.1.1.2 GFRP</w:t>
      </w:r>
    </w:p>
    <w:p w14:paraId="5554200D"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The GFRP bar is also a composite material made from glass fibres and plastic. The bar is lightweight, does not corrode, and is highly resistant to electric conduction when compared to steel reinforcement. I</w:t>
      </w:r>
      <w:r>
        <w:rPr>
          <w:rFonts w:ascii="Times New Roman" w:hAnsi="Times New Roman" w:cs="Times New Roman"/>
        </w:rPr>
        <w:t xml:space="preserve">t can be rolled into coils and transported relatively easier than the bulky </w:t>
      </w:r>
      <w:r w:rsidRPr="00AB1B4B">
        <w:rPr>
          <w:rFonts w:ascii="Times New Roman" w:hAnsi="Times New Roman" w:cs="Times New Roman"/>
        </w:rPr>
        <w:t>nature of steel. The GFRP fails generally by rupturing and delamination of the fibre strands</w:t>
      </w:r>
      <w:r w:rsidRPr="00AB1B4B">
        <w:rPr>
          <w:rFonts w:ascii="Times New Roman" w:hAnsi="Times New Roman" w:cs="Times New Roman"/>
          <w:lang w:val="en-US"/>
        </w:rPr>
        <w:t xml:space="preserve"> (Boateng et al., 2024)</w:t>
      </w:r>
      <w:r w:rsidRPr="00AB1B4B">
        <w:rPr>
          <w:rFonts w:ascii="Times New Roman" w:hAnsi="Times New Roman" w:cs="Times New Roman"/>
        </w:rPr>
        <w:t>. Delamination is also observed in impact scenarios and can signi</w:t>
      </w:r>
      <w:r w:rsidRPr="00AB1B4B">
        <w:rPr>
          <w:rFonts w:ascii="Times New Roman" w:hAnsi="Times New Roman" w:cs="Times New Roman"/>
        </w:rPr>
        <w:t>ficantly reduce the fatigue life of GFRP composites. Delamination represents a prevalent failure mechanism in Glass Fiber Reinforced Polymer (GFRP), primarily attributed to the material's heterogeneous composition and the existence of voids. This failure m</w:t>
      </w:r>
      <w:r w:rsidRPr="00AB1B4B">
        <w:rPr>
          <w:rFonts w:ascii="Times New Roman" w:hAnsi="Times New Roman" w:cs="Times New Roman"/>
        </w:rPr>
        <w:t xml:space="preserve">ode can be triggered by manufacturing and processing operations, such as drilling, which induce defects that may propagate under cyclic loading conditions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{"citationItems":[{"id":"ITEM-1","itemData":{"DOI":"10.1177/07316844241279721.","a</w:instrText>
      </w:r>
      <w:r w:rsidRPr="00AB1B4B">
        <w:rPr>
          <w:rFonts w:ascii="Times New Roman" w:hAnsi="Times New Roman" w:cs="Times New Roman"/>
        </w:rPr>
        <w:instrText>uthor":[{"dropping-particle":"","family":"Beigi","given":"Amirhossein","non-dropping-particle":"","parse-names":false,"suffix":""},{"dropping-particle":"","family":"Lay","given":"Ali Bastani","non-dropping-particle":"","parse-names":false,"suffix":""},{"dr</w:instrText>
      </w:r>
      <w:r w:rsidRPr="00AB1B4B">
        <w:rPr>
          <w:rFonts w:ascii="Times New Roman" w:hAnsi="Times New Roman" w:cs="Times New Roman"/>
        </w:rPr>
        <w:instrText>opping-particle":"","family":"Najafabadi","given":"Mehdi Ahmadi","non-dropping-particle":"","parse-names":false,"suffix":""}],"container-title":"Journal of Reinforced Plastics and Composites","id":"ITEM-1","issued":{"date-parts":[["2024"]]},"page":"2024","</w:instrText>
      </w:r>
      <w:r w:rsidRPr="00AB1B4B">
        <w:rPr>
          <w:rFonts w:ascii="Times New Roman" w:hAnsi="Times New Roman" w:cs="Times New Roman"/>
        </w:rPr>
        <w:instrText>title":"Acoustic emission-based delamination investigation in drilled GFRP under mixed tensile and bending cyclic loading.","type":"article-journal"},"uris":["http://www.mendeley.com/documents/?uuid=2a4b1a4a-5ff1-4df3-93c6-9d1b42a96ddc"]},{"id":"ITEM-2","i</w:instrText>
      </w:r>
      <w:r w:rsidRPr="00AB1B4B">
        <w:rPr>
          <w:rFonts w:ascii="Times New Roman" w:hAnsi="Times New Roman" w:cs="Times New Roman"/>
        </w:rPr>
        <w:instrText>temData":{"author":[{"dropping-particle":"","family":"Vieira","given":"Priscilla Rocha","non-dropping-particle":"","parse-names":false,"suffix":""},{"dropping-particle":"","family":"Carvalho","given":"E.","non-dropping-particle":"","parse-names":false,"suf</w:instrText>
      </w:r>
      <w:r w:rsidRPr="00AB1B4B">
        <w:rPr>
          <w:rFonts w:ascii="Times New Roman" w:hAnsi="Times New Roman" w:cs="Times New Roman"/>
        </w:rPr>
        <w:instrText>fix":""},{"dropping-particle":"","family":"J. Vieira","given":"","non-dropping-particle":"","parse-names":false,"suffix":""},{"dropping-particle":"","family":"Filho","given":"R. D. T.","non-dropping-particle":"","parse-names":false,"suffix":""}],"container</w:instrText>
      </w:r>
      <w:r w:rsidRPr="00AB1B4B">
        <w:rPr>
          <w:rFonts w:ascii="Times New Roman" w:hAnsi="Times New Roman" w:cs="Times New Roman"/>
        </w:rPr>
        <w:instrText>-title":"Composites Part B: Engineering","id":"ITEM-2","issue":"2","issued":{"date-parts":[["2018"]]},"page":"91-102","title":"Experimental fatigue behavior of pultruded glass fibre reinforced polymer composite materials","type":"article-journal","volume":</w:instrText>
      </w:r>
      <w:r w:rsidRPr="00AB1B4B">
        <w:rPr>
          <w:rFonts w:ascii="Times New Roman" w:hAnsi="Times New Roman" w:cs="Times New Roman"/>
        </w:rPr>
        <w:instrText>"3"},"uris":["http://www.mendeley.com/documents/?uuid=745a31a1-a38b-413c-a1c5-ee392162670b"]}],"mendeley":{"formattedCitation":"(Beigi et al., 2024; Vieira et al., 2018)","plainTextFormattedCitation":"(Beigi et al., 2024; Vieira et al., 2018)","previouslyF</w:instrText>
      </w:r>
      <w:r w:rsidRPr="00AB1B4B">
        <w:rPr>
          <w:rFonts w:ascii="Times New Roman" w:hAnsi="Times New Roman" w:cs="Times New Roman"/>
        </w:rPr>
        <w:instrText>ormattedCitation":"(Beigi et al., 2024; Vieira et al., 2018)"},"properties":{"noteIndex":0},"schema":"https://github.com/citation-style-language/schema/raw/master/csl-citation.json"}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rPr>
        <w:t>(Beigi et al., 2024; Vieira et al., 2018)</w:t>
      </w:r>
      <w:r w:rsidRPr="00AB1B4B">
        <w:rPr>
          <w:rFonts w:ascii="Times New Roman" w:hAnsi="Times New Roman" w:cs="Times New Roman"/>
        </w:rPr>
        <w:fldChar w:fldCharType="end"/>
      </w:r>
      <w:r w:rsidRPr="00AB1B4B">
        <w:rPr>
          <w:rFonts w:ascii="Times New Roman" w:hAnsi="Times New Roman" w:cs="Times New Roman"/>
        </w:rPr>
        <w:t xml:space="preserve">. The tensile strength of the </w:t>
      </w:r>
      <w:r w:rsidRPr="00AB1B4B">
        <w:rPr>
          <w:rFonts w:ascii="Times New Roman" w:hAnsi="Times New Roman" w:cs="Times New Roman"/>
        </w:rPr>
        <w:t>GFRP used for this research from the manufacturer is 900 N/mm</w:t>
      </w:r>
      <w:r w:rsidRPr="00AB1B4B">
        <w:rPr>
          <w:rFonts w:ascii="Times New Roman" w:hAnsi="Times New Roman" w:cs="Times New Roman"/>
          <w:vertAlign w:val="superscript"/>
        </w:rPr>
        <w:t>2</w:t>
      </w:r>
      <w:r w:rsidRPr="00AB1B4B">
        <w:rPr>
          <w:rFonts w:ascii="Times New Roman" w:hAnsi="Times New Roman" w:cs="Times New Roman"/>
          <w:vertAlign w:val="superscript"/>
          <w:lang w:val="en-US"/>
        </w:rPr>
        <w:t xml:space="preserve"> </w:t>
      </w:r>
      <w:r w:rsidRPr="00AB1B4B">
        <w:rPr>
          <w:rFonts w:ascii="Times New Roman" w:hAnsi="Times New Roman" w:cs="Times New Roman"/>
          <w:lang w:val="en-US"/>
        </w:rPr>
        <w:t>(Boateng et al., 2024)</w:t>
      </w:r>
      <w:r w:rsidRPr="00AB1B4B">
        <w:rPr>
          <w:rFonts w:ascii="Times New Roman" w:hAnsi="Times New Roman" w:cs="Times New Roman"/>
        </w:rPr>
        <w:t xml:space="preserve">. </w:t>
      </w:r>
      <w:r>
        <w:rPr>
          <w:rFonts w:ascii="Times New Roman" w:hAnsi="Times New Roman" w:cs="Times New Roman"/>
        </w:rPr>
        <w:t>Also, an effective strength is used in the derivation of the formula.</w:t>
      </w:r>
    </w:p>
    <w:p w14:paraId="175E6A3E" w14:textId="77777777" w:rsidR="009523E5" w:rsidRDefault="009523E5" w:rsidP="009201D3">
      <w:pPr>
        <w:spacing w:after="0" w:line="240" w:lineRule="auto"/>
        <w:rPr>
          <w:rFonts w:ascii="Times New Roman" w:hAnsi="Times New Roman" w:cs="Times New Roman"/>
        </w:rPr>
      </w:pPr>
    </w:p>
    <w:p w14:paraId="1C1E85FF"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2.1.2 Description of beams</w:t>
      </w:r>
    </w:p>
    <w:p w14:paraId="5A074753" w14:textId="58B4159A" w:rsidR="009523E5" w:rsidRDefault="00AB1B4B" w:rsidP="009201D3">
      <w:pPr>
        <w:spacing w:after="0" w:line="240" w:lineRule="auto"/>
        <w:rPr>
          <w:rFonts w:ascii="Times New Roman" w:hAnsi="Times New Roman" w:cs="Times New Roman"/>
        </w:rPr>
      </w:pPr>
      <w:r>
        <w:rPr>
          <w:rFonts w:ascii="Times New Roman" w:hAnsi="Times New Roman" w:cs="Times New Roman"/>
        </w:rPr>
        <w:t xml:space="preserve">Ten beams </w:t>
      </w:r>
      <w:r>
        <w:rPr>
          <w:rFonts w:ascii="Times New Roman" w:hAnsi="Times New Roman" w:cs="Times New Roman"/>
          <w:lang w:val="en-US"/>
        </w:rPr>
        <w:t xml:space="preserve">were </w:t>
      </w:r>
      <w:r w:rsidRPr="00AB1B4B">
        <w:rPr>
          <w:rFonts w:ascii="Times New Roman" w:hAnsi="Times New Roman" w:cs="Times New Roman"/>
        </w:rPr>
        <w:t xml:space="preserve">cast in </w:t>
      </w:r>
      <w:r w:rsidRPr="00AB1B4B">
        <w:rPr>
          <w:rFonts w:ascii="Times New Roman" w:hAnsi="Times New Roman" w:cs="Times New Roman"/>
          <w:lang w:val="en-US"/>
        </w:rPr>
        <w:t>which five</w:t>
      </w:r>
      <w:r w:rsidRPr="00AB1B4B">
        <w:rPr>
          <w:rFonts w:ascii="Times New Roman" w:hAnsi="Times New Roman" w:cs="Times New Roman"/>
        </w:rPr>
        <w:t xml:space="preserve"> </w:t>
      </w:r>
      <w:r w:rsidRPr="00AB1B4B">
        <w:rPr>
          <w:rFonts w:ascii="Times New Roman" w:hAnsi="Times New Roman" w:cs="Times New Roman"/>
          <w:lang w:val="en-US"/>
        </w:rPr>
        <w:t>we</w:t>
      </w:r>
      <w:r w:rsidRPr="00AB1B4B">
        <w:rPr>
          <w:rFonts w:ascii="Times New Roman" w:hAnsi="Times New Roman" w:cs="Times New Roman"/>
        </w:rPr>
        <w:t xml:space="preserve">re reinforced concrete beams </w:t>
      </w:r>
      <w:r w:rsidRPr="00AB1B4B">
        <w:rPr>
          <w:rFonts w:ascii="Times New Roman" w:hAnsi="Times New Roman" w:cs="Times New Roman"/>
          <w:lang w:val="en-US"/>
        </w:rPr>
        <w:t xml:space="preserve">to serve as control </w:t>
      </w:r>
      <w:r w:rsidRPr="00AB1B4B">
        <w:rPr>
          <w:rFonts w:ascii="Times New Roman" w:hAnsi="Times New Roman" w:cs="Times New Roman"/>
        </w:rPr>
        <w:t xml:space="preserve">and the remaining </w:t>
      </w:r>
      <w:r w:rsidRPr="00AB1B4B">
        <w:rPr>
          <w:rFonts w:ascii="Times New Roman" w:hAnsi="Times New Roman" w:cs="Times New Roman"/>
          <w:lang w:val="en-US"/>
        </w:rPr>
        <w:t>five</w:t>
      </w:r>
      <w:r w:rsidRPr="00AB1B4B">
        <w:rPr>
          <w:rFonts w:ascii="Times New Roman" w:hAnsi="Times New Roman" w:cs="Times New Roman"/>
        </w:rPr>
        <w:t xml:space="preserve"> </w:t>
      </w:r>
      <w:r w:rsidRPr="00AB1B4B">
        <w:rPr>
          <w:rFonts w:ascii="Times New Roman" w:hAnsi="Times New Roman" w:cs="Times New Roman"/>
          <w:lang w:val="en-US"/>
        </w:rPr>
        <w:t>we</w:t>
      </w:r>
      <w:r w:rsidRPr="00AB1B4B">
        <w:rPr>
          <w:rFonts w:ascii="Times New Roman" w:hAnsi="Times New Roman" w:cs="Times New Roman"/>
        </w:rPr>
        <w:t xml:space="preserve">re hybrid retrofitted beams. The </w:t>
      </w:r>
      <w:r w:rsidRPr="00AB1B4B">
        <w:rPr>
          <w:rFonts w:ascii="Times New Roman" w:hAnsi="Times New Roman" w:cs="Times New Roman"/>
          <w:lang w:val="en-US"/>
        </w:rPr>
        <w:t xml:space="preserve">control </w:t>
      </w:r>
      <w:r w:rsidRPr="00AB1B4B">
        <w:rPr>
          <w:rFonts w:ascii="Times New Roman" w:hAnsi="Times New Roman" w:cs="Times New Roman"/>
        </w:rPr>
        <w:t xml:space="preserve">beams </w:t>
      </w:r>
      <w:r w:rsidRPr="00AB1B4B">
        <w:rPr>
          <w:rFonts w:ascii="Times New Roman" w:hAnsi="Times New Roman" w:cs="Times New Roman"/>
          <w:lang w:val="en-US"/>
        </w:rPr>
        <w:t xml:space="preserve">in which the </w:t>
      </w:r>
      <w:proofErr w:type="gramStart"/>
      <w:r w:rsidRPr="00AB1B4B">
        <w:rPr>
          <w:rFonts w:ascii="Times New Roman" w:hAnsi="Times New Roman" w:cs="Times New Roman"/>
          <w:lang w:val="en-US"/>
        </w:rPr>
        <w:t>concrete</w:t>
      </w:r>
      <w:r w:rsidRPr="00AB1B4B">
        <w:rPr>
          <w:rFonts w:ascii="Times New Roman" w:hAnsi="Times New Roman" w:cs="Times New Roman"/>
        </w:rPr>
        <w:t xml:space="preserve">  compressive</w:t>
      </w:r>
      <w:proofErr w:type="gramEnd"/>
      <w:r w:rsidRPr="00AB1B4B">
        <w:rPr>
          <w:rFonts w:ascii="Times New Roman" w:hAnsi="Times New Roman" w:cs="Times New Roman"/>
        </w:rPr>
        <w:t xml:space="preserve"> strength </w:t>
      </w:r>
      <w:r>
        <w:rPr>
          <w:rFonts w:ascii="Times New Roman" w:hAnsi="Times New Roman" w:cs="Times New Roman"/>
          <w:lang w:val="en-US"/>
        </w:rPr>
        <w:t>was</w:t>
      </w:r>
      <w:r w:rsidRPr="00AB1B4B">
        <w:rPr>
          <w:rFonts w:ascii="Times New Roman" w:hAnsi="Times New Roman" w:cs="Times New Roman"/>
        </w:rPr>
        <w:t xml:space="preserve"> 37.03 M</w:t>
      </w:r>
      <w:r w:rsidRPr="00AB1B4B">
        <w:rPr>
          <w:rFonts w:ascii="Times New Roman" w:hAnsi="Times New Roman" w:cs="Times New Roman"/>
          <w:lang w:val="en-US"/>
        </w:rPr>
        <w:t>P</w:t>
      </w:r>
      <w:proofErr w:type="spellStart"/>
      <w:r w:rsidRPr="00AB1B4B">
        <w:rPr>
          <w:rFonts w:ascii="Times New Roman" w:hAnsi="Times New Roman" w:cs="Times New Roman"/>
        </w:rPr>
        <w:t>a</w:t>
      </w:r>
      <w:proofErr w:type="spellEnd"/>
      <w:r w:rsidRPr="00AB1B4B">
        <w:rPr>
          <w:rFonts w:ascii="Times New Roman" w:hAnsi="Times New Roman" w:cs="Times New Roman"/>
        </w:rPr>
        <w:t xml:space="preserve"> for beams A to D and 26.77 M</w:t>
      </w:r>
      <w:r w:rsidRPr="00AB1B4B">
        <w:rPr>
          <w:rFonts w:ascii="Times New Roman" w:hAnsi="Times New Roman" w:cs="Times New Roman"/>
          <w:lang w:val="en-US"/>
        </w:rPr>
        <w:t>P</w:t>
      </w:r>
      <w:proofErr w:type="spellStart"/>
      <w:r w:rsidRPr="00AB1B4B">
        <w:rPr>
          <w:rFonts w:ascii="Times New Roman" w:hAnsi="Times New Roman" w:cs="Times New Roman"/>
        </w:rPr>
        <w:t>a</w:t>
      </w:r>
      <w:proofErr w:type="spellEnd"/>
      <w:r w:rsidRPr="00AB1B4B">
        <w:rPr>
          <w:rFonts w:ascii="Times New Roman" w:hAnsi="Times New Roman" w:cs="Times New Roman"/>
        </w:rPr>
        <w:t xml:space="preserve"> for beam E</w:t>
      </w:r>
      <w:r w:rsidRPr="00AB1B4B">
        <w:rPr>
          <w:rFonts w:ascii="Times New Roman" w:hAnsi="Times New Roman" w:cs="Times New Roman"/>
          <w:lang w:val="en-US"/>
        </w:rPr>
        <w:t xml:space="preserve"> are presented in Table 1. </w:t>
      </w:r>
      <w:r w:rsidRPr="00AB1B4B">
        <w:rPr>
          <w:rFonts w:ascii="Times New Roman" w:hAnsi="Times New Roman" w:cs="Times New Roman"/>
        </w:rPr>
        <w:t xml:space="preserve">The hybrid retrofitted beams </w:t>
      </w:r>
      <w:r>
        <w:rPr>
          <w:rFonts w:ascii="Times New Roman" w:hAnsi="Times New Roman" w:cs="Times New Roman"/>
        </w:rPr>
        <w:t xml:space="preserve">are described in the </w:t>
      </w:r>
      <w:r>
        <w:rPr>
          <w:rFonts w:ascii="Times New Roman" w:hAnsi="Times New Roman" w:cs="Times New Roman"/>
        </w:rPr>
        <w:fldChar w:fldCharType="begin"/>
      </w:r>
      <w:r>
        <w:rPr>
          <w:rFonts w:ascii="Times New Roman" w:hAnsi="Times New Roman" w:cs="Times New Roman"/>
        </w:rPr>
        <w:instrText xml:space="preserve"> REF _Ref192820315 \h </w:instrText>
      </w:r>
      <w:r>
        <w:rPr>
          <w:rFonts w:ascii="Times New Roman" w:hAnsi="Times New Roman" w:cs="Times New Roman"/>
        </w:rPr>
      </w:r>
      <w:r>
        <w:rPr>
          <w:rFonts w:ascii="Times New Roman" w:hAnsi="Times New Roman" w:cs="Times New Roman"/>
        </w:rPr>
        <w:fldChar w:fldCharType="separate"/>
      </w:r>
      <w:r>
        <w:t>Table 2</w:t>
      </w:r>
      <w:r>
        <w:rPr>
          <w:rFonts w:ascii="Times New Roman" w:hAnsi="Times New Roman" w:cs="Times New Roman"/>
        </w:rPr>
        <w:fldChar w:fldCharType="end"/>
      </w:r>
      <w:r>
        <w:rPr>
          <w:rFonts w:ascii="Times New Roman" w:hAnsi="Times New Roman" w:cs="Times New Roman"/>
        </w:rPr>
        <w:t>. The material strengths for the steel reinforcement in tension and compression are both 250 N/mm</w:t>
      </w:r>
      <w:r>
        <w:rPr>
          <w:rFonts w:ascii="Times New Roman" w:hAnsi="Times New Roman" w:cs="Times New Roman"/>
          <w:vertAlign w:val="superscript"/>
        </w:rPr>
        <w:t>2</w:t>
      </w:r>
      <w:r>
        <w:rPr>
          <w:rFonts w:ascii="Times New Roman" w:hAnsi="Times New Roman" w:cs="Times New Roman"/>
        </w:rPr>
        <w:t xml:space="preserve">. </w:t>
      </w:r>
    </w:p>
    <w:p w14:paraId="64482420" w14:textId="77777777" w:rsidR="009523E5" w:rsidRDefault="003B4279" w:rsidP="009201D3">
      <w:pPr>
        <w:pStyle w:val="Caption"/>
        <w:spacing w:after="0" w:line="240" w:lineRule="auto"/>
        <w:rPr>
          <w:rFonts w:cs="Times New Roman"/>
          <w:b/>
          <w:bCs/>
        </w:rPr>
      </w:pPr>
      <w:bookmarkStart w:id="0" w:name="_Ref192820307"/>
      <w:r>
        <w:t xml:space="preserve">Table </w:t>
      </w:r>
      <w:r>
        <w:fldChar w:fldCharType="begin"/>
      </w:r>
      <w:r>
        <w:instrText xml:space="preserve"> SEQ Table \* ARABIC </w:instrText>
      </w:r>
      <w:r>
        <w:fldChar w:fldCharType="separate"/>
      </w:r>
      <w:r w:rsidR="009523E5">
        <w:t>1</w:t>
      </w:r>
      <w:r>
        <w:fldChar w:fldCharType="end"/>
      </w:r>
      <w:bookmarkEnd w:id="0"/>
      <w:r>
        <w:t xml:space="preserve"> Description of </w:t>
      </w:r>
      <w:r>
        <w:t>control beams</w:t>
      </w:r>
    </w:p>
    <w:tbl>
      <w:tblPr>
        <w:tblW w:w="7320" w:type="dxa"/>
        <w:jc w:val="center"/>
        <w:tblLook w:val="04A0" w:firstRow="1" w:lastRow="0" w:firstColumn="1" w:lastColumn="0" w:noHBand="0" w:noVBand="1"/>
      </w:tblPr>
      <w:tblGrid>
        <w:gridCol w:w="960"/>
        <w:gridCol w:w="960"/>
        <w:gridCol w:w="994"/>
        <w:gridCol w:w="996"/>
        <w:gridCol w:w="883"/>
        <w:gridCol w:w="1357"/>
        <w:gridCol w:w="883"/>
        <w:gridCol w:w="1357"/>
      </w:tblGrid>
      <w:tr w:rsidR="009523E5" w14:paraId="080E19EB" w14:textId="77777777">
        <w:trPr>
          <w:trHeight w:val="585"/>
          <w:jc w:val="center"/>
        </w:trPr>
        <w:tc>
          <w:tcPr>
            <w:tcW w:w="960" w:type="dxa"/>
            <w:vMerge w:val="restart"/>
            <w:tcBorders>
              <w:top w:val="single" w:sz="4" w:space="0" w:color="auto"/>
              <w:left w:val="nil"/>
              <w:bottom w:val="nil"/>
              <w:right w:val="nil"/>
            </w:tcBorders>
            <w:vAlign w:val="center"/>
          </w:tcPr>
          <w:p w14:paraId="3E9ECBD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Control Beam id</w:t>
            </w:r>
          </w:p>
        </w:tc>
        <w:tc>
          <w:tcPr>
            <w:tcW w:w="960" w:type="dxa"/>
            <w:tcBorders>
              <w:top w:val="single" w:sz="4" w:space="0" w:color="auto"/>
              <w:left w:val="nil"/>
              <w:bottom w:val="nil"/>
              <w:right w:val="nil"/>
            </w:tcBorders>
            <w:vAlign w:val="center"/>
          </w:tcPr>
          <w:p w14:paraId="6CFE1C3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Overall depth, h</w:t>
            </w:r>
          </w:p>
        </w:tc>
        <w:tc>
          <w:tcPr>
            <w:tcW w:w="960" w:type="dxa"/>
            <w:tcBorders>
              <w:top w:val="single" w:sz="4" w:space="0" w:color="auto"/>
              <w:left w:val="nil"/>
              <w:bottom w:val="nil"/>
              <w:right w:val="nil"/>
            </w:tcBorders>
            <w:vAlign w:val="center"/>
          </w:tcPr>
          <w:p w14:paraId="6B8D5D8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Effective depth, d</w:t>
            </w:r>
          </w:p>
        </w:tc>
        <w:tc>
          <w:tcPr>
            <w:tcW w:w="760" w:type="dxa"/>
            <w:vMerge w:val="restart"/>
            <w:tcBorders>
              <w:top w:val="single" w:sz="4" w:space="0" w:color="auto"/>
              <w:left w:val="nil"/>
              <w:bottom w:val="nil"/>
              <w:right w:val="nil"/>
            </w:tcBorders>
            <w:vAlign w:val="center"/>
          </w:tcPr>
          <w:p w14:paraId="294994C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Span to effective depth ratio, L/d</w:t>
            </w:r>
          </w:p>
        </w:tc>
        <w:tc>
          <w:tcPr>
            <w:tcW w:w="880" w:type="dxa"/>
            <w:tcBorders>
              <w:top w:val="single" w:sz="4" w:space="0" w:color="auto"/>
              <w:left w:val="nil"/>
              <w:bottom w:val="nil"/>
              <w:right w:val="nil"/>
            </w:tcBorders>
            <w:vAlign w:val="center"/>
          </w:tcPr>
          <w:p w14:paraId="06DC771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Area of tension steel, As</w:t>
            </w:r>
          </w:p>
        </w:tc>
        <w:tc>
          <w:tcPr>
            <w:tcW w:w="880" w:type="dxa"/>
            <w:tcBorders>
              <w:top w:val="single" w:sz="4" w:space="0" w:color="auto"/>
              <w:left w:val="nil"/>
              <w:bottom w:val="nil"/>
              <w:right w:val="nil"/>
            </w:tcBorders>
            <w:vAlign w:val="center"/>
          </w:tcPr>
          <w:p w14:paraId="52D0C7E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Area of compression steel, As'</w:t>
            </w:r>
          </w:p>
        </w:tc>
        <w:tc>
          <w:tcPr>
            <w:tcW w:w="960" w:type="dxa"/>
            <w:tcBorders>
              <w:top w:val="single" w:sz="4" w:space="0" w:color="auto"/>
              <w:left w:val="nil"/>
              <w:bottom w:val="nil"/>
              <w:right w:val="nil"/>
            </w:tcBorders>
            <w:vAlign w:val="center"/>
          </w:tcPr>
          <w:p w14:paraId="2E91C502" w14:textId="77777777" w:rsidR="009523E5" w:rsidRDefault="003B4279" w:rsidP="009201D3">
            <w:pPr>
              <w:spacing w:after="0" w:line="240" w:lineRule="auto"/>
              <w:jc w:val="center"/>
              <w:rPr>
                <w:rFonts w:ascii="Calibri" w:eastAsia="Times New Roman" w:hAnsi="Calibri" w:cs="Calibri"/>
                <w:i/>
                <w:iCs/>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Ratio of tension steel,</w:t>
            </w:r>
            <w:r>
              <w:rPr>
                <w:rFonts w:ascii="Calibri" w:eastAsia="Times New Roman" w:hAnsi="Calibri" w:cs="Calibri"/>
                <w:i/>
                <w:iCs/>
                <w:color w:val="000000"/>
                <w:kern w:val="0"/>
                <w:sz w:val="22"/>
                <w:szCs w:val="22"/>
                <w:lang w:val="en-US" w:eastAsia="en-US"/>
                <w14:ligatures w14:val="none"/>
              </w:rPr>
              <w:t xml:space="preserve"> ρ</w:t>
            </w:r>
          </w:p>
        </w:tc>
        <w:tc>
          <w:tcPr>
            <w:tcW w:w="960" w:type="dxa"/>
            <w:tcBorders>
              <w:top w:val="single" w:sz="4" w:space="0" w:color="auto"/>
              <w:left w:val="nil"/>
              <w:bottom w:val="nil"/>
              <w:right w:val="nil"/>
            </w:tcBorders>
            <w:vAlign w:val="center"/>
          </w:tcPr>
          <w:p w14:paraId="293F9A45" w14:textId="77777777" w:rsidR="009523E5" w:rsidRDefault="003B4279" w:rsidP="009201D3">
            <w:pPr>
              <w:spacing w:after="0" w:line="240" w:lineRule="auto"/>
              <w:jc w:val="center"/>
              <w:rPr>
                <w:rFonts w:ascii="Calibri" w:eastAsia="Times New Roman" w:hAnsi="Calibri" w:cs="Calibri"/>
                <w:i/>
                <w:iCs/>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Ratio of compression steel, </w:t>
            </w:r>
            <w:r>
              <w:rPr>
                <w:rFonts w:ascii="Calibri" w:eastAsia="Times New Roman" w:hAnsi="Calibri" w:cs="Calibri"/>
                <w:i/>
                <w:iCs/>
                <w:color w:val="000000"/>
                <w:kern w:val="0"/>
                <w:sz w:val="22"/>
                <w:szCs w:val="22"/>
                <w:lang w:val="en-US" w:eastAsia="en-US"/>
                <w14:ligatures w14:val="none"/>
              </w:rPr>
              <w:t>ρ'</w:t>
            </w:r>
          </w:p>
        </w:tc>
      </w:tr>
      <w:tr w:rsidR="009523E5" w14:paraId="08AF46E9" w14:textId="77777777">
        <w:trPr>
          <w:trHeight w:val="300"/>
          <w:jc w:val="center"/>
        </w:trPr>
        <w:tc>
          <w:tcPr>
            <w:tcW w:w="960" w:type="dxa"/>
            <w:vMerge/>
            <w:tcBorders>
              <w:top w:val="nil"/>
              <w:left w:val="nil"/>
              <w:bottom w:val="single" w:sz="4" w:space="0" w:color="auto"/>
              <w:right w:val="nil"/>
            </w:tcBorders>
            <w:vAlign w:val="center"/>
          </w:tcPr>
          <w:p w14:paraId="2004FF7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60" w:type="dxa"/>
            <w:tcBorders>
              <w:top w:val="nil"/>
              <w:left w:val="nil"/>
              <w:bottom w:val="single" w:sz="4" w:space="0" w:color="auto"/>
              <w:right w:val="nil"/>
            </w:tcBorders>
            <w:noWrap/>
            <w:vAlign w:val="bottom"/>
          </w:tcPr>
          <w:p w14:paraId="7AC99A2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60" w:type="dxa"/>
            <w:tcBorders>
              <w:top w:val="nil"/>
              <w:left w:val="nil"/>
              <w:bottom w:val="single" w:sz="4" w:space="0" w:color="auto"/>
              <w:right w:val="nil"/>
            </w:tcBorders>
            <w:noWrap/>
            <w:vAlign w:val="bottom"/>
          </w:tcPr>
          <w:p w14:paraId="232B91C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760" w:type="dxa"/>
            <w:vMerge/>
            <w:tcBorders>
              <w:top w:val="nil"/>
              <w:left w:val="nil"/>
              <w:bottom w:val="single" w:sz="4" w:space="0" w:color="auto"/>
              <w:right w:val="nil"/>
            </w:tcBorders>
            <w:vAlign w:val="center"/>
          </w:tcPr>
          <w:p w14:paraId="598531D3"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80" w:type="dxa"/>
            <w:tcBorders>
              <w:top w:val="nil"/>
              <w:left w:val="nil"/>
              <w:bottom w:val="single" w:sz="4" w:space="0" w:color="auto"/>
              <w:right w:val="nil"/>
            </w:tcBorders>
            <w:vAlign w:val="center"/>
          </w:tcPr>
          <w:p w14:paraId="65D549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880" w:type="dxa"/>
            <w:tcBorders>
              <w:top w:val="nil"/>
              <w:left w:val="nil"/>
              <w:bottom w:val="single" w:sz="4" w:space="0" w:color="auto"/>
              <w:right w:val="nil"/>
            </w:tcBorders>
            <w:vAlign w:val="center"/>
          </w:tcPr>
          <w:p w14:paraId="425EDE5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960" w:type="dxa"/>
            <w:tcBorders>
              <w:top w:val="nil"/>
              <w:left w:val="nil"/>
              <w:bottom w:val="single" w:sz="4" w:space="0" w:color="auto"/>
              <w:right w:val="nil"/>
            </w:tcBorders>
            <w:vAlign w:val="center"/>
          </w:tcPr>
          <w:p w14:paraId="4C8593A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w:t>
            </w:r>
          </w:p>
        </w:tc>
        <w:tc>
          <w:tcPr>
            <w:tcW w:w="960" w:type="dxa"/>
            <w:tcBorders>
              <w:top w:val="nil"/>
              <w:left w:val="nil"/>
              <w:bottom w:val="single" w:sz="4" w:space="0" w:color="auto"/>
              <w:right w:val="nil"/>
            </w:tcBorders>
            <w:vAlign w:val="center"/>
          </w:tcPr>
          <w:p w14:paraId="3B7EC09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w:t>
            </w:r>
          </w:p>
        </w:tc>
      </w:tr>
      <w:tr w:rsidR="009523E5" w14:paraId="6EC19689" w14:textId="77777777">
        <w:trPr>
          <w:trHeight w:val="390"/>
          <w:jc w:val="center"/>
        </w:trPr>
        <w:tc>
          <w:tcPr>
            <w:tcW w:w="960" w:type="dxa"/>
            <w:tcBorders>
              <w:top w:val="single" w:sz="4" w:space="0" w:color="auto"/>
              <w:left w:val="nil"/>
              <w:bottom w:val="nil"/>
              <w:right w:val="nil"/>
            </w:tcBorders>
            <w:vAlign w:val="center"/>
          </w:tcPr>
          <w:p w14:paraId="47401B4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A1</w:t>
            </w:r>
          </w:p>
        </w:tc>
        <w:tc>
          <w:tcPr>
            <w:tcW w:w="960" w:type="dxa"/>
            <w:tcBorders>
              <w:top w:val="single" w:sz="4" w:space="0" w:color="auto"/>
              <w:left w:val="nil"/>
              <w:bottom w:val="nil"/>
              <w:right w:val="nil"/>
            </w:tcBorders>
            <w:vAlign w:val="center"/>
          </w:tcPr>
          <w:p w14:paraId="016278D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225</w:t>
            </w:r>
          </w:p>
        </w:tc>
        <w:tc>
          <w:tcPr>
            <w:tcW w:w="960" w:type="dxa"/>
            <w:tcBorders>
              <w:top w:val="single" w:sz="4" w:space="0" w:color="auto"/>
              <w:left w:val="nil"/>
              <w:bottom w:val="nil"/>
              <w:right w:val="nil"/>
            </w:tcBorders>
            <w:vAlign w:val="center"/>
          </w:tcPr>
          <w:p w14:paraId="39C1822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204.71</w:t>
            </w:r>
          </w:p>
        </w:tc>
        <w:tc>
          <w:tcPr>
            <w:tcW w:w="760" w:type="dxa"/>
            <w:tcBorders>
              <w:top w:val="single" w:sz="4" w:space="0" w:color="auto"/>
              <w:left w:val="nil"/>
              <w:bottom w:val="nil"/>
              <w:right w:val="nil"/>
            </w:tcBorders>
            <w:vAlign w:val="center"/>
          </w:tcPr>
          <w:p w14:paraId="4FA9F92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8.79</w:t>
            </w:r>
          </w:p>
        </w:tc>
        <w:tc>
          <w:tcPr>
            <w:tcW w:w="880" w:type="dxa"/>
            <w:tcBorders>
              <w:top w:val="single" w:sz="4" w:space="0" w:color="auto"/>
              <w:left w:val="nil"/>
              <w:bottom w:val="nil"/>
              <w:right w:val="nil"/>
            </w:tcBorders>
            <w:vAlign w:val="center"/>
          </w:tcPr>
          <w:p w14:paraId="46C8A90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single" w:sz="4" w:space="0" w:color="auto"/>
              <w:left w:val="nil"/>
              <w:bottom w:val="nil"/>
              <w:right w:val="nil"/>
            </w:tcBorders>
            <w:vAlign w:val="center"/>
          </w:tcPr>
          <w:p w14:paraId="1B08890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single" w:sz="4" w:space="0" w:color="auto"/>
              <w:left w:val="nil"/>
              <w:bottom w:val="nil"/>
              <w:right w:val="nil"/>
            </w:tcBorders>
            <w:vAlign w:val="center"/>
          </w:tcPr>
          <w:p w14:paraId="317D4FB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0.69</w:t>
            </w:r>
          </w:p>
        </w:tc>
        <w:tc>
          <w:tcPr>
            <w:tcW w:w="960" w:type="dxa"/>
            <w:tcBorders>
              <w:top w:val="single" w:sz="4" w:space="0" w:color="auto"/>
              <w:left w:val="nil"/>
              <w:bottom w:val="nil"/>
              <w:right w:val="nil"/>
            </w:tcBorders>
            <w:vAlign w:val="center"/>
          </w:tcPr>
          <w:p w14:paraId="2F691E7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0.37</w:t>
            </w:r>
          </w:p>
        </w:tc>
      </w:tr>
      <w:tr w:rsidR="009523E5" w14:paraId="5D86DB91" w14:textId="77777777">
        <w:trPr>
          <w:trHeight w:val="300"/>
          <w:jc w:val="center"/>
        </w:trPr>
        <w:tc>
          <w:tcPr>
            <w:tcW w:w="960" w:type="dxa"/>
            <w:tcBorders>
              <w:top w:val="nil"/>
              <w:left w:val="nil"/>
              <w:bottom w:val="nil"/>
              <w:right w:val="nil"/>
            </w:tcBorders>
            <w:noWrap/>
            <w:vAlign w:val="bottom"/>
          </w:tcPr>
          <w:p w14:paraId="13B8FC8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B1</w:t>
            </w:r>
          </w:p>
        </w:tc>
        <w:tc>
          <w:tcPr>
            <w:tcW w:w="960" w:type="dxa"/>
            <w:tcBorders>
              <w:top w:val="nil"/>
              <w:left w:val="nil"/>
              <w:bottom w:val="nil"/>
              <w:right w:val="nil"/>
            </w:tcBorders>
            <w:noWrap/>
            <w:vAlign w:val="bottom"/>
          </w:tcPr>
          <w:p w14:paraId="3ABCC38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60" w:type="dxa"/>
            <w:tcBorders>
              <w:top w:val="nil"/>
              <w:left w:val="nil"/>
              <w:bottom w:val="nil"/>
              <w:right w:val="nil"/>
            </w:tcBorders>
            <w:noWrap/>
            <w:vAlign w:val="bottom"/>
          </w:tcPr>
          <w:p w14:paraId="76A4D40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179.71</w:t>
            </w:r>
          </w:p>
        </w:tc>
        <w:tc>
          <w:tcPr>
            <w:tcW w:w="760" w:type="dxa"/>
            <w:tcBorders>
              <w:top w:val="nil"/>
              <w:left w:val="nil"/>
              <w:bottom w:val="nil"/>
              <w:right w:val="nil"/>
            </w:tcBorders>
            <w:vAlign w:val="center"/>
          </w:tcPr>
          <w:p w14:paraId="2C66D1C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10.02</w:t>
            </w:r>
          </w:p>
        </w:tc>
        <w:tc>
          <w:tcPr>
            <w:tcW w:w="880" w:type="dxa"/>
            <w:tcBorders>
              <w:top w:val="nil"/>
              <w:left w:val="nil"/>
              <w:bottom w:val="nil"/>
              <w:right w:val="nil"/>
            </w:tcBorders>
            <w:vAlign w:val="center"/>
          </w:tcPr>
          <w:p w14:paraId="7F8BADC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nil"/>
              <w:left w:val="nil"/>
              <w:bottom w:val="nil"/>
              <w:right w:val="nil"/>
            </w:tcBorders>
            <w:vAlign w:val="center"/>
          </w:tcPr>
          <w:p w14:paraId="2C96218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nil"/>
              <w:right w:val="nil"/>
            </w:tcBorders>
            <w:vAlign w:val="center"/>
          </w:tcPr>
          <w:p w14:paraId="1692070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0.78</w:t>
            </w:r>
          </w:p>
        </w:tc>
        <w:tc>
          <w:tcPr>
            <w:tcW w:w="960" w:type="dxa"/>
            <w:tcBorders>
              <w:top w:val="nil"/>
              <w:left w:val="nil"/>
              <w:bottom w:val="nil"/>
              <w:right w:val="nil"/>
            </w:tcBorders>
            <w:vAlign w:val="center"/>
          </w:tcPr>
          <w:p w14:paraId="7B25359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0.42</w:t>
            </w:r>
          </w:p>
        </w:tc>
      </w:tr>
      <w:tr w:rsidR="009523E5" w14:paraId="44EB061E" w14:textId="77777777">
        <w:trPr>
          <w:trHeight w:val="300"/>
          <w:jc w:val="center"/>
        </w:trPr>
        <w:tc>
          <w:tcPr>
            <w:tcW w:w="960" w:type="dxa"/>
            <w:tcBorders>
              <w:top w:val="nil"/>
              <w:left w:val="nil"/>
              <w:bottom w:val="nil"/>
              <w:right w:val="nil"/>
            </w:tcBorders>
            <w:noWrap/>
            <w:vAlign w:val="bottom"/>
          </w:tcPr>
          <w:p w14:paraId="19A23C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C2</w:t>
            </w:r>
          </w:p>
        </w:tc>
        <w:tc>
          <w:tcPr>
            <w:tcW w:w="960" w:type="dxa"/>
            <w:tcBorders>
              <w:top w:val="nil"/>
              <w:left w:val="nil"/>
              <w:bottom w:val="nil"/>
              <w:right w:val="nil"/>
            </w:tcBorders>
            <w:noWrap/>
            <w:vAlign w:val="bottom"/>
          </w:tcPr>
          <w:p w14:paraId="7FF9656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w:t>
            </w:r>
          </w:p>
        </w:tc>
        <w:tc>
          <w:tcPr>
            <w:tcW w:w="960" w:type="dxa"/>
            <w:tcBorders>
              <w:top w:val="nil"/>
              <w:left w:val="nil"/>
              <w:bottom w:val="nil"/>
              <w:right w:val="nil"/>
            </w:tcBorders>
            <w:noWrap/>
            <w:vAlign w:val="bottom"/>
          </w:tcPr>
          <w:p w14:paraId="1DB50B0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154.71</w:t>
            </w:r>
          </w:p>
        </w:tc>
        <w:tc>
          <w:tcPr>
            <w:tcW w:w="760" w:type="dxa"/>
            <w:tcBorders>
              <w:top w:val="nil"/>
              <w:left w:val="nil"/>
              <w:bottom w:val="nil"/>
              <w:right w:val="nil"/>
            </w:tcBorders>
            <w:vAlign w:val="center"/>
          </w:tcPr>
          <w:p w14:paraId="4573B0F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11.63</w:t>
            </w:r>
          </w:p>
        </w:tc>
        <w:tc>
          <w:tcPr>
            <w:tcW w:w="880" w:type="dxa"/>
            <w:tcBorders>
              <w:top w:val="nil"/>
              <w:left w:val="nil"/>
              <w:bottom w:val="nil"/>
              <w:right w:val="nil"/>
            </w:tcBorders>
            <w:vAlign w:val="center"/>
          </w:tcPr>
          <w:p w14:paraId="025946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nil"/>
              <w:left w:val="nil"/>
              <w:bottom w:val="nil"/>
              <w:right w:val="nil"/>
            </w:tcBorders>
            <w:vAlign w:val="center"/>
          </w:tcPr>
          <w:p w14:paraId="35F57AD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nil"/>
              <w:right w:val="nil"/>
            </w:tcBorders>
            <w:vAlign w:val="center"/>
          </w:tcPr>
          <w:p w14:paraId="2576C3E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0.91</w:t>
            </w:r>
          </w:p>
        </w:tc>
        <w:tc>
          <w:tcPr>
            <w:tcW w:w="960" w:type="dxa"/>
            <w:tcBorders>
              <w:top w:val="nil"/>
              <w:left w:val="nil"/>
              <w:bottom w:val="nil"/>
              <w:right w:val="nil"/>
            </w:tcBorders>
            <w:vAlign w:val="center"/>
          </w:tcPr>
          <w:p w14:paraId="58475DE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0.49</w:t>
            </w:r>
          </w:p>
        </w:tc>
      </w:tr>
      <w:tr w:rsidR="009523E5" w14:paraId="6A4EFFA2" w14:textId="77777777">
        <w:trPr>
          <w:trHeight w:val="300"/>
          <w:jc w:val="center"/>
        </w:trPr>
        <w:tc>
          <w:tcPr>
            <w:tcW w:w="960" w:type="dxa"/>
            <w:tcBorders>
              <w:top w:val="nil"/>
              <w:left w:val="nil"/>
              <w:bottom w:val="nil"/>
              <w:right w:val="nil"/>
            </w:tcBorders>
            <w:noWrap/>
            <w:vAlign w:val="bottom"/>
          </w:tcPr>
          <w:p w14:paraId="07568F8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D1</w:t>
            </w:r>
          </w:p>
        </w:tc>
        <w:tc>
          <w:tcPr>
            <w:tcW w:w="960" w:type="dxa"/>
            <w:tcBorders>
              <w:top w:val="nil"/>
              <w:left w:val="nil"/>
              <w:bottom w:val="nil"/>
              <w:right w:val="nil"/>
            </w:tcBorders>
            <w:noWrap/>
            <w:vAlign w:val="bottom"/>
          </w:tcPr>
          <w:p w14:paraId="1ECC233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60" w:type="dxa"/>
            <w:tcBorders>
              <w:top w:val="nil"/>
              <w:left w:val="nil"/>
              <w:bottom w:val="nil"/>
              <w:right w:val="nil"/>
            </w:tcBorders>
            <w:noWrap/>
            <w:vAlign w:val="bottom"/>
          </w:tcPr>
          <w:p w14:paraId="186F457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179.71</w:t>
            </w:r>
          </w:p>
        </w:tc>
        <w:tc>
          <w:tcPr>
            <w:tcW w:w="760" w:type="dxa"/>
            <w:tcBorders>
              <w:top w:val="nil"/>
              <w:left w:val="nil"/>
              <w:bottom w:val="nil"/>
              <w:right w:val="nil"/>
            </w:tcBorders>
            <w:vAlign w:val="center"/>
          </w:tcPr>
          <w:p w14:paraId="7FC92D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10.02</w:t>
            </w:r>
          </w:p>
        </w:tc>
        <w:tc>
          <w:tcPr>
            <w:tcW w:w="880" w:type="dxa"/>
            <w:tcBorders>
              <w:top w:val="nil"/>
              <w:left w:val="nil"/>
              <w:bottom w:val="nil"/>
              <w:right w:val="nil"/>
            </w:tcBorders>
            <w:vAlign w:val="center"/>
          </w:tcPr>
          <w:p w14:paraId="63D0C82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263.74</w:t>
            </w:r>
          </w:p>
        </w:tc>
        <w:tc>
          <w:tcPr>
            <w:tcW w:w="880" w:type="dxa"/>
            <w:tcBorders>
              <w:top w:val="nil"/>
              <w:left w:val="nil"/>
              <w:bottom w:val="nil"/>
              <w:right w:val="nil"/>
            </w:tcBorders>
            <w:vAlign w:val="center"/>
          </w:tcPr>
          <w:p w14:paraId="5B9C120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nil"/>
              <w:right w:val="nil"/>
            </w:tcBorders>
            <w:vAlign w:val="center"/>
          </w:tcPr>
          <w:p w14:paraId="0D6C92C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1.17</w:t>
            </w:r>
          </w:p>
        </w:tc>
        <w:tc>
          <w:tcPr>
            <w:tcW w:w="960" w:type="dxa"/>
            <w:tcBorders>
              <w:top w:val="nil"/>
              <w:left w:val="nil"/>
              <w:bottom w:val="nil"/>
              <w:right w:val="nil"/>
            </w:tcBorders>
            <w:vAlign w:val="center"/>
          </w:tcPr>
          <w:p w14:paraId="194795E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0.42</w:t>
            </w:r>
          </w:p>
        </w:tc>
      </w:tr>
      <w:tr w:rsidR="009523E5" w14:paraId="55A54A7A" w14:textId="77777777">
        <w:trPr>
          <w:trHeight w:val="300"/>
          <w:jc w:val="center"/>
        </w:trPr>
        <w:tc>
          <w:tcPr>
            <w:tcW w:w="960" w:type="dxa"/>
            <w:tcBorders>
              <w:top w:val="nil"/>
              <w:left w:val="nil"/>
              <w:bottom w:val="single" w:sz="4" w:space="0" w:color="auto"/>
              <w:right w:val="nil"/>
            </w:tcBorders>
            <w:noWrap/>
            <w:vAlign w:val="bottom"/>
          </w:tcPr>
          <w:p w14:paraId="73B1CA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E2</w:t>
            </w:r>
          </w:p>
        </w:tc>
        <w:tc>
          <w:tcPr>
            <w:tcW w:w="960" w:type="dxa"/>
            <w:tcBorders>
              <w:top w:val="nil"/>
              <w:left w:val="nil"/>
              <w:bottom w:val="single" w:sz="4" w:space="0" w:color="auto"/>
              <w:right w:val="nil"/>
            </w:tcBorders>
            <w:noWrap/>
            <w:vAlign w:val="bottom"/>
          </w:tcPr>
          <w:p w14:paraId="06B5A31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60" w:type="dxa"/>
            <w:tcBorders>
              <w:top w:val="nil"/>
              <w:left w:val="nil"/>
              <w:bottom w:val="single" w:sz="4" w:space="0" w:color="auto"/>
              <w:right w:val="nil"/>
            </w:tcBorders>
            <w:noWrap/>
            <w:vAlign w:val="bottom"/>
          </w:tcPr>
          <w:p w14:paraId="013DEDF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179.71</w:t>
            </w:r>
          </w:p>
        </w:tc>
        <w:tc>
          <w:tcPr>
            <w:tcW w:w="760" w:type="dxa"/>
            <w:tcBorders>
              <w:top w:val="nil"/>
              <w:left w:val="nil"/>
              <w:bottom w:val="single" w:sz="4" w:space="0" w:color="auto"/>
              <w:right w:val="nil"/>
            </w:tcBorders>
            <w:vAlign w:val="center"/>
          </w:tcPr>
          <w:p w14:paraId="3FDDE87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10.02</w:t>
            </w:r>
          </w:p>
        </w:tc>
        <w:tc>
          <w:tcPr>
            <w:tcW w:w="880" w:type="dxa"/>
            <w:tcBorders>
              <w:top w:val="nil"/>
              <w:left w:val="nil"/>
              <w:bottom w:val="single" w:sz="4" w:space="0" w:color="auto"/>
              <w:right w:val="nil"/>
            </w:tcBorders>
            <w:vAlign w:val="center"/>
          </w:tcPr>
          <w:p w14:paraId="3F2B82E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nil"/>
              <w:left w:val="nil"/>
              <w:bottom w:val="single" w:sz="4" w:space="0" w:color="auto"/>
              <w:right w:val="nil"/>
            </w:tcBorders>
            <w:vAlign w:val="center"/>
          </w:tcPr>
          <w:p w14:paraId="034AD32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single" w:sz="4" w:space="0" w:color="auto"/>
              <w:right w:val="nil"/>
            </w:tcBorders>
            <w:vAlign w:val="center"/>
          </w:tcPr>
          <w:p w14:paraId="68927DB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0.78</w:t>
            </w:r>
          </w:p>
        </w:tc>
        <w:tc>
          <w:tcPr>
            <w:tcW w:w="960" w:type="dxa"/>
            <w:tcBorders>
              <w:top w:val="nil"/>
              <w:left w:val="nil"/>
              <w:bottom w:val="single" w:sz="4" w:space="0" w:color="auto"/>
              <w:right w:val="nil"/>
            </w:tcBorders>
            <w:vAlign w:val="center"/>
          </w:tcPr>
          <w:p w14:paraId="56ECCDF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0.42</w:t>
            </w:r>
          </w:p>
        </w:tc>
      </w:tr>
    </w:tbl>
    <w:p w14:paraId="4126FF70" w14:textId="152B40E2" w:rsidR="009523E5" w:rsidRDefault="003B4279" w:rsidP="009201D3">
      <w:pPr>
        <w:pStyle w:val="Caption"/>
        <w:spacing w:after="0" w:line="240" w:lineRule="auto"/>
        <w:rPr>
          <w:rFonts w:cs="Times New Roman"/>
          <w:b/>
          <w:bCs/>
        </w:rPr>
      </w:pPr>
      <w:bookmarkStart w:id="1" w:name="_Ref192820315"/>
      <w:r>
        <w:t xml:space="preserve">Table </w:t>
      </w:r>
      <w:r>
        <w:fldChar w:fldCharType="begin"/>
      </w:r>
      <w:r>
        <w:instrText xml:space="preserve"> SEQ Table \* ARABIC </w:instrText>
      </w:r>
      <w:r>
        <w:fldChar w:fldCharType="separate"/>
      </w:r>
      <w:r w:rsidR="009523E5">
        <w:t>2</w:t>
      </w:r>
      <w:r>
        <w:fldChar w:fldCharType="end"/>
      </w:r>
      <w:bookmarkEnd w:id="1"/>
      <w:r>
        <w:t xml:space="preserve"> Description of hybrid retrofitted beams</w:t>
      </w:r>
    </w:p>
    <w:tbl>
      <w:tblPr>
        <w:tblW w:w="9640" w:type="dxa"/>
        <w:tblLook w:val="04A0" w:firstRow="1" w:lastRow="0" w:firstColumn="1" w:lastColumn="0" w:noHBand="0" w:noVBand="1"/>
      </w:tblPr>
      <w:tblGrid>
        <w:gridCol w:w="1202"/>
        <w:gridCol w:w="954"/>
        <w:gridCol w:w="976"/>
        <w:gridCol w:w="757"/>
        <w:gridCol w:w="875"/>
        <w:gridCol w:w="896"/>
        <w:gridCol w:w="956"/>
        <w:gridCol w:w="956"/>
        <w:gridCol w:w="957"/>
        <w:gridCol w:w="1154"/>
      </w:tblGrid>
      <w:tr w:rsidR="009523E5" w14:paraId="3F26254A" w14:textId="77777777">
        <w:trPr>
          <w:trHeight w:val="300"/>
        </w:trPr>
        <w:tc>
          <w:tcPr>
            <w:tcW w:w="1159" w:type="dxa"/>
            <w:vMerge w:val="restart"/>
            <w:tcBorders>
              <w:top w:val="single" w:sz="4" w:space="0" w:color="auto"/>
              <w:left w:val="nil"/>
              <w:bottom w:val="single" w:sz="4" w:space="0" w:color="000000"/>
              <w:right w:val="nil"/>
            </w:tcBorders>
            <w:vAlign w:val="center"/>
          </w:tcPr>
          <w:p w14:paraId="102252B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Retrofitted Beam id</w:t>
            </w:r>
          </w:p>
        </w:tc>
        <w:tc>
          <w:tcPr>
            <w:tcW w:w="954" w:type="dxa"/>
            <w:tcBorders>
              <w:top w:val="single" w:sz="4" w:space="0" w:color="auto"/>
              <w:left w:val="nil"/>
              <w:bottom w:val="nil"/>
              <w:right w:val="nil"/>
            </w:tcBorders>
            <w:vAlign w:val="center"/>
          </w:tcPr>
          <w:p w14:paraId="0FCC06F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H</w:t>
            </w:r>
          </w:p>
        </w:tc>
        <w:tc>
          <w:tcPr>
            <w:tcW w:w="976" w:type="dxa"/>
            <w:tcBorders>
              <w:top w:val="single" w:sz="4" w:space="0" w:color="auto"/>
              <w:left w:val="nil"/>
              <w:bottom w:val="nil"/>
              <w:right w:val="nil"/>
            </w:tcBorders>
            <w:noWrap/>
            <w:vAlign w:val="center"/>
          </w:tcPr>
          <w:p w14:paraId="21339B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w:t>
            </w:r>
          </w:p>
        </w:tc>
        <w:tc>
          <w:tcPr>
            <w:tcW w:w="757" w:type="dxa"/>
            <w:tcBorders>
              <w:top w:val="single" w:sz="4" w:space="0" w:color="auto"/>
              <w:left w:val="nil"/>
              <w:bottom w:val="nil"/>
              <w:right w:val="nil"/>
            </w:tcBorders>
            <w:vAlign w:val="center"/>
          </w:tcPr>
          <w:p w14:paraId="53E632E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tcfrp</w:t>
            </w:r>
          </w:p>
        </w:tc>
        <w:tc>
          <w:tcPr>
            <w:tcW w:w="875" w:type="dxa"/>
            <w:tcBorders>
              <w:top w:val="single" w:sz="4" w:space="0" w:color="auto"/>
              <w:left w:val="nil"/>
              <w:bottom w:val="nil"/>
              <w:right w:val="nil"/>
            </w:tcBorders>
            <w:vAlign w:val="center"/>
          </w:tcPr>
          <w:p w14:paraId="413C73DB" w14:textId="77777777" w:rsidR="009523E5" w:rsidRDefault="003B4279" w:rsidP="009201D3">
            <w:pPr>
              <w:spacing w:after="0" w:line="240" w:lineRule="auto"/>
              <w:jc w:val="center"/>
              <w:rPr>
                <w:rFonts w:ascii="Calibri" w:eastAsia="Times New Roman" w:hAnsi="Calibri" w:cs="Calibri"/>
                <w:i/>
                <w:iCs/>
                <w:color w:val="000000"/>
                <w:kern w:val="0"/>
                <w:sz w:val="22"/>
                <w:szCs w:val="22"/>
                <w:lang w:val="en-US" w:eastAsia="en-US"/>
                <w14:ligatures w14:val="none"/>
              </w:rPr>
            </w:pPr>
            <w:r>
              <w:rPr>
                <w:rFonts w:ascii="Calibri" w:eastAsia="Times New Roman" w:hAnsi="Calibri" w:cs="Calibri"/>
                <w:i/>
                <w:iCs/>
                <w:color w:val="000000"/>
                <w:kern w:val="0"/>
                <w:sz w:val="22"/>
                <w:szCs w:val="22"/>
                <w:lang w:val="en-US" w:eastAsia="en-US"/>
                <w14:ligatures w14:val="none"/>
              </w:rPr>
              <w:t>tcc</w:t>
            </w:r>
          </w:p>
        </w:tc>
        <w:tc>
          <w:tcPr>
            <w:tcW w:w="896" w:type="dxa"/>
            <w:tcBorders>
              <w:top w:val="single" w:sz="4" w:space="0" w:color="auto"/>
              <w:left w:val="nil"/>
              <w:bottom w:val="nil"/>
              <w:right w:val="nil"/>
            </w:tcBorders>
            <w:noWrap/>
            <w:vAlign w:val="center"/>
          </w:tcPr>
          <w:p w14:paraId="4735768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bcfrp</w:t>
            </w:r>
          </w:p>
        </w:tc>
        <w:tc>
          <w:tcPr>
            <w:tcW w:w="956" w:type="dxa"/>
            <w:tcBorders>
              <w:top w:val="single" w:sz="4" w:space="0" w:color="auto"/>
              <w:left w:val="nil"/>
              <w:bottom w:val="nil"/>
              <w:right w:val="nil"/>
            </w:tcBorders>
            <w:vAlign w:val="center"/>
          </w:tcPr>
          <w:p w14:paraId="69109D9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φgfrp</w:t>
            </w:r>
          </w:p>
        </w:tc>
        <w:tc>
          <w:tcPr>
            <w:tcW w:w="956" w:type="dxa"/>
            <w:tcBorders>
              <w:top w:val="single" w:sz="4" w:space="0" w:color="auto"/>
              <w:left w:val="nil"/>
              <w:bottom w:val="nil"/>
              <w:right w:val="nil"/>
            </w:tcBorders>
            <w:vAlign w:val="center"/>
          </w:tcPr>
          <w:p w14:paraId="3D7B6CF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Acfrp</w:t>
            </w:r>
          </w:p>
        </w:tc>
        <w:tc>
          <w:tcPr>
            <w:tcW w:w="957" w:type="dxa"/>
            <w:tcBorders>
              <w:top w:val="single" w:sz="4" w:space="0" w:color="auto"/>
              <w:left w:val="nil"/>
              <w:bottom w:val="nil"/>
              <w:right w:val="nil"/>
            </w:tcBorders>
            <w:vAlign w:val="center"/>
          </w:tcPr>
          <w:p w14:paraId="430F62B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Agfrp</w:t>
            </w:r>
          </w:p>
        </w:tc>
        <w:tc>
          <w:tcPr>
            <w:tcW w:w="1154" w:type="dxa"/>
            <w:tcBorders>
              <w:top w:val="single" w:sz="4" w:space="0" w:color="auto"/>
              <w:left w:val="nil"/>
              <w:bottom w:val="nil"/>
              <w:right w:val="nil"/>
            </w:tcBorders>
            <w:vAlign w:val="center"/>
          </w:tcPr>
          <w:p w14:paraId="404C034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MAS plates</w:t>
            </w:r>
          </w:p>
        </w:tc>
      </w:tr>
      <w:tr w:rsidR="009523E5" w14:paraId="58951932" w14:textId="77777777">
        <w:trPr>
          <w:trHeight w:val="300"/>
        </w:trPr>
        <w:tc>
          <w:tcPr>
            <w:tcW w:w="1159" w:type="dxa"/>
            <w:vMerge/>
            <w:tcBorders>
              <w:top w:val="single" w:sz="4" w:space="0" w:color="auto"/>
              <w:left w:val="nil"/>
              <w:bottom w:val="single" w:sz="4" w:space="0" w:color="000000"/>
              <w:right w:val="nil"/>
            </w:tcBorders>
            <w:vAlign w:val="center"/>
          </w:tcPr>
          <w:p w14:paraId="35715CB4"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54" w:type="dxa"/>
            <w:tcBorders>
              <w:top w:val="nil"/>
              <w:left w:val="nil"/>
              <w:bottom w:val="single" w:sz="4" w:space="0" w:color="auto"/>
              <w:right w:val="nil"/>
            </w:tcBorders>
            <w:noWrap/>
            <w:vAlign w:val="center"/>
          </w:tcPr>
          <w:p w14:paraId="58FE30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76" w:type="dxa"/>
            <w:tcBorders>
              <w:top w:val="nil"/>
              <w:left w:val="nil"/>
              <w:bottom w:val="single" w:sz="4" w:space="0" w:color="auto"/>
              <w:right w:val="nil"/>
            </w:tcBorders>
            <w:noWrap/>
            <w:vAlign w:val="center"/>
          </w:tcPr>
          <w:p w14:paraId="2A99257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757" w:type="dxa"/>
            <w:tcBorders>
              <w:top w:val="nil"/>
              <w:left w:val="nil"/>
              <w:bottom w:val="single" w:sz="4" w:space="0" w:color="auto"/>
              <w:right w:val="nil"/>
            </w:tcBorders>
            <w:noWrap/>
            <w:vAlign w:val="center"/>
          </w:tcPr>
          <w:p w14:paraId="503EAE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875" w:type="dxa"/>
            <w:tcBorders>
              <w:top w:val="nil"/>
              <w:left w:val="nil"/>
              <w:bottom w:val="single" w:sz="4" w:space="0" w:color="auto"/>
              <w:right w:val="nil"/>
            </w:tcBorders>
            <w:vAlign w:val="center"/>
          </w:tcPr>
          <w:p w14:paraId="0FBE28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896" w:type="dxa"/>
            <w:tcBorders>
              <w:top w:val="nil"/>
              <w:left w:val="nil"/>
              <w:bottom w:val="single" w:sz="4" w:space="0" w:color="auto"/>
              <w:right w:val="nil"/>
            </w:tcBorders>
            <w:noWrap/>
            <w:vAlign w:val="center"/>
          </w:tcPr>
          <w:p w14:paraId="0D11C68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56" w:type="dxa"/>
            <w:tcBorders>
              <w:top w:val="nil"/>
              <w:left w:val="nil"/>
              <w:bottom w:val="single" w:sz="4" w:space="0" w:color="auto"/>
              <w:right w:val="nil"/>
            </w:tcBorders>
            <w:vAlign w:val="center"/>
          </w:tcPr>
          <w:p w14:paraId="7DFA98F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56" w:type="dxa"/>
            <w:tcBorders>
              <w:top w:val="nil"/>
              <w:left w:val="nil"/>
              <w:bottom w:val="single" w:sz="4" w:space="0" w:color="auto"/>
              <w:right w:val="nil"/>
            </w:tcBorders>
            <w:vAlign w:val="center"/>
          </w:tcPr>
          <w:p w14:paraId="11CB06B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957" w:type="dxa"/>
            <w:tcBorders>
              <w:top w:val="nil"/>
              <w:left w:val="nil"/>
              <w:bottom w:val="single" w:sz="4" w:space="0" w:color="auto"/>
              <w:right w:val="nil"/>
            </w:tcBorders>
            <w:vAlign w:val="center"/>
          </w:tcPr>
          <w:p w14:paraId="34CE2D6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1154" w:type="dxa"/>
            <w:tcBorders>
              <w:top w:val="nil"/>
              <w:left w:val="nil"/>
              <w:bottom w:val="single" w:sz="4" w:space="0" w:color="auto"/>
              <w:right w:val="nil"/>
            </w:tcBorders>
            <w:vAlign w:val="center"/>
          </w:tcPr>
          <w:p w14:paraId="64B0400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no.</w:t>
            </w:r>
          </w:p>
        </w:tc>
      </w:tr>
      <w:tr w:rsidR="009523E5" w14:paraId="7A3C3D90" w14:textId="77777777">
        <w:trPr>
          <w:trHeight w:val="300"/>
        </w:trPr>
        <w:tc>
          <w:tcPr>
            <w:tcW w:w="1159" w:type="dxa"/>
            <w:tcBorders>
              <w:top w:val="nil"/>
              <w:left w:val="nil"/>
              <w:bottom w:val="nil"/>
              <w:right w:val="nil"/>
            </w:tcBorders>
            <w:noWrap/>
            <w:vAlign w:val="bottom"/>
          </w:tcPr>
          <w:p w14:paraId="6AF4660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AR02</w:t>
            </w:r>
          </w:p>
        </w:tc>
        <w:tc>
          <w:tcPr>
            <w:tcW w:w="954" w:type="dxa"/>
            <w:tcBorders>
              <w:top w:val="nil"/>
              <w:left w:val="nil"/>
              <w:bottom w:val="nil"/>
              <w:right w:val="nil"/>
            </w:tcBorders>
            <w:noWrap/>
            <w:vAlign w:val="bottom"/>
          </w:tcPr>
          <w:p w14:paraId="3CFB3D1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225</w:t>
            </w:r>
          </w:p>
        </w:tc>
        <w:tc>
          <w:tcPr>
            <w:tcW w:w="976" w:type="dxa"/>
            <w:tcBorders>
              <w:top w:val="nil"/>
              <w:left w:val="nil"/>
              <w:bottom w:val="nil"/>
              <w:right w:val="nil"/>
            </w:tcBorders>
            <w:noWrap/>
            <w:vAlign w:val="bottom"/>
          </w:tcPr>
          <w:p w14:paraId="0D6267E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1338E1A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0834E01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6F859CD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73DE865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3AD4DE9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136D4EF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637AD4A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37192804" w14:textId="77777777">
        <w:trPr>
          <w:trHeight w:val="300"/>
        </w:trPr>
        <w:tc>
          <w:tcPr>
            <w:tcW w:w="1159" w:type="dxa"/>
            <w:tcBorders>
              <w:top w:val="nil"/>
              <w:left w:val="nil"/>
              <w:bottom w:val="nil"/>
              <w:right w:val="nil"/>
            </w:tcBorders>
            <w:noWrap/>
            <w:vAlign w:val="bottom"/>
          </w:tcPr>
          <w:p w14:paraId="7412C10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BR02</w:t>
            </w:r>
          </w:p>
        </w:tc>
        <w:tc>
          <w:tcPr>
            <w:tcW w:w="954" w:type="dxa"/>
            <w:tcBorders>
              <w:top w:val="nil"/>
              <w:left w:val="nil"/>
              <w:bottom w:val="nil"/>
              <w:right w:val="nil"/>
            </w:tcBorders>
            <w:noWrap/>
            <w:vAlign w:val="bottom"/>
          </w:tcPr>
          <w:p w14:paraId="0E845CB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76" w:type="dxa"/>
            <w:tcBorders>
              <w:top w:val="nil"/>
              <w:left w:val="nil"/>
              <w:bottom w:val="nil"/>
              <w:right w:val="nil"/>
            </w:tcBorders>
            <w:noWrap/>
            <w:vAlign w:val="bottom"/>
          </w:tcPr>
          <w:p w14:paraId="06E4FE3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19F87C5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6CC7B81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44EE9FC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11736E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1465F7D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26E19EF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389B40F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762B3306" w14:textId="77777777">
        <w:trPr>
          <w:trHeight w:val="300"/>
        </w:trPr>
        <w:tc>
          <w:tcPr>
            <w:tcW w:w="1159" w:type="dxa"/>
            <w:tcBorders>
              <w:top w:val="nil"/>
              <w:left w:val="nil"/>
              <w:bottom w:val="nil"/>
              <w:right w:val="nil"/>
            </w:tcBorders>
            <w:noWrap/>
            <w:vAlign w:val="bottom"/>
          </w:tcPr>
          <w:p w14:paraId="5B20EFD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CR01</w:t>
            </w:r>
          </w:p>
        </w:tc>
        <w:tc>
          <w:tcPr>
            <w:tcW w:w="954" w:type="dxa"/>
            <w:tcBorders>
              <w:top w:val="nil"/>
              <w:left w:val="nil"/>
              <w:bottom w:val="nil"/>
              <w:right w:val="nil"/>
            </w:tcBorders>
            <w:noWrap/>
            <w:vAlign w:val="bottom"/>
          </w:tcPr>
          <w:p w14:paraId="199D71B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w:t>
            </w:r>
          </w:p>
        </w:tc>
        <w:tc>
          <w:tcPr>
            <w:tcW w:w="976" w:type="dxa"/>
            <w:tcBorders>
              <w:top w:val="nil"/>
              <w:left w:val="nil"/>
              <w:bottom w:val="nil"/>
              <w:right w:val="nil"/>
            </w:tcBorders>
            <w:noWrap/>
            <w:vAlign w:val="bottom"/>
          </w:tcPr>
          <w:p w14:paraId="481FF07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0C59CD0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6C1BEC7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064BB0C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20C8AB0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4D55763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62A4296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4ED5ABC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17877937" w14:textId="77777777">
        <w:trPr>
          <w:trHeight w:val="300"/>
        </w:trPr>
        <w:tc>
          <w:tcPr>
            <w:tcW w:w="1159" w:type="dxa"/>
            <w:tcBorders>
              <w:top w:val="nil"/>
              <w:left w:val="nil"/>
              <w:bottom w:val="nil"/>
              <w:right w:val="nil"/>
            </w:tcBorders>
            <w:noWrap/>
            <w:vAlign w:val="bottom"/>
          </w:tcPr>
          <w:p w14:paraId="72516F8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DR02</w:t>
            </w:r>
          </w:p>
        </w:tc>
        <w:tc>
          <w:tcPr>
            <w:tcW w:w="954" w:type="dxa"/>
            <w:tcBorders>
              <w:top w:val="nil"/>
              <w:left w:val="nil"/>
              <w:bottom w:val="nil"/>
              <w:right w:val="nil"/>
            </w:tcBorders>
            <w:noWrap/>
            <w:vAlign w:val="bottom"/>
          </w:tcPr>
          <w:p w14:paraId="3931768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76" w:type="dxa"/>
            <w:tcBorders>
              <w:top w:val="nil"/>
              <w:left w:val="nil"/>
              <w:bottom w:val="nil"/>
              <w:right w:val="nil"/>
            </w:tcBorders>
            <w:noWrap/>
            <w:vAlign w:val="bottom"/>
          </w:tcPr>
          <w:p w14:paraId="399CC7B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4EA6E44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738FD94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7090153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628AF2A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078C3E3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2A3AE73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30C52E2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0278AB61" w14:textId="77777777">
        <w:trPr>
          <w:trHeight w:val="300"/>
        </w:trPr>
        <w:tc>
          <w:tcPr>
            <w:tcW w:w="1159" w:type="dxa"/>
            <w:tcBorders>
              <w:top w:val="nil"/>
              <w:left w:val="nil"/>
              <w:bottom w:val="single" w:sz="4" w:space="0" w:color="auto"/>
              <w:right w:val="nil"/>
            </w:tcBorders>
            <w:noWrap/>
            <w:vAlign w:val="bottom"/>
          </w:tcPr>
          <w:p w14:paraId="4341E28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ER03</w:t>
            </w:r>
          </w:p>
        </w:tc>
        <w:tc>
          <w:tcPr>
            <w:tcW w:w="954" w:type="dxa"/>
            <w:tcBorders>
              <w:top w:val="nil"/>
              <w:left w:val="nil"/>
              <w:bottom w:val="single" w:sz="4" w:space="0" w:color="auto"/>
              <w:right w:val="nil"/>
            </w:tcBorders>
            <w:noWrap/>
            <w:vAlign w:val="bottom"/>
          </w:tcPr>
          <w:p w14:paraId="519D6EE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76" w:type="dxa"/>
            <w:tcBorders>
              <w:top w:val="nil"/>
              <w:left w:val="nil"/>
              <w:bottom w:val="single" w:sz="4" w:space="0" w:color="auto"/>
              <w:right w:val="nil"/>
            </w:tcBorders>
            <w:noWrap/>
            <w:vAlign w:val="bottom"/>
          </w:tcPr>
          <w:p w14:paraId="1FB45D6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single" w:sz="4" w:space="0" w:color="auto"/>
              <w:right w:val="nil"/>
            </w:tcBorders>
            <w:noWrap/>
            <w:vAlign w:val="bottom"/>
          </w:tcPr>
          <w:p w14:paraId="6570D95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single" w:sz="4" w:space="0" w:color="auto"/>
              <w:right w:val="nil"/>
            </w:tcBorders>
            <w:noWrap/>
            <w:vAlign w:val="bottom"/>
          </w:tcPr>
          <w:p w14:paraId="354EC80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single" w:sz="4" w:space="0" w:color="auto"/>
              <w:right w:val="nil"/>
            </w:tcBorders>
            <w:noWrap/>
            <w:vAlign w:val="bottom"/>
          </w:tcPr>
          <w:p w14:paraId="2A5CA43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single" w:sz="4" w:space="0" w:color="auto"/>
              <w:right w:val="nil"/>
            </w:tcBorders>
            <w:noWrap/>
            <w:vAlign w:val="bottom"/>
          </w:tcPr>
          <w:p w14:paraId="3F1391A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single" w:sz="4" w:space="0" w:color="auto"/>
              <w:right w:val="nil"/>
            </w:tcBorders>
            <w:noWrap/>
            <w:vAlign w:val="bottom"/>
          </w:tcPr>
          <w:p w14:paraId="6CC7100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single" w:sz="4" w:space="0" w:color="auto"/>
              <w:right w:val="nil"/>
            </w:tcBorders>
            <w:noWrap/>
            <w:vAlign w:val="bottom"/>
          </w:tcPr>
          <w:p w14:paraId="2BBDBE8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single" w:sz="4" w:space="0" w:color="auto"/>
              <w:right w:val="nil"/>
            </w:tcBorders>
            <w:noWrap/>
            <w:vAlign w:val="bottom"/>
          </w:tcPr>
          <w:p w14:paraId="2942CB2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bl>
    <w:p w14:paraId="6A5366A7" w14:textId="77777777" w:rsidR="009523E5" w:rsidRDefault="009523E5" w:rsidP="009201D3">
      <w:pPr>
        <w:spacing w:after="0" w:line="240" w:lineRule="auto"/>
        <w:rPr>
          <w:rFonts w:ascii="Times New Roman" w:hAnsi="Times New Roman" w:cs="Times New Roman"/>
        </w:rPr>
      </w:pPr>
    </w:p>
    <w:p w14:paraId="1C95FA47" w14:textId="6BCEB693" w:rsidR="009523E5" w:rsidRPr="00C234B6" w:rsidRDefault="003B4279" w:rsidP="009201D3">
      <w:pPr>
        <w:spacing w:after="0" w:line="240" w:lineRule="auto"/>
        <w:rPr>
          <w:rFonts w:ascii="Times New Roman" w:hAnsi="Times New Roman" w:cs="Times New Roman"/>
        </w:rPr>
      </w:pPr>
      <w:r w:rsidRPr="00C234B6">
        <w:rPr>
          <w:rFonts w:ascii="Times New Roman" w:hAnsi="Times New Roman" w:cs="Times New Roman"/>
        </w:rPr>
        <w:lastRenderedPageBreak/>
        <w:t xml:space="preserve">The longitudinal section of the unretrofitted beam is given in </w:t>
      </w:r>
      <w:r w:rsidRPr="00C234B6">
        <w:rPr>
          <w:rFonts w:ascii="Times New Roman" w:hAnsi="Times New Roman" w:cs="Times New Roman"/>
        </w:rPr>
        <w:fldChar w:fldCharType="begin"/>
      </w:r>
      <w:r w:rsidRPr="00C234B6">
        <w:rPr>
          <w:rFonts w:ascii="Times New Roman" w:hAnsi="Times New Roman" w:cs="Times New Roman"/>
        </w:rPr>
        <w:instrText xml:space="preserve"> REF _Ref192820336 \h </w:instrText>
      </w:r>
      <w:r w:rsidR="00C234B6">
        <w:rPr>
          <w:rFonts w:ascii="Times New Roman" w:hAnsi="Times New Roman" w:cs="Times New Roman"/>
        </w:rPr>
        <w:instrText xml:space="preserve"> \* MERGEFORMAT </w:instrText>
      </w:r>
      <w:r w:rsidRPr="00C234B6">
        <w:rPr>
          <w:rFonts w:ascii="Times New Roman" w:hAnsi="Times New Roman" w:cs="Times New Roman"/>
        </w:rPr>
      </w:r>
      <w:r w:rsidRPr="00C234B6">
        <w:rPr>
          <w:rFonts w:ascii="Times New Roman" w:hAnsi="Times New Roman" w:cs="Times New Roman"/>
        </w:rPr>
        <w:fldChar w:fldCharType="separate"/>
      </w:r>
      <w:r w:rsidRPr="00C234B6">
        <w:rPr>
          <w:rFonts w:ascii="Times New Roman" w:hAnsi="Times New Roman" w:cs="Times New Roman"/>
        </w:rPr>
        <w:t>Fig. 1</w:t>
      </w:r>
      <w:r w:rsidRPr="00C234B6">
        <w:rPr>
          <w:rFonts w:ascii="Times New Roman" w:hAnsi="Times New Roman" w:cs="Times New Roman"/>
        </w:rPr>
        <w:fldChar w:fldCharType="end"/>
      </w:r>
      <w:r w:rsidR="00F6260D">
        <w:rPr>
          <w:rFonts w:ascii="Times New Roman" w:hAnsi="Times New Roman" w:cs="Times New Roman"/>
        </w:rPr>
        <w:t xml:space="preserve"> a)</w:t>
      </w:r>
      <w:r w:rsidRPr="00C234B6">
        <w:rPr>
          <w:rFonts w:ascii="Times New Roman" w:hAnsi="Times New Roman" w:cs="Times New Roman"/>
        </w:rPr>
        <w:t xml:space="preserve"> where </w:t>
      </w:r>
      <w:r w:rsidRPr="00C234B6">
        <w:rPr>
          <w:rFonts w:ascii="Times New Roman" w:hAnsi="Times New Roman" w:cs="Times New Roman"/>
          <w:lang w:val="en-US"/>
        </w:rPr>
        <w:t xml:space="preserve">top and bottom reinforcements consisted of </w:t>
      </w:r>
      <w:r w:rsidRPr="00C234B6">
        <w:rPr>
          <w:rFonts w:ascii="Times New Roman" w:hAnsi="Times New Roman" w:cs="Times New Roman"/>
        </w:rPr>
        <w:t>nominal 10</w:t>
      </w:r>
      <w:r w:rsidRPr="00C234B6">
        <w:rPr>
          <w:rFonts w:ascii="Times New Roman" w:hAnsi="Times New Roman" w:cs="Times New Roman"/>
          <w:lang w:val="en-US"/>
        </w:rPr>
        <w:t xml:space="preserve"> mm and</w:t>
      </w:r>
      <w:r w:rsidRPr="00C234B6">
        <w:rPr>
          <w:rFonts w:ascii="Times New Roman" w:hAnsi="Times New Roman" w:cs="Times New Roman"/>
        </w:rPr>
        <w:t xml:space="preserve"> 12 </w:t>
      </w:r>
      <w:r w:rsidRPr="00C234B6">
        <w:rPr>
          <w:rFonts w:ascii="Times New Roman" w:hAnsi="Times New Roman" w:cs="Times New Roman"/>
          <w:lang w:val="en-US"/>
        </w:rPr>
        <w:t>mm bars respectively</w:t>
      </w:r>
      <w:r w:rsidRPr="00C234B6">
        <w:rPr>
          <w:rFonts w:ascii="Times New Roman" w:hAnsi="Times New Roman" w:cs="Times New Roman"/>
        </w:rPr>
        <w:t xml:space="preserve">, and </w:t>
      </w:r>
      <w:r w:rsidRPr="00C234B6">
        <w:rPr>
          <w:rFonts w:ascii="Times New Roman" w:hAnsi="Times New Roman" w:cs="Times New Roman"/>
          <w:lang w:val="en-US"/>
        </w:rPr>
        <w:t xml:space="preserve">shear </w:t>
      </w:r>
      <w:r w:rsidRPr="00C234B6">
        <w:rPr>
          <w:rFonts w:ascii="Times New Roman" w:hAnsi="Times New Roman" w:cs="Times New Roman"/>
        </w:rPr>
        <w:t>stirrups</w:t>
      </w:r>
      <w:r w:rsidRPr="00C234B6">
        <w:rPr>
          <w:rFonts w:ascii="Times New Roman" w:hAnsi="Times New Roman" w:cs="Times New Roman"/>
          <w:lang w:val="en-US"/>
        </w:rPr>
        <w:t xml:space="preserve"> were from </w:t>
      </w:r>
      <w:r w:rsidRPr="00C234B6">
        <w:rPr>
          <w:rFonts w:ascii="Times New Roman" w:hAnsi="Times New Roman" w:cs="Times New Roman"/>
        </w:rPr>
        <w:t xml:space="preserve">8 </w:t>
      </w:r>
      <w:r w:rsidRPr="00C234B6">
        <w:rPr>
          <w:rFonts w:ascii="Times New Roman" w:hAnsi="Times New Roman" w:cs="Times New Roman"/>
          <w:lang w:val="en-US"/>
        </w:rPr>
        <w:t>mm bars.</w:t>
      </w:r>
      <w:r w:rsidRPr="00C234B6">
        <w:rPr>
          <w:rFonts w:ascii="Times New Roman" w:hAnsi="Times New Roman" w:cs="Times New Roman"/>
        </w:rPr>
        <w:t xml:space="preserve"> The </w:t>
      </w:r>
      <w:r w:rsidRPr="00C234B6">
        <w:rPr>
          <w:rFonts w:ascii="Times New Roman" w:hAnsi="Times New Roman" w:cs="Times New Roman"/>
          <w:lang w:val="en-US"/>
        </w:rPr>
        <w:t xml:space="preserve">stirrups </w:t>
      </w:r>
      <w:r w:rsidRPr="00C234B6">
        <w:rPr>
          <w:rFonts w:ascii="Times New Roman" w:hAnsi="Times New Roman" w:cs="Times New Roman"/>
        </w:rPr>
        <w:t xml:space="preserve">spacing </w:t>
      </w:r>
      <w:r w:rsidRPr="00C234B6">
        <w:rPr>
          <w:rFonts w:ascii="Times New Roman" w:hAnsi="Times New Roman" w:cs="Times New Roman"/>
          <w:lang w:val="en-US"/>
        </w:rPr>
        <w:t>was</w:t>
      </w:r>
      <w:r w:rsidRPr="00C234B6">
        <w:rPr>
          <w:rFonts w:ascii="Times New Roman" w:hAnsi="Times New Roman" w:cs="Times New Roman"/>
        </w:rPr>
        <w:t xml:space="preserve"> 200 mm and the cover to reinforcement was 15 mm. The </w:t>
      </w:r>
      <w:r w:rsidRPr="00C234B6">
        <w:rPr>
          <w:rFonts w:ascii="Times New Roman" w:hAnsi="Times New Roman" w:cs="Times New Roman"/>
          <w:lang w:val="en-US"/>
        </w:rPr>
        <w:t>effective span of beam was 2000 mm</w:t>
      </w:r>
      <w:r w:rsidRPr="00C234B6">
        <w:rPr>
          <w:rFonts w:ascii="Times New Roman" w:hAnsi="Times New Roman" w:cs="Times New Roman"/>
        </w:rPr>
        <w:t xml:space="preserve">. The transverse cross-sections used for the unretrofitted beams are shown in  </w:t>
      </w:r>
      <w:r w:rsidR="00F6260D">
        <w:rPr>
          <w:rFonts w:ascii="Times New Roman" w:hAnsi="Times New Roman" w:cs="Times New Roman"/>
        </w:rPr>
        <w:fldChar w:fldCharType="begin"/>
      </w:r>
      <w:r w:rsidR="00F6260D">
        <w:rPr>
          <w:rFonts w:ascii="Times New Roman" w:hAnsi="Times New Roman" w:cs="Times New Roman"/>
        </w:rPr>
        <w:instrText xml:space="preserve"> REF _Ref206249461 \h </w:instrText>
      </w:r>
      <w:r w:rsidR="00F6260D">
        <w:rPr>
          <w:rFonts w:ascii="Times New Roman" w:hAnsi="Times New Roman" w:cs="Times New Roman"/>
        </w:rPr>
      </w:r>
      <w:r w:rsidR="00F6260D">
        <w:rPr>
          <w:rFonts w:ascii="Times New Roman" w:hAnsi="Times New Roman" w:cs="Times New Roman"/>
        </w:rPr>
        <w:fldChar w:fldCharType="separate"/>
      </w:r>
      <w:r w:rsidR="00F6260D">
        <w:t xml:space="preserve">Fig. </w:t>
      </w:r>
      <w:r w:rsidR="00F6260D">
        <w:rPr>
          <w:noProof/>
        </w:rPr>
        <w:t>1</w:t>
      </w:r>
      <w:r w:rsidR="00F6260D">
        <w:rPr>
          <w:rFonts w:ascii="Times New Roman" w:hAnsi="Times New Roman" w:cs="Times New Roman"/>
        </w:rPr>
        <w:fldChar w:fldCharType="end"/>
      </w:r>
      <w:r w:rsidR="00F6260D">
        <w:rPr>
          <w:rFonts w:ascii="Times New Roman" w:hAnsi="Times New Roman" w:cs="Times New Roman"/>
        </w:rPr>
        <w:t xml:space="preserve"> </w:t>
      </w:r>
      <w:r w:rsidRPr="00C234B6">
        <w:rPr>
          <w:rFonts w:ascii="Times New Roman" w:hAnsi="Times New Roman" w:cs="Times New Roman"/>
        </w:rPr>
        <w:t xml:space="preserve">where </w:t>
      </w:r>
      <w:r w:rsidR="00F6260D">
        <w:rPr>
          <w:rFonts w:ascii="Times New Roman" w:hAnsi="Times New Roman" w:cs="Times New Roman"/>
        </w:rPr>
        <w:fldChar w:fldCharType="begin"/>
      </w:r>
      <w:r w:rsidR="00F6260D">
        <w:rPr>
          <w:rFonts w:ascii="Times New Roman" w:hAnsi="Times New Roman" w:cs="Times New Roman"/>
        </w:rPr>
        <w:instrText xml:space="preserve"> REF _Ref206249461 \h </w:instrText>
      </w:r>
      <w:r w:rsidR="00F6260D">
        <w:rPr>
          <w:rFonts w:ascii="Times New Roman" w:hAnsi="Times New Roman" w:cs="Times New Roman"/>
        </w:rPr>
      </w:r>
      <w:r w:rsidR="00F6260D">
        <w:rPr>
          <w:rFonts w:ascii="Times New Roman" w:hAnsi="Times New Roman" w:cs="Times New Roman"/>
        </w:rPr>
        <w:fldChar w:fldCharType="separate"/>
      </w:r>
      <w:r w:rsidR="00F6260D">
        <w:t xml:space="preserve">Fig. </w:t>
      </w:r>
      <w:r w:rsidR="00F6260D">
        <w:rPr>
          <w:noProof/>
        </w:rPr>
        <w:t>1</w:t>
      </w:r>
      <w:r w:rsidR="00F6260D">
        <w:rPr>
          <w:rFonts w:ascii="Times New Roman" w:hAnsi="Times New Roman" w:cs="Times New Roman"/>
        </w:rPr>
        <w:fldChar w:fldCharType="end"/>
      </w:r>
      <w:r w:rsidR="00F6260D">
        <w:rPr>
          <w:rFonts w:ascii="Times New Roman" w:hAnsi="Times New Roman" w:cs="Times New Roman"/>
        </w:rPr>
        <w:t xml:space="preserve"> </w:t>
      </w:r>
      <w:r w:rsidR="00B93B2B">
        <w:rPr>
          <w:rFonts w:ascii="Times New Roman" w:hAnsi="Times New Roman" w:cs="Times New Roman"/>
        </w:rPr>
        <w:t>b</w:t>
      </w:r>
      <w:r w:rsidR="00F6260D">
        <w:rPr>
          <w:rFonts w:ascii="Times New Roman" w:hAnsi="Times New Roman" w:cs="Times New Roman"/>
        </w:rPr>
        <w:t>)</w:t>
      </w:r>
      <w:r w:rsidRPr="00C234B6">
        <w:rPr>
          <w:rFonts w:ascii="Times New Roman" w:hAnsi="Times New Roman" w:cs="Times New Roman"/>
        </w:rPr>
        <w:t xml:space="preserve"> is for the beams, A1, B1, C2, and E2, whilst the </w:t>
      </w:r>
      <w:r w:rsidR="00F6260D">
        <w:rPr>
          <w:rFonts w:ascii="Times New Roman" w:hAnsi="Times New Roman" w:cs="Times New Roman"/>
        </w:rPr>
        <w:fldChar w:fldCharType="begin"/>
      </w:r>
      <w:r w:rsidR="00F6260D">
        <w:rPr>
          <w:rFonts w:ascii="Times New Roman" w:hAnsi="Times New Roman" w:cs="Times New Roman"/>
        </w:rPr>
        <w:instrText xml:space="preserve"> REF _Ref206249461 \h </w:instrText>
      </w:r>
      <w:r w:rsidR="00F6260D">
        <w:rPr>
          <w:rFonts w:ascii="Times New Roman" w:hAnsi="Times New Roman" w:cs="Times New Roman"/>
        </w:rPr>
      </w:r>
      <w:r w:rsidR="00F6260D">
        <w:rPr>
          <w:rFonts w:ascii="Times New Roman" w:hAnsi="Times New Roman" w:cs="Times New Roman"/>
        </w:rPr>
        <w:fldChar w:fldCharType="separate"/>
      </w:r>
      <w:r w:rsidR="00F6260D">
        <w:t xml:space="preserve">Fig. </w:t>
      </w:r>
      <w:r w:rsidR="00F6260D">
        <w:rPr>
          <w:noProof/>
        </w:rPr>
        <w:t>1</w:t>
      </w:r>
      <w:r w:rsidR="00F6260D">
        <w:rPr>
          <w:rFonts w:ascii="Times New Roman" w:hAnsi="Times New Roman" w:cs="Times New Roman"/>
        </w:rPr>
        <w:fldChar w:fldCharType="end"/>
      </w:r>
      <w:r w:rsidR="00F6260D">
        <w:rPr>
          <w:rFonts w:ascii="Times New Roman" w:hAnsi="Times New Roman" w:cs="Times New Roman"/>
        </w:rPr>
        <w:t xml:space="preserve"> </w:t>
      </w:r>
      <w:r w:rsidR="00B93B2B">
        <w:rPr>
          <w:rFonts w:ascii="Times New Roman" w:hAnsi="Times New Roman" w:cs="Times New Roman"/>
        </w:rPr>
        <w:t>c</w:t>
      </w:r>
      <w:r w:rsidR="00F6260D">
        <w:rPr>
          <w:rFonts w:ascii="Times New Roman" w:hAnsi="Times New Roman" w:cs="Times New Roman"/>
        </w:rPr>
        <w:t>)</w:t>
      </w:r>
      <w:r w:rsidRPr="00C234B6">
        <w:rPr>
          <w:rFonts w:ascii="Times New Roman" w:hAnsi="Times New Roman" w:cs="Times New Roman"/>
        </w:rPr>
        <w:t xml:space="preserve"> is for the beam D1. </w:t>
      </w:r>
    </w:p>
    <w:p w14:paraId="1A423414" w14:textId="77777777" w:rsidR="009523E5" w:rsidRDefault="003B4279" w:rsidP="009201D3">
      <w:pPr>
        <w:spacing w:after="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3638C436" wp14:editId="48901E39">
            <wp:extent cx="4324350" cy="1688626"/>
            <wp:effectExtent l="0" t="0" r="0" b="6985"/>
            <wp:docPr id="1777309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9119"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54254" cy="1700303"/>
                    </a:xfrm>
                    <a:prstGeom prst="rect">
                      <a:avLst/>
                    </a:prstGeom>
                    <a:noFill/>
                    <a:ln>
                      <a:noFill/>
                    </a:ln>
                  </pic:spPr>
                </pic:pic>
              </a:graphicData>
            </a:graphic>
          </wp:inline>
        </w:drawing>
      </w:r>
    </w:p>
    <w:p w14:paraId="16F61A92" w14:textId="3EB26175" w:rsidR="00F6260D" w:rsidRPr="00F6260D" w:rsidRDefault="00F6260D" w:rsidP="009201D3">
      <w:pPr>
        <w:spacing w:after="0" w:line="240" w:lineRule="auto"/>
        <w:jc w:val="center"/>
        <w:rPr>
          <w:rFonts w:ascii="Times New Roman" w:hAnsi="Times New Roman" w:cs="Times New Roman"/>
        </w:rPr>
      </w:pPr>
      <w:r w:rsidRPr="00F6260D">
        <w:rPr>
          <w:rFonts w:ascii="Times New Roman" w:hAnsi="Times New Roman" w:cs="Times New Roman"/>
        </w:rPr>
        <w:t>a)</w:t>
      </w:r>
      <w:r>
        <w:rPr>
          <w:rFonts w:ascii="Times New Roman" w:hAnsi="Times New Roman" w:cs="Times New Roman"/>
        </w:rPr>
        <w:t xml:space="preserve"> Longitudinal section of beam</w:t>
      </w:r>
    </w:p>
    <w:p w14:paraId="11541D97" w14:textId="14F2AEE7" w:rsidR="00F6260D" w:rsidRDefault="00F6260D" w:rsidP="009201D3">
      <w:pPr>
        <w:spacing w:after="0" w:line="240" w:lineRule="auto"/>
        <w:jc w:val="center"/>
        <w:rPr>
          <w:rFonts w:ascii="Times New Roman" w:hAnsi="Times New Roman" w:cs="Times New Roman"/>
          <w:b/>
          <w:bCs/>
        </w:rPr>
      </w:pPr>
      <w:r>
        <w:rPr>
          <w:rFonts w:ascii="Times New Roman" w:hAnsi="Times New Roman" w:cs="Times New Roman"/>
          <w:b/>
          <w:bCs/>
        </w:rPr>
        <w:t xml:space="preserve">          </w:t>
      </w:r>
      <w:r>
        <w:rPr>
          <w:noProof/>
        </w:rPr>
        <w:drawing>
          <wp:inline distT="0" distB="0" distL="0" distR="0" wp14:anchorId="55BFD02C" wp14:editId="04C16D9B">
            <wp:extent cx="2619375" cy="1571625"/>
            <wp:effectExtent l="0" t="0" r="9525" b="9525"/>
            <wp:docPr id="61002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23936"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19375" cy="1571625"/>
                    </a:xfrm>
                    <a:prstGeom prst="rect">
                      <a:avLst/>
                    </a:prstGeom>
                    <a:noFill/>
                    <a:ln>
                      <a:noFill/>
                    </a:ln>
                  </pic:spPr>
                </pic:pic>
              </a:graphicData>
            </a:graphic>
          </wp:inline>
        </w:drawing>
      </w:r>
    </w:p>
    <w:p w14:paraId="08BE45C3" w14:textId="5E9E766B" w:rsidR="00F6260D" w:rsidRDefault="001227FD" w:rsidP="009201D3">
      <w:pPr>
        <w:pStyle w:val="Caption"/>
        <w:spacing w:after="0" w:line="240" w:lineRule="auto"/>
      </w:pPr>
      <w:bookmarkStart w:id="2" w:name="_Ref192820336"/>
      <w:r>
        <w:t xml:space="preserve">     </w:t>
      </w:r>
      <w:r w:rsidR="00F6260D">
        <w:t>b</w:t>
      </w:r>
      <w:r w:rsidR="00F6260D" w:rsidRPr="00AB1B4B">
        <w:t>) 2 bottom rebars</w:t>
      </w:r>
      <w:r w:rsidR="00F6260D" w:rsidRPr="00AB1B4B">
        <w:rPr>
          <w:lang w:val="en-US"/>
        </w:rPr>
        <w:t xml:space="preserve"> (beams A</w:t>
      </w:r>
      <w:r w:rsidR="00F6260D">
        <w:rPr>
          <w:lang w:val="en-US"/>
        </w:rPr>
        <w:t>1</w:t>
      </w:r>
      <w:r w:rsidR="00F6260D" w:rsidRPr="00AB1B4B">
        <w:rPr>
          <w:lang w:val="en-US"/>
        </w:rPr>
        <w:t>, B1, C2, E2)</w:t>
      </w:r>
      <w:r w:rsidR="00F6260D" w:rsidRPr="00AB1B4B">
        <w:t xml:space="preserve">     </w:t>
      </w:r>
      <w:r w:rsidR="00F6260D">
        <w:t>c</w:t>
      </w:r>
      <w:r w:rsidR="00F6260D" w:rsidRPr="00AB1B4B">
        <w:t xml:space="preserve">) 3 bottom rebars </w:t>
      </w:r>
      <w:r w:rsidR="00F6260D" w:rsidRPr="00AB1B4B">
        <w:rPr>
          <w:lang w:val="en-US"/>
        </w:rPr>
        <w:t>(beam D1)</w:t>
      </w:r>
    </w:p>
    <w:p w14:paraId="1A9CC24F" w14:textId="436DA8E6" w:rsidR="009523E5" w:rsidRPr="00F6260D" w:rsidRDefault="003B4279" w:rsidP="009201D3">
      <w:pPr>
        <w:pStyle w:val="Caption"/>
        <w:spacing w:after="0" w:line="240" w:lineRule="auto"/>
        <w:rPr>
          <w:rFonts w:cs="Times New Roman"/>
          <w:b/>
          <w:bCs/>
        </w:rPr>
      </w:pPr>
      <w:bookmarkStart w:id="3" w:name="_Ref206249461"/>
      <w:r>
        <w:t xml:space="preserve">Fig. </w:t>
      </w:r>
      <w:r>
        <w:fldChar w:fldCharType="begin"/>
      </w:r>
      <w:r>
        <w:instrText xml:space="preserve"> SEQ Fig. \* ARABIC </w:instrText>
      </w:r>
      <w:r>
        <w:fldChar w:fldCharType="separate"/>
      </w:r>
      <w:r w:rsidR="00547973">
        <w:rPr>
          <w:noProof/>
        </w:rPr>
        <w:t>1</w:t>
      </w:r>
      <w:r>
        <w:rPr>
          <w:noProof/>
        </w:rPr>
        <w:fldChar w:fldCharType="end"/>
      </w:r>
      <w:bookmarkEnd w:id="2"/>
      <w:bookmarkEnd w:id="3"/>
      <w:r>
        <w:t xml:space="preserve">  </w:t>
      </w:r>
      <w:r w:rsidR="00AB1B4B">
        <w:rPr>
          <w:lang w:val="en-US"/>
        </w:rPr>
        <w:t>Longitudinal</w:t>
      </w:r>
      <w:r>
        <w:t xml:space="preserve"> </w:t>
      </w:r>
      <w:r w:rsidR="00F6260D">
        <w:t>and cross-sectional</w:t>
      </w:r>
      <w:r>
        <w:rPr>
          <w:lang w:val="en-US"/>
        </w:rPr>
        <w:t xml:space="preserve"> details</w:t>
      </w:r>
      <w:r>
        <w:t xml:space="preserve"> of unretrofitted reinforced concrete beam</w:t>
      </w:r>
    </w:p>
    <w:p w14:paraId="0AD7120A" w14:textId="77777777" w:rsidR="009523E5" w:rsidRDefault="009523E5" w:rsidP="009201D3">
      <w:pPr>
        <w:spacing w:after="0" w:line="240" w:lineRule="auto"/>
        <w:rPr>
          <w:rFonts w:ascii="Times New Roman" w:hAnsi="Times New Roman" w:cs="Times New Roman"/>
        </w:rPr>
      </w:pPr>
    </w:p>
    <w:p w14:paraId="77DBCC17" w14:textId="1615F889" w:rsidR="009523E5" w:rsidRPr="00C234B6" w:rsidRDefault="003B4279" w:rsidP="009201D3">
      <w:pPr>
        <w:spacing w:after="0" w:line="240" w:lineRule="auto"/>
        <w:ind w:right="11"/>
        <w:rPr>
          <w:rFonts w:ascii="Times New Roman" w:hAnsi="Times New Roman" w:cs="Times New Roman"/>
        </w:rPr>
      </w:pPr>
      <w:r w:rsidRPr="00C234B6">
        <w:rPr>
          <w:rFonts w:ascii="Times New Roman" w:hAnsi="Times New Roman" w:cs="Times New Roman"/>
          <w:lang w:val="en-US"/>
        </w:rPr>
        <w:t>Five</w:t>
      </w:r>
      <w:r w:rsidRPr="00C234B6">
        <w:rPr>
          <w:rFonts w:ascii="Times New Roman" w:hAnsi="Times New Roman" w:cs="Times New Roman"/>
        </w:rPr>
        <w:t xml:space="preserve"> beams </w:t>
      </w:r>
      <w:r w:rsidRPr="00C234B6">
        <w:rPr>
          <w:rFonts w:ascii="Times New Roman" w:hAnsi="Times New Roman" w:cs="Times New Roman"/>
          <w:lang w:val="en-US"/>
        </w:rPr>
        <w:t>we</w:t>
      </w:r>
      <w:r w:rsidRPr="00C234B6">
        <w:rPr>
          <w:rFonts w:ascii="Times New Roman" w:hAnsi="Times New Roman" w:cs="Times New Roman"/>
        </w:rPr>
        <w:t xml:space="preserve">re prepared for the retrofitted layer to be applied on the day of testing of the unretrofitted beams. CFRP laminates of 0.35mm </w:t>
      </w:r>
      <w:r w:rsidRPr="00C234B6">
        <w:rPr>
          <w:rFonts w:ascii="Times New Roman" w:hAnsi="Times New Roman" w:cs="Times New Roman"/>
          <w:lang w:val="en-US"/>
        </w:rPr>
        <w:t>thickness</w:t>
      </w:r>
      <w:r w:rsidRPr="00C234B6">
        <w:rPr>
          <w:rFonts w:ascii="Times New Roman" w:hAnsi="Times New Roman" w:cs="Times New Roman"/>
        </w:rPr>
        <w:t xml:space="preserve"> were</w:t>
      </w:r>
      <w:r w:rsidRPr="00C234B6">
        <w:rPr>
          <w:rFonts w:ascii="Times New Roman" w:hAnsi="Times New Roman" w:cs="Times New Roman"/>
          <w:lang w:val="en-US"/>
        </w:rPr>
        <w:t xml:space="preserve"> cut to a width of 75mm.</w:t>
      </w:r>
      <w:r w:rsidRPr="00C234B6">
        <w:rPr>
          <w:rFonts w:ascii="Times New Roman" w:hAnsi="Times New Roman" w:cs="Times New Roman"/>
        </w:rPr>
        <w:t xml:space="preserve"> </w:t>
      </w:r>
      <w:r w:rsidRPr="00C234B6">
        <w:rPr>
          <w:rFonts w:ascii="Times New Roman" w:hAnsi="Times New Roman" w:cs="Times New Roman"/>
          <w:lang w:val="en-US"/>
        </w:rPr>
        <w:t>One</w:t>
      </w:r>
      <w:r w:rsidRPr="00C234B6">
        <w:rPr>
          <w:rFonts w:ascii="Times New Roman" w:hAnsi="Times New Roman" w:cs="Times New Roman"/>
        </w:rPr>
        <w:t xml:space="preserve"> layer or ply of laminate was applied for each of the 5 beams that were retrofitted.</w:t>
      </w:r>
    </w:p>
    <w:p w14:paraId="463192FA" w14:textId="77777777" w:rsidR="009523E5" w:rsidRDefault="009523E5" w:rsidP="009201D3">
      <w:pPr>
        <w:spacing w:after="0" w:line="240" w:lineRule="auto"/>
        <w:rPr>
          <w:rFonts w:ascii="Times New Roman" w:hAnsi="Times New Roman" w:cs="Times New Roman"/>
        </w:rPr>
      </w:pPr>
    </w:p>
    <w:p w14:paraId="1A52DCBB" w14:textId="20A0BFAA" w:rsidR="003D6B73" w:rsidRDefault="003D6B73" w:rsidP="009201D3">
      <w:pPr>
        <w:spacing w:after="0" w:line="240" w:lineRule="auto"/>
        <w:rPr>
          <w:rFonts w:ascii="Times New Roman" w:hAnsi="Times New Roman" w:cs="Times New Roman"/>
          <w:b/>
          <w:bCs/>
        </w:rPr>
      </w:pPr>
      <w:r>
        <w:rPr>
          <w:rFonts w:ascii="Times New Roman" w:hAnsi="Times New Roman" w:cs="Times New Roman"/>
          <w:b/>
          <w:bCs/>
        </w:rPr>
        <w:t>2.2 Testing of beams</w:t>
      </w:r>
    </w:p>
    <w:p w14:paraId="77EAA688" w14:textId="45F94924" w:rsidR="003D6B73" w:rsidRPr="00022125" w:rsidRDefault="003D6B73" w:rsidP="009201D3">
      <w:pPr>
        <w:spacing w:after="0" w:line="240" w:lineRule="auto"/>
        <w:ind w:right="11"/>
        <w:rPr>
          <w:rFonts w:ascii="Times New Roman" w:hAnsi="Times New Roman" w:cs="Times New Roman"/>
          <w:lang w:val="en-US"/>
        </w:rPr>
      </w:pPr>
      <w:r w:rsidRPr="00022125">
        <w:rPr>
          <w:rFonts w:ascii="Times New Roman" w:hAnsi="Times New Roman" w:cs="Times New Roman"/>
        </w:rPr>
        <w:t xml:space="preserve">The loading scheme configuration is illustrated in </w:t>
      </w:r>
      <w:r w:rsidR="002C4814">
        <w:rPr>
          <w:rFonts w:ascii="Times New Roman" w:hAnsi="Times New Roman" w:cs="Times New Roman"/>
        </w:rPr>
        <w:fldChar w:fldCharType="begin"/>
      </w:r>
      <w:r w:rsidR="002C4814">
        <w:rPr>
          <w:rFonts w:ascii="Times New Roman" w:hAnsi="Times New Roman" w:cs="Times New Roman"/>
        </w:rPr>
        <w:instrText xml:space="preserve"> REF _Ref192818652 \h </w:instrText>
      </w:r>
      <w:r w:rsidR="002C4814">
        <w:rPr>
          <w:rFonts w:ascii="Times New Roman" w:hAnsi="Times New Roman" w:cs="Times New Roman"/>
        </w:rPr>
      </w:r>
      <w:r w:rsidR="002C4814">
        <w:rPr>
          <w:rFonts w:ascii="Times New Roman" w:hAnsi="Times New Roman" w:cs="Times New Roman"/>
        </w:rPr>
        <w:fldChar w:fldCharType="separate"/>
      </w:r>
      <w:r w:rsidR="002C4814">
        <w:t xml:space="preserve">Fig. </w:t>
      </w:r>
      <w:r w:rsidR="002C4814">
        <w:rPr>
          <w:noProof/>
        </w:rPr>
        <w:t>2</w:t>
      </w:r>
      <w:r w:rsidR="002C4814">
        <w:rPr>
          <w:rFonts w:ascii="Times New Roman" w:hAnsi="Times New Roman" w:cs="Times New Roman"/>
        </w:rPr>
        <w:fldChar w:fldCharType="end"/>
      </w:r>
      <w:r w:rsidR="002C4814">
        <w:rPr>
          <w:rFonts w:ascii="Times New Roman" w:hAnsi="Times New Roman" w:cs="Times New Roman"/>
        </w:rPr>
        <w:t xml:space="preserve"> </w:t>
      </w:r>
      <w:r w:rsidRPr="00022125">
        <w:rPr>
          <w:rFonts w:ascii="Times New Roman" w:hAnsi="Times New Roman" w:cs="Times New Roman"/>
        </w:rPr>
        <w:t xml:space="preserve">where the four-point flexural test </w:t>
      </w:r>
      <w:r w:rsidRPr="00022125">
        <w:rPr>
          <w:rFonts w:ascii="Times New Roman" w:hAnsi="Times New Roman" w:cs="Times New Roman"/>
          <w:lang w:val="en-US"/>
        </w:rPr>
        <w:t>was</w:t>
      </w:r>
      <w:r w:rsidRPr="00022125">
        <w:rPr>
          <w:rFonts w:ascii="Times New Roman" w:hAnsi="Times New Roman" w:cs="Times New Roman"/>
        </w:rPr>
        <w:t xml:space="preserve"> employed. The hydraulic load actuator was lowered onto a</w:t>
      </w:r>
      <w:r w:rsidRPr="00022125">
        <w:rPr>
          <w:rFonts w:ascii="Times New Roman" w:hAnsi="Times New Roman" w:cs="Times New Roman"/>
          <w:lang w:val="en-US"/>
        </w:rPr>
        <w:t xml:space="preserve"> </w:t>
      </w:r>
      <w:r w:rsidRPr="00022125">
        <w:rPr>
          <w:rFonts w:ascii="Times New Roman" w:hAnsi="Times New Roman" w:cs="Times New Roman"/>
        </w:rPr>
        <w:t>rigid</w:t>
      </w:r>
      <w:r w:rsidRPr="00022125">
        <w:rPr>
          <w:rFonts w:ascii="Times New Roman" w:hAnsi="Times New Roman" w:cs="Times New Roman"/>
          <w:lang w:val="en-US"/>
        </w:rPr>
        <w:t xml:space="preserve"> steel </w:t>
      </w:r>
      <w:r w:rsidRPr="00022125">
        <w:rPr>
          <w:rFonts w:ascii="Times New Roman" w:hAnsi="Times New Roman" w:cs="Times New Roman"/>
        </w:rPr>
        <w:t xml:space="preserve">spreader beam which rested on two load points on the beam. </w:t>
      </w:r>
      <w:r w:rsidRPr="00022125">
        <w:rPr>
          <w:rFonts w:ascii="Times New Roman" w:hAnsi="Times New Roman" w:cs="Times New Roman"/>
          <w:lang w:val="en-US"/>
        </w:rPr>
        <w:t>A</w:t>
      </w:r>
      <w:r w:rsidRPr="00022125">
        <w:rPr>
          <w:rFonts w:ascii="Times New Roman" w:hAnsi="Times New Roman" w:cs="Times New Roman"/>
        </w:rPr>
        <w:t xml:space="preserve"> digital dial gauge was tarred and fixed in the stand which was then positioned </w:t>
      </w:r>
      <w:r w:rsidRPr="00022125">
        <w:rPr>
          <w:rFonts w:ascii="Times New Roman" w:hAnsi="Times New Roman" w:cs="Times New Roman"/>
          <w:lang w:val="en-US"/>
        </w:rPr>
        <w:t xml:space="preserve">centrally </w:t>
      </w:r>
      <w:r w:rsidRPr="00022125">
        <w:rPr>
          <w:rFonts w:ascii="Times New Roman" w:hAnsi="Times New Roman" w:cs="Times New Roman"/>
        </w:rPr>
        <w:t xml:space="preserve">beneath the soffit of the beam </w:t>
      </w:r>
      <w:r w:rsidRPr="00022125">
        <w:rPr>
          <w:rFonts w:ascii="Times New Roman" w:hAnsi="Times New Roman" w:cs="Times New Roman"/>
          <w:lang w:val="en-US"/>
        </w:rPr>
        <w:t>to record deflections.</w:t>
      </w:r>
    </w:p>
    <w:p w14:paraId="00039CE1" w14:textId="77777777" w:rsidR="003D6B73" w:rsidRDefault="003D6B73" w:rsidP="009201D3">
      <w:pPr>
        <w:spacing w:after="0" w:line="240" w:lineRule="auto"/>
        <w:rPr>
          <w:rFonts w:ascii="Times New Roman" w:hAnsi="Times New Roman" w:cs="Times New Roman"/>
        </w:rPr>
      </w:pPr>
    </w:p>
    <w:p w14:paraId="25A625C1" w14:textId="77777777" w:rsidR="003D6B73" w:rsidRDefault="003D6B73" w:rsidP="009201D3">
      <w:pPr>
        <w:spacing w:after="0" w:line="240" w:lineRule="auto"/>
        <w:rPr>
          <w:rFonts w:ascii="Times New Roman" w:hAnsi="Times New Roman" w:cs="Times New Roman"/>
          <w:b/>
          <w:bCs/>
        </w:rPr>
      </w:pPr>
      <w:r>
        <w:rPr>
          <w:rFonts w:ascii="Times New Roman" w:hAnsi="Times New Roman" w:cs="Times New Roman"/>
          <w:b/>
          <w:bCs/>
          <w:noProof/>
        </w:rPr>
        <w:drawing>
          <wp:inline distT="0" distB="0" distL="0" distR="0" wp14:anchorId="256A7FB5" wp14:editId="64DF9B0F">
            <wp:extent cx="4524375" cy="2000415"/>
            <wp:effectExtent l="0" t="0" r="0" b="0"/>
            <wp:docPr id="4053313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3130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36393" cy="2005728"/>
                    </a:xfrm>
                    <a:prstGeom prst="rect">
                      <a:avLst/>
                    </a:prstGeom>
                    <a:noFill/>
                    <a:ln>
                      <a:noFill/>
                    </a:ln>
                  </pic:spPr>
                </pic:pic>
              </a:graphicData>
            </a:graphic>
          </wp:inline>
        </w:drawing>
      </w:r>
    </w:p>
    <w:p w14:paraId="772ED00C" w14:textId="77777777" w:rsidR="00FA56B8" w:rsidRDefault="00FA56B8" w:rsidP="009201D3">
      <w:pPr>
        <w:spacing w:after="0" w:line="240" w:lineRule="auto"/>
        <w:rPr>
          <w:rFonts w:ascii="Times New Roman" w:hAnsi="Times New Roman" w:cs="Times New Roman"/>
          <w:b/>
          <w:bCs/>
        </w:rPr>
      </w:pPr>
    </w:p>
    <w:p w14:paraId="259FF2D0" w14:textId="6BE78E78" w:rsidR="00FA56B8" w:rsidRDefault="00FA56B8" w:rsidP="009201D3">
      <w:pPr>
        <w:spacing w:after="0" w:line="240" w:lineRule="auto"/>
        <w:ind w:left="720" w:firstLine="720"/>
        <w:rPr>
          <w:rFonts w:ascii="Times New Roman" w:hAnsi="Times New Roman" w:cs="Times New Roman"/>
          <w:b/>
          <w:bCs/>
        </w:rPr>
      </w:pPr>
      <w:r>
        <w:rPr>
          <w:noProof/>
        </w:rPr>
        <w:drawing>
          <wp:inline distT="0" distB="0" distL="0" distR="0" wp14:anchorId="004DC236" wp14:editId="6ADF2C9A">
            <wp:extent cx="1733550" cy="2002638"/>
            <wp:effectExtent l="0" t="0" r="0" b="0"/>
            <wp:docPr id="162347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72824"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41895" cy="2012278"/>
                    </a:xfrm>
                    <a:prstGeom prst="rect">
                      <a:avLst/>
                    </a:prstGeom>
                    <a:noFill/>
                    <a:ln>
                      <a:noFill/>
                    </a:ln>
                  </pic:spPr>
                </pic:pic>
              </a:graphicData>
            </a:graphic>
          </wp:inline>
        </w:drawing>
      </w:r>
      <w:r w:rsidR="001227FD">
        <w:rPr>
          <w:rFonts w:ascii="Times New Roman" w:hAnsi="Times New Roman" w:cs="Times New Roman"/>
          <w:b/>
          <w:bCs/>
        </w:rPr>
        <w:t xml:space="preserve">      </w:t>
      </w:r>
      <w:r>
        <w:rPr>
          <w:rFonts w:ascii="Times New Roman" w:hAnsi="Times New Roman" w:cs="Times New Roman"/>
          <w:b/>
          <w:bCs/>
          <w:noProof/>
        </w:rPr>
        <w:drawing>
          <wp:inline distT="0" distB="0" distL="0" distR="0" wp14:anchorId="14FC736F" wp14:editId="0A777FD8">
            <wp:extent cx="1769534" cy="1990725"/>
            <wp:effectExtent l="0" t="0" r="2540" b="0"/>
            <wp:docPr id="21250180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8039"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75795" cy="1997768"/>
                    </a:xfrm>
                    <a:prstGeom prst="rect">
                      <a:avLst/>
                    </a:prstGeom>
                    <a:noFill/>
                    <a:ln>
                      <a:noFill/>
                    </a:ln>
                  </pic:spPr>
                </pic:pic>
              </a:graphicData>
            </a:graphic>
          </wp:inline>
        </w:drawing>
      </w:r>
    </w:p>
    <w:p w14:paraId="72031190" w14:textId="7A9A27C0" w:rsidR="003D6B73" w:rsidRDefault="003D6B73" w:rsidP="009201D3">
      <w:pPr>
        <w:pStyle w:val="Caption"/>
        <w:spacing w:after="0" w:line="240" w:lineRule="auto"/>
        <w:rPr>
          <w:rFonts w:cs="Times New Roman"/>
          <w:b/>
          <w:bCs/>
        </w:rPr>
      </w:pPr>
      <w:bookmarkStart w:id="4" w:name="_Ref192818652"/>
      <w:bookmarkStart w:id="5" w:name="_Ref192818622"/>
      <w:r>
        <w:t xml:space="preserve">Fig. </w:t>
      </w:r>
      <w:r w:rsidR="003B4279">
        <w:fldChar w:fldCharType="begin"/>
      </w:r>
      <w:r w:rsidR="003B4279">
        <w:instrText xml:space="preserve"> SEQ Fig. \* ARABIC </w:instrText>
      </w:r>
      <w:r w:rsidR="003B4279">
        <w:fldChar w:fldCharType="separate"/>
      </w:r>
      <w:r w:rsidR="002C4814">
        <w:rPr>
          <w:noProof/>
        </w:rPr>
        <w:t>2</w:t>
      </w:r>
      <w:r w:rsidR="003B4279">
        <w:rPr>
          <w:noProof/>
        </w:rPr>
        <w:fldChar w:fldCharType="end"/>
      </w:r>
      <w:bookmarkEnd w:id="4"/>
      <w:r>
        <w:t xml:space="preserve"> </w:t>
      </w:r>
      <w:r w:rsidR="00FA56B8">
        <w:t>Test setup</w:t>
      </w:r>
      <w:bookmarkEnd w:id="5"/>
    </w:p>
    <w:p w14:paraId="7AC5AEAB" w14:textId="77777777" w:rsidR="003D6B73" w:rsidRDefault="003D6B73" w:rsidP="009201D3">
      <w:pPr>
        <w:spacing w:after="0" w:line="240" w:lineRule="auto"/>
        <w:rPr>
          <w:rFonts w:ascii="Times New Roman" w:hAnsi="Times New Roman" w:cs="Times New Roman"/>
          <w:b/>
          <w:bCs/>
        </w:rPr>
      </w:pPr>
    </w:p>
    <w:p w14:paraId="60F0C9CC" w14:textId="3DCDDBE8" w:rsidR="003D6B73" w:rsidRPr="002C4814" w:rsidRDefault="003D6B73" w:rsidP="009201D3">
      <w:pPr>
        <w:pStyle w:val="Caption"/>
        <w:spacing w:after="0" w:line="240" w:lineRule="auto"/>
      </w:pPr>
      <w:r>
        <w:t>The cross-section of the hybrid retrofitted beam is shown in the</w:t>
      </w:r>
      <w:r w:rsidR="002C4814">
        <w:t xml:space="preserve"> </w:t>
      </w:r>
      <w:r w:rsidR="002C4814">
        <w:fldChar w:fldCharType="begin"/>
      </w:r>
      <w:r w:rsidR="002C4814">
        <w:instrText xml:space="preserve"> REF _Ref192818652 \h </w:instrText>
      </w:r>
      <w:r w:rsidR="002C4814">
        <w:fldChar w:fldCharType="separate"/>
      </w:r>
      <w:r w:rsidR="002C4814">
        <w:t xml:space="preserve">Fig. </w:t>
      </w:r>
      <w:r w:rsidR="002C4814">
        <w:rPr>
          <w:noProof/>
        </w:rPr>
        <w:t>2</w:t>
      </w:r>
      <w:r w:rsidR="002C4814">
        <w:fldChar w:fldCharType="end"/>
      </w:r>
      <w:r>
        <w:t xml:space="preserve">. </w:t>
      </w:r>
      <w:r w:rsidRPr="00022125">
        <w:t xml:space="preserve">The </w:t>
      </w:r>
      <w:r w:rsidRPr="00022125">
        <w:rPr>
          <w:lang w:val="en-US"/>
        </w:rPr>
        <w:t>figure</w:t>
      </w:r>
      <w:r w:rsidRPr="00022125">
        <w:t xml:space="preserve"> </w:t>
      </w:r>
      <w:r>
        <w:t>shows the unretrofitted beam and the concrete that covers the retrofitted layer, which is the concrete jacket. The cross-section reveals the CFRP laminate, MAS plates, GFRP bar, and the</w:t>
      </w:r>
      <w:r w:rsidR="002C4814">
        <w:t xml:space="preserve"> </w:t>
      </w:r>
      <w:r>
        <w:t>expandable bolts.</w:t>
      </w:r>
    </w:p>
    <w:p w14:paraId="107A80B0" w14:textId="0DC9E710" w:rsidR="003D6B73" w:rsidRDefault="003D6B73" w:rsidP="009201D3">
      <w:pPr>
        <w:spacing w:after="0" w:line="240" w:lineRule="auto"/>
        <w:jc w:val="center"/>
        <w:rPr>
          <w:rFonts w:ascii="Times New Roman" w:hAnsi="Times New Roman" w:cs="Times New Roman"/>
          <w:b/>
          <w:bCs/>
        </w:rPr>
      </w:pPr>
    </w:p>
    <w:p w14:paraId="76E06E23" w14:textId="6CC8463A" w:rsidR="009523E5" w:rsidRDefault="003D6B73" w:rsidP="009201D3">
      <w:pPr>
        <w:spacing w:after="0" w:line="240" w:lineRule="auto"/>
        <w:rPr>
          <w:rFonts w:ascii="Times New Roman" w:hAnsi="Times New Roman" w:cs="Times New Roman"/>
          <w:b/>
          <w:bCs/>
        </w:rPr>
      </w:pPr>
      <w:r>
        <w:rPr>
          <w:rFonts w:ascii="Times New Roman" w:hAnsi="Times New Roman" w:cs="Times New Roman"/>
          <w:b/>
          <w:bCs/>
        </w:rPr>
        <w:t>2.3 Preparation of beams</w:t>
      </w:r>
    </w:p>
    <w:p w14:paraId="1AEE3572" w14:textId="373725D5" w:rsidR="009523E5"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The epoxy resin was mixed according to the specified proportion </w:t>
      </w:r>
      <w:r w:rsidRPr="00AB1B4B">
        <w:t>of 2:1 (epoxy: hardener)</w:t>
      </w:r>
      <w:r w:rsidRPr="00AB1B4B">
        <w:rPr>
          <w:rFonts w:ascii="Times New Roman" w:hAnsi="Times New Roman" w:cs="Times New Roman"/>
        </w:rPr>
        <w:t xml:space="preserve">. The mixture was complete for application on the beam substrate when a uniform colouration </w:t>
      </w:r>
      <w:r w:rsidRPr="00AB1B4B">
        <w:rPr>
          <w:rFonts w:ascii="Times New Roman" w:hAnsi="Times New Roman" w:cs="Times New Roman"/>
          <w:lang w:val="en-US"/>
        </w:rPr>
        <w:t>was</w:t>
      </w:r>
      <w:r w:rsidRPr="00AB1B4B">
        <w:rPr>
          <w:rFonts w:ascii="Times New Roman" w:hAnsi="Times New Roman" w:cs="Times New Roman"/>
        </w:rPr>
        <w:t xml:space="preserve"> achieved </w:t>
      </w:r>
      <w:r>
        <w:rPr>
          <w:rFonts w:ascii="Times New Roman" w:hAnsi="Times New Roman" w:cs="Times New Roman"/>
        </w:rPr>
        <w:t>(</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Pr>
          <w:rFonts w:ascii="Times New Roman" w:hAnsi="Times New Roman" w:cs="Times New Roman"/>
        </w:rPr>
        <w:t>a). The well-mixed epoxy resin was then applied on the soffit of the beam, after which the CFRP laminate was attached. A roller was used to press the laminate f</w:t>
      </w:r>
      <w:r>
        <w:rPr>
          <w:rFonts w:ascii="Times New Roman" w:hAnsi="Times New Roman" w:cs="Times New Roman"/>
        </w:rPr>
        <w:t>irmly in position to eliminate any air pockets that might be present between the interface of the laminate and the epoxy resin. Natural fibres (</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Pr>
          <w:rFonts w:ascii="Times New Roman" w:hAnsi="Times New Roman" w:cs="Times New Roman"/>
        </w:rPr>
        <w:t xml:space="preserve">b) were used to </w:t>
      </w:r>
      <w:r>
        <w:rPr>
          <w:rFonts w:ascii="Times New Roman" w:hAnsi="Times New Roman" w:cs="Times New Roman"/>
        </w:rPr>
        <w:t xml:space="preserve">cast the </w:t>
      </w:r>
    </w:p>
    <w:p w14:paraId="3F850C4A"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 </w:t>
      </w:r>
    </w:p>
    <w:p w14:paraId="6E353D5C" w14:textId="01D0E254" w:rsidR="009523E5" w:rsidRDefault="002C4814" w:rsidP="009201D3">
      <w:pPr>
        <w:spacing w:after="0" w:line="240" w:lineRule="auto"/>
        <w:ind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4D2E8754" wp14:editId="01C53002">
            <wp:extent cx="2083435" cy="1833946"/>
            <wp:effectExtent l="0" t="0" r="0" b="0"/>
            <wp:docPr id="18763197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19767"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r="14791"/>
                    <a:stretch>
                      <a:fillRect/>
                    </a:stretch>
                  </pic:blipFill>
                  <pic:spPr>
                    <a:xfrm>
                      <a:off x="0" y="0"/>
                      <a:ext cx="2099831" cy="1848379"/>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64F4B1B2" wp14:editId="5EDDE5C9">
            <wp:extent cx="2247900" cy="1686050"/>
            <wp:effectExtent l="0" t="0" r="0" b="9525"/>
            <wp:docPr id="1173857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57307"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75197" cy="1706525"/>
                    </a:xfrm>
                    <a:prstGeom prst="rect">
                      <a:avLst/>
                    </a:prstGeom>
                    <a:noFill/>
                    <a:ln>
                      <a:noFill/>
                    </a:ln>
                  </pic:spPr>
                </pic:pic>
              </a:graphicData>
            </a:graphic>
          </wp:inline>
        </w:drawing>
      </w:r>
    </w:p>
    <w:p w14:paraId="0B7FE165" w14:textId="77533A30" w:rsidR="009523E5" w:rsidRDefault="00026D9A" w:rsidP="009201D3">
      <w:pPr>
        <w:spacing w:after="0" w:line="240" w:lineRule="auto"/>
        <w:ind w:firstLine="720"/>
        <w:rPr>
          <w:rFonts w:ascii="Times New Roman" w:hAnsi="Times New Roman" w:cs="Times New Roman"/>
        </w:rPr>
      </w:pPr>
      <w:r>
        <w:rPr>
          <w:rFonts w:ascii="Times New Roman" w:hAnsi="Times New Roman" w:cs="Times New Roman"/>
        </w:rPr>
        <w:t xml:space="preserve">         a) Mixing of epoxy resin</w:t>
      </w:r>
      <w:r>
        <w:rPr>
          <w:rFonts w:ascii="Times New Roman" w:hAnsi="Times New Roman" w:cs="Times New Roman"/>
        </w:rPr>
        <w:tab/>
        <w:t xml:space="preserve">        b) Natural fibres</w:t>
      </w:r>
    </w:p>
    <w:p w14:paraId="06DA9778" w14:textId="05636F57" w:rsidR="002C4814" w:rsidRDefault="002C4814" w:rsidP="009201D3">
      <w:pPr>
        <w:spacing w:after="0" w:line="240" w:lineRule="auto"/>
      </w:pPr>
      <w:bookmarkStart w:id="6" w:name="_Ref192820987"/>
      <w:r>
        <w:rPr>
          <w:rFonts w:ascii="Times New Roman" w:hAnsi="Times New Roman" w:cs="Times New Roman"/>
        </w:rPr>
        <w:lastRenderedPageBreak/>
        <w:t xml:space="preserve">           </w:t>
      </w:r>
      <w:r w:rsidR="00026D9A">
        <w:rPr>
          <w:rFonts w:ascii="Times New Roman" w:hAnsi="Times New Roman" w:cs="Times New Roman"/>
        </w:rPr>
        <w:tab/>
      </w:r>
      <w:r w:rsidR="00026D9A">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noProof/>
        </w:rPr>
        <w:drawing>
          <wp:inline distT="0" distB="0" distL="0" distR="0" wp14:anchorId="6F5BE56F" wp14:editId="6D3329F7">
            <wp:extent cx="1647825" cy="2197160"/>
            <wp:effectExtent l="0" t="0" r="0" b="0"/>
            <wp:docPr id="20936452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5213"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1113" cy="2214877"/>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7962DF3D" wp14:editId="05D23B22">
            <wp:extent cx="2230434" cy="1526811"/>
            <wp:effectExtent l="8890" t="0" r="7620" b="7620"/>
            <wp:docPr id="9969847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4792"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t="18423" r="10615"/>
                    <a:stretch>
                      <a:fillRect/>
                    </a:stretch>
                  </pic:blipFill>
                  <pic:spPr>
                    <a:xfrm rot="5400000">
                      <a:off x="0" y="0"/>
                      <a:ext cx="2267013" cy="1551850"/>
                    </a:xfrm>
                    <a:prstGeom prst="rect">
                      <a:avLst/>
                    </a:prstGeom>
                    <a:noFill/>
                    <a:ln>
                      <a:noFill/>
                    </a:ln>
                  </pic:spPr>
                </pic:pic>
              </a:graphicData>
            </a:graphic>
          </wp:inline>
        </w:drawing>
      </w:r>
    </w:p>
    <w:p w14:paraId="0AF18A86" w14:textId="20868FC4" w:rsidR="002C4814" w:rsidRDefault="002C4814" w:rsidP="009201D3">
      <w:pPr>
        <w:spacing w:after="0" w:line="240" w:lineRule="auto"/>
        <w:rPr>
          <w:rFonts w:ascii="Times New Roman" w:hAnsi="Times New Roman" w:cs="Times New Roman"/>
        </w:rPr>
      </w:pPr>
      <w:r>
        <w:rPr>
          <w:rFonts w:ascii="Times New Roman" w:hAnsi="Times New Roman" w:cs="Times New Roman"/>
        </w:rPr>
        <w:tab/>
      </w:r>
      <w:r w:rsidR="00026D9A">
        <w:rPr>
          <w:rFonts w:ascii="Times New Roman" w:hAnsi="Times New Roman" w:cs="Times New Roman"/>
        </w:rPr>
        <w:t xml:space="preserve">    </w:t>
      </w:r>
      <w:r w:rsidR="00026D9A">
        <w:rPr>
          <w:rFonts w:ascii="Times New Roman" w:hAnsi="Times New Roman" w:cs="Times New Roman"/>
        </w:rPr>
        <w:tab/>
        <w:t xml:space="preserve">  </w:t>
      </w:r>
      <w:r w:rsidR="00636DCD">
        <w:rPr>
          <w:rFonts w:ascii="Times New Roman" w:hAnsi="Times New Roman" w:cs="Times New Roman"/>
        </w:rPr>
        <w:t>c</w:t>
      </w:r>
      <w:r>
        <w:rPr>
          <w:rFonts w:ascii="Times New Roman" w:hAnsi="Times New Roman" w:cs="Times New Roman"/>
        </w:rPr>
        <w:t>) Drilling of beams</w:t>
      </w:r>
      <w:r>
        <w:rPr>
          <w:rFonts w:ascii="Times New Roman" w:hAnsi="Times New Roman" w:cs="Times New Roman"/>
        </w:rPr>
        <w:tab/>
      </w:r>
      <w:r>
        <w:rPr>
          <w:rFonts w:ascii="Times New Roman" w:hAnsi="Times New Roman" w:cs="Times New Roman"/>
        </w:rPr>
        <w:tab/>
      </w:r>
      <w:r w:rsidR="00026D9A">
        <w:rPr>
          <w:rFonts w:ascii="Times New Roman" w:hAnsi="Times New Roman" w:cs="Times New Roman"/>
        </w:rPr>
        <w:t xml:space="preserve">       </w:t>
      </w:r>
      <w:r w:rsidR="00636DCD">
        <w:rPr>
          <w:rFonts w:ascii="Times New Roman" w:hAnsi="Times New Roman" w:cs="Times New Roman"/>
        </w:rPr>
        <w:t>d</w:t>
      </w:r>
      <w:r>
        <w:rPr>
          <w:rFonts w:ascii="Times New Roman" w:hAnsi="Times New Roman" w:cs="Times New Roman"/>
        </w:rPr>
        <w:t>) Expandable bolts</w:t>
      </w:r>
    </w:p>
    <w:p w14:paraId="43F6939E" w14:textId="78C55B45" w:rsidR="009523E5" w:rsidRDefault="003B4279" w:rsidP="009201D3">
      <w:pPr>
        <w:pStyle w:val="Caption"/>
        <w:spacing w:after="0" w:line="240" w:lineRule="auto"/>
      </w:pPr>
      <w:bookmarkStart w:id="7" w:name="_Ref206254257"/>
      <w:bookmarkStart w:id="8" w:name="_Ref206254236"/>
      <w:r>
        <w:t xml:space="preserve">Fig. </w:t>
      </w:r>
      <w:r>
        <w:fldChar w:fldCharType="begin"/>
      </w:r>
      <w:r>
        <w:instrText xml:space="preserve"> SEQ Fig. \* ARABIC </w:instrText>
      </w:r>
      <w:r>
        <w:fldChar w:fldCharType="separate"/>
      </w:r>
      <w:r w:rsidR="00B27958">
        <w:rPr>
          <w:noProof/>
        </w:rPr>
        <w:t>3</w:t>
      </w:r>
      <w:r>
        <w:rPr>
          <w:noProof/>
        </w:rPr>
        <w:fldChar w:fldCharType="end"/>
      </w:r>
      <w:bookmarkEnd w:id="6"/>
      <w:bookmarkEnd w:id="7"/>
      <w:r>
        <w:t xml:space="preserve"> Preparing the </w:t>
      </w:r>
      <w:r w:rsidR="00C635AC">
        <w:t>retrofitted layer</w:t>
      </w:r>
      <w:bookmarkEnd w:id="8"/>
    </w:p>
    <w:p w14:paraId="76D053FA" w14:textId="280189EF" w:rsidR="009523E5" w:rsidRPr="00C234B6" w:rsidRDefault="003B4279" w:rsidP="009201D3">
      <w:pPr>
        <w:spacing w:after="0" w:line="240" w:lineRule="auto"/>
        <w:rPr>
          <w:rFonts w:ascii="Times New Roman" w:hAnsi="Times New Roman" w:cs="Times New Roman"/>
        </w:rPr>
      </w:pPr>
      <w:r w:rsidRPr="00C234B6">
        <w:rPr>
          <w:rFonts w:ascii="Times New Roman" w:hAnsi="Times New Roman" w:cs="Times New Roman"/>
        </w:rPr>
        <w:t xml:space="preserve">concrete </w:t>
      </w:r>
      <w:proofErr w:type="gramStart"/>
      <w:r w:rsidRPr="00C234B6">
        <w:rPr>
          <w:rFonts w:ascii="Times New Roman" w:hAnsi="Times New Roman" w:cs="Times New Roman"/>
        </w:rPr>
        <w:t>jacketing  to</w:t>
      </w:r>
      <w:proofErr w:type="gramEnd"/>
      <w:r w:rsidRPr="00C234B6">
        <w:rPr>
          <w:rFonts w:ascii="Times New Roman" w:hAnsi="Times New Roman" w:cs="Times New Roman"/>
        </w:rPr>
        <w:t xml:space="preserve"> enhance the tensile capabilities of the concrete cast. The fibre volume fraction was 2 %. The MAS plates </w:t>
      </w:r>
      <w:r w:rsidRPr="00C234B6">
        <w:rPr>
          <w:rFonts w:ascii="Times New Roman" w:hAnsi="Times New Roman" w:cs="Times New Roman"/>
          <w:lang w:val="en-US"/>
        </w:rPr>
        <w:t xml:space="preserve">were </w:t>
      </w:r>
      <w:r w:rsidRPr="00C234B6">
        <w:rPr>
          <w:rFonts w:ascii="Times New Roman" w:hAnsi="Times New Roman" w:cs="Times New Roman"/>
        </w:rPr>
        <w:t>connected to the beam substrate by means of attaching expandable bolts to them and this was achieved by drilling with the h</w:t>
      </w:r>
      <w:r w:rsidRPr="00C234B6">
        <w:rPr>
          <w:rFonts w:ascii="Times New Roman" w:hAnsi="Times New Roman" w:cs="Times New Roman"/>
        </w:rPr>
        <w:t xml:space="preserve">elp of the power drill machine as shown in </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sidR="00636DCD">
        <w:rPr>
          <w:rFonts w:ascii="Times New Roman" w:hAnsi="Times New Roman" w:cs="Times New Roman"/>
        </w:rPr>
        <w:t>c</w:t>
      </w:r>
      <w:r w:rsidRPr="00C234B6">
        <w:rPr>
          <w:rFonts w:ascii="Times New Roman" w:hAnsi="Times New Roman" w:cs="Times New Roman"/>
        </w:rPr>
        <w:t xml:space="preserve">. The M8 expandable bolt used in the study are shown in </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sidR="00636DCD">
        <w:rPr>
          <w:rFonts w:ascii="Times New Roman" w:hAnsi="Times New Roman" w:cs="Times New Roman"/>
        </w:rPr>
        <w:t>d</w:t>
      </w:r>
      <w:r w:rsidRPr="00C234B6">
        <w:rPr>
          <w:rFonts w:ascii="Times New Roman" w:hAnsi="Times New Roman" w:cs="Times New Roman"/>
        </w:rPr>
        <w:t>. After the holes were drilled, 2 split halves of the MAS plates of 10 mm thickness each were placed on the beam to align with the drilled holes, making a total of 20 mm in thickness of the M</w:t>
      </w:r>
      <w:r w:rsidRPr="00C234B6">
        <w:rPr>
          <w:rFonts w:ascii="Times New Roman" w:hAnsi="Times New Roman" w:cs="Times New Roman"/>
        </w:rPr>
        <w:t>AS plates.</w:t>
      </w:r>
    </w:p>
    <w:p w14:paraId="4610F29F" w14:textId="77777777" w:rsidR="009523E5" w:rsidRDefault="009523E5" w:rsidP="009201D3">
      <w:pPr>
        <w:spacing w:after="0" w:line="240" w:lineRule="auto"/>
        <w:rPr>
          <w:rFonts w:ascii="Times New Roman" w:hAnsi="Times New Roman" w:cs="Times New Roman"/>
        </w:rPr>
      </w:pPr>
    </w:p>
    <w:p w14:paraId="4615AD46" w14:textId="33FA1DD4" w:rsidR="009523E5" w:rsidRPr="00AB1B4B" w:rsidRDefault="003F0C9D" w:rsidP="009201D3">
      <w:pPr>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_Ref206255324 \h </w:instrText>
      </w:r>
      <w:r>
        <w:rPr>
          <w:rFonts w:ascii="Times New Roman" w:hAnsi="Times New Roman" w:cs="Times New Roman"/>
        </w:rPr>
      </w:r>
      <w:r>
        <w:rPr>
          <w:rFonts w:ascii="Times New Roman" w:hAnsi="Times New Roman" w:cs="Times New Roman"/>
        </w:rPr>
        <w:fldChar w:fldCharType="separate"/>
      </w:r>
      <w:r>
        <w:t xml:space="preserve">Fig. </w:t>
      </w:r>
      <w:r>
        <w:rPr>
          <w:noProof/>
        </w:rPr>
        <w:t>4</w:t>
      </w:r>
      <w:r>
        <w:rPr>
          <w:rFonts w:ascii="Times New Roman" w:hAnsi="Times New Roman" w:cs="Times New Roman"/>
        </w:rPr>
        <w:fldChar w:fldCharType="end"/>
      </w:r>
      <w:r>
        <w:rPr>
          <w:rFonts w:ascii="Times New Roman" w:hAnsi="Times New Roman" w:cs="Times New Roman"/>
        </w:rPr>
        <w:t xml:space="preserve"> a) shows </w:t>
      </w:r>
      <w:r w:rsidRPr="00AB1B4B">
        <w:rPr>
          <w:rFonts w:ascii="Times New Roman" w:hAnsi="Times New Roman" w:cs="Times New Roman"/>
        </w:rPr>
        <w:t xml:space="preserve">the retrofitted beam that has the MAS plates with the expandable bolts fixed in position. The GFRP bar was placed in the central groove in the MAS plates in between the 2 halves before the expandable bolts </w:t>
      </w:r>
      <w:r w:rsidRPr="00AB1B4B">
        <w:rPr>
          <w:rFonts w:ascii="Times New Roman" w:hAnsi="Times New Roman" w:cs="Times New Roman"/>
          <w:lang w:val="en-US"/>
        </w:rPr>
        <w:t>were</w:t>
      </w:r>
      <w:r w:rsidRPr="00AB1B4B">
        <w:rPr>
          <w:rFonts w:ascii="Times New Roman" w:hAnsi="Times New Roman" w:cs="Times New Roman"/>
        </w:rPr>
        <w:t xml:space="preserve"> inserted. The expandable bolts </w:t>
      </w:r>
      <w:r w:rsidRPr="00AB1B4B">
        <w:rPr>
          <w:rFonts w:ascii="Times New Roman" w:hAnsi="Times New Roman" w:cs="Times New Roman"/>
          <w:lang w:val="en-US"/>
        </w:rPr>
        <w:t>were</w:t>
      </w:r>
      <w:r w:rsidRPr="00AB1B4B">
        <w:rPr>
          <w:rFonts w:ascii="Times New Roman" w:hAnsi="Times New Roman" w:cs="Times New Roman"/>
        </w:rPr>
        <w:t xml:space="preserve"> then tightened with the spanner till the connection </w:t>
      </w:r>
      <w:r w:rsidRPr="00AB1B4B">
        <w:rPr>
          <w:rFonts w:ascii="Times New Roman" w:hAnsi="Times New Roman" w:cs="Times New Roman"/>
          <w:lang w:val="en-US"/>
        </w:rPr>
        <w:t>was</w:t>
      </w:r>
      <w:r w:rsidRPr="00AB1B4B">
        <w:rPr>
          <w:rFonts w:ascii="Times New Roman" w:hAnsi="Times New Roman" w:cs="Times New Roman"/>
        </w:rPr>
        <w:t xml:space="preserve"> tightly fixed.</w:t>
      </w:r>
      <w:r w:rsidR="00F02831">
        <w:rPr>
          <w:rFonts w:ascii="Times New Roman" w:hAnsi="Times New Roman" w:cs="Times New Roman"/>
        </w:rPr>
        <w:t xml:space="preserve"> </w:t>
      </w:r>
      <w:r w:rsidRPr="00AB1B4B">
        <w:rPr>
          <w:rFonts w:ascii="Times New Roman" w:hAnsi="Times New Roman" w:cs="Times New Roman"/>
        </w:rPr>
        <w:t xml:space="preserve">The concrete jacketing was then cast onto the retrofitted elements. The concrete jacketing </w:t>
      </w:r>
      <w:r w:rsidRPr="00AB1B4B">
        <w:rPr>
          <w:rFonts w:ascii="Times New Roman" w:hAnsi="Times New Roman" w:cs="Times New Roman"/>
          <w:lang w:val="en-US"/>
        </w:rPr>
        <w:t>was</w:t>
      </w:r>
      <w:r w:rsidRPr="00AB1B4B">
        <w:rPr>
          <w:rFonts w:ascii="Times New Roman" w:hAnsi="Times New Roman" w:cs="Times New Roman"/>
        </w:rPr>
        <w:t xml:space="preserve"> compacted with the aid of the poker vibrator to remove the air pockets from the concrete </w:t>
      </w:r>
      <w:r w:rsidRPr="00AB1B4B">
        <w:rPr>
          <w:rFonts w:ascii="Times New Roman" w:hAnsi="Times New Roman" w:cs="Times New Roman"/>
          <w:lang w:val="en-US"/>
        </w:rPr>
        <w:t>which was</w:t>
      </w:r>
      <w:r w:rsidRPr="00AB1B4B">
        <w:rPr>
          <w:rFonts w:ascii="Times New Roman" w:hAnsi="Times New Roman" w:cs="Times New Roman"/>
        </w:rPr>
        <w:t xml:space="preserve"> uniformly </w:t>
      </w:r>
      <w:r w:rsidRPr="00AB1B4B">
        <w:rPr>
          <w:rFonts w:ascii="Times New Roman" w:hAnsi="Times New Roman" w:cs="Times New Roman"/>
          <w:lang w:val="en-US"/>
        </w:rPr>
        <w:t xml:space="preserve">spread </w:t>
      </w:r>
      <w:r w:rsidRPr="00AB1B4B">
        <w:rPr>
          <w:rFonts w:ascii="Times New Roman" w:hAnsi="Times New Roman" w:cs="Times New Roman"/>
        </w:rPr>
        <w:t xml:space="preserve">across the retrofitted elements as </w:t>
      </w:r>
      <w:r w:rsidRPr="00AB1B4B">
        <w:rPr>
          <w:rFonts w:ascii="Times New Roman" w:hAnsi="Times New Roman" w:cs="Times New Roman"/>
          <w:lang w:val="en-US"/>
        </w:rPr>
        <w:t>shown</w:t>
      </w:r>
      <w:r w:rsidRPr="00AB1B4B">
        <w:rPr>
          <w:rFonts w:ascii="Times New Roman" w:hAnsi="Times New Roman" w:cs="Times New Roman"/>
        </w:rPr>
        <w:t xml:space="preserve"> in</w:t>
      </w:r>
      <w:r w:rsidR="00F02831">
        <w:rPr>
          <w:rFonts w:ascii="Times New Roman" w:hAnsi="Times New Roman" w:cs="Times New Roman"/>
        </w:rPr>
        <w:t xml:space="preserve"> </w:t>
      </w:r>
      <w:r w:rsidR="00F02831">
        <w:rPr>
          <w:rFonts w:ascii="Times New Roman" w:hAnsi="Times New Roman" w:cs="Times New Roman"/>
        </w:rPr>
        <w:fldChar w:fldCharType="begin"/>
      </w:r>
      <w:r w:rsidR="00F02831">
        <w:rPr>
          <w:rFonts w:ascii="Times New Roman" w:hAnsi="Times New Roman" w:cs="Times New Roman"/>
        </w:rPr>
        <w:instrText xml:space="preserve"> REF _Ref206255324 \h </w:instrText>
      </w:r>
      <w:r w:rsidR="00F02831">
        <w:rPr>
          <w:rFonts w:ascii="Times New Roman" w:hAnsi="Times New Roman" w:cs="Times New Roman"/>
        </w:rPr>
      </w:r>
      <w:r w:rsidR="00F02831">
        <w:rPr>
          <w:rFonts w:ascii="Times New Roman" w:hAnsi="Times New Roman" w:cs="Times New Roman"/>
        </w:rPr>
        <w:fldChar w:fldCharType="separate"/>
      </w:r>
      <w:r w:rsidR="00F02831">
        <w:t xml:space="preserve">Fig. </w:t>
      </w:r>
      <w:r w:rsidR="00F02831">
        <w:rPr>
          <w:noProof/>
        </w:rPr>
        <w:t>4</w:t>
      </w:r>
      <w:r w:rsidR="00F02831">
        <w:rPr>
          <w:rFonts w:ascii="Times New Roman" w:hAnsi="Times New Roman" w:cs="Times New Roman"/>
        </w:rPr>
        <w:fldChar w:fldCharType="end"/>
      </w:r>
      <w:r w:rsidR="00F02831">
        <w:rPr>
          <w:rFonts w:ascii="Times New Roman" w:hAnsi="Times New Roman" w:cs="Times New Roman"/>
        </w:rPr>
        <w:t xml:space="preserve"> b)</w:t>
      </w:r>
      <w:r w:rsidRPr="00AB1B4B">
        <w:rPr>
          <w:rFonts w:ascii="Times New Roman" w:hAnsi="Times New Roman" w:cs="Times New Roman"/>
        </w:rPr>
        <w:t xml:space="preserve">. </w:t>
      </w:r>
    </w:p>
    <w:p w14:paraId="48A51DFC" w14:textId="77777777" w:rsidR="009523E5" w:rsidRDefault="009523E5" w:rsidP="009201D3">
      <w:pPr>
        <w:spacing w:after="0" w:line="240" w:lineRule="auto"/>
        <w:rPr>
          <w:rFonts w:ascii="Times New Roman" w:hAnsi="Times New Roman" w:cs="Times New Roman"/>
        </w:rPr>
      </w:pPr>
    </w:p>
    <w:p w14:paraId="1CA6A3C2" w14:textId="77777777" w:rsidR="00F02831" w:rsidRDefault="00F02831" w:rsidP="009201D3">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6C072D2" wp14:editId="15806EE1">
            <wp:extent cx="2951405" cy="1043825"/>
            <wp:effectExtent l="1270" t="0" r="3175" b="3175"/>
            <wp:docPr id="20340356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5644"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l="7977" t="26145" r="5107" b="32865"/>
                    <a:stretch>
                      <a:fillRect/>
                    </a:stretch>
                  </pic:blipFill>
                  <pic:spPr>
                    <a:xfrm rot="16200000">
                      <a:off x="0" y="0"/>
                      <a:ext cx="3070906" cy="1086089"/>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8654BAC" wp14:editId="24EBD189">
            <wp:extent cx="2209800" cy="2946480"/>
            <wp:effectExtent l="0" t="0" r="0" b="6350"/>
            <wp:docPr id="62176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6171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19926" cy="2959981"/>
                    </a:xfrm>
                    <a:prstGeom prst="rect">
                      <a:avLst/>
                    </a:prstGeom>
                    <a:noFill/>
                    <a:ln>
                      <a:noFill/>
                    </a:ln>
                  </pic:spPr>
                </pic:pic>
              </a:graphicData>
            </a:graphic>
          </wp:inline>
        </w:drawing>
      </w:r>
    </w:p>
    <w:p w14:paraId="3FE507AB" w14:textId="77777777" w:rsidR="00F02831" w:rsidRDefault="00F02831" w:rsidP="009201D3">
      <w:pPr>
        <w:pStyle w:val="Caption"/>
        <w:spacing w:after="0" w:line="240" w:lineRule="auto"/>
      </w:pPr>
      <w:bookmarkStart w:id="9" w:name="_Ref192821059"/>
      <w:r>
        <w:t xml:space="preserve">                       a) Mas plates assembly     b) Casting of concrete jacketing</w:t>
      </w:r>
    </w:p>
    <w:p w14:paraId="5063FBD1" w14:textId="77777777" w:rsidR="00F02831" w:rsidRDefault="00F02831" w:rsidP="009201D3">
      <w:pPr>
        <w:pStyle w:val="Caption"/>
        <w:spacing w:after="0" w:line="240" w:lineRule="auto"/>
        <w:rPr>
          <w:rFonts w:cs="Times New Roman"/>
        </w:rPr>
      </w:pPr>
      <w:bookmarkStart w:id="10" w:name="_Ref206255324"/>
      <w:r>
        <w:t xml:space="preserve">Fig. </w:t>
      </w:r>
      <w:r w:rsidR="003B4279">
        <w:fldChar w:fldCharType="begin"/>
      </w:r>
      <w:r w:rsidR="003B4279">
        <w:instrText xml:space="preserve"> SEQ Fig. \* ARABIC </w:instrText>
      </w:r>
      <w:r w:rsidR="003B4279">
        <w:fldChar w:fldCharType="separate"/>
      </w:r>
      <w:r>
        <w:rPr>
          <w:noProof/>
        </w:rPr>
        <w:t>4</w:t>
      </w:r>
      <w:r w:rsidR="003B4279">
        <w:rPr>
          <w:noProof/>
        </w:rPr>
        <w:fldChar w:fldCharType="end"/>
      </w:r>
      <w:bookmarkEnd w:id="9"/>
      <w:bookmarkEnd w:id="10"/>
      <w:r>
        <w:t xml:space="preserve"> Assembly and casting of retrofitted layer</w:t>
      </w:r>
    </w:p>
    <w:p w14:paraId="4F404889" w14:textId="77777777" w:rsidR="002C4814" w:rsidRDefault="002C4814" w:rsidP="009201D3">
      <w:pPr>
        <w:spacing w:after="0" w:line="240" w:lineRule="auto"/>
        <w:rPr>
          <w:rFonts w:ascii="Times New Roman" w:hAnsi="Times New Roman" w:cs="Times New Roman"/>
        </w:rPr>
      </w:pPr>
    </w:p>
    <w:p w14:paraId="376F3F7F" w14:textId="050A8338" w:rsidR="009523E5" w:rsidRDefault="003B4279" w:rsidP="009201D3">
      <w:pPr>
        <w:spacing w:after="0" w:line="240" w:lineRule="auto"/>
        <w:rPr>
          <w:rFonts w:ascii="Times New Roman" w:hAnsi="Times New Roman" w:cs="Times New Roman"/>
        </w:rPr>
      </w:pPr>
      <w:r w:rsidRPr="00022125">
        <w:rPr>
          <w:rFonts w:ascii="Times New Roman" w:hAnsi="Times New Roman" w:cs="Times New Roman"/>
        </w:rPr>
        <w:t>After the concrete jack</w:t>
      </w:r>
      <w:r w:rsidRPr="00022125">
        <w:rPr>
          <w:rFonts w:ascii="Times New Roman" w:hAnsi="Times New Roman" w:cs="Times New Roman"/>
        </w:rPr>
        <w:t xml:space="preserve">eting was cast, the formworks were removed the next day, jute sacks placed on the beams and regular watering was carried out daily to cure the beams. The beams were left for the 28 days maturity, </w:t>
      </w:r>
      <w:r w:rsidRPr="00022125">
        <w:rPr>
          <w:rFonts w:ascii="Times New Roman" w:hAnsi="Times New Roman" w:cs="Times New Roman"/>
          <w:lang w:val="en-US"/>
        </w:rPr>
        <w:t xml:space="preserve">and </w:t>
      </w:r>
      <w:r w:rsidRPr="00022125">
        <w:rPr>
          <w:rFonts w:ascii="Times New Roman" w:hAnsi="Times New Roman" w:cs="Times New Roman"/>
        </w:rPr>
        <w:t>painted white prior to testing. The concrete jacket ensu</w:t>
      </w:r>
      <w:r w:rsidRPr="00022125">
        <w:rPr>
          <w:rFonts w:ascii="Times New Roman" w:hAnsi="Times New Roman" w:cs="Times New Roman"/>
        </w:rPr>
        <w:t>re</w:t>
      </w:r>
      <w:r w:rsidRPr="00022125">
        <w:rPr>
          <w:rFonts w:ascii="Times New Roman" w:hAnsi="Times New Roman" w:cs="Times New Roman"/>
          <w:lang w:val="en-US"/>
        </w:rPr>
        <w:t>d</w:t>
      </w:r>
      <w:r w:rsidRPr="00022125">
        <w:rPr>
          <w:rFonts w:ascii="Times New Roman" w:hAnsi="Times New Roman" w:cs="Times New Roman"/>
        </w:rPr>
        <w:t xml:space="preserve"> that the retrofitted elements</w:t>
      </w:r>
      <w:r w:rsidRPr="00022125">
        <w:rPr>
          <w:rFonts w:ascii="Times New Roman" w:hAnsi="Times New Roman" w:cs="Times New Roman"/>
          <w:lang w:val="en-US"/>
        </w:rPr>
        <w:t xml:space="preserve"> were</w:t>
      </w:r>
      <w:r w:rsidRPr="00022125">
        <w:rPr>
          <w:rFonts w:ascii="Times New Roman" w:hAnsi="Times New Roman" w:cs="Times New Roman"/>
        </w:rPr>
        <w:t xml:space="preserve"> not exposed to the environment to induce </w:t>
      </w:r>
      <w:proofErr w:type="gramStart"/>
      <w:r w:rsidRPr="00022125">
        <w:rPr>
          <w:rFonts w:ascii="Times New Roman" w:hAnsi="Times New Roman" w:cs="Times New Roman"/>
        </w:rPr>
        <w:t>corrosion</w:t>
      </w:r>
      <w:r w:rsidRPr="00022125">
        <w:rPr>
          <w:rFonts w:ascii="Times New Roman" w:hAnsi="Times New Roman" w:cs="Times New Roman"/>
          <w:lang w:val="en-US"/>
        </w:rPr>
        <w:t>,</w:t>
      </w:r>
      <w:r w:rsidRPr="00022125">
        <w:rPr>
          <w:rFonts w:ascii="Times New Roman" w:hAnsi="Times New Roman" w:cs="Times New Roman"/>
        </w:rPr>
        <w:t xml:space="preserve">  wear</w:t>
      </w:r>
      <w:proofErr w:type="gramEnd"/>
      <w:r w:rsidRPr="00022125">
        <w:rPr>
          <w:rFonts w:ascii="Times New Roman" w:hAnsi="Times New Roman" w:cs="Times New Roman"/>
        </w:rPr>
        <w:t xml:space="preserve">, tear, </w:t>
      </w:r>
      <w:r w:rsidRPr="00022125">
        <w:rPr>
          <w:rFonts w:ascii="Times New Roman" w:hAnsi="Times New Roman" w:cs="Times New Roman"/>
          <w:lang w:val="en-US"/>
        </w:rPr>
        <w:t>or</w:t>
      </w:r>
      <w:r w:rsidRPr="00022125">
        <w:rPr>
          <w:rFonts w:ascii="Times New Roman" w:hAnsi="Times New Roman" w:cs="Times New Roman"/>
        </w:rPr>
        <w:t xml:space="preserve"> abrasion from external sources. </w:t>
      </w:r>
      <w:r w:rsidR="00022125">
        <w:rPr>
          <w:rFonts w:ascii="Times New Roman" w:hAnsi="Times New Roman" w:cs="Times New Roman"/>
          <w:lang w:val="en-US"/>
        </w:rPr>
        <w:t>Fibres</w:t>
      </w:r>
      <w:r w:rsidRPr="00022125">
        <w:rPr>
          <w:rFonts w:ascii="Times New Roman" w:hAnsi="Times New Roman" w:cs="Times New Roman"/>
          <w:lang w:val="en-US"/>
        </w:rPr>
        <w:t xml:space="preserve"> were</w:t>
      </w:r>
      <w:r w:rsidRPr="00022125">
        <w:rPr>
          <w:rFonts w:ascii="Times New Roman" w:hAnsi="Times New Roman" w:cs="Times New Roman"/>
        </w:rPr>
        <w:t xml:space="preserve"> introduced in the casting of this layer to enhance the tensile capabilities with a fibre volume fraction </w:t>
      </w:r>
      <w:r w:rsidRPr="00022125">
        <w:rPr>
          <w:rFonts w:ascii="Times New Roman" w:hAnsi="Times New Roman" w:cs="Times New Roman"/>
        </w:rPr>
        <w:t>of 2 %. The retrofitted layer comprise</w:t>
      </w:r>
      <w:r w:rsidRPr="00022125">
        <w:rPr>
          <w:rFonts w:ascii="Times New Roman" w:hAnsi="Times New Roman" w:cs="Times New Roman"/>
          <w:lang w:val="en-US"/>
        </w:rPr>
        <w:t>d</w:t>
      </w:r>
      <w:r w:rsidRPr="00022125">
        <w:rPr>
          <w:rFonts w:ascii="Times New Roman" w:hAnsi="Times New Roman" w:cs="Times New Roman"/>
        </w:rPr>
        <w:t xml:space="preserve"> the CFRP laminate which </w:t>
      </w:r>
      <w:r w:rsidRPr="00022125">
        <w:rPr>
          <w:rFonts w:ascii="Times New Roman" w:hAnsi="Times New Roman" w:cs="Times New Roman"/>
          <w:lang w:val="en-US"/>
        </w:rPr>
        <w:t>was</w:t>
      </w:r>
      <w:r w:rsidRPr="00022125">
        <w:rPr>
          <w:rFonts w:ascii="Times New Roman" w:hAnsi="Times New Roman" w:cs="Times New Roman"/>
        </w:rPr>
        <w:t xml:space="preserve"> attached to the RC beam substrate. </w:t>
      </w:r>
      <w:r w:rsidRPr="00022125">
        <w:rPr>
          <w:rFonts w:ascii="Times New Roman" w:hAnsi="Times New Roman" w:cs="Times New Roman"/>
          <w:lang w:val="en-US"/>
        </w:rPr>
        <w:t>T</w:t>
      </w:r>
      <w:r w:rsidRPr="00022125">
        <w:rPr>
          <w:rFonts w:ascii="Times New Roman" w:hAnsi="Times New Roman" w:cs="Times New Roman"/>
        </w:rPr>
        <w:t xml:space="preserve">wo mechanical anchorage system (MAS) plates </w:t>
      </w:r>
      <w:r w:rsidRPr="00022125">
        <w:rPr>
          <w:rFonts w:ascii="Times New Roman" w:hAnsi="Times New Roman" w:cs="Times New Roman"/>
          <w:lang w:val="en-US"/>
        </w:rPr>
        <w:t xml:space="preserve">were </w:t>
      </w:r>
      <w:r w:rsidRPr="00022125">
        <w:rPr>
          <w:rFonts w:ascii="Times New Roman" w:hAnsi="Times New Roman" w:cs="Times New Roman"/>
        </w:rPr>
        <w:t xml:space="preserve">used near both ends of the retrofitted beams. The split halves of the MAS plates worked better in the strengthening of RC beams than the solid plates with grooves cut through them </w:t>
      </w:r>
      <w:r w:rsidRPr="00022125">
        <w:rPr>
          <w:rFonts w:ascii="Times New Roman" w:hAnsi="Times New Roman" w:cs="Times New Roman"/>
        </w:rPr>
        <w:fldChar w:fldCharType="begin" w:fldLock="1"/>
      </w:r>
      <w:r w:rsidRPr="00022125">
        <w:rPr>
          <w:rFonts w:ascii="Times New Roman" w:hAnsi="Times New Roman" w:cs="Times New Roman"/>
        </w:rPr>
        <w:instrText>ADDIN CSL_CITATION {"citationItems":[{"id":"ITEM-1","itemData":{"DOI":"10.10</w:instrText>
      </w:r>
      <w:r w:rsidRPr="00022125">
        <w:rPr>
          <w:rFonts w:ascii="Times New Roman" w:hAnsi="Times New Roman" w:cs="Times New Roman"/>
        </w:rPr>
        <w:instrText>16/j.istruc.2022.11.024","ISSN":"23520124","abstract":"This study proposed a new scheme for the retrofitting of Reinforced Concrete (RC) beams using Carbon Fiber Reinforced (CFRP) rods restrained using steel plates and anchorage bolts called the mechanical</w:instrText>
      </w:r>
      <w:r w:rsidRPr="00022125">
        <w:rPr>
          <w:rFonts w:ascii="Times New Roman" w:hAnsi="Times New Roman" w:cs="Times New Roman"/>
        </w:rPr>
        <w:instrText xml:space="preserve"> anchorage system (MAS). This system also employed an external concrete jacket to cover the MAS and CFRP rods. The performance of the proposed technique was experimentally assessed using the four-point flexural testing of retrofitted beams under incrementa</w:instrText>
      </w:r>
      <w:r w:rsidRPr="00022125">
        <w:rPr>
          <w:rFonts w:ascii="Times New Roman" w:hAnsi="Times New Roman" w:cs="Times New Roman"/>
        </w:rPr>
        <w:instrText xml:space="preserve">l cyclic load using a dynamic actuator. A total of eight beams were cast and tested in different configurations to determine the effectiveness of the design parameters including the number of CFRP rods, the contribution of MAS, and concrete jacketing (CJ) </w:instrText>
      </w:r>
      <w:r w:rsidRPr="00022125">
        <w:rPr>
          <w:rFonts w:ascii="Times New Roman" w:hAnsi="Times New Roman" w:cs="Times New Roman"/>
        </w:rPr>
        <w:instrText xml:space="preserve">in terms of load capacity, cracking, failure mode, and ductility. The results revealed that the efficiency of the proposed retrofitting system was achieved by increasing the load capacity of retrofitted beams and preventing the premature debonding failure </w:instrText>
      </w:r>
      <w:r w:rsidRPr="00022125">
        <w:rPr>
          <w:rFonts w:ascii="Times New Roman" w:hAnsi="Times New Roman" w:cs="Times New Roman"/>
        </w:rPr>
        <w:instrText>of CFRP rods. Although de-bonding can occur on the surface between the old and new concrete, the utilization of a perfect adhesive epoxy on the concrete contact surface led to sufficient bonding between the two surfaces. Therefore, overall, the proposed st</w:instrText>
      </w:r>
      <w:r w:rsidRPr="00022125">
        <w:rPr>
          <w:rFonts w:ascii="Times New Roman" w:hAnsi="Times New Roman" w:cs="Times New Roman"/>
        </w:rPr>
        <w:instrText>rengthening technique can be considered a reliable method to enhance the performance of RC beams without the risk of de-bonding.","author":[{"dropping-particle":"","family":"Alkhateeb","given":"Mahmood Y.","non-dropping-particle":"","parse-names":false,"su</w:instrText>
      </w:r>
      <w:r w:rsidRPr="00022125">
        <w:rPr>
          <w:rFonts w:ascii="Times New Roman" w:hAnsi="Times New Roman" w:cs="Times New Roman"/>
        </w:rPr>
        <w:instrText>ffix":""},{"dropping-particle":"","family":"Hejazi","given":"Farzad","non-dropping-particle":"","parse-names":false,"suffix":""}],"container-title":"Structures","id":"ITEM-1","issued":{"date-parts":[["2022","12","1"]]},"page":"1994-2013","publisher":"Elsev</w:instrText>
      </w:r>
      <w:r w:rsidRPr="00022125">
        <w:rPr>
          <w:rFonts w:ascii="Times New Roman" w:hAnsi="Times New Roman" w:cs="Times New Roman"/>
        </w:rPr>
        <w:instrText>ier Ltd","title":"Reinforced concrete beams externally strengthened by CFRP rods with steel plate, anchorage bolts, and concrete jacketing","type":"article-journal","volume":"46"},"uris":["http://www.mendeley.com/documents/?uuid=0bd875bc-2241-3895-9346-026</w:instrText>
      </w:r>
      <w:r w:rsidRPr="00022125">
        <w:rPr>
          <w:rFonts w:ascii="Times New Roman" w:hAnsi="Times New Roman" w:cs="Times New Roman"/>
        </w:rPr>
        <w:instrText>549b929b3"]}],"mendeley":{"formattedCitation":"(Alkhateeb &amp; Hejazi, 2022)","plainTextFormattedCitation":"(Alkhateeb &amp; Hejazi, 2022)","previouslyFormattedCitation":"(Alkhateeb &amp; Hejazi, 2022)"},"properties":{"noteIndex":0},"schema":"https://github.com/citat</w:instrText>
      </w:r>
      <w:r w:rsidRPr="00022125">
        <w:rPr>
          <w:rFonts w:ascii="Times New Roman" w:hAnsi="Times New Roman" w:cs="Times New Roman"/>
        </w:rPr>
        <w:instrText>ion-style-language/schema/raw/master/csl-citation.json"}</w:instrText>
      </w:r>
      <w:r w:rsidRPr="00022125">
        <w:rPr>
          <w:rFonts w:ascii="Times New Roman" w:hAnsi="Times New Roman" w:cs="Times New Roman"/>
        </w:rPr>
        <w:fldChar w:fldCharType="separate"/>
      </w:r>
      <w:r w:rsidRPr="00022125">
        <w:rPr>
          <w:rFonts w:ascii="Times New Roman" w:hAnsi="Times New Roman" w:cs="Times New Roman"/>
        </w:rPr>
        <w:t>(Alkhateeb &amp; Hejazi, 2022)</w:t>
      </w:r>
      <w:r w:rsidRPr="00022125">
        <w:rPr>
          <w:rFonts w:ascii="Times New Roman" w:hAnsi="Times New Roman" w:cs="Times New Roman"/>
        </w:rPr>
        <w:fldChar w:fldCharType="end"/>
      </w:r>
      <w:r w:rsidRPr="00022125">
        <w:rPr>
          <w:rFonts w:ascii="Times New Roman" w:hAnsi="Times New Roman" w:cs="Times New Roman"/>
        </w:rPr>
        <w:t xml:space="preserve">, as such the split halves </w:t>
      </w:r>
      <w:r w:rsidRPr="00022125">
        <w:rPr>
          <w:rFonts w:ascii="Times New Roman" w:hAnsi="Times New Roman" w:cs="Times New Roman"/>
          <w:lang w:val="en-US"/>
        </w:rPr>
        <w:t>were</w:t>
      </w:r>
      <w:r w:rsidRPr="00022125">
        <w:rPr>
          <w:rFonts w:ascii="Times New Roman" w:hAnsi="Times New Roman" w:cs="Times New Roman"/>
        </w:rPr>
        <w:t xml:space="preserve"> used in this study. The MAS plates serve</w:t>
      </w:r>
      <w:r w:rsidRPr="00022125">
        <w:rPr>
          <w:rFonts w:ascii="Times New Roman" w:hAnsi="Times New Roman" w:cs="Times New Roman"/>
          <w:lang w:val="en-US"/>
        </w:rPr>
        <w:t>d</w:t>
      </w:r>
      <w:r w:rsidRPr="00022125">
        <w:rPr>
          <w:rFonts w:ascii="Times New Roman" w:hAnsi="Times New Roman" w:cs="Times New Roman"/>
        </w:rPr>
        <w:t xml:space="preserve"> to firmly grip the GFRP bar in position and then the expandable bolts </w:t>
      </w:r>
      <w:r w:rsidR="00022125">
        <w:rPr>
          <w:rFonts w:ascii="Times New Roman" w:hAnsi="Times New Roman" w:cs="Times New Roman"/>
        </w:rPr>
        <w:t>held</w:t>
      </w:r>
      <w:r w:rsidRPr="00022125">
        <w:rPr>
          <w:rFonts w:ascii="Times New Roman" w:hAnsi="Times New Roman" w:cs="Times New Roman"/>
        </w:rPr>
        <w:t xml:space="preserve"> the MAS plates in posi</w:t>
      </w:r>
      <w:r w:rsidRPr="00022125">
        <w:rPr>
          <w:rFonts w:ascii="Times New Roman" w:hAnsi="Times New Roman" w:cs="Times New Roman"/>
        </w:rPr>
        <w:t>tion</w:t>
      </w:r>
      <w:r>
        <w:rPr>
          <w:rFonts w:ascii="Times New Roman" w:hAnsi="Times New Roman" w:cs="Times New Roman"/>
        </w:rPr>
        <w:t xml:space="preserve">, fastening the connection. </w:t>
      </w:r>
    </w:p>
    <w:p w14:paraId="41E3C7DC" w14:textId="77777777"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During the casting phase, the unretrofitted and retrofitted beams were both cast initially together. The unretrofitted beams were tested and at the same time the retrofitted beams were prepared and waited for the maturity o</w:t>
      </w:r>
      <w:r>
        <w:rPr>
          <w:rFonts w:ascii="Times New Roman" w:hAnsi="Times New Roman" w:cs="Times New Roman"/>
        </w:rPr>
        <w:t xml:space="preserve">f the concrete jacket for 28 days, after which the retrofitted beams were also tested to failure. </w:t>
      </w:r>
    </w:p>
    <w:p w14:paraId="5A772779" w14:textId="77777777" w:rsidR="009523E5" w:rsidRDefault="009523E5" w:rsidP="009201D3">
      <w:pPr>
        <w:spacing w:after="0" w:line="240" w:lineRule="auto"/>
        <w:rPr>
          <w:rFonts w:ascii="Times New Roman" w:hAnsi="Times New Roman" w:cs="Times New Roman"/>
        </w:rPr>
      </w:pPr>
    </w:p>
    <w:p w14:paraId="28324405" w14:textId="38661DE4"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2.4 Control specimens</w:t>
      </w:r>
    </w:p>
    <w:p w14:paraId="2B683F59" w14:textId="77777777"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Cubes (150 mm x 150 mm x 150 mm), cylinders (150 </w:t>
      </w:r>
      <w:r w:rsidRPr="00AB1B4B">
        <w:rPr>
          <w:rFonts w:ascii="Times New Roman" w:hAnsi="Times New Roman" w:cs="Times New Roman"/>
        </w:rPr>
        <w:t>mm x 300 mm) and prisms (100 mm x 100 mm x 500 mm) were cast to determine the compres</w:t>
      </w:r>
      <w:r w:rsidRPr="00AB1B4B">
        <w:rPr>
          <w:rFonts w:ascii="Times New Roman" w:hAnsi="Times New Roman" w:cs="Times New Roman"/>
        </w:rPr>
        <w:t xml:space="preserve">sive strength, </w:t>
      </w:r>
      <w:r w:rsidRPr="00AB1B4B">
        <w:rPr>
          <w:rFonts w:ascii="Times New Roman" w:hAnsi="Times New Roman" w:cs="Times New Roman"/>
          <w:lang w:val="en-US"/>
        </w:rPr>
        <w:t xml:space="preserve">splitting </w:t>
      </w:r>
      <w:r w:rsidRPr="00AB1B4B">
        <w:rPr>
          <w:rFonts w:ascii="Times New Roman" w:hAnsi="Times New Roman" w:cs="Times New Roman"/>
        </w:rPr>
        <w:t xml:space="preserve">tensile strength and the modulus of rupture of the concrete, respectively. Workability and consistency of the concrete was measured by the slump test which gave a value of </w:t>
      </w:r>
      <w:r w:rsidRPr="00AB1B4B">
        <w:rPr>
          <w:rFonts w:ascii="Times New Roman" w:hAnsi="Times New Roman" w:cs="Times New Roman"/>
          <w:lang w:val="en-US"/>
        </w:rPr>
        <w:t xml:space="preserve">approximately </w:t>
      </w:r>
      <w:r>
        <w:rPr>
          <w:rFonts w:ascii="Times New Roman" w:hAnsi="Times New Roman" w:cs="Times New Roman"/>
        </w:rPr>
        <w:t>75mm.</w:t>
      </w:r>
    </w:p>
    <w:p w14:paraId="5952F067" w14:textId="77777777" w:rsidR="009523E5" w:rsidRDefault="009523E5" w:rsidP="009201D3">
      <w:pPr>
        <w:spacing w:after="0" w:line="240" w:lineRule="auto"/>
        <w:rPr>
          <w:rFonts w:ascii="Times New Roman" w:hAnsi="Times New Roman" w:cs="Times New Roman"/>
          <w:color w:val="FF0000"/>
        </w:rPr>
      </w:pPr>
    </w:p>
    <w:p w14:paraId="5DDD8CA9"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 xml:space="preserve">3.0 Testing of Materials </w:t>
      </w:r>
    </w:p>
    <w:p w14:paraId="176A2928"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b/>
          <w:bCs/>
        </w:rPr>
        <w:t>3.1 Sieve An</w:t>
      </w:r>
      <w:r>
        <w:rPr>
          <w:rFonts w:ascii="Times New Roman" w:hAnsi="Times New Roman" w:cs="Times New Roman"/>
          <w:b/>
          <w:bCs/>
        </w:rPr>
        <w:t>alysis of Aggregates</w:t>
      </w:r>
    </w:p>
    <w:p w14:paraId="5EB99D60" w14:textId="5806AB4A" w:rsidR="009523E5" w:rsidRDefault="003B4279" w:rsidP="009201D3">
      <w:pPr>
        <w:spacing w:after="0" w:line="240" w:lineRule="auto"/>
        <w:rPr>
          <w:rFonts w:ascii="Times New Roman" w:hAnsi="Times New Roman" w:cs="Times New Roman"/>
        </w:rPr>
      </w:pPr>
      <w:r>
        <w:rPr>
          <w:rFonts w:ascii="Times New Roman" w:hAnsi="Times New Roman" w:cs="Times New Roman"/>
          <w:lang w:val="en-US"/>
        </w:rPr>
        <w:t xml:space="preserve">The aggregates were dried in the oven for 24 hours as shown in </w:t>
      </w:r>
      <w:r>
        <w:rPr>
          <w:rFonts w:ascii="Times New Roman" w:hAnsi="Times New Roman" w:cs="Times New Roman"/>
          <w:lang w:val="en-US"/>
        </w:rPr>
        <w:fldChar w:fldCharType="begin"/>
      </w:r>
      <w:r>
        <w:rPr>
          <w:rFonts w:ascii="Times New Roman" w:hAnsi="Times New Roman" w:cs="Times New Roman"/>
          <w:lang w:val="en-US"/>
        </w:rPr>
        <w:instrText xml:space="preserve"> REF _Ref190071075 \h </w:instrText>
      </w:r>
      <w:r>
        <w:rPr>
          <w:rFonts w:ascii="Times New Roman" w:hAnsi="Times New Roman" w:cs="Times New Roman"/>
          <w:lang w:val="en-US"/>
        </w:rPr>
      </w:r>
      <w:r>
        <w:rPr>
          <w:rFonts w:ascii="Times New Roman" w:hAnsi="Times New Roman" w:cs="Times New Roman"/>
          <w:lang w:val="en-US"/>
        </w:rPr>
        <w:fldChar w:fldCharType="separate"/>
      </w:r>
      <w:r w:rsidR="00344F3B">
        <w:t xml:space="preserve">Fig. </w:t>
      </w:r>
      <w:r w:rsidR="00344F3B">
        <w:rPr>
          <w:noProof/>
        </w:rPr>
        <w:t>5</w:t>
      </w:r>
      <w:r>
        <w:rPr>
          <w:rFonts w:ascii="Times New Roman" w:hAnsi="Times New Roman" w:cs="Times New Roman"/>
          <w:lang w:val="en-US"/>
        </w:rPr>
        <w:fldChar w:fldCharType="end"/>
      </w:r>
      <w:r>
        <w:rPr>
          <w:rFonts w:ascii="Times New Roman" w:hAnsi="Times New Roman" w:cs="Times New Roman"/>
          <w:lang w:val="en-US"/>
        </w:rPr>
        <w:t xml:space="preserve"> (a). The coarse aggregates were sorted with the quartering device to have a relatively equal amount of sample to be </w:t>
      </w:r>
      <w:proofErr w:type="spellStart"/>
      <w:r>
        <w:rPr>
          <w:rFonts w:ascii="Times New Roman" w:hAnsi="Times New Roman" w:cs="Times New Roman"/>
          <w:lang w:val="en-US"/>
        </w:rPr>
        <w:t>analysed</w:t>
      </w:r>
      <w:proofErr w:type="spellEnd"/>
      <w:r>
        <w:rPr>
          <w:rFonts w:ascii="Times New Roman" w:hAnsi="Times New Roman" w:cs="Times New Roman"/>
          <w:lang w:val="en-US"/>
        </w:rPr>
        <w:t xml:space="preserve"> and one part of the sorted samples was used in the sieve analysis </w:t>
      </w:r>
      <w:r>
        <w:rPr>
          <w:rFonts w:ascii="Times New Roman" w:hAnsi="Times New Roman" w:cs="Times New Roman"/>
          <w:lang w:val="en-US"/>
        </w:rPr>
        <w:fldChar w:fldCharType="begin"/>
      </w:r>
      <w:r>
        <w:rPr>
          <w:rFonts w:ascii="Times New Roman" w:hAnsi="Times New Roman" w:cs="Times New Roman"/>
          <w:lang w:val="en-US"/>
        </w:rPr>
        <w:instrText xml:space="preserve"> REF _Ref190071075 \h </w:instrText>
      </w:r>
      <w:r>
        <w:rPr>
          <w:rFonts w:ascii="Times New Roman" w:hAnsi="Times New Roman" w:cs="Times New Roman"/>
          <w:lang w:val="en-US"/>
        </w:rPr>
      </w:r>
      <w:r>
        <w:rPr>
          <w:rFonts w:ascii="Times New Roman" w:hAnsi="Times New Roman" w:cs="Times New Roman"/>
          <w:lang w:val="en-US"/>
        </w:rPr>
        <w:fldChar w:fldCharType="separate"/>
      </w:r>
      <w:r w:rsidR="00344F3B">
        <w:t xml:space="preserve">Fig. </w:t>
      </w:r>
      <w:r w:rsidR="00344F3B">
        <w:rPr>
          <w:noProof/>
        </w:rPr>
        <w:t>5</w:t>
      </w:r>
      <w:r>
        <w:rPr>
          <w:rFonts w:ascii="Times New Roman" w:hAnsi="Times New Roman" w:cs="Times New Roman"/>
          <w:lang w:val="en-US"/>
        </w:rPr>
        <w:fldChar w:fldCharType="end"/>
      </w:r>
      <w:r>
        <w:rPr>
          <w:rFonts w:ascii="Times New Roman" w:hAnsi="Times New Roman" w:cs="Times New Roman"/>
          <w:lang w:val="en-US"/>
        </w:rPr>
        <w:t xml:space="preserve"> (b).</w:t>
      </w:r>
    </w:p>
    <w:p w14:paraId="11D74E69" w14:textId="77777777" w:rsidR="009523E5" w:rsidRDefault="009523E5" w:rsidP="009201D3">
      <w:pPr>
        <w:spacing w:after="0" w:line="240" w:lineRule="auto"/>
        <w:rPr>
          <w:rFonts w:ascii="Times New Roman" w:hAnsi="Times New Roman" w:cs="Times New Roman"/>
        </w:rPr>
      </w:pPr>
    </w:p>
    <w:p w14:paraId="0BE7C027" w14:textId="77777777" w:rsidR="009523E5" w:rsidRDefault="009523E5" w:rsidP="009201D3">
      <w:pPr>
        <w:spacing w:after="0" w:line="240" w:lineRule="auto"/>
        <w:rPr>
          <w:rFonts w:ascii="Times New Roman" w:hAnsi="Times New Roman" w:cs="Times New Roman"/>
          <w:lang w:val="en-US"/>
        </w:rPr>
      </w:pPr>
    </w:p>
    <w:p w14:paraId="54C35FE0" w14:textId="77777777" w:rsidR="009523E5" w:rsidRDefault="003B4279" w:rsidP="009201D3">
      <w:pPr>
        <w:spacing w:after="0" w:line="240" w:lineRule="auto"/>
        <w:rPr>
          <w:lang w:val="en-US"/>
        </w:rPr>
      </w:pPr>
      <w:r>
        <w:rPr>
          <w:rFonts w:ascii="Times New Roman" w:hAnsi="Times New Roman" w:cs="Times New Roman"/>
          <w:noProof/>
          <w:lang w:val="en-US"/>
        </w:rPr>
        <w:drawing>
          <wp:inline distT="0" distB="0" distL="0" distR="0" wp14:anchorId="5B3D6A3D" wp14:editId="5E217D9A">
            <wp:extent cx="2705100" cy="2028825"/>
            <wp:effectExtent l="0" t="0" r="0" b="9525"/>
            <wp:docPr id="1239853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5332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25193" cy="2044047"/>
                    </a:xfrm>
                    <a:prstGeom prst="rect">
                      <a:avLst/>
                    </a:prstGeom>
                    <a:noFill/>
                    <a:ln>
                      <a:noFill/>
                    </a:ln>
                  </pic:spPr>
                </pic:pic>
              </a:graphicData>
            </a:graphic>
          </wp:inline>
        </w:drawing>
      </w:r>
      <w:r>
        <w:rPr>
          <w:rFonts w:ascii="Times New Roman" w:hAnsi="Times New Roman" w:cs="Times New Roman"/>
          <w:lang w:val="en-US"/>
        </w:rPr>
        <w:t xml:space="preserve">  </w:t>
      </w:r>
      <w:r>
        <w:rPr>
          <w:noProof/>
          <w:lang w:val="en-US"/>
        </w:rPr>
        <w:drawing>
          <wp:inline distT="0" distB="0" distL="0" distR="0" wp14:anchorId="45DC55CF" wp14:editId="30D4D060">
            <wp:extent cx="2683510" cy="2012950"/>
            <wp:effectExtent l="0" t="0" r="2540" b="6350"/>
            <wp:docPr id="1204063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3966"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88558" cy="2016568"/>
                    </a:xfrm>
                    <a:prstGeom prst="rect">
                      <a:avLst/>
                    </a:prstGeom>
                    <a:noFill/>
                    <a:ln>
                      <a:noFill/>
                    </a:ln>
                  </pic:spPr>
                </pic:pic>
              </a:graphicData>
            </a:graphic>
          </wp:inline>
        </w:drawing>
      </w:r>
    </w:p>
    <w:p w14:paraId="6641E7B1" w14:textId="77777777" w:rsidR="009523E5" w:rsidRDefault="003B4279" w:rsidP="009201D3">
      <w:pPr>
        <w:spacing w:after="0" w:line="240" w:lineRule="auto"/>
        <w:rPr>
          <w:lang w:val="en-US"/>
        </w:rPr>
      </w:pPr>
      <w:r>
        <w:rPr>
          <w:lang w:val="en-US"/>
        </w:rPr>
        <w:t>a) Oven</w:t>
      </w:r>
      <w:r>
        <w:rPr>
          <w:lang w:val="en-US"/>
        </w:rPr>
        <w:tab/>
      </w:r>
      <w:r>
        <w:rPr>
          <w:lang w:val="en-US"/>
        </w:rPr>
        <w:tab/>
      </w:r>
      <w:r>
        <w:rPr>
          <w:lang w:val="en-US"/>
        </w:rPr>
        <w:tab/>
      </w:r>
      <w:r>
        <w:rPr>
          <w:lang w:val="en-US"/>
        </w:rPr>
        <w:tab/>
      </w:r>
      <w:r>
        <w:rPr>
          <w:lang w:val="en-US"/>
        </w:rPr>
        <w:tab/>
        <w:t xml:space="preserve">   b) Sorting of coarse aggregate</w:t>
      </w:r>
    </w:p>
    <w:p w14:paraId="66859BA9" w14:textId="77777777" w:rsidR="00F02831" w:rsidRDefault="00F02831" w:rsidP="009201D3">
      <w:pPr>
        <w:spacing w:after="0" w:line="240" w:lineRule="auto"/>
        <w:rPr>
          <w:lang w:val="en-US"/>
        </w:rPr>
      </w:pPr>
      <w:r>
        <w:rPr>
          <w:noProof/>
          <w:lang w:val="en-US"/>
        </w:rPr>
        <w:lastRenderedPageBreak/>
        <w:drawing>
          <wp:inline distT="0" distB="0" distL="0" distR="0" wp14:anchorId="6FAC19C5" wp14:editId="38658471">
            <wp:extent cx="3438525" cy="2578735"/>
            <wp:effectExtent l="0" t="0" r="0" b="0"/>
            <wp:docPr id="835772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72298"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70452" cy="2603031"/>
                    </a:xfrm>
                    <a:prstGeom prst="rect">
                      <a:avLst/>
                    </a:prstGeom>
                    <a:noFill/>
                    <a:ln>
                      <a:noFill/>
                    </a:ln>
                  </pic:spPr>
                </pic:pic>
              </a:graphicData>
            </a:graphic>
          </wp:inline>
        </w:drawing>
      </w:r>
      <w:r>
        <w:rPr>
          <w:lang w:val="en-US"/>
        </w:rPr>
        <w:t xml:space="preserve">  </w:t>
      </w:r>
      <w:r>
        <w:rPr>
          <w:noProof/>
          <w:lang w:val="en-US"/>
        </w:rPr>
        <w:drawing>
          <wp:inline distT="0" distB="0" distL="0" distR="0" wp14:anchorId="2996AFDB" wp14:editId="14E51F01">
            <wp:extent cx="2599690" cy="1949450"/>
            <wp:effectExtent l="1270" t="0" r="0" b="0"/>
            <wp:docPr id="634340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080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2650950" cy="1988359"/>
                    </a:xfrm>
                    <a:prstGeom prst="rect">
                      <a:avLst/>
                    </a:prstGeom>
                    <a:noFill/>
                    <a:ln>
                      <a:noFill/>
                    </a:ln>
                  </pic:spPr>
                </pic:pic>
              </a:graphicData>
            </a:graphic>
          </wp:inline>
        </w:drawing>
      </w:r>
    </w:p>
    <w:p w14:paraId="2EB1A24C" w14:textId="2EB545AA" w:rsidR="00F02831" w:rsidRDefault="00F02831" w:rsidP="009201D3">
      <w:pPr>
        <w:spacing w:after="0" w:line="240" w:lineRule="auto"/>
        <w:rPr>
          <w:lang w:val="en-US"/>
        </w:rPr>
      </w:pPr>
      <w:r>
        <w:rPr>
          <w:lang w:val="en-US"/>
        </w:rPr>
        <w:t>c) Coarse aggregates analysis</w:t>
      </w:r>
      <w:r>
        <w:rPr>
          <w:lang w:val="en-US"/>
        </w:rPr>
        <w:tab/>
      </w:r>
      <w:r>
        <w:rPr>
          <w:lang w:val="en-US"/>
        </w:rPr>
        <w:tab/>
      </w:r>
      <w:r>
        <w:rPr>
          <w:lang w:val="en-US"/>
        </w:rPr>
        <w:tab/>
      </w:r>
      <w:r>
        <w:rPr>
          <w:lang w:val="en-US"/>
        </w:rPr>
        <w:tab/>
        <w:t xml:space="preserve">     </w:t>
      </w:r>
      <w:r>
        <w:rPr>
          <w:lang w:val="en-US"/>
        </w:rPr>
        <w:tab/>
        <w:t>d) Fine aggregate analysis</w:t>
      </w:r>
    </w:p>
    <w:p w14:paraId="096270E8" w14:textId="0C3B7DDC" w:rsidR="009523E5" w:rsidRDefault="003B4279" w:rsidP="009201D3">
      <w:pPr>
        <w:pStyle w:val="Caption"/>
        <w:spacing w:after="0" w:line="240" w:lineRule="auto"/>
        <w:rPr>
          <w:rFonts w:cs="Times New Roman"/>
          <w:lang w:val="en-US"/>
        </w:rPr>
      </w:pPr>
      <w:bookmarkStart w:id="11" w:name="_Ref190071075"/>
      <w:r>
        <w:t xml:space="preserve">Fig. </w:t>
      </w:r>
      <w:r>
        <w:fldChar w:fldCharType="begin"/>
      </w:r>
      <w:r>
        <w:instrText xml:space="preserve"> SEQ Fig. \* ARABIC </w:instrText>
      </w:r>
      <w:r>
        <w:fldChar w:fldCharType="separate"/>
      </w:r>
      <w:r w:rsidR="00344F3B">
        <w:rPr>
          <w:noProof/>
        </w:rPr>
        <w:t>5</w:t>
      </w:r>
      <w:r>
        <w:rPr>
          <w:noProof/>
        </w:rPr>
        <w:fldChar w:fldCharType="end"/>
      </w:r>
      <w:bookmarkEnd w:id="11"/>
      <w:r>
        <w:t xml:space="preserve"> Preparation of aggregates for testing</w:t>
      </w:r>
    </w:p>
    <w:p w14:paraId="20923492" w14:textId="77777777" w:rsidR="009523E5" w:rsidRDefault="009523E5" w:rsidP="009201D3">
      <w:pPr>
        <w:spacing w:after="0" w:line="240" w:lineRule="auto"/>
        <w:rPr>
          <w:rFonts w:ascii="Times New Roman" w:hAnsi="Times New Roman" w:cs="Times New Roman"/>
          <w:lang w:val="en-US"/>
        </w:rPr>
      </w:pPr>
    </w:p>
    <w:p w14:paraId="23F79909" w14:textId="3657AC14" w:rsidR="009523E5" w:rsidRDefault="003B4279" w:rsidP="009201D3">
      <w:pPr>
        <w:spacing w:after="0" w:line="240" w:lineRule="auto"/>
        <w:rPr>
          <w:rFonts w:ascii="Times New Roman" w:hAnsi="Times New Roman" w:cs="Times New Roman"/>
        </w:rPr>
      </w:pPr>
      <w:r>
        <w:rPr>
          <w:rFonts w:ascii="Times New Roman" w:hAnsi="Times New Roman" w:cs="Times New Roman"/>
          <w:lang w:val="en-US"/>
        </w:rPr>
        <w:t xml:space="preserve">The </w:t>
      </w:r>
      <w:r w:rsidRPr="00022125">
        <w:rPr>
          <w:rFonts w:ascii="Times New Roman" w:hAnsi="Times New Roman" w:cs="Times New Roman"/>
          <w:lang w:val="en-US"/>
        </w:rPr>
        <w:t xml:space="preserve">sieves used for the </w:t>
      </w:r>
      <w:r w:rsidRPr="00022125">
        <w:rPr>
          <w:rFonts w:ascii="Times New Roman" w:hAnsi="Times New Roman" w:cs="Times New Roman"/>
          <w:lang w:val="en-US"/>
        </w:rPr>
        <w:t>particle size distribution for the coarse aggregates were: 19 mm, 18 mm, 16 mm, 13.2 mm, 11.2 mm, 9.50 mm, 8.00 mm, 6.70 mm, 5.60 mm, 4.75 mm, and 3.35 mm (</w:t>
      </w:r>
      <w:r w:rsidR="00344F3B">
        <w:rPr>
          <w:rFonts w:ascii="Times New Roman" w:hAnsi="Times New Roman" w:cs="Times New Roman"/>
          <w:lang w:val="en-US"/>
        </w:rPr>
        <w:fldChar w:fldCharType="begin"/>
      </w:r>
      <w:r w:rsidR="00344F3B">
        <w:rPr>
          <w:rFonts w:ascii="Times New Roman" w:hAnsi="Times New Roman" w:cs="Times New Roman"/>
          <w:lang w:val="en-US"/>
        </w:rPr>
        <w:instrText xml:space="preserve"> REF _Ref190071075 \h </w:instrText>
      </w:r>
      <w:r w:rsidR="00344F3B">
        <w:rPr>
          <w:rFonts w:ascii="Times New Roman" w:hAnsi="Times New Roman" w:cs="Times New Roman"/>
          <w:lang w:val="en-US"/>
        </w:rPr>
      </w:r>
      <w:r w:rsidR="00344F3B">
        <w:rPr>
          <w:rFonts w:ascii="Times New Roman" w:hAnsi="Times New Roman" w:cs="Times New Roman"/>
          <w:lang w:val="en-US"/>
        </w:rPr>
        <w:fldChar w:fldCharType="separate"/>
      </w:r>
      <w:r w:rsidR="00344F3B">
        <w:t xml:space="preserve">Fig. </w:t>
      </w:r>
      <w:r w:rsidR="00344F3B">
        <w:rPr>
          <w:noProof/>
        </w:rPr>
        <w:t>5</w:t>
      </w:r>
      <w:r w:rsidR="00344F3B">
        <w:rPr>
          <w:rFonts w:ascii="Times New Roman" w:hAnsi="Times New Roman" w:cs="Times New Roman"/>
          <w:lang w:val="en-US"/>
        </w:rPr>
        <w:fldChar w:fldCharType="end"/>
      </w:r>
      <w:r w:rsidR="00344F3B">
        <w:rPr>
          <w:rFonts w:ascii="Times New Roman" w:hAnsi="Times New Roman" w:cs="Times New Roman"/>
          <w:lang w:val="en-US"/>
        </w:rPr>
        <w:t>c</w:t>
      </w:r>
      <w:r w:rsidRPr="00022125">
        <w:rPr>
          <w:rFonts w:ascii="Times New Roman" w:hAnsi="Times New Roman" w:cs="Times New Roman"/>
          <w:lang w:val="en-US"/>
        </w:rPr>
        <w:t xml:space="preserve">). </w:t>
      </w:r>
      <w:r w:rsidRPr="00022125">
        <w:rPr>
          <w:rFonts w:ascii="Times New Roman" w:hAnsi="Times New Roman" w:cs="Times New Roman"/>
          <w:lang w:val="en-US"/>
        </w:rPr>
        <w:t>The total weight of the coarse aggregates was 1.624 kg. The sieve analysis test for the fine aggregates has 15 sieves: 6.700 mm, 4.750 mm, 3.350 mm, 2.800 mm, 2.360 mm, 1.180 mm, 0.600 mm, 0.500 mm, 0.425 mm, 0.355 mm, 0.250 mm, 0.150 mm, 0.106 mm, 0.090 m</w:t>
      </w:r>
      <w:r w:rsidRPr="00022125">
        <w:rPr>
          <w:rFonts w:ascii="Times New Roman" w:hAnsi="Times New Roman" w:cs="Times New Roman"/>
          <w:lang w:val="en-US"/>
        </w:rPr>
        <w:t>m, and 0.075 mm (</w:t>
      </w:r>
      <w:r w:rsidR="00344F3B">
        <w:rPr>
          <w:rFonts w:ascii="Times New Roman" w:hAnsi="Times New Roman" w:cs="Times New Roman"/>
          <w:lang w:val="en-US"/>
        </w:rPr>
        <w:fldChar w:fldCharType="begin"/>
      </w:r>
      <w:r w:rsidR="00344F3B">
        <w:rPr>
          <w:rFonts w:ascii="Times New Roman" w:hAnsi="Times New Roman" w:cs="Times New Roman"/>
          <w:lang w:val="en-US"/>
        </w:rPr>
        <w:instrText xml:space="preserve"> REF _Ref190071075 \h </w:instrText>
      </w:r>
      <w:r w:rsidR="00344F3B">
        <w:rPr>
          <w:rFonts w:ascii="Times New Roman" w:hAnsi="Times New Roman" w:cs="Times New Roman"/>
          <w:lang w:val="en-US"/>
        </w:rPr>
      </w:r>
      <w:r w:rsidR="00344F3B">
        <w:rPr>
          <w:rFonts w:ascii="Times New Roman" w:hAnsi="Times New Roman" w:cs="Times New Roman"/>
          <w:lang w:val="en-US"/>
        </w:rPr>
        <w:fldChar w:fldCharType="separate"/>
      </w:r>
      <w:r w:rsidR="00344F3B">
        <w:t xml:space="preserve">Fig. </w:t>
      </w:r>
      <w:r w:rsidR="00344F3B">
        <w:rPr>
          <w:noProof/>
        </w:rPr>
        <w:t>5</w:t>
      </w:r>
      <w:r w:rsidR="00344F3B">
        <w:rPr>
          <w:rFonts w:ascii="Times New Roman" w:hAnsi="Times New Roman" w:cs="Times New Roman"/>
          <w:lang w:val="en-US"/>
        </w:rPr>
        <w:fldChar w:fldCharType="end"/>
      </w:r>
      <w:r w:rsidR="00344F3B">
        <w:rPr>
          <w:rFonts w:ascii="Times New Roman" w:hAnsi="Times New Roman" w:cs="Times New Roman"/>
          <w:lang w:val="en-US"/>
        </w:rPr>
        <w:t>d</w:t>
      </w:r>
      <w:r w:rsidRPr="00022125">
        <w:rPr>
          <w:rFonts w:ascii="Times New Roman" w:hAnsi="Times New Roman" w:cs="Times New Roman"/>
          <w:lang w:val="en-US"/>
        </w:rPr>
        <w:t>). The total weight of the fine aggregates is 1 kg.</w:t>
      </w:r>
      <w:r w:rsidRPr="00022125">
        <w:rPr>
          <w:rFonts w:ascii="Times New Roman" w:hAnsi="Times New Roman" w:cs="Times New Roman"/>
        </w:rPr>
        <w:t xml:space="preserve"> The sieve analysis for the aggregates was in accordance </w:t>
      </w:r>
      <w:r>
        <w:rPr>
          <w:rFonts w:ascii="Times New Roman" w:hAnsi="Times New Roman" w:cs="Times New Roman"/>
        </w:rPr>
        <w:t xml:space="preserve">with the standard sieve sizes of  </w:t>
      </w:r>
      <w:r>
        <w:rPr>
          <w:rFonts w:ascii="Times New Roman" w:hAnsi="Times New Roman" w:cs="Times New Roman"/>
        </w:rPr>
        <w:fldChar w:fldCharType="begin" w:fldLock="1"/>
      </w:r>
      <w:r>
        <w:rPr>
          <w:rFonts w:ascii="Times New Roman" w:hAnsi="Times New Roman" w:cs="Times New Roman"/>
        </w:rPr>
        <w:instrText>A</w:instrText>
      </w:r>
      <w:r>
        <w:rPr>
          <w:rFonts w:ascii="Times New Roman" w:hAnsi="Times New Roman" w:cs="Times New Roman"/>
        </w:rPr>
        <w:instrText>DDIN CSL_CITATION {"citationItems":[{"id":"ITEM-1","itemData":{"abstract":"ISO 8855:2011 defines the principal terms used for road vehicle dynamics. The terms apply to passenger cars, buses and commercial vehicles with one or more steered axles, and to mul</w:instrText>
      </w:r>
      <w:r>
        <w:rPr>
          <w:rFonts w:ascii="Times New Roman" w:hAnsi="Times New Roman" w:cs="Times New Roman"/>
        </w:rPr>
        <w:instrText>ti-unit vehicle combinations.","author":[{"dropping-particle":"","family":"ISO3310-1","given":"","non-dropping-particle":"","parse-names":false,"suffix":""}],"container-title":"International Organization for Standardization, Technical-Committee, ISO/TC24",</w:instrText>
      </w:r>
      <w:r>
        <w:rPr>
          <w:rFonts w:ascii="Times New Roman" w:hAnsi="Times New Roman" w:cs="Times New Roman"/>
        </w:rPr>
        <w:instrText>"id":"ITEM-1","issued":{"date-parts":[["2000"]]},"title":"Test sieves - Technical requirements and testing. Part 1: Test sieves of metal wire cloth","type":"book"},"uris":["http://www.mendeley.com/documents/?uuid=ccb5db09-c84d-4d15-855c-0fd3fba0032f"]}],"m</w:instrText>
      </w:r>
      <w:r>
        <w:rPr>
          <w:rFonts w:ascii="Times New Roman" w:hAnsi="Times New Roman" w:cs="Times New Roman"/>
        </w:rPr>
        <w:instrText>endeley":{"formattedCitation":"(ISO3310-1, 2000)","plainTextFormattedCitation":"(ISO3310-1, 2000)","previouslyFormattedCitation":"(ISO3310-1, 2000)"},"properties":{"noteIndex":0},"schema":"https://github.com/citation-style-language/schema/raw/master/csl-ci</w:instrText>
      </w:r>
      <w:r>
        <w:rPr>
          <w:rFonts w:ascii="Times New Roman" w:hAnsi="Times New Roman" w:cs="Times New Roman"/>
        </w:rPr>
        <w:instrText>tation.json"}</w:instrText>
      </w:r>
      <w:r>
        <w:rPr>
          <w:rFonts w:ascii="Times New Roman" w:hAnsi="Times New Roman" w:cs="Times New Roman"/>
        </w:rPr>
        <w:fldChar w:fldCharType="separate"/>
      </w:r>
      <w:r>
        <w:rPr>
          <w:rFonts w:ascii="Times New Roman" w:hAnsi="Times New Roman" w:cs="Times New Roman"/>
        </w:rPr>
        <w:t>(ISO3310-1, 2000)</w:t>
      </w:r>
      <w:r>
        <w:rPr>
          <w:rFonts w:ascii="Times New Roman" w:hAnsi="Times New Roman" w:cs="Times New Roman"/>
        </w:rPr>
        <w:fldChar w:fldCharType="end"/>
      </w:r>
      <w:r>
        <w:rPr>
          <w:rFonts w:ascii="Times New Roman" w:hAnsi="Times New Roman" w:cs="Times New Roman"/>
        </w:rPr>
        <w:t xml:space="preserve">. </w:t>
      </w:r>
    </w:p>
    <w:p w14:paraId="7F534EA4" w14:textId="25AAB327" w:rsidR="009523E5" w:rsidRDefault="009523E5" w:rsidP="009201D3">
      <w:pPr>
        <w:pStyle w:val="Caption"/>
        <w:spacing w:after="0" w:line="240" w:lineRule="auto"/>
        <w:rPr>
          <w:lang w:val="en-US"/>
        </w:rPr>
      </w:pPr>
    </w:p>
    <w:p w14:paraId="4706B0C5"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758079C1" wp14:editId="0B70D63C">
            <wp:extent cx="4800600" cy="3256280"/>
            <wp:effectExtent l="0" t="0" r="0" b="1270"/>
            <wp:docPr id="8419386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0D7FAE" w14:textId="2DC7F2C3" w:rsidR="0033612F" w:rsidRDefault="0033612F" w:rsidP="009201D3">
      <w:pPr>
        <w:spacing w:after="0" w:line="240" w:lineRule="auto"/>
        <w:rPr>
          <w:rFonts w:ascii="Times New Roman" w:hAnsi="Times New Roman" w:cs="Times New Roman"/>
        </w:rPr>
      </w:pPr>
      <w:r>
        <w:rPr>
          <w:rFonts w:ascii="Times New Roman" w:hAnsi="Times New Roman" w:cs="Times New Roman"/>
        </w:rPr>
        <w:t>a) Fine aggregates</w:t>
      </w:r>
    </w:p>
    <w:p w14:paraId="2D118DC5" w14:textId="151E456F" w:rsidR="0033612F" w:rsidRDefault="0033612F" w:rsidP="009201D3">
      <w:pPr>
        <w:spacing w:after="0" w:line="240" w:lineRule="auto"/>
        <w:jc w:val="center"/>
        <w:rPr>
          <w:rFonts w:ascii="Times New Roman" w:hAnsi="Times New Roman" w:cs="Times New Roman"/>
        </w:rPr>
      </w:pPr>
      <w:r>
        <w:rPr>
          <w:noProof/>
        </w:rPr>
        <w:lastRenderedPageBreak/>
        <w:drawing>
          <wp:inline distT="0" distB="0" distL="0" distR="0" wp14:anchorId="455A68E6" wp14:editId="38771486">
            <wp:extent cx="4747895" cy="3295015"/>
            <wp:effectExtent l="0" t="0" r="0" b="635"/>
            <wp:docPr id="4545569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738961" w14:textId="7B050F9C" w:rsidR="0033612F" w:rsidRDefault="0033612F" w:rsidP="009201D3">
      <w:pPr>
        <w:spacing w:after="0" w:line="240" w:lineRule="auto"/>
        <w:rPr>
          <w:rFonts w:ascii="Times New Roman" w:hAnsi="Times New Roman" w:cs="Times New Roman"/>
        </w:rPr>
      </w:pPr>
      <w:r>
        <w:rPr>
          <w:rFonts w:ascii="Times New Roman" w:hAnsi="Times New Roman" w:cs="Times New Roman"/>
        </w:rPr>
        <w:t>b) Coarse aggregates</w:t>
      </w:r>
    </w:p>
    <w:p w14:paraId="66B85C71" w14:textId="5662D301" w:rsidR="009523E5" w:rsidRDefault="003B4279" w:rsidP="009201D3">
      <w:pPr>
        <w:pStyle w:val="Caption"/>
        <w:spacing w:after="0" w:line="240" w:lineRule="auto"/>
        <w:rPr>
          <w:rFonts w:cs="Times New Roman"/>
        </w:rPr>
      </w:pPr>
      <w:bookmarkStart w:id="12" w:name="_Ref192818929"/>
      <w:r>
        <w:t xml:space="preserve">Fig. </w:t>
      </w:r>
      <w:r>
        <w:fldChar w:fldCharType="begin"/>
      </w:r>
      <w:r>
        <w:instrText xml:space="preserve"> SEQ Fig. \* ARABIC </w:instrText>
      </w:r>
      <w:r>
        <w:fldChar w:fldCharType="separate"/>
      </w:r>
      <w:r w:rsidR="0033612F">
        <w:rPr>
          <w:noProof/>
        </w:rPr>
        <w:t>6</w:t>
      </w:r>
      <w:r>
        <w:rPr>
          <w:noProof/>
        </w:rPr>
        <w:fldChar w:fldCharType="end"/>
      </w:r>
      <w:bookmarkEnd w:id="12"/>
      <w:r>
        <w:t xml:space="preserve"> Fine </w:t>
      </w:r>
      <w:r w:rsidR="0033612F">
        <w:t xml:space="preserve">and coarse </w:t>
      </w:r>
      <w:r>
        <w:t>aggregates particle size distribution</w:t>
      </w:r>
    </w:p>
    <w:p w14:paraId="49BF43F3" w14:textId="77777777" w:rsidR="009523E5" w:rsidRDefault="009523E5" w:rsidP="009201D3">
      <w:pPr>
        <w:spacing w:after="0" w:line="240" w:lineRule="auto"/>
        <w:rPr>
          <w:rFonts w:ascii="Times New Roman" w:hAnsi="Times New Roman" w:cs="Times New Roman"/>
        </w:rPr>
      </w:pPr>
    </w:p>
    <w:p w14:paraId="499EA681" w14:textId="1209569C" w:rsidR="009523E5" w:rsidRDefault="003B4279" w:rsidP="009201D3">
      <w:pPr>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_Ref192818929 </w:instrText>
      </w:r>
      <w:r>
        <w:rPr>
          <w:rFonts w:ascii="Times New Roman" w:hAnsi="Times New Roman" w:cs="Times New Roman"/>
        </w:rPr>
        <w:fldChar w:fldCharType="separate"/>
      </w:r>
      <w:r w:rsidR="0033612F">
        <w:t xml:space="preserve">Fig. </w:t>
      </w:r>
      <w:r w:rsidR="0033612F">
        <w:rPr>
          <w:noProof/>
        </w:rPr>
        <w:t>6</w:t>
      </w:r>
      <w:r>
        <w:rPr>
          <w:rFonts w:ascii="Times New Roman" w:hAnsi="Times New Roman" w:cs="Times New Roman"/>
        </w:rPr>
        <w:fldChar w:fldCharType="end"/>
      </w:r>
      <w:r w:rsidR="0033612F">
        <w:rPr>
          <w:rFonts w:ascii="Times New Roman" w:hAnsi="Times New Roman" w:cs="Times New Roman"/>
        </w:rPr>
        <w:t xml:space="preserve"> a)</w:t>
      </w:r>
      <w:r>
        <w:rPr>
          <w:rFonts w:ascii="Times New Roman" w:hAnsi="Times New Roman" w:cs="Times New Roman"/>
        </w:rPr>
        <w:t xml:space="preserve"> shows the particle size distribution curve which is a semi-log graph of the fine aggregates and the curve displays a well graded sand. The coefficient of uniformity is 5.377 as shown in </w:t>
      </w:r>
      <w:r>
        <w:rPr>
          <w:rFonts w:ascii="Times New Roman" w:hAnsi="Times New Roman" w:cs="Times New Roman"/>
        </w:rPr>
        <w:fldChar w:fldCharType="begin"/>
      </w:r>
      <w:r>
        <w:rPr>
          <w:rFonts w:ascii="Times New Roman" w:hAnsi="Times New Roman" w:cs="Times New Roman"/>
        </w:rPr>
        <w:instrText xml:space="preserve"> REF _Ref192818964 </w:instrText>
      </w:r>
      <w:r>
        <w:rPr>
          <w:rFonts w:ascii="Times New Roman" w:hAnsi="Times New Roman" w:cs="Times New Roman"/>
        </w:rPr>
        <w:fldChar w:fldCharType="separate"/>
      </w:r>
      <w:r>
        <w:t>Table 3</w:t>
      </w:r>
      <w:r>
        <w:rPr>
          <w:rFonts w:ascii="Times New Roman" w:hAnsi="Times New Roman" w:cs="Times New Roman"/>
        </w:rPr>
        <w:fldChar w:fldCharType="end"/>
      </w:r>
      <w:r>
        <w:rPr>
          <w:rFonts w:ascii="Times New Roman" w:hAnsi="Times New Roman" w:cs="Times New Roman"/>
        </w:rPr>
        <w:t xml:space="preserve"> which is an indication of a well-graded</w:t>
      </w:r>
      <w:r>
        <w:rPr>
          <w:rFonts w:ascii="Times New Roman" w:hAnsi="Times New Roman" w:cs="Times New Roman"/>
        </w:rPr>
        <w:t xml:space="preserve"> soil which is of the range </w:t>
      </w:r>
      <w:r>
        <w:rPr>
          <w:rFonts w:ascii="Times New Roman" w:hAnsi="Times New Roman" w:cs="Times New Roman"/>
          <w:position w:val="-6"/>
        </w:rPr>
        <w:object w:dxaOrig="1052" w:dyaOrig="291" w14:anchorId="13A11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13.95pt" o:ole="">
            <v:imagedata r:id="rId25" o:title=""/>
          </v:shape>
          <o:OLEObject Type="Embed" ProgID="Equation.DSMT4" ShapeID="_x0000_i1025" DrawAspect="Content" ObjectID="_1817025302" r:id="rId26"/>
        </w:object>
      </w:r>
      <w:r>
        <w:rPr>
          <w:rFonts w:ascii="Times New Roman" w:hAnsi="Times New Roman" w:cs="Times New Roman"/>
        </w:rPr>
        <w:t xml:space="preserve"> and the coefficient of curvature for the fine aggregates has a value of 1.322 which is a well-graded soil of the range </w:t>
      </w:r>
      <w:r>
        <w:rPr>
          <w:rFonts w:ascii="Times New Roman" w:hAnsi="Times New Roman" w:cs="Times New Roman"/>
          <w:position w:val="-6"/>
        </w:rPr>
        <w:object w:dxaOrig="997" w:dyaOrig="291" w14:anchorId="26DBED8C">
          <v:shape id="_x0000_i1026" type="#_x0000_t75" style="width:49.2pt;height:13.95pt" o:ole="">
            <v:imagedata r:id="rId27" o:title=""/>
          </v:shape>
          <o:OLEObject Type="Embed" ProgID="Equation.DSMT4" ShapeID="_x0000_i1026" DrawAspect="Content" ObjectID="_1817025303" r:id="rId28"/>
        </w:object>
      </w:r>
      <w:r>
        <w:rPr>
          <w:rFonts w:ascii="Times New Roman" w:hAnsi="Times New Roman" w:cs="Times New Roman"/>
        </w:rPr>
        <w:t xml:space="preserve">.  </w:t>
      </w:r>
    </w:p>
    <w:p w14:paraId="66668BE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error of the sieve analysis of the coarse </w:t>
      </w:r>
      <w:r w:rsidRPr="00022125">
        <w:rPr>
          <w:rFonts w:ascii="Times New Roman" w:hAnsi="Times New Roman" w:cs="Times New Roman"/>
        </w:rPr>
        <w:t>aggreg</w:t>
      </w:r>
      <w:r w:rsidRPr="00022125">
        <w:rPr>
          <w:rFonts w:ascii="Times New Roman" w:hAnsi="Times New Roman" w:cs="Times New Roman"/>
        </w:rPr>
        <w:t xml:space="preserve">ates </w:t>
      </w:r>
      <w:r w:rsidRPr="00022125">
        <w:rPr>
          <w:rFonts w:ascii="Times New Roman" w:hAnsi="Times New Roman" w:cs="Times New Roman"/>
          <w:lang w:val="en-US"/>
        </w:rPr>
        <w:t>was</w:t>
      </w:r>
      <w:r w:rsidRPr="00022125">
        <w:rPr>
          <w:rFonts w:ascii="Times New Roman" w:hAnsi="Times New Roman" w:cs="Times New Roman"/>
        </w:rPr>
        <w:t xml:space="preserve"> 0.</w:t>
      </w:r>
      <w:r>
        <w:rPr>
          <w:rFonts w:ascii="Times New Roman" w:hAnsi="Times New Roman" w:cs="Times New Roman"/>
        </w:rPr>
        <w:t xml:space="preserve">002 kg which is acceptable. </w:t>
      </w:r>
    </w:p>
    <w:p w14:paraId="441FD52E" w14:textId="6EB81496" w:rsidR="009523E5" w:rsidRDefault="0033612F" w:rsidP="009201D3">
      <w:pPr>
        <w:spacing w:after="0" w:line="240" w:lineRule="auto"/>
        <w:rPr>
          <w:rFonts w:ascii="Times New Roman" w:hAnsi="Times New Roman" w:cs="Times New Roman"/>
        </w:rPr>
      </w:pPr>
      <w:r>
        <w:rPr>
          <w:rFonts w:ascii="Times New Roman" w:hAnsi="Times New Roman" w:cs="Times New Roman"/>
        </w:rPr>
        <w:t xml:space="preserve">The particle size distribution curve of the coarse aggregates as shown in </w:t>
      </w:r>
      <w:r>
        <w:rPr>
          <w:rFonts w:ascii="Times New Roman" w:hAnsi="Times New Roman" w:cs="Times New Roman"/>
        </w:rPr>
        <w:fldChar w:fldCharType="begin"/>
      </w:r>
      <w:r>
        <w:rPr>
          <w:rFonts w:ascii="Times New Roman" w:hAnsi="Times New Roman" w:cs="Times New Roman"/>
        </w:rPr>
        <w:instrText xml:space="preserve"> REF _Ref192818929 \h </w:instrText>
      </w:r>
      <w:r>
        <w:rPr>
          <w:rFonts w:ascii="Times New Roman" w:hAnsi="Times New Roman" w:cs="Times New Roman"/>
        </w:rPr>
      </w:r>
      <w:r>
        <w:rPr>
          <w:rFonts w:ascii="Times New Roman" w:hAnsi="Times New Roman" w:cs="Times New Roman"/>
        </w:rPr>
        <w:fldChar w:fldCharType="separate"/>
      </w:r>
      <w:r>
        <w:t xml:space="preserve">Fig. </w:t>
      </w:r>
      <w:r>
        <w:rPr>
          <w:noProof/>
        </w:rPr>
        <w:t>6</w:t>
      </w:r>
      <w:r>
        <w:rPr>
          <w:rFonts w:ascii="Times New Roman" w:hAnsi="Times New Roman" w:cs="Times New Roman"/>
        </w:rPr>
        <w:fldChar w:fldCharType="end"/>
      </w:r>
      <w:r>
        <w:rPr>
          <w:rFonts w:ascii="Times New Roman" w:hAnsi="Times New Roman" w:cs="Times New Roman"/>
        </w:rPr>
        <w:t xml:space="preserve"> b), the coefficient of uniformity is 1.</w:t>
      </w:r>
      <w:r w:rsidRPr="00022125">
        <w:rPr>
          <w:rFonts w:ascii="Times New Roman" w:hAnsi="Times New Roman" w:cs="Times New Roman"/>
        </w:rPr>
        <w:t xml:space="preserve">229 as shown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_Ref192818964 \h </w:instrText>
      </w:r>
      <w:r w:rsidRPr="00022125">
        <w:rPr>
          <w:rFonts w:ascii="Times New Roman" w:hAnsi="Times New Roman" w:cs="Times New Roman"/>
        </w:rPr>
      </w:r>
      <w:r w:rsidRPr="00022125">
        <w:rPr>
          <w:rFonts w:ascii="Times New Roman" w:hAnsi="Times New Roman" w:cs="Times New Roman"/>
        </w:rPr>
        <w:fldChar w:fldCharType="separate"/>
      </w:r>
      <w:r w:rsidRPr="00022125">
        <w:t>Table 3</w:t>
      </w:r>
      <w:r w:rsidRPr="00022125">
        <w:rPr>
          <w:rFonts w:ascii="Times New Roman" w:hAnsi="Times New Roman" w:cs="Times New Roman"/>
        </w:rPr>
        <w:fldChar w:fldCharType="end"/>
      </w:r>
      <w:r w:rsidRPr="00022125">
        <w:rPr>
          <w:rFonts w:ascii="Times New Roman" w:hAnsi="Times New Roman" w:cs="Times New Roman"/>
        </w:rPr>
        <w:t xml:space="preserve"> which indicates that the aggregates are of a single size aggregate particle which is compared to the value of </w:t>
      </w:r>
      <w:r w:rsidRPr="00022125">
        <w:rPr>
          <w:rFonts w:ascii="Times New Roman" w:hAnsi="Times New Roman" w:cs="Times New Roman"/>
          <w:position w:val="-6"/>
        </w:rPr>
        <w:object w:dxaOrig="678" w:dyaOrig="291" w14:anchorId="3C7957C2">
          <v:shape id="_x0000_i1027" type="#_x0000_t75" style="width:33.8pt;height:13.95pt" o:ole="">
            <v:imagedata r:id="rId29" o:title=""/>
          </v:shape>
          <o:OLEObject Type="Embed" ProgID="Equation.DSMT4" ShapeID="_x0000_i1027" DrawAspect="Content" ObjectID="_1817025304" r:id="rId30"/>
        </w:object>
      </w:r>
      <w:r w:rsidRPr="00022125">
        <w:rPr>
          <w:rFonts w:ascii="Times New Roman" w:hAnsi="Times New Roman" w:cs="Times New Roman"/>
          <w:position w:val="-6"/>
          <w:lang w:val="en-US"/>
        </w:rPr>
        <w:t>,</w:t>
      </w:r>
      <w:r w:rsidRPr="00022125">
        <w:rPr>
          <w:rFonts w:ascii="Times New Roman" w:hAnsi="Times New Roman" w:cs="Times New Roman"/>
        </w:rPr>
        <w:t xml:space="preserve"> and the coefficient of curvature is 0.977, which compares to a value of range </w:t>
      </w:r>
      <w:r w:rsidRPr="00022125">
        <w:rPr>
          <w:rFonts w:ascii="Times New Roman" w:hAnsi="Times New Roman" w:cs="Times New Roman"/>
          <w:position w:val="-6"/>
        </w:rPr>
        <w:object w:dxaOrig="678" w:dyaOrig="291" w14:anchorId="16288C57">
          <v:shape id="_x0000_i1028" type="#_x0000_t75" style="width:33.8pt;height:13.95pt" o:ole="">
            <v:imagedata r:id="rId31" o:title=""/>
          </v:shape>
          <o:OLEObject Type="Embed" ProgID="Equation.DSMT4" ShapeID="_x0000_i1028" DrawAspect="Content" ObjectID="_1817025305" r:id="rId32"/>
        </w:object>
      </w:r>
      <w:r w:rsidRPr="00022125">
        <w:rPr>
          <w:rFonts w:ascii="Times New Roman" w:hAnsi="Times New Roman" w:cs="Times New Roman"/>
        </w:rPr>
        <w:t xml:space="preserve"> </w:t>
      </w:r>
      <w:r w:rsidR="00C234B6">
        <w:rPr>
          <w:rFonts w:ascii="Times New Roman" w:hAnsi="Times New Roman" w:cs="Times New Roman"/>
        </w:rPr>
        <w:t>indicating</w:t>
      </w:r>
      <w:r w:rsidRPr="00022125">
        <w:rPr>
          <w:rFonts w:ascii="Times New Roman" w:hAnsi="Times New Roman" w:cs="Times New Roman"/>
        </w:rPr>
        <w:t xml:space="preserve"> a single size sample. The curve </w:t>
      </w:r>
      <w:r w:rsidRPr="00022125">
        <w:rPr>
          <w:rFonts w:ascii="Times New Roman" w:hAnsi="Times New Roman" w:cs="Times New Roman"/>
          <w:lang w:val="en-US"/>
        </w:rPr>
        <w:t>for</w:t>
      </w:r>
      <w:r w:rsidRPr="00022125">
        <w:rPr>
          <w:rFonts w:ascii="Times New Roman" w:hAnsi="Times New Roman" w:cs="Times New Roman"/>
        </w:rPr>
        <w:t xml:space="preserve"> the coarse aggregates shows </w:t>
      </w:r>
      <w:r w:rsidRPr="00022125">
        <w:rPr>
          <w:rFonts w:ascii="Times New Roman" w:hAnsi="Times New Roman" w:cs="Times New Roman"/>
          <w:lang w:val="en-US"/>
        </w:rPr>
        <w:t>a</w:t>
      </w:r>
      <w:r w:rsidRPr="00022125">
        <w:rPr>
          <w:rFonts w:ascii="Times New Roman" w:hAnsi="Times New Roman" w:cs="Times New Roman"/>
        </w:rPr>
        <w:t xml:space="preserve"> sharp ascent as against a gradual ascent in the case of the well-graded curve of the fine aggregates and this hovers around 10 mm which is the nominal size used for the experimental casting of the coarse aggregates. The error margin of the sieve analysis of the fine aggregates </w:t>
      </w:r>
      <w:r w:rsidRPr="00022125">
        <w:rPr>
          <w:rFonts w:ascii="Times New Roman" w:hAnsi="Times New Roman" w:cs="Times New Roman"/>
          <w:lang w:val="en-US"/>
        </w:rPr>
        <w:t>was</w:t>
      </w:r>
      <w:r w:rsidRPr="00022125">
        <w:rPr>
          <w:rFonts w:ascii="Times New Roman" w:hAnsi="Times New Roman" w:cs="Times New Roman"/>
        </w:rPr>
        <w:t xml:space="preserve"> 0</w:t>
      </w:r>
      <w:r>
        <w:rPr>
          <w:rFonts w:ascii="Times New Roman" w:hAnsi="Times New Roman" w:cs="Times New Roman"/>
        </w:rPr>
        <w:t xml:space="preserve">.007 kg which is acceptable. </w:t>
      </w:r>
    </w:p>
    <w:p w14:paraId="14421390" w14:textId="77777777" w:rsidR="009523E5" w:rsidRDefault="009523E5" w:rsidP="009201D3">
      <w:pPr>
        <w:spacing w:after="0" w:line="240" w:lineRule="auto"/>
        <w:rPr>
          <w:rFonts w:ascii="Times New Roman" w:hAnsi="Times New Roman" w:cs="Times New Roman"/>
        </w:rPr>
      </w:pPr>
    </w:p>
    <w:p w14:paraId="45F54A96" w14:textId="77777777" w:rsidR="009523E5" w:rsidRDefault="003B4279" w:rsidP="009201D3">
      <w:pPr>
        <w:pStyle w:val="Caption"/>
        <w:spacing w:after="0" w:line="240" w:lineRule="auto"/>
        <w:rPr>
          <w:rFonts w:cs="Times New Roman"/>
        </w:rPr>
      </w:pPr>
      <w:bookmarkStart w:id="13" w:name="_Ref192818964"/>
      <w:r>
        <w:t xml:space="preserve">Table </w:t>
      </w:r>
      <w:r>
        <w:fldChar w:fldCharType="begin"/>
      </w:r>
      <w:r>
        <w:instrText xml:space="preserve"> SEQ Table \* ARABIC </w:instrText>
      </w:r>
      <w:r>
        <w:fldChar w:fldCharType="separate"/>
      </w:r>
      <w:r w:rsidR="009523E5">
        <w:t>3</w:t>
      </w:r>
      <w:r>
        <w:fldChar w:fldCharType="end"/>
      </w:r>
      <w:bookmarkEnd w:id="13"/>
      <w:r>
        <w:t xml:space="preserve"> Aggregates coefficient of uniformity and curvature</w:t>
      </w:r>
    </w:p>
    <w:tbl>
      <w:tblPr>
        <w:tblW w:w="4252" w:type="dxa"/>
        <w:jc w:val="center"/>
        <w:tblLook w:val="04A0" w:firstRow="1" w:lastRow="0" w:firstColumn="1" w:lastColumn="0" w:noHBand="0" w:noVBand="1"/>
      </w:tblPr>
      <w:tblGrid>
        <w:gridCol w:w="1158"/>
        <w:gridCol w:w="1158"/>
        <w:gridCol w:w="968"/>
        <w:gridCol w:w="968"/>
      </w:tblGrid>
      <w:tr w:rsidR="009523E5" w14:paraId="109B30C6" w14:textId="77777777">
        <w:trPr>
          <w:trHeight w:val="300"/>
          <w:jc w:val="center"/>
        </w:trPr>
        <w:tc>
          <w:tcPr>
            <w:tcW w:w="2316" w:type="dxa"/>
            <w:gridSpan w:val="2"/>
            <w:tcBorders>
              <w:top w:val="single" w:sz="4" w:space="0" w:color="auto"/>
              <w:left w:val="nil"/>
              <w:bottom w:val="nil"/>
              <w:right w:val="nil"/>
            </w:tcBorders>
            <w:noWrap/>
            <w:vAlign w:val="center"/>
          </w:tcPr>
          <w:p w14:paraId="6E3B3D1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Coarse aggregates</w:t>
            </w:r>
          </w:p>
        </w:tc>
        <w:tc>
          <w:tcPr>
            <w:tcW w:w="1936" w:type="dxa"/>
            <w:gridSpan w:val="2"/>
            <w:tcBorders>
              <w:top w:val="single" w:sz="4" w:space="0" w:color="auto"/>
              <w:left w:val="nil"/>
              <w:bottom w:val="nil"/>
              <w:right w:val="nil"/>
            </w:tcBorders>
            <w:noWrap/>
            <w:vAlign w:val="center"/>
          </w:tcPr>
          <w:p w14:paraId="71A2E0E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Fine aggregates</w:t>
            </w:r>
          </w:p>
        </w:tc>
      </w:tr>
      <w:tr w:rsidR="009523E5" w14:paraId="5C337FD3" w14:textId="77777777">
        <w:trPr>
          <w:trHeight w:val="300"/>
          <w:jc w:val="center"/>
        </w:trPr>
        <w:tc>
          <w:tcPr>
            <w:tcW w:w="1158" w:type="dxa"/>
            <w:tcBorders>
              <w:top w:val="nil"/>
              <w:left w:val="nil"/>
              <w:bottom w:val="single" w:sz="4" w:space="0" w:color="auto"/>
              <w:right w:val="nil"/>
            </w:tcBorders>
            <w:noWrap/>
            <w:vAlign w:val="center"/>
          </w:tcPr>
          <w:p w14:paraId="2CAAE59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Cu</w:t>
            </w:r>
          </w:p>
        </w:tc>
        <w:tc>
          <w:tcPr>
            <w:tcW w:w="1158" w:type="dxa"/>
            <w:tcBorders>
              <w:top w:val="nil"/>
              <w:left w:val="nil"/>
              <w:bottom w:val="single" w:sz="4" w:space="0" w:color="auto"/>
              <w:right w:val="nil"/>
            </w:tcBorders>
            <w:noWrap/>
            <w:vAlign w:val="center"/>
          </w:tcPr>
          <w:p w14:paraId="3336742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Cc</w:t>
            </w:r>
          </w:p>
        </w:tc>
        <w:tc>
          <w:tcPr>
            <w:tcW w:w="968" w:type="dxa"/>
            <w:tcBorders>
              <w:top w:val="nil"/>
              <w:left w:val="nil"/>
              <w:bottom w:val="single" w:sz="4" w:space="0" w:color="auto"/>
              <w:right w:val="nil"/>
            </w:tcBorders>
            <w:noWrap/>
            <w:vAlign w:val="center"/>
          </w:tcPr>
          <w:p w14:paraId="4B139D2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Cu</w:t>
            </w:r>
          </w:p>
        </w:tc>
        <w:tc>
          <w:tcPr>
            <w:tcW w:w="968" w:type="dxa"/>
            <w:tcBorders>
              <w:top w:val="nil"/>
              <w:left w:val="nil"/>
              <w:bottom w:val="single" w:sz="4" w:space="0" w:color="auto"/>
              <w:right w:val="nil"/>
            </w:tcBorders>
            <w:noWrap/>
            <w:vAlign w:val="center"/>
          </w:tcPr>
          <w:p w14:paraId="4A8144A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Cc</w:t>
            </w:r>
          </w:p>
        </w:tc>
      </w:tr>
      <w:tr w:rsidR="009523E5" w14:paraId="7E47C72D" w14:textId="77777777">
        <w:trPr>
          <w:trHeight w:val="300"/>
          <w:jc w:val="center"/>
        </w:trPr>
        <w:tc>
          <w:tcPr>
            <w:tcW w:w="1158" w:type="dxa"/>
            <w:tcBorders>
              <w:top w:val="single" w:sz="4" w:space="0" w:color="auto"/>
              <w:left w:val="nil"/>
              <w:bottom w:val="single" w:sz="4" w:space="0" w:color="auto"/>
              <w:right w:val="nil"/>
            </w:tcBorders>
            <w:noWrap/>
            <w:vAlign w:val="center"/>
          </w:tcPr>
          <w:p w14:paraId="3EBBB49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1.229</w:t>
            </w:r>
          </w:p>
        </w:tc>
        <w:tc>
          <w:tcPr>
            <w:tcW w:w="1158" w:type="dxa"/>
            <w:tcBorders>
              <w:top w:val="single" w:sz="4" w:space="0" w:color="auto"/>
              <w:left w:val="nil"/>
              <w:bottom w:val="single" w:sz="4" w:space="0" w:color="auto"/>
              <w:right w:val="nil"/>
            </w:tcBorders>
            <w:noWrap/>
            <w:vAlign w:val="center"/>
          </w:tcPr>
          <w:p w14:paraId="420BF7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0.977</w:t>
            </w:r>
          </w:p>
        </w:tc>
        <w:tc>
          <w:tcPr>
            <w:tcW w:w="968" w:type="dxa"/>
            <w:tcBorders>
              <w:top w:val="single" w:sz="4" w:space="0" w:color="auto"/>
              <w:left w:val="nil"/>
              <w:bottom w:val="single" w:sz="4" w:space="0" w:color="auto"/>
              <w:right w:val="nil"/>
            </w:tcBorders>
            <w:noWrap/>
            <w:vAlign w:val="center"/>
          </w:tcPr>
          <w:p w14:paraId="60143A2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5.377</w:t>
            </w:r>
          </w:p>
        </w:tc>
        <w:tc>
          <w:tcPr>
            <w:tcW w:w="968" w:type="dxa"/>
            <w:tcBorders>
              <w:top w:val="single" w:sz="4" w:space="0" w:color="auto"/>
              <w:left w:val="nil"/>
              <w:bottom w:val="single" w:sz="4" w:space="0" w:color="auto"/>
              <w:right w:val="nil"/>
            </w:tcBorders>
            <w:noWrap/>
            <w:vAlign w:val="center"/>
          </w:tcPr>
          <w:p w14:paraId="0308A8F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1.322</w:t>
            </w:r>
          </w:p>
        </w:tc>
      </w:tr>
    </w:tbl>
    <w:p w14:paraId="22B0FE51" w14:textId="77777777" w:rsidR="009523E5" w:rsidRDefault="009523E5" w:rsidP="009201D3">
      <w:pPr>
        <w:spacing w:after="0" w:line="240" w:lineRule="auto"/>
        <w:rPr>
          <w:rFonts w:ascii="Times New Roman" w:hAnsi="Times New Roman" w:cs="Times New Roman"/>
        </w:rPr>
      </w:pPr>
    </w:p>
    <w:p w14:paraId="7B19224B" w14:textId="77777777" w:rsidR="009523E5" w:rsidRDefault="009523E5" w:rsidP="009201D3">
      <w:pPr>
        <w:spacing w:after="0" w:line="240" w:lineRule="auto"/>
        <w:rPr>
          <w:rFonts w:ascii="Times New Roman" w:hAnsi="Times New Roman" w:cs="Times New Roman"/>
        </w:rPr>
      </w:pPr>
    </w:p>
    <w:p w14:paraId="0E459248" w14:textId="77777777" w:rsidR="009523E5" w:rsidRDefault="009523E5" w:rsidP="009201D3">
      <w:pPr>
        <w:spacing w:after="0" w:line="240" w:lineRule="auto"/>
        <w:rPr>
          <w:rFonts w:ascii="Times New Roman" w:hAnsi="Times New Roman" w:cs="Times New Roman"/>
        </w:rPr>
      </w:pPr>
    </w:p>
    <w:p w14:paraId="4B00AF68"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 Analysis and Discussion</w:t>
      </w:r>
    </w:p>
    <w:p w14:paraId="7455FBCD"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4.1 Crack patterns and failure modes of beams</w:t>
      </w:r>
    </w:p>
    <w:p w14:paraId="21A9CB34" w14:textId="56244639"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Figures </w:t>
      </w:r>
      <w:r w:rsidR="0033612F">
        <w:rPr>
          <w:rFonts w:ascii="Times New Roman" w:hAnsi="Times New Roman" w:cs="Times New Roman"/>
        </w:rPr>
        <w:t>7</w:t>
      </w:r>
      <w:r>
        <w:rPr>
          <w:rFonts w:ascii="Times New Roman" w:hAnsi="Times New Roman" w:cs="Times New Roman"/>
        </w:rPr>
        <w:t xml:space="preserve"> through to 1</w:t>
      </w:r>
      <w:r w:rsidR="0033612F">
        <w:rPr>
          <w:rFonts w:ascii="Times New Roman" w:hAnsi="Times New Roman" w:cs="Times New Roman"/>
        </w:rPr>
        <w:t>1</w:t>
      </w:r>
      <w:r>
        <w:rPr>
          <w:rFonts w:ascii="Times New Roman" w:hAnsi="Times New Roman" w:cs="Times New Roman"/>
        </w:rPr>
        <w:t xml:space="preserve"> show the failure modes and crack patterns of the unretrofitted beams and their corresponding hybrid retrofitted beams. </w:t>
      </w:r>
      <w:r>
        <w:rPr>
          <w:rFonts w:ascii="Times New Roman" w:hAnsi="Times New Roman" w:cs="Times New Roman"/>
        </w:rPr>
        <w:fldChar w:fldCharType="begin"/>
      </w:r>
      <w:r>
        <w:rPr>
          <w:rFonts w:ascii="Times New Roman" w:hAnsi="Times New Roman" w:cs="Times New Roman"/>
        </w:rPr>
        <w:instrText xml:space="preserve"> REF _Ref192819584 \h  \* MERGEFORMAT </w:instrText>
      </w:r>
      <w:r>
        <w:rPr>
          <w:rFonts w:ascii="Times New Roman" w:hAnsi="Times New Roman" w:cs="Times New Roman"/>
        </w:rPr>
      </w:r>
      <w:r>
        <w:rPr>
          <w:rFonts w:ascii="Times New Roman" w:hAnsi="Times New Roman" w:cs="Times New Roman"/>
        </w:rPr>
        <w:fldChar w:fldCharType="separate"/>
      </w:r>
      <w:r w:rsidR="0033612F" w:rsidRPr="0033612F">
        <w:rPr>
          <w:rFonts w:ascii="Times New Roman" w:hAnsi="Times New Roman" w:cs="Times New Roman"/>
        </w:rPr>
        <w:t>Fig. 7</w:t>
      </w:r>
      <w:r>
        <w:rPr>
          <w:rFonts w:ascii="Times New Roman" w:hAnsi="Times New Roman" w:cs="Times New Roman"/>
        </w:rPr>
        <w:fldChar w:fldCharType="end"/>
      </w:r>
      <w:r>
        <w:rPr>
          <w:rFonts w:ascii="Times New Roman" w:hAnsi="Times New Roman" w:cs="Times New Roman"/>
        </w:rPr>
        <w:t xml:space="preserve"> shows the crack patterns </w:t>
      </w:r>
      <w:proofErr w:type="gramStart"/>
      <w:r>
        <w:rPr>
          <w:rFonts w:ascii="Times New Roman" w:hAnsi="Times New Roman" w:cs="Times New Roman"/>
        </w:rPr>
        <w:t>for  Beam</w:t>
      </w:r>
      <w:proofErr w:type="gramEnd"/>
      <w:r>
        <w:rPr>
          <w:rFonts w:ascii="Times New Roman" w:hAnsi="Times New Roman" w:cs="Times New Roman"/>
        </w:rPr>
        <w:t xml:space="preserve"> </w:t>
      </w:r>
      <w:r>
        <w:rPr>
          <w:rFonts w:ascii="Times New Roman" w:hAnsi="Times New Roman" w:cs="Times New Roman"/>
        </w:rPr>
        <w:lastRenderedPageBreak/>
        <w:t>A1 which is the unretrofitted beam and beam AR02 which is the hybrid retrofitted beam. At failure, the compression region of beam A1 is observed to have not crushed, and the cracks are mild from the extreme tensile regio</w:t>
      </w:r>
      <w:r>
        <w:rPr>
          <w:rFonts w:ascii="Times New Roman" w:hAnsi="Times New Roman" w:cs="Times New Roman"/>
        </w:rPr>
        <w:t>ns travelling through the neutral axis into near the compression zone. No extensive crack openings are observed in the tensile zone. The failure modes of the beam A1 are flexural and shear cracks with the main cause of failure being attributed to the flexu</w:t>
      </w:r>
      <w:r>
        <w:rPr>
          <w:rFonts w:ascii="Times New Roman" w:hAnsi="Times New Roman" w:cs="Times New Roman"/>
        </w:rPr>
        <w:t>ral cracks. Beam A1 is an unretrofitted beam, as such there is no debonding to be expected as this condition is only evident in the retrofitted beams. Beam AR02 is shown to have collapsed completely with an extensive diagonal crack from the extreme tensile</w:t>
      </w:r>
      <w:r>
        <w:rPr>
          <w:rFonts w:ascii="Times New Roman" w:hAnsi="Times New Roman" w:cs="Times New Roman"/>
        </w:rPr>
        <w:t xml:space="preserve"> zone through </w:t>
      </w:r>
      <w:r w:rsidRPr="00022125">
        <w:rPr>
          <w:rFonts w:ascii="Times New Roman" w:hAnsi="Times New Roman" w:cs="Times New Roman"/>
        </w:rPr>
        <w:t>the extreme compressive fibre. Not all the cracks of the retrofitted beam originated from the extreme tensile fibre as some began from the extreme tensile fibre of the interface of the retrofitted layer with the RC beam. There is also the evi</w:t>
      </w:r>
      <w:r w:rsidRPr="00022125">
        <w:rPr>
          <w:rFonts w:ascii="Times New Roman" w:hAnsi="Times New Roman" w:cs="Times New Roman"/>
        </w:rPr>
        <w:t xml:space="preserve">dence of debonding with a maximum crack </w:t>
      </w:r>
      <w:r w:rsidRPr="00022125">
        <w:rPr>
          <w:rFonts w:ascii="Times New Roman" w:hAnsi="Times New Roman" w:cs="Times New Roman"/>
          <w:lang w:val="en-US"/>
        </w:rPr>
        <w:t xml:space="preserve">width </w:t>
      </w:r>
      <w:r w:rsidRPr="00022125">
        <w:rPr>
          <w:rFonts w:ascii="Times New Roman" w:hAnsi="Times New Roman" w:cs="Times New Roman"/>
        </w:rPr>
        <w:t xml:space="preserve">of 10 mm </w:t>
      </w:r>
      <w:r>
        <w:rPr>
          <w:rFonts w:ascii="Times New Roman" w:hAnsi="Times New Roman" w:cs="Times New Roman"/>
        </w:rPr>
        <w:t>as shown in Table 4. The failure modes of the beam AR02 were flexural cracks, diagonal shear cracks, and debonding with the main cause of failure attributed to diagonal shear crack.</w:t>
      </w:r>
    </w:p>
    <w:p w14:paraId="09E55ABE" w14:textId="77777777" w:rsidR="009523E5" w:rsidRDefault="009523E5" w:rsidP="009201D3">
      <w:pPr>
        <w:spacing w:after="0" w:line="240" w:lineRule="auto"/>
        <w:rPr>
          <w:rFonts w:ascii="Times New Roman" w:hAnsi="Times New Roman" w:cs="Times New Roman"/>
        </w:rPr>
      </w:pPr>
    </w:p>
    <w:p w14:paraId="3ED6DE20" w14:textId="626A5D5B" w:rsidR="009523E5" w:rsidRDefault="00E529A3" w:rsidP="009201D3">
      <w:pPr>
        <w:spacing w:after="0" w:line="240" w:lineRule="auto"/>
        <w:jc w:val="center"/>
        <w:rPr>
          <w:rFonts w:ascii="Times New Roman" w:hAnsi="Times New Roman" w:cs="Times New Roman"/>
          <w:lang w:val="en-US"/>
        </w:rPr>
      </w:pPr>
      <w:r>
        <w:rPr>
          <w:noProof/>
        </w:rPr>
        <w:drawing>
          <wp:inline distT="0" distB="0" distL="0" distR="0" wp14:anchorId="517BFFDF" wp14:editId="19EC9A65">
            <wp:extent cx="5731510" cy="825500"/>
            <wp:effectExtent l="0" t="0" r="2540" b="0"/>
            <wp:docPr id="73481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25500"/>
                    </a:xfrm>
                    <a:prstGeom prst="rect">
                      <a:avLst/>
                    </a:prstGeom>
                    <a:noFill/>
                    <a:ln>
                      <a:noFill/>
                    </a:ln>
                  </pic:spPr>
                </pic:pic>
              </a:graphicData>
            </a:graphic>
          </wp:inline>
        </w:drawing>
      </w:r>
    </w:p>
    <w:p w14:paraId="541446D1" w14:textId="1545827E" w:rsidR="009523E5" w:rsidRDefault="00E529A3" w:rsidP="009201D3">
      <w:pPr>
        <w:spacing w:after="0" w:line="240" w:lineRule="auto"/>
        <w:jc w:val="center"/>
        <w:rPr>
          <w:rFonts w:ascii="Times New Roman" w:hAnsi="Times New Roman" w:cs="Times New Roman"/>
          <w:lang w:val="en-US"/>
        </w:rPr>
      </w:pPr>
      <w:r>
        <w:rPr>
          <w:noProof/>
        </w:rPr>
        <w:drawing>
          <wp:inline distT="0" distB="0" distL="0" distR="0" wp14:anchorId="0B6D565D" wp14:editId="2CA03A62">
            <wp:extent cx="5731510" cy="798195"/>
            <wp:effectExtent l="0" t="0" r="2540" b="1905"/>
            <wp:docPr id="785992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98195"/>
                    </a:xfrm>
                    <a:prstGeom prst="rect">
                      <a:avLst/>
                    </a:prstGeom>
                    <a:noFill/>
                    <a:ln>
                      <a:noFill/>
                    </a:ln>
                  </pic:spPr>
                </pic:pic>
              </a:graphicData>
            </a:graphic>
          </wp:inline>
        </w:drawing>
      </w:r>
    </w:p>
    <w:p w14:paraId="28EDADEC" w14:textId="6A1C67BF" w:rsidR="009523E5" w:rsidRDefault="003B4279" w:rsidP="009201D3">
      <w:pPr>
        <w:pStyle w:val="Caption"/>
        <w:spacing w:after="0" w:line="240" w:lineRule="auto"/>
        <w:rPr>
          <w:rFonts w:cs="Times New Roman"/>
        </w:rPr>
      </w:pPr>
      <w:bookmarkStart w:id="14" w:name="_Ref192819584"/>
      <w:r>
        <w:t xml:space="preserve">Fig. </w:t>
      </w:r>
      <w:r>
        <w:fldChar w:fldCharType="begin"/>
      </w:r>
      <w:r>
        <w:instrText xml:space="preserve"> SEQ Fi</w:instrText>
      </w:r>
      <w:r>
        <w:instrText xml:space="preserve">g. \* ARABIC </w:instrText>
      </w:r>
      <w:r>
        <w:fldChar w:fldCharType="separate"/>
      </w:r>
      <w:r w:rsidR="0033612F">
        <w:rPr>
          <w:noProof/>
        </w:rPr>
        <w:t>7</w:t>
      </w:r>
      <w:r>
        <w:rPr>
          <w:noProof/>
        </w:rPr>
        <w:fldChar w:fldCharType="end"/>
      </w:r>
      <w:bookmarkEnd w:id="14"/>
      <w:r>
        <w:t xml:space="preserve"> Failure modes and crack patterns of beams A1 and AR02</w:t>
      </w:r>
    </w:p>
    <w:p w14:paraId="41360316" w14:textId="77777777" w:rsidR="009523E5" w:rsidRDefault="009523E5" w:rsidP="009201D3">
      <w:pPr>
        <w:spacing w:after="0" w:line="240" w:lineRule="auto"/>
        <w:rPr>
          <w:rFonts w:ascii="Times New Roman" w:hAnsi="Times New Roman" w:cs="Times New Roman"/>
        </w:rPr>
      </w:pPr>
    </w:p>
    <w:p w14:paraId="5021405A" w14:textId="4D9CBBFD" w:rsidR="009523E5" w:rsidRDefault="003B4279" w:rsidP="009201D3">
      <w:pPr>
        <w:pStyle w:val="ListParagraph"/>
        <w:numPr>
          <w:ilvl w:val="0"/>
          <w:numId w:val="1"/>
        </w:numPr>
        <w:spacing w:after="0" w:line="240" w:lineRule="auto"/>
        <w:ind w:right="11" w:hanging="728"/>
        <w:contextualSpacing w:val="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_Ref192819679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33612F" w:rsidRPr="0033612F">
        <w:rPr>
          <w:rFonts w:ascii="Times New Roman" w:hAnsi="Times New Roman" w:cs="Times New Roman"/>
          <w:sz w:val="24"/>
          <w:szCs w:val="24"/>
        </w:rPr>
        <w:t>Fig. 8</w:t>
      </w:r>
      <w:r>
        <w:rPr>
          <w:rFonts w:ascii="Times New Roman" w:hAnsi="Times New Roman" w:cs="Times New Roman"/>
          <w:sz w:val="24"/>
          <w:szCs w:val="24"/>
        </w:rPr>
        <w:fldChar w:fldCharType="end"/>
      </w:r>
      <w:r>
        <w:rPr>
          <w:rFonts w:ascii="Times New Roman" w:hAnsi="Times New Roman" w:cs="Times New Roman"/>
          <w:sz w:val="24"/>
          <w:szCs w:val="24"/>
        </w:rPr>
        <w:t xml:space="preserve"> shows the failure and crack patterns of the beams B1 and BR02. Beam B1 ex</w:t>
      </w:r>
      <w:r>
        <w:rPr>
          <w:rFonts w:ascii="Times New Roman" w:hAnsi="Times New Roman" w:cs="Times New Roman"/>
          <w:sz w:val="24"/>
          <w:szCs w:val="24"/>
        </w:rPr>
        <w:t>hibit</w:t>
      </w:r>
      <w:r>
        <w:rPr>
          <w:rFonts w:ascii="Times New Roman" w:hAnsi="Times New Roman" w:cs="Times New Roman"/>
          <w:sz w:val="24"/>
          <w:szCs w:val="24"/>
          <w:lang w:val="en-GB"/>
        </w:rPr>
        <w:t>ed</w:t>
      </w:r>
      <w:r>
        <w:rPr>
          <w:rFonts w:ascii="Times New Roman" w:hAnsi="Times New Roman" w:cs="Times New Roman"/>
          <w:sz w:val="24"/>
          <w:szCs w:val="24"/>
        </w:rPr>
        <w:t xml:space="preserve"> small cracks that </w:t>
      </w:r>
      <w:r>
        <w:rPr>
          <w:rFonts w:ascii="Times New Roman" w:hAnsi="Times New Roman" w:cs="Times New Roman"/>
          <w:sz w:val="24"/>
          <w:szCs w:val="24"/>
          <w:lang w:val="en-GB"/>
        </w:rPr>
        <w:t>extended</w:t>
      </w:r>
      <w:r>
        <w:rPr>
          <w:rFonts w:ascii="Times New Roman" w:hAnsi="Times New Roman" w:cs="Times New Roman"/>
          <w:sz w:val="24"/>
          <w:szCs w:val="24"/>
        </w:rPr>
        <w:t xml:space="preserve"> from the tensile region to near the extreme compression fibres. At failure. there </w:t>
      </w:r>
      <w:proofErr w:type="gramStart"/>
      <w:r>
        <w:rPr>
          <w:rFonts w:ascii="Times New Roman" w:hAnsi="Times New Roman" w:cs="Times New Roman"/>
          <w:sz w:val="24"/>
          <w:szCs w:val="24"/>
          <w:lang w:val="en-GB"/>
        </w:rPr>
        <w:t>was</w:t>
      </w:r>
      <w:proofErr w:type="gramEnd"/>
      <w:r>
        <w:rPr>
          <w:rFonts w:ascii="Times New Roman" w:hAnsi="Times New Roman" w:cs="Times New Roman"/>
          <w:sz w:val="24"/>
          <w:szCs w:val="24"/>
        </w:rPr>
        <w:t xml:space="preserve"> no extensive crack openings observed and the failure mode </w:t>
      </w:r>
      <w:r>
        <w:rPr>
          <w:rFonts w:ascii="Times New Roman" w:hAnsi="Times New Roman" w:cs="Times New Roman"/>
          <w:sz w:val="24"/>
          <w:szCs w:val="24"/>
          <w:lang w:val="en-GB"/>
        </w:rPr>
        <w:t xml:space="preserve">was </w:t>
      </w:r>
      <w:r>
        <w:rPr>
          <w:rFonts w:ascii="Times New Roman" w:hAnsi="Times New Roman" w:cs="Times New Roman"/>
          <w:sz w:val="24"/>
          <w:szCs w:val="24"/>
        </w:rPr>
        <w:t>mainly</w:t>
      </w:r>
      <w:r>
        <w:rPr>
          <w:rFonts w:ascii="Times New Roman" w:hAnsi="Times New Roman" w:cs="Times New Roman"/>
          <w:sz w:val="24"/>
          <w:szCs w:val="24"/>
          <w:lang w:val="en-GB"/>
        </w:rPr>
        <w:t xml:space="preserve"> due</w:t>
      </w:r>
      <w:r>
        <w:rPr>
          <w:rFonts w:ascii="Times New Roman" w:hAnsi="Times New Roman" w:cs="Times New Roman"/>
          <w:sz w:val="24"/>
          <w:szCs w:val="24"/>
        </w:rPr>
        <w:t xml:space="preserve"> </w:t>
      </w:r>
      <w:r>
        <w:rPr>
          <w:rFonts w:ascii="Times New Roman" w:hAnsi="Times New Roman" w:cs="Times New Roman"/>
          <w:sz w:val="24"/>
          <w:szCs w:val="24"/>
          <w:lang w:val="en-GB"/>
        </w:rPr>
        <w:t>to</w:t>
      </w:r>
      <w:r>
        <w:rPr>
          <w:rFonts w:ascii="Times New Roman" w:hAnsi="Times New Roman" w:cs="Times New Roman"/>
          <w:sz w:val="24"/>
          <w:szCs w:val="24"/>
        </w:rPr>
        <w:t xml:space="preserve"> flexural cracks. At failure, beam BR02 display</w:t>
      </w:r>
      <w:r>
        <w:rPr>
          <w:rFonts w:ascii="Times New Roman" w:hAnsi="Times New Roman" w:cs="Times New Roman"/>
          <w:sz w:val="24"/>
          <w:szCs w:val="24"/>
          <w:lang w:val="en-GB"/>
        </w:rPr>
        <w:t>ed</w:t>
      </w:r>
      <w:r>
        <w:rPr>
          <w:rFonts w:ascii="Times New Roman" w:hAnsi="Times New Roman" w:cs="Times New Roman"/>
          <w:sz w:val="24"/>
          <w:szCs w:val="24"/>
        </w:rPr>
        <w:t xml:space="preserve"> flexural cracks with some interlocking shear cracks. In this beam, not all the cracks emanate</w:t>
      </w:r>
      <w:r>
        <w:rPr>
          <w:rFonts w:ascii="Times New Roman" w:hAnsi="Times New Roman" w:cs="Times New Roman"/>
          <w:sz w:val="24"/>
          <w:szCs w:val="24"/>
          <w:lang w:val="en-GB"/>
        </w:rPr>
        <w:t>d</w:t>
      </w:r>
      <w:r>
        <w:rPr>
          <w:rFonts w:ascii="Times New Roman" w:hAnsi="Times New Roman" w:cs="Times New Roman"/>
          <w:sz w:val="24"/>
          <w:szCs w:val="24"/>
        </w:rPr>
        <w:t xml:space="preserve"> from the extreme fibres of the retrofitted layer and it </w:t>
      </w:r>
      <w:r>
        <w:rPr>
          <w:rFonts w:ascii="Times New Roman" w:hAnsi="Times New Roman" w:cs="Times New Roman"/>
          <w:sz w:val="24"/>
          <w:szCs w:val="24"/>
          <w:lang w:val="en-GB"/>
        </w:rPr>
        <w:t>was</w:t>
      </w:r>
      <w:r>
        <w:rPr>
          <w:rFonts w:ascii="Times New Roman" w:hAnsi="Times New Roman" w:cs="Times New Roman"/>
          <w:sz w:val="24"/>
          <w:szCs w:val="24"/>
        </w:rPr>
        <w:t xml:space="preserve"> observed that the extreme compression zone </w:t>
      </w:r>
      <w:r>
        <w:rPr>
          <w:rFonts w:ascii="Times New Roman" w:hAnsi="Times New Roman" w:cs="Times New Roman"/>
          <w:sz w:val="24"/>
          <w:szCs w:val="24"/>
          <w:lang w:val="en-GB"/>
        </w:rPr>
        <w:t>was</w:t>
      </w:r>
      <w:r>
        <w:rPr>
          <w:rFonts w:ascii="Times New Roman" w:hAnsi="Times New Roman" w:cs="Times New Roman"/>
          <w:sz w:val="24"/>
          <w:szCs w:val="24"/>
        </w:rPr>
        <w:t xml:space="preserve"> not completely </w:t>
      </w:r>
      <w:r>
        <w:rPr>
          <w:rFonts w:ascii="Times New Roman" w:hAnsi="Times New Roman" w:cs="Times New Roman"/>
          <w:sz w:val="24"/>
          <w:szCs w:val="24"/>
          <w:lang w:val="en-GB"/>
        </w:rPr>
        <w:t>crushed</w:t>
      </w:r>
      <w:r>
        <w:rPr>
          <w:rFonts w:ascii="Times New Roman" w:hAnsi="Times New Roman" w:cs="Times New Roman"/>
          <w:sz w:val="24"/>
          <w:szCs w:val="24"/>
        </w:rPr>
        <w:t xml:space="preserve">. The failure modes </w:t>
      </w:r>
      <w:r>
        <w:rPr>
          <w:rFonts w:ascii="Times New Roman" w:hAnsi="Times New Roman" w:cs="Times New Roman"/>
          <w:sz w:val="24"/>
          <w:szCs w:val="24"/>
          <w:lang w:val="en-GB"/>
        </w:rPr>
        <w:t>were charac</w:t>
      </w:r>
      <w:r>
        <w:rPr>
          <w:rFonts w:ascii="Times New Roman" w:hAnsi="Times New Roman" w:cs="Times New Roman"/>
          <w:sz w:val="24"/>
          <w:szCs w:val="24"/>
          <w:lang w:val="en-GB"/>
        </w:rPr>
        <w:t xml:space="preserve">terized by </w:t>
      </w:r>
      <w:r>
        <w:rPr>
          <w:rFonts w:ascii="Times New Roman" w:hAnsi="Times New Roman" w:cs="Times New Roman"/>
          <w:sz w:val="24"/>
          <w:szCs w:val="24"/>
        </w:rPr>
        <w:t xml:space="preserve">flexural cracks, diagonal shear cracks, and debonding however, the main cause of failure </w:t>
      </w:r>
      <w:r>
        <w:rPr>
          <w:rFonts w:ascii="Times New Roman" w:hAnsi="Times New Roman" w:cs="Times New Roman"/>
          <w:sz w:val="24"/>
          <w:szCs w:val="24"/>
          <w:lang w:val="en-GB"/>
        </w:rPr>
        <w:t xml:space="preserve">was due to </w:t>
      </w:r>
      <w:r>
        <w:rPr>
          <w:rFonts w:ascii="Times New Roman" w:hAnsi="Times New Roman" w:cs="Times New Roman"/>
          <w:sz w:val="24"/>
          <w:szCs w:val="24"/>
        </w:rPr>
        <w:t xml:space="preserve">debonding. The maximum debonding crack width </w:t>
      </w:r>
      <w:r>
        <w:rPr>
          <w:rFonts w:ascii="Times New Roman" w:hAnsi="Times New Roman" w:cs="Times New Roman"/>
          <w:sz w:val="24"/>
          <w:szCs w:val="24"/>
          <w:lang w:val="en-GB"/>
        </w:rPr>
        <w:t>was</w:t>
      </w:r>
      <w:r>
        <w:rPr>
          <w:rFonts w:ascii="Times New Roman" w:hAnsi="Times New Roman" w:cs="Times New Roman"/>
          <w:sz w:val="24"/>
          <w:szCs w:val="24"/>
        </w:rPr>
        <w:t xml:space="preserve"> 7 mm as </w:t>
      </w:r>
      <w:r>
        <w:rPr>
          <w:rFonts w:ascii="Times New Roman" w:hAnsi="Times New Roman" w:cs="Times New Roman"/>
          <w:sz w:val="24"/>
          <w:szCs w:val="24"/>
          <w:lang w:val="en-GB"/>
        </w:rPr>
        <w:t>indicated</w:t>
      </w:r>
      <w:r>
        <w:rPr>
          <w:rFonts w:ascii="Times New Roman" w:hAnsi="Times New Roman" w:cs="Times New Roman"/>
          <w:sz w:val="24"/>
          <w:szCs w:val="24"/>
        </w:rPr>
        <w:t xml:space="preserve">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_Ref192819703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Table 4</w:t>
      </w:r>
      <w:r>
        <w:rPr>
          <w:rFonts w:ascii="Times New Roman" w:hAnsi="Times New Roman" w:cs="Times New Roman"/>
          <w:sz w:val="24"/>
          <w:szCs w:val="24"/>
        </w:rPr>
        <w:fldChar w:fldCharType="end"/>
      </w:r>
      <w:r>
        <w:rPr>
          <w:rFonts w:ascii="Times New Roman" w:hAnsi="Times New Roman" w:cs="Times New Roman"/>
          <w:sz w:val="24"/>
          <w:szCs w:val="24"/>
        </w:rPr>
        <w:t>.</w:t>
      </w:r>
    </w:p>
    <w:p w14:paraId="170C6AC9" w14:textId="77777777" w:rsidR="0033612F" w:rsidRDefault="0033612F" w:rsidP="009201D3">
      <w:pPr>
        <w:spacing w:after="0" w:line="240" w:lineRule="auto"/>
        <w:ind w:right="11"/>
        <w:rPr>
          <w:rFonts w:ascii="Times New Roman" w:hAnsi="Times New Roman" w:cs="Times New Roman"/>
        </w:rPr>
      </w:pPr>
    </w:p>
    <w:p w14:paraId="0891E758" w14:textId="77777777" w:rsidR="0033612F" w:rsidRPr="0033612F" w:rsidRDefault="0033612F" w:rsidP="009201D3">
      <w:pPr>
        <w:spacing w:after="0" w:line="240" w:lineRule="auto"/>
        <w:ind w:right="11"/>
        <w:rPr>
          <w:rFonts w:ascii="Times New Roman" w:hAnsi="Times New Roman" w:cs="Times New Roman"/>
        </w:rPr>
      </w:pPr>
    </w:p>
    <w:p w14:paraId="26AEA2F9" w14:textId="77777777" w:rsidR="009523E5" w:rsidRDefault="009523E5" w:rsidP="009201D3">
      <w:pPr>
        <w:spacing w:after="0" w:line="240" w:lineRule="auto"/>
        <w:rPr>
          <w:rFonts w:ascii="Times New Roman" w:hAnsi="Times New Roman" w:cs="Times New Roman"/>
        </w:rPr>
      </w:pPr>
    </w:p>
    <w:p w14:paraId="14AF01FA" w14:textId="038F44D8" w:rsidR="009523E5" w:rsidRDefault="00E529A3" w:rsidP="009201D3">
      <w:pPr>
        <w:spacing w:after="0" w:line="240" w:lineRule="auto"/>
        <w:jc w:val="center"/>
        <w:rPr>
          <w:rFonts w:ascii="Times New Roman" w:hAnsi="Times New Roman" w:cs="Times New Roman"/>
          <w:lang w:val="en-US"/>
        </w:rPr>
      </w:pPr>
      <w:r>
        <w:rPr>
          <w:noProof/>
        </w:rPr>
        <w:drawing>
          <wp:inline distT="0" distB="0" distL="0" distR="0" wp14:anchorId="20610A41" wp14:editId="041ECCB7">
            <wp:extent cx="5731510" cy="718820"/>
            <wp:effectExtent l="0" t="0" r="2540" b="5080"/>
            <wp:docPr id="960088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718820"/>
                    </a:xfrm>
                    <a:prstGeom prst="rect">
                      <a:avLst/>
                    </a:prstGeom>
                    <a:noFill/>
                    <a:ln>
                      <a:noFill/>
                    </a:ln>
                  </pic:spPr>
                </pic:pic>
              </a:graphicData>
            </a:graphic>
          </wp:inline>
        </w:drawing>
      </w:r>
    </w:p>
    <w:p w14:paraId="18EB8D4B" w14:textId="58031AF5" w:rsidR="009523E5" w:rsidRDefault="00E529A3" w:rsidP="009201D3">
      <w:pPr>
        <w:spacing w:after="0" w:line="240" w:lineRule="auto"/>
        <w:jc w:val="center"/>
        <w:rPr>
          <w:rFonts w:ascii="Times New Roman" w:hAnsi="Times New Roman" w:cs="Times New Roman"/>
          <w:lang w:val="en-US"/>
        </w:rPr>
      </w:pPr>
      <w:r>
        <w:rPr>
          <w:noProof/>
        </w:rPr>
        <w:drawing>
          <wp:inline distT="0" distB="0" distL="0" distR="0" wp14:anchorId="42B96A71" wp14:editId="6641C491">
            <wp:extent cx="5731510" cy="771525"/>
            <wp:effectExtent l="0" t="0" r="2540" b="9525"/>
            <wp:docPr id="888242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771525"/>
                    </a:xfrm>
                    <a:prstGeom prst="rect">
                      <a:avLst/>
                    </a:prstGeom>
                    <a:noFill/>
                    <a:ln>
                      <a:noFill/>
                    </a:ln>
                  </pic:spPr>
                </pic:pic>
              </a:graphicData>
            </a:graphic>
          </wp:inline>
        </w:drawing>
      </w:r>
    </w:p>
    <w:p w14:paraId="1F9835F0" w14:textId="28853417" w:rsidR="009523E5" w:rsidRDefault="003B4279" w:rsidP="009201D3">
      <w:pPr>
        <w:pStyle w:val="Caption"/>
        <w:spacing w:after="0" w:line="240" w:lineRule="auto"/>
        <w:rPr>
          <w:rFonts w:cs="Times New Roman"/>
        </w:rPr>
      </w:pPr>
      <w:bookmarkStart w:id="15" w:name="_Ref192819679"/>
      <w:r>
        <w:t xml:space="preserve">Fig. </w:t>
      </w:r>
      <w:r>
        <w:fldChar w:fldCharType="begin"/>
      </w:r>
      <w:r>
        <w:instrText xml:space="preserve"> SEQ Fig. \* ARABIC </w:instrText>
      </w:r>
      <w:r>
        <w:fldChar w:fldCharType="separate"/>
      </w:r>
      <w:r w:rsidR="0033612F">
        <w:rPr>
          <w:noProof/>
        </w:rPr>
        <w:t>8</w:t>
      </w:r>
      <w:r>
        <w:rPr>
          <w:noProof/>
        </w:rPr>
        <w:fldChar w:fldCharType="end"/>
      </w:r>
      <w:bookmarkEnd w:id="15"/>
      <w:r>
        <w:t xml:space="preserve"> Failure modes and crack patterns of beams B1 and BR02</w:t>
      </w:r>
    </w:p>
    <w:p w14:paraId="2D59FACD" w14:textId="77777777" w:rsidR="009523E5" w:rsidRDefault="009523E5" w:rsidP="009201D3">
      <w:pPr>
        <w:spacing w:after="0" w:line="240" w:lineRule="auto"/>
        <w:rPr>
          <w:rFonts w:ascii="Times New Roman" w:hAnsi="Times New Roman" w:cs="Times New Roman"/>
        </w:rPr>
      </w:pPr>
    </w:p>
    <w:p w14:paraId="6FF7504E" w14:textId="401E887A"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lastRenderedPageBreak/>
        <w:t xml:space="preserve">The failure modes and </w:t>
      </w:r>
      <w:r w:rsidRPr="00022125">
        <w:rPr>
          <w:rFonts w:ascii="Times New Roman" w:hAnsi="Times New Roman" w:cs="Times New Roman"/>
        </w:rPr>
        <w:t xml:space="preserve">crack patterns of beams C2 and CR02 are shown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_Ref192819731 \h  \* MERGEFORMAT </w:instrText>
      </w:r>
      <w:r w:rsidRPr="00022125">
        <w:rPr>
          <w:rFonts w:ascii="Times New Roman" w:hAnsi="Times New Roman" w:cs="Times New Roman"/>
        </w:rPr>
      </w:r>
      <w:r w:rsidRPr="00022125">
        <w:rPr>
          <w:rFonts w:ascii="Times New Roman" w:hAnsi="Times New Roman" w:cs="Times New Roman"/>
        </w:rPr>
        <w:fldChar w:fldCharType="separate"/>
      </w:r>
      <w:r w:rsidR="0033612F" w:rsidRPr="0033612F">
        <w:rPr>
          <w:rFonts w:ascii="Times New Roman" w:hAnsi="Times New Roman" w:cs="Times New Roman"/>
        </w:rPr>
        <w:t>Fig. 9</w:t>
      </w:r>
      <w:r w:rsidRPr="00022125">
        <w:rPr>
          <w:rFonts w:ascii="Times New Roman" w:hAnsi="Times New Roman" w:cs="Times New Roman"/>
        </w:rPr>
        <w:fldChar w:fldCharType="end"/>
      </w:r>
      <w:r w:rsidRPr="00022125">
        <w:rPr>
          <w:rFonts w:ascii="Times New Roman" w:hAnsi="Times New Roman" w:cs="Times New Roman"/>
        </w:rPr>
        <w:t xml:space="preserve">. In beam C2, there were cracks that emanated from the tensile region to the compression zone, almost close to the extreme fibres, at failure of the beam. The failure modes were characterized </w:t>
      </w:r>
      <w:r w:rsidRPr="00022125">
        <w:rPr>
          <w:rFonts w:ascii="Times New Roman" w:hAnsi="Times New Roman" w:cs="Times New Roman"/>
        </w:rPr>
        <w:t xml:space="preserve">by flexural cracks and shear cracks with the main cause of failure being due to </w:t>
      </w:r>
      <w:r w:rsidR="00022125">
        <w:rPr>
          <w:rFonts w:ascii="Times New Roman" w:hAnsi="Times New Roman" w:cs="Times New Roman"/>
        </w:rPr>
        <w:t>extended</w:t>
      </w:r>
      <w:r w:rsidRPr="00022125">
        <w:rPr>
          <w:rFonts w:ascii="Times New Roman" w:hAnsi="Times New Roman" w:cs="Times New Roman"/>
        </w:rPr>
        <w:t xml:space="preserve"> flexural cracks. Beam CR02 had most of the cracks originate from the retrofitting layer. These cracks d</w:t>
      </w:r>
      <w:r w:rsidRPr="00022125">
        <w:rPr>
          <w:rFonts w:ascii="Times New Roman" w:hAnsi="Times New Roman" w:cs="Times New Roman"/>
          <w:lang w:val="en-US"/>
        </w:rPr>
        <w:t>id</w:t>
      </w:r>
      <w:r w:rsidRPr="00022125">
        <w:rPr>
          <w:rFonts w:ascii="Times New Roman" w:hAnsi="Times New Roman" w:cs="Times New Roman"/>
        </w:rPr>
        <w:t xml:space="preserve"> not reach the extreme fibres of the compression zone. At fail</w:t>
      </w:r>
      <w:r w:rsidRPr="00022125">
        <w:rPr>
          <w:rFonts w:ascii="Times New Roman" w:hAnsi="Times New Roman" w:cs="Times New Roman"/>
        </w:rPr>
        <w:t xml:space="preserve">ure, the beam exhibited flexural cracks, diagonal shear cracks, and debonding of the </w:t>
      </w:r>
      <w:r>
        <w:rPr>
          <w:rFonts w:ascii="Times New Roman" w:hAnsi="Times New Roman" w:cs="Times New Roman"/>
        </w:rPr>
        <w:t xml:space="preserve">retrofitted layer. The maximum crack width of the debonded layer was 8 mm as shown in </w:t>
      </w:r>
      <w:r>
        <w:rPr>
          <w:rFonts w:ascii="Times New Roman" w:hAnsi="Times New Roman" w:cs="Times New Roman"/>
        </w:rPr>
        <w:fldChar w:fldCharType="begin"/>
      </w:r>
      <w:r>
        <w:rPr>
          <w:rFonts w:ascii="Times New Roman" w:hAnsi="Times New Roman" w:cs="Times New Roman"/>
        </w:rPr>
        <w:instrText xml:space="preserve"> REF _Ref192819703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Table 4</w:t>
      </w:r>
      <w:r>
        <w:rPr>
          <w:rFonts w:ascii="Times New Roman" w:hAnsi="Times New Roman" w:cs="Times New Roman"/>
        </w:rPr>
        <w:fldChar w:fldCharType="end"/>
      </w:r>
      <w:r>
        <w:rPr>
          <w:rFonts w:ascii="Times New Roman" w:hAnsi="Times New Roman" w:cs="Times New Roman"/>
        </w:rPr>
        <w:t>.</w:t>
      </w:r>
    </w:p>
    <w:p w14:paraId="7DD0A543" w14:textId="77777777" w:rsidR="009523E5" w:rsidRDefault="009523E5" w:rsidP="009201D3">
      <w:pPr>
        <w:spacing w:after="0" w:line="240" w:lineRule="auto"/>
        <w:rPr>
          <w:rFonts w:ascii="Times New Roman" w:hAnsi="Times New Roman" w:cs="Times New Roman"/>
        </w:rPr>
      </w:pPr>
    </w:p>
    <w:p w14:paraId="4860EEF4" w14:textId="135B291F" w:rsidR="009523E5" w:rsidRDefault="00EF7C26" w:rsidP="009201D3">
      <w:pPr>
        <w:spacing w:after="0" w:line="240" w:lineRule="auto"/>
        <w:jc w:val="center"/>
        <w:rPr>
          <w:rFonts w:ascii="Times New Roman" w:hAnsi="Times New Roman" w:cs="Times New Roman"/>
          <w:lang w:val="en-US"/>
        </w:rPr>
      </w:pPr>
      <w:r>
        <w:rPr>
          <w:noProof/>
        </w:rPr>
        <w:drawing>
          <wp:inline distT="0" distB="0" distL="0" distR="0" wp14:anchorId="1508513C" wp14:editId="6DC98009">
            <wp:extent cx="5695950" cy="714375"/>
            <wp:effectExtent l="0" t="0" r="0" b="9525"/>
            <wp:docPr id="851648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5950" cy="714375"/>
                    </a:xfrm>
                    <a:prstGeom prst="rect">
                      <a:avLst/>
                    </a:prstGeom>
                    <a:noFill/>
                    <a:ln>
                      <a:noFill/>
                    </a:ln>
                  </pic:spPr>
                </pic:pic>
              </a:graphicData>
            </a:graphic>
          </wp:inline>
        </w:drawing>
      </w:r>
    </w:p>
    <w:p w14:paraId="49BBEAF8" w14:textId="17325735" w:rsidR="009523E5" w:rsidRDefault="00EF7C26" w:rsidP="009201D3">
      <w:pPr>
        <w:spacing w:after="0" w:line="240" w:lineRule="auto"/>
        <w:jc w:val="center"/>
        <w:rPr>
          <w:rFonts w:ascii="Times New Roman" w:hAnsi="Times New Roman" w:cs="Times New Roman"/>
          <w:lang w:val="en-US"/>
        </w:rPr>
      </w:pPr>
      <w:r>
        <w:rPr>
          <w:noProof/>
        </w:rPr>
        <w:drawing>
          <wp:inline distT="0" distB="0" distL="0" distR="0" wp14:anchorId="668B5413" wp14:editId="3C5EAD7D">
            <wp:extent cx="5667375" cy="742950"/>
            <wp:effectExtent l="0" t="0" r="9525" b="0"/>
            <wp:docPr id="796771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742950"/>
                    </a:xfrm>
                    <a:prstGeom prst="rect">
                      <a:avLst/>
                    </a:prstGeom>
                    <a:noFill/>
                    <a:ln>
                      <a:noFill/>
                    </a:ln>
                  </pic:spPr>
                </pic:pic>
              </a:graphicData>
            </a:graphic>
          </wp:inline>
        </w:drawing>
      </w:r>
    </w:p>
    <w:p w14:paraId="49320E40" w14:textId="4C51B3B4" w:rsidR="009523E5" w:rsidRDefault="003B4279" w:rsidP="009201D3">
      <w:pPr>
        <w:pStyle w:val="Caption"/>
        <w:spacing w:after="0" w:line="240" w:lineRule="auto"/>
        <w:rPr>
          <w:rFonts w:cs="Times New Roman"/>
        </w:rPr>
      </w:pPr>
      <w:bookmarkStart w:id="16" w:name="_Ref192819731"/>
      <w:r>
        <w:t xml:space="preserve">Fig. </w:t>
      </w:r>
      <w:r>
        <w:fldChar w:fldCharType="begin"/>
      </w:r>
      <w:r>
        <w:instrText xml:space="preserve"> SEQ Fig. \* ARABIC </w:instrText>
      </w:r>
      <w:r>
        <w:fldChar w:fldCharType="separate"/>
      </w:r>
      <w:r w:rsidR="0033612F">
        <w:rPr>
          <w:noProof/>
        </w:rPr>
        <w:t>9</w:t>
      </w:r>
      <w:r>
        <w:rPr>
          <w:noProof/>
        </w:rPr>
        <w:fldChar w:fldCharType="end"/>
      </w:r>
      <w:bookmarkEnd w:id="16"/>
      <w:r>
        <w:t xml:space="preserve"> Failure modes and crack patterns of beams C2 and CR02</w:t>
      </w:r>
    </w:p>
    <w:p w14:paraId="20598525" w14:textId="77777777" w:rsidR="009523E5" w:rsidRDefault="009523E5" w:rsidP="009201D3">
      <w:pPr>
        <w:spacing w:after="0" w:line="240" w:lineRule="auto"/>
        <w:rPr>
          <w:rFonts w:ascii="Times New Roman" w:hAnsi="Times New Roman" w:cs="Times New Roman"/>
        </w:rPr>
      </w:pPr>
    </w:p>
    <w:p w14:paraId="25559264" w14:textId="4B34A951" w:rsidR="009523E5" w:rsidRDefault="003B4279" w:rsidP="009201D3">
      <w:pPr>
        <w:spacing w:after="0" w:line="240" w:lineRule="auto"/>
        <w:ind w:right="11"/>
        <w:rPr>
          <w:rFonts w:ascii="Times New Roman" w:hAnsi="Times New Roman" w:cs="Times New Roman"/>
        </w:rPr>
      </w:pPr>
      <w:r w:rsidRPr="00022125">
        <w:t>Beams D</w:t>
      </w:r>
      <w:r w:rsidRPr="00022125">
        <w:rPr>
          <w:lang w:val="en-US"/>
        </w:rPr>
        <w:t>1</w:t>
      </w:r>
      <w:r w:rsidRPr="00022125">
        <w:t xml:space="preserve"> and </w:t>
      </w:r>
      <w:r w:rsidRPr="00022125">
        <w:rPr>
          <w:rFonts w:ascii="Times New Roman" w:hAnsi="Times New Roman" w:cs="Times New Roman"/>
        </w:rPr>
        <w:t xml:space="preserve">DR02 are illustrated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_Ref192819794 \h  \* MERGEFORMAT </w:instrText>
      </w:r>
      <w:r w:rsidRPr="00022125">
        <w:rPr>
          <w:rFonts w:ascii="Times New Roman" w:hAnsi="Times New Roman" w:cs="Times New Roman"/>
        </w:rPr>
      </w:r>
      <w:r w:rsidRPr="00022125">
        <w:rPr>
          <w:rFonts w:ascii="Times New Roman" w:hAnsi="Times New Roman" w:cs="Times New Roman"/>
        </w:rPr>
        <w:fldChar w:fldCharType="separate"/>
      </w:r>
      <w:r w:rsidR="0033612F" w:rsidRPr="0033612F">
        <w:rPr>
          <w:rFonts w:ascii="Times New Roman" w:hAnsi="Times New Roman" w:cs="Times New Roman"/>
        </w:rPr>
        <w:t>Fig. 10</w:t>
      </w:r>
      <w:r w:rsidRPr="00022125">
        <w:rPr>
          <w:rFonts w:ascii="Times New Roman" w:hAnsi="Times New Roman" w:cs="Times New Roman"/>
        </w:rPr>
        <w:fldChar w:fldCharType="end"/>
      </w:r>
      <w:r w:rsidRPr="00022125">
        <w:rPr>
          <w:rFonts w:ascii="Times New Roman" w:hAnsi="Times New Roman" w:cs="Times New Roman"/>
        </w:rPr>
        <w:t xml:space="preserve">. </w:t>
      </w:r>
      <w:r w:rsidRPr="00022125">
        <w:rPr>
          <w:rFonts w:ascii="Times New Roman" w:eastAsia="Calibri" w:hAnsi="Times New Roman" w:cs="Times New Roman"/>
          <w:lang w:val="en-US"/>
        </w:rPr>
        <w:t>I</w:t>
      </w:r>
      <w:r w:rsidRPr="00022125">
        <w:rPr>
          <w:rFonts w:ascii="Times New Roman" w:hAnsi="Times New Roman" w:cs="Times New Roman"/>
        </w:rPr>
        <w:t>t is observed that at failure, beam D</w:t>
      </w:r>
      <w:r w:rsidRPr="00022125">
        <w:rPr>
          <w:rFonts w:ascii="Times New Roman" w:hAnsi="Times New Roman" w:cs="Times New Roman"/>
          <w:lang w:val="en-US"/>
        </w:rPr>
        <w:t>1</w:t>
      </w:r>
      <w:r w:rsidRPr="00022125">
        <w:rPr>
          <w:rFonts w:ascii="Times New Roman" w:hAnsi="Times New Roman" w:cs="Times New Roman"/>
        </w:rPr>
        <w:t xml:space="preserve"> </w:t>
      </w:r>
      <w:r>
        <w:rPr>
          <w:rFonts w:ascii="Times New Roman" w:hAnsi="Times New Roman" w:cs="Times New Roman"/>
        </w:rPr>
        <w:t>exhibit</w:t>
      </w:r>
      <w:r>
        <w:rPr>
          <w:rFonts w:ascii="Times New Roman" w:hAnsi="Times New Roman" w:cs="Times New Roman"/>
          <w:lang w:val="en-US"/>
        </w:rPr>
        <w:t>ed</w:t>
      </w:r>
      <w:r>
        <w:rPr>
          <w:rFonts w:ascii="Times New Roman" w:hAnsi="Times New Roman" w:cs="Times New Roman"/>
        </w:rPr>
        <w:t xml:space="preserve"> cracks that were fewer than in the other unretrofitted beams. At failure, the cracks were narrow as in the other cases but majority of the cracks did not extend far from the neutral axis, as it was the diagonal shear crack causing ultimate failure that ex</w:t>
      </w:r>
      <w:r>
        <w:rPr>
          <w:rFonts w:ascii="Times New Roman" w:hAnsi="Times New Roman" w:cs="Times New Roman"/>
        </w:rPr>
        <w:t>tended beyond this point to the extreme fibres of the compression zone which acted as the main cause of failure. The failure modes showed flexural cracks and shear cracks. At failure, beam DR02 had fewer cracks than in its unretrofitted case with the crack</w:t>
      </w:r>
      <w:r>
        <w:rPr>
          <w:rFonts w:ascii="Times New Roman" w:hAnsi="Times New Roman" w:cs="Times New Roman"/>
        </w:rPr>
        <w:t>s showing at the region away from the load points. The failure modes were that of flexural cracks, diagonal shear cracks, and debonding. It is observed that the main cause of failure was diagonal shear which extended from the extreme tensile region through</w:t>
      </w:r>
      <w:r>
        <w:rPr>
          <w:rFonts w:ascii="Times New Roman" w:hAnsi="Times New Roman" w:cs="Times New Roman"/>
        </w:rPr>
        <w:t xml:space="preserve"> the extreme compression zone and further widening the </w:t>
      </w:r>
      <w:proofErr w:type="gramStart"/>
      <w:r>
        <w:rPr>
          <w:rFonts w:ascii="Times New Roman" w:hAnsi="Times New Roman" w:cs="Times New Roman"/>
        </w:rPr>
        <w:t>crack .</w:t>
      </w:r>
      <w:proofErr w:type="gramEnd"/>
      <w:r>
        <w:rPr>
          <w:rFonts w:ascii="Times New Roman" w:hAnsi="Times New Roman" w:cs="Times New Roman"/>
        </w:rPr>
        <w:t xml:space="preserve"> </w:t>
      </w:r>
      <w:r w:rsidRPr="00022125">
        <w:rPr>
          <w:rFonts w:ascii="Times New Roman" w:hAnsi="Times New Roman" w:cs="Times New Roman"/>
        </w:rPr>
        <w:t xml:space="preserve">There </w:t>
      </w:r>
      <w:r w:rsidRPr="00022125">
        <w:rPr>
          <w:rFonts w:ascii="Times New Roman" w:hAnsi="Times New Roman" w:cs="Times New Roman"/>
          <w:lang w:val="en-US"/>
        </w:rPr>
        <w:t>we</w:t>
      </w:r>
      <w:r w:rsidRPr="00022125">
        <w:rPr>
          <w:rFonts w:ascii="Times New Roman" w:hAnsi="Times New Roman" w:cs="Times New Roman"/>
        </w:rPr>
        <w:t xml:space="preserve">re other </w:t>
      </w:r>
      <w:r>
        <w:rPr>
          <w:rFonts w:ascii="Times New Roman" w:hAnsi="Times New Roman" w:cs="Times New Roman"/>
        </w:rPr>
        <w:t>micro</w:t>
      </w:r>
      <w:r>
        <w:rPr>
          <w:rFonts w:ascii="Times New Roman" w:eastAsia="Calibri" w:hAnsi="Times New Roman" w:cs="Times New Roman"/>
        </w:rPr>
        <w:t>-</w:t>
      </w:r>
      <w:r>
        <w:rPr>
          <w:rFonts w:ascii="Times New Roman" w:hAnsi="Times New Roman" w:cs="Times New Roman"/>
        </w:rPr>
        <w:t xml:space="preserve">cracks observed at the retrofitting layer.  The maximum debonding crack width is given as 7 mm as shown in </w:t>
      </w:r>
      <w:r>
        <w:rPr>
          <w:rFonts w:ascii="Times New Roman" w:hAnsi="Times New Roman" w:cs="Times New Roman"/>
        </w:rPr>
        <w:fldChar w:fldCharType="begin"/>
      </w:r>
      <w:r>
        <w:rPr>
          <w:rFonts w:ascii="Times New Roman" w:hAnsi="Times New Roman" w:cs="Times New Roman"/>
        </w:rPr>
        <w:instrText xml:space="preserve"> REF _Ref192819703 \h </w:instrText>
      </w:r>
      <w:r>
        <w:rPr>
          <w:rFonts w:ascii="Times New Roman" w:hAnsi="Times New Roman" w:cs="Times New Roman"/>
        </w:rPr>
      </w:r>
      <w:r>
        <w:rPr>
          <w:rFonts w:ascii="Times New Roman" w:hAnsi="Times New Roman" w:cs="Times New Roman"/>
        </w:rPr>
        <w:fldChar w:fldCharType="separate"/>
      </w:r>
      <w:r>
        <w:t>Table 4</w:t>
      </w:r>
      <w:r>
        <w:rPr>
          <w:rFonts w:ascii="Times New Roman" w:hAnsi="Times New Roman" w:cs="Times New Roman"/>
        </w:rPr>
        <w:fldChar w:fldCharType="end"/>
      </w:r>
      <w:r>
        <w:rPr>
          <w:rFonts w:ascii="Times New Roman" w:hAnsi="Times New Roman" w:cs="Times New Roman"/>
        </w:rPr>
        <w:t xml:space="preserve">. </w:t>
      </w:r>
    </w:p>
    <w:p w14:paraId="5EDDD7C6" w14:textId="77777777" w:rsidR="009523E5" w:rsidRDefault="009523E5" w:rsidP="009201D3">
      <w:pPr>
        <w:spacing w:after="0" w:line="240" w:lineRule="auto"/>
        <w:rPr>
          <w:rFonts w:ascii="Times New Roman" w:hAnsi="Times New Roman" w:cs="Times New Roman"/>
        </w:rPr>
      </w:pPr>
    </w:p>
    <w:p w14:paraId="7FABB1C6" w14:textId="703EC7C3" w:rsidR="009523E5" w:rsidRDefault="00EF7C26" w:rsidP="009201D3">
      <w:pPr>
        <w:spacing w:after="0" w:line="240" w:lineRule="auto"/>
        <w:rPr>
          <w:rFonts w:ascii="Times New Roman" w:hAnsi="Times New Roman" w:cs="Times New Roman"/>
          <w:lang w:val="en-US"/>
        </w:rPr>
      </w:pPr>
      <w:r>
        <w:rPr>
          <w:noProof/>
        </w:rPr>
        <w:drawing>
          <wp:inline distT="0" distB="0" distL="0" distR="0" wp14:anchorId="32B15862" wp14:editId="4BFE171D">
            <wp:extent cx="5724525" cy="723900"/>
            <wp:effectExtent l="0" t="0" r="9525" b="0"/>
            <wp:docPr id="365792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723900"/>
                    </a:xfrm>
                    <a:prstGeom prst="rect">
                      <a:avLst/>
                    </a:prstGeom>
                    <a:noFill/>
                    <a:ln>
                      <a:noFill/>
                    </a:ln>
                  </pic:spPr>
                </pic:pic>
              </a:graphicData>
            </a:graphic>
          </wp:inline>
        </w:drawing>
      </w:r>
    </w:p>
    <w:p w14:paraId="78CFF9E1" w14:textId="139C9F98" w:rsidR="009523E5" w:rsidRDefault="00EF7C26" w:rsidP="009201D3">
      <w:pPr>
        <w:spacing w:after="0" w:line="240" w:lineRule="auto"/>
        <w:jc w:val="center"/>
        <w:rPr>
          <w:rFonts w:ascii="Times New Roman" w:hAnsi="Times New Roman" w:cs="Times New Roman"/>
          <w:lang w:val="en-US"/>
        </w:rPr>
      </w:pPr>
      <w:r>
        <w:rPr>
          <w:noProof/>
        </w:rPr>
        <w:drawing>
          <wp:inline distT="0" distB="0" distL="0" distR="0" wp14:anchorId="43BD1494" wp14:editId="2AFD2195">
            <wp:extent cx="5731510" cy="812165"/>
            <wp:effectExtent l="0" t="0" r="2540" b="6985"/>
            <wp:docPr id="1230919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12165"/>
                    </a:xfrm>
                    <a:prstGeom prst="rect">
                      <a:avLst/>
                    </a:prstGeom>
                    <a:noFill/>
                    <a:ln>
                      <a:noFill/>
                    </a:ln>
                  </pic:spPr>
                </pic:pic>
              </a:graphicData>
            </a:graphic>
          </wp:inline>
        </w:drawing>
      </w:r>
    </w:p>
    <w:p w14:paraId="5DB21DCE" w14:textId="2B55BD9B" w:rsidR="009523E5" w:rsidRDefault="003B4279" w:rsidP="009201D3">
      <w:pPr>
        <w:pStyle w:val="Caption"/>
        <w:spacing w:after="0" w:line="240" w:lineRule="auto"/>
        <w:rPr>
          <w:rFonts w:cs="Times New Roman"/>
        </w:rPr>
      </w:pPr>
      <w:bookmarkStart w:id="17" w:name="_Ref192819794"/>
      <w:r>
        <w:t xml:space="preserve">Fig. </w:t>
      </w:r>
      <w:r>
        <w:fldChar w:fldCharType="begin"/>
      </w:r>
      <w:r>
        <w:instrText xml:space="preserve"> SEQ Fig. \* ARABIC </w:instrText>
      </w:r>
      <w:r>
        <w:fldChar w:fldCharType="separate"/>
      </w:r>
      <w:r w:rsidR="0033612F">
        <w:rPr>
          <w:noProof/>
        </w:rPr>
        <w:t>10</w:t>
      </w:r>
      <w:r>
        <w:rPr>
          <w:noProof/>
        </w:rPr>
        <w:fldChar w:fldCharType="end"/>
      </w:r>
      <w:bookmarkEnd w:id="17"/>
      <w:r>
        <w:t xml:space="preserve"> Failure modes and crack patterns of beams D1 and DR02</w:t>
      </w:r>
    </w:p>
    <w:p w14:paraId="152E456D" w14:textId="77777777" w:rsidR="009523E5" w:rsidRDefault="009523E5" w:rsidP="009201D3">
      <w:pPr>
        <w:spacing w:after="0" w:line="240" w:lineRule="auto"/>
        <w:rPr>
          <w:rFonts w:ascii="Times New Roman" w:hAnsi="Times New Roman" w:cs="Times New Roman"/>
        </w:rPr>
      </w:pPr>
    </w:p>
    <w:p w14:paraId="2B2A150E" w14:textId="128DD3EF" w:rsidR="009523E5" w:rsidRDefault="003B4279" w:rsidP="009201D3">
      <w:pPr>
        <w:tabs>
          <w:tab w:val="center" w:pos="728"/>
          <w:tab w:val="center" w:pos="3847"/>
        </w:tabs>
        <w:spacing w:after="0" w:line="240" w:lineRule="auto"/>
        <w:ind w:right="11"/>
        <w:rPr>
          <w:rFonts w:ascii="Times New Roman" w:hAnsi="Times New Roman" w:cs="Times New Roman"/>
        </w:rPr>
      </w:pPr>
      <w:r>
        <w:rPr>
          <w:rFonts w:ascii="Times New Roman" w:hAnsi="Times New Roman" w:cs="Times New Roman"/>
        </w:rPr>
        <w:t xml:space="preserve">In the </w:t>
      </w:r>
      <w:r>
        <w:rPr>
          <w:rFonts w:ascii="Times New Roman" w:hAnsi="Times New Roman" w:cs="Times New Roman"/>
        </w:rPr>
        <w:fldChar w:fldCharType="begin"/>
      </w:r>
      <w:r>
        <w:rPr>
          <w:rFonts w:ascii="Times New Roman" w:hAnsi="Times New Roman" w:cs="Times New Roman"/>
        </w:rPr>
        <w:instrText xml:space="preserve"> REF _Ref192819646 \h  \* MERGEFORMAT </w:instrText>
      </w:r>
      <w:r>
        <w:rPr>
          <w:rFonts w:ascii="Times New Roman" w:hAnsi="Times New Roman" w:cs="Times New Roman"/>
        </w:rPr>
      </w:r>
      <w:r>
        <w:rPr>
          <w:rFonts w:ascii="Times New Roman" w:hAnsi="Times New Roman" w:cs="Times New Roman"/>
        </w:rPr>
        <w:fldChar w:fldCharType="separate"/>
      </w:r>
      <w:r w:rsidR="0033612F" w:rsidRPr="0033612F">
        <w:rPr>
          <w:rFonts w:ascii="Times New Roman" w:hAnsi="Times New Roman" w:cs="Times New Roman"/>
        </w:rPr>
        <w:t>Fig. 11</w:t>
      </w:r>
      <w:r>
        <w:rPr>
          <w:rFonts w:ascii="Times New Roman" w:hAnsi="Times New Roman" w:cs="Times New Roman"/>
        </w:rPr>
        <w:fldChar w:fldCharType="end"/>
      </w:r>
      <w:r>
        <w:rPr>
          <w:rFonts w:ascii="Times New Roman" w:hAnsi="Times New Roman" w:cs="Times New Roman"/>
        </w:rPr>
        <w:t xml:space="preserve">, beam E2 shows narrow flexural cracks at the tension zone that propagated to the compressive </w:t>
      </w:r>
      <w:r w:rsidRPr="00022125">
        <w:rPr>
          <w:rFonts w:ascii="Times New Roman" w:hAnsi="Times New Roman" w:cs="Times New Roman"/>
        </w:rPr>
        <w:t>region above the neutral axis but did not reach the extreme fibres of the compression zone. At fai</w:t>
      </w:r>
      <w:r w:rsidRPr="00022125">
        <w:rPr>
          <w:rFonts w:ascii="Times New Roman" w:hAnsi="Times New Roman" w:cs="Times New Roman"/>
        </w:rPr>
        <w:t xml:space="preserve">lure, the failure modes observed were those of flexural cracks and diagonal shear cracks. The main failure causing crack was that of the diagonal shear crack. In the same figure, beam ER03 at failure </w:t>
      </w:r>
      <w:r w:rsidRPr="00022125">
        <w:rPr>
          <w:rFonts w:ascii="Times New Roman" w:hAnsi="Times New Roman" w:cs="Times New Roman"/>
          <w:lang w:val="en-US"/>
        </w:rPr>
        <w:t>was</w:t>
      </w:r>
      <w:r w:rsidRPr="00022125">
        <w:rPr>
          <w:rFonts w:ascii="Times New Roman" w:hAnsi="Times New Roman" w:cs="Times New Roman"/>
        </w:rPr>
        <w:t xml:space="preserve"> observed to have some flexural cracks emanating from</w:t>
      </w:r>
      <w:r w:rsidRPr="00022125">
        <w:rPr>
          <w:rFonts w:ascii="Times New Roman" w:hAnsi="Times New Roman" w:cs="Times New Roman"/>
        </w:rPr>
        <w:t xml:space="preserve"> the interface of the retrofitting layer, while some </w:t>
      </w:r>
      <w:r w:rsidRPr="00022125">
        <w:rPr>
          <w:rFonts w:ascii="Times New Roman" w:hAnsi="Times New Roman" w:cs="Times New Roman"/>
          <w:lang w:val="en-US"/>
        </w:rPr>
        <w:t>were</w:t>
      </w:r>
      <w:r w:rsidRPr="00022125">
        <w:rPr>
          <w:rFonts w:ascii="Times New Roman" w:hAnsi="Times New Roman" w:cs="Times New Roman"/>
        </w:rPr>
        <w:t xml:space="preserve"> seen to be extending from the extreme fibres of the retrofitted layer. The shear cracks start</w:t>
      </w:r>
      <w:r w:rsidRPr="00022125">
        <w:rPr>
          <w:rFonts w:ascii="Times New Roman" w:hAnsi="Times New Roman" w:cs="Times New Roman"/>
          <w:lang w:val="en-US"/>
        </w:rPr>
        <w:t>ed</w:t>
      </w:r>
      <w:r w:rsidRPr="00022125">
        <w:rPr>
          <w:rFonts w:ascii="Times New Roman" w:hAnsi="Times New Roman" w:cs="Times New Roman"/>
        </w:rPr>
        <w:t xml:space="preserve"> from the extreme fibres of the </w:t>
      </w:r>
      <w:r w:rsidRPr="00022125">
        <w:rPr>
          <w:rFonts w:ascii="Times New Roman" w:hAnsi="Times New Roman" w:cs="Times New Roman"/>
        </w:rPr>
        <w:lastRenderedPageBreak/>
        <w:t>retrofitted layer to the extreme fibres of the compression zone. The fa</w:t>
      </w:r>
      <w:r w:rsidRPr="00022125">
        <w:rPr>
          <w:rFonts w:ascii="Times New Roman" w:hAnsi="Times New Roman" w:cs="Times New Roman"/>
        </w:rPr>
        <w:t>ilure modes</w:t>
      </w:r>
      <w:r w:rsidRPr="00022125">
        <w:rPr>
          <w:rFonts w:ascii="Times New Roman" w:hAnsi="Times New Roman" w:cs="Times New Roman"/>
          <w:lang w:val="en-US"/>
        </w:rPr>
        <w:t xml:space="preserve"> were </w:t>
      </w:r>
      <w:r w:rsidRPr="00022125">
        <w:rPr>
          <w:rFonts w:ascii="Times New Roman" w:hAnsi="Times New Roman" w:cs="Times New Roman"/>
        </w:rPr>
        <w:t xml:space="preserve">seen </w:t>
      </w:r>
      <w:r>
        <w:rPr>
          <w:rFonts w:ascii="Times New Roman" w:hAnsi="Times New Roman" w:cs="Times New Roman"/>
        </w:rPr>
        <w:t xml:space="preserve">to be characterized with flexural cracks, diagonal shear cracks, and debonding. At failure in beam ER03, the diagonal shear crack travelled through the retrofitted layer near to the bottom </w:t>
      </w:r>
      <w:r w:rsidRPr="00022125">
        <w:rPr>
          <w:rFonts w:ascii="Times New Roman" w:hAnsi="Times New Roman" w:cs="Times New Roman"/>
        </w:rPr>
        <w:t>support and reached the extreme fibres of the</w:t>
      </w:r>
      <w:r w:rsidRPr="00022125">
        <w:rPr>
          <w:rFonts w:ascii="Times New Roman" w:hAnsi="Times New Roman" w:cs="Times New Roman"/>
        </w:rPr>
        <w:t xml:space="preserve"> compression flange. The diagonal shear crack is attributed </w:t>
      </w:r>
      <w:r w:rsidRPr="00022125">
        <w:rPr>
          <w:rFonts w:ascii="Times New Roman" w:eastAsia="Calibri" w:hAnsi="Times New Roman" w:cs="Times New Roman"/>
        </w:rPr>
        <w:t xml:space="preserve">to be </w:t>
      </w:r>
      <w:r w:rsidRPr="00022125">
        <w:rPr>
          <w:rFonts w:ascii="Times New Roman" w:hAnsi="Times New Roman" w:cs="Times New Roman"/>
        </w:rPr>
        <w:t xml:space="preserve">the main cause of failure </w:t>
      </w:r>
      <w:proofErr w:type="gramStart"/>
      <w:r w:rsidRPr="00022125">
        <w:rPr>
          <w:rFonts w:ascii="Times New Roman" w:hAnsi="Times New Roman" w:cs="Times New Roman"/>
        </w:rPr>
        <w:t>of  beam</w:t>
      </w:r>
      <w:proofErr w:type="gramEnd"/>
      <w:r w:rsidRPr="00022125">
        <w:rPr>
          <w:rFonts w:ascii="Times New Roman" w:hAnsi="Times New Roman" w:cs="Times New Roman"/>
        </w:rPr>
        <w:t xml:space="preserve"> ER03 at failure. The maximum debonding crack width </w:t>
      </w:r>
      <w:r w:rsidRPr="00022125">
        <w:rPr>
          <w:rFonts w:ascii="Times New Roman" w:hAnsi="Times New Roman" w:cs="Times New Roman"/>
          <w:lang w:val="en-US"/>
        </w:rPr>
        <w:t>was</w:t>
      </w:r>
      <w:r w:rsidRPr="00022125">
        <w:rPr>
          <w:rFonts w:ascii="Times New Roman" w:hAnsi="Times New Roman" w:cs="Times New Roman"/>
        </w:rPr>
        <w:t xml:space="preserve"> 7 </w:t>
      </w:r>
      <w:r>
        <w:rPr>
          <w:rFonts w:ascii="Times New Roman" w:hAnsi="Times New Roman" w:cs="Times New Roman"/>
        </w:rPr>
        <w:t xml:space="preserve">mm as observed in </w:t>
      </w:r>
      <w:r>
        <w:rPr>
          <w:rFonts w:ascii="Times New Roman" w:hAnsi="Times New Roman" w:cs="Times New Roman"/>
        </w:rPr>
        <w:fldChar w:fldCharType="begin"/>
      </w:r>
      <w:r>
        <w:rPr>
          <w:rFonts w:ascii="Times New Roman" w:hAnsi="Times New Roman" w:cs="Times New Roman"/>
        </w:rPr>
        <w:instrText xml:space="preserve"> REF _Ref192819703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Table 4</w:t>
      </w:r>
      <w:r>
        <w:rPr>
          <w:rFonts w:ascii="Times New Roman" w:hAnsi="Times New Roman" w:cs="Times New Roman"/>
        </w:rPr>
        <w:fldChar w:fldCharType="end"/>
      </w:r>
      <w:r>
        <w:rPr>
          <w:rFonts w:ascii="Times New Roman" w:hAnsi="Times New Roman" w:cs="Times New Roman"/>
        </w:rPr>
        <w:t>.</w:t>
      </w:r>
    </w:p>
    <w:p w14:paraId="0876853E" w14:textId="77777777" w:rsidR="009523E5" w:rsidRDefault="009523E5" w:rsidP="009201D3">
      <w:pPr>
        <w:spacing w:after="0" w:line="240" w:lineRule="auto"/>
        <w:rPr>
          <w:rFonts w:ascii="Times New Roman" w:hAnsi="Times New Roman" w:cs="Times New Roman"/>
          <w:lang w:val="en-US"/>
        </w:rPr>
      </w:pPr>
    </w:p>
    <w:p w14:paraId="45E2561E" w14:textId="77BDE242" w:rsidR="009523E5" w:rsidRDefault="00317B13" w:rsidP="009201D3">
      <w:pPr>
        <w:spacing w:after="0" w:line="240" w:lineRule="auto"/>
        <w:jc w:val="center"/>
        <w:rPr>
          <w:rFonts w:ascii="Times New Roman" w:hAnsi="Times New Roman" w:cs="Times New Roman"/>
          <w:lang w:val="en-US"/>
        </w:rPr>
      </w:pPr>
      <w:r>
        <w:rPr>
          <w:noProof/>
        </w:rPr>
        <w:drawing>
          <wp:inline distT="0" distB="0" distL="0" distR="0" wp14:anchorId="0E9C1F09" wp14:editId="6952DD35">
            <wp:extent cx="5695950" cy="714375"/>
            <wp:effectExtent l="0" t="0" r="0" b="9525"/>
            <wp:docPr id="1116938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5950" cy="714375"/>
                    </a:xfrm>
                    <a:prstGeom prst="rect">
                      <a:avLst/>
                    </a:prstGeom>
                    <a:noFill/>
                    <a:ln>
                      <a:noFill/>
                    </a:ln>
                  </pic:spPr>
                </pic:pic>
              </a:graphicData>
            </a:graphic>
          </wp:inline>
        </w:drawing>
      </w:r>
    </w:p>
    <w:p w14:paraId="170E9864" w14:textId="583D69FF" w:rsidR="009523E5" w:rsidRDefault="00317B13" w:rsidP="009201D3">
      <w:pPr>
        <w:spacing w:after="0" w:line="240" w:lineRule="auto"/>
        <w:jc w:val="center"/>
        <w:rPr>
          <w:rFonts w:ascii="Times New Roman" w:hAnsi="Times New Roman" w:cs="Times New Roman"/>
          <w:lang w:val="en-US"/>
        </w:rPr>
      </w:pPr>
      <w:r>
        <w:rPr>
          <w:noProof/>
        </w:rPr>
        <w:drawing>
          <wp:inline distT="0" distB="0" distL="0" distR="0" wp14:anchorId="195E92D8" wp14:editId="2F4DD6FD">
            <wp:extent cx="5724525" cy="819150"/>
            <wp:effectExtent l="0" t="0" r="9525" b="0"/>
            <wp:docPr id="5490549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819150"/>
                    </a:xfrm>
                    <a:prstGeom prst="rect">
                      <a:avLst/>
                    </a:prstGeom>
                    <a:noFill/>
                    <a:ln>
                      <a:noFill/>
                    </a:ln>
                  </pic:spPr>
                </pic:pic>
              </a:graphicData>
            </a:graphic>
          </wp:inline>
        </w:drawing>
      </w:r>
    </w:p>
    <w:p w14:paraId="25F8DF7D" w14:textId="3CB2B01C" w:rsidR="009523E5" w:rsidRDefault="003B4279" w:rsidP="009201D3">
      <w:pPr>
        <w:pStyle w:val="Caption"/>
        <w:spacing w:after="0" w:line="240" w:lineRule="auto"/>
        <w:rPr>
          <w:rFonts w:cs="Times New Roman"/>
        </w:rPr>
      </w:pPr>
      <w:bookmarkStart w:id="18" w:name="_Ref192819646"/>
      <w:r>
        <w:t xml:space="preserve">Fig. </w:t>
      </w:r>
      <w:r>
        <w:fldChar w:fldCharType="begin"/>
      </w:r>
      <w:r>
        <w:instrText xml:space="preserve"> SEQ Fig. \* ARABIC </w:instrText>
      </w:r>
      <w:r>
        <w:fldChar w:fldCharType="separate"/>
      </w:r>
      <w:r w:rsidR="0033612F">
        <w:rPr>
          <w:noProof/>
        </w:rPr>
        <w:t>11</w:t>
      </w:r>
      <w:r>
        <w:rPr>
          <w:noProof/>
        </w:rPr>
        <w:fldChar w:fldCharType="end"/>
      </w:r>
      <w:bookmarkEnd w:id="18"/>
      <w:r>
        <w:t xml:space="preserve"> Failure modes and crack patterns of beams E2 and ER03</w:t>
      </w:r>
    </w:p>
    <w:p w14:paraId="57A289DD" w14:textId="77777777" w:rsidR="009523E5" w:rsidRDefault="009523E5" w:rsidP="009201D3">
      <w:pPr>
        <w:spacing w:after="0" w:line="240" w:lineRule="auto"/>
        <w:rPr>
          <w:rFonts w:ascii="Times New Roman" w:hAnsi="Times New Roman" w:cs="Times New Roman"/>
        </w:rPr>
      </w:pPr>
    </w:p>
    <w:p w14:paraId="118FB9C1" w14:textId="77777777" w:rsidR="009523E5" w:rsidRDefault="003B4279" w:rsidP="009201D3">
      <w:pPr>
        <w:pStyle w:val="Caption"/>
        <w:spacing w:after="0" w:line="240" w:lineRule="auto"/>
        <w:rPr>
          <w:rFonts w:cs="Times New Roman"/>
        </w:rPr>
      </w:pPr>
      <w:bookmarkStart w:id="19" w:name="_Ref192819703"/>
      <w:r>
        <w:t xml:space="preserve">Table </w:t>
      </w:r>
      <w:r>
        <w:fldChar w:fldCharType="begin"/>
      </w:r>
      <w:r>
        <w:instrText xml:space="preserve"> SEQ Table \* ARABIC </w:instrText>
      </w:r>
      <w:r>
        <w:fldChar w:fldCharType="separate"/>
      </w:r>
      <w:r w:rsidR="009523E5">
        <w:t>4</w:t>
      </w:r>
      <w:r>
        <w:fldChar w:fldCharType="end"/>
      </w:r>
      <w:bookmarkEnd w:id="19"/>
      <w:r>
        <w:t xml:space="preserve"> Failure modes of beams</w:t>
      </w:r>
    </w:p>
    <w:tbl>
      <w:tblPr>
        <w:tblW w:w="8010" w:type="dxa"/>
        <w:jc w:val="center"/>
        <w:tblLook w:val="04A0" w:firstRow="1" w:lastRow="0" w:firstColumn="1" w:lastColumn="0" w:noHBand="0" w:noVBand="1"/>
      </w:tblPr>
      <w:tblGrid>
        <w:gridCol w:w="772"/>
        <w:gridCol w:w="3638"/>
        <w:gridCol w:w="1710"/>
        <w:gridCol w:w="1890"/>
      </w:tblGrid>
      <w:tr w:rsidR="009523E5" w14:paraId="2017C8D8" w14:textId="77777777">
        <w:trPr>
          <w:trHeight w:val="300"/>
          <w:jc w:val="center"/>
        </w:trPr>
        <w:tc>
          <w:tcPr>
            <w:tcW w:w="772" w:type="dxa"/>
            <w:vMerge w:val="restart"/>
            <w:tcBorders>
              <w:top w:val="single" w:sz="4" w:space="0" w:color="auto"/>
              <w:left w:val="nil"/>
              <w:bottom w:val="single" w:sz="4" w:space="0" w:color="000000"/>
              <w:right w:val="nil"/>
            </w:tcBorders>
            <w:vAlign w:val="center"/>
          </w:tcPr>
          <w:p w14:paraId="51D5EC1E"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Beam id</w:t>
            </w:r>
          </w:p>
        </w:tc>
        <w:tc>
          <w:tcPr>
            <w:tcW w:w="3638" w:type="dxa"/>
            <w:tcBorders>
              <w:top w:val="single" w:sz="4" w:space="0" w:color="auto"/>
              <w:left w:val="nil"/>
              <w:bottom w:val="nil"/>
              <w:right w:val="nil"/>
            </w:tcBorders>
            <w:noWrap/>
            <w:vAlign w:val="bottom"/>
          </w:tcPr>
          <w:p w14:paraId="16D00DE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 xml:space="preserve">Failure </w:t>
            </w:r>
          </w:p>
        </w:tc>
        <w:tc>
          <w:tcPr>
            <w:tcW w:w="1710" w:type="dxa"/>
            <w:vMerge w:val="restart"/>
            <w:tcBorders>
              <w:top w:val="single" w:sz="4" w:space="0" w:color="auto"/>
              <w:left w:val="nil"/>
              <w:bottom w:val="single" w:sz="4" w:space="0" w:color="000000"/>
              <w:right w:val="nil"/>
            </w:tcBorders>
            <w:vAlign w:val="bottom"/>
          </w:tcPr>
          <w:p w14:paraId="46B2D41A"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Main cause of failure</w:t>
            </w:r>
          </w:p>
        </w:tc>
        <w:tc>
          <w:tcPr>
            <w:tcW w:w="1890" w:type="dxa"/>
            <w:tcBorders>
              <w:top w:val="single" w:sz="4" w:space="0" w:color="auto"/>
              <w:left w:val="nil"/>
              <w:bottom w:val="nil"/>
              <w:right w:val="nil"/>
            </w:tcBorders>
            <w:noWrap/>
            <w:vAlign w:val="bottom"/>
          </w:tcPr>
          <w:p w14:paraId="557FBA3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 xml:space="preserve">Max debonding </w:t>
            </w:r>
          </w:p>
        </w:tc>
      </w:tr>
      <w:tr w:rsidR="009523E5" w14:paraId="481697AF" w14:textId="77777777">
        <w:trPr>
          <w:trHeight w:val="300"/>
          <w:jc w:val="center"/>
        </w:trPr>
        <w:tc>
          <w:tcPr>
            <w:tcW w:w="772" w:type="dxa"/>
            <w:vMerge/>
            <w:tcBorders>
              <w:top w:val="nil"/>
              <w:left w:val="nil"/>
              <w:bottom w:val="single" w:sz="4" w:space="0" w:color="000000"/>
              <w:right w:val="nil"/>
            </w:tcBorders>
            <w:vAlign w:val="center"/>
          </w:tcPr>
          <w:p w14:paraId="4B80B96B" w14:textId="77777777" w:rsidR="009523E5" w:rsidRDefault="009523E5" w:rsidP="009201D3">
            <w:pPr>
              <w:spacing w:after="0" w:line="240" w:lineRule="auto"/>
              <w:rPr>
                <w:rFonts w:ascii="Times New Roman" w:eastAsia="Times New Roman" w:hAnsi="Times New Roman" w:cs="Times New Roman"/>
                <w:color w:val="000000"/>
                <w:kern w:val="0"/>
                <w:sz w:val="22"/>
                <w:szCs w:val="22"/>
                <w:lang w:val="en-US" w:eastAsia="en-US"/>
                <w14:ligatures w14:val="none"/>
              </w:rPr>
            </w:pPr>
          </w:p>
        </w:tc>
        <w:tc>
          <w:tcPr>
            <w:tcW w:w="3638" w:type="dxa"/>
            <w:tcBorders>
              <w:top w:val="nil"/>
              <w:left w:val="nil"/>
              <w:bottom w:val="single" w:sz="4" w:space="0" w:color="auto"/>
              <w:right w:val="nil"/>
            </w:tcBorders>
            <w:noWrap/>
            <w:vAlign w:val="bottom"/>
          </w:tcPr>
          <w:p w14:paraId="24562B7E"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modes</w:t>
            </w:r>
          </w:p>
        </w:tc>
        <w:tc>
          <w:tcPr>
            <w:tcW w:w="1710" w:type="dxa"/>
            <w:vMerge/>
            <w:tcBorders>
              <w:top w:val="nil"/>
              <w:left w:val="nil"/>
              <w:bottom w:val="single" w:sz="4" w:space="0" w:color="000000"/>
              <w:right w:val="nil"/>
            </w:tcBorders>
            <w:vAlign w:val="center"/>
          </w:tcPr>
          <w:p w14:paraId="18CF50A6" w14:textId="77777777" w:rsidR="009523E5" w:rsidRDefault="009523E5" w:rsidP="009201D3">
            <w:pPr>
              <w:spacing w:after="0" w:line="240" w:lineRule="auto"/>
              <w:rPr>
                <w:rFonts w:ascii="Times New Roman" w:eastAsia="Times New Roman" w:hAnsi="Times New Roman" w:cs="Times New Roman"/>
                <w:color w:val="000000"/>
                <w:kern w:val="0"/>
                <w:sz w:val="22"/>
                <w:szCs w:val="22"/>
                <w:lang w:val="en-US" w:eastAsia="en-US"/>
                <w14:ligatures w14:val="none"/>
              </w:rPr>
            </w:pPr>
          </w:p>
        </w:tc>
        <w:tc>
          <w:tcPr>
            <w:tcW w:w="1890" w:type="dxa"/>
            <w:tcBorders>
              <w:top w:val="nil"/>
              <w:left w:val="nil"/>
              <w:bottom w:val="single" w:sz="4" w:space="0" w:color="auto"/>
              <w:right w:val="nil"/>
            </w:tcBorders>
            <w:noWrap/>
            <w:vAlign w:val="bottom"/>
          </w:tcPr>
          <w:p w14:paraId="6455BBE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 xml:space="preserve">Crack width, </w:t>
            </w:r>
            <w:r>
              <w:rPr>
                <w:rFonts w:ascii="Times New Roman" w:eastAsia="Times New Roman" w:hAnsi="Times New Roman" w:cs="Times New Roman"/>
                <w:color w:val="000000"/>
                <w:kern w:val="0"/>
                <w:sz w:val="22"/>
                <w:szCs w:val="22"/>
                <w:lang w:val="en-US" w:eastAsia="en-US"/>
                <w14:ligatures w14:val="none"/>
              </w:rPr>
              <w:t>mm</w:t>
            </w:r>
          </w:p>
        </w:tc>
      </w:tr>
      <w:tr w:rsidR="009523E5" w14:paraId="54443883" w14:textId="77777777">
        <w:trPr>
          <w:trHeight w:val="300"/>
          <w:jc w:val="center"/>
        </w:trPr>
        <w:tc>
          <w:tcPr>
            <w:tcW w:w="772" w:type="dxa"/>
            <w:tcBorders>
              <w:top w:val="nil"/>
              <w:left w:val="nil"/>
              <w:bottom w:val="nil"/>
              <w:right w:val="nil"/>
            </w:tcBorders>
            <w:noWrap/>
            <w:vAlign w:val="bottom"/>
          </w:tcPr>
          <w:p w14:paraId="25C5FDB3"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A1</w:t>
            </w:r>
          </w:p>
        </w:tc>
        <w:tc>
          <w:tcPr>
            <w:tcW w:w="3638" w:type="dxa"/>
            <w:tcBorders>
              <w:top w:val="nil"/>
              <w:left w:val="nil"/>
              <w:bottom w:val="nil"/>
              <w:right w:val="nil"/>
            </w:tcBorders>
            <w:noWrap/>
            <w:vAlign w:val="bottom"/>
          </w:tcPr>
          <w:p w14:paraId="37A28FC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shear</w:t>
            </w:r>
          </w:p>
        </w:tc>
        <w:tc>
          <w:tcPr>
            <w:tcW w:w="1710" w:type="dxa"/>
            <w:tcBorders>
              <w:top w:val="nil"/>
              <w:left w:val="nil"/>
              <w:bottom w:val="nil"/>
              <w:right w:val="nil"/>
            </w:tcBorders>
            <w:noWrap/>
            <w:vAlign w:val="bottom"/>
          </w:tcPr>
          <w:p w14:paraId="727361CB"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890" w:type="dxa"/>
            <w:tcBorders>
              <w:top w:val="nil"/>
              <w:left w:val="nil"/>
              <w:bottom w:val="nil"/>
              <w:right w:val="nil"/>
            </w:tcBorders>
            <w:noWrap/>
            <w:vAlign w:val="bottom"/>
          </w:tcPr>
          <w:p w14:paraId="4F7B9D0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60879F6A" w14:textId="77777777">
        <w:trPr>
          <w:trHeight w:val="300"/>
          <w:jc w:val="center"/>
        </w:trPr>
        <w:tc>
          <w:tcPr>
            <w:tcW w:w="772" w:type="dxa"/>
            <w:tcBorders>
              <w:top w:val="nil"/>
              <w:left w:val="nil"/>
              <w:bottom w:val="nil"/>
              <w:right w:val="nil"/>
            </w:tcBorders>
            <w:noWrap/>
            <w:vAlign w:val="bottom"/>
          </w:tcPr>
          <w:p w14:paraId="5838D60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AR02</w:t>
            </w:r>
          </w:p>
        </w:tc>
        <w:tc>
          <w:tcPr>
            <w:tcW w:w="3638" w:type="dxa"/>
            <w:tcBorders>
              <w:top w:val="nil"/>
              <w:left w:val="nil"/>
              <w:bottom w:val="nil"/>
              <w:right w:val="nil"/>
            </w:tcBorders>
            <w:noWrap/>
            <w:vAlign w:val="bottom"/>
          </w:tcPr>
          <w:p w14:paraId="1778901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073D3E6B"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539043D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10</w:t>
            </w:r>
          </w:p>
        </w:tc>
      </w:tr>
      <w:tr w:rsidR="009523E5" w14:paraId="0CADD608" w14:textId="77777777">
        <w:trPr>
          <w:trHeight w:val="300"/>
          <w:jc w:val="center"/>
        </w:trPr>
        <w:tc>
          <w:tcPr>
            <w:tcW w:w="772" w:type="dxa"/>
            <w:tcBorders>
              <w:top w:val="nil"/>
              <w:left w:val="nil"/>
              <w:bottom w:val="nil"/>
              <w:right w:val="nil"/>
            </w:tcBorders>
            <w:noWrap/>
            <w:vAlign w:val="bottom"/>
          </w:tcPr>
          <w:p w14:paraId="4DFB9F91"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B1</w:t>
            </w:r>
          </w:p>
        </w:tc>
        <w:tc>
          <w:tcPr>
            <w:tcW w:w="3638" w:type="dxa"/>
            <w:tcBorders>
              <w:top w:val="nil"/>
              <w:left w:val="nil"/>
              <w:bottom w:val="nil"/>
              <w:right w:val="nil"/>
            </w:tcBorders>
            <w:noWrap/>
            <w:vAlign w:val="bottom"/>
          </w:tcPr>
          <w:p w14:paraId="4925536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710" w:type="dxa"/>
            <w:tcBorders>
              <w:top w:val="nil"/>
              <w:left w:val="nil"/>
              <w:bottom w:val="nil"/>
              <w:right w:val="nil"/>
            </w:tcBorders>
            <w:noWrap/>
            <w:vAlign w:val="bottom"/>
          </w:tcPr>
          <w:p w14:paraId="37FD1BB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890" w:type="dxa"/>
            <w:tcBorders>
              <w:top w:val="nil"/>
              <w:left w:val="nil"/>
              <w:bottom w:val="nil"/>
              <w:right w:val="nil"/>
            </w:tcBorders>
            <w:noWrap/>
            <w:vAlign w:val="bottom"/>
          </w:tcPr>
          <w:p w14:paraId="041DF78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1D528F4E" w14:textId="77777777">
        <w:trPr>
          <w:trHeight w:val="300"/>
          <w:jc w:val="center"/>
        </w:trPr>
        <w:tc>
          <w:tcPr>
            <w:tcW w:w="772" w:type="dxa"/>
            <w:tcBorders>
              <w:top w:val="nil"/>
              <w:left w:val="nil"/>
              <w:bottom w:val="nil"/>
              <w:right w:val="nil"/>
            </w:tcBorders>
            <w:noWrap/>
            <w:vAlign w:val="bottom"/>
          </w:tcPr>
          <w:p w14:paraId="03F8982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BR02</w:t>
            </w:r>
          </w:p>
        </w:tc>
        <w:tc>
          <w:tcPr>
            <w:tcW w:w="3638" w:type="dxa"/>
            <w:tcBorders>
              <w:top w:val="nil"/>
              <w:left w:val="nil"/>
              <w:bottom w:val="nil"/>
              <w:right w:val="nil"/>
            </w:tcBorders>
            <w:noWrap/>
            <w:vAlign w:val="bottom"/>
          </w:tcPr>
          <w:p w14:paraId="72F28A5A"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5DB28BA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Debonding</w:t>
            </w:r>
          </w:p>
        </w:tc>
        <w:tc>
          <w:tcPr>
            <w:tcW w:w="1890" w:type="dxa"/>
            <w:tcBorders>
              <w:top w:val="nil"/>
              <w:left w:val="nil"/>
              <w:bottom w:val="nil"/>
              <w:right w:val="nil"/>
            </w:tcBorders>
            <w:noWrap/>
            <w:vAlign w:val="bottom"/>
          </w:tcPr>
          <w:p w14:paraId="25A3F09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7</w:t>
            </w:r>
          </w:p>
        </w:tc>
      </w:tr>
      <w:tr w:rsidR="009523E5" w14:paraId="107F8FA5" w14:textId="77777777">
        <w:trPr>
          <w:trHeight w:val="300"/>
          <w:jc w:val="center"/>
        </w:trPr>
        <w:tc>
          <w:tcPr>
            <w:tcW w:w="772" w:type="dxa"/>
            <w:tcBorders>
              <w:top w:val="nil"/>
              <w:left w:val="nil"/>
              <w:bottom w:val="nil"/>
              <w:right w:val="nil"/>
            </w:tcBorders>
            <w:noWrap/>
            <w:vAlign w:val="bottom"/>
          </w:tcPr>
          <w:p w14:paraId="035055C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C2</w:t>
            </w:r>
          </w:p>
        </w:tc>
        <w:tc>
          <w:tcPr>
            <w:tcW w:w="3638" w:type="dxa"/>
            <w:tcBorders>
              <w:top w:val="nil"/>
              <w:left w:val="nil"/>
              <w:bottom w:val="nil"/>
              <w:right w:val="nil"/>
            </w:tcBorders>
            <w:noWrap/>
            <w:vAlign w:val="bottom"/>
          </w:tcPr>
          <w:p w14:paraId="3BF6FD0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shear</w:t>
            </w:r>
          </w:p>
        </w:tc>
        <w:tc>
          <w:tcPr>
            <w:tcW w:w="1710" w:type="dxa"/>
            <w:tcBorders>
              <w:top w:val="nil"/>
              <w:left w:val="nil"/>
              <w:bottom w:val="nil"/>
              <w:right w:val="nil"/>
            </w:tcBorders>
            <w:noWrap/>
            <w:vAlign w:val="bottom"/>
          </w:tcPr>
          <w:p w14:paraId="0D567BB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890" w:type="dxa"/>
            <w:tcBorders>
              <w:top w:val="nil"/>
              <w:left w:val="nil"/>
              <w:bottom w:val="nil"/>
              <w:right w:val="nil"/>
            </w:tcBorders>
            <w:noWrap/>
            <w:vAlign w:val="bottom"/>
          </w:tcPr>
          <w:p w14:paraId="49D521D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4AB17900" w14:textId="77777777">
        <w:trPr>
          <w:trHeight w:val="300"/>
          <w:jc w:val="center"/>
        </w:trPr>
        <w:tc>
          <w:tcPr>
            <w:tcW w:w="772" w:type="dxa"/>
            <w:tcBorders>
              <w:top w:val="nil"/>
              <w:left w:val="nil"/>
              <w:bottom w:val="nil"/>
              <w:right w:val="nil"/>
            </w:tcBorders>
            <w:noWrap/>
            <w:vAlign w:val="bottom"/>
          </w:tcPr>
          <w:p w14:paraId="08B66750"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CR02</w:t>
            </w:r>
          </w:p>
        </w:tc>
        <w:tc>
          <w:tcPr>
            <w:tcW w:w="3638" w:type="dxa"/>
            <w:tcBorders>
              <w:top w:val="nil"/>
              <w:left w:val="nil"/>
              <w:bottom w:val="nil"/>
              <w:right w:val="nil"/>
            </w:tcBorders>
            <w:noWrap/>
            <w:vAlign w:val="bottom"/>
          </w:tcPr>
          <w:p w14:paraId="58A62EA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7A584DD3"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Debonding</w:t>
            </w:r>
          </w:p>
        </w:tc>
        <w:tc>
          <w:tcPr>
            <w:tcW w:w="1890" w:type="dxa"/>
            <w:tcBorders>
              <w:top w:val="nil"/>
              <w:left w:val="nil"/>
              <w:bottom w:val="nil"/>
              <w:right w:val="nil"/>
            </w:tcBorders>
            <w:noWrap/>
            <w:vAlign w:val="bottom"/>
          </w:tcPr>
          <w:p w14:paraId="28AE885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8</w:t>
            </w:r>
          </w:p>
        </w:tc>
      </w:tr>
      <w:tr w:rsidR="009523E5" w14:paraId="63416CA8" w14:textId="77777777">
        <w:trPr>
          <w:trHeight w:val="300"/>
          <w:jc w:val="center"/>
        </w:trPr>
        <w:tc>
          <w:tcPr>
            <w:tcW w:w="772" w:type="dxa"/>
            <w:tcBorders>
              <w:top w:val="nil"/>
              <w:left w:val="nil"/>
              <w:bottom w:val="nil"/>
              <w:right w:val="nil"/>
            </w:tcBorders>
            <w:noWrap/>
            <w:vAlign w:val="bottom"/>
          </w:tcPr>
          <w:p w14:paraId="157BD77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D1</w:t>
            </w:r>
          </w:p>
        </w:tc>
        <w:tc>
          <w:tcPr>
            <w:tcW w:w="3638" w:type="dxa"/>
            <w:tcBorders>
              <w:top w:val="nil"/>
              <w:left w:val="nil"/>
              <w:bottom w:val="nil"/>
              <w:right w:val="nil"/>
            </w:tcBorders>
            <w:noWrap/>
            <w:vAlign w:val="bottom"/>
          </w:tcPr>
          <w:p w14:paraId="4B0570E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w:t>
            </w:r>
          </w:p>
        </w:tc>
        <w:tc>
          <w:tcPr>
            <w:tcW w:w="1710" w:type="dxa"/>
            <w:tcBorders>
              <w:top w:val="nil"/>
              <w:left w:val="nil"/>
              <w:bottom w:val="nil"/>
              <w:right w:val="nil"/>
            </w:tcBorders>
            <w:noWrap/>
            <w:vAlign w:val="bottom"/>
          </w:tcPr>
          <w:p w14:paraId="2AC9401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05AD451F"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2D9EB633" w14:textId="77777777">
        <w:trPr>
          <w:trHeight w:val="300"/>
          <w:jc w:val="center"/>
        </w:trPr>
        <w:tc>
          <w:tcPr>
            <w:tcW w:w="772" w:type="dxa"/>
            <w:tcBorders>
              <w:top w:val="nil"/>
              <w:left w:val="nil"/>
              <w:bottom w:val="nil"/>
              <w:right w:val="nil"/>
            </w:tcBorders>
            <w:noWrap/>
            <w:vAlign w:val="bottom"/>
          </w:tcPr>
          <w:p w14:paraId="5FF2644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DR02</w:t>
            </w:r>
          </w:p>
        </w:tc>
        <w:tc>
          <w:tcPr>
            <w:tcW w:w="3638" w:type="dxa"/>
            <w:tcBorders>
              <w:top w:val="nil"/>
              <w:left w:val="nil"/>
              <w:bottom w:val="nil"/>
              <w:right w:val="nil"/>
            </w:tcBorders>
            <w:noWrap/>
            <w:vAlign w:val="bottom"/>
          </w:tcPr>
          <w:p w14:paraId="70FE3D00"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64772C33"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4AE77C77"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7</w:t>
            </w:r>
          </w:p>
        </w:tc>
      </w:tr>
      <w:tr w:rsidR="009523E5" w14:paraId="00F55FE7" w14:textId="77777777">
        <w:trPr>
          <w:trHeight w:val="300"/>
          <w:jc w:val="center"/>
        </w:trPr>
        <w:tc>
          <w:tcPr>
            <w:tcW w:w="772" w:type="dxa"/>
            <w:tcBorders>
              <w:top w:val="nil"/>
              <w:left w:val="nil"/>
              <w:bottom w:val="nil"/>
              <w:right w:val="nil"/>
            </w:tcBorders>
            <w:noWrap/>
            <w:vAlign w:val="bottom"/>
          </w:tcPr>
          <w:p w14:paraId="3CC09B9E"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E2</w:t>
            </w:r>
          </w:p>
        </w:tc>
        <w:tc>
          <w:tcPr>
            <w:tcW w:w="3638" w:type="dxa"/>
            <w:tcBorders>
              <w:top w:val="nil"/>
              <w:left w:val="nil"/>
              <w:bottom w:val="nil"/>
              <w:right w:val="nil"/>
            </w:tcBorders>
            <w:noWrap/>
            <w:vAlign w:val="bottom"/>
          </w:tcPr>
          <w:p w14:paraId="441ED51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w:t>
            </w:r>
          </w:p>
        </w:tc>
        <w:tc>
          <w:tcPr>
            <w:tcW w:w="1710" w:type="dxa"/>
            <w:tcBorders>
              <w:top w:val="nil"/>
              <w:left w:val="nil"/>
              <w:bottom w:val="nil"/>
              <w:right w:val="nil"/>
            </w:tcBorders>
            <w:noWrap/>
            <w:vAlign w:val="bottom"/>
          </w:tcPr>
          <w:p w14:paraId="6DE295C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2898976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33D850E8" w14:textId="77777777">
        <w:trPr>
          <w:trHeight w:val="300"/>
          <w:jc w:val="center"/>
        </w:trPr>
        <w:tc>
          <w:tcPr>
            <w:tcW w:w="772" w:type="dxa"/>
            <w:tcBorders>
              <w:top w:val="nil"/>
              <w:left w:val="nil"/>
              <w:bottom w:val="single" w:sz="4" w:space="0" w:color="auto"/>
              <w:right w:val="nil"/>
            </w:tcBorders>
            <w:noWrap/>
            <w:vAlign w:val="bottom"/>
          </w:tcPr>
          <w:p w14:paraId="606CE2B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ER03</w:t>
            </w:r>
          </w:p>
        </w:tc>
        <w:tc>
          <w:tcPr>
            <w:tcW w:w="3638" w:type="dxa"/>
            <w:tcBorders>
              <w:top w:val="nil"/>
              <w:left w:val="nil"/>
              <w:bottom w:val="single" w:sz="4" w:space="0" w:color="auto"/>
              <w:right w:val="nil"/>
            </w:tcBorders>
            <w:noWrap/>
            <w:vAlign w:val="bottom"/>
          </w:tcPr>
          <w:p w14:paraId="4C41FFAA"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single" w:sz="4" w:space="0" w:color="auto"/>
              <w:right w:val="nil"/>
            </w:tcBorders>
            <w:noWrap/>
            <w:vAlign w:val="bottom"/>
          </w:tcPr>
          <w:p w14:paraId="1AF9EDC2"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single" w:sz="4" w:space="0" w:color="auto"/>
              <w:right w:val="nil"/>
            </w:tcBorders>
            <w:noWrap/>
            <w:vAlign w:val="bottom"/>
          </w:tcPr>
          <w:p w14:paraId="0122EC8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7</w:t>
            </w:r>
          </w:p>
        </w:tc>
      </w:tr>
    </w:tbl>
    <w:p w14:paraId="0CA49CAB" w14:textId="77777777" w:rsidR="009523E5" w:rsidRDefault="009523E5" w:rsidP="009201D3">
      <w:pPr>
        <w:spacing w:after="0" w:line="240" w:lineRule="auto"/>
        <w:rPr>
          <w:rFonts w:ascii="Times New Roman" w:hAnsi="Times New Roman" w:cs="Times New Roman"/>
        </w:rPr>
      </w:pPr>
    </w:p>
    <w:p w14:paraId="221AF692" w14:textId="77777777" w:rsidR="009523E5" w:rsidRDefault="009523E5" w:rsidP="009201D3">
      <w:pPr>
        <w:spacing w:after="0" w:line="240" w:lineRule="auto"/>
        <w:rPr>
          <w:rFonts w:ascii="Times New Roman" w:hAnsi="Times New Roman" w:cs="Times New Roman"/>
        </w:rPr>
      </w:pPr>
    </w:p>
    <w:p w14:paraId="7F7201D6"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 xml:space="preserve">4.2 Crack number and </w:t>
      </w:r>
      <w:r>
        <w:rPr>
          <w:rFonts w:ascii="Times New Roman" w:hAnsi="Times New Roman" w:cs="Times New Roman"/>
          <w:b/>
          <w:bCs/>
        </w:rPr>
        <w:t>crack length</w:t>
      </w:r>
    </w:p>
    <w:p w14:paraId="53BD592D" w14:textId="66181D89"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_Ref192819880 \h </w:instrText>
      </w:r>
      <w:r>
        <w:rPr>
          <w:rFonts w:ascii="Times New Roman" w:hAnsi="Times New Roman" w:cs="Times New Roman"/>
        </w:rPr>
      </w:r>
      <w:r>
        <w:rPr>
          <w:rFonts w:ascii="Times New Roman" w:hAnsi="Times New Roman" w:cs="Times New Roman"/>
        </w:rPr>
        <w:fldChar w:fldCharType="separate"/>
      </w:r>
      <w:r w:rsidR="001D0A44">
        <w:t xml:space="preserve">Fig. </w:t>
      </w:r>
      <w:r w:rsidR="001D0A44">
        <w:rPr>
          <w:noProof/>
        </w:rPr>
        <w:t>12</w:t>
      </w:r>
      <w:r>
        <w:rPr>
          <w:rFonts w:ascii="Times New Roman" w:hAnsi="Times New Roman" w:cs="Times New Roman"/>
        </w:rPr>
        <w:fldChar w:fldCharType="end"/>
      </w:r>
      <w:r>
        <w:rPr>
          <w:rFonts w:ascii="Times New Roman" w:hAnsi="Times New Roman" w:cs="Times New Roman"/>
        </w:rPr>
        <w:t xml:space="preserve"> shows the relationship of </w:t>
      </w:r>
      <w:r w:rsidRPr="00022125">
        <w:rPr>
          <w:rFonts w:ascii="Times New Roman" w:hAnsi="Times New Roman" w:cs="Times New Roman"/>
        </w:rPr>
        <w:t xml:space="preserve">crack numbers for both under the load points and away from the load points. Under the load points,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_Ref19281988</w:instrText>
      </w:r>
      <w:r w:rsidRPr="00022125">
        <w:rPr>
          <w:rFonts w:ascii="Times New Roman" w:hAnsi="Times New Roman" w:cs="Times New Roman"/>
        </w:rPr>
        <w:instrText xml:space="preserve">0 \h  \* MERGEFORMAT </w:instrText>
      </w:r>
      <w:r w:rsidRPr="00022125">
        <w:rPr>
          <w:rFonts w:ascii="Times New Roman" w:hAnsi="Times New Roman" w:cs="Times New Roman"/>
        </w:rPr>
      </w:r>
      <w:r w:rsidRPr="00022125">
        <w:rPr>
          <w:rFonts w:ascii="Times New Roman" w:hAnsi="Times New Roman" w:cs="Times New Roman"/>
        </w:rPr>
        <w:fldChar w:fldCharType="separate"/>
      </w:r>
      <w:r w:rsidR="001D0A44" w:rsidRPr="001D0A44">
        <w:rPr>
          <w:rFonts w:ascii="Times New Roman" w:hAnsi="Times New Roman" w:cs="Times New Roman"/>
        </w:rPr>
        <w:t>Fig. 12</w:t>
      </w:r>
      <w:r w:rsidRPr="00022125">
        <w:rPr>
          <w:rFonts w:ascii="Times New Roman" w:hAnsi="Times New Roman" w:cs="Times New Roman"/>
        </w:rPr>
        <w:fldChar w:fldCharType="end"/>
      </w:r>
      <w:r w:rsidRPr="00022125">
        <w:rPr>
          <w:rFonts w:ascii="Times New Roman" w:hAnsi="Times New Roman" w:cs="Times New Roman"/>
          <w:lang w:val="en-US"/>
        </w:rPr>
        <w:t>(</w:t>
      </w:r>
      <w:r w:rsidRPr="00022125">
        <w:rPr>
          <w:rFonts w:ascii="Times New Roman" w:hAnsi="Times New Roman" w:cs="Times New Roman"/>
        </w:rPr>
        <w:t xml:space="preserve">a), it can be observed that generally in flexure at failure, the crack numbers reduced from </w:t>
      </w:r>
      <w:r>
        <w:rPr>
          <w:rFonts w:ascii="Times New Roman" w:hAnsi="Times New Roman" w:cs="Times New Roman"/>
        </w:rPr>
        <w:t>the unretrofitted beam to the retrofitted beam, with the exception of the beams BR02 and CR02 which</w:t>
      </w:r>
      <w:r>
        <w:rPr>
          <w:rFonts w:ascii="Times New Roman" w:hAnsi="Times New Roman" w:cs="Times New Roman"/>
        </w:rPr>
        <w:t xml:space="preserve"> both increased from their unretrofitted beams. At failure, the highest number of cracks recorded reached 13 (CR02) under the load points, </w:t>
      </w:r>
      <w:r w:rsidRPr="00022125">
        <w:rPr>
          <w:rFonts w:ascii="Times New Roman" w:hAnsi="Times New Roman" w:cs="Times New Roman"/>
        </w:rPr>
        <w:t>directly followed by BR02 with a number 12. It can be observed also that the anomaly which is in the beams BR02 and C</w:t>
      </w:r>
      <w:r w:rsidRPr="00022125">
        <w:rPr>
          <w:rFonts w:ascii="Times New Roman" w:hAnsi="Times New Roman" w:cs="Times New Roman"/>
        </w:rPr>
        <w:t xml:space="preserve">R02 are the only beams that recorded shear cracks under the load points.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_Ref192819880 \h  \* MERGEFORMAT </w:instrText>
      </w:r>
      <w:r w:rsidRPr="00022125">
        <w:rPr>
          <w:rFonts w:ascii="Times New Roman" w:hAnsi="Times New Roman" w:cs="Times New Roman"/>
        </w:rPr>
      </w:r>
      <w:r w:rsidRPr="00022125">
        <w:rPr>
          <w:rFonts w:ascii="Times New Roman" w:hAnsi="Times New Roman" w:cs="Times New Roman"/>
        </w:rPr>
        <w:fldChar w:fldCharType="separate"/>
      </w:r>
      <w:r w:rsidR="001D0A44" w:rsidRPr="001D0A44">
        <w:rPr>
          <w:rFonts w:ascii="Times New Roman" w:hAnsi="Times New Roman" w:cs="Times New Roman"/>
        </w:rPr>
        <w:t>Fig. 12</w:t>
      </w:r>
      <w:r w:rsidRPr="00022125">
        <w:rPr>
          <w:rFonts w:ascii="Times New Roman" w:hAnsi="Times New Roman" w:cs="Times New Roman"/>
        </w:rPr>
        <w:fldChar w:fldCharType="end"/>
      </w:r>
      <w:r w:rsidRPr="00022125">
        <w:rPr>
          <w:rFonts w:ascii="Times New Roman" w:hAnsi="Times New Roman" w:cs="Times New Roman"/>
          <w:lang w:val="en-US"/>
        </w:rPr>
        <w:t>(</w:t>
      </w:r>
      <w:r w:rsidRPr="00022125">
        <w:rPr>
          <w:rFonts w:ascii="Times New Roman" w:hAnsi="Times New Roman" w:cs="Times New Roman"/>
        </w:rPr>
        <w:t xml:space="preserve">b) which represents the crack number away from the load points, it </w:t>
      </w:r>
      <w:r w:rsidRPr="00022125">
        <w:rPr>
          <w:rFonts w:ascii="Times New Roman" w:hAnsi="Times New Roman" w:cs="Times New Roman"/>
        </w:rPr>
        <w:t xml:space="preserve">is </w:t>
      </w:r>
      <w:r w:rsidRPr="00022125">
        <w:rPr>
          <w:rFonts w:ascii="Times New Roman" w:eastAsia="Calibri" w:hAnsi="Times New Roman" w:cs="Times New Roman"/>
        </w:rPr>
        <w:t>o</w:t>
      </w:r>
      <w:r w:rsidRPr="00022125">
        <w:rPr>
          <w:rFonts w:ascii="Times New Roman" w:hAnsi="Times New Roman" w:cs="Times New Roman"/>
        </w:rPr>
        <w:t xml:space="preserve">bserved that in both pure flexure and shear, the number of cracks in the retrofitted beams were more than their unretrofitted </w:t>
      </w:r>
      <w:r>
        <w:rPr>
          <w:rFonts w:ascii="Times New Roman" w:hAnsi="Times New Roman" w:cs="Times New Roman"/>
        </w:rPr>
        <w:t xml:space="preserve">beams. The number of flexural cracks </w:t>
      </w:r>
      <w:r>
        <w:rPr>
          <w:rFonts w:ascii="Times New Roman" w:hAnsi="Times New Roman" w:cs="Times New Roman"/>
          <w:lang w:val="en-US"/>
        </w:rPr>
        <w:t>was</w:t>
      </w:r>
      <w:r>
        <w:rPr>
          <w:rFonts w:ascii="Times New Roman" w:hAnsi="Times New Roman" w:cs="Times New Roman"/>
        </w:rPr>
        <w:t xml:space="preserve"> more than those in shear for all the beams.</w:t>
      </w:r>
    </w:p>
    <w:p w14:paraId="22130145" w14:textId="77777777" w:rsidR="009523E5" w:rsidRDefault="009523E5" w:rsidP="009201D3">
      <w:pPr>
        <w:spacing w:after="0" w:line="240" w:lineRule="auto"/>
        <w:ind w:right="11"/>
        <w:rPr>
          <w:rFonts w:ascii="Times New Roman" w:hAnsi="Times New Roman" w:cs="Times New Roman"/>
        </w:rPr>
      </w:pPr>
    </w:p>
    <w:p w14:paraId="4E247973" w14:textId="77777777" w:rsidR="009523E5" w:rsidRDefault="003B4279" w:rsidP="009201D3">
      <w:pPr>
        <w:spacing w:after="0" w:line="240" w:lineRule="auto"/>
        <w:rPr>
          <w:rFonts w:ascii="Times New Roman" w:hAnsi="Times New Roman" w:cs="Times New Roman"/>
        </w:rPr>
      </w:pPr>
      <w:r>
        <w:rPr>
          <w:noProof/>
        </w:rPr>
        <w:lastRenderedPageBreak/>
        <w:drawing>
          <wp:inline distT="0" distB="0" distL="0" distR="0" wp14:anchorId="7D602FF3" wp14:editId="6E1C78D5">
            <wp:extent cx="2847340" cy="1837690"/>
            <wp:effectExtent l="0" t="0" r="0" b="0"/>
            <wp:docPr id="19053985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rPr>
        <w:t xml:space="preserve"> </w:t>
      </w:r>
      <w:r>
        <w:rPr>
          <w:noProof/>
        </w:rPr>
        <w:drawing>
          <wp:inline distT="0" distB="0" distL="0" distR="0" wp14:anchorId="55547173" wp14:editId="23911C2D">
            <wp:extent cx="2809875" cy="1895475"/>
            <wp:effectExtent l="0" t="0" r="0" b="0"/>
            <wp:docPr id="13176120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541242"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ab/>
        <w:t xml:space="preserve">a) Under load region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b) A</w:t>
      </w:r>
      <w:r>
        <w:rPr>
          <w:rFonts w:ascii="Times New Roman" w:hAnsi="Times New Roman" w:cs="Times New Roman"/>
        </w:rPr>
        <w:t>way from load region</w:t>
      </w:r>
    </w:p>
    <w:p w14:paraId="7C4D53E0" w14:textId="5986D22A" w:rsidR="009523E5" w:rsidRDefault="003B4279" w:rsidP="009201D3">
      <w:pPr>
        <w:pStyle w:val="Caption"/>
        <w:spacing w:after="0" w:line="240" w:lineRule="auto"/>
        <w:rPr>
          <w:rFonts w:cs="Times New Roman"/>
        </w:rPr>
      </w:pPr>
      <w:bookmarkStart w:id="20" w:name="_Ref192819880"/>
      <w:r>
        <w:t xml:space="preserve">Fig. </w:t>
      </w:r>
      <w:r>
        <w:fldChar w:fldCharType="begin"/>
      </w:r>
      <w:r>
        <w:instrText xml:space="preserve"> SEQ Fig. \* ARABIC </w:instrText>
      </w:r>
      <w:r>
        <w:fldChar w:fldCharType="separate"/>
      </w:r>
      <w:r w:rsidR="0033612F">
        <w:rPr>
          <w:noProof/>
        </w:rPr>
        <w:t>12</w:t>
      </w:r>
      <w:r>
        <w:rPr>
          <w:noProof/>
        </w:rPr>
        <w:fldChar w:fldCharType="end"/>
      </w:r>
      <w:bookmarkEnd w:id="20"/>
      <w:r>
        <w:t xml:space="preserve"> Crack numbers </w:t>
      </w:r>
      <w:r>
        <w:tab/>
      </w:r>
    </w:p>
    <w:p w14:paraId="3D97B9C7" w14:textId="77777777" w:rsidR="009523E5" w:rsidRDefault="009523E5" w:rsidP="009201D3">
      <w:pPr>
        <w:spacing w:after="0" w:line="240" w:lineRule="auto"/>
        <w:rPr>
          <w:rFonts w:ascii="Times New Roman" w:hAnsi="Times New Roman" w:cs="Times New Roman"/>
        </w:rPr>
      </w:pPr>
    </w:p>
    <w:p w14:paraId="00BED573" w14:textId="5947AFDC"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The relationship existing among the crack lengths at failure is illustrated in </w:t>
      </w:r>
      <w:r>
        <w:rPr>
          <w:rFonts w:ascii="Times New Roman" w:hAnsi="Times New Roman" w:cs="Times New Roman"/>
        </w:rPr>
        <w:fldChar w:fldCharType="begin"/>
      </w:r>
      <w:r>
        <w:rPr>
          <w:rFonts w:ascii="Times New Roman" w:hAnsi="Times New Roman" w:cs="Times New Roman"/>
        </w:rPr>
        <w:instrText xml:space="preserve"> REF _Ref192819904 \h  \* MERGEFORMAT </w:instrText>
      </w:r>
      <w:r>
        <w:rPr>
          <w:rFonts w:ascii="Times New Roman" w:hAnsi="Times New Roman" w:cs="Times New Roman"/>
        </w:rPr>
      </w:r>
      <w:r>
        <w:rPr>
          <w:rFonts w:ascii="Times New Roman" w:hAnsi="Times New Roman" w:cs="Times New Roman"/>
        </w:rPr>
        <w:fldChar w:fldCharType="separate"/>
      </w:r>
      <w:r w:rsidR="001D0A44" w:rsidRPr="001D0A44">
        <w:rPr>
          <w:rFonts w:ascii="Times New Roman" w:hAnsi="Times New Roman" w:cs="Times New Roman"/>
        </w:rPr>
        <w:t>Fig. 13</w:t>
      </w:r>
      <w:r>
        <w:rPr>
          <w:rFonts w:ascii="Times New Roman" w:hAnsi="Times New Roman" w:cs="Times New Roman"/>
        </w:rPr>
        <w:fldChar w:fldCharType="end"/>
      </w:r>
      <w:r>
        <w:rPr>
          <w:rFonts w:ascii="Times New Roman" w:hAnsi="Times New Roman" w:cs="Times New Roman"/>
        </w:rPr>
        <w:t xml:space="preserve">. With regard to the largest </w:t>
      </w:r>
      <w:r w:rsidRPr="00022125">
        <w:rPr>
          <w:rFonts w:ascii="Times New Roman" w:hAnsi="Times New Roman" w:cs="Times New Roman"/>
        </w:rPr>
        <w:t>crack lengths, the retrofitted beams were observed to have crack lengths that are more than the unretrofitted beams at complete failure. The pattern of the largest lengths is from beam A through beam E in an ascending manner, with the exception of the retr</w:t>
      </w:r>
      <w:r w:rsidRPr="00022125">
        <w:rPr>
          <w:rFonts w:ascii="Times New Roman" w:hAnsi="Times New Roman" w:cs="Times New Roman"/>
        </w:rPr>
        <w:t xml:space="preserve">ofitted beam A (AR02) which peaks around 700 mm at complete failure. It can be observed that the larger values of crack lengths can be attributed to the beams that failed in diagonal shear, as such those recorded </w:t>
      </w:r>
      <w:r w:rsidRPr="00022125">
        <w:rPr>
          <w:rFonts w:ascii="Times New Roman" w:hAnsi="Times New Roman" w:cs="Times New Roman"/>
          <w:lang w:val="en-US"/>
        </w:rPr>
        <w:t xml:space="preserve">large </w:t>
      </w:r>
      <w:r w:rsidRPr="00022125">
        <w:rPr>
          <w:rFonts w:ascii="Times New Roman" w:hAnsi="Times New Roman" w:cs="Times New Roman"/>
        </w:rPr>
        <w:t>values. On the average crack lengths,</w:t>
      </w:r>
      <w:r w:rsidRPr="00022125">
        <w:rPr>
          <w:rFonts w:ascii="Times New Roman" w:hAnsi="Times New Roman" w:cs="Times New Roman"/>
        </w:rPr>
        <w:t xml:space="preserve"> it is evident that the retrofitted beams had crack lengths </w:t>
      </w:r>
      <w:r>
        <w:rPr>
          <w:rFonts w:ascii="Times New Roman" w:hAnsi="Times New Roman" w:cs="Times New Roman"/>
        </w:rPr>
        <w:t xml:space="preserve">that </w:t>
      </w:r>
      <w:r>
        <w:rPr>
          <w:rFonts w:ascii="Times New Roman" w:hAnsi="Times New Roman" w:cs="Times New Roman"/>
          <w:lang w:val="en-US"/>
        </w:rPr>
        <w:t>we</w:t>
      </w:r>
      <w:r>
        <w:rPr>
          <w:rFonts w:ascii="Times New Roman" w:hAnsi="Times New Roman" w:cs="Times New Roman"/>
        </w:rPr>
        <w:t>re slightly lower than their unretrofitted beams and the same can be observed in the smallest crack lengths. The average crack lengths are a better interpretation followed by the smallest c</w:t>
      </w:r>
      <w:r>
        <w:rPr>
          <w:rFonts w:ascii="Times New Roman" w:hAnsi="Times New Roman" w:cs="Times New Roman"/>
        </w:rPr>
        <w:t>rack</w:t>
      </w:r>
      <w:r>
        <w:t xml:space="preserve"> lengths in discussing the crack length relationship.</w:t>
      </w:r>
    </w:p>
    <w:p w14:paraId="340F3B33" w14:textId="77777777" w:rsidR="009523E5" w:rsidRDefault="009523E5" w:rsidP="009201D3">
      <w:pPr>
        <w:spacing w:after="0" w:line="240" w:lineRule="auto"/>
        <w:rPr>
          <w:rFonts w:ascii="Times New Roman" w:hAnsi="Times New Roman" w:cs="Times New Roman"/>
        </w:rPr>
      </w:pPr>
    </w:p>
    <w:p w14:paraId="475EE3A0"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10F2A432" wp14:editId="4791CE55">
            <wp:extent cx="3552825" cy="2604770"/>
            <wp:effectExtent l="0" t="0" r="0" b="5080"/>
            <wp:docPr id="19789796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4F5D23" w14:textId="26C184AD" w:rsidR="009523E5" w:rsidRDefault="003B4279" w:rsidP="009201D3">
      <w:pPr>
        <w:pStyle w:val="Caption"/>
        <w:spacing w:after="0" w:line="240" w:lineRule="auto"/>
        <w:rPr>
          <w:rFonts w:cs="Times New Roman"/>
        </w:rPr>
      </w:pPr>
      <w:bookmarkStart w:id="21" w:name="_Ref192819904"/>
      <w:r>
        <w:t xml:space="preserve">Fig. </w:t>
      </w:r>
      <w:r>
        <w:fldChar w:fldCharType="begin"/>
      </w:r>
      <w:r>
        <w:instrText xml:space="preserve"> SEQ Fig. \* ARABIC </w:instrText>
      </w:r>
      <w:r>
        <w:fldChar w:fldCharType="separate"/>
      </w:r>
      <w:r w:rsidR="0033612F">
        <w:rPr>
          <w:noProof/>
        </w:rPr>
        <w:t>13</w:t>
      </w:r>
      <w:r>
        <w:rPr>
          <w:noProof/>
        </w:rPr>
        <w:fldChar w:fldCharType="end"/>
      </w:r>
      <w:bookmarkEnd w:id="21"/>
      <w:r>
        <w:t xml:space="preserve"> Crack lengths of beams</w:t>
      </w:r>
    </w:p>
    <w:p w14:paraId="65B4C800" w14:textId="77777777" w:rsidR="009523E5" w:rsidRDefault="009523E5" w:rsidP="009201D3">
      <w:pPr>
        <w:spacing w:after="0" w:line="240" w:lineRule="auto"/>
        <w:rPr>
          <w:rFonts w:ascii="Times New Roman" w:hAnsi="Times New Roman" w:cs="Times New Roman"/>
        </w:rPr>
      </w:pPr>
    </w:p>
    <w:p w14:paraId="6369A25B" w14:textId="77777777" w:rsidR="009523E5" w:rsidRDefault="003B4279" w:rsidP="009201D3">
      <w:pPr>
        <w:pStyle w:val="ListParagraph"/>
        <w:numPr>
          <w:ilvl w:val="1"/>
          <w:numId w:val="2"/>
        </w:numPr>
        <w:spacing w:after="0" w:line="240" w:lineRule="auto"/>
        <w:contextualSpacing w:val="0"/>
        <w:rPr>
          <w:rFonts w:ascii="Times New Roman" w:hAnsi="Times New Roman" w:cs="Times New Roman"/>
          <w:b/>
          <w:bCs/>
        </w:rPr>
      </w:pPr>
      <w:r>
        <w:rPr>
          <w:rFonts w:ascii="Times New Roman" w:hAnsi="Times New Roman" w:cs="Times New Roman"/>
          <w:b/>
          <w:bCs/>
        </w:rPr>
        <w:t>Crack spacing and maximum crack width</w:t>
      </w:r>
    </w:p>
    <w:p w14:paraId="66866EA6" w14:textId="0E6652FE" w:rsidR="009523E5" w:rsidRDefault="003B4279" w:rsidP="009201D3">
      <w:pPr>
        <w:spacing w:after="0" w:line="240" w:lineRule="auto"/>
        <w:ind w:right="11"/>
        <w:rPr>
          <w:rFonts w:ascii="Times New Roman" w:hAnsi="Times New Roman" w:cs="Times New Roman"/>
        </w:rPr>
      </w:pPr>
      <w:r>
        <w:t xml:space="preserve">The largest crack spacing </w:t>
      </w:r>
      <w:r>
        <w:rPr>
          <w:rFonts w:ascii="Times New Roman" w:hAnsi="Times New Roman" w:cs="Times New Roman"/>
        </w:rPr>
        <w:t>w</w:t>
      </w:r>
      <w:r>
        <w:rPr>
          <w:rFonts w:ascii="Times New Roman" w:hAnsi="Times New Roman" w:cs="Times New Roman"/>
          <w:lang w:val="en-US"/>
        </w:rPr>
        <w:t>as</w:t>
      </w:r>
      <w:r>
        <w:rPr>
          <w:rFonts w:ascii="Times New Roman" w:hAnsi="Times New Roman" w:cs="Times New Roman"/>
        </w:rPr>
        <w:t xml:space="preserve"> more pronounced in the beams that failed in diagonal shear as this large</w:t>
      </w:r>
      <w:r>
        <w:rPr>
          <w:rFonts w:ascii="Times New Roman" w:hAnsi="Times New Roman" w:cs="Times New Roman"/>
        </w:rPr>
        <w:t xml:space="preserve"> diagonal shear crack replaced the several flexural cracks that would have emerged around that crack.  In </w:t>
      </w:r>
      <w:r>
        <w:rPr>
          <w:rFonts w:ascii="Times New Roman" w:hAnsi="Times New Roman" w:cs="Times New Roman"/>
        </w:rPr>
        <w:fldChar w:fldCharType="begin"/>
      </w:r>
      <w:r>
        <w:rPr>
          <w:rFonts w:ascii="Times New Roman" w:hAnsi="Times New Roman" w:cs="Times New Roman"/>
        </w:rPr>
        <w:instrText xml:space="preserve"> REF _Ref192819930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14</w:t>
      </w:r>
      <w:r>
        <w:rPr>
          <w:rFonts w:ascii="Times New Roman" w:hAnsi="Times New Roman" w:cs="Times New Roman"/>
        </w:rPr>
        <w:fldChar w:fldCharType="end"/>
      </w:r>
      <w:r>
        <w:rPr>
          <w:rFonts w:ascii="Times New Roman" w:hAnsi="Times New Roman" w:cs="Times New Roman"/>
        </w:rPr>
        <w:t>, the largest crack spacing reduced fr</w:t>
      </w:r>
      <w:r>
        <w:rPr>
          <w:rFonts w:ascii="Times New Roman" w:hAnsi="Times New Roman" w:cs="Times New Roman"/>
        </w:rPr>
        <w:t>om unretrofitted beams to retrofitted beams for both beams A and B but increased from beam C to E, with the retrofitted beam D (DR02) recording the highest value.  The average and smallest spacing of the cracks are all observed to reduce from the unretrofi</w:t>
      </w:r>
      <w:r>
        <w:rPr>
          <w:rFonts w:ascii="Times New Roman" w:hAnsi="Times New Roman" w:cs="Times New Roman"/>
        </w:rPr>
        <w:t xml:space="preserve">tted beams to the retrofitted beams. The average </w:t>
      </w:r>
      <w:r>
        <w:rPr>
          <w:rFonts w:ascii="Times New Roman" w:hAnsi="Times New Roman" w:cs="Times New Roman"/>
        </w:rPr>
        <w:lastRenderedPageBreak/>
        <w:t>crack spacing gives a better representation of the crack spacing followed by the smallest crack spacing.</w:t>
      </w:r>
    </w:p>
    <w:p w14:paraId="4E4FBE3B" w14:textId="77777777" w:rsidR="009523E5" w:rsidRDefault="009523E5" w:rsidP="009201D3">
      <w:pPr>
        <w:spacing w:after="0" w:line="240" w:lineRule="auto"/>
        <w:rPr>
          <w:rFonts w:ascii="Times New Roman" w:hAnsi="Times New Roman" w:cs="Times New Roman"/>
        </w:rPr>
      </w:pPr>
    </w:p>
    <w:p w14:paraId="6441B4CC"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3FA56740" wp14:editId="4776C9F5">
            <wp:extent cx="3686175" cy="2424430"/>
            <wp:effectExtent l="0" t="0" r="0" b="0"/>
            <wp:docPr id="8509643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C1EE5E" w14:textId="1BC19D8B" w:rsidR="009523E5" w:rsidRDefault="003B4279" w:rsidP="009201D3">
      <w:pPr>
        <w:pStyle w:val="Caption"/>
        <w:spacing w:after="0" w:line="240" w:lineRule="auto"/>
        <w:rPr>
          <w:rFonts w:cs="Times New Roman"/>
        </w:rPr>
      </w:pPr>
      <w:bookmarkStart w:id="22" w:name="_Ref192819930"/>
      <w:r>
        <w:t xml:space="preserve">Fig. </w:t>
      </w:r>
      <w:r>
        <w:fldChar w:fldCharType="begin"/>
      </w:r>
      <w:r>
        <w:instrText xml:space="preserve"> SEQ Fig. \* ARABIC </w:instrText>
      </w:r>
      <w:r>
        <w:fldChar w:fldCharType="separate"/>
      </w:r>
      <w:r w:rsidR="0033612F">
        <w:rPr>
          <w:noProof/>
        </w:rPr>
        <w:t>14</w:t>
      </w:r>
      <w:r>
        <w:rPr>
          <w:noProof/>
        </w:rPr>
        <w:fldChar w:fldCharType="end"/>
      </w:r>
      <w:bookmarkEnd w:id="22"/>
      <w:r>
        <w:t xml:space="preserve"> Crack spacing of beams</w:t>
      </w:r>
    </w:p>
    <w:p w14:paraId="75E27A71" w14:textId="77777777" w:rsidR="009523E5" w:rsidRDefault="009523E5" w:rsidP="009201D3">
      <w:pPr>
        <w:spacing w:after="0" w:line="240" w:lineRule="auto"/>
        <w:rPr>
          <w:rFonts w:ascii="Times New Roman" w:hAnsi="Times New Roman" w:cs="Times New Roman"/>
        </w:rPr>
      </w:pPr>
    </w:p>
    <w:p w14:paraId="0C802948" w14:textId="72E5DDD6" w:rsidR="009523E5" w:rsidRDefault="003B4279" w:rsidP="009201D3">
      <w:pPr>
        <w:numPr>
          <w:ilvl w:val="0"/>
          <w:numId w:val="1"/>
        </w:numPr>
        <w:spacing w:after="0" w:line="240" w:lineRule="auto"/>
        <w:ind w:right="11" w:hanging="728"/>
        <w:rPr>
          <w:rFonts w:ascii="Times New Roman" w:hAnsi="Times New Roman" w:cs="Times New Roman"/>
        </w:rPr>
      </w:pPr>
      <w:r>
        <w:rPr>
          <w:rFonts w:ascii="Times New Roman" w:hAnsi="Times New Roman" w:cs="Times New Roman"/>
        </w:rPr>
        <w:t xml:space="preserve">The relationship existing among the maximum crack widths is illustrated in </w:t>
      </w:r>
      <w:r>
        <w:rPr>
          <w:rFonts w:ascii="Times New Roman" w:hAnsi="Times New Roman" w:cs="Times New Roman"/>
        </w:rPr>
        <w:fldChar w:fldCharType="begin"/>
      </w:r>
      <w:r>
        <w:rPr>
          <w:rFonts w:ascii="Times New Roman" w:hAnsi="Times New Roman" w:cs="Times New Roman"/>
        </w:rPr>
        <w:instrText xml:space="preserve"> REF _Ref192819943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15</w:t>
      </w:r>
      <w:r>
        <w:rPr>
          <w:rFonts w:ascii="Times New Roman" w:hAnsi="Times New Roman" w:cs="Times New Roman"/>
        </w:rPr>
        <w:fldChar w:fldCharType="end"/>
      </w:r>
      <w:r>
        <w:rPr>
          <w:rFonts w:ascii="Times New Roman" w:hAnsi="Times New Roman" w:cs="Times New Roman"/>
        </w:rPr>
        <w:t xml:space="preserve">. The maximum </w:t>
      </w:r>
      <w:r w:rsidRPr="00022125">
        <w:rPr>
          <w:rFonts w:ascii="Times New Roman" w:hAnsi="Times New Roman" w:cs="Times New Roman"/>
        </w:rPr>
        <w:t>crack openings or width are observed to be biggest in the beams with the diagonal shear cracks. At complete failure of beams, the retrofitted beams generally exhibited higher max</w:t>
      </w:r>
      <w:r w:rsidRPr="00022125">
        <w:rPr>
          <w:rFonts w:ascii="Times New Roman" w:hAnsi="Times New Roman" w:cs="Times New Roman"/>
        </w:rPr>
        <w:t xml:space="preserve">imum crack widths than their unretrofitted beams at failure or complete collapse of the beams. </w:t>
      </w:r>
      <w:r w:rsidR="00022125">
        <w:rPr>
          <w:rFonts w:ascii="Times New Roman" w:hAnsi="Times New Roman" w:cs="Times New Roman"/>
          <w:lang w:val="en-US"/>
        </w:rPr>
        <w:t>Beam</w:t>
      </w:r>
      <w:r w:rsidRPr="00022125">
        <w:rPr>
          <w:rFonts w:ascii="Times New Roman" w:hAnsi="Times New Roman" w:cs="Times New Roman"/>
        </w:rPr>
        <w:t xml:space="preserve"> AR02 had maximum crack width from 1 mm to 15 mm, beam BR02 recorded 1 mm to 3 mm, beam CR02 recorded 1 mm to 5 mm, beam DR02 recorded 1 mm to 31 mm, and bea</w:t>
      </w:r>
      <w:r w:rsidRPr="00022125">
        <w:rPr>
          <w:rFonts w:ascii="Times New Roman" w:hAnsi="Times New Roman" w:cs="Times New Roman"/>
        </w:rPr>
        <w:t xml:space="preserve">m ER03 recorded 1 mm to 30 mm. This is due to the fact that, the retrofitting elements, especially the GFRP bars have failure </w:t>
      </w:r>
      <w:r w:rsidR="00022125">
        <w:rPr>
          <w:rFonts w:ascii="Times New Roman" w:hAnsi="Times New Roman" w:cs="Times New Roman"/>
        </w:rPr>
        <w:t>characterized</w:t>
      </w:r>
      <w:r w:rsidRPr="00022125">
        <w:rPr>
          <w:rFonts w:ascii="Times New Roman" w:hAnsi="Times New Roman" w:cs="Times New Roman"/>
        </w:rPr>
        <w:t xml:space="preserve"> by larger deflection upon deformation due to lower modulus of elasticity </w:t>
      </w:r>
      <w:r w:rsidRPr="00022125">
        <w:rPr>
          <w:rFonts w:ascii="Times New Roman" w:hAnsi="Times New Roman" w:cs="Times New Roman"/>
        </w:rPr>
        <w:fldChar w:fldCharType="begin" w:fldLock="1"/>
      </w:r>
      <w:r w:rsidRPr="00022125">
        <w:rPr>
          <w:rFonts w:ascii="Times New Roman" w:hAnsi="Times New Roman" w:cs="Times New Roman"/>
        </w:rPr>
        <w:instrText>ADDIN CSL_CITATION {"citationItems":[{"id":</w:instrText>
      </w:r>
      <w:r w:rsidRPr="00022125">
        <w:rPr>
          <w:rFonts w:ascii="Times New Roman" w:hAnsi="Times New Roman" w:cs="Times New Roman"/>
        </w:rPr>
        <w:instrText>"ITEM-1","itemData":{"DOI":"10.9734/jerr/2024/v26i71200","abstract":"This study examined the mechanical characteristics of glass fiber-reinforced polymer (GFRP) bars following its introduction in the Ghanaian construction industry. Tensile strength, tensil</w:instrText>
      </w:r>
      <w:r w:rsidRPr="00022125">
        <w:rPr>
          <w:rFonts w:ascii="Times New Roman" w:hAnsi="Times New Roman" w:cs="Times New Roman"/>
        </w:rPr>
        <w:instrText>e failure strain, and modulus of elasticity for different GFRP bar diameters were examined. The specimens were investigated according to the provisions in the British Standards. To conduct the tensile strength test on the GFRP, a gripping technique was req</w:instrText>
      </w:r>
      <w:r w:rsidRPr="00022125">
        <w:rPr>
          <w:rFonts w:ascii="Times New Roman" w:hAnsi="Times New Roman" w:cs="Times New Roman"/>
        </w:rPr>
        <w:instrText>uired to prevent slippage or premature failure. The gripping mechanism comprised a circular steel pipe with an inner diameter of 22mm and 150mm long for gripping on both ends of the specimen where 150mm long of the GFRP bar was implanted into the steel pip</w:instrText>
      </w:r>
      <w:r w:rsidRPr="00022125">
        <w:rPr>
          <w:rFonts w:ascii="Times New Roman" w:hAnsi="Times New Roman" w:cs="Times New Roman"/>
        </w:rPr>
        <w:instrText xml:space="preserve">e, leaving 300mm of free length. Thus, an appropriate embedment length and adequate pipe size were crucial components in this kind of gripping device. An epoxy mixture with expanding additives and high-strength non-shrink was used to fill the area between </w:instrText>
      </w:r>
      <w:r w:rsidRPr="00022125">
        <w:rPr>
          <w:rFonts w:ascii="Times New Roman" w:hAnsi="Times New Roman" w:cs="Times New Roman"/>
        </w:rPr>
        <w:instrText xml:space="preserve">the steel pipe and the bar. The GFRP bar sizes used in this test were 10mm, 12mm, and 16mm and their tensile strength from the test results were 1193 N/mm², 1030 N/mm², and 866N/mm² respectively. The modulus of elasticity of the fiberglass also varied for </w:instrText>
      </w:r>
      <w:r w:rsidRPr="00022125">
        <w:rPr>
          <w:rFonts w:ascii="Times New Roman" w:hAnsi="Times New Roman" w:cs="Times New Roman"/>
        </w:rPr>
        <w:instrText>the10mm, 12mm, and 16mm as 54434 MPa (N/mm²), 41711 MPa (N/mm²), and 30516 MPa (N/mm²) respectively. The ultimate strain for 10mm, 12mm, and 16mm was 2.20%, 2.48%, and 2.8% respectively. The measured values of ultimate strength, failure stresses, and axial</w:instrText>
      </w:r>
      <w:r w:rsidRPr="00022125">
        <w:rPr>
          <w:rFonts w:ascii="Times New Roman" w:hAnsi="Times New Roman" w:cs="Times New Roman"/>
        </w:rPr>
        <w:instrText xml:space="preserve"> tensile modulus correspond well with the values published in the relatively limited available literature. From the experimental data, the stress-strain relationship for all bar sizes was a single monotonic straight line. Thus, failure of the bars occurred</w:instrText>
      </w:r>
      <w:r w:rsidRPr="00022125">
        <w:rPr>
          <w:rFonts w:ascii="Times New Roman" w:hAnsi="Times New Roman" w:cs="Times New Roman"/>
        </w:rPr>
        <w:instrText xml:space="preserve"> suddenly without the warning that is usually associated with ductility beyond ultimate/maximum stress. Compared to conventional steel, fiber-reinforced polymers are highly robust and lightweight. Its mechanical properties, however, are linear elastic and </w:instrText>
      </w:r>
      <w:r w:rsidRPr="00022125">
        <w:rPr>
          <w:rFonts w:ascii="Times New Roman" w:hAnsi="Times New Roman" w:cs="Times New Roman"/>
        </w:rPr>
        <w:instrText>lack a prominent yielding stage, which lowers the rates of elongation and failure strain. Furthermore, GFRP usually has a lower elastic modulus than steel, and unlike steel is non-homogeneous and an-isotropic.","author":[{"dropping-particle":"","family":"B</w:instrText>
      </w:r>
      <w:r w:rsidRPr="00022125">
        <w:rPr>
          <w:rFonts w:ascii="Times New Roman" w:hAnsi="Times New Roman" w:cs="Times New Roman"/>
        </w:rPr>
        <w:instrText>oateng","given":"George Oti","non-dropping-particle":"","parse-names":false,"suffix":""},{"dropping-particle":"","family":"Kankam","given":"Charles K.","non-dropping-particle":"","parse-names":false,"suffix":""},{"dropping-particle":"","family":"Mansar","g</w:instrText>
      </w:r>
      <w:r w:rsidRPr="00022125">
        <w:rPr>
          <w:rFonts w:ascii="Times New Roman" w:hAnsi="Times New Roman" w:cs="Times New Roman"/>
        </w:rPr>
        <w:instrText>iven":"Edward C.","non-dropping-particle":"","parse-names":false,"suffix":""},{"dropping-particle":"","family":"Afrifa","given":"Russell O.","non-dropping-particle":"","parse-names":false,"suffix":""},{"dropping-particle":"","family":"Kwarteng","given":"Fe</w:instrText>
      </w:r>
      <w:r w:rsidRPr="00022125">
        <w:rPr>
          <w:rFonts w:ascii="Times New Roman" w:hAnsi="Times New Roman" w:cs="Times New Roman"/>
        </w:rPr>
        <w:instrText>lix","non-dropping-particle":"","parse-names":false,"suffix":""},{"dropping-particle":"","family":"Ohene-Coffie","given":"Francis","non-dropping-particle":"","parse-names":false,"suffix":""},{"dropping-particle":"","family":"Kpo","given":"Selase A. K.","no</w:instrText>
      </w:r>
      <w:r w:rsidRPr="00022125">
        <w:rPr>
          <w:rFonts w:ascii="Times New Roman" w:hAnsi="Times New Roman" w:cs="Times New Roman"/>
        </w:rPr>
        <w:instrText>n-dropping-particle":"","parse-names":false,"suffix":""}],"container-title":"Journal of Engineering Research and Reports","id":"ITEM-1","issue":"7","issued":{"date-parts":[["2024"]]},"page":"150-160","title":"Evaluating the Mechanical Properties of Fibergl</w:instrText>
      </w:r>
      <w:r w:rsidRPr="00022125">
        <w:rPr>
          <w:rFonts w:ascii="Times New Roman" w:hAnsi="Times New Roman" w:cs="Times New Roman"/>
        </w:rPr>
        <w:instrText>ass-reinforced Polymer Bar","type":"article-journal","volume":"26"},"uris":["http://www.mendeley.com/documents/?uuid=0897e1e4-6aa8-4d56-a5b0-1d010618313e"]}],"mendeley":{"formattedCitation":"(Boateng et al., 2024)","plainTextFormattedCitation":"(Boateng et</w:instrText>
      </w:r>
      <w:r w:rsidRPr="00022125">
        <w:rPr>
          <w:rFonts w:ascii="Times New Roman" w:hAnsi="Times New Roman" w:cs="Times New Roman"/>
        </w:rPr>
        <w:instrText xml:space="preserve"> al., 2024)","previouslyFormattedCitation":"(Boateng et al., 2024)"},"properties":{"noteIndex":0},"schema":"https://github.com/citation-style-language/schema/raw/master/csl-citation.json"}</w:instrText>
      </w:r>
      <w:r w:rsidRPr="00022125">
        <w:rPr>
          <w:rFonts w:ascii="Times New Roman" w:hAnsi="Times New Roman" w:cs="Times New Roman"/>
        </w:rPr>
        <w:fldChar w:fldCharType="separate"/>
      </w:r>
      <w:r w:rsidRPr="00022125">
        <w:rPr>
          <w:rFonts w:ascii="Times New Roman" w:hAnsi="Times New Roman" w:cs="Times New Roman"/>
        </w:rPr>
        <w:t>(Boateng et al., 2024)</w:t>
      </w:r>
      <w:r w:rsidRPr="00022125">
        <w:rPr>
          <w:rFonts w:ascii="Times New Roman" w:hAnsi="Times New Roman" w:cs="Times New Roman"/>
        </w:rPr>
        <w:fldChar w:fldCharType="end"/>
      </w:r>
      <w:r w:rsidRPr="00022125">
        <w:rPr>
          <w:rFonts w:ascii="Times New Roman" w:hAnsi="Times New Roman" w:cs="Times New Roman"/>
        </w:rPr>
        <w:t xml:space="preserve"> thus an increase </w:t>
      </w:r>
      <w:r>
        <w:rPr>
          <w:rFonts w:ascii="Times New Roman" w:hAnsi="Times New Roman" w:cs="Times New Roman"/>
        </w:rPr>
        <w:t>in the crack width in the</w:t>
      </w:r>
      <w:r>
        <w:rPr>
          <w:rFonts w:ascii="Times New Roman" w:hAnsi="Times New Roman" w:cs="Times New Roman"/>
        </w:rPr>
        <w:t xml:space="preserve"> retrofitted beams.  </w:t>
      </w:r>
    </w:p>
    <w:p w14:paraId="2BBC55BF" w14:textId="77777777" w:rsidR="009523E5" w:rsidRDefault="009523E5" w:rsidP="009201D3">
      <w:pPr>
        <w:spacing w:after="0" w:line="240" w:lineRule="auto"/>
        <w:rPr>
          <w:rFonts w:ascii="Times New Roman" w:hAnsi="Times New Roman" w:cs="Times New Roman"/>
        </w:rPr>
      </w:pPr>
    </w:p>
    <w:p w14:paraId="733248C4"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332E8F53" wp14:editId="1C3D3C65">
            <wp:extent cx="3423920" cy="2538730"/>
            <wp:effectExtent l="0" t="0" r="5080" b="0"/>
            <wp:docPr id="8458160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B1E72DF" w14:textId="14FCB890" w:rsidR="009523E5" w:rsidRDefault="003B4279" w:rsidP="009201D3">
      <w:pPr>
        <w:pStyle w:val="Caption"/>
        <w:spacing w:after="0" w:line="240" w:lineRule="auto"/>
        <w:rPr>
          <w:rFonts w:cs="Times New Roman"/>
        </w:rPr>
      </w:pPr>
      <w:bookmarkStart w:id="23" w:name="_Ref192819943"/>
      <w:r>
        <w:t xml:space="preserve">Fig. </w:t>
      </w:r>
      <w:r>
        <w:fldChar w:fldCharType="begin"/>
      </w:r>
      <w:r>
        <w:instrText xml:space="preserve"> SEQ Fig. \* ARABIC </w:instrText>
      </w:r>
      <w:r>
        <w:fldChar w:fldCharType="separate"/>
      </w:r>
      <w:r w:rsidR="0033612F">
        <w:rPr>
          <w:noProof/>
        </w:rPr>
        <w:t>15</w:t>
      </w:r>
      <w:r>
        <w:rPr>
          <w:noProof/>
        </w:rPr>
        <w:fldChar w:fldCharType="end"/>
      </w:r>
      <w:bookmarkEnd w:id="23"/>
      <w:r>
        <w:t xml:space="preserve"> Maximum crack width of beams</w:t>
      </w:r>
    </w:p>
    <w:p w14:paraId="0A29D5F8" w14:textId="77777777" w:rsidR="009523E5" w:rsidRDefault="009523E5" w:rsidP="009201D3">
      <w:pPr>
        <w:spacing w:after="0" w:line="240" w:lineRule="auto"/>
        <w:rPr>
          <w:rFonts w:ascii="Times New Roman" w:hAnsi="Times New Roman" w:cs="Times New Roman"/>
        </w:rPr>
      </w:pPr>
    </w:p>
    <w:p w14:paraId="02022F70"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4.4 Load - deflection relationships</w:t>
      </w:r>
    </w:p>
    <w:p w14:paraId="28E292D6" w14:textId="67F7F1F0" w:rsidR="009523E5" w:rsidRDefault="003B4279" w:rsidP="009201D3">
      <w:pPr>
        <w:spacing w:after="0" w:line="240" w:lineRule="auto"/>
        <w:rPr>
          <w:rFonts w:ascii="Times New Roman" w:hAnsi="Times New Roman" w:cs="Times New Roman"/>
        </w:rPr>
      </w:pPr>
      <w:r w:rsidRPr="00022125">
        <w:rPr>
          <w:rFonts w:ascii="Times New Roman" w:hAnsi="Times New Roman" w:cs="Times New Roman"/>
        </w:rPr>
        <w:t xml:space="preserve">The load - deflection curves of the unretrofitted or control beams are shown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_Ref192819959 \h </w:instrText>
      </w:r>
      <w:r w:rsidRPr="00022125">
        <w:rPr>
          <w:rFonts w:ascii="Times New Roman" w:hAnsi="Times New Roman" w:cs="Times New Roman"/>
        </w:rPr>
      </w:r>
      <w:r w:rsidRPr="00022125">
        <w:rPr>
          <w:rFonts w:ascii="Times New Roman" w:hAnsi="Times New Roman" w:cs="Times New Roman"/>
        </w:rPr>
        <w:fldChar w:fldCharType="separate"/>
      </w:r>
      <w:r w:rsidR="005E7AB0">
        <w:t xml:space="preserve">Fig. </w:t>
      </w:r>
      <w:r w:rsidR="005E7AB0">
        <w:rPr>
          <w:noProof/>
        </w:rPr>
        <w:t>16</w:t>
      </w:r>
      <w:r w:rsidRPr="00022125">
        <w:rPr>
          <w:rFonts w:ascii="Times New Roman" w:hAnsi="Times New Roman" w:cs="Times New Roman"/>
        </w:rPr>
        <w:fldChar w:fldCharType="end"/>
      </w:r>
      <w:r w:rsidRPr="00022125">
        <w:rPr>
          <w:rFonts w:ascii="Times New Roman" w:hAnsi="Times New Roman" w:cs="Times New Roman"/>
        </w:rPr>
        <w:t xml:space="preserve">. </w:t>
      </w:r>
      <w:r w:rsidR="00022125">
        <w:rPr>
          <w:rFonts w:ascii="Times New Roman" w:hAnsi="Times New Roman" w:cs="Times New Roman"/>
          <w:lang w:val="en-US"/>
        </w:rPr>
        <w:t>Beam</w:t>
      </w:r>
      <w:r w:rsidRPr="00022125">
        <w:rPr>
          <w:rFonts w:ascii="Times New Roman" w:hAnsi="Times New Roman" w:cs="Times New Roman"/>
        </w:rPr>
        <w:t xml:space="preserve"> D1 ha</w:t>
      </w:r>
      <w:r w:rsidRPr="00022125">
        <w:rPr>
          <w:rFonts w:ascii="Times New Roman" w:hAnsi="Times New Roman" w:cs="Times New Roman"/>
          <w:lang w:val="en-US"/>
        </w:rPr>
        <w:t>d</w:t>
      </w:r>
      <w:r w:rsidRPr="00022125">
        <w:rPr>
          <w:rFonts w:ascii="Times New Roman" w:hAnsi="Times New Roman" w:cs="Times New Roman"/>
        </w:rPr>
        <w:t xml:space="preserve"> the highest load at complete collapse of the beam, </w:t>
      </w:r>
      <w:r w:rsidRPr="00022125">
        <w:rPr>
          <w:rFonts w:ascii="Times New Roman" w:hAnsi="Times New Roman" w:cs="Times New Roman"/>
          <w:lang w:val="en-US"/>
        </w:rPr>
        <w:t>and</w:t>
      </w:r>
      <w:r w:rsidRPr="00022125">
        <w:rPr>
          <w:rFonts w:ascii="Times New Roman" w:hAnsi="Times New Roman" w:cs="Times New Roman"/>
        </w:rPr>
        <w:t xml:space="preserve"> beam A1 following closely. </w:t>
      </w:r>
      <w:r w:rsidRPr="00022125">
        <w:rPr>
          <w:rFonts w:ascii="Times New Roman" w:hAnsi="Times New Roman" w:cs="Times New Roman"/>
        </w:rPr>
        <w:lastRenderedPageBreak/>
        <w:t xml:space="preserve">Beam C2 was next in line, followed by beam E2 and then beam B1 with loads </w:t>
      </w:r>
      <w:r>
        <w:rPr>
          <w:rFonts w:ascii="Times New Roman" w:hAnsi="Times New Roman" w:cs="Times New Roman"/>
        </w:rPr>
        <w:t xml:space="preserve">of 32 kN, 30 kN, 26 kN, 26 kN, and 24 kN respectively. It is evident that beam D1 with an increased area of tension steel is able to sustain the highest load.   </w:t>
      </w:r>
    </w:p>
    <w:p w14:paraId="1727E999"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7442AEFA" wp14:editId="3D3FA72E">
            <wp:extent cx="4248150" cy="2828925"/>
            <wp:effectExtent l="0" t="0" r="0" b="0"/>
            <wp:docPr id="19386369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39527E" w14:textId="2636E282" w:rsidR="009523E5" w:rsidRDefault="003B4279" w:rsidP="009201D3">
      <w:pPr>
        <w:pStyle w:val="Caption"/>
        <w:spacing w:after="0" w:line="240" w:lineRule="auto"/>
        <w:rPr>
          <w:rFonts w:cs="Times New Roman"/>
        </w:rPr>
      </w:pPr>
      <w:bookmarkStart w:id="24" w:name="_Ref192819959"/>
      <w:r>
        <w:t xml:space="preserve">Fig. </w:t>
      </w:r>
      <w:r>
        <w:fldChar w:fldCharType="begin"/>
      </w:r>
      <w:r>
        <w:instrText xml:space="preserve"> SEQ Fig. \* ARABIC </w:instrText>
      </w:r>
      <w:r>
        <w:fldChar w:fldCharType="separate"/>
      </w:r>
      <w:r w:rsidR="0033612F">
        <w:rPr>
          <w:noProof/>
        </w:rPr>
        <w:t>16</w:t>
      </w:r>
      <w:r>
        <w:rPr>
          <w:noProof/>
        </w:rPr>
        <w:fldChar w:fldCharType="end"/>
      </w:r>
      <w:bookmarkEnd w:id="24"/>
      <w:r>
        <w:t xml:space="preserve"> Load-</w:t>
      </w:r>
      <w:r w:rsidRPr="00022125">
        <w:t>deflection curve</w:t>
      </w:r>
      <w:r w:rsidRPr="00022125">
        <w:rPr>
          <w:lang w:val="en-US"/>
        </w:rPr>
        <w:t>s</w:t>
      </w:r>
      <w:r w:rsidRPr="00022125">
        <w:t xml:space="preserve"> </w:t>
      </w:r>
      <w:r>
        <w:t>of unretrofitted beam</w:t>
      </w:r>
    </w:p>
    <w:p w14:paraId="3F1EA9A7" w14:textId="77777777" w:rsidR="009523E5" w:rsidRDefault="009523E5" w:rsidP="009201D3">
      <w:pPr>
        <w:spacing w:after="0" w:line="240" w:lineRule="auto"/>
        <w:jc w:val="both"/>
        <w:rPr>
          <w:rFonts w:ascii="Times New Roman" w:hAnsi="Times New Roman" w:cs="Times New Roman"/>
        </w:rPr>
      </w:pPr>
    </w:p>
    <w:p w14:paraId="165F4B81" w14:textId="502046C3" w:rsidR="009523E5" w:rsidRDefault="003B4279" w:rsidP="009201D3">
      <w:pPr>
        <w:spacing w:after="0" w:line="240" w:lineRule="auto"/>
        <w:jc w:val="both"/>
        <w:rPr>
          <w:rFonts w:ascii="Times New Roman" w:hAnsi="Times New Roman" w:cs="Times New Roman"/>
        </w:rPr>
      </w:pPr>
      <w:r>
        <w:rPr>
          <w:rFonts w:ascii="Times New Roman" w:hAnsi="Times New Roman" w:cs="Times New Roman"/>
        </w:rPr>
        <w:t>The load - defl</w:t>
      </w:r>
      <w:r>
        <w:rPr>
          <w:rFonts w:ascii="Times New Roman" w:hAnsi="Times New Roman" w:cs="Times New Roman"/>
        </w:rPr>
        <w:t xml:space="preserve">ection curves of beam group A, illustrated in </w:t>
      </w:r>
      <w:r>
        <w:rPr>
          <w:rFonts w:ascii="Times New Roman" w:hAnsi="Times New Roman" w:cs="Times New Roman"/>
        </w:rPr>
        <w:fldChar w:fldCharType="begin"/>
      </w:r>
      <w:r>
        <w:rPr>
          <w:rFonts w:ascii="Times New Roman" w:hAnsi="Times New Roman" w:cs="Times New Roman"/>
        </w:rPr>
        <w:instrText xml:space="preserve"> REF _Ref192819998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17</w:t>
      </w:r>
      <w:r>
        <w:rPr>
          <w:rFonts w:ascii="Times New Roman" w:hAnsi="Times New Roman" w:cs="Times New Roman"/>
        </w:rPr>
        <w:fldChar w:fldCharType="end"/>
      </w:r>
      <w:r>
        <w:rPr>
          <w:rFonts w:ascii="Times New Roman" w:hAnsi="Times New Roman" w:cs="Times New Roman"/>
        </w:rPr>
        <w:t xml:space="preserve"> show that beam A1 exhibited a linearly elastic behaviour initially from the origin, turned later </w:t>
      </w:r>
      <w:r>
        <w:rPr>
          <w:rFonts w:ascii="Times New Roman" w:hAnsi="Times New Roman" w:cs="Times New Roman"/>
        </w:rPr>
        <w:t xml:space="preserve">inelastic after cracking and finally branched off at failure. It is evident in </w:t>
      </w:r>
      <w:r>
        <w:rPr>
          <w:rFonts w:ascii="Times New Roman" w:hAnsi="Times New Roman" w:cs="Times New Roman"/>
        </w:rPr>
        <w:fldChar w:fldCharType="begin"/>
      </w:r>
      <w:r>
        <w:rPr>
          <w:rFonts w:ascii="Times New Roman" w:hAnsi="Times New Roman" w:cs="Times New Roman"/>
        </w:rPr>
        <w:instrText xml:space="preserve"> REF _Ref192819998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17</w:t>
      </w:r>
      <w:r>
        <w:rPr>
          <w:rFonts w:ascii="Times New Roman" w:hAnsi="Times New Roman" w:cs="Times New Roman"/>
        </w:rPr>
        <w:fldChar w:fldCharType="end"/>
      </w:r>
      <w:r>
        <w:rPr>
          <w:rFonts w:ascii="Times New Roman" w:hAnsi="Times New Roman" w:cs="Times New Roman"/>
        </w:rPr>
        <w:t xml:space="preserve"> that the retrofitted beam AR02 showed linearly increasing elast</w:t>
      </w:r>
      <w:r>
        <w:rPr>
          <w:rFonts w:ascii="Times New Roman" w:hAnsi="Times New Roman" w:cs="Times New Roman"/>
        </w:rPr>
        <w:t>ic curve, further than the unretrofitted beam but this curve also changed to inelastic till at a breaking point where a further increase in the load collapsed the beam abruptly, thus failing by shear. The retrofitted beam load-deflection curve is higher th</w:t>
      </w:r>
      <w:r>
        <w:rPr>
          <w:rFonts w:ascii="Times New Roman" w:hAnsi="Times New Roman" w:cs="Times New Roman"/>
        </w:rPr>
        <w:t>an the unretrofitted curve.</w:t>
      </w:r>
    </w:p>
    <w:p w14:paraId="60E0538D" w14:textId="77777777" w:rsidR="009523E5" w:rsidRDefault="009523E5" w:rsidP="009201D3">
      <w:pPr>
        <w:spacing w:after="0" w:line="240" w:lineRule="auto"/>
        <w:jc w:val="both"/>
        <w:rPr>
          <w:rFonts w:ascii="Times New Roman" w:hAnsi="Times New Roman" w:cs="Times New Roman"/>
        </w:rPr>
      </w:pPr>
    </w:p>
    <w:p w14:paraId="18F23133"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4DFD5B03" wp14:editId="0B9970FD">
            <wp:extent cx="3654425" cy="2371090"/>
            <wp:effectExtent l="0" t="0" r="3175" b="0"/>
            <wp:docPr id="18090644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56375D" w14:textId="53ED4804" w:rsidR="009523E5" w:rsidRDefault="003B4279" w:rsidP="009201D3">
      <w:pPr>
        <w:pStyle w:val="Caption"/>
        <w:spacing w:after="0" w:line="240" w:lineRule="auto"/>
        <w:rPr>
          <w:rFonts w:cs="Times New Roman"/>
        </w:rPr>
      </w:pPr>
      <w:bookmarkStart w:id="25" w:name="_Ref192819998"/>
      <w:r>
        <w:t xml:space="preserve">Fig. </w:t>
      </w:r>
      <w:r>
        <w:fldChar w:fldCharType="begin"/>
      </w:r>
      <w:r>
        <w:instrText xml:space="preserve"> SEQ Fig. \* ARABIC </w:instrText>
      </w:r>
      <w:r>
        <w:fldChar w:fldCharType="separate"/>
      </w:r>
      <w:r w:rsidR="0033612F">
        <w:rPr>
          <w:noProof/>
        </w:rPr>
        <w:t>17</w:t>
      </w:r>
      <w:r>
        <w:rPr>
          <w:noProof/>
        </w:rPr>
        <w:fldChar w:fldCharType="end"/>
      </w:r>
      <w:bookmarkEnd w:id="25"/>
      <w:r>
        <w:t xml:space="preserve"> Load-</w:t>
      </w:r>
      <w:r w:rsidRPr="00022125">
        <w:t>deflection curve</w:t>
      </w:r>
      <w:r w:rsidRPr="00022125">
        <w:rPr>
          <w:lang w:val="en-US"/>
        </w:rPr>
        <w:t>s</w:t>
      </w:r>
      <w:r w:rsidRPr="00022125">
        <w:t xml:space="preserve"> of </w:t>
      </w:r>
      <w:r>
        <w:t>A1 and AR02</w:t>
      </w:r>
    </w:p>
    <w:p w14:paraId="6C96A959" w14:textId="77777777" w:rsidR="009523E5" w:rsidRDefault="009523E5" w:rsidP="009201D3">
      <w:pPr>
        <w:spacing w:after="0" w:line="240" w:lineRule="auto"/>
        <w:jc w:val="both"/>
        <w:rPr>
          <w:rFonts w:ascii="Times New Roman" w:hAnsi="Times New Roman" w:cs="Times New Roman"/>
        </w:rPr>
      </w:pPr>
    </w:p>
    <w:p w14:paraId="6AEBAEDF" w14:textId="69F8D08D" w:rsidR="009523E5" w:rsidRPr="00022125" w:rsidRDefault="003B4279" w:rsidP="009201D3">
      <w:pPr>
        <w:spacing w:after="0" w:line="240" w:lineRule="auto"/>
        <w:ind w:right="11"/>
      </w:pPr>
      <w:r>
        <w:rPr>
          <w:rFonts w:ascii="Times New Roman" w:hAnsi="Times New Roman" w:cs="Times New Roman"/>
        </w:rPr>
        <w:fldChar w:fldCharType="begin"/>
      </w:r>
      <w:r>
        <w:rPr>
          <w:rFonts w:ascii="Times New Roman" w:hAnsi="Times New Roman" w:cs="Times New Roman"/>
        </w:rPr>
        <w:instrText xml:space="preserve"> REF _Ref192820020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18</w:t>
      </w:r>
      <w:r>
        <w:rPr>
          <w:rFonts w:ascii="Times New Roman" w:hAnsi="Times New Roman" w:cs="Times New Roman"/>
        </w:rPr>
        <w:fldChar w:fldCharType="end"/>
      </w:r>
      <w:r>
        <w:rPr>
          <w:rFonts w:ascii="Times New Roman" w:hAnsi="Times New Roman" w:cs="Times New Roman"/>
        </w:rPr>
        <w:t xml:space="preserve"> displays the load - deflection curves for beams B1 and BR02. </w:t>
      </w:r>
      <w:r w:rsidRPr="00022125">
        <w:rPr>
          <w:rFonts w:ascii="Times New Roman" w:hAnsi="Times New Roman" w:cs="Times New Roman"/>
        </w:rPr>
        <w:t>There is a brief linear elastic trend in beam B1, followed by an inelastic range after cracking of the beam until failure. The retrofitted beam BR02 had an initial higher linear elastic curve th</w:t>
      </w:r>
      <w:r w:rsidRPr="00022125">
        <w:rPr>
          <w:rFonts w:ascii="Times New Roman" w:hAnsi="Times New Roman" w:cs="Times New Roman"/>
        </w:rPr>
        <w:t xml:space="preserve">an the unretrofitted beam, then after cracking, turned into inelastic until failure.  The retrofitted </w:t>
      </w:r>
      <w:r w:rsidRPr="00022125">
        <w:rPr>
          <w:rFonts w:ascii="Times New Roman" w:hAnsi="Times New Roman" w:cs="Times New Roman"/>
        </w:rPr>
        <w:lastRenderedPageBreak/>
        <w:t xml:space="preserve">beam also exhibited greater stiffness than the unretrofitted beam. The failure </w:t>
      </w:r>
      <w:r w:rsidRPr="00022125">
        <w:t>beam BR02</w:t>
      </w:r>
      <w:r w:rsidRPr="00022125">
        <w:rPr>
          <w:lang w:val="en-US"/>
        </w:rPr>
        <w:t xml:space="preserve"> </w:t>
      </w:r>
      <w:r w:rsidRPr="00022125">
        <w:rPr>
          <w:rFonts w:ascii="Times New Roman" w:hAnsi="Times New Roman" w:cs="Times New Roman"/>
        </w:rPr>
        <w:t xml:space="preserve">was characterised </w:t>
      </w:r>
      <w:r w:rsidRPr="00022125">
        <w:t xml:space="preserve">by debonding </w:t>
      </w:r>
      <w:r w:rsidRPr="00022125">
        <w:rPr>
          <w:lang w:val="en-US"/>
        </w:rPr>
        <w:t xml:space="preserve">and </w:t>
      </w:r>
      <w:r w:rsidRPr="00022125">
        <w:t>as such was not abrupt.</w:t>
      </w:r>
    </w:p>
    <w:p w14:paraId="6EA07E72" w14:textId="77777777" w:rsidR="009523E5" w:rsidRDefault="009523E5" w:rsidP="009201D3">
      <w:pPr>
        <w:spacing w:after="0" w:line="240" w:lineRule="auto"/>
        <w:jc w:val="both"/>
        <w:rPr>
          <w:rFonts w:ascii="Times New Roman" w:hAnsi="Times New Roman" w:cs="Times New Roman"/>
        </w:rPr>
      </w:pPr>
    </w:p>
    <w:p w14:paraId="1E1FC8BD"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189046CC" wp14:editId="71F8AC04">
            <wp:extent cx="3573780" cy="2309495"/>
            <wp:effectExtent l="0" t="0" r="7620" b="0"/>
            <wp:docPr id="17750406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64AEBC" w14:textId="0FC9F97D" w:rsidR="009523E5" w:rsidRDefault="003B4279" w:rsidP="009201D3">
      <w:pPr>
        <w:pStyle w:val="Caption"/>
        <w:spacing w:after="0" w:line="240" w:lineRule="auto"/>
        <w:rPr>
          <w:rFonts w:cs="Times New Roman"/>
        </w:rPr>
      </w:pPr>
      <w:bookmarkStart w:id="26" w:name="_Ref192820020"/>
      <w:r>
        <w:t>Fig</w:t>
      </w:r>
      <w:r>
        <w:t xml:space="preserve">. </w:t>
      </w:r>
      <w:r>
        <w:fldChar w:fldCharType="begin"/>
      </w:r>
      <w:r>
        <w:instrText xml:space="preserve"> SEQ Fig. \* ARABIC </w:instrText>
      </w:r>
      <w:r>
        <w:fldChar w:fldCharType="separate"/>
      </w:r>
      <w:r w:rsidR="0033612F">
        <w:rPr>
          <w:noProof/>
        </w:rPr>
        <w:t>18</w:t>
      </w:r>
      <w:r>
        <w:rPr>
          <w:noProof/>
        </w:rPr>
        <w:fldChar w:fldCharType="end"/>
      </w:r>
      <w:bookmarkEnd w:id="26"/>
      <w:r>
        <w:t xml:space="preserve"> Load-</w:t>
      </w:r>
      <w:r w:rsidRPr="00022125">
        <w:t>deflection curve</w:t>
      </w:r>
      <w:r w:rsidRPr="00022125">
        <w:rPr>
          <w:lang w:val="en-US"/>
        </w:rPr>
        <w:t>s</w:t>
      </w:r>
      <w:r w:rsidRPr="00022125">
        <w:t xml:space="preserve"> </w:t>
      </w:r>
      <w:r>
        <w:t>of B1 and BR02</w:t>
      </w:r>
    </w:p>
    <w:p w14:paraId="6590455A" w14:textId="77777777" w:rsidR="009523E5" w:rsidRDefault="009523E5" w:rsidP="009201D3">
      <w:pPr>
        <w:spacing w:after="0" w:line="240" w:lineRule="auto"/>
        <w:jc w:val="both"/>
        <w:rPr>
          <w:rFonts w:ascii="Times New Roman" w:hAnsi="Times New Roman" w:cs="Times New Roman"/>
        </w:rPr>
      </w:pPr>
    </w:p>
    <w:p w14:paraId="6AC16C7A" w14:textId="7A454267" w:rsidR="009523E5" w:rsidRDefault="003B4279" w:rsidP="009201D3">
      <w:pPr>
        <w:spacing w:after="0" w:line="240" w:lineRule="auto"/>
        <w:ind w:right="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_Ref192820035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19</w:t>
      </w:r>
      <w:r>
        <w:rPr>
          <w:rFonts w:ascii="Times New Roman" w:hAnsi="Times New Roman" w:cs="Times New Roman"/>
        </w:rPr>
        <w:fldChar w:fldCharType="end"/>
      </w:r>
      <w:r>
        <w:rPr>
          <w:rFonts w:ascii="Times New Roman" w:hAnsi="Times New Roman" w:cs="Times New Roman"/>
        </w:rPr>
        <w:t xml:space="preserve"> represents the load-deflection relationship for beams C2 and CR02 where it can be observed that the retrofitted beam exhibited greater stiffness. The unretrofitted beam followed a similar pat</w:t>
      </w:r>
      <w:r>
        <w:rPr>
          <w:rFonts w:ascii="Times New Roman" w:hAnsi="Times New Roman" w:cs="Times New Roman"/>
        </w:rPr>
        <w:t xml:space="preserve">tern as the other unretrofitted beams already discussed. The load-deflection </w:t>
      </w:r>
      <w:r w:rsidRPr="005E7AB0">
        <w:t>curve</w:t>
      </w:r>
      <w:r w:rsidRPr="005E7AB0">
        <w:rPr>
          <w:lang w:val="en-US"/>
        </w:rPr>
        <w:t xml:space="preserve"> </w:t>
      </w:r>
      <w:r>
        <w:rPr>
          <w:rFonts w:ascii="Times New Roman" w:hAnsi="Times New Roman" w:cs="Times New Roman"/>
        </w:rPr>
        <w:t>of beam CR02 upon reaching the ultimate load, declined gradually and failed through debonding of the retrofitted</w:t>
      </w:r>
      <w:r>
        <w:t xml:space="preserve"> layer unlike beam AR02 that failed abruptly in diagonal shea</w:t>
      </w:r>
      <w:r>
        <w:t>r.</w:t>
      </w:r>
    </w:p>
    <w:p w14:paraId="196B7BE9" w14:textId="77777777" w:rsidR="009523E5" w:rsidRDefault="009523E5" w:rsidP="009201D3">
      <w:pPr>
        <w:spacing w:after="0" w:line="240" w:lineRule="auto"/>
        <w:jc w:val="both"/>
        <w:rPr>
          <w:rFonts w:ascii="Times New Roman" w:hAnsi="Times New Roman" w:cs="Times New Roman"/>
        </w:rPr>
      </w:pPr>
    </w:p>
    <w:p w14:paraId="4B7D4939"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6BEC0039" wp14:editId="57D184C4">
            <wp:extent cx="3496310" cy="2160270"/>
            <wp:effectExtent l="0" t="0" r="8890" b="0"/>
            <wp:docPr id="18990000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6EF6A9" w14:textId="7FF720A5" w:rsidR="009523E5" w:rsidRDefault="003B4279" w:rsidP="009201D3">
      <w:pPr>
        <w:pStyle w:val="Caption"/>
        <w:spacing w:after="0" w:line="240" w:lineRule="auto"/>
        <w:rPr>
          <w:rFonts w:cs="Times New Roman"/>
        </w:rPr>
      </w:pPr>
      <w:bookmarkStart w:id="27" w:name="_Ref192820035"/>
      <w:r>
        <w:t xml:space="preserve">Fig. </w:t>
      </w:r>
      <w:r>
        <w:fldChar w:fldCharType="begin"/>
      </w:r>
      <w:r>
        <w:instrText xml:space="preserve"> SEQ Fig. \* ARABIC </w:instrText>
      </w:r>
      <w:r>
        <w:fldChar w:fldCharType="separate"/>
      </w:r>
      <w:r w:rsidR="0033612F">
        <w:rPr>
          <w:noProof/>
        </w:rPr>
        <w:t>19</w:t>
      </w:r>
      <w:r>
        <w:rPr>
          <w:noProof/>
        </w:rPr>
        <w:fldChar w:fldCharType="end"/>
      </w:r>
      <w:bookmarkEnd w:id="27"/>
      <w:r>
        <w:t xml:space="preserve"> Load-</w:t>
      </w:r>
      <w:r w:rsidRPr="00022125">
        <w:t>deflection curve</w:t>
      </w:r>
      <w:r w:rsidRPr="00022125">
        <w:rPr>
          <w:lang w:val="en-US"/>
        </w:rPr>
        <w:t>s</w:t>
      </w:r>
      <w:r w:rsidRPr="00022125">
        <w:t xml:space="preserve"> </w:t>
      </w:r>
      <w:r>
        <w:t>of C2 and CR02</w:t>
      </w:r>
    </w:p>
    <w:p w14:paraId="5BF97AE6" w14:textId="77777777" w:rsidR="009523E5" w:rsidRDefault="009523E5" w:rsidP="009201D3">
      <w:pPr>
        <w:spacing w:after="0" w:line="240" w:lineRule="auto"/>
        <w:jc w:val="both"/>
        <w:rPr>
          <w:rFonts w:ascii="Times New Roman" w:hAnsi="Times New Roman" w:cs="Times New Roman"/>
        </w:rPr>
      </w:pPr>
    </w:p>
    <w:p w14:paraId="0CECAAAA" w14:textId="430632E3" w:rsidR="009523E5" w:rsidRDefault="003B4279" w:rsidP="009201D3">
      <w:pPr>
        <w:spacing w:after="0" w:line="240" w:lineRule="auto"/>
        <w:ind w:right="-12"/>
        <w:jc w:val="both"/>
        <w:rPr>
          <w:rFonts w:ascii="Times New Roman" w:hAnsi="Times New Roman" w:cs="Times New Roman"/>
        </w:rPr>
      </w:pPr>
      <w:r>
        <w:rPr>
          <w:rFonts w:ascii="Times New Roman" w:hAnsi="Times New Roman" w:cs="Times New Roman"/>
        </w:rPr>
        <w:t xml:space="preserve">The load-deflection relationship for beams D1 and DR02 are shown in </w:t>
      </w:r>
      <w:r>
        <w:rPr>
          <w:rFonts w:ascii="Times New Roman" w:hAnsi="Times New Roman" w:cs="Times New Roman"/>
        </w:rPr>
        <w:fldChar w:fldCharType="begin"/>
      </w:r>
      <w:r>
        <w:rPr>
          <w:rFonts w:ascii="Times New Roman" w:hAnsi="Times New Roman" w:cs="Times New Roman"/>
        </w:rPr>
        <w:instrText xml:space="preserve"> REF _Ref192820048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20</w:t>
      </w:r>
      <w:r>
        <w:rPr>
          <w:rFonts w:ascii="Times New Roman" w:hAnsi="Times New Roman" w:cs="Times New Roman"/>
        </w:rPr>
        <w:fldChar w:fldCharType="end"/>
      </w:r>
      <w:r>
        <w:rPr>
          <w:rFonts w:ascii="Times New Roman" w:hAnsi="Times New Roman" w:cs="Times New Roman"/>
        </w:rPr>
        <w:t>. Beam D1 exhibited a short elastic range and relatively long inelastic range to failure. Beam DR02 exhibited a stiffer response, although with an even shorter elastic range than the unretrofitted beam. The inelastic behaviour of beam DR02 continued to fai</w:t>
      </w:r>
      <w:r>
        <w:rPr>
          <w:rFonts w:ascii="Times New Roman" w:hAnsi="Times New Roman" w:cs="Times New Roman"/>
        </w:rPr>
        <w:t xml:space="preserve">lure which was characterized by shear. The failure mode for beam DR02 was similar to AR02. </w:t>
      </w:r>
    </w:p>
    <w:p w14:paraId="6E5BFED1" w14:textId="77777777" w:rsidR="009523E5" w:rsidRDefault="009523E5" w:rsidP="009201D3">
      <w:pPr>
        <w:spacing w:after="0" w:line="240" w:lineRule="auto"/>
        <w:jc w:val="both"/>
        <w:rPr>
          <w:rFonts w:ascii="Times New Roman" w:hAnsi="Times New Roman" w:cs="Times New Roman"/>
        </w:rPr>
      </w:pPr>
    </w:p>
    <w:p w14:paraId="5A4B8791" w14:textId="77777777" w:rsidR="009523E5" w:rsidRDefault="003B4279" w:rsidP="009201D3">
      <w:pPr>
        <w:spacing w:after="0" w:line="240" w:lineRule="auto"/>
        <w:jc w:val="center"/>
        <w:rPr>
          <w:rFonts w:ascii="Times New Roman" w:hAnsi="Times New Roman" w:cs="Times New Roman"/>
        </w:rPr>
      </w:pPr>
      <w:r>
        <w:rPr>
          <w:noProof/>
        </w:rPr>
        <w:lastRenderedPageBreak/>
        <w:drawing>
          <wp:inline distT="0" distB="0" distL="0" distR="0" wp14:anchorId="1BDF2900" wp14:editId="5B3497A6">
            <wp:extent cx="3498850" cy="2160270"/>
            <wp:effectExtent l="0" t="0" r="6350" b="0"/>
            <wp:docPr id="9576744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E9CB865" w14:textId="2E2E93A8" w:rsidR="009523E5" w:rsidRDefault="003B4279" w:rsidP="009201D3">
      <w:pPr>
        <w:pStyle w:val="Caption"/>
        <w:spacing w:after="0" w:line="240" w:lineRule="auto"/>
      </w:pPr>
      <w:bookmarkStart w:id="28" w:name="_Ref192820048"/>
      <w:r>
        <w:t xml:space="preserve">Fig. </w:t>
      </w:r>
      <w:r>
        <w:fldChar w:fldCharType="begin"/>
      </w:r>
      <w:r>
        <w:instrText xml:space="preserve"> SEQ Fig. \* ARABIC </w:instrText>
      </w:r>
      <w:r>
        <w:fldChar w:fldCharType="separate"/>
      </w:r>
      <w:r w:rsidR="0033612F">
        <w:rPr>
          <w:noProof/>
        </w:rPr>
        <w:t>20</w:t>
      </w:r>
      <w:r>
        <w:rPr>
          <w:noProof/>
        </w:rPr>
        <w:fldChar w:fldCharType="end"/>
      </w:r>
      <w:bookmarkEnd w:id="28"/>
      <w:r>
        <w:t xml:space="preserve"> Load-</w:t>
      </w:r>
      <w:r w:rsidRPr="00022125">
        <w:t>deflection curve</w:t>
      </w:r>
      <w:r w:rsidRPr="00022125">
        <w:rPr>
          <w:lang w:val="en-US"/>
        </w:rPr>
        <w:t>s</w:t>
      </w:r>
      <w:r w:rsidRPr="00022125">
        <w:t xml:space="preserve"> of </w:t>
      </w:r>
      <w:r>
        <w:t>D1 and DR02</w:t>
      </w:r>
    </w:p>
    <w:p w14:paraId="7D5AB1AF" w14:textId="77777777" w:rsidR="009523E5" w:rsidRDefault="009523E5" w:rsidP="009201D3">
      <w:pPr>
        <w:spacing w:after="0" w:line="240" w:lineRule="auto"/>
      </w:pPr>
    </w:p>
    <w:p w14:paraId="1B5F9338" w14:textId="2A64FF02" w:rsidR="009523E5" w:rsidRDefault="003B4279" w:rsidP="009201D3">
      <w:pPr>
        <w:tabs>
          <w:tab w:val="center" w:pos="728"/>
        </w:tabs>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_Ref192820061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21</w:t>
      </w:r>
      <w:r>
        <w:rPr>
          <w:rFonts w:ascii="Times New Roman" w:hAnsi="Times New Roman" w:cs="Times New Roman"/>
        </w:rPr>
        <w:fldChar w:fldCharType="end"/>
      </w:r>
      <w:r>
        <w:rPr>
          <w:rFonts w:ascii="Times New Roman" w:hAnsi="Times New Roman" w:cs="Times New Roman"/>
        </w:rPr>
        <w:t xml:space="preserve"> illustrates the load-deflection curves for beams E2 and ER03. For beam E2, the relationship is elastic although of shorter range than beam D1. The curve moved gradually into inelastic until beam failure. Beam ER03 had a longer elastic rage which tur</w:t>
      </w:r>
      <w:r>
        <w:rPr>
          <w:rFonts w:ascii="Times New Roman" w:hAnsi="Times New Roman" w:cs="Times New Roman"/>
        </w:rPr>
        <w:t>ned off into the inelastic, but beyond the maximum load the curve decreased until instantaneous failure by shear in the beam.</w:t>
      </w:r>
    </w:p>
    <w:p w14:paraId="3C9F7C92" w14:textId="77777777" w:rsidR="009523E5" w:rsidRDefault="009523E5" w:rsidP="009201D3">
      <w:pPr>
        <w:spacing w:after="0" w:line="240" w:lineRule="auto"/>
      </w:pPr>
    </w:p>
    <w:p w14:paraId="4D7AD3D7"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0BAAB36B" wp14:editId="2EB1C9DE">
            <wp:extent cx="3498850" cy="2160270"/>
            <wp:effectExtent l="0" t="0" r="6350" b="0"/>
            <wp:docPr id="10712959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1DC109" w14:textId="5681C79B" w:rsidR="009523E5" w:rsidRDefault="003B4279" w:rsidP="009201D3">
      <w:pPr>
        <w:pStyle w:val="Caption"/>
        <w:spacing w:after="0" w:line="240" w:lineRule="auto"/>
        <w:rPr>
          <w:rFonts w:cs="Times New Roman"/>
        </w:rPr>
      </w:pPr>
      <w:bookmarkStart w:id="29" w:name="_Ref192820061"/>
      <w:r>
        <w:t xml:space="preserve">Fig. </w:t>
      </w:r>
      <w:r>
        <w:fldChar w:fldCharType="begin"/>
      </w:r>
      <w:r>
        <w:instrText xml:space="preserve"> SEQ Fig. \* ARABIC </w:instrText>
      </w:r>
      <w:r>
        <w:fldChar w:fldCharType="separate"/>
      </w:r>
      <w:r w:rsidR="005E7AB0">
        <w:rPr>
          <w:noProof/>
        </w:rPr>
        <w:t>21</w:t>
      </w:r>
      <w:r>
        <w:rPr>
          <w:noProof/>
        </w:rPr>
        <w:fldChar w:fldCharType="end"/>
      </w:r>
      <w:bookmarkEnd w:id="29"/>
      <w:r>
        <w:t xml:space="preserve"> Load-</w:t>
      </w:r>
      <w:r w:rsidRPr="00022125">
        <w:t>deflection curve</w:t>
      </w:r>
      <w:r w:rsidRPr="00022125">
        <w:rPr>
          <w:lang w:val="en-US"/>
        </w:rPr>
        <w:t>s</w:t>
      </w:r>
      <w:r w:rsidRPr="00022125">
        <w:t xml:space="preserve"> </w:t>
      </w:r>
      <w:r>
        <w:t>of E2 and ER03</w:t>
      </w:r>
    </w:p>
    <w:p w14:paraId="1C835F9F" w14:textId="77777777" w:rsidR="009523E5" w:rsidRDefault="009523E5" w:rsidP="009201D3">
      <w:pPr>
        <w:spacing w:after="0" w:line="240" w:lineRule="auto"/>
        <w:rPr>
          <w:rFonts w:ascii="Times New Roman" w:hAnsi="Times New Roman" w:cs="Times New Roman"/>
        </w:rPr>
      </w:pPr>
    </w:p>
    <w:p w14:paraId="366CA98C" w14:textId="77777777" w:rsidR="00E45457" w:rsidRDefault="00E45457" w:rsidP="009201D3">
      <w:pPr>
        <w:spacing w:after="0" w:line="240" w:lineRule="auto"/>
        <w:rPr>
          <w:rFonts w:ascii="Times New Roman" w:hAnsi="Times New Roman" w:cs="Times New Roman"/>
        </w:rPr>
      </w:pPr>
    </w:p>
    <w:p w14:paraId="1917F637" w14:textId="77777777" w:rsidR="00E45457" w:rsidRDefault="00E45457" w:rsidP="009201D3">
      <w:pPr>
        <w:spacing w:after="0" w:line="240" w:lineRule="auto"/>
        <w:rPr>
          <w:rFonts w:ascii="Times New Roman" w:hAnsi="Times New Roman" w:cs="Times New Roman"/>
        </w:rPr>
      </w:pPr>
    </w:p>
    <w:p w14:paraId="6C657226" w14:textId="77777777" w:rsidR="00E45457" w:rsidRDefault="00E45457" w:rsidP="009201D3">
      <w:pPr>
        <w:spacing w:after="0" w:line="240" w:lineRule="auto"/>
        <w:rPr>
          <w:rFonts w:ascii="Times New Roman" w:hAnsi="Times New Roman" w:cs="Times New Roman"/>
        </w:rPr>
      </w:pPr>
    </w:p>
    <w:p w14:paraId="76F81938" w14:textId="77777777" w:rsidR="009523E5" w:rsidRDefault="009523E5" w:rsidP="009201D3">
      <w:pPr>
        <w:spacing w:after="0" w:line="240" w:lineRule="auto"/>
        <w:rPr>
          <w:rFonts w:ascii="Times New Roman" w:hAnsi="Times New Roman" w:cs="Times New Roman"/>
        </w:rPr>
      </w:pPr>
    </w:p>
    <w:p w14:paraId="26EC7DF8"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5 Numerical Analysis</w:t>
      </w:r>
    </w:p>
    <w:p w14:paraId="59A95A0D"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 xml:space="preserve">5.1 Theoretical failure – code </w:t>
      </w:r>
      <w:r>
        <w:rPr>
          <w:rFonts w:ascii="Times New Roman" w:hAnsi="Times New Roman" w:cs="Times New Roman"/>
          <w:b/>
          <w:bCs/>
        </w:rPr>
        <w:t>provisions</w:t>
      </w:r>
    </w:p>
    <w:p w14:paraId="50F07F16" w14:textId="77777777" w:rsidR="009523E5" w:rsidRDefault="003B4279" w:rsidP="009201D3">
      <w:pPr>
        <w:spacing w:after="0" w:line="240" w:lineRule="auto"/>
        <w:ind w:right="11"/>
        <w:rPr>
          <w:rFonts w:ascii="Times New Roman" w:hAnsi="Times New Roman" w:cs="Times New Roman"/>
        </w:rPr>
      </w:pPr>
      <w:r w:rsidRPr="00022125">
        <w:rPr>
          <w:rFonts w:ascii="Times New Roman" w:hAnsi="Times New Roman" w:cs="Times New Roman"/>
        </w:rPr>
        <w:fldChar w:fldCharType="begin" w:fldLock="1"/>
      </w:r>
      <w:r w:rsidRPr="00022125">
        <w:rPr>
          <w:rFonts w:ascii="Times New Roman" w:hAnsi="Times New Roman" w:cs="Times New Roman"/>
        </w:rPr>
        <w:instrText>ADDIN CSL_CITATION {"citationItems":[{"id":"ITEM-1","itemData":{"abstract":"New design information on the structural use of concrete as presented in the new Code of Practice CP110. Advantages of precast concrete and principles with regard to qua</w:instrText>
      </w:r>
      <w:r w:rsidRPr="00022125">
        <w:rPr>
          <w:rFonts w:ascii="Times New Roman" w:hAnsi="Times New Roman" w:cs="Times New Roman"/>
        </w:rPr>
        <w:instrText>lity assurance are discussed.","author":[{"dropping-particle":"","family":"BS8110","given":"Part 1","non-dropping-particle":"","parse-names":false,"suffix":""}],"container-title":"British Standard Institution","id":"ITEM-1","issue":"1","issued":{"date-part</w:instrText>
      </w:r>
      <w:r w:rsidRPr="00022125">
        <w:rPr>
          <w:rFonts w:ascii="Times New Roman" w:hAnsi="Times New Roman" w:cs="Times New Roman"/>
        </w:rPr>
        <w:instrText>s":[["2000"]]},"title":"Structural Use of Concrete","type":"book","volume":"4"},"uris":["http://www.mendeley.com/documents/?uuid=b44dafd0-d381-4c13-9962-8992bab7743f"]}],"mendeley":{"formattedCitation":"(BS8110, 2000)","plainTextFormattedCitation":"(BS8110</w:instrText>
      </w:r>
      <w:r w:rsidRPr="00022125">
        <w:rPr>
          <w:rFonts w:ascii="Times New Roman" w:hAnsi="Times New Roman" w:cs="Times New Roman"/>
        </w:rPr>
        <w:instrText>, 2000)","previouslyFormattedCitation":"(BS8110, 2000)"},"properties":{"noteIndex":0},"schema":"https://github.com/citation-style-language/schema/raw/master/csl-citation.json"}</w:instrText>
      </w:r>
      <w:r w:rsidRPr="00022125">
        <w:rPr>
          <w:rFonts w:ascii="Times New Roman" w:hAnsi="Times New Roman" w:cs="Times New Roman"/>
        </w:rPr>
        <w:fldChar w:fldCharType="separate"/>
      </w:r>
      <w:r w:rsidRPr="00022125">
        <w:rPr>
          <w:rFonts w:ascii="Times New Roman" w:hAnsi="Times New Roman" w:cs="Times New Roman"/>
        </w:rPr>
        <w:t>BS8110</w:t>
      </w:r>
      <w:r w:rsidRPr="00022125">
        <w:rPr>
          <w:rFonts w:ascii="Times New Roman" w:hAnsi="Times New Roman" w:cs="Times New Roman"/>
          <w:lang w:val="en-US"/>
        </w:rPr>
        <w:t xml:space="preserve"> (</w:t>
      </w:r>
      <w:r w:rsidRPr="00022125">
        <w:rPr>
          <w:rFonts w:ascii="Times New Roman" w:hAnsi="Times New Roman" w:cs="Times New Roman"/>
        </w:rPr>
        <w:t>2000)</w:t>
      </w:r>
      <w:r w:rsidRPr="00022125">
        <w:rPr>
          <w:rFonts w:ascii="Times New Roman" w:hAnsi="Times New Roman" w:cs="Times New Roman"/>
        </w:rPr>
        <w:fldChar w:fldCharType="end"/>
      </w:r>
      <w:r w:rsidRPr="00022125">
        <w:rPr>
          <w:rFonts w:ascii="Times New Roman" w:hAnsi="Times New Roman" w:cs="Times New Roman"/>
        </w:rPr>
        <w:t xml:space="preserve"> gives guidelines in the design of concrete structures. The numerical model is on the basis that the concrete </w:t>
      </w:r>
      <w:r>
        <w:rPr>
          <w:rFonts w:ascii="Times New Roman" w:hAnsi="Times New Roman" w:cs="Times New Roman"/>
        </w:rPr>
        <w:t>section is not cracked at the tensile zone. When there are cracks, the stresses at the cracked fibres of the sections are transferred to the steel</w:t>
      </w:r>
      <w:r>
        <w:rPr>
          <w:rFonts w:ascii="Times New Roman" w:hAnsi="Times New Roman" w:cs="Times New Roman"/>
        </w:rPr>
        <w:t xml:space="preserve"> reinforcements at that section. </w:t>
      </w:r>
    </w:p>
    <w:p w14:paraId="35484B14"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The following assumptions are used in the hybrid retrofitted model:</w:t>
      </w:r>
    </w:p>
    <w:p w14:paraId="3175212C"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Plane sections before bending remain plane after bending.</w:t>
      </w:r>
    </w:p>
    <w:p w14:paraId="758665D4"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concrete in the reinforced concrete does not resist any tension but only compression.</w:t>
      </w:r>
    </w:p>
    <w:p w14:paraId="3FFD75D8"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co</w:t>
      </w:r>
      <w:r>
        <w:rPr>
          <w:rFonts w:ascii="Times New Roman" w:hAnsi="Times New Roman" w:cs="Times New Roman"/>
        </w:rPr>
        <w:t>ncrete jacketing is made from concrete with natural fibres present to resist tension.</w:t>
      </w:r>
    </w:p>
    <w:p w14:paraId="799EB4CF"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steel reinforcement resists both compressive and tensile stresses.</w:t>
      </w:r>
    </w:p>
    <w:p w14:paraId="588B6521"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 xml:space="preserve">The CFRP laminate and GFRP bar </w:t>
      </w:r>
      <w:proofErr w:type="gramStart"/>
      <w:r>
        <w:rPr>
          <w:rFonts w:ascii="Times New Roman" w:hAnsi="Times New Roman" w:cs="Times New Roman"/>
        </w:rPr>
        <w:t>resist</w:t>
      </w:r>
      <w:proofErr w:type="gramEnd"/>
      <w:r>
        <w:rPr>
          <w:rFonts w:ascii="Times New Roman" w:hAnsi="Times New Roman" w:cs="Times New Roman"/>
        </w:rPr>
        <w:t xml:space="preserve"> tensile stresses.</w:t>
      </w:r>
    </w:p>
    <w:p w14:paraId="76B38D9C"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lastRenderedPageBreak/>
        <w:t xml:space="preserve">There is sufficient bonding of the CFRP to </w:t>
      </w:r>
      <w:r>
        <w:rPr>
          <w:rFonts w:ascii="Times New Roman" w:hAnsi="Times New Roman" w:cs="Times New Roman"/>
        </w:rPr>
        <w:t>the substrate of the reinforced concrete.</w:t>
      </w:r>
    </w:p>
    <w:p w14:paraId="614C85B7"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 xml:space="preserve">There is sufficient grip of the GFRP bar in the MAS plates. </w:t>
      </w:r>
    </w:p>
    <w:p w14:paraId="4FB2BAFC" w14:textId="77777777" w:rsidR="009523E5" w:rsidRDefault="009523E5" w:rsidP="009201D3">
      <w:pPr>
        <w:pStyle w:val="ListParagraph"/>
        <w:spacing w:after="0" w:line="240" w:lineRule="auto"/>
        <w:contextualSpacing w:val="0"/>
        <w:rPr>
          <w:rFonts w:ascii="Times New Roman" w:hAnsi="Times New Roman" w:cs="Times New Roman"/>
        </w:rPr>
      </w:pPr>
    </w:p>
    <w:p w14:paraId="16BC38E8" w14:textId="77777777" w:rsidR="009523E5" w:rsidRDefault="003B4279" w:rsidP="009201D3">
      <w:pPr>
        <w:spacing w:after="0" w:line="240" w:lineRule="auto"/>
        <w:ind w:right="63"/>
        <w:rPr>
          <w:rFonts w:ascii="Times New Roman" w:hAnsi="Times New Roman" w:cs="Times New Roman"/>
        </w:rPr>
      </w:pPr>
      <w:r>
        <w:rPr>
          <w:rFonts w:ascii="Times New Roman" w:hAnsi="Times New Roman" w:cs="Times New Roman"/>
        </w:rPr>
        <w:t>There is the tendency of debonding of the retrofitted layer from the reinforced concrete beam, as such the numerical model cannot reach the ultimate loa</w:t>
      </w:r>
      <w:r>
        <w:rPr>
          <w:rFonts w:ascii="Times New Roman" w:hAnsi="Times New Roman" w:cs="Times New Roman"/>
        </w:rPr>
        <w:t>ds per the beam theory analysis, as such the need to have effective strengths for the retrofitting elements used. Concrete prisms were cast for determining the modulus of rupture. The specimens were tested under three- point flexural test. The equations us</w:t>
      </w:r>
      <w:r>
        <w:rPr>
          <w:rFonts w:ascii="Times New Roman" w:hAnsi="Times New Roman" w:cs="Times New Roman"/>
        </w:rPr>
        <w:t xml:space="preserve">ed in the numerical analysis in </w:t>
      </w:r>
      <w:r>
        <w:rPr>
          <w:rFonts w:ascii="Times New Roman" w:hAnsi="Times New Roman" w:cs="Times New Roman"/>
        </w:rPr>
        <w:fldChar w:fldCharType="begin"/>
      </w:r>
      <w:r>
        <w:rPr>
          <w:rFonts w:ascii="Times New Roman" w:hAnsi="Times New Roman" w:cs="Times New Roman"/>
        </w:rPr>
        <w:instrText xml:space="preserve"> REF _Ref192820105 \h  \* MERGEFORMAT </w:instrText>
      </w:r>
      <w:r>
        <w:rPr>
          <w:rFonts w:ascii="Times New Roman" w:hAnsi="Times New Roman" w:cs="Times New Roman"/>
        </w:rPr>
      </w:r>
      <w:r>
        <w:rPr>
          <w:rFonts w:ascii="Times New Roman" w:hAnsi="Times New Roman" w:cs="Times New Roman"/>
        </w:rPr>
        <w:fldChar w:fldCharType="separate"/>
      </w:r>
      <w:r>
        <w:t>Table 5</w:t>
      </w:r>
      <w:r>
        <w:rPr>
          <w:rFonts w:ascii="Times New Roman" w:hAnsi="Times New Roman" w:cs="Times New Roman"/>
        </w:rPr>
        <w:fldChar w:fldCharType="end"/>
      </w:r>
      <w:r>
        <w:rPr>
          <w:rFonts w:ascii="Times New Roman" w:hAnsi="Times New Roman" w:cs="Times New Roman"/>
        </w:rPr>
        <w:t xml:space="preserve"> are as follows:</w:t>
      </w:r>
    </w:p>
    <w:p w14:paraId="4DDFCA36" w14:textId="77777777" w:rsidR="009523E5" w:rsidRDefault="003B4279" w:rsidP="009201D3">
      <w:pPr>
        <w:pStyle w:val="Caption"/>
        <w:spacing w:after="0" w:line="240" w:lineRule="auto"/>
        <w:rPr>
          <w:rFonts w:cs="Times New Roman"/>
        </w:rPr>
      </w:pPr>
      <w:r>
        <w:rPr>
          <w:rFonts w:cs="Times New Roman"/>
        </w:rPr>
        <w:t xml:space="preserve">Modulus of rupture </w:t>
      </w:r>
      <w:r>
        <w:rPr>
          <w:rFonts w:cs="Times New Roman"/>
          <w:position w:val="-24"/>
        </w:rPr>
        <w:object w:dxaOrig="1122" w:dyaOrig="609" w14:anchorId="759A13C0">
          <v:shape id="_x0000_i1029" type="#_x0000_t75" style="width:56.55pt;height:30.1pt" o:ole="">
            <v:imagedata r:id="rId54" o:title=""/>
          </v:shape>
          <o:OLEObject Type="Embed" ProgID="Equation.DSMT4" ShapeID="_x0000_i1029" DrawAspect="Content" ObjectID="_1817025306" r:id="rId55"/>
        </w:object>
      </w:r>
      <w:r>
        <w:tab/>
      </w:r>
      <w:r>
        <w:rPr>
          <w:position w:val="-4"/>
        </w:rPr>
        <w:object w:dxaOrig="166" w:dyaOrig="291" w14:anchorId="32F49F3E">
          <v:shape id="_x0000_i1030" type="#_x0000_t75" style="width:7.35pt;height:13.95pt" o:ole="">
            <v:imagedata r:id="rId56" o:title=""/>
          </v:shape>
          <o:OLEObject Type="Embed" ProgID="Equation.DSMT4" ShapeID="_x0000_i1030" DrawAspect="Content" ObjectID="_1817025307" r:id="rId57"/>
        </w:object>
      </w:r>
      <w:r>
        <w:tab/>
      </w:r>
      <w:r>
        <w:tab/>
      </w:r>
      <w:r>
        <w:tab/>
      </w:r>
      <w:r>
        <w:tab/>
      </w:r>
      <w:r>
        <w:tab/>
      </w:r>
      <w:r>
        <w:tab/>
      </w:r>
      <w:r>
        <w:tab/>
      </w:r>
      <w:r>
        <w:fldChar w:fldCharType="begin"/>
      </w:r>
      <w:r>
        <w:instrText xml:space="preserve"> SEQ Equation </w:instrText>
      </w:r>
      <w:r>
        <w:instrText xml:space="preserve">\* ARABIC </w:instrText>
      </w:r>
      <w:r>
        <w:fldChar w:fldCharType="separate"/>
      </w:r>
      <w:r w:rsidR="009523E5">
        <w:t>1</w:t>
      </w:r>
      <w:r>
        <w:fldChar w:fldCharType="end"/>
      </w:r>
    </w:p>
    <w:p w14:paraId="1D5D60B9" w14:textId="07499893" w:rsidR="009523E5" w:rsidRPr="00732A18" w:rsidRDefault="00B66148" w:rsidP="009201D3">
      <w:pPr>
        <w:pStyle w:val="Caption"/>
        <w:spacing w:after="0" w:line="240" w:lineRule="auto"/>
      </w:pPr>
      <w:r w:rsidRPr="00732A18">
        <w:t xml:space="preserve">Cracking moment </w:t>
      </w:r>
      <w:r w:rsidRPr="00732A18">
        <w:rPr>
          <w:position w:val="-24"/>
        </w:rPr>
        <w:object w:dxaOrig="1398" w:dyaOrig="678" w14:anchorId="6D8DD5FA">
          <v:shape id="_x0000_i1031" type="#_x0000_t75" style="width:70.55pt;height:33.8pt" o:ole="">
            <v:imagedata r:id="rId58" o:title=""/>
          </v:shape>
          <o:OLEObject Type="Embed" ProgID="Equation.DSMT4" ShapeID="_x0000_i1031" DrawAspect="Content" ObjectID="_1817025308" r:id="rId59"/>
        </w:object>
      </w:r>
      <w:r w:rsidRPr="00732A18">
        <w:tab/>
      </w:r>
      <w:r w:rsidRPr="00732A18">
        <w:tab/>
      </w:r>
      <w:r w:rsidRPr="00732A18">
        <w:tab/>
      </w:r>
      <w:r w:rsidRPr="00732A18">
        <w:tab/>
      </w:r>
      <w:r w:rsidRPr="00732A18">
        <w:tab/>
      </w:r>
      <w:r w:rsidRPr="00732A18">
        <w:tab/>
      </w:r>
      <w:r w:rsidRPr="00732A18">
        <w:tab/>
      </w:r>
      <w:r w:rsidRPr="00732A18">
        <w:tab/>
      </w:r>
      <w:r w:rsidR="003B4279">
        <w:fldChar w:fldCharType="begin"/>
      </w:r>
      <w:r w:rsidR="003B4279">
        <w:instrText xml:space="preserve"> SEQ Equation \* ARABIC </w:instrText>
      </w:r>
      <w:r w:rsidR="003B4279">
        <w:fldChar w:fldCharType="separate"/>
      </w:r>
      <w:r w:rsidRPr="00732A18">
        <w:t>2</w:t>
      </w:r>
      <w:r w:rsidR="003B4279">
        <w:fldChar w:fldCharType="end"/>
      </w:r>
    </w:p>
    <w:p w14:paraId="22544A4A" w14:textId="55638FF6" w:rsidR="009523E5" w:rsidRDefault="003B4279" w:rsidP="009201D3">
      <w:pPr>
        <w:pStyle w:val="Caption"/>
        <w:spacing w:after="0" w:line="240" w:lineRule="auto"/>
        <w:rPr>
          <w:rFonts w:cs="Times New Roman"/>
        </w:rPr>
      </w:pPr>
      <w:r w:rsidRPr="00732A18">
        <w:rPr>
          <w:rFonts w:cs="Times New Roman"/>
        </w:rPr>
        <w:t>Failure load</w:t>
      </w:r>
      <w:r w:rsidRPr="00732A18">
        <w:rPr>
          <w:rFonts w:cs="Times New Roman"/>
          <w:lang w:val="en-US"/>
        </w:rPr>
        <w:t xml:space="preserve"> of beam</w:t>
      </w:r>
      <w:r w:rsidRPr="00732A18">
        <w:rPr>
          <w:rFonts w:cs="Times New Roman"/>
        </w:rPr>
        <w:t xml:space="preserve"> </w:t>
      </w:r>
      <w:r>
        <w:rPr>
          <w:rFonts w:cs="Times New Roman"/>
          <w:position w:val="-24"/>
        </w:rPr>
        <w:object w:dxaOrig="1122" w:dyaOrig="609" w14:anchorId="7556CA75">
          <v:shape id="_x0000_i1032" type="#_x0000_t75" style="width:56.55pt;height:30.1pt" o:ole="">
            <v:imagedata r:id="rId60" o:title=""/>
          </v:shape>
          <o:OLEObject Type="Embed" ProgID="Equation.DSMT4" ShapeID="_x0000_i1032" DrawAspect="Content" ObjectID="_1817025309" r:id="rId61"/>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tab/>
      </w:r>
      <w:r>
        <w:rPr>
          <w:position w:val="-4"/>
        </w:rPr>
        <w:object w:dxaOrig="166" w:dyaOrig="291" w14:anchorId="1DA1E769">
          <v:shape id="_x0000_i1033" type="#_x0000_t75" style="width:7.35pt;height:13.95pt" o:ole="">
            <v:imagedata r:id="rId56" o:title=""/>
          </v:shape>
          <o:OLEObject Type="Embed" ProgID="Equation.DSMT4" ShapeID="_x0000_i1033" DrawAspect="Content" ObjectID="_1817025310" r:id="rId62"/>
        </w:object>
      </w:r>
      <w:r>
        <w:tab/>
      </w:r>
      <w:r>
        <w:fldChar w:fldCharType="begin"/>
      </w:r>
      <w:r>
        <w:instrText xml:space="preserve"> SEQ Equation \* ARABIC </w:instrText>
      </w:r>
      <w:r>
        <w:fldChar w:fldCharType="separate"/>
      </w:r>
      <w:r w:rsidR="009523E5">
        <w:t>3</w:t>
      </w:r>
      <w:r>
        <w:fldChar w:fldCharType="end"/>
      </w:r>
    </w:p>
    <w:p w14:paraId="16B2AB63" w14:textId="77777777" w:rsidR="009523E5" w:rsidRDefault="003B4279" w:rsidP="009201D3">
      <w:pPr>
        <w:pStyle w:val="Caption"/>
        <w:spacing w:after="0" w:line="240" w:lineRule="auto"/>
      </w:pPr>
      <w:r w:rsidRPr="00732A18">
        <w:t>Moment of resistance</w:t>
      </w:r>
      <w:r w:rsidRPr="00732A18">
        <w:rPr>
          <w:lang w:val="en-US"/>
        </w:rPr>
        <w:t xml:space="preserve"> of beam based on failure in compression:</w:t>
      </w:r>
      <w:r w:rsidRPr="00732A18">
        <w:t xml:space="preserve"> </w:t>
      </w:r>
      <w:r>
        <w:rPr>
          <w:position w:val="-14"/>
        </w:rPr>
        <w:object w:dxaOrig="3918" w:dyaOrig="402" w14:anchorId="67377930">
          <v:shape id="_x0000_i1034" type="#_x0000_t75" style="width:195.45pt;height:20.55pt" o:ole="">
            <v:imagedata r:id="rId63" o:title=""/>
          </v:shape>
          <o:OLEObject Type="Embed" ProgID="Equation.DSMT4" ShapeID="_x0000_i1034" DrawAspect="Content" ObjectID="_1817025311" r:id="rId64"/>
        </w:object>
      </w:r>
      <w:r>
        <w:tab/>
      </w:r>
      <w:r>
        <w:tab/>
      </w:r>
      <w:r>
        <w:tab/>
      </w:r>
      <w:r>
        <w:rPr>
          <w:lang w:val="en-US"/>
        </w:rPr>
        <w:t xml:space="preserve">                                     </w:t>
      </w:r>
      <w:r>
        <w:tab/>
      </w:r>
      <w:r>
        <w:fldChar w:fldCharType="begin"/>
      </w:r>
      <w:r>
        <w:instrText xml:space="preserve"> SEQ Equation \* ARABIC </w:instrText>
      </w:r>
      <w:r>
        <w:fldChar w:fldCharType="separate"/>
      </w:r>
      <w:r w:rsidR="009523E5">
        <w:t>4</w:t>
      </w:r>
      <w:r>
        <w:fldChar w:fldCharType="end"/>
      </w:r>
    </w:p>
    <w:p w14:paraId="5F65B8C6" w14:textId="7863F536" w:rsidR="009523E5" w:rsidRDefault="003B4279" w:rsidP="009201D3">
      <w:pPr>
        <w:pStyle w:val="Caption"/>
        <w:spacing w:after="0" w:line="240" w:lineRule="auto"/>
      </w:pPr>
      <w:r w:rsidRPr="00732A18">
        <w:t xml:space="preserve">Moment of resistance of </w:t>
      </w:r>
      <w:r w:rsidRPr="00732A18">
        <w:rPr>
          <w:lang w:val="en-US"/>
        </w:rPr>
        <w:t xml:space="preserve">beam based on yielding of </w:t>
      </w:r>
      <w:r w:rsidRPr="00732A18">
        <w:t>steel bars</w:t>
      </w:r>
      <w:r w:rsidRPr="00732A18">
        <w:rPr>
          <w:lang w:val="en-US"/>
        </w:rPr>
        <w:t xml:space="preserve"> in tension:              </w:t>
      </w:r>
      <w:r w:rsidRPr="00732A18">
        <w:t xml:space="preserve"> </w:t>
      </w:r>
      <w:r>
        <w:rPr>
          <w:position w:val="-14"/>
        </w:rPr>
        <w:object w:dxaOrig="2492" w:dyaOrig="402" w14:anchorId="563122AB">
          <v:shape id="_x0000_i1035" type="#_x0000_t75" style="width:124.15pt;height:20.55pt" o:ole="">
            <v:imagedata r:id="rId65" o:title=""/>
          </v:shape>
          <o:OLEObject Type="Embed" ProgID="Equation.DSMT4" ShapeID="_x0000_i1035" DrawAspect="Content" ObjectID="_1817025312" r:id="rId66"/>
        </w:object>
      </w:r>
      <w:r>
        <w:tab/>
      </w:r>
      <w:r>
        <w:tab/>
      </w:r>
      <w:r>
        <w:rPr>
          <w:position w:val="-4"/>
        </w:rPr>
        <w:object w:dxaOrig="166" w:dyaOrig="291" w14:anchorId="360BDA1B">
          <v:shape id="_x0000_i1036" type="#_x0000_t75" style="width:7.35pt;height:13.95pt" o:ole="">
            <v:imagedata r:id="rId56" o:title=""/>
          </v:shape>
          <o:OLEObject Type="Embed" ProgID="Equation.DSMT4" ShapeID="_x0000_i1036" DrawAspect="Content" ObjectID="_1817025313" r:id="rId67"/>
        </w:object>
      </w:r>
      <w:r>
        <w:tab/>
      </w:r>
      <w:r>
        <w:tab/>
      </w:r>
      <w:r>
        <w:rPr>
          <w:lang w:val="en-US"/>
        </w:rPr>
        <w:t xml:space="preserve">                                                         </w:t>
      </w:r>
      <w:r w:rsidR="002316B1">
        <w:rPr>
          <w:lang w:val="en-US"/>
        </w:rPr>
        <w:tab/>
      </w:r>
      <w:r>
        <w:rPr>
          <w:lang w:val="en-US"/>
        </w:rPr>
        <w:t xml:space="preserve">  </w:t>
      </w:r>
      <w:r>
        <w:fldChar w:fldCharType="begin"/>
      </w:r>
      <w:r>
        <w:instrText xml:space="preserve"> SEQ Equation \* ARABIC </w:instrText>
      </w:r>
      <w:r>
        <w:fldChar w:fldCharType="separate"/>
      </w:r>
      <w:r w:rsidR="009523E5">
        <w:t>5</w:t>
      </w:r>
      <w:r>
        <w:fldChar w:fldCharType="end"/>
      </w:r>
    </w:p>
    <w:p w14:paraId="5C6E6C87" w14:textId="77777777" w:rsidR="009523E5" w:rsidRPr="00732A18" w:rsidRDefault="003B4279" w:rsidP="009201D3">
      <w:pPr>
        <w:pStyle w:val="Caption"/>
        <w:spacing w:after="0" w:line="240" w:lineRule="auto"/>
        <w:rPr>
          <w:lang w:val="en-US"/>
        </w:rPr>
      </w:pPr>
      <w:r w:rsidRPr="00732A18">
        <w:t xml:space="preserve">Shear </w:t>
      </w:r>
      <w:r w:rsidRPr="00732A18">
        <w:rPr>
          <w:lang w:val="en-US"/>
        </w:rPr>
        <w:t>resistance failure of beam:</w:t>
      </w:r>
    </w:p>
    <w:p w14:paraId="134666C4" w14:textId="618167D8" w:rsidR="009523E5" w:rsidRDefault="003B4279" w:rsidP="009201D3">
      <w:pPr>
        <w:pStyle w:val="Caption"/>
        <w:spacing w:after="0" w:line="240" w:lineRule="auto"/>
        <w:rPr>
          <w:b/>
          <w:bCs/>
        </w:rPr>
      </w:pPr>
      <w:r>
        <w:rPr>
          <w:lang w:val="en-US"/>
        </w:rPr>
        <w:t xml:space="preserve"> </w:t>
      </w:r>
      <w:r>
        <w:t xml:space="preserve"> </w:t>
      </w:r>
      <w:r>
        <w:rPr>
          <w:position w:val="-30"/>
        </w:rPr>
        <w:object w:dxaOrig="2465" w:dyaOrig="678" w14:anchorId="7FBB0B6E">
          <v:shape id="_x0000_i1037" type="#_x0000_t75" style="width:123.45pt;height:33.8pt" o:ole="">
            <v:imagedata r:id="rId68" o:title=""/>
          </v:shape>
          <o:OLEObject Type="Embed" ProgID="Equation.DSMT4" ShapeID="_x0000_i1037" DrawAspect="Content" ObjectID="_1817025314" r:id="rId69"/>
        </w:object>
      </w:r>
      <w:r>
        <w:tab/>
      </w:r>
      <w:r>
        <w:tab/>
      </w:r>
      <w:r>
        <w:tab/>
      </w:r>
      <w:r>
        <w:tab/>
      </w:r>
      <w:r>
        <w:tab/>
      </w:r>
      <w:r>
        <w:tab/>
      </w:r>
      <w:r>
        <w:rPr>
          <w:lang w:val="en-US"/>
        </w:rPr>
        <w:t xml:space="preserve">              </w:t>
      </w:r>
      <w:r w:rsidR="002316B1">
        <w:rPr>
          <w:lang w:val="en-US"/>
        </w:rPr>
        <w:tab/>
      </w:r>
      <w:r w:rsidR="002316B1">
        <w:rPr>
          <w:lang w:val="en-US"/>
        </w:rPr>
        <w:tab/>
      </w:r>
      <w:r>
        <w:rPr>
          <w:lang w:val="en-US"/>
        </w:rPr>
        <w:t xml:space="preserve">  </w:t>
      </w:r>
      <w:r>
        <w:fldChar w:fldCharType="begin"/>
      </w:r>
      <w:r>
        <w:instrText xml:space="preserve"> SEQ Equation \* ARABIC </w:instrText>
      </w:r>
      <w:r>
        <w:fldChar w:fldCharType="separate"/>
      </w:r>
      <w:r w:rsidR="009523E5">
        <w:t>6</w:t>
      </w:r>
      <w:r>
        <w:fldChar w:fldCharType="end"/>
      </w:r>
    </w:p>
    <w:p w14:paraId="0EE11A03" w14:textId="7F7E8902" w:rsidR="009523E5" w:rsidRPr="004C210D" w:rsidRDefault="003B4279" w:rsidP="009201D3">
      <w:pPr>
        <w:spacing w:after="0" w:line="240" w:lineRule="auto"/>
        <w:ind w:right="11"/>
        <w:rPr>
          <w:rFonts w:ascii="Times New Roman" w:hAnsi="Times New Roman" w:cs="Times New Roman"/>
          <w:lang w:val="en-US"/>
        </w:rPr>
      </w:pPr>
      <w:r w:rsidRPr="004C210D">
        <w:rPr>
          <w:rFonts w:ascii="Times New Roman" w:hAnsi="Times New Roman" w:cs="Times New Roman"/>
          <w:lang w:val="en-US"/>
        </w:rPr>
        <w:t xml:space="preserve">where </w:t>
      </w:r>
      <w:r w:rsidR="00A47D17" w:rsidRPr="004C210D">
        <w:rPr>
          <w:rFonts w:ascii="Times New Roman" w:hAnsi="Times New Roman" w:cs="Times New Roman"/>
          <w:lang w:val="en-US"/>
        </w:rPr>
        <w:t>B is the breadth of the concrete prism or beam, D is the overall depth of the concrete prism or beam, b is the breadth of the concrete beam, d is the effective depth of the tension steel, d’ is the inset to compression steel, As is the area of tension steel reinforcement, As’ is the area of compression steel reinforcement, fcu is the compressive strength of concrete, fy is the design strength of the steel reinforcement</w:t>
      </w:r>
      <w:r w:rsidR="00C75B96">
        <w:rPr>
          <w:rFonts w:ascii="Times New Roman" w:hAnsi="Times New Roman" w:cs="Times New Roman"/>
          <w:lang w:val="en-US"/>
        </w:rPr>
        <w:t xml:space="preserve">, P is the failure load of the concrete prism, L is the effective length of the concrete prism or beam, </w:t>
      </w:r>
      <w:r w:rsidR="00732A18">
        <w:rPr>
          <w:rFonts w:ascii="Times New Roman" w:hAnsi="Times New Roman" w:cs="Times New Roman"/>
          <w:lang w:val="en-US"/>
        </w:rPr>
        <w:t xml:space="preserve">Sv is the spacing between links or stirrups, </w:t>
      </w:r>
      <w:r w:rsidR="001D0A45">
        <w:rPr>
          <w:rFonts w:ascii="Times New Roman" w:hAnsi="Times New Roman" w:cs="Times New Roman"/>
          <w:lang w:val="en-US"/>
        </w:rPr>
        <w:t xml:space="preserve">Asv is the area of shear reinforcement corresponding to the leg of stirrups, </w:t>
      </w:r>
      <w:r w:rsidR="00732A18">
        <w:rPr>
          <w:rFonts w:ascii="Times New Roman" w:hAnsi="Times New Roman" w:cs="Times New Roman"/>
          <w:lang w:val="en-US"/>
        </w:rPr>
        <w:t>and the ν</w:t>
      </w:r>
      <w:r w:rsidR="00732A18" w:rsidRPr="00732A18">
        <w:rPr>
          <w:rFonts w:ascii="Times New Roman" w:hAnsi="Times New Roman" w:cs="Times New Roman"/>
          <w:vertAlign w:val="subscript"/>
          <w:lang w:val="en-US"/>
        </w:rPr>
        <w:t>c</w:t>
      </w:r>
      <w:r w:rsidR="004C210D" w:rsidRPr="004C210D">
        <w:rPr>
          <w:rFonts w:ascii="Times New Roman" w:hAnsi="Times New Roman" w:cs="Times New Roman"/>
          <w:lang w:val="en-US"/>
        </w:rPr>
        <w:t xml:space="preserve"> </w:t>
      </w:r>
      <w:r w:rsidR="00732A18">
        <w:rPr>
          <w:rFonts w:ascii="Times New Roman" w:hAnsi="Times New Roman" w:cs="Times New Roman"/>
          <w:lang w:val="en-US"/>
        </w:rPr>
        <w:t>is the design concrete s</w:t>
      </w:r>
      <w:r w:rsidR="001D0A45">
        <w:rPr>
          <w:rFonts w:ascii="Times New Roman" w:hAnsi="Times New Roman" w:cs="Times New Roman"/>
          <w:lang w:val="en-US"/>
        </w:rPr>
        <w:t>hear stress.</w:t>
      </w:r>
    </w:p>
    <w:p w14:paraId="6CAFB064" w14:textId="77777777"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The retrofitted beams upon loading to failure or complete collapse give the ultimate load which is Pult-r. The theoretical failure </w:t>
      </w:r>
      <w:r w:rsidRPr="002747BE">
        <w:rPr>
          <w:rFonts w:ascii="Times New Roman" w:hAnsi="Times New Roman" w:cs="Times New Roman"/>
        </w:rPr>
        <w:t xml:space="preserve">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w:t>
      </w:r>
      <w:r w:rsidRPr="002747BE">
        <w:rPr>
          <w:rFonts w:ascii="Calibri" w:eastAsia="Times New Roman" w:hAnsi="Calibri" w:cs="Calibri"/>
          <w:i/>
          <w:iCs/>
          <w:kern w:val="0"/>
          <w:sz w:val="22"/>
          <w:szCs w:val="22"/>
          <w:lang w:val="en-US" w:eastAsia="en-US"/>
          <w14:ligatures w14:val="none"/>
        </w:rPr>
        <w:t xml:space="preserve">) </w:t>
      </w:r>
      <w:r w:rsidRPr="002747BE">
        <w:rPr>
          <w:rFonts w:ascii="Times New Roman" w:hAnsi="Times New Roman" w:cs="Times New Roman"/>
        </w:rPr>
        <w:t xml:space="preserve">based on the unstressed cross-section is given by the critical failure load as shown in the </w:t>
      </w:r>
      <w:r w:rsidRPr="002747BE">
        <w:rPr>
          <w:rFonts w:ascii="Times New Roman" w:hAnsi="Times New Roman" w:cs="Times New Roman"/>
        </w:rPr>
        <w:fldChar w:fldCharType="begin"/>
      </w:r>
      <w:r w:rsidRPr="002747BE">
        <w:rPr>
          <w:rFonts w:ascii="Times New Roman" w:hAnsi="Times New Roman" w:cs="Times New Roman"/>
        </w:rPr>
        <w:instrText xml:space="preserve"> REF _Ref192820105 \</w:instrText>
      </w:r>
      <w:r w:rsidRPr="002747BE">
        <w:rPr>
          <w:rFonts w:ascii="Times New Roman" w:hAnsi="Times New Roman" w:cs="Times New Roman"/>
        </w:rPr>
        <w:instrText xml:space="preserve">h  \* MERGEFORMAT </w:instrText>
      </w:r>
      <w:r w:rsidRPr="002747BE">
        <w:rPr>
          <w:rFonts w:ascii="Times New Roman" w:hAnsi="Times New Roman" w:cs="Times New Roman"/>
        </w:rPr>
      </w:r>
      <w:r w:rsidRPr="002747BE">
        <w:rPr>
          <w:rFonts w:ascii="Times New Roman" w:hAnsi="Times New Roman" w:cs="Times New Roman"/>
        </w:rPr>
        <w:fldChar w:fldCharType="separate"/>
      </w:r>
      <w:r w:rsidRPr="002747BE">
        <w:rPr>
          <w:rFonts w:ascii="Times New Roman" w:hAnsi="Times New Roman" w:cs="Times New Roman"/>
        </w:rPr>
        <w:t>Table 5</w:t>
      </w:r>
      <w:r w:rsidRPr="002747BE">
        <w:rPr>
          <w:rFonts w:ascii="Times New Roman" w:hAnsi="Times New Roman" w:cs="Times New Roman"/>
        </w:rPr>
        <w:fldChar w:fldCharType="end"/>
      </w:r>
      <w:r w:rsidRPr="002747BE">
        <w:rPr>
          <w:rFonts w:ascii="Times New Roman" w:hAnsi="Times New Roman" w:cs="Times New Roman"/>
        </w:rPr>
        <w:t>. The assumptions of the steel yielding first, concrete crushing first, or shear failure</w:t>
      </w:r>
      <w:r w:rsidRPr="002747BE">
        <w:t xml:space="preserve"> first are </w:t>
      </w:r>
      <w:r w:rsidRPr="002747BE">
        <w:rPr>
          <w:lang w:val="en-US"/>
        </w:rPr>
        <w:t>analyzed</w:t>
      </w:r>
      <w:r w:rsidRPr="002747BE">
        <w:t xml:space="preserve"> and the least failure load chosen as the </w:t>
      </w:r>
      <w:r w:rsidRPr="002747BE">
        <w:rPr>
          <w:lang w:val="en-US"/>
        </w:rPr>
        <w:t xml:space="preserve">governing or </w:t>
      </w:r>
      <w:r w:rsidRPr="002747BE">
        <w:t>cr</w:t>
      </w:r>
      <w:r w:rsidRPr="002747BE">
        <w:t>itical load</w:t>
      </w:r>
      <w:r w:rsidRPr="002747BE">
        <w:rPr>
          <w:rFonts w:ascii="Times New Roman" w:hAnsi="Times New Roman" w:cs="Times New Roman"/>
        </w:rPr>
        <w:t xml:space="preserve">, Pult’. It is observed that the ratio of experimental load </w:t>
      </w:r>
      <w:r w:rsidRPr="002747BE">
        <w:rPr>
          <w:rFonts w:ascii="Times New Roman" w:hAnsi="Times New Roman" w:cs="Times New Roman"/>
          <w:lang w:val="en-US"/>
        </w:rPr>
        <w:t>(P</w:t>
      </w:r>
      <w:r w:rsidRPr="002747BE">
        <w:rPr>
          <w:rFonts w:ascii="Times New Roman" w:hAnsi="Times New Roman" w:cs="Times New Roman"/>
          <w:vertAlign w:val="subscript"/>
          <w:lang w:val="en-US"/>
        </w:rPr>
        <w:t>ult</w:t>
      </w:r>
      <w:r w:rsidRPr="002747BE">
        <w:rPr>
          <w:rFonts w:ascii="Times New Roman" w:hAnsi="Times New Roman" w:cs="Times New Roman"/>
          <w:lang w:val="en-US"/>
        </w:rPr>
        <w:t xml:space="preserve">) </w:t>
      </w:r>
      <w:r w:rsidRPr="002747BE">
        <w:rPr>
          <w:rFonts w:ascii="Times New Roman" w:hAnsi="Times New Roman" w:cs="Times New Roman"/>
        </w:rPr>
        <w:t xml:space="preserve">of the control beam or unretrofitted beam to the theoretical critical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w:t>
      </w:r>
      <w:r w:rsidRPr="002747BE">
        <w:rPr>
          <w:rFonts w:ascii="Calibri" w:eastAsia="Times New Roman" w:hAnsi="Calibri" w:cs="Calibri"/>
          <w:i/>
          <w:iCs/>
          <w:kern w:val="0"/>
          <w:sz w:val="22"/>
          <w:szCs w:val="22"/>
          <w:lang w:val="en-US" w:eastAsia="en-US"/>
          <w14:ligatures w14:val="none"/>
        </w:rPr>
        <w:t>)</w:t>
      </w:r>
      <w:r w:rsidRPr="002747BE">
        <w:rPr>
          <w:rFonts w:ascii="Times New Roman" w:hAnsi="Times New Roman" w:cs="Times New Roman"/>
          <w:lang w:val="en-US"/>
        </w:rPr>
        <w:t xml:space="preserve"> </w:t>
      </w:r>
      <w:r w:rsidRPr="002747BE">
        <w:rPr>
          <w:rFonts w:ascii="Times New Roman" w:hAnsi="Times New Roman" w:cs="Times New Roman"/>
        </w:rPr>
        <w:t xml:space="preserve">is of a minimum of 162 % with beam B1 due to the close difference of both values and a maximum of 205 % with beam C2 because of the big difference between both values. However, the ratio of the experimental failure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Pult-r)</w:t>
      </w:r>
      <w:r w:rsidRPr="002747BE">
        <w:rPr>
          <w:rFonts w:ascii="Times New Roman" w:hAnsi="Times New Roman" w:cs="Times New Roman"/>
          <w:lang w:val="en-US"/>
        </w:rPr>
        <w:t xml:space="preserve"> </w:t>
      </w:r>
      <w:r w:rsidRPr="002747BE">
        <w:rPr>
          <w:rFonts w:ascii="Times New Roman" w:hAnsi="Times New Roman" w:cs="Times New Roman"/>
        </w:rPr>
        <w:t>of the retrofitted beam loa</w:t>
      </w:r>
      <w:r w:rsidRPr="002747BE">
        <w:rPr>
          <w:rFonts w:ascii="Times New Roman" w:hAnsi="Times New Roman" w:cs="Times New Roman"/>
        </w:rPr>
        <w:t xml:space="preserve">d to the numerically predicted critical failure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w:t>
      </w:r>
      <w:r w:rsidRPr="002747BE">
        <w:rPr>
          <w:rFonts w:ascii="Calibri" w:eastAsia="Times New Roman" w:hAnsi="Calibri" w:cs="Calibri"/>
          <w:i/>
          <w:iCs/>
          <w:kern w:val="0"/>
          <w:sz w:val="22"/>
          <w:szCs w:val="22"/>
          <w:lang w:val="en-US" w:eastAsia="en-US"/>
          <w14:ligatures w14:val="none"/>
        </w:rPr>
        <w:t xml:space="preserve">) </w:t>
      </w:r>
      <w:r w:rsidRPr="002747BE">
        <w:rPr>
          <w:rFonts w:ascii="Times New Roman" w:hAnsi="Times New Roman" w:cs="Times New Roman"/>
        </w:rPr>
        <w:t>reaches a minimum of 248 % with beam AR02 due to the close gap between their loads and a maximum of 315 % with the beam CR01 due to wider difference in the failure load. The ratio of the experime</w:t>
      </w:r>
      <w:r w:rsidRPr="002747BE">
        <w:rPr>
          <w:rFonts w:ascii="Times New Roman" w:hAnsi="Times New Roman" w:cs="Times New Roman"/>
        </w:rPr>
        <w:t xml:space="preserve">ntal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Pcr) </w:t>
      </w:r>
      <w:r w:rsidRPr="002747BE">
        <w:rPr>
          <w:rFonts w:ascii="Times New Roman" w:hAnsi="Times New Roman" w:cs="Times New Roman"/>
        </w:rPr>
        <w:t xml:space="preserve">of the control to the theoretical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Pcr')</w:t>
      </w:r>
      <w:r w:rsidRPr="002747BE">
        <w:rPr>
          <w:rFonts w:ascii="Calibri" w:eastAsia="Times New Roman" w:hAnsi="Calibri" w:cs="Calibri"/>
          <w:i/>
          <w:iCs/>
          <w:kern w:val="0"/>
          <w:sz w:val="22"/>
          <w:szCs w:val="22"/>
          <w:lang w:val="en-US" w:eastAsia="en-US"/>
          <w14:ligatures w14:val="none"/>
        </w:rPr>
        <w:t xml:space="preserve"> </w:t>
      </w:r>
      <w:r w:rsidRPr="002747BE">
        <w:rPr>
          <w:rFonts w:ascii="Times New Roman" w:hAnsi="Times New Roman" w:cs="Times New Roman"/>
        </w:rPr>
        <w:t xml:space="preserve">of the control ranges from 62% to 93% with the highest value of 93 % </w:t>
      </w:r>
      <w:proofErr w:type="gramStart"/>
      <w:r w:rsidRPr="002747BE">
        <w:rPr>
          <w:rFonts w:ascii="Times New Roman" w:hAnsi="Times New Roman" w:cs="Times New Roman"/>
        </w:rPr>
        <w:t>in  beam</w:t>
      </w:r>
      <w:proofErr w:type="gramEnd"/>
      <w:r w:rsidRPr="002747BE">
        <w:rPr>
          <w:rFonts w:ascii="Times New Roman" w:hAnsi="Times New Roman" w:cs="Times New Roman"/>
        </w:rPr>
        <w:t xml:space="preserve"> D1. From values of the ratio of the experimental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Pcr) </w:t>
      </w:r>
      <w:r w:rsidRPr="002747BE">
        <w:rPr>
          <w:rFonts w:ascii="Times New Roman" w:hAnsi="Times New Roman" w:cs="Times New Roman"/>
        </w:rPr>
        <w:t>of the unretrofitted</w:t>
      </w:r>
      <w:r w:rsidRPr="002747BE">
        <w:rPr>
          <w:rFonts w:ascii="Times New Roman" w:hAnsi="Times New Roman" w:cs="Times New Roman"/>
        </w:rPr>
        <w:t xml:space="preserve"> beam to its </w:t>
      </w:r>
      <w:r>
        <w:rPr>
          <w:rFonts w:ascii="Times New Roman" w:hAnsi="Times New Roman" w:cs="Times New Roman"/>
        </w:rPr>
        <w:t>experimental ultimate load</w:t>
      </w:r>
      <w:r>
        <w:rPr>
          <w:rFonts w:ascii="Times New Roman" w:hAnsi="Times New Roman" w:cs="Times New Roman"/>
          <w:lang w:val="en-US"/>
        </w:rPr>
        <w:t xml:space="preserve"> (P</w:t>
      </w:r>
      <w:r>
        <w:rPr>
          <w:rFonts w:ascii="Times New Roman" w:hAnsi="Times New Roman" w:cs="Times New Roman"/>
          <w:vertAlign w:val="subscript"/>
          <w:lang w:val="en-US"/>
        </w:rPr>
        <w:t>ult</w:t>
      </w:r>
      <w:r>
        <w:rPr>
          <w:rFonts w:ascii="Times New Roman" w:hAnsi="Times New Roman" w:cs="Times New Roman"/>
          <w:lang w:val="en-US"/>
        </w:rPr>
        <w:t>)</w:t>
      </w:r>
      <w:r>
        <w:rPr>
          <w:rFonts w:ascii="Times New Roman" w:hAnsi="Times New Roman" w:cs="Times New Roman"/>
        </w:rPr>
        <w:t xml:space="preserve">, it is observed that the cracks are initiated for a considerable duration before the ultimate failure occurs. The highest ratio is </w:t>
      </w:r>
      <w:proofErr w:type="gramStart"/>
      <w:r>
        <w:rPr>
          <w:rFonts w:ascii="Times New Roman" w:hAnsi="Times New Roman" w:cs="Times New Roman"/>
        </w:rPr>
        <w:t>in  beam</w:t>
      </w:r>
      <w:proofErr w:type="gramEnd"/>
      <w:r>
        <w:rPr>
          <w:rFonts w:ascii="Times New Roman" w:hAnsi="Times New Roman" w:cs="Times New Roman"/>
        </w:rPr>
        <w:t xml:space="preserve"> A1, </w:t>
      </w:r>
      <w:r w:rsidRPr="002747BE">
        <w:rPr>
          <w:rFonts w:ascii="Times New Roman" w:hAnsi="Times New Roman" w:cs="Times New Roman"/>
        </w:rPr>
        <w:t>recording a value of 47 %. The ratio of the experimental first cr</w:t>
      </w:r>
      <w:r w:rsidRPr="002747BE">
        <w:rPr>
          <w:rFonts w:ascii="Times New Roman" w:hAnsi="Times New Roman" w:cs="Times New Roman"/>
        </w:rPr>
        <w:t xml:space="preserve">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Pcr) </w:t>
      </w:r>
      <w:r w:rsidRPr="002747BE">
        <w:rPr>
          <w:rFonts w:ascii="Times New Roman" w:hAnsi="Times New Roman" w:cs="Times New Roman"/>
        </w:rPr>
        <w:t xml:space="preserve">to the ultimate retrofitted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Pult-r) </w:t>
      </w:r>
      <w:r w:rsidRPr="002747BE">
        <w:rPr>
          <w:rFonts w:ascii="Times New Roman" w:hAnsi="Times New Roman" w:cs="Times New Roman"/>
        </w:rPr>
        <w:t xml:space="preserve">shows a wider </w:t>
      </w:r>
      <w:r w:rsidRPr="002747BE">
        <w:rPr>
          <w:rFonts w:ascii="Times New Roman" w:hAnsi="Times New Roman" w:cs="Times New Roman"/>
        </w:rPr>
        <w:lastRenderedPageBreak/>
        <w:t>gap than that of the unretrofitted beams. The lowest value is 20 % while the highest is at 33 %.  The ratio of the theoretical crack load to the experimental ultimate load records a min</w:t>
      </w:r>
      <w:r w:rsidRPr="002747BE">
        <w:rPr>
          <w:rFonts w:ascii="Times New Roman" w:hAnsi="Times New Roman" w:cs="Times New Roman"/>
        </w:rPr>
        <w:t xml:space="preserve">imum value of 38 % </w:t>
      </w:r>
      <w:r w:rsidRPr="002747BE">
        <w:rPr>
          <w:rFonts w:ascii="Times New Roman" w:hAnsi="Times New Roman" w:cs="Times New Roman"/>
          <w:lang w:val="en-US"/>
        </w:rPr>
        <w:t xml:space="preserve">found in </w:t>
      </w:r>
      <w:r w:rsidRPr="002747BE">
        <w:rPr>
          <w:rFonts w:ascii="Times New Roman" w:hAnsi="Times New Roman" w:cs="Times New Roman"/>
        </w:rPr>
        <w:t xml:space="preserve">beam C2 while the highest is at 54 % </w:t>
      </w:r>
      <w:r w:rsidRPr="002747BE">
        <w:rPr>
          <w:rFonts w:ascii="Times New Roman" w:hAnsi="Times New Roman" w:cs="Times New Roman"/>
          <w:lang w:val="en-US"/>
        </w:rPr>
        <w:t>in</w:t>
      </w:r>
      <w:r w:rsidRPr="002747BE">
        <w:rPr>
          <w:rFonts w:ascii="Times New Roman" w:hAnsi="Times New Roman" w:cs="Times New Roman"/>
        </w:rPr>
        <w:t xml:space="preserve"> beams </w:t>
      </w:r>
      <w:r>
        <w:rPr>
          <w:rFonts w:ascii="Times New Roman" w:hAnsi="Times New Roman" w:cs="Times New Roman"/>
        </w:rPr>
        <w:t xml:space="preserve">A1 and B1. </w:t>
      </w:r>
      <w:r w:rsidRPr="00C234B6">
        <w:rPr>
          <w:rFonts w:ascii="Times New Roman" w:hAnsi="Times New Roman" w:cs="Times New Roman"/>
        </w:rPr>
        <w:t xml:space="preserve">The theoretical crack load </w:t>
      </w:r>
      <w:r w:rsidRPr="00C234B6">
        <w:rPr>
          <w:rFonts w:ascii="Times New Roman" w:hAnsi="Times New Roman" w:cs="Times New Roman"/>
          <w:lang w:val="en-US"/>
        </w:rPr>
        <w:t>(</w:t>
      </w:r>
      <w:r w:rsidRPr="00C234B6">
        <w:rPr>
          <w:rFonts w:ascii="Times New Roman" w:eastAsia="Times New Roman" w:hAnsi="Times New Roman" w:cs="Times New Roman"/>
          <w:kern w:val="0"/>
          <w:lang w:val="en-US" w:eastAsia="en-US"/>
          <w14:ligatures w14:val="none"/>
        </w:rPr>
        <w:t xml:space="preserve">Pcr') </w:t>
      </w:r>
      <w:r w:rsidRPr="00C234B6">
        <w:rPr>
          <w:rFonts w:ascii="Times New Roman" w:hAnsi="Times New Roman" w:cs="Times New Roman"/>
        </w:rPr>
        <w:t xml:space="preserve">in comparison to the experimental first crack load </w:t>
      </w:r>
      <w:r w:rsidRPr="00C234B6">
        <w:rPr>
          <w:rFonts w:ascii="Times New Roman" w:hAnsi="Times New Roman" w:cs="Times New Roman"/>
          <w:lang w:val="en-US"/>
        </w:rPr>
        <w:t>(</w:t>
      </w:r>
      <w:r w:rsidRPr="00C234B6">
        <w:rPr>
          <w:rFonts w:ascii="Times New Roman" w:eastAsia="Times New Roman" w:hAnsi="Times New Roman" w:cs="Times New Roman"/>
          <w:kern w:val="0"/>
          <w:lang w:val="en-US" w:eastAsia="en-US"/>
          <w14:ligatures w14:val="none"/>
        </w:rPr>
        <w:t xml:space="preserve">Pcr) </w:t>
      </w:r>
      <w:r w:rsidRPr="00C234B6">
        <w:rPr>
          <w:rFonts w:ascii="Times New Roman" w:hAnsi="Times New Roman" w:cs="Times New Roman"/>
        </w:rPr>
        <w:t xml:space="preserve">is higher because the theoretical is the </w:t>
      </w:r>
      <w:r w:rsidRPr="00C234B6">
        <w:rPr>
          <w:rFonts w:ascii="Times New Roman" w:hAnsi="Times New Roman" w:cs="Times New Roman"/>
          <w:lang w:val="en-US"/>
        </w:rPr>
        <w:t>idealized</w:t>
      </w:r>
      <w:r w:rsidRPr="00C234B6">
        <w:rPr>
          <w:rFonts w:ascii="Times New Roman" w:hAnsi="Times New Roman" w:cs="Times New Roman"/>
        </w:rPr>
        <w:t xml:space="preserve"> condition where the minor errors from mensuration, environmental and human</w:t>
      </w:r>
      <w:r w:rsidRPr="00C234B6">
        <w:rPr>
          <w:rFonts w:ascii="Times New Roman" w:hAnsi="Times New Roman" w:cs="Times New Roman"/>
          <w:lang w:val="en-US"/>
        </w:rPr>
        <w:t xml:space="preserve"> </w:t>
      </w:r>
      <w:proofErr w:type="gramStart"/>
      <w:r w:rsidRPr="00C234B6">
        <w:rPr>
          <w:rFonts w:ascii="Times New Roman" w:hAnsi="Times New Roman" w:cs="Times New Roman"/>
        </w:rPr>
        <w:t xml:space="preserve">factors,  </w:t>
      </w:r>
      <w:r w:rsidRPr="00C234B6">
        <w:rPr>
          <w:rFonts w:ascii="Times New Roman" w:hAnsi="Times New Roman" w:cs="Times New Roman"/>
          <w:lang w:val="en-US"/>
        </w:rPr>
        <w:t>presence</w:t>
      </w:r>
      <w:proofErr w:type="gramEnd"/>
      <w:r w:rsidRPr="00C234B6">
        <w:rPr>
          <w:rFonts w:ascii="Times New Roman" w:hAnsi="Times New Roman" w:cs="Times New Roman"/>
          <w:lang w:val="en-US"/>
        </w:rPr>
        <w:t xml:space="preserve"> of greater defects in actual beams compared to small MOR control prisms</w:t>
      </w:r>
      <w:r w:rsidRPr="00C234B6">
        <w:rPr>
          <w:rFonts w:ascii="Times New Roman" w:hAnsi="Times New Roman" w:cs="Times New Roman"/>
        </w:rPr>
        <w:t xml:space="preserve"> do not play a part.  The ratio of the retrofitted ultimate load to the unretrofitted ulti</w:t>
      </w:r>
      <w:r w:rsidRPr="00C234B6">
        <w:rPr>
          <w:rFonts w:ascii="Times New Roman" w:hAnsi="Times New Roman" w:cs="Times New Roman"/>
        </w:rPr>
        <w:t>mate load</w:t>
      </w:r>
      <w:r w:rsidRPr="00C234B6">
        <w:rPr>
          <w:rFonts w:ascii="Times New Roman" w:hAnsi="Times New Roman" w:cs="Times New Roman"/>
          <w:lang w:val="en-US"/>
        </w:rPr>
        <w:t xml:space="preserve"> (</w:t>
      </w:r>
      <w:r w:rsidRPr="00C234B6">
        <w:rPr>
          <w:rFonts w:ascii="Times New Roman" w:eastAsia="Times New Roman" w:hAnsi="Times New Roman" w:cs="Times New Roman"/>
          <w:kern w:val="0"/>
          <w:lang w:val="en-US" w:eastAsia="en-US"/>
          <w14:ligatures w14:val="none"/>
        </w:rPr>
        <w:t>Pult-r/</w:t>
      </w:r>
      <w:r w:rsidRPr="00C234B6">
        <w:rPr>
          <w:rFonts w:ascii="Times New Roman" w:hAnsi="Times New Roman" w:cs="Times New Roman"/>
          <w:lang w:val="en-US"/>
        </w:rPr>
        <w:t>P</w:t>
      </w:r>
      <w:r w:rsidRPr="00C234B6">
        <w:rPr>
          <w:rFonts w:ascii="Times New Roman" w:hAnsi="Times New Roman" w:cs="Times New Roman"/>
          <w:vertAlign w:val="subscript"/>
          <w:lang w:val="en-US"/>
        </w:rPr>
        <w:t>ult</w:t>
      </w:r>
      <w:r w:rsidRPr="00C234B6">
        <w:rPr>
          <w:rFonts w:ascii="Times New Roman" w:hAnsi="Times New Roman" w:cs="Times New Roman"/>
          <w:lang w:val="en-US"/>
        </w:rPr>
        <w:t>)</w:t>
      </w:r>
      <w:r w:rsidRPr="00C234B6">
        <w:rPr>
          <w:rFonts w:ascii="Times New Roman" w:hAnsi="Times New Roman" w:cs="Times New Roman"/>
        </w:rPr>
        <w:t xml:space="preserve"> records values greater than 1 which indicates the enhanced strengths of the retrofitted beams. The lowest value is at 140 % for beam A1 while the highest is at 158 % for beam B1, indicating that retrofitting </w:t>
      </w:r>
      <w:r w:rsidRPr="00C234B6">
        <w:rPr>
          <w:rFonts w:ascii="Times New Roman" w:hAnsi="Times New Roman" w:cs="Times New Roman"/>
          <w:lang w:val="en-US"/>
        </w:rPr>
        <w:t xml:space="preserve">of </w:t>
      </w:r>
      <w:r w:rsidRPr="00C234B6">
        <w:rPr>
          <w:rFonts w:ascii="Times New Roman" w:hAnsi="Times New Roman" w:cs="Times New Roman"/>
        </w:rPr>
        <w:t>beams can greatly enh</w:t>
      </w:r>
      <w:r w:rsidRPr="00C234B6">
        <w:rPr>
          <w:rFonts w:ascii="Times New Roman" w:hAnsi="Times New Roman" w:cs="Times New Roman"/>
        </w:rPr>
        <w:t>ance their load carrying capabilities</w:t>
      </w:r>
      <w:r>
        <w:rPr>
          <w:rFonts w:ascii="Times New Roman" w:hAnsi="Times New Roman" w:cs="Times New Roman"/>
        </w:rPr>
        <w:t>.</w:t>
      </w:r>
    </w:p>
    <w:p w14:paraId="2B0EDB39" w14:textId="77777777" w:rsidR="009523E5" w:rsidRDefault="009523E5" w:rsidP="009201D3">
      <w:pPr>
        <w:spacing w:after="0" w:line="240" w:lineRule="auto"/>
        <w:rPr>
          <w:rFonts w:ascii="Times New Roman" w:hAnsi="Times New Roman" w:cs="Times New Roman"/>
        </w:rPr>
        <w:sectPr w:rsidR="009523E5" w:rsidSect="00C6080E">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440" w:bottom="1440" w:left="1440" w:header="708" w:footer="708" w:gutter="0"/>
          <w:cols w:space="708"/>
          <w:docGrid w:linePitch="360"/>
        </w:sectPr>
      </w:pPr>
    </w:p>
    <w:p w14:paraId="73FCECF3" w14:textId="77777777" w:rsidR="009523E5" w:rsidRDefault="009523E5" w:rsidP="009201D3">
      <w:pPr>
        <w:spacing w:after="0" w:line="240" w:lineRule="auto"/>
        <w:rPr>
          <w:rFonts w:ascii="Times New Roman" w:hAnsi="Times New Roman" w:cs="Times New Roman"/>
        </w:rPr>
      </w:pPr>
    </w:p>
    <w:p w14:paraId="491B1EE9" w14:textId="77777777" w:rsidR="009523E5" w:rsidRDefault="009523E5" w:rsidP="009201D3">
      <w:pPr>
        <w:spacing w:after="0" w:line="240" w:lineRule="auto"/>
        <w:rPr>
          <w:rFonts w:ascii="Times New Roman" w:hAnsi="Times New Roman" w:cs="Times New Roman"/>
        </w:rPr>
      </w:pPr>
    </w:p>
    <w:p w14:paraId="307DBB92" w14:textId="77777777" w:rsidR="009523E5" w:rsidRDefault="003B4279" w:rsidP="009201D3">
      <w:pPr>
        <w:pStyle w:val="Caption"/>
        <w:spacing w:after="0" w:line="240" w:lineRule="auto"/>
        <w:rPr>
          <w:rFonts w:cs="Times New Roman"/>
        </w:rPr>
      </w:pPr>
      <w:bookmarkStart w:id="30" w:name="_Ref192820105"/>
      <w:r>
        <w:t xml:space="preserve">Table </w:t>
      </w:r>
      <w:r>
        <w:fldChar w:fldCharType="begin"/>
      </w:r>
      <w:r>
        <w:instrText xml:space="preserve"> SEQ Table \* ARABIC </w:instrText>
      </w:r>
      <w:r>
        <w:fldChar w:fldCharType="separate"/>
      </w:r>
      <w:r w:rsidR="009523E5">
        <w:t>5</w:t>
      </w:r>
      <w:r>
        <w:fldChar w:fldCharType="end"/>
      </w:r>
      <w:bookmarkEnd w:id="30"/>
      <w:r>
        <w:t xml:space="preserve"> Theoretical and experimental failure loads of beams</w:t>
      </w:r>
    </w:p>
    <w:tbl>
      <w:tblPr>
        <w:tblW w:w="13703" w:type="dxa"/>
        <w:tblLook w:val="04A0" w:firstRow="1" w:lastRow="0" w:firstColumn="1" w:lastColumn="0" w:noHBand="0" w:noVBand="1"/>
      </w:tblPr>
      <w:tblGrid>
        <w:gridCol w:w="948"/>
        <w:gridCol w:w="1224"/>
        <w:gridCol w:w="996"/>
        <w:gridCol w:w="913"/>
        <w:gridCol w:w="1161"/>
        <w:gridCol w:w="912"/>
        <w:gridCol w:w="1028"/>
        <w:gridCol w:w="828"/>
        <w:gridCol w:w="607"/>
        <w:gridCol w:w="736"/>
        <w:gridCol w:w="696"/>
        <w:gridCol w:w="656"/>
        <w:gridCol w:w="656"/>
        <w:gridCol w:w="736"/>
        <w:gridCol w:w="656"/>
        <w:gridCol w:w="728"/>
        <w:gridCol w:w="222"/>
      </w:tblGrid>
      <w:tr w:rsidR="009523E5" w14:paraId="5CF64EB4" w14:textId="77777777" w:rsidTr="008915CB">
        <w:trPr>
          <w:gridAfter w:val="1"/>
          <w:wAfter w:w="222" w:type="dxa"/>
          <w:trHeight w:val="476"/>
        </w:trPr>
        <w:tc>
          <w:tcPr>
            <w:tcW w:w="948" w:type="dxa"/>
            <w:vMerge w:val="restart"/>
            <w:tcBorders>
              <w:top w:val="single" w:sz="4" w:space="0" w:color="auto"/>
              <w:left w:val="nil"/>
              <w:bottom w:val="single" w:sz="4" w:space="0" w:color="000000"/>
              <w:right w:val="nil"/>
            </w:tcBorders>
            <w:vAlign w:val="center"/>
          </w:tcPr>
          <w:p w14:paraId="62918B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Beam Id.</w:t>
            </w:r>
          </w:p>
        </w:tc>
        <w:tc>
          <w:tcPr>
            <w:tcW w:w="1224" w:type="dxa"/>
            <w:vMerge w:val="restart"/>
            <w:tcBorders>
              <w:top w:val="single" w:sz="4" w:space="0" w:color="auto"/>
              <w:left w:val="nil"/>
              <w:bottom w:val="single" w:sz="4" w:space="0" w:color="000000"/>
              <w:right w:val="nil"/>
            </w:tcBorders>
            <w:vAlign w:val="center"/>
          </w:tcPr>
          <w:p w14:paraId="0497434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The</w:t>
            </w:r>
            <w:r>
              <w:rPr>
                <w:rFonts w:ascii="Calibri" w:eastAsia="Times New Roman" w:hAnsi="Calibri" w:cs="Calibri"/>
                <w:color w:val="000000"/>
                <w:kern w:val="0"/>
                <w:sz w:val="22"/>
                <w:szCs w:val="22"/>
                <w:lang w:val="en-US" w:eastAsia="en-US"/>
                <w14:ligatures w14:val="none"/>
              </w:rPr>
              <w:t xml:space="preserve">oretical cracking load of control, </w:t>
            </w:r>
            <w:r>
              <w:rPr>
                <w:rFonts w:ascii="Calibri" w:eastAsia="Times New Roman" w:hAnsi="Calibri" w:cs="Calibri"/>
                <w:i/>
                <w:iCs/>
                <w:color w:val="000000"/>
                <w:kern w:val="0"/>
                <w:sz w:val="22"/>
                <w:szCs w:val="22"/>
                <w:lang w:val="en-US" w:eastAsia="en-US"/>
                <w14:ligatures w14:val="none"/>
              </w:rPr>
              <w:t>Pcr'</w:t>
            </w:r>
            <w:r>
              <w:rPr>
                <w:rFonts w:ascii="Calibri" w:eastAsia="Times New Roman" w:hAnsi="Calibri" w:cs="Calibri"/>
                <w:color w:val="000000"/>
                <w:kern w:val="0"/>
                <w:sz w:val="22"/>
                <w:szCs w:val="22"/>
                <w:lang w:val="en-US" w:eastAsia="en-US"/>
                <w14:ligatures w14:val="none"/>
              </w:rPr>
              <w:t xml:space="preserve"> (kN)</w:t>
            </w:r>
          </w:p>
        </w:tc>
        <w:tc>
          <w:tcPr>
            <w:tcW w:w="996" w:type="dxa"/>
            <w:vMerge w:val="restart"/>
            <w:tcBorders>
              <w:top w:val="single" w:sz="4" w:space="0" w:color="auto"/>
              <w:left w:val="nil"/>
              <w:bottom w:val="single" w:sz="4" w:space="0" w:color="000000"/>
              <w:right w:val="nil"/>
            </w:tcBorders>
            <w:vAlign w:val="center"/>
          </w:tcPr>
          <w:p w14:paraId="39FDDE4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Exp. First crack load of control, </w:t>
            </w:r>
            <w:r>
              <w:rPr>
                <w:rFonts w:ascii="Calibri" w:eastAsia="Times New Roman" w:hAnsi="Calibri" w:cs="Calibri"/>
                <w:i/>
                <w:iCs/>
                <w:color w:val="000000"/>
                <w:kern w:val="0"/>
                <w:sz w:val="22"/>
                <w:szCs w:val="22"/>
                <w:lang w:val="en-US" w:eastAsia="en-US"/>
                <w14:ligatures w14:val="none"/>
              </w:rPr>
              <w:t>Pcr</w:t>
            </w:r>
            <w:r>
              <w:rPr>
                <w:rFonts w:ascii="Calibri" w:eastAsia="Times New Roman" w:hAnsi="Calibri" w:cs="Calibri"/>
                <w:color w:val="000000"/>
                <w:kern w:val="0"/>
                <w:sz w:val="22"/>
                <w:szCs w:val="22"/>
                <w:lang w:val="en-US" w:eastAsia="en-US"/>
                <w14:ligatures w14:val="none"/>
              </w:rPr>
              <w:t xml:space="preserve"> (kN)</w:t>
            </w:r>
          </w:p>
        </w:tc>
        <w:tc>
          <w:tcPr>
            <w:tcW w:w="913" w:type="dxa"/>
            <w:vMerge w:val="restart"/>
            <w:tcBorders>
              <w:top w:val="single" w:sz="4" w:space="0" w:color="auto"/>
              <w:left w:val="nil"/>
              <w:bottom w:val="single" w:sz="4" w:space="0" w:color="000000"/>
              <w:right w:val="nil"/>
            </w:tcBorders>
            <w:vAlign w:val="center"/>
          </w:tcPr>
          <w:p w14:paraId="5B44321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Exp. Failure load of control, </w:t>
            </w:r>
            <w:r>
              <w:rPr>
                <w:rFonts w:ascii="Calibri" w:eastAsia="Times New Roman" w:hAnsi="Calibri" w:cs="Calibri"/>
                <w:i/>
                <w:iCs/>
                <w:color w:val="000000"/>
                <w:kern w:val="0"/>
                <w:sz w:val="22"/>
                <w:szCs w:val="22"/>
                <w:lang w:val="en-US" w:eastAsia="en-US"/>
                <w14:ligatures w14:val="none"/>
              </w:rPr>
              <w:t>Pult</w:t>
            </w:r>
            <w:r>
              <w:rPr>
                <w:rFonts w:ascii="Calibri" w:eastAsia="Times New Roman" w:hAnsi="Calibri" w:cs="Calibri"/>
                <w:color w:val="000000"/>
                <w:kern w:val="0"/>
                <w:sz w:val="22"/>
                <w:szCs w:val="22"/>
                <w:lang w:val="en-US" w:eastAsia="en-US"/>
                <w14:ligatures w14:val="none"/>
              </w:rPr>
              <w:t xml:space="preserve"> (kN)</w:t>
            </w:r>
          </w:p>
        </w:tc>
        <w:tc>
          <w:tcPr>
            <w:tcW w:w="1161" w:type="dxa"/>
            <w:vMerge w:val="restart"/>
            <w:tcBorders>
              <w:top w:val="single" w:sz="4" w:space="0" w:color="auto"/>
              <w:left w:val="nil"/>
              <w:bottom w:val="single" w:sz="4" w:space="0" w:color="000000"/>
              <w:right w:val="nil"/>
            </w:tcBorders>
            <w:vAlign w:val="center"/>
          </w:tcPr>
          <w:p w14:paraId="6241707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Exp. Failure load of retrofitted beam, Pult-r</w:t>
            </w:r>
          </w:p>
        </w:tc>
        <w:tc>
          <w:tcPr>
            <w:tcW w:w="2768" w:type="dxa"/>
            <w:gridSpan w:val="3"/>
            <w:vMerge w:val="restart"/>
            <w:tcBorders>
              <w:top w:val="single" w:sz="4" w:space="0" w:color="auto"/>
              <w:left w:val="nil"/>
              <w:bottom w:val="nil"/>
              <w:right w:val="nil"/>
            </w:tcBorders>
            <w:vAlign w:val="center"/>
          </w:tcPr>
          <w:p w14:paraId="0384919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Theoretical failure load based on unstressed section, </w:t>
            </w:r>
            <w:r>
              <w:rPr>
                <w:rFonts w:ascii="Calibri" w:eastAsia="Times New Roman" w:hAnsi="Calibri" w:cs="Calibri"/>
                <w:i/>
                <w:iCs/>
                <w:color w:val="000000"/>
                <w:kern w:val="0"/>
                <w:sz w:val="22"/>
                <w:szCs w:val="22"/>
                <w:lang w:val="en-US" w:eastAsia="en-US"/>
                <w14:ligatures w14:val="none"/>
              </w:rPr>
              <w:t>Pult'</w:t>
            </w:r>
            <w:r>
              <w:rPr>
                <w:rFonts w:ascii="Calibri" w:eastAsia="Times New Roman" w:hAnsi="Calibri" w:cs="Calibri"/>
                <w:color w:val="000000"/>
                <w:kern w:val="0"/>
                <w:sz w:val="22"/>
                <w:szCs w:val="22"/>
                <w:lang w:val="en-US" w:eastAsia="en-US"/>
                <w14:ligatures w14:val="none"/>
              </w:rPr>
              <w:t xml:space="preserve"> (kN)</w:t>
            </w:r>
          </w:p>
        </w:tc>
        <w:tc>
          <w:tcPr>
            <w:tcW w:w="607" w:type="dxa"/>
            <w:vMerge w:val="restart"/>
            <w:tcBorders>
              <w:top w:val="single" w:sz="4" w:space="0" w:color="auto"/>
              <w:left w:val="nil"/>
              <w:bottom w:val="single" w:sz="4" w:space="0" w:color="000000"/>
              <w:right w:val="nil"/>
            </w:tcBorders>
            <w:noWrap/>
            <w:vAlign w:val="bottom"/>
          </w:tcPr>
          <w:p w14:paraId="0FD1700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noProof/>
                <w:color w:val="000000"/>
                <w:kern w:val="0"/>
                <w:sz w:val="22"/>
                <w:szCs w:val="22"/>
                <w:lang w:val="en-US" w:eastAsia="en-US"/>
              </w:rPr>
              <w:drawing>
                <wp:anchor distT="0" distB="0" distL="114300" distR="114300" simplePos="0" relativeHeight="251659264" behindDoc="0" locked="0" layoutInCell="1" allowOverlap="1" wp14:anchorId="45B2820E" wp14:editId="6C34401B">
                  <wp:simplePos x="0" y="0"/>
                  <wp:positionH relativeFrom="column">
                    <wp:posOffset>-12065</wp:posOffset>
                  </wp:positionH>
                  <wp:positionV relativeFrom="paragraph">
                    <wp:posOffset>-744220</wp:posOffset>
                  </wp:positionV>
                  <wp:extent cx="304800" cy="431800"/>
                  <wp:effectExtent l="0" t="0" r="0" b="6350"/>
                  <wp:wrapNone/>
                  <wp:docPr id="10662824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2474" name="Picture 33"/>
                          <pic:cNvPicPr>
                            <a:picLocks noChangeAspect="1"/>
                          </pic:cNvPicPr>
                        </pic:nvPicPr>
                        <pic:blipFill>
                          <a:blip r:embed="rId76"/>
                          <a:stretch>
                            <a:fillRect/>
                          </a:stretch>
                        </pic:blipFill>
                        <pic:spPr>
                          <a:xfrm>
                            <a:off x="0" y="0"/>
                            <a:ext cx="304800" cy="431800"/>
                          </a:xfrm>
                          <a:prstGeom prst="rect">
                            <a:avLst/>
                          </a:prstGeom>
                        </pic:spPr>
                      </pic:pic>
                    </a:graphicData>
                  </a:graphic>
                </wp:anchor>
              </w:drawing>
            </w:r>
          </w:p>
        </w:tc>
        <w:tc>
          <w:tcPr>
            <w:tcW w:w="736" w:type="dxa"/>
            <w:vMerge w:val="restart"/>
            <w:tcBorders>
              <w:top w:val="single" w:sz="4" w:space="0" w:color="auto"/>
              <w:left w:val="nil"/>
              <w:bottom w:val="single" w:sz="4" w:space="0" w:color="000000"/>
              <w:right w:val="nil"/>
            </w:tcBorders>
            <w:noWrap/>
            <w:vAlign w:val="bottom"/>
          </w:tcPr>
          <w:p w14:paraId="70C44650" w14:textId="77777777" w:rsidR="009523E5" w:rsidRDefault="003B4279"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Times New Roman" w:eastAsia="Times New Roman" w:hAnsi="Times New Roman" w:cs="Times New Roman"/>
                <w:noProof/>
                <w:kern w:val="0"/>
                <w:sz w:val="20"/>
                <w:szCs w:val="20"/>
                <w:lang w:val="en-US" w:eastAsia="en-US"/>
              </w:rPr>
              <w:drawing>
                <wp:anchor distT="0" distB="0" distL="114300" distR="114300" simplePos="0" relativeHeight="251660288" behindDoc="0" locked="0" layoutInCell="1" allowOverlap="1" wp14:anchorId="2B8C30AA" wp14:editId="3C33B01E">
                  <wp:simplePos x="0" y="0"/>
                  <wp:positionH relativeFrom="column">
                    <wp:posOffset>-8890</wp:posOffset>
                  </wp:positionH>
                  <wp:positionV relativeFrom="paragraph">
                    <wp:posOffset>-744220</wp:posOffset>
                  </wp:positionV>
                  <wp:extent cx="355600" cy="431800"/>
                  <wp:effectExtent l="0" t="0" r="6350" b="6350"/>
                  <wp:wrapNone/>
                  <wp:docPr id="12862989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8914" name="Picture 34"/>
                          <pic:cNvPicPr>
                            <a:picLocks noChangeAspect="1"/>
                          </pic:cNvPicPr>
                        </pic:nvPicPr>
                        <pic:blipFill>
                          <a:blip r:embed="rId77"/>
                          <a:stretch>
                            <a:fillRect/>
                          </a:stretch>
                        </pic:blipFill>
                        <pic:spPr>
                          <a:xfrm>
                            <a:off x="0" y="0"/>
                            <a:ext cx="355600" cy="431800"/>
                          </a:xfrm>
                          <a:prstGeom prst="rect">
                            <a:avLst/>
                          </a:prstGeom>
                        </pic:spPr>
                      </pic:pic>
                    </a:graphicData>
                  </a:graphic>
                </wp:anchor>
              </w:drawing>
            </w:r>
          </w:p>
        </w:tc>
        <w:tc>
          <w:tcPr>
            <w:tcW w:w="696" w:type="dxa"/>
            <w:vMerge w:val="restart"/>
            <w:tcBorders>
              <w:top w:val="single" w:sz="4" w:space="0" w:color="auto"/>
              <w:left w:val="nil"/>
              <w:bottom w:val="single" w:sz="4" w:space="0" w:color="000000"/>
              <w:right w:val="nil"/>
            </w:tcBorders>
            <w:noWrap/>
            <w:vAlign w:val="bottom"/>
          </w:tcPr>
          <w:p w14:paraId="34CA4F9E" w14:textId="77777777" w:rsidR="009523E5" w:rsidRDefault="003B4279"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1312" behindDoc="0" locked="0" layoutInCell="1" allowOverlap="1" wp14:anchorId="25F837E1" wp14:editId="3E84896E">
                  <wp:simplePos x="0" y="0"/>
                  <wp:positionH relativeFrom="column">
                    <wp:posOffset>-27305</wp:posOffset>
                  </wp:positionH>
                  <wp:positionV relativeFrom="paragraph">
                    <wp:posOffset>-749300</wp:posOffset>
                  </wp:positionV>
                  <wp:extent cx="266700" cy="428625"/>
                  <wp:effectExtent l="0" t="0" r="0" b="0"/>
                  <wp:wrapNone/>
                  <wp:docPr id="20176540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4091" name="Picture 40"/>
                          <pic:cNvPicPr>
                            <a:picLocks noChangeAspect="1"/>
                          </pic:cNvPicPr>
                        </pic:nvPicPr>
                        <pic:blipFill>
                          <a:blip r:embed="rId78"/>
                          <a:stretch>
                            <a:fillRect/>
                          </a:stretch>
                        </pic:blipFill>
                        <pic:spPr>
                          <a:xfrm>
                            <a:off x="0" y="0"/>
                            <a:ext cx="266700" cy="428625"/>
                          </a:xfrm>
                          <a:prstGeom prst="rect">
                            <a:avLst/>
                          </a:prstGeom>
                        </pic:spPr>
                      </pic:pic>
                    </a:graphicData>
                  </a:graphic>
                </wp:anchor>
              </w:drawing>
            </w:r>
          </w:p>
        </w:tc>
        <w:tc>
          <w:tcPr>
            <w:tcW w:w="656" w:type="dxa"/>
            <w:vMerge w:val="restart"/>
            <w:tcBorders>
              <w:top w:val="single" w:sz="4" w:space="0" w:color="auto"/>
              <w:left w:val="nil"/>
              <w:bottom w:val="single" w:sz="4" w:space="0" w:color="000000"/>
              <w:right w:val="nil"/>
            </w:tcBorders>
            <w:noWrap/>
            <w:vAlign w:val="bottom"/>
          </w:tcPr>
          <w:p w14:paraId="505D313F" w14:textId="04178491"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3360" behindDoc="0" locked="0" layoutInCell="1" allowOverlap="1" wp14:anchorId="600E720C" wp14:editId="00FDF899">
                  <wp:simplePos x="0" y="0"/>
                  <wp:positionH relativeFrom="column">
                    <wp:posOffset>-31750</wp:posOffset>
                  </wp:positionH>
                  <wp:positionV relativeFrom="paragraph">
                    <wp:posOffset>-753110</wp:posOffset>
                  </wp:positionV>
                  <wp:extent cx="228600" cy="400050"/>
                  <wp:effectExtent l="0" t="0" r="0" b="0"/>
                  <wp:wrapNone/>
                  <wp:docPr id="11602376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7679" name="Picture 39"/>
                          <pic:cNvPicPr>
                            <a:picLocks noChangeAspect="1"/>
                          </pic:cNvPicPr>
                        </pic:nvPicPr>
                        <pic:blipFill>
                          <a:blip r:embed="rId79"/>
                          <a:stretch>
                            <a:fillRect/>
                          </a:stretch>
                        </pic:blipFill>
                        <pic:spPr>
                          <a:xfrm>
                            <a:off x="0" y="0"/>
                            <a:ext cx="228600" cy="400050"/>
                          </a:xfrm>
                          <a:prstGeom prst="rect">
                            <a:avLst/>
                          </a:prstGeom>
                        </pic:spPr>
                      </pic:pic>
                    </a:graphicData>
                  </a:graphic>
                  <wp14:sizeRelH relativeFrom="margin">
                    <wp14:pctWidth>0</wp14:pctWidth>
                  </wp14:sizeRelH>
                  <wp14:sizeRelV relativeFrom="margin">
                    <wp14:pctHeight>0</wp14:pctHeight>
                  </wp14:sizeRelV>
                </wp:anchor>
              </w:drawing>
            </w:r>
          </w:p>
        </w:tc>
        <w:tc>
          <w:tcPr>
            <w:tcW w:w="656" w:type="dxa"/>
            <w:vMerge w:val="restart"/>
            <w:tcBorders>
              <w:top w:val="single" w:sz="4" w:space="0" w:color="auto"/>
              <w:left w:val="nil"/>
              <w:bottom w:val="single" w:sz="4" w:space="0" w:color="000000"/>
              <w:right w:val="nil"/>
            </w:tcBorders>
            <w:noWrap/>
            <w:vAlign w:val="bottom"/>
          </w:tcPr>
          <w:p w14:paraId="2237175A" w14:textId="412ADACC"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4384" behindDoc="0" locked="0" layoutInCell="1" allowOverlap="1" wp14:anchorId="436919B6" wp14:editId="7AC88A86">
                  <wp:simplePos x="0" y="0"/>
                  <wp:positionH relativeFrom="column">
                    <wp:posOffset>-64135</wp:posOffset>
                  </wp:positionH>
                  <wp:positionV relativeFrom="paragraph">
                    <wp:posOffset>-756920</wp:posOffset>
                  </wp:positionV>
                  <wp:extent cx="314325" cy="390525"/>
                  <wp:effectExtent l="0" t="0" r="9525" b="9525"/>
                  <wp:wrapNone/>
                  <wp:docPr id="4134879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87957" name="Picture 38"/>
                          <pic:cNvPicPr>
                            <a:picLocks noChangeAspect="1"/>
                          </pic:cNvPicPr>
                        </pic:nvPicPr>
                        <pic:blipFill>
                          <a:blip r:embed="rId80"/>
                          <a:stretch>
                            <a:fillRect/>
                          </a:stretch>
                        </pic:blipFill>
                        <pic:spPr>
                          <a:xfrm>
                            <a:off x="0" y="0"/>
                            <a:ext cx="3143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736" w:type="dxa"/>
            <w:vMerge w:val="restart"/>
            <w:tcBorders>
              <w:top w:val="single" w:sz="4" w:space="0" w:color="auto"/>
              <w:left w:val="nil"/>
              <w:bottom w:val="single" w:sz="4" w:space="0" w:color="000000"/>
              <w:right w:val="nil"/>
            </w:tcBorders>
            <w:noWrap/>
            <w:vAlign w:val="bottom"/>
          </w:tcPr>
          <w:p w14:paraId="3687ACE4" w14:textId="77777777" w:rsidR="009523E5" w:rsidRDefault="003B4279"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2336" behindDoc="0" locked="0" layoutInCell="1" allowOverlap="1" wp14:anchorId="7D9920DE" wp14:editId="0C5C6BF3">
                  <wp:simplePos x="0" y="0"/>
                  <wp:positionH relativeFrom="column">
                    <wp:posOffset>48260</wp:posOffset>
                  </wp:positionH>
                  <wp:positionV relativeFrom="paragraph">
                    <wp:posOffset>-721360</wp:posOffset>
                  </wp:positionV>
                  <wp:extent cx="266700" cy="419100"/>
                  <wp:effectExtent l="0" t="0" r="0" b="0"/>
                  <wp:wrapNone/>
                  <wp:docPr id="7119153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15350" name="Picture 37"/>
                          <pic:cNvPicPr>
                            <a:picLocks noChangeAspect="1"/>
                          </pic:cNvPicPr>
                        </pic:nvPicPr>
                        <pic:blipFill>
                          <a:blip r:embed="rId81"/>
                          <a:stretch>
                            <a:fillRect/>
                          </a:stretch>
                        </pic:blipFill>
                        <pic:spPr>
                          <a:xfrm>
                            <a:off x="0" y="0"/>
                            <a:ext cx="2667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656" w:type="dxa"/>
            <w:vMerge w:val="restart"/>
            <w:tcBorders>
              <w:top w:val="single" w:sz="4" w:space="0" w:color="auto"/>
              <w:left w:val="nil"/>
              <w:bottom w:val="single" w:sz="4" w:space="0" w:color="000000"/>
              <w:right w:val="nil"/>
            </w:tcBorders>
            <w:noWrap/>
            <w:vAlign w:val="bottom"/>
          </w:tcPr>
          <w:p w14:paraId="0E006E77" w14:textId="4E880B2C"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5408" behindDoc="0" locked="0" layoutInCell="1" allowOverlap="1" wp14:anchorId="198C2A5A" wp14:editId="4C267A84">
                  <wp:simplePos x="0" y="0"/>
                  <wp:positionH relativeFrom="column">
                    <wp:posOffset>-19685</wp:posOffset>
                  </wp:positionH>
                  <wp:positionV relativeFrom="paragraph">
                    <wp:posOffset>-733425</wp:posOffset>
                  </wp:positionV>
                  <wp:extent cx="304800" cy="371475"/>
                  <wp:effectExtent l="0" t="0" r="0" b="9525"/>
                  <wp:wrapNone/>
                  <wp:docPr id="6703702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0241" name="Picture 36"/>
                          <pic:cNvPicPr>
                            <a:picLocks noChangeAspect="1"/>
                          </pic:cNvPicPr>
                        </pic:nvPicPr>
                        <pic:blipFill>
                          <a:blip r:embed="rId82"/>
                          <a:stretch>
                            <a:fillRect/>
                          </a:stretch>
                        </pic:blipFill>
                        <pic:spPr>
                          <a:xfrm>
                            <a:off x="0" y="0"/>
                            <a:ext cx="304800" cy="371475"/>
                          </a:xfrm>
                          <a:prstGeom prst="rect">
                            <a:avLst/>
                          </a:prstGeom>
                        </pic:spPr>
                      </pic:pic>
                    </a:graphicData>
                  </a:graphic>
                  <wp14:sizeRelH relativeFrom="margin">
                    <wp14:pctWidth>0</wp14:pctWidth>
                  </wp14:sizeRelH>
                  <wp14:sizeRelV relativeFrom="margin">
                    <wp14:pctHeight>0</wp14:pctHeight>
                  </wp14:sizeRelV>
                </wp:anchor>
              </w:drawing>
            </w:r>
          </w:p>
        </w:tc>
        <w:tc>
          <w:tcPr>
            <w:tcW w:w="728" w:type="dxa"/>
            <w:vMerge w:val="restart"/>
            <w:tcBorders>
              <w:top w:val="single" w:sz="4" w:space="0" w:color="auto"/>
              <w:left w:val="nil"/>
              <w:bottom w:val="single" w:sz="4" w:space="0" w:color="000000"/>
              <w:right w:val="nil"/>
            </w:tcBorders>
            <w:noWrap/>
            <w:vAlign w:val="bottom"/>
          </w:tcPr>
          <w:p w14:paraId="419A7138" w14:textId="6B469D6E"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6432" behindDoc="0" locked="0" layoutInCell="1" allowOverlap="1" wp14:anchorId="37165009" wp14:editId="40C61AA7">
                  <wp:simplePos x="0" y="0"/>
                  <wp:positionH relativeFrom="column">
                    <wp:posOffset>-38100</wp:posOffset>
                  </wp:positionH>
                  <wp:positionV relativeFrom="paragraph">
                    <wp:posOffset>-744855</wp:posOffset>
                  </wp:positionV>
                  <wp:extent cx="285750" cy="371475"/>
                  <wp:effectExtent l="0" t="0" r="0" b="9525"/>
                  <wp:wrapNone/>
                  <wp:docPr id="11020263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26326" name="Picture 35"/>
                          <pic:cNvPicPr>
                            <a:picLocks noChangeAspect="1"/>
                          </pic:cNvPicPr>
                        </pic:nvPicPr>
                        <pic:blipFill>
                          <a:blip r:embed="rId83"/>
                          <a:stretch>
                            <a:fillRect/>
                          </a:stretch>
                        </pic:blipFill>
                        <pic:spPr>
                          <a:xfrm>
                            <a:off x="0" y="0"/>
                            <a:ext cx="285750" cy="371475"/>
                          </a:xfrm>
                          <a:prstGeom prst="rect">
                            <a:avLst/>
                          </a:prstGeom>
                        </pic:spPr>
                      </pic:pic>
                    </a:graphicData>
                  </a:graphic>
                  <wp14:sizeRelH relativeFrom="margin">
                    <wp14:pctWidth>0</wp14:pctWidth>
                  </wp14:sizeRelH>
                  <wp14:sizeRelV relativeFrom="margin">
                    <wp14:pctHeight>0</wp14:pctHeight>
                  </wp14:sizeRelV>
                </wp:anchor>
              </w:drawing>
            </w:r>
          </w:p>
        </w:tc>
      </w:tr>
      <w:tr w:rsidR="009523E5" w14:paraId="36BEB3F0" w14:textId="77777777" w:rsidTr="008915CB">
        <w:trPr>
          <w:trHeight w:val="585"/>
        </w:trPr>
        <w:tc>
          <w:tcPr>
            <w:tcW w:w="948" w:type="dxa"/>
            <w:vMerge/>
            <w:tcBorders>
              <w:top w:val="nil"/>
              <w:left w:val="nil"/>
              <w:bottom w:val="single" w:sz="4" w:space="0" w:color="000000"/>
              <w:right w:val="nil"/>
            </w:tcBorders>
            <w:vAlign w:val="center"/>
          </w:tcPr>
          <w:p w14:paraId="703635AA"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224" w:type="dxa"/>
            <w:vMerge/>
            <w:tcBorders>
              <w:top w:val="nil"/>
              <w:left w:val="nil"/>
              <w:bottom w:val="single" w:sz="4" w:space="0" w:color="000000"/>
              <w:right w:val="nil"/>
            </w:tcBorders>
            <w:vAlign w:val="center"/>
          </w:tcPr>
          <w:p w14:paraId="6AB5B8A3"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96" w:type="dxa"/>
            <w:vMerge/>
            <w:tcBorders>
              <w:top w:val="nil"/>
              <w:left w:val="nil"/>
              <w:bottom w:val="single" w:sz="4" w:space="0" w:color="000000"/>
              <w:right w:val="nil"/>
            </w:tcBorders>
            <w:vAlign w:val="center"/>
          </w:tcPr>
          <w:p w14:paraId="5879250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3" w:type="dxa"/>
            <w:vMerge/>
            <w:tcBorders>
              <w:top w:val="nil"/>
              <w:left w:val="nil"/>
              <w:bottom w:val="single" w:sz="4" w:space="0" w:color="000000"/>
              <w:right w:val="nil"/>
            </w:tcBorders>
            <w:vAlign w:val="center"/>
          </w:tcPr>
          <w:p w14:paraId="3A8F236A"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161" w:type="dxa"/>
            <w:vMerge/>
            <w:tcBorders>
              <w:top w:val="nil"/>
              <w:left w:val="nil"/>
              <w:bottom w:val="single" w:sz="4" w:space="0" w:color="000000"/>
              <w:right w:val="nil"/>
            </w:tcBorders>
            <w:vAlign w:val="center"/>
          </w:tcPr>
          <w:p w14:paraId="204E5C1F"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2768" w:type="dxa"/>
            <w:gridSpan w:val="3"/>
            <w:vMerge/>
            <w:tcBorders>
              <w:top w:val="nil"/>
              <w:left w:val="nil"/>
              <w:bottom w:val="single" w:sz="4" w:space="0" w:color="auto"/>
              <w:right w:val="nil"/>
            </w:tcBorders>
            <w:vAlign w:val="center"/>
          </w:tcPr>
          <w:p w14:paraId="7930D717"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07" w:type="dxa"/>
            <w:vMerge/>
            <w:tcBorders>
              <w:top w:val="nil"/>
              <w:left w:val="nil"/>
              <w:bottom w:val="single" w:sz="4" w:space="0" w:color="000000"/>
              <w:right w:val="nil"/>
            </w:tcBorders>
            <w:vAlign w:val="center"/>
          </w:tcPr>
          <w:p w14:paraId="61B898A5"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36" w:type="dxa"/>
            <w:vMerge/>
            <w:tcBorders>
              <w:top w:val="nil"/>
              <w:left w:val="nil"/>
              <w:bottom w:val="single" w:sz="4" w:space="0" w:color="000000"/>
              <w:right w:val="nil"/>
            </w:tcBorders>
            <w:vAlign w:val="center"/>
          </w:tcPr>
          <w:p w14:paraId="01C4E58F"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96" w:type="dxa"/>
            <w:vMerge/>
            <w:tcBorders>
              <w:top w:val="nil"/>
              <w:left w:val="nil"/>
              <w:bottom w:val="single" w:sz="4" w:space="0" w:color="000000"/>
              <w:right w:val="nil"/>
            </w:tcBorders>
            <w:vAlign w:val="center"/>
          </w:tcPr>
          <w:p w14:paraId="79A75CD6"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24A17F4C"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629D534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36" w:type="dxa"/>
            <w:vMerge/>
            <w:tcBorders>
              <w:top w:val="nil"/>
              <w:left w:val="nil"/>
              <w:bottom w:val="single" w:sz="4" w:space="0" w:color="000000"/>
              <w:right w:val="nil"/>
            </w:tcBorders>
            <w:vAlign w:val="center"/>
          </w:tcPr>
          <w:p w14:paraId="48900436"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57FE616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28" w:type="dxa"/>
            <w:vMerge/>
            <w:tcBorders>
              <w:top w:val="nil"/>
              <w:left w:val="nil"/>
              <w:bottom w:val="single" w:sz="4" w:space="0" w:color="000000"/>
              <w:right w:val="nil"/>
            </w:tcBorders>
            <w:vAlign w:val="center"/>
          </w:tcPr>
          <w:p w14:paraId="54EBD22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222" w:type="dxa"/>
            <w:tcBorders>
              <w:top w:val="nil"/>
              <w:left w:val="nil"/>
              <w:bottom w:val="nil"/>
              <w:right w:val="nil"/>
            </w:tcBorders>
            <w:noWrap/>
            <w:vAlign w:val="bottom"/>
          </w:tcPr>
          <w:p w14:paraId="75EA40A3" w14:textId="77777777" w:rsidR="009523E5" w:rsidRDefault="009523E5" w:rsidP="009201D3">
            <w:pPr>
              <w:spacing w:after="0" w:line="240" w:lineRule="auto"/>
              <w:jc w:val="center"/>
              <w:rPr>
                <w:rFonts w:ascii="Times New Roman" w:eastAsia="Times New Roman" w:hAnsi="Times New Roman" w:cs="Times New Roman"/>
                <w:kern w:val="0"/>
                <w:sz w:val="20"/>
                <w:szCs w:val="20"/>
                <w:lang w:val="en-US" w:eastAsia="en-US"/>
                <w14:ligatures w14:val="none"/>
              </w:rPr>
            </w:pPr>
          </w:p>
        </w:tc>
      </w:tr>
      <w:tr w:rsidR="009523E5" w14:paraId="4407CEE4" w14:textId="77777777" w:rsidTr="008915CB">
        <w:trPr>
          <w:trHeight w:val="300"/>
        </w:trPr>
        <w:tc>
          <w:tcPr>
            <w:tcW w:w="948" w:type="dxa"/>
            <w:vMerge/>
            <w:tcBorders>
              <w:top w:val="nil"/>
              <w:left w:val="nil"/>
              <w:bottom w:val="single" w:sz="4" w:space="0" w:color="000000"/>
              <w:right w:val="nil"/>
            </w:tcBorders>
            <w:vAlign w:val="center"/>
          </w:tcPr>
          <w:p w14:paraId="4D09C871"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224" w:type="dxa"/>
            <w:vMerge/>
            <w:tcBorders>
              <w:top w:val="nil"/>
              <w:left w:val="nil"/>
              <w:bottom w:val="single" w:sz="4" w:space="0" w:color="000000"/>
              <w:right w:val="nil"/>
            </w:tcBorders>
            <w:vAlign w:val="center"/>
          </w:tcPr>
          <w:p w14:paraId="0B5B711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96" w:type="dxa"/>
            <w:vMerge/>
            <w:tcBorders>
              <w:top w:val="nil"/>
              <w:left w:val="nil"/>
              <w:bottom w:val="single" w:sz="4" w:space="0" w:color="000000"/>
              <w:right w:val="nil"/>
            </w:tcBorders>
            <w:vAlign w:val="center"/>
          </w:tcPr>
          <w:p w14:paraId="4E0F4C1D"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3" w:type="dxa"/>
            <w:vMerge/>
            <w:tcBorders>
              <w:top w:val="nil"/>
              <w:left w:val="nil"/>
              <w:bottom w:val="single" w:sz="4" w:space="0" w:color="000000"/>
              <w:right w:val="nil"/>
            </w:tcBorders>
            <w:vAlign w:val="center"/>
          </w:tcPr>
          <w:p w14:paraId="3BE7C190"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161" w:type="dxa"/>
            <w:vMerge/>
            <w:tcBorders>
              <w:top w:val="nil"/>
              <w:left w:val="nil"/>
              <w:bottom w:val="single" w:sz="4" w:space="0" w:color="000000"/>
              <w:right w:val="nil"/>
            </w:tcBorders>
            <w:vAlign w:val="center"/>
          </w:tcPr>
          <w:p w14:paraId="44F980A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2" w:type="dxa"/>
            <w:vMerge w:val="restart"/>
            <w:tcBorders>
              <w:top w:val="single" w:sz="4" w:space="0" w:color="auto"/>
              <w:left w:val="nil"/>
              <w:bottom w:val="single" w:sz="4" w:space="0" w:color="000000"/>
              <w:right w:val="nil"/>
            </w:tcBorders>
            <w:vAlign w:val="center"/>
          </w:tcPr>
          <w:p w14:paraId="32C9BAF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Steel yielding</w:t>
            </w:r>
          </w:p>
        </w:tc>
        <w:tc>
          <w:tcPr>
            <w:tcW w:w="1028" w:type="dxa"/>
            <w:vMerge w:val="restart"/>
            <w:tcBorders>
              <w:top w:val="single" w:sz="4" w:space="0" w:color="auto"/>
              <w:left w:val="nil"/>
              <w:bottom w:val="single" w:sz="4" w:space="0" w:color="000000"/>
              <w:right w:val="nil"/>
            </w:tcBorders>
            <w:vAlign w:val="center"/>
          </w:tcPr>
          <w:p w14:paraId="0015B0C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Concrete crushing </w:t>
            </w:r>
          </w:p>
        </w:tc>
        <w:tc>
          <w:tcPr>
            <w:tcW w:w="828" w:type="dxa"/>
            <w:vMerge w:val="restart"/>
            <w:tcBorders>
              <w:top w:val="single" w:sz="4" w:space="0" w:color="auto"/>
              <w:left w:val="nil"/>
              <w:bottom w:val="single" w:sz="4" w:space="0" w:color="000000"/>
              <w:right w:val="nil"/>
            </w:tcBorders>
            <w:vAlign w:val="center"/>
          </w:tcPr>
          <w:p w14:paraId="5B2C8EF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Shear failure</w:t>
            </w:r>
          </w:p>
        </w:tc>
        <w:tc>
          <w:tcPr>
            <w:tcW w:w="607" w:type="dxa"/>
            <w:vMerge/>
            <w:tcBorders>
              <w:top w:val="nil"/>
              <w:left w:val="nil"/>
              <w:bottom w:val="single" w:sz="4" w:space="0" w:color="000000"/>
              <w:right w:val="nil"/>
            </w:tcBorders>
            <w:vAlign w:val="center"/>
          </w:tcPr>
          <w:p w14:paraId="5775D2E1"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36" w:type="dxa"/>
            <w:vMerge/>
            <w:tcBorders>
              <w:top w:val="nil"/>
              <w:left w:val="nil"/>
              <w:bottom w:val="single" w:sz="4" w:space="0" w:color="000000"/>
              <w:right w:val="nil"/>
            </w:tcBorders>
            <w:vAlign w:val="center"/>
          </w:tcPr>
          <w:p w14:paraId="5E27E2D8"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96" w:type="dxa"/>
            <w:vMerge/>
            <w:tcBorders>
              <w:top w:val="nil"/>
              <w:left w:val="nil"/>
              <w:bottom w:val="single" w:sz="4" w:space="0" w:color="000000"/>
              <w:right w:val="nil"/>
            </w:tcBorders>
            <w:vAlign w:val="center"/>
          </w:tcPr>
          <w:p w14:paraId="3B3661E5"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3056577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7B668928"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36" w:type="dxa"/>
            <w:vMerge/>
            <w:tcBorders>
              <w:top w:val="nil"/>
              <w:left w:val="nil"/>
              <w:bottom w:val="single" w:sz="4" w:space="0" w:color="000000"/>
              <w:right w:val="nil"/>
            </w:tcBorders>
            <w:vAlign w:val="center"/>
          </w:tcPr>
          <w:p w14:paraId="27A8B95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0EDA46F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28" w:type="dxa"/>
            <w:vMerge/>
            <w:tcBorders>
              <w:top w:val="nil"/>
              <w:left w:val="nil"/>
              <w:bottom w:val="single" w:sz="4" w:space="0" w:color="000000"/>
              <w:right w:val="nil"/>
            </w:tcBorders>
            <w:vAlign w:val="center"/>
          </w:tcPr>
          <w:p w14:paraId="66E088AE"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222" w:type="dxa"/>
            <w:vAlign w:val="center"/>
          </w:tcPr>
          <w:p w14:paraId="4EE86216"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5BA88FCF" w14:textId="77777777" w:rsidTr="008915CB">
        <w:trPr>
          <w:trHeight w:val="390"/>
        </w:trPr>
        <w:tc>
          <w:tcPr>
            <w:tcW w:w="948" w:type="dxa"/>
            <w:vMerge/>
            <w:tcBorders>
              <w:top w:val="nil"/>
              <w:left w:val="nil"/>
              <w:bottom w:val="single" w:sz="4" w:space="0" w:color="000000"/>
              <w:right w:val="nil"/>
            </w:tcBorders>
            <w:vAlign w:val="center"/>
          </w:tcPr>
          <w:p w14:paraId="7A98E60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224" w:type="dxa"/>
            <w:vMerge/>
            <w:tcBorders>
              <w:top w:val="nil"/>
              <w:left w:val="nil"/>
              <w:bottom w:val="single" w:sz="4" w:space="0" w:color="000000"/>
              <w:right w:val="nil"/>
            </w:tcBorders>
            <w:vAlign w:val="center"/>
          </w:tcPr>
          <w:p w14:paraId="56BE9022"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96" w:type="dxa"/>
            <w:vMerge/>
            <w:tcBorders>
              <w:top w:val="nil"/>
              <w:left w:val="nil"/>
              <w:bottom w:val="single" w:sz="4" w:space="0" w:color="000000"/>
              <w:right w:val="nil"/>
            </w:tcBorders>
            <w:vAlign w:val="center"/>
          </w:tcPr>
          <w:p w14:paraId="67AC5BAA"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3" w:type="dxa"/>
            <w:vMerge/>
            <w:tcBorders>
              <w:top w:val="nil"/>
              <w:left w:val="nil"/>
              <w:bottom w:val="single" w:sz="4" w:space="0" w:color="000000"/>
              <w:right w:val="nil"/>
            </w:tcBorders>
            <w:vAlign w:val="center"/>
          </w:tcPr>
          <w:p w14:paraId="5A457780"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161" w:type="dxa"/>
            <w:vMerge/>
            <w:tcBorders>
              <w:top w:val="nil"/>
              <w:left w:val="nil"/>
              <w:bottom w:val="single" w:sz="4" w:space="0" w:color="000000"/>
              <w:right w:val="nil"/>
            </w:tcBorders>
            <w:vAlign w:val="center"/>
          </w:tcPr>
          <w:p w14:paraId="3606552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2" w:type="dxa"/>
            <w:vMerge/>
            <w:tcBorders>
              <w:top w:val="nil"/>
              <w:left w:val="nil"/>
              <w:bottom w:val="single" w:sz="4" w:space="0" w:color="000000"/>
              <w:right w:val="nil"/>
            </w:tcBorders>
            <w:vAlign w:val="center"/>
          </w:tcPr>
          <w:p w14:paraId="2BFE5380"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028" w:type="dxa"/>
            <w:vMerge/>
            <w:tcBorders>
              <w:top w:val="nil"/>
              <w:left w:val="nil"/>
              <w:bottom w:val="single" w:sz="4" w:space="0" w:color="000000"/>
              <w:right w:val="nil"/>
            </w:tcBorders>
            <w:vAlign w:val="center"/>
          </w:tcPr>
          <w:p w14:paraId="56D6192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28" w:type="dxa"/>
            <w:vMerge/>
            <w:tcBorders>
              <w:top w:val="nil"/>
              <w:left w:val="nil"/>
              <w:bottom w:val="single" w:sz="4" w:space="0" w:color="000000"/>
              <w:right w:val="nil"/>
            </w:tcBorders>
            <w:vAlign w:val="center"/>
          </w:tcPr>
          <w:p w14:paraId="6E90148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07" w:type="dxa"/>
            <w:vMerge/>
            <w:tcBorders>
              <w:top w:val="nil"/>
              <w:left w:val="nil"/>
              <w:bottom w:val="single" w:sz="4" w:space="0" w:color="000000"/>
              <w:right w:val="nil"/>
            </w:tcBorders>
            <w:vAlign w:val="center"/>
          </w:tcPr>
          <w:p w14:paraId="2871838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36" w:type="dxa"/>
            <w:vMerge/>
            <w:tcBorders>
              <w:top w:val="nil"/>
              <w:left w:val="nil"/>
              <w:bottom w:val="single" w:sz="4" w:space="0" w:color="000000"/>
              <w:right w:val="nil"/>
            </w:tcBorders>
            <w:vAlign w:val="center"/>
          </w:tcPr>
          <w:p w14:paraId="25D0645B"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96" w:type="dxa"/>
            <w:vMerge/>
            <w:tcBorders>
              <w:top w:val="nil"/>
              <w:left w:val="nil"/>
              <w:bottom w:val="single" w:sz="4" w:space="0" w:color="000000"/>
              <w:right w:val="nil"/>
            </w:tcBorders>
            <w:vAlign w:val="center"/>
          </w:tcPr>
          <w:p w14:paraId="46A6D05F"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0894BA2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4CB57A3A"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36" w:type="dxa"/>
            <w:vMerge/>
            <w:tcBorders>
              <w:top w:val="nil"/>
              <w:left w:val="nil"/>
              <w:bottom w:val="single" w:sz="4" w:space="0" w:color="000000"/>
              <w:right w:val="nil"/>
            </w:tcBorders>
            <w:vAlign w:val="center"/>
          </w:tcPr>
          <w:p w14:paraId="691ECEAC"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5DEB80E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28" w:type="dxa"/>
            <w:vMerge/>
            <w:tcBorders>
              <w:top w:val="nil"/>
              <w:left w:val="nil"/>
              <w:bottom w:val="single" w:sz="4" w:space="0" w:color="000000"/>
              <w:right w:val="nil"/>
            </w:tcBorders>
            <w:vAlign w:val="center"/>
          </w:tcPr>
          <w:p w14:paraId="2EBC6D97"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222" w:type="dxa"/>
            <w:tcBorders>
              <w:top w:val="nil"/>
              <w:left w:val="nil"/>
              <w:bottom w:val="nil"/>
              <w:right w:val="nil"/>
            </w:tcBorders>
            <w:noWrap/>
            <w:vAlign w:val="bottom"/>
          </w:tcPr>
          <w:p w14:paraId="0DC50DA1"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r>
      <w:tr w:rsidR="009523E5" w14:paraId="47AD752A" w14:textId="77777777" w:rsidTr="008915CB">
        <w:trPr>
          <w:trHeight w:val="300"/>
        </w:trPr>
        <w:tc>
          <w:tcPr>
            <w:tcW w:w="948" w:type="dxa"/>
            <w:tcBorders>
              <w:top w:val="nil"/>
              <w:left w:val="nil"/>
              <w:bottom w:val="nil"/>
              <w:right w:val="nil"/>
            </w:tcBorders>
            <w:noWrap/>
            <w:vAlign w:val="bottom"/>
          </w:tcPr>
          <w:p w14:paraId="6CA1EC7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A1</w:t>
            </w:r>
          </w:p>
        </w:tc>
        <w:tc>
          <w:tcPr>
            <w:tcW w:w="1224" w:type="dxa"/>
            <w:tcBorders>
              <w:top w:val="nil"/>
              <w:left w:val="nil"/>
              <w:bottom w:val="nil"/>
              <w:right w:val="nil"/>
            </w:tcBorders>
            <w:noWrap/>
            <w:vAlign w:val="bottom"/>
          </w:tcPr>
          <w:p w14:paraId="1AFA4DA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16.32</w:t>
            </w:r>
          </w:p>
        </w:tc>
        <w:tc>
          <w:tcPr>
            <w:tcW w:w="996" w:type="dxa"/>
            <w:tcBorders>
              <w:top w:val="nil"/>
              <w:left w:val="nil"/>
              <w:bottom w:val="nil"/>
              <w:right w:val="nil"/>
            </w:tcBorders>
            <w:noWrap/>
            <w:vAlign w:val="bottom"/>
          </w:tcPr>
          <w:p w14:paraId="0F81DC3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14.0</w:t>
            </w:r>
          </w:p>
        </w:tc>
        <w:tc>
          <w:tcPr>
            <w:tcW w:w="913" w:type="dxa"/>
            <w:tcBorders>
              <w:top w:val="nil"/>
              <w:left w:val="nil"/>
              <w:bottom w:val="nil"/>
              <w:right w:val="nil"/>
            </w:tcBorders>
            <w:noWrap/>
            <w:vAlign w:val="bottom"/>
          </w:tcPr>
          <w:p w14:paraId="03E99D3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30.0</w:t>
            </w:r>
          </w:p>
        </w:tc>
        <w:tc>
          <w:tcPr>
            <w:tcW w:w="1161" w:type="dxa"/>
            <w:tcBorders>
              <w:top w:val="nil"/>
              <w:left w:val="nil"/>
              <w:bottom w:val="nil"/>
              <w:right w:val="nil"/>
            </w:tcBorders>
            <w:noWrap/>
            <w:vAlign w:val="bottom"/>
          </w:tcPr>
          <w:p w14:paraId="3442320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w:t>
            </w:r>
          </w:p>
        </w:tc>
        <w:tc>
          <w:tcPr>
            <w:tcW w:w="912" w:type="dxa"/>
            <w:tcBorders>
              <w:top w:val="nil"/>
              <w:left w:val="nil"/>
              <w:bottom w:val="nil"/>
              <w:right w:val="nil"/>
            </w:tcBorders>
            <w:noWrap/>
            <w:vAlign w:val="bottom"/>
          </w:tcPr>
          <w:p w14:paraId="6A85527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16.91*</w:t>
            </w:r>
          </w:p>
        </w:tc>
        <w:tc>
          <w:tcPr>
            <w:tcW w:w="1028" w:type="dxa"/>
            <w:tcBorders>
              <w:top w:val="nil"/>
              <w:left w:val="nil"/>
              <w:bottom w:val="nil"/>
              <w:right w:val="nil"/>
            </w:tcBorders>
            <w:noWrap/>
            <w:vAlign w:val="bottom"/>
          </w:tcPr>
          <w:p w14:paraId="17B8791E" w14:textId="2E453714" w:rsidR="009523E5" w:rsidRDefault="00C234B6"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lang w:val="en-US"/>
              </w:rPr>
              <w:t>92.60</w:t>
            </w:r>
          </w:p>
        </w:tc>
        <w:tc>
          <w:tcPr>
            <w:tcW w:w="828" w:type="dxa"/>
            <w:tcBorders>
              <w:top w:val="nil"/>
              <w:left w:val="nil"/>
              <w:bottom w:val="nil"/>
              <w:right w:val="nil"/>
            </w:tcBorders>
            <w:noWrap/>
            <w:vAlign w:val="bottom"/>
          </w:tcPr>
          <w:p w14:paraId="1B0B32F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19.23</w:t>
            </w:r>
          </w:p>
        </w:tc>
        <w:tc>
          <w:tcPr>
            <w:tcW w:w="607" w:type="dxa"/>
            <w:tcBorders>
              <w:top w:val="nil"/>
              <w:left w:val="nil"/>
              <w:bottom w:val="nil"/>
              <w:right w:val="nil"/>
            </w:tcBorders>
            <w:noWrap/>
            <w:vAlign w:val="bottom"/>
          </w:tcPr>
          <w:p w14:paraId="17AFEB8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1.77</w:t>
            </w:r>
          </w:p>
        </w:tc>
        <w:tc>
          <w:tcPr>
            <w:tcW w:w="736" w:type="dxa"/>
            <w:tcBorders>
              <w:top w:val="nil"/>
              <w:left w:val="nil"/>
              <w:bottom w:val="nil"/>
              <w:right w:val="nil"/>
            </w:tcBorders>
            <w:noWrap/>
            <w:vAlign w:val="bottom"/>
          </w:tcPr>
          <w:p w14:paraId="52EA744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2.48</w:t>
            </w:r>
          </w:p>
        </w:tc>
        <w:tc>
          <w:tcPr>
            <w:tcW w:w="696" w:type="dxa"/>
            <w:tcBorders>
              <w:top w:val="nil"/>
              <w:left w:val="nil"/>
              <w:bottom w:val="nil"/>
              <w:right w:val="nil"/>
            </w:tcBorders>
            <w:noWrap/>
            <w:vAlign w:val="bottom"/>
          </w:tcPr>
          <w:p w14:paraId="077C8FE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0.86</w:t>
            </w:r>
          </w:p>
        </w:tc>
        <w:tc>
          <w:tcPr>
            <w:tcW w:w="656" w:type="dxa"/>
            <w:tcBorders>
              <w:top w:val="nil"/>
              <w:left w:val="nil"/>
              <w:bottom w:val="nil"/>
              <w:right w:val="nil"/>
            </w:tcBorders>
            <w:noWrap/>
            <w:vAlign w:val="bottom"/>
          </w:tcPr>
          <w:p w14:paraId="50A97A44" w14:textId="2545DC0C"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0.47</w:t>
            </w:r>
          </w:p>
        </w:tc>
        <w:tc>
          <w:tcPr>
            <w:tcW w:w="656" w:type="dxa"/>
            <w:tcBorders>
              <w:top w:val="nil"/>
              <w:left w:val="nil"/>
              <w:bottom w:val="nil"/>
              <w:right w:val="nil"/>
            </w:tcBorders>
            <w:noWrap/>
            <w:vAlign w:val="bottom"/>
          </w:tcPr>
          <w:p w14:paraId="10C46B62" w14:textId="079A2FDD"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0.33</w:t>
            </w:r>
          </w:p>
        </w:tc>
        <w:tc>
          <w:tcPr>
            <w:tcW w:w="736" w:type="dxa"/>
            <w:tcBorders>
              <w:top w:val="nil"/>
              <w:left w:val="nil"/>
              <w:bottom w:val="nil"/>
              <w:right w:val="nil"/>
            </w:tcBorders>
            <w:noWrap/>
            <w:vAlign w:val="bottom"/>
          </w:tcPr>
          <w:p w14:paraId="5A58388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0.54</w:t>
            </w:r>
          </w:p>
        </w:tc>
        <w:tc>
          <w:tcPr>
            <w:tcW w:w="656" w:type="dxa"/>
            <w:tcBorders>
              <w:top w:val="nil"/>
              <w:left w:val="nil"/>
              <w:bottom w:val="nil"/>
              <w:right w:val="nil"/>
            </w:tcBorders>
            <w:noWrap/>
            <w:vAlign w:val="bottom"/>
          </w:tcPr>
          <w:p w14:paraId="057EBB5E" w14:textId="50C91DC6"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0.39</w:t>
            </w:r>
          </w:p>
        </w:tc>
        <w:tc>
          <w:tcPr>
            <w:tcW w:w="728" w:type="dxa"/>
            <w:tcBorders>
              <w:top w:val="nil"/>
              <w:left w:val="nil"/>
              <w:bottom w:val="nil"/>
              <w:right w:val="nil"/>
            </w:tcBorders>
            <w:noWrap/>
            <w:vAlign w:val="bottom"/>
          </w:tcPr>
          <w:p w14:paraId="69E6AA76" w14:textId="71EEA541"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1.40</w:t>
            </w:r>
          </w:p>
        </w:tc>
        <w:tc>
          <w:tcPr>
            <w:tcW w:w="222" w:type="dxa"/>
            <w:vAlign w:val="center"/>
          </w:tcPr>
          <w:p w14:paraId="51265C3D"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393598E" w14:textId="77777777" w:rsidTr="008915CB">
        <w:trPr>
          <w:trHeight w:val="300"/>
        </w:trPr>
        <w:tc>
          <w:tcPr>
            <w:tcW w:w="948" w:type="dxa"/>
            <w:tcBorders>
              <w:top w:val="nil"/>
              <w:left w:val="nil"/>
              <w:bottom w:val="nil"/>
              <w:right w:val="nil"/>
            </w:tcBorders>
            <w:noWrap/>
            <w:vAlign w:val="bottom"/>
          </w:tcPr>
          <w:p w14:paraId="6474A06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B1</w:t>
            </w:r>
          </w:p>
        </w:tc>
        <w:tc>
          <w:tcPr>
            <w:tcW w:w="1224" w:type="dxa"/>
            <w:tcBorders>
              <w:top w:val="nil"/>
              <w:left w:val="nil"/>
              <w:bottom w:val="nil"/>
              <w:right w:val="nil"/>
            </w:tcBorders>
            <w:noWrap/>
            <w:vAlign w:val="bottom"/>
          </w:tcPr>
          <w:p w14:paraId="693A68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12.89</w:t>
            </w:r>
          </w:p>
        </w:tc>
        <w:tc>
          <w:tcPr>
            <w:tcW w:w="996" w:type="dxa"/>
            <w:tcBorders>
              <w:top w:val="nil"/>
              <w:left w:val="nil"/>
              <w:bottom w:val="nil"/>
              <w:right w:val="nil"/>
            </w:tcBorders>
            <w:noWrap/>
            <w:vAlign w:val="bottom"/>
          </w:tcPr>
          <w:p w14:paraId="00CAFBD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8.0</w:t>
            </w:r>
          </w:p>
        </w:tc>
        <w:tc>
          <w:tcPr>
            <w:tcW w:w="913" w:type="dxa"/>
            <w:tcBorders>
              <w:top w:val="nil"/>
              <w:left w:val="nil"/>
              <w:bottom w:val="nil"/>
              <w:right w:val="nil"/>
            </w:tcBorders>
            <w:noWrap/>
            <w:vAlign w:val="bottom"/>
          </w:tcPr>
          <w:p w14:paraId="062B32A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24.0</w:t>
            </w:r>
          </w:p>
        </w:tc>
        <w:tc>
          <w:tcPr>
            <w:tcW w:w="1161" w:type="dxa"/>
            <w:tcBorders>
              <w:top w:val="nil"/>
              <w:left w:val="nil"/>
              <w:bottom w:val="nil"/>
              <w:right w:val="nil"/>
            </w:tcBorders>
            <w:noWrap/>
            <w:vAlign w:val="bottom"/>
          </w:tcPr>
          <w:p w14:paraId="4244081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38</w:t>
            </w:r>
          </w:p>
        </w:tc>
        <w:tc>
          <w:tcPr>
            <w:tcW w:w="912" w:type="dxa"/>
            <w:tcBorders>
              <w:top w:val="nil"/>
              <w:left w:val="nil"/>
              <w:bottom w:val="nil"/>
              <w:right w:val="nil"/>
            </w:tcBorders>
            <w:noWrap/>
            <w:vAlign w:val="bottom"/>
          </w:tcPr>
          <w:p w14:paraId="46F644C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14.80*</w:t>
            </w:r>
          </w:p>
        </w:tc>
        <w:tc>
          <w:tcPr>
            <w:tcW w:w="1028" w:type="dxa"/>
            <w:tcBorders>
              <w:top w:val="nil"/>
              <w:left w:val="nil"/>
              <w:bottom w:val="nil"/>
              <w:right w:val="nil"/>
            </w:tcBorders>
            <w:noWrap/>
            <w:vAlign w:val="bottom"/>
          </w:tcPr>
          <w:p w14:paraId="70B89320" w14:textId="79A44CDF"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w:t>
            </w:r>
            <w:r w:rsidR="00C234B6">
              <w:rPr>
                <w:rFonts w:ascii="Calibri" w:hAnsi="Calibri" w:cs="Calibri"/>
                <w:color w:val="000000"/>
                <w:sz w:val="22"/>
                <w:szCs w:val="22"/>
              </w:rPr>
              <w:t>1.83</w:t>
            </w:r>
          </w:p>
        </w:tc>
        <w:tc>
          <w:tcPr>
            <w:tcW w:w="828" w:type="dxa"/>
            <w:tcBorders>
              <w:top w:val="nil"/>
              <w:left w:val="nil"/>
              <w:bottom w:val="nil"/>
              <w:right w:val="nil"/>
            </w:tcBorders>
            <w:noWrap/>
            <w:vAlign w:val="bottom"/>
          </w:tcPr>
          <w:p w14:paraId="73F12BD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17.31</w:t>
            </w:r>
          </w:p>
        </w:tc>
        <w:tc>
          <w:tcPr>
            <w:tcW w:w="607" w:type="dxa"/>
            <w:tcBorders>
              <w:top w:val="nil"/>
              <w:left w:val="nil"/>
              <w:bottom w:val="nil"/>
              <w:right w:val="nil"/>
            </w:tcBorders>
            <w:noWrap/>
            <w:vAlign w:val="bottom"/>
          </w:tcPr>
          <w:p w14:paraId="062C6CD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1.62</w:t>
            </w:r>
          </w:p>
        </w:tc>
        <w:tc>
          <w:tcPr>
            <w:tcW w:w="736" w:type="dxa"/>
            <w:tcBorders>
              <w:top w:val="nil"/>
              <w:left w:val="nil"/>
              <w:bottom w:val="nil"/>
              <w:right w:val="nil"/>
            </w:tcBorders>
            <w:noWrap/>
            <w:vAlign w:val="bottom"/>
          </w:tcPr>
          <w:p w14:paraId="7159414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2.57</w:t>
            </w:r>
          </w:p>
        </w:tc>
        <w:tc>
          <w:tcPr>
            <w:tcW w:w="696" w:type="dxa"/>
            <w:tcBorders>
              <w:top w:val="nil"/>
              <w:left w:val="nil"/>
              <w:bottom w:val="nil"/>
              <w:right w:val="nil"/>
            </w:tcBorders>
            <w:noWrap/>
            <w:vAlign w:val="bottom"/>
          </w:tcPr>
          <w:p w14:paraId="082B6A8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0.62</w:t>
            </w:r>
          </w:p>
        </w:tc>
        <w:tc>
          <w:tcPr>
            <w:tcW w:w="656" w:type="dxa"/>
            <w:tcBorders>
              <w:top w:val="nil"/>
              <w:left w:val="nil"/>
              <w:bottom w:val="nil"/>
              <w:right w:val="nil"/>
            </w:tcBorders>
            <w:noWrap/>
            <w:vAlign w:val="bottom"/>
          </w:tcPr>
          <w:p w14:paraId="04A2E6E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0.33</w:t>
            </w:r>
          </w:p>
        </w:tc>
        <w:tc>
          <w:tcPr>
            <w:tcW w:w="656" w:type="dxa"/>
            <w:tcBorders>
              <w:top w:val="nil"/>
              <w:left w:val="nil"/>
              <w:bottom w:val="nil"/>
              <w:right w:val="nil"/>
            </w:tcBorders>
            <w:noWrap/>
            <w:vAlign w:val="bottom"/>
          </w:tcPr>
          <w:p w14:paraId="788123A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0.21</w:t>
            </w:r>
          </w:p>
        </w:tc>
        <w:tc>
          <w:tcPr>
            <w:tcW w:w="736" w:type="dxa"/>
            <w:tcBorders>
              <w:top w:val="nil"/>
              <w:left w:val="nil"/>
              <w:bottom w:val="nil"/>
              <w:right w:val="nil"/>
            </w:tcBorders>
            <w:noWrap/>
            <w:vAlign w:val="bottom"/>
          </w:tcPr>
          <w:p w14:paraId="0D41A18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0.54</w:t>
            </w:r>
          </w:p>
        </w:tc>
        <w:tc>
          <w:tcPr>
            <w:tcW w:w="656" w:type="dxa"/>
            <w:tcBorders>
              <w:top w:val="nil"/>
              <w:left w:val="nil"/>
              <w:bottom w:val="nil"/>
              <w:right w:val="nil"/>
            </w:tcBorders>
            <w:noWrap/>
            <w:vAlign w:val="bottom"/>
          </w:tcPr>
          <w:p w14:paraId="29DF56A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0.34</w:t>
            </w:r>
          </w:p>
        </w:tc>
        <w:tc>
          <w:tcPr>
            <w:tcW w:w="728" w:type="dxa"/>
            <w:tcBorders>
              <w:top w:val="nil"/>
              <w:left w:val="nil"/>
              <w:bottom w:val="nil"/>
              <w:right w:val="nil"/>
            </w:tcBorders>
            <w:noWrap/>
            <w:vAlign w:val="bottom"/>
          </w:tcPr>
          <w:p w14:paraId="780BC92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1.58</w:t>
            </w:r>
          </w:p>
        </w:tc>
        <w:tc>
          <w:tcPr>
            <w:tcW w:w="222" w:type="dxa"/>
            <w:vAlign w:val="center"/>
          </w:tcPr>
          <w:p w14:paraId="7731263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2D83D8C9" w14:textId="77777777" w:rsidTr="008915CB">
        <w:trPr>
          <w:trHeight w:val="300"/>
        </w:trPr>
        <w:tc>
          <w:tcPr>
            <w:tcW w:w="948" w:type="dxa"/>
            <w:tcBorders>
              <w:top w:val="nil"/>
              <w:left w:val="nil"/>
              <w:bottom w:val="nil"/>
              <w:right w:val="nil"/>
            </w:tcBorders>
            <w:noWrap/>
            <w:vAlign w:val="bottom"/>
          </w:tcPr>
          <w:p w14:paraId="36DF6D2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C2</w:t>
            </w:r>
          </w:p>
        </w:tc>
        <w:tc>
          <w:tcPr>
            <w:tcW w:w="1224" w:type="dxa"/>
            <w:tcBorders>
              <w:top w:val="nil"/>
              <w:left w:val="nil"/>
              <w:bottom w:val="nil"/>
              <w:right w:val="nil"/>
            </w:tcBorders>
            <w:noWrap/>
            <w:vAlign w:val="bottom"/>
          </w:tcPr>
          <w:p w14:paraId="346A954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9.87</w:t>
            </w:r>
          </w:p>
        </w:tc>
        <w:tc>
          <w:tcPr>
            <w:tcW w:w="996" w:type="dxa"/>
            <w:tcBorders>
              <w:top w:val="nil"/>
              <w:left w:val="nil"/>
              <w:bottom w:val="nil"/>
              <w:right w:val="nil"/>
            </w:tcBorders>
            <w:noWrap/>
            <w:vAlign w:val="bottom"/>
          </w:tcPr>
          <w:p w14:paraId="77EEB7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8.0</w:t>
            </w:r>
          </w:p>
        </w:tc>
        <w:tc>
          <w:tcPr>
            <w:tcW w:w="913" w:type="dxa"/>
            <w:tcBorders>
              <w:top w:val="nil"/>
              <w:left w:val="nil"/>
              <w:bottom w:val="nil"/>
              <w:right w:val="nil"/>
            </w:tcBorders>
            <w:noWrap/>
            <w:vAlign w:val="bottom"/>
          </w:tcPr>
          <w:p w14:paraId="1BEFDA9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26.0</w:t>
            </w:r>
          </w:p>
        </w:tc>
        <w:tc>
          <w:tcPr>
            <w:tcW w:w="1161" w:type="dxa"/>
            <w:tcBorders>
              <w:top w:val="nil"/>
              <w:left w:val="nil"/>
              <w:bottom w:val="nil"/>
              <w:right w:val="nil"/>
            </w:tcBorders>
            <w:noWrap/>
            <w:vAlign w:val="bottom"/>
          </w:tcPr>
          <w:p w14:paraId="5BA186E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40</w:t>
            </w:r>
          </w:p>
        </w:tc>
        <w:tc>
          <w:tcPr>
            <w:tcW w:w="912" w:type="dxa"/>
            <w:tcBorders>
              <w:top w:val="nil"/>
              <w:left w:val="nil"/>
              <w:bottom w:val="nil"/>
              <w:right w:val="nil"/>
            </w:tcBorders>
            <w:noWrap/>
            <w:vAlign w:val="bottom"/>
          </w:tcPr>
          <w:p w14:paraId="5EC23B8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12.69*</w:t>
            </w:r>
          </w:p>
        </w:tc>
        <w:tc>
          <w:tcPr>
            <w:tcW w:w="1028" w:type="dxa"/>
            <w:tcBorders>
              <w:top w:val="nil"/>
              <w:left w:val="nil"/>
              <w:bottom w:val="nil"/>
              <w:right w:val="nil"/>
            </w:tcBorders>
            <w:noWrap/>
            <w:vAlign w:val="bottom"/>
          </w:tcPr>
          <w:p w14:paraId="5C7215BC" w14:textId="548946EC"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5</w:t>
            </w:r>
            <w:r w:rsidR="00C234B6">
              <w:rPr>
                <w:rFonts w:ascii="Calibri" w:hAnsi="Calibri" w:cs="Calibri"/>
                <w:color w:val="000000"/>
                <w:sz w:val="22"/>
                <w:szCs w:val="22"/>
              </w:rPr>
              <w:t>3.63</w:t>
            </w:r>
          </w:p>
        </w:tc>
        <w:tc>
          <w:tcPr>
            <w:tcW w:w="828" w:type="dxa"/>
            <w:tcBorders>
              <w:top w:val="nil"/>
              <w:left w:val="nil"/>
              <w:bottom w:val="nil"/>
              <w:right w:val="nil"/>
            </w:tcBorders>
            <w:noWrap/>
            <w:vAlign w:val="bottom"/>
          </w:tcPr>
          <w:p w14:paraId="1FB8C4E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15.48</w:t>
            </w:r>
          </w:p>
        </w:tc>
        <w:tc>
          <w:tcPr>
            <w:tcW w:w="607" w:type="dxa"/>
            <w:tcBorders>
              <w:top w:val="nil"/>
              <w:left w:val="nil"/>
              <w:bottom w:val="nil"/>
              <w:right w:val="nil"/>
            </w:tcBorders>
            <w:noWrap/>
            <w:vAlign w:val="bottom"/>
          </w:tcPr>
          <w:p w14:paraId="0E65E80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2.05</w:t>
            </w:r>
          </w:p>
        </w:tc>
        <w:tc>
          <w:tcPr>
            <w:tcW w:w="736" w:type="dxa"/>
            <w:tcBorders>
              <w:top w:val="nil"/>
              <w:left w:val="nil"/>
              <w:bottom w:val="nil"/>
              <w:right w:val="nil"/>
            </w:tcBorders>
            <w:noWrap/>
            <w:vAlign w:val="bottom"/>
          </w:tcPr>
          <w:p w14:paraId="7683D4F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3.15</w:t>
            </w:r>
          </w:p>
        </w:tc>
        <w:tc>
          <w:tcPr>
            <w:tcW w:w="696" w:type="dxa"/>
            <w:tcBorders>
              <w:top w:val="nil"/>
              <w:left w:val="nil"/>
              <w:bottom w:val="nil"/>
              <w:right w:val="nil"/>
            </w:tcBorders>
            <w:noWrap/>
            <w:vAlign w:val="bottom"/>
          </w:tcPr>
          <w:p w14:paraId="3A8D37C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0.81</w:t>
            </w:r>
          </w:p>
        </w:tc>
        <w:tc>
          <w:tcPr>
            <w:tcW w:w="656" w:type="dxa"/>
            <w:tcBorders>
              <w:top w:val="nil"/>
              <w:left w:val="nil"/>
              <w:bottom w:val="nil"/>
              <w:right w:val="nil"/>
            </w:tcBorders>
            <w:noWrap/>
            <w:vAlign w:val="bottom"/>
          </w:tcPr>
          <w:p w14:paraId="56A1D4D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0.31</w:t>
            </w:r>
          </w:p>
        </w:tc>
        <w:tc>
          <w:tcPr>
            <w:tcW w:w="656" w:type="dxa"/>
            <w:tcBorders>
              <w:top w:val="nil"/>
              <w:left w:val="nil"/>
              <w:bottom w:val="nil"/>
              <w:right w:val="nil"/>
            </w:tcBorders>
            <w:noWrap/>
            <w:vAlign w:val="bottom"/>
          </w:tcPr>
          <w:p w14:paraId="196F062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0.20</w:t>
            </w:r>
          </w:p>
        </w:tc>
        <w:tc>
          <w:tcPr>
            <w:tcW w:w="736" w:type="dxa"/>
            <w:tcBorders>
              <w:top w:val="nil"/>
              <w:left w:val="nil"/>
              <w:bottom w:val="nil"/>
              <w:right w:val="nil"/>
            </w:tcBorders>
            <w:noWrap/>
            <w:vAlign w:val="bottom"/>
          </w:tcPr>
          <w:p w14:paraId="534B31D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0.38</w:t>
            </w:r>
          </w:p>
        </w:tc>
        <w:tc>
          <w:tcPr>
            <w:tcW w:w="656" w:type="dxa"/>
            <w:tcBorders>
              <w:top w:val="nil"/>
              <w:left w:val="nil"/>
              <w:bottom w:val="nil"/>
              <w:right w:val="nil"/>
            </w:tcBorders>
            <w:noWrap/>
            <w:vAlign w:val="bottom"/>
          </w:tcPr>
          <w:p w14:paraId="06C52AF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0.25</w:t>
            </w:r>
          </w:p>
        </w:tc>
        <w:tc>
          <w:tcPr>
            <w:tcW w:w="728" w:type="dxa"/>
            <w:tcBorders>
              <w:top w:val="nil"/>
              <w:left w:val="nil"/>
              <w:bottom w:val="nil"/>
              <w:right w:val="nil"/>
            </w:tcBorders>
            <w:noWrap/>
            <w:vAlign w:val="bottom"/>
          </w:tcPr>
          <w:p w14:paraId="550D9E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1.54</w:t>
            </w:r>
          </w:p>
        </w:tc>
        <w:tc>
          <w:tcPr>
            <w:tcW w:w="222" w:type="dxa"/>
            <w:vAlign w:val="center"/>
          </w:tcPr>
          <w:p w14:paraId="0688146A"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0B31F001" w14:textId="77777777" w:rsidTr="008915CB">
        <w:trPr>
          <w:trHeight w:val="300"/>
        </w:trPr>
        <w:tc>
          <w:tcPr>
            <w:tcW w:w="948" w:type="dxa"/>
            <w:tcBorders>
              <w:top w:val="nil"/>
              <w:left w:val="nil"/>
              <w:bottom w:val="nil"/>
              <w:right w:val="nil"/>
            </w:tcBorders>
            <w:noWrap/>
            <w:vAlign w:val="bottom"/>
          </w:tcPr>
          <w:p w14:paraId="36206C4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D1</w:t>
            </w:r>
          </w:p>
        </w:tc>
        <w:tc>
          <w:tcPr>
            <w:tcW w:w="1224" w:type="dxa"/>
            <w:tcBorders>
              <w:top w:val="nil"/>
              <w:left w:val="nil"/>
              <w:bottom w:val="nil"/>
              <w:right w:val="nil"/>
            </w:tcBorders>
            <w:noWrap/>
            <w:vAlign w:val="bottom"/>
          </w:tcPr>
          <w:p w14:paraId="14E7217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12.89</w:t>
            </w:r>
          </w:p>
        </w:tc>
        <w:tc>
          <w:tcPr>
            <w:tcW w:w="996" w:type="dxa"/>
            <w:tcBorders>
              <w:top w:val="nil"/>
              <w:left w:val="nil"/>
              <w:bottom w:val="nil"/>
              <w:right w:val="nil"/>
            </w:tcBorders>
            <w:noWrap/>
            <w:vAlign w:val="bottom"/>
          </w:tcPr>
          <w:p w14:paraId="01FC5A4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12.0</w:t>
            </w:r>
          </w:p>
        </w:tc>
        <w:tc>
          <w:tcPr>
            <w:tcW w:w="913" w:type="dxa"/>
            <w:tcBorders>
              <w:top w:val="nil"/>
              <w:left w:val="nil"/>
              <w:bottom w:val="nil"/>
              <w:right w:val="nil"/>
            </w:tcBorders>
            <w:noWrap/>
            <w:vAlign w:val="bottom"/>
          </w:tcPr>
          <w:p w14:paraId="4920338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32.0</w:t>
            </w:r>
          </w:p>
        </w:tc>
        <w:tc>
          <w:tcPr>
            <w:tcW w:w="1161" w:type="dxa"/>
            <w:tcBorders>
              <w:top w:val="nil"/>
              <w:left w:val="nil"/>
              <w:bottom w:val="nil"/>
              <w:right w:val="nil"/>
            </w:tcBorders>
            <w:noWrap/>
            <w:vAlign w:val="bottom"/>
          </w:tcPr>
          <w:p w14:paraId="7365A4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46</w:t>
            </w:r>
          </w:p>
        </w:tc>
        <w:tc>
          <w:tcPr>
            <w:tcW w:w="912" w:type="dxa"/>
            <w:tcBorders>
              <w:top w:val="nil"/>
              <w:left w:val="nil"/>
              <w:bottom w:val="nil"/>
              <w:right w:val="nil"/>
            </w:tcBorders>
            <w:noWrap/>
            <w:vAlign w:val="bottom"/>
          </w:tcPr>
          <w:p w14:paraId="1D70266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22.17</w:t>
            </w:r>
          </w:p>
        </w:tc>
        <w:tc>
          <w:tcPr>
            <w:tcW w:w="1028" w:type="dxa"/>
            <w:tcBorders>
              <w:top w:val="nil"/>
              <w:left w:val="nil"/>
              <w:bottom w:val="nil"/>
              <w:right w:val="nil"/>
            </w:tcBorders>
            <w:noWrap/>
            <w:vAlign w:val="bottom"/>
          </w:tcPr>
          <w:p w14:paraId="727D7C9A" w14:textId="1E925405"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w:t>
            </w:r>
            <w:r w:rsidR="00C234B6">
              <w:rPr>
                <w:rFonts w:ascii="Calibri" w:hAnsi="Calibri" w:cs="Calibri"/>
                <w:color w:val="000000"/>
                <w:sz w:val="22"/>
                <w:szCs w:val="22"/>
              </w:rPr>
              <w:t>1.83</w:t>
            </w:r>
          </w:p>
        </w:tc>
        <w:tc>
          <w:tcPr>
            <w:tcW w:w="828" w:type="dxa"/>
            <w:tcBorders>
              <w:top w:val="nil"/>
              <w:left w:val="nil"/>
              <w:bottom w:val="nil"/>
              <w:right w:val="nil"/>
            </w:tcBorders>
            <w:noWrap/>
            <w:vAlign w:val="bottom"/>
          </w:tcPr>
          <w:p w14:paraId="53221B9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18.36*</w:t>
            </w:r>
          </w:p>
        </w:tc>
        <w:tc>
          <w:tcPr>
            <w:tcW w:w="607" w:type="dxa"/>
            <w:tcBorders>
              <w:top w:val="nil"/>
              <w:left w:val="nil"/>
              <w:bottom w:val="nil"/>
              <w:right w:val="nil"/>
            </w:tcBorders>
            <w:noWrap/>
            <w:vAlign w:val="bottom"/>
          </w:tcPr>
          <w:p w14:paraId="5E88CB8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1.74</w:t>
            </w:r>
          </w:p>
        </w:tc>
        <w:tc>
          <w:tcPr>
            <w:tcW w:w="736" w:type="dxa"/>
            <w:tcBorders>
              <w:top w:val="nil"/>
              <w:left w:val="nil"/>
              <w:bottom w:val="nil"/>
              <w:right w:val="nil"/>
            </w:tcBorders>
            <w:noWrap/>
            <w:vAlign w:val="bottom"/>
          </w:tcPr>
          <w:p w14:paraId="40F45D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2.51</w:t>
            </w:r>
          </w:p>
        </w:tc>
        <w:tc>
          <w:tcPr>
            <w:tcW w:w="696" w:type="dxa"/>
            <w:tcBorders>
              <w:top w:val="nil"/>
              <w:left w:val="nil"/>
              <w:bottom w:val="nil"/>
              <w:right w:val="nil"/>
            </w:tcBorders>
            <w:noWrap/>
            <w:vAlign w:val="bottom"/>
          </w:tcPr>
          <w:p w14:paraId="79A543C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0.93</w:t>
            </w:r>
          </w:p>
        </w:tc>
        <w:tc>
          <w:tcPr>
            <w:tcW w:w="656" w:type="dxa"/>
            <w:tcBorders>
              <w:top w:val="nil"/>
              <w:left w:val="nil"/>
              <w:bottom w:val="nil"/>
              <w:right w:val="nil"/>
            </w:tcBorders>
            <w:noWrap/>
            <w:vAlign w:val="bottom"/>
          </w:tcPr>
          <w:p w14:paraId="5425269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0.38</w:t>
            </w:r>
          </w:p>
        </w:tc>
        <w:tc>
          <w:tcPr>
            <w:tcW w:w="656" w:type="dxa"/>
            <w:tcBorders>
              <w:top w:val="nil"/>
              <w:left w:val="nil"/>
              <w:bottom w:val="nil"/>
              <w:right w:val="nil"/>
            </w:tcBorders>
            <w:noWrap/>
            <w:vAlign w:val="bottom"/>
          </w:tcPr>
          <w:p w14:paraId="30475D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0.26</w:t>
            </w:r>
          </w:p>
        </w:tc>
        <w:tc>
          <w:tcPr>
            <w:tcW w:w="736" w:type="dxa"/>
            <w:tcBorders>
              <w:top w:val="nil"/>
              <w:left w:val="nil"/>
              <w:bottom w:val="nil"/>
              <w:right w:val="nil"/>
            </w:tcBorders>
            <w:noWrap/>
            <w:vAlign w:val="bottom"/>
          </w:tcPr>
          <w:p w14:paraId="3CDFC85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0.40</w:t>
            </w:r>
          </w:p>
        </w:tc>
        <w:tc>
          <w:tcPr>
            <w:tcW w:w="656" w:type="dxa"/>
            <w:tcBorders>
              <w:top w:val="nil"/>
              <w:left w:val="nil"/>
              <w:bottom w:val="nil"/>
              <w:right w:val="nil"/>
            </w:tcBorders>
            <w:noWrap/>
            <w:vAlign w:val="bottom"/>
          </w:tcPr>
          <w:p w14:paraId="7015D68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0.28</w:t>
            </w:r>
          </w:p>
        </w:tc>
        <w:tc>
          <w:tcPr>
            <w:tcW w:w="728" w:type="dxa"/>
            <w:tcBorders>
              <w:top w:val="nil"/>
              <w:left w:val="nil"/>
              <w:bottom w:val="nil"/>
              <w:right w:val="nil"/>
            </w:tcBorders>
            <w:noWrap/>
            <w:vAlign w:val="bottom"/>
          </w:tcPr>
          <w:p w14:paraId="10D3A48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1.44</w:t>
            </w:r>
          </w:p>
        </w:tc>
        <w:tc>
          <w:tcPr>
            <w:tcW w:w="222" w:type="dxa"/>
            <w:vAlign w:val="center"/>
          </w:tcPr>
          <w:p w14:paraId="225AA9D4"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614B9FBE" w14:textId="77777777" w:rsidTr="008915CB">
        <w:trPr>
          <w:trHeight w:val="300"/>
        </w:trPr>
        <w:tc>
          <w:tcPr>
            <w:tcW w:w="948" w:type="dxa"/>
            <w:tcBorders>
              <w:top w:val="nil"/>
              <w:left w:val="nil"/>
              <w:bottom w:val="single" w:sz="4" w:space="0" w:color="auto"/>
              <w:right w:val="nil"/>
            </w:tcBorders>
            <w:noWrap/>
            <w:vAlign w:val="bottom"/>
          </w:tcPr>
          <w:p w14:paraId="15D0FC8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E2</w:t>
            </w:r>
          </w:p>
        </w:tc>
        <w:tc>
          <w:tcPr>
            <w:tcW w:w="1224" w:type="dxa"/>
            <w:tcBorders>
              <w:top w:val="nil"/>
              <w:left w:val="nil"/>
              <w:bottom w:val="single" w:sz="4" w:space="0" w:color="auto"/>
              <w:right w:val="nil"/>
            </w:tcBorders>
            <w:noWrap/>
            <w:vAlign w:val="bottom"/>
          </w:tcPr>
          <w:p w14:paraId="0D73A5C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12.89</w:t>
            </w:r>
          </w:p>
        </w:tc>
        <w:tc>
          <w:tcPr>
            <w:tcW w:w="996" w:type="dxa"/>
            <w:tcBorders>
              <w:top w:val="nil"/>
              <w:left w:val="nil"/>
              <w:bottom w:val="single" w:sz="4" w:space="0" w:color="auto"/>
              <w:right w:val="nil"/>
            </w:tcBorders>
            <w:noWrap/>
            <w:vAlign w:val="bottom"/>
          </w:tcPr>
          <w:p w14:paraId="28AC612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w:t>
            </w:r>
          </w:p>
        </w:tc>
        <w:tc>
          <w:tcPr>
            <w:tcW w:w="913" w:type="dxa"/>
            <w:tcBorders>
              <w:top w:val="nil"/>
              <w:left w:val="nil"/>
              <w:bottom w:val="single" w:sz="4" w:space="0" w:color="auto"/>
              <w:right w:val="nil"/>
            </w:tcBorders>
            <w:noWrap/>
            <w:vAlign w:val="bottom"/>
          </w:tcPr>
          <w:p w14:paraId="7817A0B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26.0</w:t>
            </w:r>
          </w:p>
        </w:tc>
        <w:tc>
          <w:tcPr>
            <w:tcW w:w="1161" w:type="dxa"/>
            <w:tcBorders>
              <w:top w:val="nil"/>
              <w:left w:val="nil"/>
              <w:bottom w:val="single" w:sz="4" w:space="0" w:color="auto"/>
              <w:right w:val="nil"/>
            </w:tcBorders>
            <w:noWrap/>
            <w:vAlign w:val="bottom"/>
          </w:tcPr>
          <w:p w14:paraId="3D7D18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38</w:t>
            </w:r>
          </w:p>
        </w:tc>
        <w:tc>
          <w:tcPr>
            <w:tcW w:w="912" w:type="dxa"/>
            <w:tcBorders>
              <w:top w:val="nil"/>
              <w:left w:val="nil"/>
              <w:bottom w:val="single" w:sz="4" w:space="0" w:color="auto"/>
              <w:right w:val="nil"/>
            </w:tcBorders>
            <w:noWrap/>
            <w:vAlign w:val="bottom"/>
          </w:tcPr>
          <w:p w14:paraId="03236FC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14.80*</w:t>
            </w:r>
          </w:p>
        </w:tc>
        <w:tc>
          <w:tcPr>
            <w:tcW w:w="1028" w:type="dxa"/>
            <w:tcBorders>
              <w:top w:val="nil"/>
              <w:left w:val="nil"/>
              <w:bottom w:val="single" w:sz="4" w:space="0" w:color="auto"/>
              <w:right w:val="nil"/>
            </w:tcBorders>
            <w:noWrap/>
            <w:vAlign w:val="bottom"/>
          </w:tcPr>
          <w:p w14:paraId="0183F2A0" w14:textId="1839AFDD" w:rsidR="009523E5" w:rsidRDefault="00C234B6"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lang w:val="en-US"/>
              </w:rPr>
              <w:t>54.37</w:t>
            </w:r>
          </w:p>
        </w:tc>
        <w:tc>
          <w:tcPr>
            <w:tcW w:w="828" w:type="dxa"/>
            <w:tcBorders>
              <w:top w:val="nil"/>
              <w:left w:val="nil"/>
              <w:bottom w:val="single" w:sz="4" w:space="0" w:color="auto"/>
              <w:right w:val="nil"/>
            </w:tcBorders>
            <w:noWrap/>
            <w:vAlign w:val="bottom"/>
          </w:tcPr>
          <w:p w14:paraId="3DFF82A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16.73</w:t>
            </w:r>
          </w:p>
        </w:tc>
        <w:tc>
          <w:tcPr>
            <w:tcW w:w="607" w:type="dxa"/>
            <w:tcBorders>
              <w:top w:val="nil"/>
              <w:left w:val="nil"/>
              <w:bottom w:val="single" w:sz="4" w:space="0" w:color="auto"/>
              <w:right w:val="nil"/>
            </w:tcBorders>
            <w:noWrap/>
            <w:vAlign w:val="bottom"/>
          </w:tcPr>
          <w:p w14:paraId="0E42FBD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1.76</w:t>
            </w:r>
          </w:p>
        </w:tc>
        <w:tc>
          <w:tcPr>
            <w:tcW w:w="736" w:type="dxa"/>
            <w:tcBorders>
              <w:top w:val="nil"/>
              <w:left w:val="nil"/>
              <w:bottom w:val="single" w:sz="4" w:space="0" w:color="auto"/>
              <w:right w:val="nil"/>
            </w:tcBorders>
            <w:noWrap/>
            <w:vAlign w:val="bottom"/>
          </w:tcPr>
          <w:p w14:paraId="3AC3B4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2.57</w:t>
            </w:r>
          </w:p>
        </w:tc>
        <w:tc>
          <w:tcPr>
            <w:tcW w:w="696" w:type="dxa"/>
            <w:tcBorders>
              <w:top w:val="nil"/>
              <w:left w:val="nil"/>
              <w:bottom w:val="single" w:sz="4" w:space="0" w:color="auto"/>
              <w:right w:val="nil"/>
            </w:tcBorders>
            <w:noWrap/>
            <w:vAlign w:val="bottom"/>
          </w:tcPr>
          <w:p w14:paraId="00E6087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0.78</w:t>
            </w:r>
          </w:p>
        </w:tc>
        <w:tc>
          <w:tcPr>
            <w:tcW w:w="656" w:type="dxa"/>
            <w:tcBorders>
              <w:top w:val="nil"/>
              <w:left w:val="nil"/>
              <w:bottom w:val="single" w:sz="4" w:space="0" w:color="auto"/>
              <w:right w:val="nil"/>
            </w:tcBorders>
            <w:noWrap/>
            <w:vAlign w:val="bottom"/>
          </w:tcPr>
          <w:p w14:paraId="13DF663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0.38</w:t>
            </w:r>
          </w:p>
        </w:tc>
        <w:tc>
          <w:tcPr>
            <w:tcW w:w="656" w:type="dxa"/>
            <w:tcBorders>
              <w:top w:val="nil"/>
              <w:left w:val="nil"/>
              <w:bottom w:val="single" w:sz="4" w:space="0" w:color="auto"/>
              <w:right w:val="nil"/>
            </w:tcBorders>
            <w:noWrap/>
            <w:vAlign w:val="bottom"/>
          </w:tcPr>
          <w:p w14:paraId="7C61338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0.26</w:t>
            </w:r>
          </w:p>
        </w:tc>
        <w:tc>
          <w:tcPr>
            <w:tcW w:w="736" w:type="dxa"/>
            <w:tcBorders>
              <w:top w:val="nil"/>
              <w:left w:val="nil"/>
              <w:bottom w:val="single" w:sz="4" w:space="0" w:color="auto"/>
              <w:right w:val="nil"/>
            </w:tcBorders>
            <w:noWrap/>
            <w:vAlign w:val="bottom"/>
          </w:tcPr>
          <w:p w14:paraId="3802CE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0.50</w:t>
            </w:r>
          </w:p>
        </w:tc>
        <w:tc>
          <w:tcPr>
            <w:tcW w:w="656" w:type="dxa"/>
            <w:tcBorders>
              <w:top w:val="nil"/>
              <w:left w:val="nil"/>
              <w:bottom w:val="single" w:sz="4" w:space="0" w:color="auto"/>
              <w:right w:val="nil"/>
            </w:tcBorders>
            <w:noWrap/>
            <w:vAlign w:val="bottom"/>
          </w:tcPr>
          <w:p w14:paraId="5EC4370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0.34</w:t>
            </w:r>
          </w:p>
        </w:tc>
        <w:tc>
          <w:tcPr>
            <w:tcW w:w="728" w:type="dxa"/>
            <w:tcBorders>
              <w:top w:val="nil"/>
              <w:left w:val="nil"/>
              <w:bottom w:val="single" w:sz="4" w:space="0" w:color="auto"/>
              <w:right w:val="nil"/>
            </w:tcBorders>
            <w:noWrap/>
            <w:vAlign w:val="bottom"/>
          </w:tcPr>
          <w:p w14:paraId="287F2BD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1.46</w:t>
            </w:r>
          </w:p>
        </w:tc>
        <w:tc>
          <w:tcPr>
            <w:tcW w:w="222" w:type="dxa"/>
            <w:vAlign w:val="center"/>
          </w:tcPr>
          <w:p w14:paraId="31C157A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FFE2469" w14:textId="77777777" w:rsidTr="008915CB">
        <w:trPr>
          <w:trHeight w:val="300"/>
        </w:trPr>
        <w:tc>
          <w:tcPr>
            <w:tcW w:w="948" w:type="dxa"/>
            <w:tcBorders>
              <w:top w:val="single" w:sz="4" w:space="0" w:color="auto"/>
              <w:left w:val="nil"/>
              <w:bottom w:val="nil"/>
              <w:right w:val="nil"/>
            </w:tcBorders>
            <w:noWrap/>
            <w:vAlign w:val="bottom"/>
          </w:tcPr>
          <w:p w14:paraId="2D3C1736"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1224" w:type="dxa"/>
            <w:tcBorders>
              <w:top w:val="single" w:sz="4" w:space="0" w:color="auto"/>
              <w:left w:val="nil"/>
              <w:bottom w:val="nil"/>
              <w:right w:val="nil"/>
            </w:tcBorders>
            <w:noWrap/>
            <w:vAlign w:val="bottom"/>
          </w:tcPr>
          <w:p w14:paraId="75534EA0"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996" w:type="dxa"/>
            <w:tcBorders>
              <w:top w:val="single" w:sz="4" w:space="0" w:color="auto"/>
              <w:left w:val="nil"/>
              <w:bottom w:val="nil"/>
              <w:right w:val="nil"/>
            </w:tcBorders>
            <w:noWrap/>
            <w:vAlign w:val="bottom"/>
          </w:tcPr>
          <w:p w14:paraId="17FC526E"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913" w:type="dxa"/>
            <w:tcBorders>
              <w:top w:val="single" w:sz="4" w:space="0" w:color="auto"/>
              <w:left w:val="nil"/>
              <w:bottom w:val="nil"/>
              <w:right w:val="nil"/>
            </w:tcBorders>
            <w:noWrap/>
            <w:vAlign w:val="bottom"/>
          </w:tcPr>
          <w:p w14:paraId="45F2F4A4"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1161" w:type="dxa"/>
            <w:tcBorders>
              <w:top w:val="single" w:sz="4" w:space="0" w:color="auto"/>
              <w:left w:val="nil"/>
              <w:bottom w:val="nil"/>
              <w:right w:val="nil"/>
            </w:tcBorders>
            <w:noWrap/>
            <w:vAlign w:val="bottom"/>
          </w:tcPr>
          <w:p w14:paraId="14A017A4"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912" w:type="dxa"/>
            <w:tcBorders>
              <w:top w:val="single" w:sz="4" w:space="0" w:color="auto"/>
              <w:left w:val="nil"/>
              <w:bottom w:val="nil"/>
              <w:right w:val="nil"/>
            </w:tcBorders>
            <w:noWrap/>
            <w:vAlign w:val="bottom"/>
          </w:tcPr>
          <w:p w14:paraId="5CB79CCF" w14:textId="77777777" w:rsidR="009523E5" w:rsidRDefault="009523E5" w:rsidP="009201D3">
            <w:pPr>
              <w:spacing w:after="0" w:line="240" w:lineRule="auto"/>
              <w:jc w:val="center"/>
              <w:rPr>
                <w:rFonts w:ascii="Calibri" w:hAnsi="Calibri" w:cs="Calibri"/>
                <w:color w:val="000000"/>
                <w:sz w:val="22"/>
                <w:szCs w:val="22"/>
              </w:rPr>
            </w:pPr>
          </w:p>
        </w:tc>
        <w:tc>
          <w:tcPr>
            <w:tcW w:w="1028" w:type="dxa"/>
            <w:tcBorders>
              <w:top w:val="single" w:sz="4" w:space="0" w:color="auto"/>
              <w:left w:val="nil"/>
              <w:bottom w:val="nil"/>
              <w:right w:val="nil"/>
            </w:tcBorders>
            <w:noWrap/>
            <w:vAlign w:val="bottom"/>
          </w:tcPr>
          <w:p w14:paraId="0B078DD0" w14:textId="77777777" w:rsidR="009523E5" w:rsidRDefault="009523E5" w:rsidP="009201D3">
            <w:pPr>
              <w:spacing w:after="0" w:line="240" w:lineRule="auto"/>
              <w:jc w:val="center"/>
              <w:rPr>
                <w:rFonts w:ascii="Calibri" w:hAnsi="Calibri" w:cs="Calibri"/>
                <w:color w:val="000000"/>
                <w:sz w:val="22"/>
                <w:szCs w:val="22"/>
              </w:rPr>
            </w:pPr>
          </w:p>
        </w:tc>
        <w:tc>
          <w:tcPr>
            <w:tcW w:w="828" w:type="dxa"/>
            <w:tcBorders>
              <w:top w:val="single" w:sz="4" w:space="0" w:color="auto"/>
              <w:left w:val="nil"/>
              <w:bottom w:val="nil"/>
              <w:right w:val="nil"/>
            </w:tcBorders>
            <w:noWrap/>
            <w:vAlign w:val="bottom"/>
          </w:tcPr>
          <w:p w14:paraId="3BD82B85" w14:textId="77777777" w:rsidR="009523E5" w:rsidRDefault="009523E5" w:rsidP="009201D3">
            <w:pPr>
              <w:spacing w:after="0" w:line="240" w:lineRule="auto"/>
              <w:jc w:val="center"/>
              <w:rPr>
                <w:rFonts w:ascii="Calibri" w:hAnsi="Calibri" w:cs="Calibri"/>
                <w:color w:val="000000"/>
                <w:sz w:val="22"/>
                <w:szCs w:val="22"/>
              </w:rPr>
            </w:pPr>
          </w:p>
        </w:tc>
        <w:tc>
          <w:tcPr>
            <w:tcW w:w="607" w:type="dxa"/>
            <w:tcBorders>
              <w:top w:val="single" w:sz="4" w:space="0" w:color="auto"/>
              <w:left w:val="nil"/>
              <w:bottom w:val="nil"/>
              <w:right w:val="nil"/>
            </w:tcBorders>
            <w:noWrap/>
            <w:vAlign w:val="bottom"/>
          </w:tcPr>
          <w:p w14:paraId="6F0A67AD" w14:textId="77777777" w:rsidR="009523E5" w:rsidRDefault="009523E5" w:rsidP="009201D3">
            <w:pPr>
              <w:spacing w:after="0" w:line="240" w:lineRule="auto"/>
              <w:jc w:val="center"/>
              <w:rPr>
                <w:rFonts w:ascii="Calibri" w:hAnsi="Calibri" w:cs="Calibri"/>
                <w:color w:val="000000"/>
                <w:sz w:val="22"/>
                <w:szCs w:val="22"/>
              </w:rPr>
            </w:pPr>
          </w:p>
        </w:tc>
        <w:tc>
          <w:tcPr>
            <w:tcW w:w="736" w:type="dxa"/>
            <w:tcBorders>
              <w:top w:val="single" w:sz="4" w:space="0" w:color="auto"/>
              <w:left w:val="nil"/>
              <w:bottom w:val="nil"/>
              <w:right w:val="nil"/>
            </w:tcBorders>
            <w:noWrap/>
            <w:vAlign w:val="bottom"/>
          </w:tcPr>
          <w:p w14:paraId="7D385A4B" w14:textId="77777777" w:rsidR="009523E5" w:rsidRDefault="009523E5" w:rsidP="009201D3">
            <w:pPr>
              <w:spacing w:after="0" w:line="240" w:lineRule="auto"/>
              <w:jc w:val="center"/>
              <w:rPr>
                <w:rFonts w:ascii="Calibri" w:hAnsi="Calibri" w:cs="Calibri"/>
                <w:color w:val="000000"/>
                <w:sz w:val="22"/>
                <w:szCs w:val="22"/>
              </w:rPr>
            </w:pPr>
          </w:p>
        </w:tc>
        <w:tc>
          <w:tcPr>
            <w:tcW w:w="696" w:type="dxa"/>
            <w:tcBorders>
              <w:top w:val="single" w:sz="4" w:space="0" w:color="auto"/>
              <w:left w:val="nil"/>
              <w:bottom w:val="nil"/>
              <w:right w:val="nil"/>
            </w:tcBorders>
            <w:noWrap/>
            <w:vAlign w:val="bottom"/>
          </w:tcPr>
          <w:p w14:paraId="75ECF896" w14:textId="77777777" w:rsidR="009523E5" w:rsidRDefault="009523E5" w:rsidP="009201D3">
            <w:pPr>
              <w:spacing w:after="0" w:line="240" w:lineRule="auto"/>
              <w:jc w:val="center"/>
              <w:rPr>
                <w:rFonts w:ascii="Calibri" w:hAnsi="Calibri" w:cs="Calibri"/>
                <w:color w:val="000000"/>
                <w:sz w:val="22"/>
                <w:szCs w:val="22"/>
              </w:rPr>
            </w:pPr>
          </w:p>
        </w:tc>
        <w:tc>
          <w:tcPr>
            <w:tcW w:w="656" w:type="dxa"/>
            <w:tcBorders>
              <w:top w:val="single" w:sz="4" w:space="0" w:color="auto"/>
              <w:left w:val="nil"/>
              <w:bottom w:val="nil"/>
              <w:right w:val="nil"/>
            </w:tcBorders>
            <w:noWrap/>
            <w:vAlign w:val="bottom"/>
          </w:tcPr>
          <w:p w14:paraId="1F0990C0"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656" w:type="dxa"/>
            <w:tcBorders>
              <w:top w:val="single" w:sz="4" w:space="0" w:color="auto"/>
              <w:left w:val="nil"/>
              <w:bottom w:val="nil"/>
              <w:right w:val="nil"/>
            </w:tcBorders>
            <w:noWrap/>
            <w:vAlign w:val="bottom"/>
          </w:tcPr>
          <w:p w14:paraId="4D02CBC6"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736" w:type="dxa"/>
            <w:tcBorders>
              <w:top w:val="single" w:sz="4" w:space="0" w:color="auto"/>
              <w:left w:val="nil"/>
              <w:bottom w:val="nil"/>
              <w:right w:val="nil"/>
            </w:tcBorders>
            <w:noWrap/>
            <w:vAlign w:val="bottom"/>
          </w:tcPr>
          <w:p w14:paraId="7F504357"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656" w:type="dxa"/>
            <w:tcBorders>
              <w:top w:val="single" w:sz="4" w:space="0" w:color="auto"/>
              <w:left w:val="nil"/>
              <w:bottom w:val="nil"/>
              <w:right w:val="nil"/>
            </w:tcBorders>
            <w:noWrap/>
            <w:vAlign w:val="bottom"/>
          </w:tcPr>
          <w:p w14:paraId="45346DB2"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728" w:type="dxa"/>
            <w:tcBorders>
              <w:top w:val="single" w:sz="4" w:space="0" w:color="auto"/>
              <w:left w:val="nil"/>
              <w:bottom w:val="nil"/>
              <w:right w:val="nil"/>
            </w:tcBorders>
            <w:noWrap/>
            <w:vAlign w:val="bottom"/>
          </w:tcPr>
          <w:p w14:paraId="076120B5"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222" w:type="dxa"/>
            <w:vAlign w:val="center"/>
          </w:tcPr>
          <w:p w14:paraId="34306778"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bl>
    <w:p w14:paraId="4DC79D86" w14:textId="1868D550" w:rsidR="009523E5" w:rsidRDefault="003B4279" w:rsidP="009201D3">
      <w:pPr>
        <w:spacing w:after="0" w:line="240" w:lineRule="auto"/>
        <w:rPr>
          <w:rFonts w:ascii="Times New Roman" w:hAnsi="Times New Roman" w:cs="Times New Roman"/>
        </w:rPr>
      </w:pPr>
      <w:r>
        <w:rPr>
          <w:rFonts w:ascii="Times New Roman" w:hAnsi="Times New Roman" w:cs="Times New Roman"/>
        </w:rPr>
        <w:t>Note: * denotes the governing failure load Pult’ (kN)</w:t>
      </w:r>
    </w:p>
    <w:p w14:paraId="7DF2FA96" w14:textId="77777777" w:rsidR="009523E5" w:rsidRDefault="009523E5" w:rsidP="009201D3">
      <w:pPr>
        <w:spacing w:after="0" w:line="240" w:lineRule="auto"/>
        <w:rPr>
          <w:rFonts w:ascii="Times New Roman" w:hAnsi="Times New Roman" w:cs="Times New Roman"/>
        </w:rPr>
      </w:pPr>
    </w:p>
    <w:p w14:paraId="6D8455AF" w14:textId="77777777" w:rsidR="009523E5" w:rsidRDefault="009523E5" w:rsidP="009201D3">
      <w:pPr>
        <w:spacing w:after="0" w:line="240" w:lineRule="auto"/>
        <w:rPr>
          <w:rFonts w:ascii="Times New Roman" w:hAnsi="Times New Roman" w:cs="Times New Roman"/>
        </w:rPr>
      </w:pPr>
    </w:p>
    <w:p w14:paraId="08D80AE5" w14:textId="77777777" w:rsidR="009523E5" w:rsidRDefault="009523E5" w:rsidP="009201D3">
      <w:pPr>
        <w:spacing w:after="0" w:line="240" w:lineRule="auto"/>
        <w:rPr>
          <w:rFonts w:ascii="Times New Roman" w:hAnsi="Times New Roman" w:cs="Times New Roman"/>
        </w:rPr>
      </w:pPr>
    </w:p>
    <w:p w14:paraId="6326B174" w14:textId="77777777" w:rsidR="009523E5" w:rsidRDefault="009523E5" w:rsidP="009201D3">
      <w:pPr>
        <w:spacing w:after="0" w:line="240" w:lineRule="auto"/>
        <w:rPr>
          <w:rFonts w:ascii="Times New Roman" w:hAnsi="Times New Roman" w:cs="Times New Roman"/>
        </w:rPr>
        <w:sectPr w:rsidR="009523E5" w:rsidSect="00C6080E">
          <w:type w:val="continuous"/>
          <w:pgSz w:w="16838" w:h="11906" w:orient="landscape"/>
          <w:pgMar w:top="1440" w:right="1440" w:bottom="1440" w:left="1440" w:header="708" w:footer="708" w:gutter="0"/>
          <w:cols w:space="708"/>
          <w:docGrid w:linePitch="360"/>
        </w:sectPr>
      </w:pPr>
    </w:p>
    <w:p w14:paraId="5E72AD2B"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lastRenderedPageBreak/>
        <w:t>5.2 Flexural moment capacity</w:t>
      </w:r>
    </w:p>
    <w:p w14:paraId="706A3863" w14:textId="48419571" w:rsidR="009523E5" w:rsidRPr="002747BE" w:rsidRDefault="003B4279" w:rsidP="009201D3">
      <w:pPr>
        <w:spacing w:after="0" w:line="240" w:lineRule="auto"/>
        <w:rPr>
          <w:rFonts w:ascii="Times New Roman" w:hAnsi="Times New Roman" w:cs="Times New Roman"/>
        </w:rPr>
      </w:pPr>
      <w:r>
        <w:rPr>
          <w:rFonts w:ascii="Times New Roman" w:hAnsi="Times New Roman" w:cs="Times New Roman"/>
        </w:rPr>
        <w:t xml:space="preserve">The hybrid retrofitted beam is designed to enhance the flexural strength of the reinforced </w:t>
      </w:r>
      <w:r w:rsidRPr="002747BE">
        <w:rPr>
          <w:rFonts w:ascii="Times New Roman" w:hAnsi="Times New Roman" w:cs="Times New Roman"/>
        </w:rPr>
        <w:t xml:space="preserve">concrete beam. The cross-section of the retrofitted beam is shown in </w:t>
      </w:r>
      <w:r w:rsidRPr="002747BE">
        <w:rPr>
          <w:rFonts w:ascii="Times New Roman" w:hAnsi="Times New Roman" w:cs="Times New Roman"/>
        </w:rPr>
        <w:fldChar w:fldCharType="begin"/>
      </w:r>
      <w:r w:rsidRPr="002747BE">
        <w:rPr>
          <w:rFonts w:ascii="Times New Roman" w:hAnsi="Times New Roman" w:cs="Times New Roman"/>
        </w:rPr>
        <w:instrText xml:space="preserve"> REF _Ref192820154 \h </w:instrText>
      </w:r>
      <w:r w:rsidRPr="002747BE">
        <w:rPr>
          <w:rFonts w:ascii="Times New Roman" w:hAnsi="Times New Roman" w:cs="Times New Roman"/>
        </w:rPr>
      </w:r>
      <w:r w:rsidRPr="002747BE">
        <w:rPr>
          <w:rFonts w:ascii="Times New Roman" w:hAnsi="Times New Roman" w:cs="Times New Roman"/>
        </w:rPr>
        <w:fldChar w:fldCharType="separate"/>
      </w:r>
      <w:r w:rsidR="005E7AB0">
        <w:t xml:space="preserve">Fig. </w:t>
      </w:r>
      <w:r w:rsidR="005E7AB0">
        <w:rPr>
          <w:noProof/>
        </w:rPr>
        <w:t>22</w:t>
      </w:r>
      <w:r w:rsidRPr="002747BE">
        <w:rPr>
          <w:rFonts w:ascii="Times New Roman" w:hAnsi="Times New Roman" w:cs="Times New Roman"/>
        </w:rPr>
        <w:fldChar w:fldCharType="end"/>
      </w:r>
      <w:r w:rsidRPr="002747BE">
        <w:rPr>
          <w:rFonts w:ascii="Times New Roman" w:hAnsi="Times New Roman" w:cs="Times New Roman"/>
        </w:rPr>
        <w:t xml:space="preserve"> with the strain </w:t>
      </w:r>
      <w:r w:rsidRPr="002747BE">
        <w:rPr>
          <w:rFonts w:ascii="Times New Roman" w:hAnsi="Times New Roman" w:cs="Times New Roman"/>
          <w:lang w:val="en-US"/>
        </w:rPr>
        <w:t>distribution</w:t>
      </w:r>
      <w:r w:rsidRPr="002747BE">
        <w:rPr>
          <w:rFonts w:ascii="Times New Roman" w:hAnsi="Times New Roman" w:cs="Times New Roman"/>
        </w:rPr>
        <w:t xml:space="preserve"> diagram. The strain is observed to be triangular both in com</w:t>
      </w:r>
      <w:r w:rsidRPr="002747BE">
        <w:rPr>
          <w:rFonts w:ascii="Times New Roman" w:hAnsi="Times New Roman" w:cs="Times New Roman"/>
        </w:rPr>
        <w:t xml:space="preserve">pression and tension. The positions of the individual strains of the various components of the retrofitted layer in the beam are illustrated in the </w:t>
      </w:r>
      <w:r w:rsidRPr="002747BE">
        <w:rPr>
          <w:rFonts w:ascii="Times New Roman" w:hAnsi="Times New Roman" w:cs="Times New Roman"/>
          <w:lang w:val="en-US"/>
        </w:rPr>
        <w:t>figure</w:t>
      </w:r>
      <w:r w:rsidRPr="002747BE">
        <w:rPr>
          <w:rFonts w:ascii="Times New Roman" w:hAnsi="Times New Roman" w:cs="Times New Roman"/>
        </w:rPr>
        <w:t xml:space="preserve">. In  </w:t>
      </w:r>
      <w:r w:rsidRPr="002747BE">
        <w:rPr>
          <w:rFonts w:ascii="Times New Roman" w:hAnsi="Times New Roman" w:cs="Times New Roman"/>
        </w:rPr>
        <w:fldChar w:fldCharType="begin" w:fldLock="1"/>
      </w:r>
      <w:r w:rsidRPr="002747BE">
        <w:rPr>
          <w:rFonts w:ascii="Times New Roman" w:hAnsi="Times New Roman" w:cs="Times New Roman"/>
        </w:rPr>
        <w:instrText>ADDIN CSL_CITATION {"citationItems":[{"id":"ITEM-1","itemData":{"abstract":"New design informati</w:instrText>
      </w:r>
      <w:r w:rsidRPr="002747BE">
        <w:rPr>
          <w:rFonts w:ascii="Times New Roman" w:hAnsi="Times New Roman" w:cs="Times New Roman"/>
        </w:rPr>
        <w:instrText>on on the structural use of concrete as presented in the new Code of Practice CP110. Advantages of precast concrete and principles with regard to quality assurance are discussed.","author":[{"dropping-particle":"","family":"BS8110","given":"Part 1","non-dr</w:instrText>
      </w:r>
      <w:r w:rsidRPr="002747BE">
        <w:rPr>
          <w:rFonts w:ascii="Times New Roman" w:hAnsi="Times New Roman" w:cs="Times New Roman"/>
        </w:rPr>
        <w:instrText>opping-particle":"","parse-names":false,"suffix":""}],"container-title":"British Standard Institution","id":"ITEM-1","issue":"1","issued":{"date-parts":[["2000"]]},"title":"Structural Use of Concrete","type":"book","volume":"4"},"uris":["http://www.mendele</w:instrText>
      </w:r>
      <w:r w:rsidRPr="002747BE">
        <w:rPr>
          <w:rFonts w:ascii="Times New Roman" w:hAnsi="Times New Roman" w:cs="Times New Roman"/>
        </w:rPr>
        <w:instrText>y.com/documents/?uuid=b44dafd0-d381-4c13-9962-8992bab7743f"]}],"mendeley":{"formattedCitation":"(BS8110, 2000)","plainTextFormattedCitation":"(BS8110, 2000)","previouslyFormattedCitation":"(BS8110, 2000)"},"properties":{"noteIndex":0},"schema":"https://git</w:instrText>
      </w:r>
      <w:r w:rsidRPr="002747BE">
        <w:rPr>
          <w:rFonts w:ascii="Times New Roman" w:hAnsi="Times New Roman" w:cs="Times New Roman"/>
        </w:rPr>
        <w:instrText>hub.com/citation-style-language/schema/raw/master/csl-citation.json"}</w:instrText>
      </w:r>
      <w:r w:rsidRPr="002747BE">
        <w:rPr>
          <w:rFonts w:ascii="Times New Roman" w:hAnsi="Times New Roman" w:cs="Times New Roman"/>
        </w:rPr>
        <w:fldChar w:fldCharType="separate"/>
      </w:r>
      <w:r w:rsidRPr="002747BE">
        <w:rPr>
          <w:rFonts w:ascii="Times New Roman" w:hAnsi="Times New Roman" w:cs="Times New Roman"/>
        </w:rPr>
        <w:t xml:space="preserve">BS8110 </w:t>
      </w:r>
      <w:r w:rsidRPr="002747BE">
        <w:rPr>
          <w:rFonts w:ascii="Times New Roman" w:hAnsi="Times New Roman" w:cs="Times New Roman"/>
          <w:lang w:val="en-US"/>
        </w:rPr>
        <w:t>(</w:t>
      </w:r>
      <w:r w:rsidRPr="002747BE">
        <w:rPr>
          <w:rFonts w:ascii="Times New Roman" w:hAnsi="Times New Roman" w:cs="Times New Roman"/>
        </w:rPr>
        <w:t>2000)</w:t>
      </w:r>
      <w:r w:rsidRPr="002747BE">
        <w:rPr>
          <w:rFonts w:ascii="Times New Roman" w:hAnsi="Times New Roman" w:cs="Times New Roman"/>
        </w:rPr>
        <w:fldChar w:fldCharType="end"/>
      </w:r>
      <w:r w:rsidRPr="002747BE">
        <w:rPr>
          <w:rFonts w:ascii="Times New Roman" w:hAnsi="Times New Roman" w:cs="Times New Roman"/>
        </w:rPr>
        <w:t xml:space="preserve">, the strain of concrete </w:t>
      </w:r>
      <w:r w:rsidRPr="002747BE">
        <w:rPr>
          <w:rFonts w:ascii="Calibri" w:hAnsi="Calibri" w:cs="Calibri"/>
        </w:rPr>
        <w:t>ε</w:t>
      </w:r>
      <w:r w:rsidRPr="002747BE">
        <w:rPr>
          <w:rFonts w:ascii="Times New Roman" w:hAnsi="Times New Roman" w:cs="Times New Roman"/>
          <w:vertAlign w:val="subscript"/>
          <w:lang w:val="en-US"/>
        </w:rPr>
        <w:t>c</w:t>
      </w:r>
      <w:r w:rsidRPr="002747BE">
        <w:rPr>
          <w:rFonts w:ascii="Times New Roman" w:hAnsi="Times New Roman" w:cs="Times New Roman"/>
        </w:rPr>
        <w:t xml:space="preserve">, is </w:t>
      </w:r>
      <w:r w:rsidRPr="002747BE">
        <w:rPr>
          <w:rFonts w:ascii="Times New Roman" w:hAnsi="Times New Roman" w:cs="Times New Roman"/>
          <w:lang w:val="en-US"/>
        </w:rPr>
        <w:t>specified</w:t>
      </w:r>
      <w:r w:rsidRPr="002747BE">
        <w:rPr>
          <w:rFonts w:ascii="Times New Roman" w:hAnsi="Times New Roman" w:cs="Times New Roman"/>
        </w:rPr>
        <w:t xml:space="preserve"> as 0.0035.</w:t>
      </w:r>
    </w:p>
    <w:p w14:paraId="36023224" w14:textId="77777777" w:rsidR="009523E5" w:rsidRDefault="009523E5" w:rsidP="009201D3">
      <w:pPr>
        <w:spacing w:after="0" w:line="240" w:lineRule="auto"/>
        <w:rPr>
          <w:rFonts w:ascii="Times New Roman" w:hAnsi="Times New Roman" w:cs="Times New Roman"/>
        </w:rPr>
      </w:pPr>
    </w:p>
    <w:p w14:paraId="0D4A5271" w14:textId="77777777" w:rsidR="009523E5" w:rsidRDefault="009523E5" w:rsidP="009201D3">
      <w:pPr>
        <w:spacing w:after="0" w:line="240" w:lineRule="auto"/>
        <w:rPr>
          <w:rFonts w:ascii="Times New Roman" w:hAnsi="Times New Roman" w:cs="Times New Roman"/>
        </w:rPr>
      </w:pPr>
    </w:p>
    <w:p w14:paraId="774977D6" w14:textId="77777777" w:rsidR="009523E5" w:rsidRDefault="003B4279" w:rsidP="009201D3">
      <w:pPr>
        <w:spacing w:after="0" w:line="240" w:lineRule="auto"/>
        <w:jc w:val="center"/>
        <w:rPr>
          <w:rFonts w:ascii="Times New Roman" w:hAnsi="Times New Roman" w:cs="Times New Roman"/>
        </w:rPr>
      </w:pPr>
      <w:r>
        <w:rPr>
          <w:noProof/>
        </w:rPr>
        <w:drawing>
          <wp:inline distT="0" distB="0" distL="0" distR="0" wp14:anchorId="74439C22" wp14:editId="60C9C6F3">
            <wp:extent cx="4484370" cy="2596515"/>
            <wp:effectExtent l="0" t="0" r="0" b="0"/>
            <wp:docPr id="1969807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07687"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496228" cy="2603341"/>
                    </a:xfrm>
                    <a:prstGeom prst="rect">
                      <a:avLst/>
                    </a:prstGeom>
                    <a:noFill/>
                    <a:ln>
                      <a:noFill/>
                    </a:ln>
                  </pic:spPr>
                </pic:pic>
              </a:graphicData>
            </a:graphic>
          </wp:inline>
        </w:drawing>
      </w:r>
    </w:p>
    <w:p w14:paraId="5887552F" w14:textId="47FCFA3A" w:rsidR="009523E5" w:rsidRDefault="003B4279" w:rsidP="009201D3">
      <w:pPr>
        <w:pStyle w:val="Caption"/>
        <w:spacing w:after="0" w:line="240" w:lineRule="auto"/>
        <w:rPr>
          <w:rFonts w:cs="Times New Roman"/>
        </w:rPr>
      </w:pPr>
      <w:bookmarkStart w:id="31" w:name="_Ref192820154"/>
      <w:r>
        <w:t xml:space="preserve">Fig. </w:t>
      </w:r>
      <w:r>
        <w:fldChar w:fldCharType="begin"/>
      </w:r>
      <w:r>
        <w:instrText xml:space="preserve"> SEQ Fig. \* ARABIC </w:instrText>
      </w:r>
      <w:r>
        <w:fldChar w:fldCharType="separate"/>
      </w:r>
      <w:r w:rsidR="005E7AB0">
        <w:rPr>
          <w:noProof/>
        </w:rPr>
        <w:t>22</w:t>
      </w:r>
      <w:r>
        <w:rPr>
          <w:noProof/>
        </w:rPr>
        <w:fldChar w:fldCharType="end"/>
      </w:r>
      <w:bookmarkEnd w:id="31"/>
      <w:r>
        <w:t xml:space="preserve"> Strain block diagram of hybrid retrofitted beam</w:t>
      </w:r>
    </w:p>
    <w:p w14:paraId="5ADBE36F" w14:textId="77777777" w:rsidR="009523E5" w:rsidRDefault="009523E5" w:rsidP="009201D3">
      <w:pPr>
        <w:spacing w:after="0" w:line="240" w:lineRule="auto"/>
        <w:rPr>
          <w:rFonts w:ascii="Times New Roman" w:hAnsi="Times New Roman" w:cs="Times New Roman"/>
        </w:rPr>
      </w:pPr>
    </w:p>
    <w:p w14:paraId="40B100BA" w14:textId="16027154"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stress block diagram of the flexural moment capacity of the retrofitted beam is illustrated in </w:t>
      </w:r>
      <w:r>
        <w:rPr>
          <w:rFonts w:ascii="Times New Roman" w:hAnsi="Times New Roman" w:cs="Times New Roman"/>
        </w:rPr>
        <w:fldChar w:fldCharType="begin"/>
      </w:r>
      <w:r>
        <w:rPr>
          <w:rFonts w:ascii="Times New Roman" w:hAnsi="Times New Roman" w:cs="Times New Roman"/>
        </w:rPr>
        <w:instrText xml:space="preserve"> REF _Ref192820170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23</w:t>
      </w:r>
      <w:r>
        <w:rPr>
          <w:rFonts w:ascii="Times New Roman" w:hAnsi="Times New Roman" w:cs="Times New Roman"/>
        </w:rPr>
        <w:fldChar w:fldCharType="end"/>
      </w:r>
      <w:r>
        <w:rPr>
          <w:rFonts w:ascii="Times New Roman" w:hAnsi="Times New Roman" w:cs="Times New Roman"/>
        </w:rPr>
        <w:t xml:space="preserve">. In this figure, the compressive forces are that of the </w:t>
      </w:r>
      <w:r>
        <w:rPr>
          <w:rFonts w:ascii="Times New Roman" w:hAnsi="Times New Roman" w:cs="Times New Roman"/>
        </w:rPr>
        <w:t>steel reinforcement and the concrete in compression. The contributing tensile forces are those of the bottom steel reinforcement, CFRP laminate, GFRP bar, and the concrete jacketing. The respective lever arms for the stresses are as shown in the figure. Th</w:t>
      </w:r>
      <w:r>
        <w:rPr>
          <w:rFonts w:ascii="Times New Roman" w:hAnsi="Times New Roman" w:cs="Times New Roman"/>
        </w:rPr>
        <w:t xml:space="preserve">e only contribution of the MAS plates in the numerical model is in providing a strong grip for the GFRP bar, as such the plates are not included in the numerical formulation. The expandable bolts used in fixing the plates in position within the reinforced </w:t>
      </w:r>
      <w:r>
        <w:rPr>
          <w:rFonts w:ascii="Times New Roman" w:hAnsi="Times New Roman" w:cs="Times New Roman"/>
        </w:rPr>
        <w:t>concrete beam have a good bond initially but at increased loads, the bolts can be yanked out in some cases.</w:t>
      </w:r>
    </w:p>
    <w:p w14:paraId="6175AC85" w14:textId="77777777" w:rsidR="009523E5" w:rsidRDefault="009523E5" w:rsidP="009201D3">
      <w:pPr>
        <w:spacing w:after="0" w:line="240" w:lineRule="auto"/>
        <w:rPr>
          <w:rFonts w:ascii="Times New Roman" w:hAnsi="Times New Roman" w:cs="Times New Roman"/>
        </w:rPr>
      </w:pPr>
    </w:p>
    <w:p w14:paraId="7A68590F" w14:textId="77777777" w:rsidR="009523E5" w:rsidRDefault="009523E5" w:rsidP="009201D3">
      <w:pPr>
        <w:spacing w:after="0" w:line="240" w:lineRule="auto"/>
        <w:rPr>
          <w:rFonts w:ascii="Times New Roman" w:hAnsi="Times New Roman" w:cs="Times New Roman"/>
        </w:rPr>
      </w:pPr>
    </w:p>
    <w:p w14:paraId="102D8020" w14:textId="77777777" w:rsidR="009523E5" w:rsidRDefault="003B4279" w:rsidP="009201D3">
      <w:pPr>
        <w:spacing w:after="0" w:line="240" w:lineRule="auto"/>
        <w:jc w:val="center"/>
        <w:rPr>
          <w:rFonts w:ascii="Times New Roman" w:hAnsi="Times New Roman" w:cs="Times New Roman"/>
        </w:rPr>
      </w:pPr>
      <w:r>
        <w:rPr>
          <w:noProof/>
        </w:rPr>
        <w:lastRenderedPageBreak/>
        <w:drawing>
          <wp:inline distT="0" distB="0" distL="0" distR="0" wp14:anchorId="37E24932" wp14:editId="7F1ED2BC">
            <wp:extent cx="5323205" cy="2725420"/>
            <wp:effectExtent l="0" t="0" r="0" b="0"/>
            <wp:docPr id="2100805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5855"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338629" cy="2733786"/>
                    </a:xfrm>
                    <a:prstGeom prst="rect">
                      <a:avLst/>
                    </a:prstGeom>
                    <a:noFill/>
                    <a:ln>
                      <a:noFill/>
                    </a:ln>
                  </pic:spPr>
                </pic:pic>
              </a:graphicData>
            </a:graphic>
          </wp:inline>
        </w:drawing>
      </w:r>
    </w:p>
    <w:p w14:paraId="3C98FFDA" w14:textId="4DEE8495" w:rsidR="009523E5" w:rsidRDefault="003B4279" w:rsidP="009201D3">
      <w:pPr>
        <w:pStyle w:val="Caption"/>
        <w:spacing w:after="0" w:line="240" w:lineRule="auto"/>
        <w:rPr>
          <w:rFonts w:cs="Times New Roman"/>
        </w:rPr>
      </w:pPr>
      <w:bookmarkStart w:id="32" w:name="_Ref192820170"/>
      <w:r>
        <w:t xml:space="preserve">Fig. </w:t>
      </w:r>
      <w:r>
        <w:fldChar w:fldCharType="begin"/>
      </w:r>
      <w:r>
        <w:instrText xml:space="preserve"> SEQ Fig. \* ARABIC </w:instrText>
      </w:r>
      <w:r>
        <w:fldChar w:fldCharType="separate"/>
      </w:r>
      <w:r w:rsidR="005E7AB0">
        <w:rPr>
          <w:noProof/>
        </w:rPr>
        <w:t>23</w:t>
      </w:r>
      <w:r>
        <w:rPr>
          <w:noProof/>
        </w:rPr>
        <w:fldChar w:fldCharType="end"/>
      </w:r>
      <w:bookmarkEnd w:id="32"/>
      <w:r>
        <w:t xml:space="preserve"> Stress block diagram of hybrid retrofitted beam</w:t>
      </w:r>
    </w:p>
    <w:p w14:paraId="549C18D3" w14:textId="77777777" w:rsidR="009523E5" w:rsidRDefault="009523E5" w:rsidP="009201D3">
      <w:pPr>
        <w:spacing w:after="0" w:line="240" w:lineRule="auto"/>
        <w:rPr>
          <w:rFonts w:ascii="Times New Roman" w:hAnsi="Times New Roman" w:cs="Times New Roman"/>
        </w:rPr>
      </w:pPr>
    </w:p>
    <w:p w14:paraId="03712D33" w14:textId="77777777" w:rsidR="009523E5" w:rsidRDefault="009523E5" w:rsidP="009201D3">
      <w:pPr>
        <w:spacing w:after="0" w:line="240" w:lineRule="auto"/>
        <w:rPr>
          <w:rFonts w:ascii="Times New Roman" w:hAnsi="Times New Roman" w:cs="Times New Roman"/>
        </w:rPr>
      </w:pPr>
    </w:p>
    <w:p w14:paraId="27DFA923"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5.2.1 Plastic neutral axis</w:t>
      </w:r>
    </w:p>
    <w:p w14:paraId="4A68729D" w14:textId="77777777" w:rsidR="009523E5" w:rsidRDefault="003B4279" w:rsidP="009201D3">
      <w:pPr>
        <w:spacing w:after="0" w:line="240" w:lineRule="auto"/>
        <w:ind w:right="11"/>
      </w:pPr>
      <w:r>
        <w:rPr>
          <w:rFonts w:ascii="Times New Roman" w:hAnsi="Times New Roman" w:cs="Times New Roman"/>
        </w:rPr>
        <w:t xml:space="preserve">The plastic </w:t>
      </w:r>
      <w:r w:rsidRPr="002747BE">
        <w:rPr>
          <w:rFonts w:ascii="Times New Roman" w:hAnsi="Times New Roman" w:cs="Times New Roman"/>
        </w:rPr>
        <w:t>neutral axis denotes the</w:t>
      </w:r>
      <w:r w:rsidRPr="002747BE">
        <w:rPr>
          <w:rFonts w:ascii="Times New Roman" w:hAnsi="Times New Roman" w:cs="Times New Roman"/>
        </w:rPr>
        <w:t xml:space="preserve"> region in the cross-section of the beam where the compressive and </w:t>
      </w:r>
      <w:r w:rsidRPr="002747BE">
        <w:rPr>
          <w:rFonts w:ascii="Times New Roman" w:hAnsi="Times New Roman" w:cs="Times New Roman"/>
          <w:lang w:val="en-US"/>
        </w:rPr>
        <w:t xml:space="preserve">tensile </w:t>
      </w:r>
      <w:r w:rsidRPr="002747BE">
        <w:rPr>
          <w:rFonts w:ascii="Times New Roman" w:hAnsi="Times New Roman" w:cs="Times New Roman"/>
        </w:rPr>
        <w:t xml:space="preserve">stresses are zero, as such the region of neutrality of forces. </w:t>
      </w:r>
      <w:r w:rsidRPr="002747BE">
        <w:t xml:space="preserve">Zhang et al. (2023) </w:t>
      </w:r>
      <w:r w:rsidRPr="002747BE">
        <w:rPr>
          <w:rFonts w:ascii="Times New Roman" w:hAnsi="Times New Roman" w:cs="Times New Roman"/>
        </w:rPr>
        <w:t xml:space="preserve">adopted the reduced </w:t>
      </w:r>
      <w:r>
        <w:rPr>
          <w:rFonts w:ascii="Times New Roman" w:hAnsi="Times New Roman" w:cs="Times New Roman"/>
        </w:rPr>
        <w:t>moment approach and had favourable results, as such this approach was introduc</w:t>
      </w:r>
      <w:r>
        <w:rPr>
          <w:rFonts w:ascii="Times New Roman" w:hAnsi="Times New Roman" w:cs="Times New Roman"/>
        </w:rPr>
        <w:t xml:space="preserve">ed in the formulation of the flexural moment capacity equation that is used in estimating the hybrid retrofitted beam behaviour. </w:t>
      </w:r>
    </w:p>
    <w:p w14:paraId="2401D524" w14:textId="77777777" w:rsidR="009523E5" w:rsidRDefault="003B4279" w:rsidP="009201D3">
      <w:pPr>
        <w:pStyle w:val="Caption"/>
        <w:spacing w:after="0" w:line="240" w:lineRule="auto"/>
      </w:pPr>
      <w:r>
        <w:rPr>
          <w:position w:val="-32"/>
        </w:rPr>
        <w:object w:dxaOrig="1758" w:dyaOrig="734" w14:anchorId="5C8772C0">
          <v:shape id="_x0000_i1038" type="#_x0000_t75" style="width:87.45pt;height:36pt" o:ole="">
            <v:imagedata r:id="rId86" o:title=""/>
          </v:shape>
          <o:OLEObject Type="Embed" ProgID="Equation.DSMT4" ShapeID="_x0000_i1038" DrawAspect="Content" ObjectID="_1817025315" r:id="rId87"/>
        </w:object>
      </w:r>
      <w:r>
        <w:tab/>
      </w:r>
      <w:r>
        <w:tab/>
      </w:r>
      <w:r>
        <w:tab/>
      </w:r>
      <w:r>
        <w:tab/>
      </w:r>
      <w:r>
        <w:tab/>
      </w:r>
      <w:r>
        <w:tab/>
      </w:r>
      <w:r>
        <w:tab/>
      </w:r>
      <w:r>
        <w:tab/>
      </w:r>
      <w:r>
        <w:tab/>
      </w:r>
      <w:r>
        <w:tab/>
      </w:r>
      <w:r>
        <w:fldChar w:fldCharType="begin"/>
      </w:r>
      <w:r>
        <w:instrText xml:space="preserve"> SEQ Equation \* ARABIC </w:instrText>
      </w:r>
      <w:r>
        <w:fldChar w:fldCharType="separate"/>
      </w:r>
      <w:r w:rsidR="009523E5">
        <w:t>7</w:t>
      </w:r>
      <w:r>
        <w:fldChar w:fldCharType="end"/>
      </w:r>
    </w:p>
    <w:p w14:paraId="755A9354" w14:textId="77777777" w:rsidR="009523E5" w:rsidRDefault="003B4279" w:rsidP="009201D3">
      <w:pPr>
        <w:spacing w:after="0" w:line="240" w:lineRule="auto"/>
      </w:pPr>
      <w:r>
        <w:t xml:space="preserve">where </w:t>
      </w:r>
      <w:r>
        <w:rPr>
          <w:position w:val="-12"/>
        </w:rPr>
        <w:object w:dxaOrig="263" w:dyaOrig="346" w14:anchorId="534A24B6">
          <v:shape id="_x0000_i1039" type="#_x0000_t75" style="width:13.2pt;height:16.9pt" o:ole="">
            <v:imagedata r:id="rId88" o:title=""/>
          </v:shape>
          <o:OLEObject Type="Embed" ProgID="Equation.DSMT4" ShapeID="_x0000_i1039" DrawAspect="Content" ObjectID="_1817025316" r:id="rId89"/>
        </w:object>
      </w:r>
      <w:r>
        <w:t xml:space="preserve">is the strain of concrete, </w:t>
      </w:r>
      <w:r>
        <w:rPr>
          <w:position w:val="-14"/>
        </w:rPr>
        <w:object w:dxaOrig="443" w:dyaOrig="388" w14:anchorId="5E6F48B6">
          <v:shape id="_x0000_i1040" type="#_x0000_t75" style="width:22.8pt;height:19.85pt" o:ole="">
            <v:imagedata r:id="rId90" o:title=""/>
          </v:shape>
          <o:OLEObject Type="Embed" ProgID="Equation.DSMT4" ShapeID="_x0000_i1040" DrawAspect="Content" ObjectID="_1817025317" r:id="rId91"/>
        </w:object>
      </w:r>
      <w:r>
        <w:t xml:space="preserve">is the strain of GFRP, x is the plastic neutral axis, H is </w:t>
      </w:r>
      <w:r w:rsidRPr="002747BE">
        <w:t xml:space="preserve">the overall depth of beam, and </w:t>
      </w:r>
      <w:r w:rsidRPr="002747BE">
        <w:rPr>
          <w:position w:val="-14"/>
        </w:rPr>
        <w:object w:dxaOrig="443" w:dyaOrig="388" w14:anchorId="6E454BDA">
          <v:shape id="_x0000_i1041" type="#_x0000_t75" style="width:22.8pt;height:19.85pt" o:ole="">
            <v:imagedata r:id="rId92" o:title=""/>
          </v:shape>
          <o:OLEObject Type="Embed" ProgID="Equation.DSMT4" ShapeID="_x0000_i1041" DrawAspect="Content" ObjectID="_1817025318" r:id="rId93"/>
        </w:object>
      </w:r>
      <w:r w:rsidRPr="002747BE">
        <w:t xml:space="preserve"> is the height of the soffit of reinforced concrete beam to </w:t>
      </w:r>
      <w:r w:rsidRPr="002747BE">
        <w:rPr>
          <w:lang w:val="en-US"/>
        </w:rPr>
        <w:t>the</w:t>
      </w:r>
      <w:r>
        <w:rPr>
          <w:lang w:val="en-US"/>
        </w:rPr>
        <w:t xml:space="preserve"> </w:t>
      </w:r>
      <w:r>
        <w:t>centroid of GFRP bar.</w:t>
      </w:r>
    </w:p>
    <w:p w14:paraId="2ED2E1C5" w14:textId="77777777" w:rsidR="009523E5" w:rsidRDefault="003B4279" w:rsidP="009201D3">
      <w:pPr>
        <w:pStyle w:val="Caption"/>
        <w:spacing w:after="0" w:line="240" w:lineRule="auto"/>
      </w:pPr>
      <w:r>
        <w:rPr>
          <w:position w:val="-32"/>
        </w:rPr>
        <w:object w:dxaOrig="1717" w:dyaOrig="734" w14:anchorId="737BCCF3">
          <v:shape id="_x0000_i1042" type="#_x0000_t75" style="width:85.95pt;height:36pt" o:ole="">
            <v:imagedata r:id="rId94" o:title=""/>
          </v:shape>
          <o:OLEObject Type="Embed" ProgID="Equation.DSMT4" ShapeID="_x0000_i1042" DrawAspect="Content" ObjectID="_1817025319" r:id="rId95"/>
        </w:object>
      </w:r>
      <w:r>
        <w:tab/>
      </w:r>
      <w:r>
        <w:tab/>
      </w:r>
      <w:r>
        <w:tab/>
      </w:r>
      <w:r>
        <w:tab/>
      </w:r>
      <w:r>
        <w:tab/>
      </w:r>
      <w:r>
        <w:tab/>
      </w:r>
      <w:r>
        <w:tab/>
      </w:r>
      <w:r>
        <w:tab/>
      </w:r>
      <w:r>
        <w:tab/>
      </w:r>
      <w:r>
        <w:tab/>
      </w:r>
      <w:r>
        <w:fldChar w:fldCharType="begin"/>
      </w:r>
      <w:r>
        <w:instrText xml:space="preserve"> SEQ Equation \* ARABIC </w:instrText>
      </w:r>
      <w:r>
        <w:fldChar w:fldCharType="separate"/>
      </w:r>
      <w:r w:rsidR="009523E5">
        <w:t>8</w:t>
      </w:r>
      <w:r>
        <w:fldChar w:fldCharType="end"/>
      </w:r>
    </w:p>
    <w:p w14:paraId="6B2C1DE7" w14:textId="7A159CDC" w:rsidR="009523E5" w:rsidRDefault="003B4279" w:rsidP="009201D3">
      <w:pPr>
        <w:pStyle w:val="Caption"/>
        <w:spacing w:after="0" w:line="240" w:lineRule="auto"/>
      </w:pPr>
      <w:r>
        <w:t xml:space="preserve">The strain of the concrete, </w:t>
      </w:r>
      <w:r>
        <w:rPr>
          <w:position w:val="-12"/>
        </w:rPr>
        <w:object w:dxaOrig="263" w:dyaOrig="346" w14:anchorId="6F726FB3">
          <v:shape id="_x0000_i1043" type="#_x0000_t75" style="width:13.2pt;height:16.9pt" o:ole="">
            <v:imagedata r:id="rId88" o:title=""/>
          </v:shape>
          <o:OLEObject Type="Embed" ProgID="Equation.DSMT4" ShapeID="_x0000_i1043" DrawAspect="Content" ObjectID="_1817025320" r:id="rId96"/>
        </w:object>
      </w:r>
      <w:r>
        <w:t xml:space="preserve"> at the extreme compression fibre under the condition of only steel reinforcement is 0.0035 corresponding to a height of x. The strain of the concrete section at the h</w:t>
      </w:r>
      <w:r>
        <w:t xml:space="preserve">eight x when the contribution of the </w:t>
      </w:r>
      <w:r w:rsidRPr="002747BE">
        <w:t>strain from the G</w:t>
      </w:r>
      <w:r w:rsidRPr="002747BE">
        <w:rPr>
          <w:lang w:val="en-US"/>
        </w:rPr>
        <w:t>FRP</w:t>
      </w:r>
      <w:r w:rsidRPr="002747BE">
        <w:t xml:space="preserve"> bar is factored into </w:t>
      </w:r>
      <w:r w:rsidR="002747BE" w:rsidRPr="002747BE">
        <w:rPr>
          <w:lang w:val="en-US"/>
        </w:rPr>
        <w:t>equation</w:t>
      </w:r>
      <w:r w:rsidRPr="002747BE">
        <w:t xml:space="preserve"> 8 is given as </w:t>
      </w:r>
      <w:r w:rsidRPr="002747BE">
        <w:rPr>
          <w:rFonts w:cs="Times New Roman"/>
          <w:sz w:val="28"/>
          <w:szCs w:val="20"/>
        </w:rPr>
        <w:t>ε</w:t>
      </w:r>
      <w:r w:rsidRPr="002747BE">
        <w:rPr>
          <w:vertAlign w:val="subscript"/>
        </w:rPr>
        <w:t>c</w:t>
      </w:r>
      <w:r w:rsidRPr="002747BE">
        <w:t xml:space="preserve">, thus the height of y at a strain of </w:t>
      </w:r>
      <w:r w:rsidRPr="002747BE">
        <w:rPr>
          <w:rFonts w:cs="Times New Roman"/>
          <w:sz w:val="28"/>
          <w:szCs w:val="20"/>
        </w:rPr>
        <w:t>ε</w:t>
      </w:r>
      <w:r w:rsidRPr="002747BE">
        <w:rPr>
          <w:vertAlign w:val="subscript"/>
        </w:rPr>
        <w:t>c</w:t>
      </w:r>
      <w:r w:rsidRPr="002747BE">
        <w:t xml:space="preserve"> is given in equation 9. The effective heights as illustrated by Zhang et al. (2023) </w:t>
      </w:r>
      <w:r w:rsidRPr="002747BE">
        <w:rPr>
          <w:lang w:val="en-US"/>
        </w:rPr>
        <w:t>are</w:t>
      </w:r>
      <w:r w:rsidRPr="002747BE">
        <w:t xml:space="preserve"> shown in </w:t>
      </w:r>
      <w:r w:rsidRPr="002747BE">
        <w:fldChar w:fldCharType="begin"/>
      </w:r>
      <w:r w:rsidRPr="002747BE">
        <w:instrText xml:space="preserve"> REF _Ref19505</w:instrText>
      </w:r>
      <w:r w:rsidRPr="002747BE">
        <w:instrText xml:space="preserve">1175 \h </w:instrText>
      </w:r>
      <w:r w:rsidRPr="002747BE">
        <w:fldChar w:fldCharType="separate"/>
      </w:r>
      <w:r w:rsidR="00481BB4">
        <w:t xml:space="preserve">Fig. </w:t>
      </w:r>
      <w:r w:rsidR="00481BB4">
        <w:rPr>
          <w:noProof/>
        </w:rPr>
        <w:t>24</w:t>
      </w:r>
      <w:r w:rsidRPr="002747BE">
        <w:fldChar w:fldCharType="end"/>
      </w:r>
      <w:r w:rsidRPr="002747BE">
        <w:t xml:space="preserve">, where the height from the neutral axis to the extreme compression fibre is x, </w:t>
      </w:r>
      <w:r>
        <w:t xml:space="preserve">the height from the neutral axis to the </w:t>
      </w:r>
      <w:r>
        <w:rPr>
          <w:rFonts w:cs="Times New Roman"/>
          <w:sz w:val="28"/>
          <w:szCs w:val="20"/>
        </w:rPr>
        <w:t>ε</w:t>
      </w:r>
      <w:r>
        <w:rPr>
          <w:vertAlign w:val="subscript"/>
        </w:rPr>
        <w:t>c</w:t>
      </w:r>
      <w:r>
        <w:t xml:space="preserve"> is y and the effective height y</w:t>
      </w:r>
      <w:r>
        <w:rPr>
          <w:vertAlign w:val="subscript"/>
        </w:rPr>
        <w:t>e</w:t>
      </w:r>
      <w:r>
        <w:t xml:space="preserve"> is given as the su</w:t>
      </w:r>
      <w:r>
        <w:t>m of y to the median of x and y.</w:t>
      </w:r>
    </w:p>
    <w:p w14:paraId="168410DF" w14:textId="77777777" w:rsidR="009523E5" w:rsidRDefault="009523E5" w:rsidP="009201D3">
      <w:pPr>
        <w:pStyle w:val="Caption"/>
        <w:spacing w:after="0" w:line="240" w:lineRule="auto"/>
      </w:pPr>
    </w:p>
    <w:p w14:paraId="6387E87E" w14:textId="77777777" w:rsidR="009523E5" w:rsidRDefault="003B4279" w:rsidP="009201D3">
      <w:pPr>
        <w:pStyle w:val="Caption"/>
        <w:spacing w:after="0" w:line="240" w:lineRule="auto"/>
      </w:pPr>
      <w:r>
        <w:rPr>
          <w:position w:val="-30"/>
        </w:rPr>
        <w:object w:dxaOrig="1288" w:dyaOrig="678" w14:anchorId="143415C0">
          <v:shape id="_x0000_i1044" type="#_x0000_t75" style="width:64.65pt;height:33.8pt" o:ole="">
            <v:imagedata r:id="rId97" o:title=""/>
          </v:shape>
          <o:OLEObject Type="Embed" ProgID="Equation.DSMT4" ShapeID="_x0000_i1044" DrawAspect="Content" ObjectID="_1817025321" r:id="rId98"/>
        </w:object>
      </w:r>
      <w:r>
        <w:tab/>
      </w:r>
      <w:r>
        <w:tab/>
      </w:r>
      <w:r>
        <w:tab/>
      </w:r>
      <w:r>
        <w:tab/>
      </w:r>
      <w:r>
        <w:tab/>
      </w:r>
      <w:r>
        <w:tab/>
      </w:r>
      <w:r>
        <w:tab/>
      </w:r>
      <w:r>
        <w:tab/>
      </w:r>
      <w:r>
        <w:tab/>
      </w:r>
      <w:r>
        <w:tab/>
      </w:r>
      <w:r>
        <w:tab/>
      </w:r>
      <w:r>
        <w:fldChar w:fldCharType="begin"/>
      </w:r>
      <w:r>
        <w:instrText xml:space="preserve"> SEQ Equation \* ARABIC </w:instrText>
      </w:r>
      <w:r>
        <w:fldChar w:fldCharType="separate"/>
      </w:r>
      <w:r w:rsidR="009523E5">
        <w:t>9</w:t>
      </w:r>
      <w:r>
        <w:fldChar w:fldCharType="end"/>
      </w:r>
    </w:p>
    <w:p w14:paraId="6FEF0D6D" w14:textId="77777777" w:rsidR="009523E5" w:rsidRDefault="003B4279" w:rsidP="009201D3">
      <w:pPr>
        <w:spacing w:after="0" w:line="240" w:lineRule="auto"/>
      </w:pPr>
      <w:r>
        <w:rPr>
          <w:noProof/>
        </w:rPr>
        <w:lastRenderedPageBreak/>
        <w:drawing>
          <wp:inline distT="0" distB="0" distL="0" distR="0" wp14:anchorId="2D3313A2" wp14:editId="1B850020">
            <wp:extent cx="2206625" cy="2447290"/>
            <wp:effectExtent l="0" t="0" r="3175" b="0"/>
            <wp:docPr id="2068171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71603"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218573" cy="2460366"/>
                    </a:xfrm>
                    <a:prstGeom prst="rect">
                      <a:avLst/>
                    </a:prstGeom>
                    <a:noFill/>
                    <a:ln>
                      <a:noFill/>
                    </a:ln>
                  </pic:spPr>
                </pic:pic>
              </a:graphicData>
            </a:graphic>
          </wp:inline>
        </w:drawing>
      </w:r>
    </w:p>
    <w:p w14:paraId="40E2FEC4" w14:textId="1FDFF254" w:rsidR="009523E5" w:rsidRDefault="003B4279" w:rsidP="009201D3">
      <w:pPr>
        <w:pStyle w:val="Caption"/>
        <w:spacing w:after="0" w:line="240" w:lineRule="auto"/>
      </w:pPr>
      <w:bookmarkStart w:id="33" w:name="_Ref195051175"/>
      <w:r>
        <w:t xml:space="preserve">Fig. </w:t>
      </w:r>
      <w:r>
        <w:fldChar w:fldCharType="begin"/>
      </w:r>
      <w:r>
        <w:instrText xml:space="preserve"> SEQ Fig. \* ARABIC </w:instrText>
      </w:r>
      <w:r>
        <w:fldChar w:fldCharType="separate"/>
      </w:r>
      <w:r w:rsidR="002316B1">
        <w:rPr>
          <w:noProof/>
        </w:rPr>
        <w:t>24</w:t>
      </w:r>
      <w:r>
        <w:rPr>
          <w:noProof/>
        </w:rPr>
        <w:fldChar w:fldCharType="end"/>
      </w:r>
      <w:bookmarkEnd w:id="33"/>
      <w:r>
        <w:t xml:space="preserve"> Reduced moment effective heights </w:t>
      </w:r>
      <w:r>
        <w:fldChar w:fldCharType="begin" w:fldLock="1"/>
      </w:r>
      <w:r>
        <w:instrText xml:space="preserve">ADDIN CSL_CITATION </w:instrText>
      </w:r>
      <w:r>
        <w:instrText>{"citationItems":[{"id":"ITEM-1","itemData":{"DOI":"10.1016/j.engstruct.2023.116163","ISSN":"18737323","abstract":"Glass fiber-reinforced polymer (GFRP) reinforced concrete beams can be effectively strengthened and made more durable using carbon fiber-rein</w:instrText>
      </w:r>
      <w:r>
        <w:instrText>forced polymer (CFRP) grid-reinforced engineered cement composite (ECC). However, the bearing mechanism and design formula for the flexural capacity of this type of hybrid beam are not yet clear. Hence, it is necessary to conduct a thorough study on it thr</w:instrText>
      </w:r>
      <w:r>
        <w:instrText>ough numerical analysis. In this paper, a series of refined finite element (FE) models were established and verified by comparing the failure modes and load–displacement curves with experimental results. The mechanical behaviors of GFRP bars, steel bars, C</w:instrText>
      </w:r>
      <w:r>
        <w:instrText>FRP grids, concrete, and ECC were analyzed in depth. Then, the effects of some key parameters on the flexural behavior of the hybrid beam were investigated, including the compressive strength of the concrete prism, diameter of GFRP bars, tensile strength o</w:instrText>
      </w:r>
      <w:r>
        <w:instrText>f ECC, cover thickness of ECC, and cross-sectional area of CFRP grid. Finally, a new formula for the flexural capacity of the hybrid beam was proposed based on the plane-section assumption, and its accuracy was verified by both experimental and numerical f</w:instrText>
      </w:r>
      <w:r>
        <w:instrText xml:space="preserve">indings. The results showed that the contribution of the combined concrete and ECC to the flexural capacity of the beam was 43.45% at peak load. The proposed formula accurately predicted the flexural capacity of the hybrid beam and can be applied to other </w:instrText>
      </w:r>
      <w:r>
        <w:instrText>beams of similar formations.","author":[{"dropping-particle":"","family":"Zhang","given":"Zaiyu","non-dropping-particle":"","parse-names":false,"suffix":""},{"dropping-particle":"","family":"Wu","given":"Xiaohong","non-dropping-particle":"","parse-names":f</w:instrText>
      </w:r>
      <w:r>
        <w:instrText>alse,"suffix":""},{"dropping-particle":"","family":"Zhang","given":"Jinghua","non-dropping-particle":"","parse-names":false,"suffix":""},{"dropping-particle":"","family":"Sun","given":"Qing","non-dropping-particle":"","parse-names":false,"suffix":""},{"dro</w:instrText>
      </w:r>
      <w:r>
        <w:instrText>pping-particle":"","family":"Tian","given":"Penggang","non-dropping-particle":"","parse-names":false,"suffix":""},{"dropping-particle":"","family":"Hu","given":"Gaoxing","non-dropping-particle":"","parse-names":false,"suffix":""}],"container-title":"Engine</w:instrText>
      </w:r>
      <w:r>
        <w:instrText>ering Structures","id":"ITEM-1","issue":"August","issued":{"date-parts":[["2023"]]},"page":"1-28","title":"Numerical investigation on the flexural behavior of GFRP reinforced concrete beams with CFRP grid-reinforced engineered cementitious composites","typ</w:instrText>
      </w:r>
      <w:r>
        <w:instrText>e":"article-journal","volume":"288"},"uris":["http://www.mendeley.com/documents/?uuid=81b1ee8f-8f37-411e-9ce4-973796c0d02e"]}],"mendeley":{"formattedCitation":"(Zhang et al., 2023)","plainTextFormattedCitation":"(Zhang et al., 2023)","previouslyFormattedCi</w:instrText>
      </w:r>
      <w:r>
        <w:instrText>tation":"(Zhang et al., 2023)"},"properties":{"noteIndex":0},"schema":"https://github.com/citation-style-language/schema/raw/master/csl-citation.json"}</w:instrText>
      </w:r>
      <w:r>
        <w:fldChar w:fldCharType="separate"/>
      </w:r>
      <w:r>
        <w:t>(Zhang et al., 2023)</w:t>
      </w:r>
      <w:r>
        <w:fldChar w:fldCharType="end"/>
      </w:r>
    </w:p>
    <w:p w14:paraId="5F547BE5" w14:textId="77777777" w:rsidR="009523E5" w:rsidRDefault="009523E5" w:rsidP="009201D3">
      <w:pPr>
        <w:spacing w:after="0" w:line="240" w:lineRule="auto"/>
      </w:pPr>
    </w:p>
    <w:p w14:paraId="4721E01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position w:val="-14"/>
        </w:rPr>
        <w:object w:dxaOrig="1883" w:dyaOrig="402" w14:anchorId="58629009">
          <v:shape id="_x0000_i1045" type="#_x0000_t75" style="width:94.8pt;height:20.55pt" o:ole="">
            <v:imagedata r:id="rId100" o:title=""/>
          </v:shape>
          <o:OLEObject Type="Embed" ProgID="Equation.DSMT4" ShapeID="_x0000_i1045" DrawAspect="Content" ObjectID="_1817025322" r:id="rId101"/>
        </w:objec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w:instrText>
      </w:r>
      <w:r>
        <w:rPr>
          <w:rFonts w:ascii="Times New Roman" w:hAnsi="Times New Roman" w:cs="Times New Roman"/>
        </w:rPr>
        <w:instrText>1","itemData":{"DOI":"10.1016/j.engstruct.2023.116163","ISSN":"18737323","abstract":"Glass fiber-reinforced polymer (GFRP) reinforced concrete beams can be effectively strengthened and made more durable using carbon fiber-reinforced polymer (CFRP) grid-rei</w:instrText>
      </w:r>
      <w:r>
        <w:rPr>
          <w:rFonts w:ascii="Times New Roman" w:hAnsi="Times New Roman" w:cs="Times New Roman"/>
        </w:rPr>
        <w:instrText>nforced engineered cement composite (ECC). However, the bearing mechanism and design formula for the flexural capacity of this type of hybrid beam are not yet clear. Hence, it is necessary to conduct a thorough study on it through numerical analysis. In th</w:instrText>
      </w:r>
      <w:r>
        <w:rPr>
          <w:rFonts w:ascii="Times New Roman" w:hAnsi="Times New Roman" w:cs="Times New Roman"/>
        </w:rPr>
        <w:instrText>is paper, a series of refined finite element (FE) models were established and verified by comparing the failure modes and load–displacement curves with experimental results. The mechanical behaviors of GFRP bars, steel bars, CFRP grids, concrete, and ECC w</w:instrText>
      </w:r>
      <w:r>
        <w:rPr>
          <w:rFonts w:ascii="Times New Roman" w:hAnsi="Times New Roman" w:cs="Times New Roman"/>
        </w:rPr>
        <w:instrText>ere analyzed in depth. Then, the effects of some key parameters on the flexural behavior of the hybrid beam were investigated, including the compressive strength of the concrete prism, diameter of GFRP bars, tensile strength of ECC, cover thickness of ECC,</w:instrText>
      </w:r>
      <w:r>
        <w:rPr>
          <w:rFonts w:ascii="Times New Roman" w:hAnsi="Times New Roman" w:cs="Times New Roman"/>
        </w:rPr>
        <w:instrText xml:space="preserve"> and cross-sectional area of CFRP grid. Finally, a new formula for the flexural capacity of the hybrid beam was proposed based on the plane-section assumption, and its accuracy was verified by both experimental and numerical findings. The results showed th</w:instrText>
      </w:r>
      <w:r>
        <w:rPr>
          <w:rFonts w:ascii="Times New Roman" w:hAnsi="Times New Roman" w:cs="Times New Roman"/>
        </w:rPr>
        <w:instrText>at the contribution of the combined concrete and ECC to the flexural capacity of the beam was 43.45% at peak load. The proposed formula accurately predicted the flexural capacity of the hybrid beam and can be applied to other beams of similar formations.",</w:instrText>
      </w:r>
      <w:r>
        <w:rPr>
          <w:rFonts w:ascii="Times New Roman" w:hAnsi="Times New Roman" w:cs="Times New Roman"/>
        </w:rPr>
        <w:instrText>"author":[{"dropping-particle":"","family":"Zhang","given":"Zaiyu","non-dropping-particle":"","parse-names":false,"suffix":""},{"dropping-particle":"","family":"Wu","given":"Xiaohong","non-dropping-particle":"","parse-names":false,"suffix":""},{"dropping-p</w:instrText>
      </w:r>
      <w:r>
        <w:rPr>
          <w:rFonts w:ascii="Times New Roman" w:hAnsi="Times New Roman" w:cs="Times New Roman"/>
        </w:rPr>
        <w:instrText>article":"","family":"Zhang","given":"Jinghua","non-dropping-particle":"","parse-names":false,"suffix":""},{"dropping-particle":"","family":"Sun","given":"Qing","non-dropping-particle":"","parse-names":false,"suffix":""},{"dropping-particle":"","family":"T</w:instrText>
      </w:r>
      <w:r>
        <w:rPr>
          <w:rFonts w:ascii="Times New Roman" w:hAnsi="Times New Roman" w:cs="Times New Roman"/>
        </w:rPr>
        <w:instrText>ian","given":"Penggang","non-dropping-particle":"","parse-names":false,"suffix":""},{"dropping-particle":"","family":"Hu","given":"Gaoxing","non-dropping-particle":"","parse-names":false,"suffix":""}],"container-title":"Engineering Structures","id":"ITEM-1</w:instrText>
      </w:r>
      <w:r>
        <w:rPr>
          <w:rFonts w:ascii="Times New Roman" w:hAnsi="Times New Roman" w:cs="Times New Roman"/>
        </w:rPr>
        <w:instrText>","issue":"August","issued":{"date-parts":[["2023"]]},"page":"1-28","title":"Numerical investigation on the flexural behavior of GFRP reinforced concrete beams with CFRP grid-reinforced engineered cementitious composites","type":"article-journal","volume":</w:instrText>
      </w:r>
      <w:r>
        <w:rPr>
          <w:rFonts w:ascii="Times New Roman" w:hAnsi="Times New Roman" w:cs="Times New Roman"/>
        </w:rPr>
        <w:instrText>"288"},"uris":["http://www.mendeley.com/documents/?uuid=81b1ee8f-8f37-411e-9ce4-973796c0d02e"]}],"mendeley":{"formattedCitation":"(Zhang et al., 2023)","plainTextFormattedCitation":"(Zhang et al., 2023)","previouslyFormattedCitation":"(Zhang et al., 2023)"</w:instrText>
      </w:r>
      <w:r>
        <w:rPr>
          <w:rFonts w:ascii="Times New Roman" w:hAnsi="Times New Roman" w:cs="Times New Roman"/>
        </w:rPr>
        <w:instrText>},"properties":{"noteIndex":0},"schema":"https://github.com/citation-style-language/schema/raw/master/csl-citation.json"}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(Zhang et al., 2023)</w:t>
      </w:r>
      <w:r>
        <w:rPr>
          <w:rFonts w:ascii="Times New Roman" w:hAnsi="Times New Roman" w:cs="Times New Roman"/>
        </w:rPr>
        <w:fldChar w:fldCharType="end"/>
      </w:r>
    </w:p>
    <w:p w14:paraId="799F0C1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where y</w:t>
      </w:r>
      <w:r>
        <w:rPr>
          <w:rFonts w:ascii="Times New Roman" w:hAnsi="Times New Roman" w:cs="Times New Roman"/>
          <w:vertAlign w:val="subscript"/>
          <w:lang w:val="en-US"/>
        </w:rPr>
        <w:t>e</w:t>
      </w:r>
      <w:r>
        <w:rPr>
          <w:rFonts w:ascii="Times New Roman" w:hAnsi="Times New Roman" w:cs="Times New Roman"/>
        </w:rPr>
        <w:t xml:space="preserve"> is the effective height of concrete and y the height of concrete at </w:t>
      </w:r>
      <w:r>
        <w:rPr>
          <w:rFonts w:cs="Times New Roman"/>
          <w:sz w:val="28"/>
          <w:szCs w:val="20"/>
        </w:rPr>
        <w:t>ε</w:t>
      </w:r>
      <w:r>
        <w:rPr>
          <w:vertAlign w:val="subscript"/>
        </w:rPr>
        <w:t>c</w:t>
      </w:r>
    </w:p>
    <w:p w14:paraId="65A0264C"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position w:val="-28"/>
        </w:rPr>
        <w:object w:dxaOrig="2049" w:dyaOrig="678" w14:anchorId="583C7CE3">
          <v:shape id="_x0000_i1046" type="#_x0000_t75" style="width:102.1pt;height:33.8pt" o:ole="">
            <v:imagedata r:id="rId102" o:title=""/>
          </v:shape>
          <o:OLEObject Type="Embed" ProgID="Equation.DSMT4" ShapeID="_x0000_i1046" DrawAspect="Content" ObjectID="_1817025323" r:id="rId103"/>
        </w:objec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{"citationItems":[{"id":"ITEM-1","itemData":{"DOI":"10.1016/j.engstruct.2023.116163","ISSN":"18737323","abstract":"Glass fiber-reinforced polymer (GFRP) reinforced concrete beams can be effectively strengthened and made more durable usin</w:instrText>
      </w:r>
      <w:r>
        <w:rPr>
          <w:rFonts w:ascii="Times New Roman" w:hAnsi="Times New Roman" w:cs="Times New Roman"/>
        </w:rPr>
        <w:instrText>g carbon fiber-reinforced polymer (CFRP) grid-reinforced engineered cement composite (ECC). However, the bearing mechanism and design formula for the flexural capacity of this type of hybrid beam are not yet clear. Hence, it is necessary to conduct a thoro</w:instrText>
      </w:r>
      <w:r>
        <w:rPr>
          <w:rFonts w:ascii="Times New Roman" w:hAnsi="Times New Roman" w:cs="Times New Roman"/>
        </w:rPr>
        <w:instrText xml:space="preserve">ugh study on it through numerical analysis. In this paper, a series of refined finite element (FE) models were established and verified by comparing the failure modes and load–displacement curves with experimental results. The mechanical behaviors of GFRP </w:instrText>
      </w:r>
      <w:r>
        <w:rPr>
          <w:rFonts w:ascii="Times New Roman" w:hAnsi="Times New Roman" w:cs="Times New Roman"/>
        </w:rPr>
        <w:instrText>bars, steel bars, CFRP grids, concrete, and ECC were analyzed in depth. Then, the effects of some key parameters on the flexural behavior of the hybrid beam were investigated, including the compressive strength of the concrete prism, diameter of GFRP bars,</w:instrText>
      </w:r>
      <w:r>
        <w:rPr>
          <w:rFonts w:ascii="Times New Roman" w:hAnsi="Times New Roman" w:cs="Times New Roman"/>
        </w:rPr>
        <w:instrText xml:space="preserve"> tensile strength of ECC, cover thickness of ECC, and cross-sectional area of CFRP grid. Finally, a new formula for the flexural capacity of the hybrid beam was proposed based on the plane-section assumption, and its accuracy was verified by both experimen</w:instrText>
      </w:r>
      <w:r>
        <w:rPr>
          <w:rFonts w:ascii="Times New Roman" w:hAnsi="Times New Roman" w:cs="Times New Roman"/>
        </w:rPr>
        <w:instrText>tal and numerical findings. The results showed that the contribution of the combined concrete and ECC to the flexural capacity of the beam was 43.45% at peak load. The proposed formula accurately predicted the flexural capacity of the hybrid beam and can b</w:instrText>
      </w:r>
      <w:r>
        <w:rPr>
          <w:rFonts w:ascii="Times New Roman" w:hAnsi="Times New Roman" w:cs="Times New Roman"/>
        </w:rPr>
        <w:instrText>e applied to other beams of similar formations.","author":[{"dropping-particle":"","family":"Zhang","given":"Zaiyu","non-dropping-particle":"","parse-names":false,"suffix":""},{"dropping-particle":"","family":"Wu","given":"Xiaohong","non-dropping-particle"</w:instrText>
      </w:r>
      <w:r>
        <w:rPr>
          <w:rFonts w:ascii="Times New Roman" w:hAnsi="Times New Roman" w:cs="Times New Roman"/>
        </w:rPr>
        <w:instrText>:"","parse-names":false,"suffix":""},{"dropping-particle":"","family":"Zhang","given":"Jinghua","non-dropping-particle":"","parse-names":false,"suffix":""},{"dropping-particle":"","family":"Sun","given":"Qing","non-dropping-particle":"","parse-names":false</w:instrText>
      </w:r>
      <w:r>
        <w:rPr>
          <w:rFonts w:ascii="Times New Roman" w:hAnsi="Times New Roman" w:cs="Times New Roman"/>
        </w:rPr>
        <w:instrText>,"suffix":""},{"dropping-particle":"","family":"Tian","given":"Penggang","non-dropping-particle":"","parse-names":false,"suffix":""},{"dropping-particle":"","family":"Hu","given":"Gaoxing","non-dropping-particle":"","parse-names":false,"suffix":""}],"conta</w:instrText>
      </w:r>
      <w:r>
        <w:rPr>
          <w:rFonts w:ascii="Times New Roman" w:hAnsi="Times New Roman" w:cs="Times New Roman"/>
        </w:rPr>
        <w:instrText>iner-title":"Engineering Structures","id":"ITEM-1","issue":"August","issued":{"date-parts":[["2023"]]},"page":"1-28","title":"Numerical investigation on the flexural behavior of GFRP reinforced concrete beams with CFRP grid-reinforced engineered cementitio</w:instrText>
      </w:r>
      <w:r>
        <w:rPr>
          <w:rFonts w:ascii="Times New Roman" w:hAnsi="Times New Roman" w:cs="Times New Roman"/>
        </w:rPr>
        <w:instrText>us composites","type":"article-journal","volume":"288"},"uris":["http://www.mendeley.com/documents/?uuid=81b1ee8f-8f37-411e-9ce4-973796c0d02e"]}],"mendeley":{"formattedCitation":"(Zhang et al., 2023)","plainTextFormattedCitation":"(Zhang et al., 2023)","pr</w:instrText>
      </w:r>
      <w:r>
        <w:rPr>
          <w:rFonts w:ascii="Times New Roman" w:hAnsi="Times New Roman" w:cs="Times New Roman"/>
        </w:rPr>
        <w:instrText>eviouslyFormattedCitation":"(Zhang et al.,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(Zhang et al., 2023)</w:t>
      </w:r>
      <w:r>
        <w:rPr>
          <w:rFonts w:ascii="Times New Roman" w:hAnsi="Times New Roman" w:cs="Times New Roman"/>
        </w:rPr>
        <w:fldChar w:fldCharType="end"/>
      </w:r>
    </w:p>
    <w:p w14:paraId="4BEA1E54" w14:textId="15D5A5E2" w:rsidR="009523E5" w:rsidRDefault="002747BE" w:rsidP="009201D3">
      <w:pPr>
        <w:spacing w:after="0" w:line="240" w:lineRule="auto"/>
        <w:rPr>
          <w:rFonts w:ascii="Times New Roman" w:hAnsi="Times New Roman" w:cs="Times New Roman"/>
        </w:rPr>
      </w:pPr>
      <w:r w:rsidRPr="002747BE">
        <w:rPr>
          <w:rFonts w:ascii="Times New Roman" w:hAnsi="Times New Roman" w:cs="Times New Roman"/>
          <w:lang w:val="en-US"/>
        </w:rPr>
        <w:t>According</w:t>
      </w:r>
      <w:r w:rsidRPr="002747BE">
        <w:rPr>
          <w:rFonts w:ascii="Times New Roman" w:hAnsi="Times New Roman" w:cs="Times New Roman"/>
        </w:rPr>
        <w:t xml:space="preserve"> </w:t>
      </w:r>
      <w:r w:rsidRPr="002747BE">
        <w:rPr>
          <w:rFonts w:ascii="Times New Roman" w:hAnsi="Times New Roman" w:cs="Times New Roman"/>
          <w:lang w:val="en-US"/>
        </w:rPr>
        <w:t xml:space="preserve">to </w:t>
      </w:r>
      <w:r>
        <w:rPr>
          <w:rFonts w:ascii="Times New Roman" w:hAnsi="Times New Roman" w:cs="Times New Roman"/>
          <w:lang w:val="en-US"/>
        </w:rPr>
        <w:t xml:space="preserve">Zhang </w:t>
      </w:r>
      <w:r w:rsidR="00C868B6">
        <w:rPr>
          <w:rFonts w:ascii="Times New Roman" w:hAnsi="Times New Roman" w:cs="Times New Roman"/>
          <w:lang w:val="en-US"/>
        </w:rPr>
        <w:t>et al. (</w:t>
      </w:r>
      <w:r>
        <w:rPr>
          <w:rFonts w:ascii="Times New Roman" w:hAnsi="Times New Roman" w:cs="Times New Roman"/>
          <w:lang w:val="en-US"/>
        </w:rPr>
        <w:t>2023)</w:t>
      </w:r>
      <w:r>
        <w:rPr>
          <w:rFonts w:ascii="Times New Roman" w:hAnsi="Times New Roman" w:cs="Times New Roman"/>
        </w:rPr>
        <w:t>, the effective components are able to reduce the compressive strength to bring correlation to the real strength scenario.</w:t>
      </w:r>
    </w:p>
    <w:p w14:paraId="6F9A6BDB"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CE</w:t>
      </w:r>
      <w:r>
        <w:rPr>
          <w:rFonts w:ascii="Times New Roman" w:hAnsi="Times New Roman" w:cs="Times New Roman"/>
        </w:rPr>
        <w:t xml:space="preserve"> is the effective compressive strength, fc is the compressive strength</w:t>
      </w:r>
    </w:p>
    <w:p w14:paraId="1228AD9E" w14:textId="77777777" w:rsidR="009523E5" w:rsidRDefault="003B4279" w:rsidP="009201D3">
      <w:pPr>
        <w:pStyle w:val="Caption"/>
        <w:spacing w:after="0" w:line="240" w:lineRule="auto"/>
      </w:pPr>
      <w:r>
        <w:rPr>
          <w:position w:val="-28"/>
        </w:rPr>
        <w:object w:dxaOrig="4722" w:dyaOrig="734" w14:anchorId="23900594">
          <v:shape id="_x0000_i1047" type="#_x0000_t75" style="width:236.55pt;height:36pt" o:ole="">
            <v:imagedata r:id="rId104" o:title=""/>
          </v:shape>
          <o:OLEObject Type="Embed" ProgID="Equation.DSMT4" ShapeID="_x0000_i1047" DrawAspect="Content" ObjectID="_1817025324" r:id="rId105"/>
        </w:object>
      </w:r>
      <w:r>
        <w:tab/>
      </w:r>
      <w:r>
        <w:tab/>
      </w:r>
      <w:r>
        <w:tab/>
      </w:r>
      <w:r>
        <w:tab/>
      </w:r>
      <w:r>
        <w:tab/>
      </w:r>
      <w:r>
        <w:tab/>
      </w:r>
      <w:r>
        <w:fldChar w:fldCharType="begin"/>
      </w:r>
      <w:r>
        <w:instrText xml:space="preserve"> SEQ Equation \* ARABIC </w:instrText>
      </w:r>
      <w:r>
        <w:fldChar w:fldCharType="separate"/>
      </w:r>
      <w:r w:rsidR="009523E5">
        <w:t>10</w:t>
      </w:r>
      <w:r>
        <w:fldChar w:fldCharType="end"/>
      </w:r>
    </w:p>
    <w:p w14:paraId="3D994005" w14:textId="53879ECC" w:rsidR="009523E5" w:rsidRDefault="003B4279" w:rsidP="009201D3">
      <w:pPr>
        <w:tabs>
          <w:tab w:val="left" w:pos="720"/>
        </w:tabs>
        <w:spacing w:after="0" w:line="240" w:lineRule="auto"/>
        <w:rPr>
          <w:rFonts w:ascii="Times New Roman" w:hAnsi="Times New Roman" w:cs="Times New Roman"/>
        </w:rPr>
      </w:pPr>
      <w:r w:rsidRPr="002747BE">
        <w:rPr>
          <w:rFonts w:ascii="Times New Roman" w:hAnsi="Times New Roman" w:cs="Times New Roman"/>
        </w:rPr>
        <w:t>It can be observed from the</w:t>
      </w:r>
      <w:r w:rsidRPr="002747BE">
        <w:rPr>
          <w:rFonts w:ascii="Times New Roman" w:hAnsi="Times New Roman" w:cs="Times New Roman"/>
        </w:rPr>
        <w:t xml:space="preserve"> experimental tests discussed earlier that the failure by debonding </w:t>
      </w:r>
      <w:r w:rsidRPr="002747BE">
        <w:rPr>
          <w:rFonts w:ascii="Times New Roman" w:hAnsi="Times New Roman" w:cs="Times New Roman"/>
          <w:lang w:val="en-US"/>
        </w:rPr>
        <w:t xml:space="preserve">was </w:t>
      </w:r>
      <w:r w:rsidRPr="002747BE">
        <w:rPr>
          <w:rFonts w:ascii="Times New Roman" w:hAnsi="Times New Roman" w:cs="Times New Roman"/>
        </w:rPr>
        <w:t xml:space="preserve">prevalent in the retrofitted beams, </w:t>
      </w:r>
      <w:r w:rsidRPr="002747BE">
        <w:rPr>
          <w:rFonts w:ascii="Times New Roman" w:hAnsi="Times New Roman" w:cs="Times New Roman"/>
          <w:lang w:val="en-US"/>
        </w:rPr>
        <w:t xml:space="preserve">and </w:t>
      </w:r>
      <w:r w:rsidRPr="002747BE">
        <w:rPr>
          <w:rFonts w:ascii="Times New Roman" w:hAnsi="Times New Roman" w:cs="Times New Roman"/>
        </w:rPr>
        <w:t xml:space="preserve">as such the beams did not reach </w:t>
      </w:r>
      <w:r w:rsidR="00481BB4">
        <w:rPr>
          <w:rFonts w:ascii="Times New Roman" w:hAnsi="Times New Roman" w:cs="Times New Roman"/>
        </w:rPr>
        <w:t>their</w:t>
      </w:r>
      <w:r w:rsidRPr="002747BE">
        <w:rPr>
          <w:rFonts w:ascii="Times New Roman" w:hAnsi="Times New Roman" w:cs="Times New Roman"/>
          <w:lang w:val="en-US"/>
        </w:rPr>
        <w:t xml:space="preserve"> </w:t>
      </w:r>
      <w:r w:rsidRPr="002747BE">
        <w:rPr>
          <w:rFonts w:ascii="Times New Roman" w:hAnsi="Times New Roman" w:cs="Times New Roman"/>
        </w:rPr>
        <w:t>full strength of the tensile capacities of the CFRP and the GFRP</w:t>
      </w:r>
      <w:r w:rsidRPr="002747BE">
        <w:rPr>
          <w:rFonts w:ascii="Times New Roman" w:hAnsi="Times New Roman" w:cs="Times New Roman"/>
          <w:lang w:val="en-US"/>
        </w:rPr>
        <w:t>.</w:t>
      </w:r>
      <w:r w:rsidRPr="002747BE">
        <w:rPr>
          <w:rFonts w:ascii="Times New Roman" w:hAnsi="Times New Roman" w:cs="Times New Roman"/>
        </w:rPr>
        <w:t xml:space="preserve"> </w:t>
      </w:r>
      <w:r w:rsidR="00481BB4">
        <w:rPr>
          <w:rFonts w:ascii="Times New Roman" w:hAnsi="Times New Roman" w:cs="Times New Roman"/>
          <w:lang w:val="en-US"/>
        </w:rPr>
        <w:t>Thus</w:t>
      </w:r>
      <w:r w:rsidR="00C868B6" w:rsidRPr="002747BE">
        <w:rPr>
          <w:rFonts w:ascii="Times New Roman" w:hAnsi="Times New Roman" w:cs="Times New Roman"/>
        </w:rPr>
        <w:t>,</w:t>
      </w:r>
      <w:r w:rsidRPr="002747BE">
        <w:rPr>
          <w:rFonts w:ascii="Times New Roman" w:hAnsi="Times New Roman" w:cs="Times New Roman"/>
        </w:rPr>
        <w:t xml:space="preserve"> the effective strength of 300 N/mm</w:t>
      </w:r>
      <w:r w:rsidRPr="002747BE">
        <w:rPr>
          <w:rFonts w:ascii="Times New Roman" w:hAnsi="Times New Roman" w:cs="Times New Roman"/>
          <w:vertAlign w:val="superscript"/>
        </w:rPr>
        <w:t>2</w:t>
      </w:r>
      <w:r w:rsidRPr="002747BE">
        <w:rPr>
          <w:rFonts w:ascii="Times New Roman" w:hAnsi="Times New Roman" w:cs="Times New Roman"/>
        </w:rPr>
        <w:t xml:space="preserve"> is used for the CFRP laminate while the effective strength of the GFRP bar is taken as 550 N/mm</w:t>
      </w:r>
      <w:r w:rsidRPr="002747BE">
        <w:rPr>
          <w:rFonts w:ascii="Times New Roman" w:hAnsi="Times New Roman" w:cs="Times New Roman"/>
          <w:vertAlign w:val="superscript"/>
        </w:rPr>
        <w:t>2</w:t>
      </w:r>
      <w:r w:rsidRPr="002747BE">
        <w:rPr>
          <w:rFonts w:ascii="Times New Roman" w:hAnsi="Times New Roman" w:cs="Times New Roman"/>
        </w:rPr>
        <w:t>. None of the CFRP laminate failed by rupturing. The GFRP bar also did not fail by rupturing as is normally observed in concrete beams reinforced with GFRP ba</w:t>
      </w:r>
      <w:r w:rsidRPr="002747BE">
        <w:rPr>
          <w:rFonts w:ascii="Times New Roman" w:hAnsi="Times New Roman" w:cs="Times New Roman"/>
        </w:rPr>
        <w:t>rs instead of steel reinforcement. The CFRP laminate and GFRP bar d</w:t>
      </w:r>
      <w:r w:rsidRPr="002747BE">
        <w:rPr>
          <w:rFonts w:ascii="Times New Roman" w:hAnsi="Times New Roman" w:cs="Times New Roman"/>
          <w:lang w:val="en-US"/>
        </w:rPr>
        <w:t>id</w:t>
      </w:r>
      <w:r w:rsidRPr="002747BE">
        <w:rPr>
          <w:rFonts w:ascii="Times New Roman" w:hAnsi="Times New Roman" w:cs="Times New Roman"/>
        </w:rPr>
        <w:t xml:space="preserve"> not reach the full strength of rupture in the experimental testing, as such the effective strengths are used in the analytical computations. Tang et al. (2020)</w:t>
      </w:r>
      <w:r w:rsidRPr="002747BE">
        <w:rPr>
          <w:rFonts w:ascii="Times New Roman" w:hAnsi="Times New Roman" w:cs="Times New Roman"/>
          <w:lang w:val="en-US"/>
        </w:rPr>
        <w:t xml:space="preserve"> </w:t>
      </w:r>
      <w:r w:rsidR="002747BE">
        <w:rPr>
          <w:rFonts w:ascii="Times New Roman" w:hAnsi="Times New Roman" w:cs="Times New Roman"/>
          <w:lang w:val="en-US"/>
        </w:rPr>
        <w:t>investigated</w:t>
      </w:r>
      <w:r w:rsidRPr="002747BE">
        <w:rPr>
          <w:rFonts w:ascii="Times New Roman" w:hAnsi="Times New Roman" w:cs="Times New Roman"/>
        </w:rPr>
        <w:t xml:space="preserve"> the effects o</w:t>
      </w:r>
      <w:r w:rsidRPr="002747BE">
        <w:rPr>
          <w:rFonts w:ascii="Times New Roman" w:hAnsi="Times New Roman" w:cs="Times New Roman"/>
        </w:rPr>
        <w:t>f sustained loading in conjunction with wetting-drying cycles on the debonding behaviour of materials. Their findings indicated that debonding significantly degraded bond strength by 8.36% and yielding capacity by 14.29%</w:t>
      </w:r>
      <w:r w:rsidRPr="002747BE">
        <w:rPr>
          <w:rFonts w:ascii="Times New Roman" w:hAnsi="Times New Roman" w:cs="Times New Roman"/>
        </w:rPr>
        <w:fldChar w:fldCharType="begin" w:fldLock="1"/>
      </w:r>
      <w:r w:rsidRPr="002747BE">
        <w:rPr>
          <w:rFonts w:ascii="Times New Roman" w:hAnsi="Times New Roman" w:cs="Times New Roman"/>
        </w:rPr>
        <w:instrText>ADDIN CSL_CITATION {"citationItems":</w:instrText>
      </w:r>
      <w:r w:rsidRPr="002747BE">
        <w:rPr>
          <w:rFonts w:ascii="Times New Roman" w:hAnsi="Times New Roman" w:cs="Times New Roman"/>
        </w:rPr>
        <w:instrText>[{"id":"ITEM-1","itemData":{"DOI":"10.1016/j.engstruct.2020.110570","ISSN":"18737323","abstract":"This paper presents the results of an experimental study designed to investigate the performance of reinforced concrete (RC) beams strengthened with fibre-rei</w:instrText>
      </w:r>
      <w:r w:rsidRPr="002747BE">
        <w:rPr>
          <w:rFonts w:ascii="Times New Roman" w:hAnsi="Times New Roman" w:cs="Times New Roman"/>
        </w:rPr>
        <w:instrText>nforced polymer (FRP) sheets subjected to wetting–drying cycles and a sustained load. Twenty-one RC beams were manufactured and externally bonded with carbon-FRP (CFRP) or glass-FRP (GFRP) sheets. Two U-shaped FRP anchorages were also applied on the ends o</w:instrText>
      </w:r>
      <w:r w:rsidRPr="002747BE">
        <w:rPr>
          <w:rFonts w:ascii="Times New Roman" w:hAnsi="Times New Roman" w:cs="Times New Roman"/>
        </w:rPr>
        <w:instrText>f the beams to prevent end peeling failure. The FRP-strengthened beams were subjected to combined wetting–drying cycles in 5% NaCl solution and sustained loads for 0, 90, 180, and 360 days at load levels of 0%, 30%, and 60% of the ultimate loading capacity</w:instrText>
      </w:r>
      <w:r w:rsidRPr="002747BE">
        <w:rPr>
          <w:rFonts w:ascii="Times New Roman" w:hAnsi="Times New Roman" w:cs="Times New Roman"/>
        </w:rPr>
        <w:instrText xml:space="preserve"> of the unstrengthened beam. During this period, the mid-span deflections and cracks of the beams were monitored, following which the beams were monotonically loaded to failure under a four-point bending. The failure patterns, mid-span deflections, and deb</w:instrText>
      </w:r>
      <w:r w:rsidRPr="002747BE">
        <w:rPr>
          <w:rFonts w:ascii="Times New Roman" w:hAnsi="Times New Roman" w:cs="Times New Roman"/>
        </w:rPr>
        <w:instrText>onding loads were also examined. The test results showed that during sustained loading, the time-dependent and residual deflections of the FRP-strengthened RC beams increased with the increase in their periods of sustained loading and load levels. Intermed</w:instrText>
      </w:r>
      <w:r w:rsidRPr="002747BE">
        <w:rPr>
          <w:rFonts w:ascii="Times New Roman" w:hAnsi="Times New Roman" w:cs="Times New Roman"/>
        </w:rPr>
        <w:instrText>iate crack-induced (IC) debonding of the CFRP-strengthened RC beams was induced by concrete separation and CFRP–concrete interface debonding, whereas that of the GFRP-strengthened RC beams was mainly caused by GFRP–concrete interface debonding. Combined we</w:instrText>
      </w:r>
      <w:r w:rsidRPr="002747BE">
        <w:rPr>
          <w:rFonts w:ascii="Times New Roman" w:hAnsi="Times New Roman" w:cs="Times New Roman"/>
        </w:rPr>
        <w:instrText>tting–drying cycles and a sustained load had an adverse effect on the yielding and debonding load of the FRP-strengthened RC beams, and the ductility of the GFRP-strengthened RC beams was higher than that of the CFRP-strengthened beams. In addition, a mode</w:instrText>
      </w:r>
      <w:r w:rsidRPr="002747BE">
        <w:rPr>
          <w:rFonts w:ascii="Times New Roman" w:hAnsi="Times New Roman" w:cs="Times New Roman"/>
        </w:rPr>
        <w:instrText>l considering the effects of wetting–drying cycles and sustained loads was proposed to predict the debonding load of FRP-strengthened RC beams, and it showed a reliable prediction.","author":[{"dropping-particle":"","family":"Tang","given":"Wenshui","non-d</w:instrText>
      </w:r>
      <w:r w:rsidRPr="002747BE">
        <w:rPr>
          <w:rFonts w:ascii="Times New Roman" w:hAnsi="Times New Roman" w:cs="Times New Roman"/>
        </w:rPr>
        <w:instrText>ropping-particle":"","parse-names":false,"suffix":""},{"dropping-particle":"","family":"Li","given":"Shan","non-dropping-particle":"","parse-names":false,"suffix":""},{"dropping-particle":"","family":"Lu","given":"Yiyan","non-dropping-particle":"","parse-n</w:instrText>
      </w:r>
      <w:r w:rsidRPr="002747BE">
        <w:rPr>
          <w:rFonts w:ascii="Times New Roman" w:hAnsi="Times New Roman" w:cs="Times New Roman"/>
        </w:rPr>
        <w:instrText>ames":false,"suffix":""},{"dropping-particle":"","family":"Li","given":"Zhen","non-dropping-particle":"","parse-names":false,"suffix":""}],"container-title":"Engineering Structures","id":"ITEM-1","issue":"March","issued":{"date-parts":[["2020"]]},"page":"1</w:instrText>
      </w:r>
      <w:r w:rsidRPr="002747BE">
        <w:rPr>
          <w:rFonts w:ascii="Times New Roman" w:hAnsi="Times New Roman" w:cs="Times New Roman"/>
        </w:rPr>
        <w:instrText>10570","publisher":"Elsevier","title":"Combined effects of wetting–drying cycles and sustained load on the behaviour of FRP-strengthened RC beams","type":"article-journal","volume":"213"},"uris":["http://www.mendeley.com/documents/?uuid=607469df-8517-424e-</w:instrText>
      </w:r>
      <w:r w:rsidRPr="002747BE">
        <w:rPr>
          <w:rFonts w:ascii="Times New Roman" w:hAnsi="Times New Roman" w:cs="Times New Roman"/>
        </w:rPr>
        <w:instrText>8f89-bf87b8fb61f5"]}],"mendeley":{"formattedCitation":"(Tang et al., 2020)","plainTextFormattedCitation":"(Tang et al., 2020)","previouslyFormattedCitation":"(Tang et al., 2020)"},"properties":{"noteIndex":0},"schema":"https://github.com/citation-style-lan</w:instrText>
      </w:r>
      <w:r w:rsidRPr="002747BE">
        <w:rPr>
          <w:rFonts w:ascii="Times New Roman" w:hAnsi="Times New Roman" w:cs="Times New Roman"/>
        </w:rPr>
        <w:instrText>guage/schema/raw/master/csl-citation.json"}</w:instrText>
      </w:r>
      <w:r w:rsidRPr="002747BE">
        <w:rPr>
          <w:rFonts w:ascii="Times New Roman" w:hAnsi="Times New Roman" w:cs="Times New Roman"/>
        </w:rPr>
        <w:fldChar w:fldCharType="end"/>
      </w:r>
      <w:r w:rsidRPr="002747BE">
        <w:rPr>
          <w:rFonts w:ascii="Times New Roman" w:hAnsi="Times New Roman" w:cs="Times New Roman"/>
        </w:rPr>
        <w:t xml:space="preserve">. The bond strength reduction for different types of FRP-adhesive-to-concrete bonded joints after 110 months of exposure to wet-dry cycling environment was CFRP plate with </w:t>
      </w:r>
      <w:r w:rsidRPr="002747BE">
        <w:rPr>
          <w:rFonts w:ascii="Times New Roman" w:hAnsi="Times New Roman" w:cs="Times New Roman"/>
          <w:i/>
          <w:iCs/>
        </w:rPr>
        <w:t>Sika 30</w:t>
      </w:r>
      <w:r w:rsidRPr="002747BE">
        <w:rPr>
          <w:rFonts w:ascii="Times New Roman" w:hAnsi="Times New Roman" w:cs="Times New Roman"/>
        </w:rPr>
        <w:t xml:space="preserve"> (3%), CFRP sheet with </w:t>
      </w:r>
      <w:r w:rsidRPr="002747BE">
        <w:rPr>
          <w:rFonts w:ascii="Times New Roman" w:hAnsi="Times New Roman" w:cs="Times New Roman"/>
          <w:i/>
          <w:iCs/>
        </w:rPr>
        <w:t>SW-3 C</w:t>
      </w:r>
      <w:r w:rsidRPr="002747BE">
        <w:rPr>
          <w:rFonts w:ascii="Times New Roman" w:hAnsi="Times New Roman" w:cs="Times New Roman"/>
        </w:rPr>
        <w:t xml:space="preserve"> (9%), CFRP plate with </w:t>
      </w:r>
      <w:r w:rsidRPr="002747BE">
        <w:rPr>
          <w:rFonts w:ascii="Times New Roman" w:hAnsi="Times New Roman" w:cs="Times New Roman"/>
          <w:i/>
          <w:iCs/>
        </w:rPr>
        <w:t>Araldite 106</w:t>
      </w:r>
      <w:r w:rsidRPr="002747BE">
        <w:rPr>
          <w:rFonts w:ascii="Times New Roman" w:hAnsi="Times New Roman" w:cs="Times New Roman"/>
        </w:rPr>
        <w:t xml:space="preserve"> (36%), and GFRP sheet with </w:t>
      </w:r>
      <w:r w:rsidRPr="002747BE">
        <w:rPr>
          <w:rFonts w:ascii="Times New Roman" w:hAnsi="Times New Roman" w:cs="Times New Roman"/>
          <w:i/>
          <w:iCs/>
        </w:rPr>
        <w:t>Sika 330</w:t>
      </w:r>
      <w:r w:rsidRPr="002747BE">
        <w:rPr>
          <w:rFonts w:ascii="Times New Roman" w:hAnsi="Times New Roman" w:cs="Times New Roman"/>
        </w:rPr>
        <w:t xml:space="preserve"> (48%) </w:t>
      </w:r>
      <w:r w:rsidRPr="002747BE">
        <w:rPr>
          <w:rFonts w:ascii="Times New Roman" w:hAnsi="Times New Roman" w:cs="Times New Roman"/>
        </w:rPr>
        <w:fldChar w:fldCharType="begin" w:fldLock="1"/>
      </w:r>
      <w:r w:rsidRPr="002747BE">
        <w:rPr>
          <w:rFonts w:ascii="Times New Roman" w:hAnsi="Times New Roman" w:cs="Times New Roman"/>
        </w:rPr>
        <w:instrText>ADDIN CSL_CITATION {"citationItems":[{"id":"ITEM-1","itemData":{"DOI":"https://doi.org/10.1016/j.engstruct.2024.117681","author":[{"dropping-particle":"","family":"Hao","given":"</w:instrText>
      </w:r>
      <w:r w:rsidRPr="002747BE">
        <w:rPr>
          <w:rFonts w:ascii="Times New Roman" w:hAnsi="Times New Roman" w:cs="Times New Roman"/>
        </w:rPr>
        <w:instrText>Zhi-hao","non-dropping-particle":"","parse-names":false,"suffix":""},{"dropping-particle":"","family":"Zeng","given":"Jun-jie","non-dropping-particle":"","parse-names":false,"suffix":""},{"dropping-particle":"","family":"Chen","given":"Guang-ming","non-dro</w:instrText>
      </w:r>
      <w:r w:rsidRPr="002747BE">
        <w:rPr>
          <w:rFonts w:ascii="Times New Roman" w:hAnsi="Times New Roman" w:cs="Times New Roman"/>
        </w:rPr>
        <w:instrText>pping-particle":"","parse-names":false,"suffix":""},{"dropping-particle":"","family":"Dai","given":"Jian-guo","non-dropping-particle":"","parse-names":false,"suffix":""}],"container-title":"Engineering Structures","id":"ITEM-1","issued":{"date-parts":[["20</w:instrText>
      </w:r>
      <w:r w:rsidRPr="002747BE">
        <w:rPr>
          <w:rFonts w:ascii="Times New Roman" w:hAnsi="Times New Roman" w:cs="Times New Roman"/>
        </w:rPr>
        <w:instrText>24"]]},"title":"Durability of FRP-to-concrete bonded joints subjected to 110 months accelerated laboratory and field exposure","type":"article-journal","volume":"305"},"uris":["http://www.mendeley.com/documents/?uuid=ba56633e-644a-40ed-95d4-d34afaa92dc2"]}</w:instrText>
      </w:r>
      <w:r w:rsidRPr="002747BE">
        <w:rPr>
          <w:rFonts w:ascii="Times New Roman" w:hAnsi="Times New Roman" w:cs="Times New Roman"/>
        </w:rPr>
        <w:instrText>],"mendeley":{"formattedCitation":"(Hao et al., 2024)","plainTextFormattedCitation":"(Hao et al., 2024)","previouslyFormattedCitation":"(Hao et al., 2024)"},"properties":{"noteIndex":0},"schema":"https://github.com/citation-style-language/schema/raw/master</w:instrText>
      </w:r>
      <w:r w:rsidRPr="002747BE">
        <w:rPr>
          <w:rFonts w:ascii="Times New Roman" w:hAnsi="Times New Roman" w:cs="Times New Roman"/>
        </w:rPr>
        <w:instrText>/csl-citation.json"}</w:instrText>
      </w:r>
      <w:r w:rsidRPr="002747BE">
        <w:rPr>
          <w:rFonts w:ascii="Times New Roman" w:hAnsi="Times New Roman" w:cs="Times New Roman"/>
        </w:rPr>
        <w:fldChar w:fldCharType="separate"/>
      </w:r>
      <w:r w:rsidRPr="002747BE">
        <w:rPr>
          <w:rFonts w:ascii="Times New Roman" w:hAnsi="Times New Roman" w:cs="Times New Roman"/>
        </w:rPr>
        <w:t>(Hao et al., 2024)</w:t>
      </w:r>
      <w:r w:rsidRPr="002747BE">
        <w:rPr>
          <w:rFonts w:ascii="Times New Roman" w:hAnsi="Times New Roman" w:cs="Times New Roman"/>
        </w:rPr>
        <w:fldChar w:fldCharType="end"/>
      </w:r>
      <w:r w:rsidRPr="002747BE">
        <w:rPr>
          <w:rFonts w:ascii="Times New Roman" w:hAnsi="Times New Roman" w:cs="Times New Roman"/>
        </w:rPr>
        <w:t xml:space="preserve">. The CFRP laminate and the GFRP bar strengths were reduced to effective strengths to account </w:t>
      </w:r>
      <w:r>
        <w:rPr>
          <w:rFonts w:ascii="Times New Roman" w:hAnsi="Times New Roman" w:cs="Times New Roman"/>
        </w:rPr>
        <w:t>for the loss of strength due to debonding in the interfacial connection between the concrete beam and the retrofitting la</w:t>
      </w:r>
      <w:r>
        <w:rPr>
          <w:rFonts w:ascii="Times New Roman" w:hAnsi="Times New Roman" w:cs="Times New Roman"/>
        </w:rPr>
        <w:t xml:space="preserve">yer. </w:t>
      </w:r>
    </w:p>
    <w:p w14:paraId="3B39CD71" w14:textId="77777777" w:rsidR="009523E5" w:rsidRDefault="003B4279" w:rsidP="009201D3">
      <w:pPr>
        <w:pStyle w:val="Caption"/>
        <w:spacing w:after="0" w:line="240" w:lineRule="auto"/>
      </w:pPr>
      <w:r>
        <w:t xml:space="preserve">CFRP reduced strength: </w:t>
      </w:r>
      <w:r>
        <w:rPr>
          <w:position w:val="-24"/>
        </w:rPr>
        <w:object w:dxaOrig="5954" w:dyaOrig="609" w14:anchorId="6732D4EE">
          <v:shape id="_x0000_i1048" type="#_x0000_t75" style="width:297.55pt;height:30.1pt" o:ole="">
            <v:imagedata r:id="rId106" o:title=""/>
          </v:shape>
          <o:OLEObject Type="Embed" ProgID="Equation.DSMT4" ShapeID="_x0000_i1048" DrawAspect="Content" ObjectID="_1817025325" r:id="rId107"/>
        </w:object>
      </w:r>
      <w:r>
        <w:tab/>
      </w:r>
      <w:r>
        <w:fldChar w:fldCharType="begin"/>
      </w:r>
      <w:r>
        <w:instrText xml:space="preserve"> SEQ Equation \* ARABIC </w:instrText>
      </w:r>
      <w:r>
        <w:fldChar w:fldCharType="separate"/>
      </w:r>
      <w:r w:rsidR="009523E5">
        <w:t>11</w:t>
      </w:r>
      <w:r>
        <w:fldChar w:fldCharType="end"/>
      </w:r>
    </w:p>
    <w:p w14:paraId="338B48C9" w14:textId="77777777" w:rsidR="009523E5" w:rsidRDefault="003B4279" w:rsidP="009201D3">
      <w:pPr>
        <w:pStyle w:val="Caption"/>
        <w:spacing w:after="0" w:line="240" w:lineRule="auto"/>
      </w:pPr>
      <w:r>
        <w:t xml:space="preserve">GFRP reduced strength: </w:t>
      </w:r>
      <w:r>
        <w:rPr>
          <w:position w:val="-24"/>
        </w:rPr>
        <w:object w:dxaOrig="4998" w:dyaOrig="609" w14:anchorId="241FAA52">
          <v:shape id="_x0000_i1049" type="#_x0000_t75" style="width:249.8pt;height:30.1pt" o:ole="">
            <v:imagedata r:id="rId108" o:title=""/>
          </v:shape>
          <o:OLEObject Type="Embed" ProgID="Equation.DSMT4" ShapeID="_x0000_i1049" DrawAspect="Content" ObjectID="_1817025326" r:id="rId109"/>
        </w:object>
      </w:r>
      <w:r>
        <w:tab/>
      </w:r>
      <w:r>
        <w:tab/>
      </w:r>
      <w:r>
        <w:fldChar w:fldCharType="begin"/>
      </w:r>
      <w:r>
        <w:instrText xml:space="preserve"> SEQ Equation \* ARABIC </w:instrText>
      </w:r>
      <w:r>
        <w:fldChar w:fldCharType="separate"/>
      </w:r>
      <w:r w:rsidR="009523E5">
        <w:t>12</w:t>
      </w:r>
      <w:r>
        <w:fldChar w:fldCharType="end"/>
      </w:r>
    </w:p>
    <w:p w14:paraId="01740D9B"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 </w:t>
      </w:r>
    </w:p>
    <w:p w14:paraId="5C3AAAD4" w14:textId="77777777" w:rsidR="009523E5" w:rsidRDefault="003B4279" w:rsidP="009201D3">
      <w:pPr>
        <w:pStyle w:val="Caption"/>
        <w:spacing w:after="0" w:line="240" w:lineRule="auto"/>
      </w:pPr>
      <w:r>
        <w:rPr>
          <w:position w:val="-14"/>
        </w:rPr>
        <w:object w:dxaOrig="4929" w:dyaOrig="388" w14:anchorId="6DD5C8EE">
          <v:shape id="_x0000_i1050" type="#_x0000_t75" style="width:246.1pt;height:19.85pt" o:ole="">
            <v:imagedata r:id="rId110" o:title=""/>
          </v:shape>
          <o:OLEObject Type="Embed" ProgID="Equation.DSMT4" ShapeID="_x0000_i1050" DrawAspect="Content" ObjectID="_1817025327" r:id="rId111"/>
        </w:object>
      </w:r>
      <w:r>
        <w:tab/>
      </w:r>
      <w:r>
        <w:tab/>
      </w:r>
      <w:r>
        <w:tab/>
      </w:r>
      <w:r>
        <w:tab/>
      </w:r>
      <w:r>
        <w:tab/>
      </w:r>
      <w:r>
        <w:tab/>
      </w:r>
      <w:r>
        <w:fldChar w:fldCharType="begin"/>
      </w:r>
      <w:r>
        <w:instrText xml:space="preserve"> SEQ Equation \* ARABIC </w:instrText>
      </w:r>
      <w:r>
        <w:fldChar w:fldCharType="separate"/>
      </w:r>
      <w:r w:rsidR="009523E5">
        <w:t>13</w:t>
      </w:r>
      <w:r>
        <w:fldChar w:fldCharType="end"/>
      </w:r>
    </w:p>
    <w:p w14:paraId="51B877B5"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lastRenderedPageBreak/>
        <w:t>Where:</w:t>
      </w:r>
    </w:p>
    <w:p w14:paraId="2CD54740" w14:textId="77777777" w:rsidR="009523E5" w:rsidRDefault="003B4279" w:rsidP="009201D3">
      <w:pPr>
        <w:pStyle w:val="Caption"/>
        <w:spacing w:after="0" w:line="240" w:lineRule="auto"/>
      </w:pPr>
      <w:r>
        <w:rPr>
          <w:position w:val="-6"/>
        </w:rPr>
        <w:object w:dxaOrig="1772" w:dyaOrig="277" w14:anchorId="3D8A34B1">
          <v:shape id="_x0000_i1051" type="#_x0000_t75" style="width:88.9pt;height:13.95pt" o:ole="">
            <v:imagedata r:id="rId112" o:title=""/>
          </v:shape>
          <o:OLEObject Type="Embed" ProgID="Equation.DSMT4" ShapeID="_x0000_i1051" DrawAspect="Content" ObjectID="_1817025328" r:id="rId113"/>
        </w:object>
      </w:r>
      <w:r>
        <w:tab/>
      </w:r>
      <w:r>
        <w:tab/>
      </w:r>
      <w:r>
        <w:tab/>
      </w:r>
      <w:r>
        <w:tab/>
      </w:r>
      <w:r>
        <w:tab/>
      </w:r>
      <w:r>
        <w:tab/>
      </w:r>
      <w:r>
        <w:tab/>
      </w:r>
      <w:r>
        <w:tab/>
      </w:r>
      <w:r>
        <w:tab/>
      </w:r>
      <w:r>
        <w:tab/>
      </w:r>
      <w:r>
        <w:fldChar w:fldCharType="begin"/>
      </w:r>
      <w:r>
        <w:instrText xml:space="preserve"> SEQ Equation \* ARABIC </w:instrText>
      </w:r>
      <w:r>
        <w:fldChar w:fldCharType="separate"/>
      </w:r>
      <w:r w:rsidR="009523E5">
        <w:t>14</w:t>
      </w:r>
      <w:r>
        <w:fldChar w:fldCharType="end"/>
      </w:r>
    </w:p>
    <w:p w14:paraId="0D1B3CB1" w14:textId="77777777" w:rsidR="009523E5" w:rsidRDefault="003B4279" w:rsidP="009201D3">
      <w:pPr>
        <w:spacing w:after="0" w:line="240" w:lineRule="auto"/>
      </w:pPr>
      <w:r>
        <w:t>hs1 is the depth from centroid of compression steel to the extreme compression fibre, hs2 is the depth from the extreme tension fibre of the reinforced concrete beam to the centroid of the tension steel, z1 i</w:t>
      </w:r>
      <w:r>
        <w:t>s a lever arm</w:t>
      </w:r>
    </w:p>
    <w:p w14:paraId="68F40EFE" w14:textId="77777777" w:rsidR="009523E5" w:rsidRDefault="003B4279" w:rsidP="009201D3">
      <w:pPr>
        <w:pStyle w:val="Caption"/>
        <w:spacing w:after="0" w:line="240" w:lineRule="auto"/>
      </w:pPr>
      <w:r>
        <w:rPr>
          <w:position w:val="-24"/>
        </w:rPr>
        <w:object w:dxaOrig="1786" w:dyaOrig="609" w14:anchorId="7A14493B">
          <v:shape id="_x0000_i1052" type="#_x0000_t75" style="width:88.9pt;height:30.1pt" o:ole="">
            <v:imagedata r:id="rId114" o:title=""/>
          </v:shape>
          <o:OLEObject Type="Embed" ProgID="Equation.DSMT4" ShapeID="_x0000_i1052" DrawAspect="Content" ObjectID="_1817025329" r:id="rId115"/>
        </w:object>
      </w:r>
      <w:r>
        <w:tab/>
      </w:r>
      <w:r>
        <w:tab/>
      </w:r>
      <w:r>
        <w:tab/>
      </w:r>
      <w:r>
        <w:tab/>
      </w:r>
      <w:r>
        <w:tab/>
      </w:r>
      <w:r>
        <w:tab/>
      </w:r>
      <w:r>
        <w:tab/>
      </w:r>
      <w:r>
        <w:tab/>
      </w:r>
      <w:r>
        <w:tab/>
      </w:r>
      <w:r>
        <w:tab/>
      </w:r>
      <w:r>
        <w:fldChar w:fldCharType="begin"/>
      </w:r>
      <w:r>
        <w:instrText xml:space="preserve"> SEQ Equation \* ARABIC </w:instrText>
      </w:r>
      <w:r>
        <w:fldChar w:fldCharType="separate"/>
      </w:r>
      <w:r w:rsidR="009523E5">
        <w:t>15</w:t>
      </w:r>
      <w:r>
        <w:fldChar w:fldCharType="end"/>
      </w:r>
    </w:p>
    <w:p w14:paraId="75F0050E" w14:textId="77777777" w:rsidR="009523E5" w:rsidRDefault="003B4279" w:rsidP="009201D3">
      <w:pPr>
        <w:spacing w:after="0" w:line="240" w:lineRule="auto"/>
      </w:pPr>
      <w:r>
        <w:t>z2 is a lever arm</w:t>
      </w:r>
    </w:p>
    <w:p w14:paraId="13FEE1AD" w14:textId="77777777" w:rsidR="009523E5" w:rsidRDefault="003B4279" w:rsidP="009201D3">
      <w:pPr>
        <w:pStyle w:val="Caption"/>
        <w:spacing w:after="0" w:line="240" w:lineRule="auto"/>
      </w:pPr>
      <w:r>
        <w:rPr>
          <w:position w:val="-14"/>
        </w:rPr>
        <w:object w:dxaOrig="1454" w:dyaOrig="388" w14:anchorId="774A61F4">
          <v:shape id="_x0000_i1053" type="#_x0000_t75" style="width:72.75pt;height:19.85pt" o:ole="">
            <v:imagedata r:id="rId116" o:title=""/>
          </v:shape>
          <o:OLEObject Type="Embed" ProgID="Equation.DSMT4" ShapeID="_x0000_i1053" DrawAspect="Content" ObjectID="_1817025330" r:id="rId117"/>
        </w:object>
      </w:r>
      <w:r>
        <w:tab/>
      </w:r>
      <w:r>
        <w:tab/>
      </w:r>
      <w:r>
        <w:tab/>
      </w:r>
      <w:r>
        <w:tab/>
      </w:r>
      <w:r>
        <w:tab/>
      </w:r>
      <w:r>
        <w:tab/>
      </w:r>
      <w:r>
        <w:tab/>
      </w:r>
      <w:r>
        <w:tab/>
      </w:r>
      <w:r>
        <w:tab/>
      </w:r>
      <w:r>
        <w:tab/>
      </w:r>
      <w:r>
        <w:fldChar w:fldCharType="begin"/>
      </w:r>
      <w:r>
        <w:instrText xml:space="preserve"> SEQ Equation \* ARABIC </w:instrText>
      </w:r>
      <w:r>
        <w:fldChar w:fldCharType="separate"/>
      </w:r>
      <w:r w:rsidR="009523E5">
        <w:t>16</w:t>
      </w:r>
      <w:r>
        <w:fldChar w:fldCharType="end"/>
      </w:r>
    </w:p>
    <w:p w14:paraId="3424596E" w14:textId="77777777" w:rsidR="009523E5" w:rsidRDefault="003B4279" w:rsidP="009201D3">
      <w:pPr>
        <w:spacing w:after="0" w:line="240" w:lineRule="auto"/>
      </w:pPr>
      <w:r>
        <w:t>z3 is a lever arm</w:t>
      </w:r>
    </w:p>
    <w:p w14:paraId="7187918C" w14:textId="77777777" w:rsidR="009523E5" w:rsidRDefault="003B4279" w:rsidP="009201D3">
      <w:pPr>
        <w:pStyle w:val="Caption"/>
        <w:spacing w:after="0" w:line="240" w:lineRule="auto"/>
      </w:pPr>
      <w:r>
        <w:rPr>
          <w:position w:val="-24"/>
        </w:rPr>
        <w:object w:dxaOrig="1454" w:dyaOrig="678" w14:anchorId="7B9CC1DA">
          <v:shape id="_x0000_i1054" type="#_x0000_t75" style="width:72.75pt;height:33.8pt" o:ole="">
            <v:imagedata r:id="rId118" o:title=""/>
          </v:shape>
          <o:OLEObject Type="Embed" ProgID="Equation.DSMT4" ShapeID="_x0000_i1054" DrawAspect="Content" ObjectID="_1817025331" r:id="rId119"/>
        </w:object>
      </w:r>
      <w:r>
        <w:tab/>
      </w:r>
      <w:r>
        <w:tab/>
      </w:r>
      <w:r>
        <w:tab/>
      </w:r>
      <w:r>
        <w:tab/>
      </w:r>
      <w:r>
        <w:tab/>
      </w:r>
      <w:r>
        <w:tab/>
      </w:r>
      <w:r>
        <w:tab/>
      </w:r>
      <w:r>
        <w:tab/>
      </w:r>
      <w:r>
        <w:tab/>
      </w:r>
      <w:r>
        <w:tab/>
      </w:r>
      <w:r>
        <w:fldChar w:fldCharType="begin"/>
      </w:r>
      <w:r>
        <w:instrText xml:space="preserve"> SEQ Equation \* ARABIC </w:instrText>
      </w:r>
      <w:r>
        <w:fldChar w:fldCharType="separate"/>
      </w:r>
      <w:r w:rsidR="009523E5">
        <w:t>17</w:t>
      </w:r>
      <w:r>
        <w:fldChar w:fldCharType="end"/>
      </w:r>
    </w:p>
    <w:p w14:paraId="78E797B9" w14:textId="77777777" w:rsidR="009523E5" w:rsidRDefault="003B4279" w:rsidP="009201D3">
      <w:pPr>
        <w:spacing w:after="0" w:line="240" w:lineRule="auto"/>
      </w:pPr>
      <w:r>
        <w:t xml:space="preserve">z4 is a </w:t>
      </w:r>
      <w:r>
        <w:t>lever arm</w:t>
      </w:r>
    </w:p>
    <w:p w14:paraId="67B49BC0" w14:textId="77777777" w:rsidR="009523E5" w:rsidRDefault="003B4279" w:rsidP="009201D3">
      <w:pPr>
        <w:pStyle w:val="Caption"/>
        <w:spacing w:after="0" w:line="240" w:lineRule="auto"/>
      </w:pPr>
      <w:r>
        <w:rPr>
          <w:position w:val="-24"/>
        </w:rPr>
        <w:object w:dxaOrig="1385" w:dyaOrig="609" w14:anchorId="47C5BDE8">
          <v:shape id="_x0000_i1055" type="#_x0000_t75" style="width:69.8pt;height:30.1pt" o:ole="">
            <v:imagedata r:id="rId120" o:title=""/>
          </v:shape>
          <o:OLEObject Type="Embed" ProgID="Equation.DSMT4" ShapeID="_x0000_i1055" DrawAspect="Content" ObjectID="_1817025332" r:id="rId121"/>
        </w:object>
      </w:r>
      <w:r>
        <w:tab/>
      </w:r>
      <w:r>
        <w:tab/>
      </w:r>
      <w:r>
        <w:tab/>
      </w:r>
      <w:r>
        <w:tab/>
      </w:r>
      <w:r>
        <w:tab/>
      </w:r>
      <w:r>
        <w:tab/>
      </w:r>
      <w:r>
        <w:tab/>
      </w:r>
      <w:r>
        <w:tab/>
      </w:r>
      <w:r>
        <w:tab/>
      </w:r>
      <w:r>
        <w:tab/>
      </w:r>
      <w:r>
        <w:tab/>
      </w:r>
      <w:r>
        <w:fldChar w:fldCharType="begin"/>
      </w:r>
      <w:r>
        <w:instrText xml:space="preserve"> SEQ Equation \* ARABIC </w:instrText>
      </w:r>
      <w:r>
        <w:fldChar w:fldCharType="separate"/>
      </w:r>
      <w:r w:rsidR="009523E5">
        <w:t>18</w:t>
      </w:r>
      <w:r>
        <w:fldChar w:fldCharType="end"/>
      </w:r>
    </w:p>
    <w:p w14:paraId="16C80538" w14:textId="77777777" w:rsidR="009523E5" w:rsidRDefault="003B4279" w:rsidP="009201D3">
      <w:pPr>
        <w:spacing w:after="0" w:line="240" w:lineRule="auto"/>
      </w:pPr>
      <w:r>
        <w:t>z5 is a lever arm</w:t>
      </w:r>
    </w:p>
    <w:p w14:paraId="127D0179" w14:textId="77777777" w:rsidR="009523E5" w:rsidRPr="002747BE" w:rsidRDefault="003B4279" w:rsidP="009201D3">
      <w:pPr>
        <w:spacing w:after="0" w:line="240" w:lineRule="auto"/>
        <w:rPr>
          <w:rFonts w:ascii="Times New Roman" w:hAnsi="Times New Roman" w:cs="Times New Roman"/>
        </w:rPr>
      </w:pPr>
      <w:r>
        <w:rPr>
          <w:rFonts w:ascii="Times New Roman" w:hAnsi="Times New Roman" w:cs="Times New Roman"/>
        </w:rPr>
        <w:t xml:space="preserve">The plastic moment of the hybrid retrofitted </w:t>
      </w:r>
      <w:r w:rsidRPr="002747BE">
        <w:rPr>
          <w:rFonts w:ascii="Times New Roman" w:hAnsi="Times New Roman" w:cs="Times New Roman"/>
        </w:rPr>
        <w:t xml:space="preserve">beam </w:t>
      </w:r>
      <w:r w:rsidRPr="002747BE">
        <w:rPr>
          <w:rFonts w:ascii="Times New Roman" w:hAnsi="Times New Roman" w:cs="Times New Roman"/>
          <w:lang w:val="en-US"/>
        </w:rPr>
        <w:t>is proposed as follows:</w:t>
      </w:r>
    </w:p>
    <w:p w14:paraId="60AE4769" w14:textId="77777777" w:rsidR="009523E5" w:rsidRDefault="003B4279" w:rsidP="009201D3">
      <w:pPr>
        <w:pStyle w:val="Caption"/>
        <w:spacing w:after="0" w:line="240" w:lineRule="auto"/>
      </w:pPr>
      <w:r>
        <w:rPr>
          <w:position w:val="-68"/>
        </w:rPr>
        <w:object w:dxaOrig="7089" w:dyaOrig="1440" w14:anchorId="081354E9">
          <v:shape id="_x0000_i1056" type="#_x0000_t75" style="width:354.85pt;height:1in" o:ole="">
            <v:imagedata r:id="rId122" o:title=""/>
          </v:shape>
          <o:OLEObject Type="Embed" ProgID="Equation.DSMT4" ShapeID="_x0000_i1056" DrawAspect="Content" ObjectID="_1817025333" r:id="rId123"/>
        </w:object>
      </w:r>
      <w:r>
        <w:tab/>
      </w:r>
      <w:r>
        <w:tab/>
      </w:r>
      <w:r>
        <w:tab/>
      </w:r>
      <w:r>
        <w:fldChar w:fldCharType="begin"/>
      </w:r>
      <w:r>
        <w:instrText xml:space="preserve"> SEQ Equation \* ARABIC </w:instrText>
      </w:r>
      <w:r>
        <w:fldChar w:fldCharType="separate"/>
      </w:r>
      <w:r w:rsidR="009523E5">
        <w:t>19</w:t>
      </w:r>
      <w:r>
        <w:fldChar w:fldCharType="end"/>
      </w:r>
    </w:p>
    <w:p w14:paraId="18F679CA" w14:textId="77777777" w:rsidR="009523E5" w:rsidRDefault="009523E5" w:rsidP="009201D3">
      <w:pPr>
        <w:spacing w:after="0" w:line="240" w:lineRule="auto"/>
        <w:rPr>
          <w:rFonts w:ascii="Times New Roman" w:hAnsi="Times New Roman" w:cs="Times New Roman"/>
        </w:rPr>
      </w:pPr>
    </w:p>
    <w:p w14:paraId="42AAEA6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_Ref192820203 \h </w:instrText>
      </w:r>
      <w:r>
        <w:rPr>
          <w:rFonts w:ascii="Times New Roman" w:hAnsi="Times New Roman" w:cs="Times New Roman"/>
        </w:rPr>
      </w:r>
      <w:r>
        <w:rPr>
          <w:rFonts w:ascii="Times New Roman" w:hAnsi="Times New Roman" w:cs="Times New Roman"/>
        </w:rPr>
        <w:fldChar w:fldCharType="separate"/>
      </w:r>
      <w:r>
        <w:t>Table</w:t>
      </w:r>
      <w:r>
        <w:t xml:space="preserve"> 6</w:t>
      </w:r>
      <w:r>
        <w:rPr>
          <w:rFonts w:ascii="Times New Roman" w:hAnsi="Times New Roman" w:cs="Times New Roman"/>
        </w:rPr>
        <w:fldChar w:fldCharType="end"/>
      </w:r>
      <w:r>
        <w:rPr>
          <w:rFonts w:ascii="Times New Roman" w:hAnsi="Times New Roman" w:cs="Times New Roman"/>
        </w:rPr>
        <w:t xml:space="preserve"> gives the comparison between the analytical and the experimental moments. The beams have varying heights, thus contributing to the changes in the lever arms z1 and z2, but due to the fixed heights of the retrofitting layer the lever arms at the remaining </w:t>
      </w:r>
      <w:r>
        <w:rPr>
          <w:rFonts w:ascii="Times New Roman" w:hAnsi="Times New Roman" w:cs="Times New Roman"/>
        </w:rPr>
        <w:t>lever arms are unchanged. The distance of the plastic neutral axis extending above the centre of the beam is given as k. It is observed to be highest in beam AR02 with a value of 87.83 mm, decreasing till in beam CR02 with a value of 62.83 mm. The value in</w:t>
      </w:r>
      <w:r>
        <w:rPr>
          <w:rFonts w:ascii="Times New Roman" w:hAnsi="Times New Roman" w:cs="Times New Roman"/>
        </w:rPr>
        <w:t xml:space="preserve">creases again to 70.59 mm then finally reduces to 65.88 mm. The effective height, ye is observed to reduce gradually from AR02 to CR02 then increased from DR02 to ER03. </w:t>
      </w:r>
    </w:p>
    <w:p w14:paraId="31EFA88B"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analytical moments from Table 6 are observed to align with </w:t>
      </w:r>
      <w:r w:rsidRPr="002747BE">
        <w:rPr>
          <w:rFonts w:ascii="Times New Roman" w:hAnsi="Times New Roman" w:cs="Times New Roman"/>
        </w:rPr>
        <w:t>the experiment</w:t>
      </w:r>
      <w:r w:rsidRPr="002747BE">
        <w:rPr>
          <w:rFonts w:ascii="Times New Roman" w:hAnsi="Times New Roman" w:cs="Times New Roman"/>
          <w:lang w:val="en-US"/>
        </w:rPr>
        <w:t>al</w:t>
      </w:r>
      <w:r w:rsidRPr="002747BE">
        <w:rPr>
          <w:rFonts w:ascii="Times New Roman" w:hAnsi="Times New Roman" w:cs="Times New Roman"/>
        </w:rPr>
        <w:t xml:space="preserve"> </w:t>
      </w:r>
      <w:r>
        <w:rPr>
          <w:rFonts w:ascii="Times New Roman" w:hAnsi="Times New Roman" w:cs="Times New Roman"/>
        </w:rPr>
        <w:t>moment</w:t>
      </w:r>
      <w:r>
        <w:rPr>
          <w:rFonts w:ascii="Times New Roman" w:hAnsi="Times New Roman" w:cs="Times New Roman"/>
        </w:rPr>
        <w:t>s. The ratios of the analytical moment to the experimental moment are 102 %, 101 %, 85 %, 91 %, and 91 % in beams AR02, BR02, CR02, DR02, and ER03, respectively. This signifies the close relationship that the estimated analytical moments have with the expe</w:t>
      </w:r>
      <w:r>
        <w:rPr>
          <w:rFonts w:ascii="Times New Roman" w:hAnsi="Times New Roman" w:cs="Times New Roman"/>
        </w:rPr>
        <w:t xml:space="preserve">rimental moments, thus validating the new formula. The mean of the ratio of the two moments is given as 0.94 and the variance is 0.00541.  </w:t>
      </w:r>
    </w:p>
    <w:p w14:paraId="5221B3A3" w14:textId="77777777" w:rsidR="009523E5" w:rsidRDefault="009523E5" w:rsidP="009201D3">
      <w:pPr>
        <w:spacing w:after="0" w:line="240" w:lineRule="auto"/>
        <w:rPr>
          <w:rFonts w:ascii="Times New Roman" w:hAnsi="Times New Roman" w:cs="Times New Roman"/>
        </w:rPr>
      </w:pPr>
    </w:p>
    <w:p w14:paraId="71F55791" w14:textId="77777777" w:rsidR="009523E5" w:rsidRDefault="003B4279" w:rsidP="009201D3">
      <w:pPr>
        <w:pStyle w:val="Caption"/>
        <w:spacing w:after="0" w:line="240" w:lineRule="auto"/>
        <w:rPr>
          <w:rFonts w:cs="Times New Roman"/>
        </w:rPr>
      </w:pPr>
      <w:bookmarkStart w:id="34" w:name="_Ref192820203"/>
      <w:r>
        <w:t xml:space="preserve">Table </w:t>
      </w:r>
      <w:r>
        <w:fldChar w:fldCharType="begin"/>
      </w:r>
      <w:r>
        <w:instrText xml:space="preserve"> SEQ Table \* ARABIC </w:instrText>
      </w:r>
      <w:r>
        <w:fldChar w:fldCharType="separate"/>
      </w:r>
      <w:r w:rsidR="009523E5">
        <w:t>6</w:t>
      </w:r>
      <w:r>
        <w:fldChar w:fldCharType="end"/>
      </w:r>
      <w:bookmarkEnd w:id="34"/>
      <w:r>
        <w:t xml:space="preserve"> Comparison between the analytical and experimental moments</w:t>
      </w:r>
    </w:p>
    <w:tbl>
      <w:tblPr>
        <w:tblW w:w="10608" w:type="dxa"/>
        <w:tblLook w:val="04A0" w:firstRow="1" w:lastRow="0" w:firstColumn="1" w:lastColumn="0" w:noHBand="0" w:noVBand="1"/>
      </w:tblPr>
      <w:tblGrid>
        <w:gridCol w:w="727"/>
        <w:gridCol w:w="718"/>
        <w:gridCol w:w="631"/>
        <w:gridCol w:w="631"/>
        <w:gridCol w:w="718"/>
        <w:gridCol w:w="718"/>
        <w:gridCol w:w="830"/>
        <w:gridCol w:w="830"/>
        <w:gridCol w:w="718"/>
        <w:gridCol w:w="718"/>
        <w:gridCol w:w="718"/>
        <w:gridCol w:w="768"/>
        <w:gridCol w:w="768"/>
        <w:gridCol w:w="893"/>
        <w:gridCol w:w="222"/>
      </w:tblGrid>
      <w:tr w:rsidR="009523E5" w14:paraId="3F68A066" w14:textId="77777777">
        <w:trPr>
          <w:gridAfter w:val="1"/>
          <w:wAfter w:w="222" w:type="dxa"/>
          <w:trHeight w:val="476"/>
        </w:trPr>
        <w:tc>
          <w:tcPr>
            <w:tcW w:w="727" w:type="dxa"/>
            <w:vMerge w:val="restart"/>
            <w:tcBorders>
              <w:top w:val="single" w:sz="4" w:space="0" w:color="auto"/>
              <w:left w:val="nil"/>
              <w:bottom w:val="nil"/>
              <w:right w:val="nil"/>
            </w:tcBorders>
            <w:vAlign w:val="center"/>
          </w:tcPr>
          <w:p w14:paraId="6C2D505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Beam id</w:t>
            </w:r>
          </w:p>
        </w:tc>
        <w:tc>
          <w:tcPr>
            <w:tcW w:w="718" w:type="dxa"/>
            <w:vMerge w:val="restart"/>
            <w:tcBorders>
              <w:top w:val="single" w:sz="4" w:space="0" w:color="auto"/>
              <w:left w:val="nil"/>
              <w:bottom w:val="nil"/>
              <w:right w:val="nil"/>
            </w:tcBorders>
            <w:vAlign w:val="center"/>
          </w:tcPr>
          <w:p w14:paraId="216FB40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k</w:t>
            </w:r>
          </w:p>
        </w:tc>
        <w:tc>
          <w:tcPr>
            <w:tcW w:w="631" w:type="dxa"/>
            <w:vMerge w:val="restart"/>
            <w:tcBorders>
              <w:top w:val="single" w:sz="4" w:space="0" w:color="auto"/>
              <w:left w:val="nil"/>
              <w:bottom w:val="nil"/>
              <w:right w:val="nil"/>
            </w:tcBorders>
            <w:noWrap/>
            <w:vAlign w:val="center"/>
          </w:tcPr>
          <w:p w14:paraId="555B5B9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ε</w:t>
            </w:r>
            <w:r>
              <w:rPr>
                <w:rFonts w:ascii="Calibri" w:eastAsia="Times New Roman" w:hAnsi="Calibri" w:cs="Calibri"/>
                <w:color w:val="000000"/>
                <w:kern w:val="0"/>
                <w:sz w:val="21"/>
                <w:szCs w:val="21"/>
                <w:lang w:val="en-US" w:eastAsia="en-US"/>
                <w14:ligatures w14:val="none"/>
              </w:rPr>
              <w:t xml:space="preserve">c </w:t>
            </w:r>
          </w:p>
        </w:tc>
        <w:tc>
          <w:tcPr>
            <w:tcW w:w="631" w:type="dxa"/>
            <w:vMerge w:val="restart"/>
            <w:tcBorders>
              <w:top w:val="single" w:sz="4" w:space="0" w:color="auto"/>
              <w:left w:val="nil"/>
              <w:bottom w:val="nil"/>
              <w:right w:val="nil"/>
            </w:tcBorders>
            <w:noWrap/>
            <w:vAlign w:val="center"/>
          </w:tcPr>
          <w:p w14:paraId="2CD4CBC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y</w:t>
            </w:r>
          </w:p>
        </w:tc>
        <w:tc>
          <w:tcPr>
            <w:tcW w:w="718" w:type="dxa"/>
            <w:vMerge w:val="restart"/>
            <w:tcBorders>
              <w:top w:val="single" w:sz="4" w:space="0" w:color="auto"/>
              <w:left w:val="nil"/>
              <w:bottom w:val="nil"/>
              <w:right w:val="nil"/>
            </w:tcBorders>
            <w:noWrap/>
            <w:vAlign w:val="center"/>
          </w:tcPr>
          <w:p w14:paraId="7A996B2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ye</w:t>
            </w:r>
          </w:p>
        </w:tc>
        <w:tc>
          <w:tcPr>
            <w:tcW w:w="718" w:type="dxa"/>
            <w:vMerge w:val="restart"/>
            <w:tcBorders>
              <w:top w:val="single" w:sz="4" w:space="0" w:color="auto"/>
              <w:left w:val="nil"/>
              <w:bottom w:val="nil"/>
              <w:right w:val="nil"/>
            </w:tcBorders>
            <w:noWrap/>
            <w:vAlign w:val="center"/>
          </w:tcPr>
          <w:p w14:paraId="6AB182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fce</w:t>
            </w:r>
          </w:p>
        </w:tc>
        <w:tc>
          <w:tcPr>
            <w:tcW w:w="830" w:type="dxa"/>
            <w:vMerge w:val="restart"/>
            <w:tcBorders>
              <w:top w:val="single" w:sz="4" w:space="0" w:color="auto"/>
              <w:left w:val="nil"/>
              <w:bottom w:val="nil"/>
              <w:right w:val="nil"/>
            </w:tcBorders>
            <w:vAlign w:val="center"/>
          </w:tcPr>
          <w:p w14:paraId="36F3CA3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z1        mm</w:t>
            </w:r>
          </w:p>
        </w:tc>
        <w:tc>
          <w:tcPr>
            <w:tcW w:w="830" w:type="dxa"/>
            <w:vMerge w:val="restart"/>
            <w:tcBorders>
              <w:top w:val="single" w:sz="4" w:space="0" w:color="auto"/>
              <w:left w:val="nil"/>
              <w:bottom w:val="nil"/>
              <w:right w:val="nil"/>
            </w:tcBorders>
            <w:vAlign w:val="center"/>
          </w:tcPr>
          <w:p w14:paraId="41A16E5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z2        mm</w:t>
            </w:r>
          </w:p>
        </w:tc>
        <w:tc>
          <w:tcPr>
            <w:tcW w:w="718" w:type="dxa"/>
            <w:vMerge w:val="restart"/>
            <w:tcBorders>
              <w:top w:val="single" w:sz="4" w:space="0" w:color="auto"/>
              <w:left w:val="nil"/>
              <w:bottom w:val="nil"/>
              <w:right w:val="nil"/>
            </w:tcBorders>
            <w:vAlign w:val="center"/>
          </w:tcPr>
          <w:p w14:paraId="691372B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z3        mm</w:t>
            </w:r>
          </w:p>
        </w:tc>
        <w:tc>
          <w:tcPr>
            <w:tcW w:w="718" w:type="dxa"/>
            <w:vMerge w:val="restart"/>
            <w:tcBorders>
              <w:top w:val="single" w:sz="4" w:space="0" w:color="auto"/>
              <w:left w:val="nil"/>
              <w:bottom w:val="nil"/>
              <w:right w:val="nil"/>
            </w:tcBorders>
            <w:vAlign w:val="center"/>
          </w:tcPr>
          <w:p w14:paraId="2A25F37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z4        mm</w:t>
            </w:r>
          </w:p>
        </w:tc>
        <w:tc>
          <w:tcPr>
            <w:tcW w:w="718" w:type="dxa"/>
            <w:vMerge w:val="restart"/>
            <w:tcBorders>
              <w:top w:val="single" w:sz="4" w:space="0" w:color="auto"/>
              <w:left w:val="nil"/>
              <w:bottom w:val="nil"/>
              <w:right w:val="nil"/>
            </w:tcBorders>
            <w:vAlign w:val="center"/>
          </w:tcPr>
          <w:p w14:paraId="0CFABDA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z5        mm</w:t>
            </w:r>
          </w:p>
        </w:tc>
        <w:tc>
          <w:tcPr>
            <w:tcW w:w="768" w:type="dxa"/>
            <w:vMerge w:val="restart"/>
            <w:tcBorders>
              <w:top w:val="single" w:sz="4" w:space="0" w:color="auto"/>
              <w:left w:val="nil"/>
              <w:bottom w:val="nil"/>
              <w:right w:val="nil"/>
            </w:tcBorders>
            <w:vAlign w:val="center"/>
          </w:tcPr>
          <w:p w14:paraId="0A4B89B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Me (kNm)</w:t>
            </w:r>
          </w:p>
        </w:tc>
        <w:tc>
          <w:tcPr>
            <w:tcW w:w="768" w:type="dxa"/>
            <w:vMerge w:val="restart"/>
            <w:tcBorders>
              <w:top w:val="single" w:sz="4" w:space="0" w:color="auto"/>
              <w:left w:val="nil"/>
              <w:bottom w:val="nil"/>
              <w:right w:val="nil"/>
            </w:tcBorders>
            <w:vAlign w:val="center"/>
          </w:tcPr>
          <w:p w14:paraId="0EEDF7B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Ma (kNm)</w:t>
            </w:r>
          </w:p>
        </w:tc>
        <w:tc>
          <w:tcPr>
            <w:tcW w:w="893" w:type="dxa"/>
            <w:vMerge w:val="restart"/>
            <w:tcBorders>
              <w:top w:val="single" w:sz="4" w:space="0" w:color="auto"/>
              <w:left w:val="nil"/>
              <w:bottom w:val="nil"/>
              <w:right w:val="nil"/>
            </w:tcBorders>
            <w:vAlign w:val="center"/>
          </w:tcPr>
          <w:p w14:paraId="5A45B6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Ma/Me</w:t>
            </w:r>
          </w:p>
        </w:tc>
      </w:tr>
      <w:tr w:rsidR="009523E5" w14:paraId="43781466" w14:textId="77777777">
        <w:trPr>
          <w:trHeight w:val="269"/>
        </w:trPr>
        <w:tc>
          <w:tcPr>
            <w:tcW w:w="727" w:type="dxa"/>
            <w:vMerge/>
            <w:tcBorders>
              <w:top w:val="nil"/>
              <w:left w:val="nil"/>
              <w:bottom w:val="single" w:sz="4" w:space="0" w:color="auto"/>
              <w:right w:val="nil"/>
            </w:tcBorders>
            <w:vAlign w:val="center"/>
          </w:tcPr>
          <w:p w14:paraId="2BDE3A6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07744B7B"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31" w:type="dxa"/>
            <w:vMerge/>
            <w:tcBorders>
              <w:top w:val="nil"/>
              <w:left w:val="nil"/>
              <w:bottom w:val="single" w:sz="4" w:space="0" w:color="auto"/>
              <w:right w:val="nil"/>
            </w:tcBorders>
            <w:vAlign w:val="center"/>
          </w:tcPr>
          <w:p w14:paraId="13806608"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31" w:type="dxa"/>
            <w:vMerge/>
            <w:tcBorders>
              <w:top w:val="nil"/>
              <w:left w:val="nil"/>
              <w:bottom w:val="single" w:sz="4" w:space="0" w:color="auto"/>
              <w:right w:val="nil"/>
            </w:tcBorders>
            <w:vAlign w:val="center"/>
          </w:tcPr>
          <w:p w14:paraId="3FD70B2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37D3FDF6"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5AC28694"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30" w:type="dxa"/>
            <w:vMerge/>
            <w:tcBorders>
              <w:top w:val="nil"/>
              <w:left w:val="nil"/>
              <w:bottom w:val="single" w:sz="4" w:space="0" w:color="auto"/>
              <w:right w:val="nil"/>
            </w:tcBorders>
            <w:vAlign w:val="center"/>
          </w:tcPr>
          <w:p w14:paraId="73B1CF27"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30" w:type="dxa"/>
            <w:vMerge/>
            <w:tcBorders>
              <w:top w:val="nil"/>
              <w:left w:val="nil"/>
              <w:bottom w:val="single" w:sz="4" w:space="0" w:color="auto"/>
              <w:right w:val="nil"/>
            </w:tcBorders>
            <w:vAlign w:val="center"/>
          </w:tcPr>
          <w:p w14:paraId="076500E2"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48DF9F5D"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45F194A4"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5FE039F5"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68" w:type="dxa"/>
            <w:vMerge/>
            <w:tcBorders>
              <w:top w:val="nil"/>
              <w:left w:val="nil"/>
              <w:bottom w:val="single" w:sz="4" w:space="0" w:color="auto"/>
              <w:right w:val="nil"/>
            </w:tcBorders>
            <w:vAlign w:val="center"/>
          </w:tcPr>
          <w:p w14:paraId="381C58CD"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68" w:type="dxa"/>
            <w:vMerge/>
            <w:tcBorders>
              <w:top w:val="nil"/>
              <w:left w:val="nil"/>
              <w:bottom w:val="single" w:sz="4" w:space="0" w:color="auto"/>
              <w:right w:val="nil"/>
            </w:tcBorders>
            <w:vAlign w:val="center"/>
          </w:tcPr>
          <w:p w14:paraId="3287806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93" w:type="dxa"/>
            <w:vMerge/>
            <w:tcBorders>
              <w:top w:val="nil"/>
              <w:left w:val="nil"/>
              <w:bottom w:val="single" w:sz="4" w:space="0" w:color="auto"/>
              <w:right w:val="nil"/>
            </w:tcBorders>
            <w:vAlign w:val="center"/>
          </w:tcPr>
          <w:p w14:paraId="135681CF"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222" w:type="dxa"/>
            <w:tcBorders>
              <w:top w:val="nil"/>
              <w:left w:val="nil"/>
              <w:bottom w:val="nil"/>
              <w:right w:val="nil"/>
            </w:tcBorders>
            <w:noWrap/>
            <w:vAlign w:val="bottom"/>
          </w:tcPr>
          <w:p w14:paraId="78BE9C1E"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r>
      <w:tr w:rsidR="009523E5" w14:paraId="2E61B131" w14:textId="77777777">
        <w:trPr>
          <w:trHeight w:val="269"/>
        </w:trPr>
        <w:tc>
          <w:tcPr>
            <w:tcW w:w="727" w:type="dxa"/>
            <w:tcBorders>
              <w:top w:val="single" w:sz="4" w:space="0" w:color="auto"/>
              <w:left w:val="nil"/>
              <w:bottom w:val="nil"/>
              <w:right w:val="nil"/>
            </w:tcBorders>
            <w:noWrap/>
            <w:vAlign w:val="bottom"/>
          </w:tcPr>
          <w:p w14:paraId="70B35D4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AR02</w:t>
            </w:r>
          </w:p>
        </w:tc>
        <w:tc>
          <w:tcPr>
            <w:tcW w:w="718" w:type="dxa"/>
            <w:tcBorders>
              <w:top w:val="single" w:sz="4" w:space="0" w:color="auto"/>
              <w:left w:val="nil"/>
              <w:bottom w:val="nil"/>
              <w:right w:val="nil"/>
            </w:tcBorders>
            <w:noWrap/>
            <w:vAlign w:val="bottom"/>
          </w:tcPr>
          <w:p w14:paraId="2C0F416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87.83</w:t>
            </w:r>
          </w:p>
        </w:tc>
        <w:tc>
          <w:tcPr>
            <w:tcW w:w="631" w:type="dxa"/>
            <w:tcBorders>
              <w:top w:val="single" w:sz="4" w:space="0" w:color="auto"/>
              <w:left w:val="nil"/>
              <w:bottom w:val="nil"/>
              <w:right w:val="nil"/>
            </w:tcBorders>
            <w:noWrap/>
            <w:vAlign w:val="bottom"/>
          </w:tcPr>
          <w:p w14:paraId="604D75D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0.19</w:t>
            </w:r>
          </w:p>
        </w:tc>
        <w:tc>
          <w:tcPr>
            <w:tcW w:w="631" w:type="dxa"/>
            <w:tcBorders>
              <w:top w:val="single" w:sz="4" w:space="0" w:color="auto"/>
              <w:left w:val="nil"/>
              <w:bottom w:val="nil"/>
              <w:right w:val="nil"/>
            </w:tcBorders>
            <w:noWrap/>
            <w:vAlign w:val="bottom"/>
          </w:tcPr>
          <w:p w14:paraId="16ADCBD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0.46</w:t>
            </w:r>
          </w:p>
        </w:tc>
        <w:tc>
          <w:tcPr>
            <w:tcW w:w="718" w:type="dxa"/>
            <w:tcBorders>
              <w:top w:val="single" w:sz="4" w:space="0" w:color="auto"/>
              <w:left w:val="nil"/>
              <w:bottom w:val="nil"/>
              <w:right w:val="nil"/>
            </w:tcBorders>
            <w:noWrap/>
            <w:vAlign w:val="bottom"/>
          </w:tcPr>
          <w:p w14:paraId="2472973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12.56</w:t>
            </w:r>
          </w:p>
        </w:tc>
        <w:tc>
          <w:tcPr>
            <w:tcW w:w="718" w:type="dxa"/>
            <w:tcBorders>
              <w:top w:val="single" w:sz="4" w:space="0" w:color="auto"/>
              <w:left w:val="nil"/>
              <w:bottom w:val="nil"/>
              <w:right w:val="nil"/>
            </w:tcBorders>
            <w:noWrap/>
            <w:vAlign w:val="bottom"/>
          </w:tcPr>
          <w:p w14:paraId="5B1F8F6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single" w:sz="4" w:space="0" w:color="auto"/>
              <w:left w:val="nil"/>
              <w:bottom w:val="nil"/>
              <w:right w:val="nil"/>
            </w:tcBorders>
            <w:noWrap/>
            <w:vAlign w:val="bottom"/>
          </w:tcPr>
          <w:p w14:paraId="64CCBF9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175.73</w:t>
            </w:r>
          </w:p>
        </w:tc>
        <w:tc>
          <w:tcPr>
            <w:tcW w:w="830" w:type="dxa"/>
            <w:tcBorders>
              <w:top w:val="single" w:sz="4" w:space="0" w:color="auto"/>
              <w:left w:val="nil"/>
              <w:bottom w:val="nil"/>
              <w:right w:val="nil"/>
            </w:tcBorders>
            <w:noWrap/>
            <w:vAlign w:val="bottom"/>
          </w:tcPr>
          <w:p w14:paraId="1DDE58D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193.38</w:t>
            </w:r>
          </w:p>
        </w:tc>
        <w:tc>
          <w:tcPr>
            <w:tcW w:w="718" w:type="dxa"/>
            <w:tcBorders>
              <w:top w:val="single" w:sz="4" w:space="0" w:color="auto"/>
              <w:left w:val="nil"/>
              <w:bottom w:val="nil"/>
              <w:right w:val="nil"/>
            </w:tcBorders>
            <w:noWrap/>
            <w:vAlign w:val="bottom"/>
          </w:tcPr>
          <w:p w14:paraId="76034C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single" w:sz="4" w:space="0" w:color="auto"/>
              <w:left w:val="nil"/>
              <w:bottom w:val="nil"/>
              <w:right w:val="nil"/>
            </w:tcBorders>
            <w:noWrap/>
            <w:vAlign w:val="bottom"/>
          </w:tcPr>
          <w:p w14:paraId="779FA77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single" w:sz="4" w:space="0" w:color="auto"/>
              <w:left w:val="nil"/>
              <w:bottom w:val="nil"/>
              <w:right w:val="nil"/>
            </w:tcBorders>
            <w:noWrap/>
            <w:vAlign w:val="bottom"/>
          </w:tcPr>
          <w:p w14:paraId="42E9289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single" w:sz="4" w:space="0" w:color="auto"/>
              <w:left w:val="nil"/>
              <w:bottom w:val="nil"/>
              <w:right w:val="nil"/>
            </w:tcBorders>
            <w:noWrap/>
            <w:vAlign w:val="bottom"/>
          </w:tcPr>
          <w:p w14:paraId="05C651D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14.7</w:t>
            </w:r>
          </w:p>
        </w:tc>
        <w:tc>
          <w:tcPr>
            <w:tcW w:w="768" w:type="dxa"/>
            <w:tcBorders>
              <w:top w:val="single" w:sz="4" w:space="0" w:color="auto"/>
              <w:left w:val="nil"/>
              <w:bottom w:val="nil"/>
              <w:right w:val="nil"/>
            </w:tcBorders>
            <w:noWrap/>
            <w:vAlign w:val="bottom"/>
          </w:tcPr>
          <w:p w14:paraId="243F698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14.99</w:t>
            </w:r>
          </w:p>
        </w:tc>
        <w:tc>
          <w:tcPr>
            <w:tcW w:w="893" w:type="dxa"/>
            <w:tcBorders>
              <w:top w:val="single" w:sz="4" w:space="0" w:color="auto"/>
              <w:left w:val="nil"/>
              <w:bottom w:val="nil"/>
              <w:right w:val="nil"/>
            </w:tcBorders>
            <w:noWrap/>
            <w:vAlign w:val="bottom"/>
          </w:tcPr>
          <w:p w14:paraId="2FC0E6A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1.02</w:t>
            </w:r>
          </w:p>
        </w:tc>
        <w:tc>
          <w:tcPr>
            <w:tcW w:w="222" w:type="dxa"/>
            <w:vAlign w:val="center"/>
          </w:tcPr>
          <w:p w14:paraId="165DFA8D"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75067AFA" w14:textId="77777777">
        <w:trPr>
          <w:trHeight w:val="269"/>
        </w:trPr>
        <w:tc>
          <w:tcPr>
            <w:tcW w:w="727" w:type="dxa"/>
            <w:tcBorders>
              <w:top w:val="nil"/>
              <w:left w:val="nil"/>
              <w:bottom w:val="nil"/>
              <w:right w:val="nil"/>
            </w:tcBorders>
            <w:noWrap/>
            <w:vAlign w:val="bottom"/>
          </w:tcPr>
          <w:p w14:paraId="74D7609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BR02</w:t>
            </w:r>
          </w:p>
        </w:tc>
        <w:tc>
          <w:tcPr>
            <w:tcW w:w="718" w:type="dxa"/>
            <w:tcBorders>
              <w:top w:val="nil"/>
              <w:left w:val="nil"/>
              <w:bottom w:val="nil"/>
              <w:right w:val="nil"/>
            </w:tcBorders>
            <w:noWrap/>
            <w:vAlign w:val="bottom"/>
          </w:tcPr>
          <w:p w14:paraId="05A17F1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75.33</w:t>
            </w:r>
          </w:p>
        </w:tc>
        <w:tc>
          <w:tcPr>
            <w:tcW w:w="631" w:type="dxa"/>
            <w:tcBorders>
              <w:top w:val="nil"/>
              <w:left w:val="nil"/>
              <w:bottom w:val="nil"/>
              <w:right w:val="nil"/>
            </w:tcBorders>
            <w:noWrap/>
            <w:vAlign w:val="bottom"/>
          </w:tcPr>
          <w:p w14:paraId="1F96319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0.21</w:t>
            </w:r>
          </w:p>
        </w:tc>
        <w:tc>
          <w:tcPr>
            <w:tcW w:w="631" w:type="dxa"/>
            <w:tcBorders>
              <w:top w:val="nil"/>
              <w:left w:val="nil"/>
              <w:bottom w:val="nil"/>
              <w:right w:val="nil"/>
            </w:tcBorders>
            <w:noWrap/>
            <w:vAlign w:val="bottom"/>
          </w:tcPr>
          <w:p w14:paraId="5FF8135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0.41</w:t>
            </w:r>
          </w:p>
        </w:tc>
        <w:tc>
          <w:tcPr>
            <w:tcW w:w="718" w:type="dxa"/>
            <w:tcBorders>
              <w:top w:val="nil"/>
              <w:left w:val="nil"/>
              <w:bottom w:val="nil"/>
              <w:right w:val="nil"/>
            </w:tcBorders>
            <w:noWrap/>
            <w:vAlign w:val="bottom"/>
          </w:tcPr>
          <w:p w14:paraId="4B0BBD8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12.54</w:t>
            </w:r>
          </w:p>
        </w:tc>
        <w:tc>
          <w:tcPr>
            <w:tcW w:w="718" w:type="dxa"/>
            <w:tcBorders>
              <w:top w:val="nil"/>
              <w:left w:val="nil"/>
              <w:bottom w:val="nil"/>
              <w:right w:val="nil"/>
            </w:tcBorders>
            <w:noWrap/>
            <w:vAlign w:val="bottom"/>
          </w:tcPr>
          <w:p w14:paraId="1C72258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nil"/>
              <w:left w:val="nil"/>
              <w:bottom w:val="nil"/>
              <w:right w:val="nil"/>
            </w:tcBorders>
            <w:noWrap/>
            <w:vAlign w:val="bottom"/>
          </w:tcPr>
          <w:p w14:paraId="62177FB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150.73</w:t>
            </w:r>
          </w:p>
        </w:tc>
        <w:tc>
          <w:tcPr>
            <w:tcW w:w="830" w:type="dxa"/>
            <w:tcBorders>
              <w:top w:val="nil"/>
              <w:left w:val="nil"/>
              <w:bottom w:val="nil"/>
              <w:right w:val="nil"/>
            </w:tcBorders>
            <w:noWrap/>
            <w:vAlign w:val="bottom"/>
          </w:tcPr>
          <w:p w14:paraId="3A8A919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168.39</w:t>
            </w:r>
          </w:p>
        </w:tc>
        <w:tc>
          <w:tcPr>
            <w:tcW w:w="718" w:type="dxa"/>
            <w:tcBorders>
              <w:top w:val="nil"/>
              <w:left w:val="nil"/>
              <w:bottom w:val="nil"/>
              <w:right w:val="nil"/>
            </w:tcBorders>
            <w:noWrap/>
            <w:vAlign w:val="bottom"/>
          </w:tcPr>
          <w:p w14:paraId="710094C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nil"/>
              <w:right w:val="nil"/>
            </w:tcBorders>
            <w:noWrap/>
            <w:vAlign w:val="bottom"/>
          </w:tcPr>
          <w:p w14:paraId="3E58ED0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nil"/>
              <w:right w:val="nil"/>
            </w:tcBorders>
            <w:noWrap/>
            <w:vAlign w:val="bottom"/>
          </w:tcPr>
          <w:p w14:paraId="748A629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nil"/>
              <w:right w:val="nil"/>
            </w:tcBorders>
            <w:noWrap/>
            <w:vAlign w:val="bottom"/>
          </w:tcPr>
          <w:p w14:paraId="7BF4F90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11.9</w:t>
            </w:r>
          </w:p>
        </w:tc>
        <w:tc>
          <w:tcPr>
            <w:tcW w:w="768" w:type="dxa"/>
            <w:tcBorders>
              <w:top w:val="nil"/>
              <w:left w:val="nil"/>
              <w:bottom w:val="nil"/>
              <w:right w:val="nil"/>
            </w:tcBorders>
            <w:noWrap/>
            <w:vAlign w:val="bottom"/>
          </w:tcPr>
          <w:p w14:paraId="0003123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13.42</w:t>
            </w:r>
          </w:p>
        </w:tc>
        <w:tc>
          <w:tcPr>
            <w:tcW w:w="893" w:type="dxa"/>
            <w:tcBorders>
              <w:top w:val="nil"/>
              <w:left w:val="nil"/>
              <w:bottom w:val="nil"/>
              <w:right w:val="nil"/>
            </w:tcBorders>
            <w:noWrap/>
            <w:vAlign w:val="bottom"/>
          </w:tcPr>
          <w:p w14:paraId="10DE54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1.13</w:t>
            </w:r>
          </w:p>
        </w:tc>
        <w:tc>
          <w:tcPr>
            <w:tcW w:w="222" w:type="dxa"/>
            <w:vAlign w:val="center"/>
          </w:tcPr>
          <w:p w14:paraId="3C67CBE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B0B99A5" w14:textId="77777777">
        <w:trPr>
          <w:trHeight w:val="269"/>
        </w:trPr>
        <w:tc>
          <w:tcPr>
            <w:tcW w:w="727" w:type="dxa"/>
            <w:tcBorders>
              <w:top w:val="nil"/>
              <w:left w:val="nil"/>
              <w:bottom w:val="nil"/>
              <w:right w:val="nil"/>
            </w:tcBorders>
            <w:noWrap/>
            <w:vAlign w:val="bottom"/>
          </w:tcPr>
          <w:p w14:paraId="14A8BC5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CR02</w:t>
            </w:r>
          </w:p>
        </w:tc>
        <w:tc>
          <w:tcPr>
            <w:tcW w:w="718" w:type="dxa"/>
            <w:tcBorders>
              <w:top w:val="nil"/>
              <w:left w:val="nil"/>
              <w:bottom w:val="nil"/>
              <w:right w:val="nil"/>
            </w:tcBorders>
            <w:noWrap/>
            <w:vAlign w:val="bottom"/>
          </w:tcPr>
          <w:p w14:paraId="284EF2D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62.83</w:t>
            </w:r>
          </w:p>
        </w:tc>
        <w:tc>
          <w:tcPr>
            <w:tcW w:w="631" w:type="dxa"/>
            <w:tcBorders>
              <w:top w:val="nil"/>
              <w:left w:val="nil"/>
              <w:bottom w:val="nil"/>
              <w:right w:val="nil"/>
            </w:tcBorders>
            <w:noWrap/>
            <w:vAlign w:val="bottom"/>
          </w:tcPr>
          <w:p w14:paraId="77C7A8C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0.25</w:t>
            </w:r>
          </w:p>
        </w:tc>
        <w:tc>
          <w:tcPr>
            <w:tcW w:w="631" w:type="dxa"/>
            <w:tcBorders>
              <w:top w:val="nil"/>
              <w:left w:val="nil"/>
              <w:bottom w:val="nil"/>
              <w:right w:val="nil"/>
            </w:tcBorders>
            <w:noWrap/>
            <w:vAlign w:val="bottom"/>
          </w:tcPr>
          <w:p w14:paraId="41A3BA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718" w:type="dxa"/>
            <w:tcBorders>
              <w:top w:val="nil"/>
              <w:left w:val="nil"/>
              <w:bottom w:val="nil"/>
              <w:right w:val="nil"/>
            </w:tcBorders>
            <w:noWrap/>
            <w:vAlign w:val="bottom"/>
          </w:tcPr>
          <w:p w14:paraId="412C49B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12.51</w:t>
            </w:r>
          </w:p>
        </w:tc>
        <w:tc>
          <w:tcPr>
            <w:tcW w:w="718" w:type="dxa"/>
            <w:tcBorders>
              <w:top w:val="nil"/>
              <w:left w:val="nil"/>
              <w:bottom w:val="nil"/>
              <w:right w:val="nil"/>
            </w:tcBorders>
            <w:noWrap/>
            <w:vAlign w:val="bottom"/>
          </w:tcPr>
          <w:p w14:paraId="5B14DAF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nil"/>
              <w:left w:val="nil"/>
              <w:bottom w:val="nil"/>
              <w:right w:val="nil"/>
            </w:tcBorders>
            <w:noWrap/>
            <w:vAlign w:val="bottom"/>
          </w:tcPr>
          <w:p w14:paraId="4A219F6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125.73</w:t>
            </w:r>
          </w:p>
        </w:tc>
        <w:tc>
          <w:tcPr>
            <w:tcW w:w="830" w:type="dxa"/>
            <w:tcBorders>
              <w:top w:val="nil"/>
              <w:left w:val="nil"/>
              <w:bottom w:val="nil"/>
              <w:right w:val="nil"/>
            </w:tcBorders>
            <w:noWrap/>
            <w:vAlign w:val="bottom"/>
          </w:tcPr>
          <w:p w14:paraId="06EE2D6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143.41</w:t>
            </w:r>
          </w:p>
        </w:tc>
        <w:tc>
          <w:tcPr>
            <w:tcW w:w="718" w:type="dxa"/>
            <w:tcBorders>
              <w:top w:val="nil"/>
              <w:left w:val="nil"/>
              <w:bottom w:val="nil"/>
              <w:right w:val="nil"/>
            </w:tcBorders>
            <w:noWrap/>
            <w:vAlign w:val="bottom"/>
          </w:tcPr>
          <w:p w14:paraId="7A50BE9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nil"/>
              <w:right w:val="nil"/>
            </w:tcBorders>
            <w:noWrap/>
            <w:vAlign w:val="bottom"/>
          </w:tcPr>
          <w:p w14:paraId="06AC1EC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nil"/>
              <w:right w:val="nil"/>
            </w:tcBorders>
            <w:noWrap/>
            <w:vAlign w:val="bottom"/>
          </w:tcPr>
          <w:p w14:paraId="1425075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nil"/>
              <w:right w:val="nil"/>
            </w:tcBorders>
            <w:noWrap/>
            <w:vAlign w:val="bottom"/>
          </w:tcPr>
          <w:p w14:paraId="6B98638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14.0</w:t>
            </w:r>
          </w:p>
        </w:tc>
        <w:tc>
          <w:tcPr>
            <w:tcW w:w="768" w:type="dxa"/>
            <w:tcBorders>
              <w:top w:val="nil"/>
              <w:left w:val="nil"/>
              <w:bottom w:val="nil"/>
              <w:right w:val="nil"/>
            </w:tcBorders>
            <w:noWrap/>
            <w:vAlign w:val="bottom"/>
          </w:tcPr>
          <w:p w14:paraId="502F560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11.86</w:t>
            </w:r>
          </w:p>
        </w:tc>
        <w:tc>
          <w:tcPr>
            <w:tcW w:w="893" w:type="dxa"/>
            <w:tcBorders>
              <w:top w:val="nil"/>
              <w:left w:val="nil"/>
              <w:bottom w:val="nil"/>
              <w:right w:val="nil"/>
            </w:tcBorders>
            <w:noWrap/>
            <w:vAlign w:val="bottom"/>
          </w:tcPr>
          <w:p w14:paraId="43056ED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0.85</w:t>
            </w:r>
          </w:p>
        </w:tc>
        <w:tc>
          <w:tcPr>
            <w:tcW w:w="222" w:type="dxa"/>
            <w:vAlign w:val="center"/>
          </w:tcPr>
          <w:p w14:paraId="42791AF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B24D324" w14:textId="77777777">
        <w:trPr>
          <w:trHeight w:val="269"/>
        </w:trPr>
        <w:tc>
          <w:tcPr>
            <w:tcW w:w="727" w:type="dxa"/>
            <w:tcBorders>
              <w:top w:val="nil"/>
              <w:left w:val="nil"/>
              <w:bottom w:val="nil"/>
              <w:right w:val="nil"/>
            </w:tcBorders>
            <w:noWrap/>
            <w:vAlign w:val="bottom"/>
          </w:tcPr>
          <w:p w14:paraId="47121FB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DR02</w:t>
            </w:r>
          </w:p>
        </w:tc>
        <w:tc>
          <w:tcPr>
            <w:tcW w:w="718" w:type="dxa"/>
            <w:tcBorders>
              <w:top w:val="nil"/>
              <w:left w:val="nil"/>
              <w:bottom w:val="nil"/>
              <w:right w:val="nil"/>
            </w:tcBorders>
            <w:noWrap/>
            <w:vAlign w:val="bottom"/>
          </w:tcPr>
          <w:p w14:paraId="1D5781F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70.59</w:t>
            </w:r>
          </w:p>
        </w:tc>
        <w:tc>
          <w:tcPr>
            <w:tcW w:w="631" w:type="dxa"/>
            <w:tcBorders>
              <w:top w:val="nil"/>
              <w:left w:val="nil"/>
              <w:bottom w:val="nil"/>
              <w:right w:val="nil"/>
            </w:tcBorders>
            <w:noWrap/>
            <w:vAlign w:val="bottom"/>
          </w:tcPr>
          <w:p w14:paraId="41222D2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0.26</w:t>
            </w:r>
          </w:p>
        </w:tc>
        <w:tc>
          <w:tcPr>
            <w:tcW w:w="631" w:type="dxa"/>
            <w:tcBorders>
              <w:top w:val="nil"/>
              <w:left w:val="nil"/>
              <w:bottom w:val="nil"/>
              <w:right w:val="nil"/>
            </w:tcBorders>
            <w:noWrap/>
            <w:vAlign w:val="bottom"/>
          </w:tcPr>
          <w:p w14:paraId="572A5EF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0.40</w:t>
            </w:r>
          </w:p>
        </w:tc>
        <w:tc>
          <w:tcPr>
            <w:tcW w:w="718" w:type="dxa"/>
            <w:tcBorders>
              <w:top w:val="nil"/>
              <w:left w:val="nil"/>
              <w:bottom w:val="nil"/>
              <w:right w:val="nil"/>
            </w:tcBorders>
            <w:noWrap/>
            <w:vAlign w:val="bottom"/>
          </w:tcPr>
          <w:p w14:paraId="0F8A465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14.91</w:t>
            </w:r>
          </w:p>
        </w:tc>
        <w:tc>
          <w:tcPr>
            <w:tcW w:w="718" w:type="dxa"/>
            <w:tcBorders>
              <w:top w:val="nil"/>
              <w:left w:val="nil"/>
              <w:bottom w:val="nil"/>
              <w:right w:val="nil"/>
            </w:tcBorders>
            <w:noWrap/>
            <w:vAlign w:val="bottom"/>
          </w:tcPr>
          <w:p w14:paraId="46B8F67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nil"/>
              <w:left w:val="nil"/>
              <w:bottom w:val="nil"/>
              <w:right w:val="nil"/>
            </w:tcBorders>
            <w:noWrap/>
            <w:vAlign w:val="bottom"/>
          </w:tcPr>
          <w:p w14:paraId="40D4B11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150.73</w:t>
            </w:r>
          </w:p>
        </w:tc>
        <w:tc>
          <w:tcPr>
            <w:tcW w:w="830" w:type="dxa"/>
            <w:tcBorders>
              <w:top w:val="nil"/>
              <w:left w:val="nil"/>
              <w:bottom w:val="nil"/>
              <w:right w:val="nil"/>
            </w:tcBorders>
            <w:noWrap/>
            <w:vAlign w:val="bottom"/>
          </w:tcPr>
          <w:p w14:paraId="3A9A821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167.21</w:t>
            </w:r>
          </w:p>
        </w:tc>
        <w:tc>
          <w:tcPr>
            <w:tcW w:w="718" w:type="dxa"/>
            <w:tcBorders>
              <w:top w:val="nil"/>
              <w:left w:val="nil"/>
              <w:bottom w:val="nil"/>
              <w:right w:val="nil"/>
            </w:tcBorders>
            <w:noWrap/>
            <w:vAlign w:val="bottom"/>
          </w:tcPr>
          <w:p w14:paraId="547E8CA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nil"/>
              <w:right w:val="nil"/>
            </w:tcBorders>
            <w:noWrap/>
            <w:vAlign w:val="bottom"/>
          </w:tcPr>
          <w:p w14:paraId="15E758C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nil"/>
              <w:right w:val="nil"/>
            </w:tcBorders>
            <w:noWrap/>
            <w:vAlign w:val="bottom"/>
          </w:tcPr>
          <w:p w14:paraId="6746CB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nil"/>
              <w:right w:val="nil"/>
            </w:tcBorders>
            <w:noWrap/>
            <w:vAlign w:val="bottom"/>
          </w:tcPr>
          <w:p w14:paraId="21EB60D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16.1</w:t>
            </w:r>
          </w:p>
        </w:tc>
        <w:tc>
          <w:tcPr>
            <w:tcW w:w="768" w:type="dxa"/>
            <w:tcBorders>
              <w:top w:val="nil"/>
              <w:left w:val="nil"/>
              <w:bottom w:val="nil"/>
              <w:right w:val="nil"/>
            </w:tcBorders>
            <w:noWrap/>
            <w:vAlign w:val="bottom"/>
          </w:tcPr>
          <w:p w14:paraId="5DF0011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14.58</w:t>
            </w:r>
          </w:p>
        </w:tc>
        <w:tc>
          <w:tcPr>
            <w:tcW w:w="893" w:type="dxa"/>
            <w:tcBorders>
              <w:top w:val="nil"/>
              <w:left w:val="nil"/>
              <w:bottom w:val="nil"/>
              <w:right w:val="nil"/>
            </w:tcBorders>
            <w:noWrap/>
            <w:vAlign w:val="bottom"/>
          </w:tcPr>
          <w:p w14:paraId="5B676E8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0.91</w:t>
            </w:r>
          </w:p>
        </w:tc>
        <w:tc>
          <w:tcPr>
            <w:tcW w:w="222" w:type="dxa"/>
            <w:vAlign w:val="center"/>
          </w:tcPr>
          <w:p w14:paraId="2A092031"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2667A432" w14:textId="77777777">
        <w:trPr>
          <w:trHeight w:val="269"/>
        </w:trPr>
        <w:tc>
          <w:tcPr>
            <w:tcW w:w="727" w:type="dxa"/>
            <w:tcBorders>
              <w:top w:val="nil"/>
              <w:left w:val="nil"/>
              <w:bottom w:val="single" w:sz="4" w:space="0" w:color="auto"/>
              <w:right w:val="nil"/>
            </w:tcBorders>
            <w:noWrap/>
            <w:vAlign w:val="bottom"/>
          </w:tcPr>
          <w:p w14:paraId="0EC4CFA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ER03</w:t>
            </w:r>
          </w:p>
        </w:tc>
        <w:tc>
          <w:tcPr>
            <w:tcW w:w="718" w:type="dxa"/>
            <w:tcBorders>
              <w:top w:val="nil"/>
              <w:left w:val="nil"/>
              <w:bottom w:val="single" w:sz="4" w:space="0" w:color="auto"/>
              <w:right w:val="nil"/>
            </w:tcBorders>
            <w:noWrap/>
            <w:vAlign w:val="bottom"/>
          </w:tcPr>
          <w:p w14:paraId="2F5F807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65.88</w:t>
            </w:r>
          </w:p>
        </w:tc>
        <w:tc>
          <w:tcPr>
            <w:tcW w:w="631" w:type="dxa"/>
            <w:tcBorders>
              <w:top w:val="nil"/>
              <w:left w:val="nil"/>
              <w:bottom w:val="single" w:sz="4" w:space="0" w:color="auto"/>
              <w:right w:val="nil"/>
            </w:tcBorders>
            <w:noWrap/>
            <w:vAlign w:val="bottom"/>
          </w:tcPr>
          <w:p w14:paraId="7DCFB7D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0.31</w:t>
            </w:r>
          </w:p>
        </w:tc>
        <w:tc>
          <w:tcPr>
            <w:tcW w:w="631" w:type="dxa"/>
            <w:tcBorders>
              <w:top w:val="nil"/>
              <w:left w:val="nil"/>
              <w:bottom w:val="single" w:sz="4" w:space="0" w:color="auto"/>
              <w:right w:val="nil"/>
            </w:tcBorders>
            <w:noWrap/>
            <w:vAlign w:val="bottom"/>
          </w:tcPr>
          <w:p w14:paraId="24CD44F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0.39</w:t>
            </w:r>
          </w:p>
        </w:tc>
        <w:tc>
          <w:tcPr>
            <w:tcW w:w="718" w:type="dxa"/>
            <w:tcBorders>
              <w:top w:val="nil"/>
              <w:left w:val="nil"/>
              <w:bottom w:val="single" w:sz="4" w:space="0" w:color="auto"/>
              <w:right w:val="nil"/>
            </w:tcBorders>
            <w:noWrap/>
            <w:vAlign w:val="bottom"/>
          </w:tcPr>
          <w:p w14:paraId="71DBB40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17.25</w:t>
            </w:r>
          </w:p>
        </w:tc>
        <w:tc>
          <w:tcPr>
            <w:tcW w:w="718" w:type="dxa"/>
            <w:tcBorders>
              <w:top w:val="nil"/>
              <w:left w:val="nil"/>
              <w:bottom w:val="single" w:sz="4" w:space="0" w:color="auto"/>
              <w:right w:val="nil"/>
            </w:tcBorders>
            <w:noWrap/>
            <w:vAlign w:val="bottom"/>
          </w:tcPr>
          <w:p w14:paraId="1496A43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14.38</w:t>
            </w:r>
          </w:p>
        </w:tc>
        <w:tc>
          <w:tcPr>
            <w:tcW w:w="830" w:type="dxa"/>
            <w:tcBorders>
              <w:top w:val="nil"/>
              <w:left w:val="nil"/>
              <w:bottom w:val="single" w:sz="4" w:space="0" w:color="auto"/>
              <w:right w:val="nil"/>
            </w:tcBorders>
            <w:noWrap/>
            <w:vAlign w:val="bottom"/>
          </w:tcPr>
          <w:p w14:paraId="7226E85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150.73</w:t>
            </w:r>
          </w:p>
        </w:tc>
        <w:tc>
          <w:tcPr>
            <w:tcW w:w="830" w:type="dxa"/>
            <w:tcBorders>
              <w:top w:val="nil"/>
              <w:left w:val="nil"/>
              <w:bottom w:val="single" w:sz="4" w:space="0" w:color="auto"/>
              <w:right w:val="nil"/>
            </w:tcBorders>
            <w:noWrap/>
            <w:vAlign w:val="bottom"/>
          </w:tcPr>
          <w:p w14:paraId="59AD007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166.03</w:t>
            </w:r>
          </w:p>
        </w:tc>
        <w:tc>
          <w:tcPr>
            <w:tcW w:w="718" w:type="dxa"/>
            <w:tcBorders>
              <w:top w:val="nil"/>
              <w:left w:val="nil"/>
              <w:bottom w:val="single" w:sz="4" w:space="0" w:color="auto"/>
              <w:right w:val="nil"/>
            </w:tcBorders>
            <w:noWrap/>
            <w:vAlign w:val="bottom"/>
          </w:tcPr>
          <w:p w14:paraId="5CF7B69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single" w:sz="4" w:space="0" w:color="auto"/>
              <w:right w:val="nil"/>
            </w:tcBorders>
            <w:noWrap/>
            <w:vAlign w:val="bottom"/>
          </w:tcPr>
          <w:p w14:paraId="26238A4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single" w:sz="4" w:space="0" w:color="auto"/>
              <w:right w:val="nil"/>
            </w:tcBorders>
            <w:noWrap/>
            <w:vAlign w:val="bottom"/>
          </w:tcPr>
          <w:p w14:paraId="3C7CA91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single" w:sz="4" w:space="0" w:color="auto"/>
              <w:right w:val="nil"/>
            </w:tcBorders>
            <w:noWrap/>
            <w:vAlign w:val="bottom"/>
          </w:tcPr>
          <w:p w14:paraId="156F0B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13.3</w:t>
            </w:r>
          </w:p>
        </w:tc>
        <w:tc>
          <w:tcPr>
            <w:tcW w:w="768" w:type="dxa"/>
            <w:tcBorders>
              <w:top w:val="nil"/>
              <w:left w:val="nil"/>
              <w:bottom w:val="single" w:sz="4" w:space="0" w:color="auto"/>
              <w:right w:val="nil"/>
            </w:tcBorders>
            <w:noWrap/>
            <w:vAlign w:val="bottom"/>
          </w:tcPr>
          <w:p w14:paraId="600E9B4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12.13</w:t>
            </w:r>
          </w:p>
        </w:tc>
        <w:tc>
          <w:tcPr>
            <w:tcW w:w="893" w:type="dxa"/>
            <w:tcBorders>
              <w:top w:val="nil"/>
              <w:left w:val="nil"/>
              <w:bottom w:val="single" w:sz="4" w:space="0" w:color="auto"/>
              <w:right w:val="nil"/>
            </w:tcBorders>
            <w:noWrap/>
            <w:vAlign w:val="bottom"/>
          </w:tcPr>
          <w:p w14:paraId="2B68635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0.91</w:t>
            </w:r>
          </w:p>
        </w:tc>
        <w:tc>
          <w:tcPr>
            <w:tcW w:w="222" w:type="dxa"/>
            <w:vAlign w:val="center"/>
          </w:tcPr>
          <w:p w14:paraId="5EB6D07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bl>
    <w:p w14:paraId="7112D286"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lastRenderedPageBreak/>
        <w:t>k is distance of neutral axis extending above centre of beam, Me represents the experimental moment, and Ma represents the analytical moment</w:t>
      </w:r>
    </w:p>
    <w:p w14:paraId="7A236001" w14:textId="77777777" w:rsidR="009523E5" w:rsidRDefault="009523E5" w:rsidP="009201D3">
      <w:pPr>
        <w:spacing w:after="0" w:line="240" w:lineRule="auto"/>
        <w:rPr>
          <w:rFonts w:ascii="Times New Roman" w:hAnsi="Times New Roman" w:cs="Times New Roman"/>
        </w:rPr>
      </w:pPr>
    </w:p>
    <w:p w14:paraId="3A26F3FC" w14:textId="73BF3966" w:rsidR="009523E5" w:rsidRDefault="00E04381" w:rsidP="009201D3">
      <w:pPr>
        <w:spacing w:after="0" w:line="240" w:lineRule="auto"/>
        <w:rPr>
          <w:rFonts w:ascii="Times New Roman" w:hAnsi="Times New Roman" w:cs="Times New Roman"/>
        </w:rPr>
      </w:pPr>
      <w:r>
        <w:rPr>
          <w:rFonts w:ascii="Times New Roman" w:hAnsi="Times New Roman" w:cs="Times New Roman"/>
        </w:rPr>
        <w:t xml:space="preserve">Fig 25 illustrates the graphical representation of the relationship between the two moments. It is observed that the moments cluster along the middle line and the values are within the error margins.  </w:t>
      </w:r>
    </w:p>
    <w:p w14:paraId="036ADA80" w14:textId="77777777" w:rsidR="009523E5" w:rsidRDefault="009523E5" w:rsidP="009201D3">
      <w:pPr>
        <w:spacing w:after="0" w:line="240" w:lineRule="auto"/>
        <w:rPr>
          <w:rFonts w:ascii="Times New Roman" w:hAnsi="Times New Roman" w:cs="Times New Roman"/>
        </w:rPr>
      </w:pPr>
    </w:p>
    <w:p w14:paraId="354D0CB5" w14:textId="77777777" w:rsidR="009523E5" w:rsidRDefault="003B4279" w:rsidP="009201D3">
      <w:pPr>
        <w:spacing w:after="0" w:line="240" w:lineRule="auto"/>
        <w:jc w:val="center"/>
        <w:rPr>
          <w:rFonts w:ascii="Times New Roman" w:hAnsi="Times New Roman" w:cs="Times New Roman"/>
          <w:b/>
          <w:bCs/>
        </w:rPr>
      </w:pPr>
      <w:r>
        <w:rPr>
          <w:noProof/>
        </w:rPr>
        <w:drawing>
          <wp:inline distT="0" distB="0" distL="0" distR="0" wp14:anchorId="68AD2A23" wp14:editId="56366318">
            <wp:extent cx="4047490" cy="2907665"/>
            <wp:effectExtent l="0" t="0" r="0" b="6985"/>
            <wp:docPr id="8538968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7ED5C09" w14:textId="669F9A81" w:rsidR="009523E5" w:rsidRDefault="003B4279" w:rsidP="009201D3">
      <w:pPr>
        <w:pStyle w:val="Caption"/>
        <w:spacing w:after="0" w:line="240" w:lineRule="auto"/>
        <w:rPr>
          <w:rFonts w:cs="Times New Roman"/>
          <w:b/>
          <w:bCs/>
        </w:rPr>
      </w:pPr>
      <w:bookmarkStart w:id="35" w:name="_Ref192820229"/>
      <w:r>
        <w:t xml:space="preserve">Fig. </w:t>
      </w:r>
      <w:r>
        <w:fldChar w:fldCharType="begin"/>
      </w:r>
      <w:r>
        <w:instrText xml:space="preserve"> SEQ Fig. \* ARABIC </w:instrText>
      </w:r>
      <w:r>
        <w:fldChar w:fldCharType="separate"/>
      </w:r>
      <w:r w:rsidR="00481BB4">
        <w:rPr>
          <w:noProof/>
        </w:rPr>
        <w:t>25</w:t>
      </w:r>
      <w:r>
        <w:rPr>
          <w:noProof/>
        </w:rPr>
        <w:fldChar w:fldCharType="end"/>
      </w:r>
      <w:bookmarkEnd w:id="35"/>
      <w:r>
        <w:t xml:space="preserve"> Relationship between analytical and experimental moments.</w:t>
      </w:r>
    </w:p>
    <w:p w14:paraId="17F0AEC5" w14:textId="77777777" w:rsidR="009523E5" w:rsidRDefault="009523E5" w:rsidP="009201D3">
      <w:pPr>
        <w:spacing w:after="0" w:line="240" w:lineRule="auto"/>
        <w:rPr>
          <w:rFonts w:ascii="Times New Roman" w:hAnsi="Times New Roman" w:cs="Times New Roman"/>
          <w:b/>
          <w:bCs/>
        </w:rPr>
      </w:pPr>
    </w:p>
    <w:p w14:paraId="076D8BD2" w14:textId="77777777" w:rsidR="009523E5" w:rsidRDefault="009523E5" w:rsidP="009201D3">
      <w:pPr>
        <w:spacing w:after="0" w:line="240" w:lineRule="auto"/>
        <w:rPr>
          <w:rFonts w:ascii="Times New Roman" w:hAnsi="Times New Roman" w:cs="Times New Roman"/>
        </w:rPr>
      </w:pPr>
    </w:p>
    <w:p w14:paraId="10999903"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6. Conclusion</w:t>
      </w:r>
    </w:p>
    <w:p w14:paraId="6F8FB186" w14:textId="77777777" w:rsidR="009523E5" w:rsidRPr="002747BE" w:rsidRDefault="003B4279" w:rsidP="009201D3">
      <w:pPr>
        <w:spacing w:after="0" w:line="240" w:lineRule="auto"/>
        <w:rPr>
          <w:rFonts w:ascii="Times New Roman" w:hAnsi="Times New Roman" w:cs="Times New Roman"/>
        </w:rPr>
      </w:pPr>
      <w:r>
        <w:rPr>
          <w:rFonts w:ascii="Times New Roman" w:hAnsi="Times New Roman" w:cs="Times New Roman"/>
        </w:rPr>
        <w:t xml:space="preserve">This paper presents results of </w:t>
      </w:r>
      <w:r w:rsidRPr="002747BE">
        <w:rPr>
          <w:rFonts w:ascii="Times New Roman" w:hAnsi="Times New Roman" w:cs="Times New Roman"/>
        </w:rPr>
        <w:t xml:space="preserve">experimental research that was conducted to investigate the flexural behaviour of hybrid retrofitted beams </w:t>
      </w:r>
      <w:proofErr w:type="gramStart"/>
      <w:r w:rsidRPr="002747BE">
        <w:rPr>
          <w:rFonts w:ascii="Times New Roman" w:hAnsi="Times New Roman" w:cs="Times New Roman"/>
        </w:rPr>
        <w:t>using  CFRP</w:t>
      </w:r>
      <w:proofErr w:type="gramEnd"/>
      <w:r w:rsidRPr="002747BE">
        <w:rPr>
          <w:rFonts w:ascii="Times New Roman" w:hAnsi="Times New Roman" w:cs="Times New Roman"/>
        </w:rPr>
        <w:t xml:space="preserve"> laminates, GFRP bars, MAS plate</w:t>
      </w:r>
      <w:r w:rsidRPr="002747BE">
        <w:rPr>
          <w:rFonts w:ascii="Times New Roman" w:hAnsi="Times New Roman" w:cs="Times New Roman"/>
        </w:rPr>
        <w:t>s, and concrete jacketing with natural fibres. The effect</w:t>
      </w:r>
      <w:r w:rsidRPr="002747BE">
        <w:rPr>
          <w:rFonts w:ascii="Times New Roman" w:hAnsi="Times New Roman" w:cs="Times New Roman"/>
          <w:lang w:val="en-US"/>
        </w:rPr>
        <w:t>s</w:t>
      </w:r>
      <w:r w:rsidRPr="002747BE">
        <w:rPr>
          <w:rFonts w:ascii="Times New Roman" w:hAnsi="Times New Roman" w:cs="Times New Roman"/>
        </w:rPr>
        <w:t xml:space="preserve"> </w:t>
      </w:r>
      <w:r>
        <w:rPr>
          <w:rFonts w:ascii="Times New Roman" w:hAnsi="Times New Roman" w:cs="Times New Roman"/>
        </w:rPr>
        <w:t xml:space="preserve">of crack numbers, crack lengths, crack spacings, </w:t>
      </w:r>
      <w:r w:rsidRPr="002747BE">
        <w:rPr>
          <w:rFonts w:ascii="Times New Roman" w:hAnsi="Times New Roman" w:cs="Times New Roman"/>
        </w:rPr>
        <w:t>maximum crack-widths, crack pattern, load-deflection relationship, and failure modes of the unretrofitted and retrofitted beams w</w:t>
      </w:r>
      <w:r w:rsidRPr="002747BE">
        <w:rPr>
          <w:rFonts w:ascii="Times New Roman" w:hAnsi="Times New Roman" w:cs="Times New Roman"/>
          <w:lang w:val="en-US"/>
        </w:rPr>
        <w:t>ere</w:t>
      </w:r>
      <w:r w:rsidRPr="002747BE">
        <w:rPr>
          <w:rFonts w:ascii="Times New Roman" w:hAnsi="Times New Roman" w:cs="Times New Roman"/>
        </w:rPr>
        <w:t xml:space="preserve"> discussed. The </w:t>
      </w:r>
      <w:r w:rsidRPr="002747BE">
        <w:rPr>
          <w:rFonts w:ascii="Times New Roman" w:hAnsi="Times New Roman" w:cs="Times New Roman"/>
        </w:rPr>
        <w:t xml:space="preserve">British Standard code provisions for the unstressed, unretrofitted RC beam was used to compare with the retrofitted RC beams. Furthermore, the formulation of a flexural moment capacity equation is derived to predict the retrofitted RC beams. The following </w:t>
      </w:r>
      <w:r w:rsidRPr="002747BE">
        <w:rPr>
          <w:rFonts w:ascii="Times New Roman" w:hAnsi="Times New Roman" w:cs="Times New Roman"/>
        </w:rPr>
        <w:t xml:space="preserve">conclusions can be drawn: </w:t>
      </w:r>
    </w:p>
    <w:p w14:paraId="769A4CAD" w14:textId="56F0ED30" w:rsidR="009523E5" w:rsidRPr="002747BE"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sidRPr="002747BE">
        <w:rPr>
          <w:rFonts w:ascii="Times New Roman" w:hAnsi="Times New Roman" w:cs="Times New Roman"/>
          <w:sz w:val="24"/>
          <w:szCs w:val="24"/>
        </w:rPr>
        <w:t>The failure modes of the unretrofitted beams were characterized with flexural (beams A, B, C) and diagonal shear (beams D, E). However, due to the increase in flexural capacity of the retrofitted beams, the failures were debondin</w:t>
      </w:r>
      <w:r w:rsidRPr="002747BE">
        <w:rPr>
          <w:rFonts w:ascii="Times New Roman" w:hAnsi="Times New Roman" w:cs="Times New Roman"/>
          <w:sz w:val="24"/>
          <w:szCs w:val="24"/>
        </w:rPr>
        <w:t>g (beams B, C) and diagonal shear (beams A, D, E). The retrofitted beams all experienced debonding with the maximum debonding crack width as 10 mm (beam A), 8 mm (beam C), and 7 mm (beams B, D, E). Thus, the beam with depth 225 mm developed the highest deb</w:t>
      </w:r>
      <w:r w:rsidRPr="002747BE">
        <w:rPr>
          <w:rFonts w:ascii="Times New Roman" w:hAnsi="Times New Roman" w:cs="Times New Roman"/>
          <w:sz w:val="24"/>
          <w:szCs w:val="24"/>
        </w:rPr>
        <w:t>onding, while all the 200 mm beams developed 7 mm debonding width.</w:t>
      </w:r>
    </w:p>
    <w:p w14:paraId="187C7160" w14:textId="77777777" w:rsidR="009523E5" w:rsidRPr="002747BE"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sidRPr="002747BE">
        <w:rPr>
          <w:rFonts w:ascii="Times New Roman" w:hAnsi="Times New Roman" w:cs="Times New Roman"/>
          <w:sz w:val="24"/>
          <w:szCs w:val="24"/>
        </w:rPr>
        <w:t>The highest number of cracks recorded reached 13 (beam CR02) under the load points, directly followed by beam BR02 with a number 12. It can be observed also that there was an anomaly in the</w:t>
      </w:r>
      <w:r w:rsidRPr="002747BE">
        <w:rPr>
          <w:rFonts w:ascii="Times New Roman" w:hAnsi="Times New Roman" w:cs="Times New Roman"/>
          <w:sz w:val="24"/>
          <w:szCs w:val="24"/>
        </w:rPr>
        <w:t xml:space="preserve"> trend for the beams BR02 and CR02 being the only beams that recorded shear cracks under the load points. In both flexure and shear, the crack number away from the load points was observed in the retrofitted beams to be more than their unretrofitted beams,</w:t>
      </w:r>
      <w:r w:rsidRPr="002747BE">
        <w:rPr>
          <w:rFonts w:ascii="Times New Roman" w:hAnsi="Times New Roman" w:cs="Times New Roman"/>
          <w:sz w:val="24"/>
          <w:szCs w:val="24"/>
        </w:rPr>
        <w:t xml:space="preserve"> most of which were micro cracks which gave an indication of a ductile member. The number of flexural cracks was more than those in </w:t>
      </w:r>
      <w:r w:rsidRPr="002747BE">
        <w:rPr>
          <w:rFonts w:ascii="Times New Roman" w:hAnsi="Times New Roman" w:cs="Times New Roman"/>
          <w:sz w:val="24"/>
          <w:szCs w:val="24"/>
        </w:rPr>
        <w:lastRenderedPageBreak/>
        <w:t xml:space="preserve">shear for all the beams in both under and away from the load points, and also, the retrofitted beams recorded higher values </w:t>
      </w:r>
      <w:r w:rsidRPr="002747BE">
        <w:rPr>
          <w:rFonts w:ascii="Times New Roman" w:hAnsi="Times New Roman" w:cs="Times New Roman"/>
          <w:sz w:val="24"/>
          <w:szCs w:val="24"/>
        </w:rPr>
        <w:t>than the unretrofitted beams.</w:t>
      </w:r>
    </w:p>
    <w:p w14:paraId="79163255" w14:textId="77777777" w:rsidR="009523E5" w:rsidRPr="002747BE"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sidRPr="002747BE">
        <w:rPr>
          <w:rFonts w:ascii="Times New Roman" w:hAnsi="Times New Roman" w:cs="Times New Roman"/>
          <w:sz w:val="24"/>
          <w:szCs w:val="24"/>
        </w:rPr>
        <w:t xml:space="preserve">With regard to largest crack lengths, the retrofitted beams </w:t>
      </w:r>
      <w:r w:rsidRPr="002747BE">
        <w:rPr>
          <w:rFonts w:ascii="Times New Roman" w:hAnsi="Times New Roman" w:cs="Times New Roman"/>
          <w:sz w:val="24"/>
          <w:szCs w:val="24"/>
          <w:lang w:val="en-GB"/>
        </w:rPr>
        <w:t>were</w:t>
      </w:r>
      <w:r w:rsidRPr="002747BE">
        <w:rPr>
          <w:rFonts w:ascii="Times New Roman" w:hAnsi="Times New Roman" w:cs="Times New Roman"/>
          <w:sz w:val="24"/>
          <w:szCs w:val="24"/>
        </w:rPr>
        <w:t xml:space="preserve"> observed to have crack lengths that </w:t>
      </w:r>
      <w:r w:rsidRPr="002747BE">
        <w:rPr>
          <w:rFonts w:ascii="Times New Roman" w:hAnsi="Times New Roman" w:cs="Times New Roman"/>
          <w:sz w:val="24"/>
          <w:szCs w:val="24"/>
          <w:lang w:val="en-GB"/>
        </w:rPr>
        <w:t>we</w:t>
      </w:r>
      <w:r w:rsidRPr="002747BE">
        <w:rPr>
          <w:rFonts w:ascii="Times New Roman" w:hAnsi="Times New Roman" w:cs="Times New Roman"/>
          <w:sz w:val="24"/>
          <w:szCs w:val="24"/>
        </w:rPr>
        <w:t>re more than the unretrofitted beams. In ascending order, the largest lengths are from beam A through beam E, with the exce</w:t>
      </w:r>
      <w:r w:rsidRPr="002747BE">
        <w:rPr>
          <w:rFonts w:ascii="Times New Roman" w:hAnsi="Times New Roman" w:cs="Times New Roman"/>
          <w:sz w:val="24"/>
          <w:szCs w:val="24"/>
        </w:rPr>
        <w:t>ption of the retrofitted beam A (AR02) which peak</w:t>
      </w:r>
      <w:r w:rsidRPr="002747BE">
        <w:rPr>
          <w:rFonts w:ascii="Times New Roman" w:hAnsi="Times New Roman" w:cs="Times New Roman"/>
          <w:sz w:val="24"/>
          <w:szCs w:val="24"/>
          <w:lang w:val="en-GB"/>
        </w:rPr>
        <w:t>ed</w:t>
      </w:r>
      <w:r w:rsidRPr="002747BE">
        <w:rPr>
          <w:rFonts w:ascii="Times New Roman" w:hAnsi="Times New Roman" w:cs="Times New Roman"/>
          <w:sz w:val="24"/>
          <w:szCs w:val="24"/>
        </w:rPr>
        <w:t xml:space="preserve"> around 700 mm. These largest lengths </w:t>
      </w:r>
      <w:r w:rsidRPr="002747BE">
        <w:rPr>
          <w:rFonts w:ascii="Times New Roman" w:hAnsi="Times New Roman" w:cs="Times New Roman"/>
          <w:sz w:val="24"/>
          <w:szCs w:val="24"/>
          <w:lang w:val="en-GB"/>
        </w:rPr>
        <w:t xml:space="preserve">could </w:t>
      </w:r>
      <w:r w:rsidRPr="002747BE">
        <w:rPr>
          <w:rFonts w:ascii="Times New Roman" w:hAnsi="Times New Roman" w:cs="Times New Roman"/>
          <w:sz w:val="24"/>
          <w:szCs w:val="24"/>
        </w:rPr>
        <w:t xml:space="preserve">be attributed to the beams that failed in diagonal shear. In terms of the average crack lengths, it </w:t>
      </w:r>
      <w:r w:rsidRPr="002747BE">
        <w:rPr>
          <w:rFonts w:ascii="Times New Roman" w:hAnsi="Times New Roman" w:cs="Times New Roman"/>
          <w:sz w:val="24"/>
          <w:szCs w:val="24"/>
          <w:lang w:val="en-GB"/>
        </w:rPr>
        <w:t>was</w:t>
      </w:r>
      <w:r w:rsidRPr="002747BE">
        <w:rPr>
          <w:rFonts w:ascii="Times New Roman" w:hAnsi="Times New Roman" w:cs="Times New Roman"/>
          <w:sz w:val="24"/>
          <w:szCs w:val="24"/>
        </w:rPr>
        <w:t xml:space="preserve"> evident that the retrofitted beams ha</w:t>
      </w:r>
      <w:r w:rsidRPr="002747BE">
        <w:rPr>
          <w:rFonts w:ascii="Times New Roman" w:hAnsi="Times New Roman" w:cs="Times New Roman"/>
          <w:sz w:val="24"/>
          <w:szCs w:val="24"/>
          <w:lang w:val="en-GB"/>
        </w:rPr>
        <w:t>d</w:t>
      </w:r>
      <w:r w:rsidRPr="002747BE">
        <w:rPr>
          <w:rFonts w:ascii="Times New Roman" w:hAnsi="Times New Roman" w:cs="Times New Roman"/>
          <w:sz w:val="24"/>
          <w:szCs w:val="24"/>
        </w:rPr>
        <w:t xml:space="preserve"> crack lengths that</w:t>
      </w:r>
      <w:r w:rsidRPr="002747BE">
        <w:rPr>
          <w:rFonts w:ascii="Times New Roman" w:hAnsi="Times New Roman" w:cs="Times New Roman"/>
          <w:sz w:val="24"/>
          <w:szCs w:val="24"/>
        </w:rPr>
        <w:t xml:space="preserve"> </w:t>
      </w:r>
      <w:r w:rsidRPr="002747BE">
        <w:rPr>
          <w:rFonts w:ascii="Times New Roman" w:hAnsi="Times New Roman" w:cs="Times New Roman"/>
          <w:sz w:val="24"/>
          <w:szCs w:val="24"/>
          <w:lang w:val="en-GB"/>
        </w:rPr>
        <w:t>were</w:t>
      </w:r>
      <w:r w:rsidRPr="002747BE">
        <w:rPr>
          <w:rFonts w:ascii="Times New Roman" w:hAnsi="Times New Roman" w:cs="Times New Roman"/>
          <w:sz w:val="24"/>
          <w:szCs w:val="24"/>
        </w:rPr>
        <w:t xml:space="preserve"> slightly lower than their unretrofitted beams and the same </w:t>
      </w:r>
      <w:r w:rsidRPr="002747BE">
        <w:rPr>
          <w:rFonts w:ascii="Times New Roman" w:hAnsi="Times New Roman" w:cs="Times New Roman"/>
          <w:sz w:val="24"/>
          <w:szCs w:val="24"/>
          <w:lang w:val="en-GB"/>
        </w:rPr>
        <w:t>could</w:t>
      </w:r>
      <w:r w:rsidRPr="002747BE">
        <w:rPr>
          <w:rFonts w:ascii="Times New Roman" w:hAnsi="Times New Roman" w:cs="Times New Roman"/>
          <w:sz w:val="24"/>
          <w:szCs w:val="24"/>
        </w:rPr>
        <w:t xml:space="preserve"> be observed in the smallest crack lengths. This shows that the retrofitting close</w:t>
      </w:r>
      <w:r w:rsidRPr="002747BE">
        <w:rPr>
          <w:rFonts w:ascii="Times New Roman" w:hAnsi="Times New Roman" w:cs="Times New Roman"/>
          <w:sz w:val="24"/>
          <w:szCs w:val="24"/>
          <w:lang w:val="en-GB"/>
        </w:rPr>
        <w:t>d</w:t>
      </w:r>
      <w:r w:rsidRPr="002747BE">
        <w:rPr>
          <w:rFonts w:ascii="Times New Roman" w:hAnsi="Times New Roman" w:cs="Times New Roman"/>
          <w:sz w:val="24"/>
          <w:szCs w:val="24"/>
        </w:rPr>
        <w:t xml:space="preserve"> the gaps of the crack lengths. The average crack lengths gave a better representation than the largest lengths.</w:t>
      </w:r>
    </w:p>
    <w:p w14:paraId="6395EB80"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The average crack spacing generally increased from beams A to D, then decreased to beam E. The retrofitted beams recorded lower values than the</w:t>
      </w:r>
      <w:r>
        <w:rPr>
          <w:rFonts w:ascii="Times New Roman" w:hAnsi="Times New Roman" w:cs="Times New Roman"/>
          <w:sz w:val="24"/>
          <w:szCs w:val="24"/>
        </w:rPr>
        <w:t xml:space="preserve"> unretrofitted, signifying the importance of strengthening of the RC beam which close</w:t>
      </w:r>
      <w:r>
        <w:rPr>
          <w:rFonts w:ascii="Times New Roman" w:hAnsi="Times New Roman" w:cs="Times New Roman"/>
          <w:sz w:val="24"/>
          <w:szCs w:val="24"/>
          <w:lang w:val="en-GB"/>
        </w:rPr>
        <w:t>d</w:t>
      </w:r>
      <w:r>
        <w:rPr>
          <w:rFonts w:ascii="Times New Roman" w:hAnsi="Times New Roman" w:cs="Times New Roman"/>
          <w:sz w:val="24"/>
          <w:szCs w:val="24"/>
        </w:rPr>
        <w:t xml:space="preserve"> the spacing of the cracks. The maximum crack widths increased from beam A to beam E. The retrofitted beams had higher crack widths than the unretrofitted beams due to th</w:t>
      </w:r>
      <w:r>
        <w:rPr>
          <w:rFonts w:ascii="Times New Roman" w:hAnsi="Times New Roman" w:cs="Times New Roman"/>
          <w:sz w:val="24"/>
          <w:szCs w:val="24"/>
        </w:rPr>
        <w:t>e failure in diagonal shear that widen</w:t>
      </w:r>
      <w:r>
        <w:rPr>
          <w:rFonts w:ascii="Times New Roman" w:hAnsi="Times New Roman" w:cs="Times New Roman"/>
          <w:sz w:val="24"/>
          <w:szCs w:val="24"/>
          <w:lang w:val="en-GB"/>
        </w:rPr>
        <w:t>ed</w:t>
      </w:r>
      <w:r>
        <w:rPr>
          <w:rFonts w:ascii="Times New Roman" w:hAnsi="Times New Roman" w:cs="Times New Roman"/>
          <w:sz w:val="24"/>
          <w:szCs w:val="24"/>
        </w:rPr>
        <w:t xml:space="preserve"> the crack</w:t>
      </w:r>
      <w:r>
        <w:rPr>
          <w:rFonts w:ascii="Times New Roman" w:hAnsi="Times New Roman" w:cs="Times New Roman"/>
          <w:sz w:val="24"/>
          <w:szCs w:val="24"/>
          <w:lang w:val="en-GB"/>
        </w:rPr>
        <w:t>s</w:t>
      </w:r>
      <w:r>
        <w:rPr>
          <w:rFonts w:ascii="Times New Roman" w:hAnsi="Times New Roman" w:cs="Times New Roman"/>
          <w:sz w:val="24"/>
          <w:szCs w:val="24"/>
        </w:rPr>
        <w:t>.</w:t>
      </w:r>
    </w:p>
    <w:p w14:paraId="09787AD3"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The load-deflection relationship for the unretrofitted beams reveal</w:t>
      </w:r>
      <w:r>
        <w:rPr>
          <w:rFonts w:ascii="Times New Roman" w:hAnsi="Times New Roman" w:cs="Times New Roman"/>
          <w:sz w:val="24"/>
          <w:szCs w:val="24"/>
          <w:lang w:val="en-GB"/>
        </w:rPr>
        <w:t>ed</w:t>
      </w:r>
      <w:r>
        <w:rPr>
          <w:rFonts w:ascii="Times New Roman" w:hAnsi="Times New Roman" w:cs="Times New Roman"/>
          <w:sz w:val="24"/>
          <w:szCs w:val="24"/>
        </w:rPr>
        <w:t xml:space="preserve"> that beam D </w:t>
      </w:r>
      <w:r>
        <w:rPr>
          <w:rFonts w:ascii="Times New Roman" w:hAnsi="Times New Roman" w:cs="Times New Roman"/>
          <w:sz w:val="24"/>
          <w:szCs w:val="24"/>
          <w:lang w:val="en-GB"/>
        </w:rPr>
        <w:t>was</w:t>
      </w:r>
      <w:r>
        <w:rPr>
          <w:rFonts w:ascii="Times New Roman" w:hAnsi="Times New Roman" w:cs="Times New Roman"/>
          <w:sz w:val="24"/>
          <w:szCs w:val="24"/>
        </w:rPr>
        <w:t xml:space="preserve"> the highest curve followed by beams A, C, E, B. The retrofitted beams had higher load</w:t>
      </w:r>
      <w:r>
        <w:rPr>
          <w:rFonts w:ascii="Times New Roman" w:hAnsi="Times New Roman" w:cs="Times New Roman"/>
          <w:sz w:val="24"/>
          <w:szCs w:val="24"/>
          <w:lang w:val="en-GB"/>
        </w:rPr>
        <w:t xml:space="preserve"> </w:t>
      </w:r>
      <w:r>
        <w:rPr>
          <w:rFonts w:ascii="Times New Roman" w:hAnsi="Times New Roman" w:cs="Times New Roman"/>
          <w:sz w:val="24"/>
          <w:szCs w:val="24"/>
        </w:rPr>
        <w:t>deflection curves than the unre</w:t>
      </w:r>
      <w:r>
        <w:rPr>
          <w:rFonts w:ascii="Times New Roman" w:hAnsi="Times New Roman" w:cs="Times New Roman"/>
          <w:sz w:val="24"/>
          <w:szCs w:val="24"/>
        </w:rPr>
        <w:t>trofitted beams in all the scenarios.</w:t>
      </w:r>
    </w:p>
    <w:p w14:paraId="6E0CA4A6"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 xml:space="preserve">The ratio of the experimental load of the unretrofitted beam to the theoretical critical load reached a minimum of 162 % with beam B1 due to the close difference between both values and a maximum of 205 % with beam C2 </w:t>
      </w:r>
      <w:r>
        <w:rPr>
          <w:rFonts w:ascii="Times New Roman" w:hAnsi="Times New Roman" w:cs="Times New Roman"/>
          <w:sz w:val="24"/>
          <w:szCs w:val="24"/>
        </w:rPr>
        <w:t>because of the big difference between both values. The ratio of the experimental retrofitted beam load to the numerical critical failure load reached</w:t>
      </w:r>
      <w:r>
        <w:rPr>
          <w:rFonts w:ascii="Times New Roman" w:hAnsi="Times New Roman" w:cs="Times New Roman"/>
          <w:sz w:val="24"/>
          <w:szCs w:val="24"/>
          <w:lang w:val="en-GB"/>
        </w:rPr>
        <w:t>d</w:t>
      </w:r>
      <w:r>
        <w:rPr>
          <w:rFonts w:ascii="Times New Roman" w:hAnsi="Times New Roman" w:cs="Times New Roman"/>
          <w:sz w:val="24"/>
          <w:szCs w:val="24"/>
        </w:rPr>
        <w:t xml:space="preserve"> a minimum of 248 % with beam AR02 due to the close gap between their loads and a maximum of 315 % with th</w:t>
      </w:r>
      <w:r>
        <w:rPr>
          <w:rFonts w:ascii="Times New Roman" w:hAnsi="Times New Roman" w:cs="Times New Roman"/>
          <w:sz w:val="24"/>
          <w:szCs w:val="24"/>
        </w:rPr>
        <w:t xml:space="preserve">e beam CR01 due to wider difference in the failure load. In comparison with Alkhateeb &amp; Hejazi </w:t>
      </w:r>
      <w:r>
        <w:rPr>
          <w:rFonts w:ascii="Times New Roman" w:hAnsi="Times New Roman" w:cs="Times New Roman"/>
          <w:sz w:val="24"/>
          <w:szCs w:val="24"/>
          <w:lang w:val="en-GB"/>
        </w:rPr>
        <w:t>(</w:t>
      </w:r>
      <w:r>
        <w:rPr>
          <w:rFonts w:ascii="Times New Roman" w:hAnsi="Times New Roman" w:cs="Times New Roman"/>
          <w:sz w:val="24"/>
          <w:szCs w:val="24"/>
        </w:rPr>
        <w:t xml:space="preserve">2022) who </w:t>
      </w:r>
      <w:r>
        <w:rPr>
          <w:rFonts w:ascii="Times New Roman" w:hAnsi="Times New Roman" w:cs="Times New Roman"/>
          <w:sz w:val="24"/>
          <w:szCs w:val="24"/>
          <w:lang w:val="en-GB"/>
        </w:rPr>
        <w:t>found</w:t>
      </w:r>
      <w:r>
        <w:rPr>
          <w:rFonts w:ascii="Times New Roman" w:hAnsi="Times New Roman" w:cs="Times New Roman"/>
          <w:sz w:val="24"/>
          <w:szCs w:val="24"/>
        </w:rPr>
        <w:t xml:space="preserve"> a 133 % improvement with their type of retrofitting, this type of retrofitting works better.</w:t>
      </w:r>
    </w:p>
    <w:p w14:paraId="761576C0"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The analytical equation derived to compute the flex</w:t>
      </w:r>
      <w:r>
        <w:rPr>
          <w:rFonts w:ascii="Times New Roman" w:hAnsi="Times New Roman" w:cs="Times New Roman"/>
          <w:sz w:val="24"/>
          <w:szCs w:val="24"/>
        </w:rPr>
        <w:t xml:space="preserve">ural moment capacity of the retrofitted beam closely aligns with the experimental moments. The ratio of the analytical moments to the experimental moments </w:t>
      </w:r>
      <w:r>
        <w:rPr>
          <w:rFonts w:ascii="Times New Roman" w:hAnsi="Times New Roman" w:cs="Times New Roman"/>
          <w:sz w:val="24"/>
          <w:szCs w:val="24"/>
          <w:lang w:val="en-GB"/>
        </w:rPr>
        <w:t>varied as</w:t>
      </w:r>
      <w:r>
        <w:rPr>
          <w:rFonts w:ascii="Times New Roman" w:hAnsi="Times New Roman" w:cs="Times New Roman"/>
          <w:sz w:val="24"/>
          <w:szCs w:val="24"/>
        </w:rPr>
        <w:t xml:space="preserve"> 102 %, 101 %, 85 %, 91 %, and 91 % for beam</w:t>
      </w:r>
      <w:r>
        <w:rPr>
          <w:rFonts w:ascii="Times New Roman" w:hAnsi="Times New Roman" w:cs="Times New Roman"/>
          <w:sz w:val="24"/>
          <w:szCs w:val="24"/>
          <w:lang w:val="en-GB"/>
        </w:rPr>
        <w:t>s</w:t>
      </w:r>
      <w:r>
        <w:rPr>
          <w:rFonts w:ascii="Times New Roman" w:hAnsi="Times New Roman" w:cs="Times New Roman"/>
          <w:sz w:val="24"/>
          <w:szCs w:val="24"/>
        </w:rPr>
        <w:t xml:space="preserve"> A, B, C, D, and E respectively. The mean of th</w:t>
      </w:r>
      <w:r>
        <w:rPr>
          <w:rFonts w:ascii="Times New Roman" w:hAnsi="Times New Roman" w:cs="Times New Roman"/>
          <w:sz w:val="24"/>
          <w:szCs w:val="24"/>
        </w:rPr>
        <w:t xml:space="preserve">e ratio of the two moments is given as 0.94 and the variance </w:t>
      </w:r>
      <w:r>
        <w:rPr>
          <w:rFonts w:ascii="Times New Roman" w:hAnsi="Times New Roman" w:cs="Times New Roman"/>
          <w:sz w:val="24"/>
          <w:szCs w:val="24"/>
          <w:lang w:val="en-GB"/>
        </w:rPr>
        <w:t>was</w:t>
      </w:r>
      <w:r>
        <w:rPr>
          <w:rFonts w:ascii="Times New Roman" w:hAnsi="Times New Roman" w:cs="Times New Roman"/>
          <w:sz w:val="24"/>
          <w:szCs w:val="24"/>
        </w:rPr>
        <w:t xml:space="preserve"> 0.00541, thus the close correlation among the values. This validates the new formula proposed for this hybrid retrofitting technique.</w:t>
      </w:r>
    </w:p>
    <w:p w14:paraId="3079AD18" w14:textId="77A4A7B8"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The new formula for flexural moment capacity of the hybri</w:t>
      </w:r>
      <w:r>
        <w:rPr>
          <w:rFonts w:ascii="Times New Roman" w:hAnsi="Times New Roman" w:cs="Times New Roman"/>
          <w:sz w:val="24"/>
          <w:szCs w:val="24"/>
        </w:rPr>
        <w:t xml:space="preserve">d retrofitted beam is based on </w:t>
      </w:r>
      <w:r w:rsidR="00B93B2B">
        <w:rPr>
          <w:rFonts w:ascii="Times New Roman" w:hAnsi="Times New Roman" w:cs="Times New Roman"/>
          <w:sz w:val="24"/>
          <w:szCs w:val="24"/>
        </w:rPr>
        <w:t xml:space="preserve">experimental and theoretical work of </w:t>
      </w:r>
      <w:r>
        <w:rPr>
          <w:rFonts w:ascii="Times New Roman" w:hAnsi="Times New Roman" w:cs="Times New Roman"/>
          <w:sz w:val="24"/>
          <w:szCs w:val="24"/>
        </w:rPr>
        <w:t>the hybrid retrofitting elements, GFRP bar, CFRP laminate, and concrete jacketing. The MAS plates are needed solely to ensure a firm grip on the GFRP bar as such it is not used directly in</w:t>
      </w:r>
      <w:r>
        <w:rPr>
          <w:rFonts w:ascii="Times New Roman" w:hAnsi="Times New Roman" w:cs="Times New Roman"/>
          <w:sz w:val="24"/>
          <w:szCs w:val="24"/>
        </w:rPr>
        <w:t xml:space="preserve"> the formulation of the equation. The results from the new formula indicate that the new formula can accurately estimate the flexural moment capacity of the hybrid retrofitted beam.</w:t>
      </w:r>
    </w:p>
    <w:p w14:paraId="7F2EF305" w14:textId="081FED0B" w:rsidR="00DA0381" w:rsidRPr="00DA0381" w:rsidRDefault="00DA0381" w:rsidP="009201D3">
      <w:pPr>
        <w:spacing w:after="0" w:line="240" w:lineRule="auto"/>
        <w:rPr>
          <w:rFonts w:ascii="Times New Roman" w:hAnsi="Times New Roman" w:cs="Times New Roman"/>
        </w:rPr>
      </w:pPr>
    </w:p>
    <w:p w14:paraId="2C1D2506" w14:textId="022B20C5" w:rsidR="0046096F" w:rsidRDefault="0046096F" w:rsidP="009201D3">
      <w:pPr>
        <w:spacing w:after="0" w:line="240" w:lineRule="auto"/>
        <w:rPr>
          <w:rFonts w:ascii="Times New Roman" w:hAnsi="Times New Roman" w:cs="Times New Roman"/>
        </w:rPr>
      </w:pPr>
    </w:p>
    <w:p w14:paraId="6C7FDF38" w14:textId="77777777" w:rsidR="0046096F" w:rsidRDefault="0046096F" w:rsidP="009201D3">
      <w:pPr>
        <w:spacing w:after="0" w:line="240" w:lineRule="auto"/>
        <w:rPr>
          <w:rFonts w:ascii="Times New Roman" w:hAnsi="Times New Roman" w:cs="Times New Roman"/>
        </w:rPr>
      </w:pPr>
    </w:p>
    <w:p w14:paraId="19889355" w14:textId="77777777" w:rsidR="00C160D9" w:rsidRDefault="00C160D9" w:rsidP="009201D3">
      <w:pPr>
        <w:spacing w:after="0" w:line="240" w:lineRule="auto"/>
        <w:rPr>
          <w:rFonts w:ascii="Times New Roman" w:hAnsi="Times New Roman" w:cs="Times New Roman"/>
        </w:rPr>
      </w:pPr>
      <w:bookmarkStart w:id="36" w:name="_GoBack"/>
      <w:bookmarkEnd w:id="36"/>
    </w:p>
    <w:p w14:paraId="0B46EF87" w14:textId="77777777" w:rsidR="001601AF" w:rsidRPr="001601AF" w:rsidRDefault="001601AF" w:rsidP="009201D3">
      <w:pPr>
        <w:spacing w:after="0" w:line="240" w:lineRule="auto"/>
        <w:rPr>
          <w:rFonts w:ascii="Times New Roman" w:hAnsi="Times New Roman" w:cs="Times New Roman"/>
          <w:b/>
          <w:bCs/>
        </w:rPr>
      </w:pPr>
      <w:r w:rsidRPr="001601AF">
        <w:rPr>
          <w:rFonts w:ascii="Times New Roman" w:hAnsi="Times New Roman" w:cs="Times New Roman"/>
          <w:b/>
          <w:bCs/>
        </w:rPr>
        <w:t>Availability of data and materials</w:t>
      </w:r>
    </w:p>
    <w:p w14:paraId="1AE7802F" w14:textId="456206AF" w:rsidR="001601AF" w:rsidRDefault="001601AF" w:rsidP="009201D3">
      <w:pPr>
        <w:spacing w:after="0" w:line="240" w:lineRule="auto"/>
        <w:rPr>
          <w:rFonts w:ascii="Times New Roman" w:hAnsi="Times New Roman" w:cs="Times New Roman"/>
        </w:rPr>
      </w:pPr>
      <w:r w:rsidRPr="001601AF">
        <w:rPr>
          <w:rFonts w:ascii="Times New Roman" w:hAnsi="Times New Roman" w:cs="Times New Roman"/>
        </w:rPr>
        <w:t>The data</w:t>
      </w:r>
      <w:r w:rsidR="00261318">
        <w:rPr>
          <w:rFonts w:ascii="Times New Roman" w:hAnsi="Times New Roman" w:cs="Times New Roman"/>
        </w:rPr>
        <w:t>sets</w:t>
      </w:r>
      <w:r w:rsidRPr="001601AF">
        <w:rPr>
          <w:rFonts w:ascii="Times New Roman" w:hAnsi="Times New Roman" w:cs="Times New Roman"/>
        </w:rPr>
        <w:t xml:space="preserve"> used and/or analyzed during th</w:t>
      </w:r>
      <w:r>
        <w:rPr>
          <w:rFonts w:ascii="Times New Roman" w:hAnsi="Times New Roman" w:cs="Times New Roman"/>
        </w:rPr>
        <w:t>is</w:t>
      </w:r>
      <w:r w:rsidRPr="001601AF">
        <w:rPr>
          <w:rFonts w:ascii="Times New Roman" w:hAnsi="Times New Roman" w:cs="Times New Roman"/>
        </w:rPr>
        <w:t xml:space="preserve"> study are available from</w:t>
      </w:r>
      <w:r>
        <w:rPr>
          <w:rFonts w:ascii="Times New Roman" w:hAnsi="Times New Roman" w:cs="Times New Roman"/>
        </w:rPr>
        <w:t xml:space="preserve"> </w:t>
      </w:r>
      <w:r w:rsidRPr="001601AF">
        <w:rPr>
          <w:rFonts w:ascii="Times New Roman" w:hAnsi="Times New Roman" w:cs="Times New Roman"/>
        </w:rPr>
        <w:t>the corresponding author on reasonable request.</w:t>
      </w:r>
    </w:p>
    <w:p w14:paraId="437359D9" w14:textId="77777777" w:rsidR="001601AF" w:rsidRDefault="001601AF" w:rsidP="009201D3">
      <w:pPr>
        <w:spacing w:after="0" w:line="240" w:lineRule="auto"/>
        <w:rPr>
          <w:rFonts w:ascii="Times New Roman" w:hAnsi="Times New Roman" w:cs="Times New Roman"/>
        </w:rPr>
      </w:pPr>
    </w:p>
    <w:p w14:paraId="2E5B8A2F" w14:textId="77777777" w:rsidR="009523E5" w:rsidRDefault="009523E5" w:rsidP="009201D3">
      <w:pPr>
        <w:spacing w:after="0" w:line="240" w:lineRule="auto"/>
        <w:rPr>
          <w:rFonts w:ascii="Times New Roman" w:hAnsi="Times New Roman" w:cs="Times New Roman"/>
          <w:b/>
          <w:bCs/>
        </w:rPr>
      </w:pPr>
    </w:p>
    <w:p w14:paraId="08D0F05D"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7. References</w:t>
      </w:r>
    </w:p>
    <w:p w14:paraId="52A1D79B"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Pr>
          <w:rFonts w:ascii="Times New Roman" w:hAnsi="Times New Roman" w:cs="Times New Roman"/>
          <w:kern w:val="0"/>
        </w:rPr>
        <w:t xml:space="preserve">Abed, H. S., &amp; Al-Sulayfani, B. J. (2023). Experimental and analytical investigation on effect of openings in behavior of reinforced concrete deep beam and enhanced by CFRP laminates. </w:t>
      </w:r>
      <w:r>
        <w:rPr>
          <w:rFonts w:ascii="Times New Roman" w:hAnsi="Times New Roman" w:cs="Times New Roman"/>
          <w:i/>
          <w:iCs/>
          <w:kern w:val="0"/>
        </w:rPr>
        <w:t>Structures</w:t>
      </w:r>
      <w:r>
        <w:rPr>
          <w:rFonts w:ascii="Times New Roman" w:hAnsi="Times New Roman" w:cs="Times New Roman"/>
          <w:kern w:val="0"/>
        </w:rPr>
        <w:t xml:space="preserve">, </w:t>
      </w:r>
      <w:r>
        <w:rPr>
          <w:rFonts w:ascii="Times New Roman" w:hAnsi="Times New Roman" w:cs="Times New Roman"/>
          <w:i/>
          <w:iCs/>
          <w:kern w:val="0"/>
        </w:rPr>
        <w:t>48</w:t>
      </w:r>
      <w:r>
        <w:rPr>
          <w:rFonts w:ascii="Times New Roman" w:hAnsi="Times New Roman" w:cs="Times New Roman"/>
          <w:kern w:val="0"/>
        </w:rPr>
        <w:t>, 706–716. https://doi.org/10.1016/j.istruc.2023.01.013</w:t>
      </w:r>
    </w:p>
    <w:p w14:paraId="25D93B83"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Al</w:t>
      </w:r>
      <w:r>
        <w:rPr>
          <w:rFonts w:ascii="Times New Roman" w:hAnsi="Times New Roman" w:cs="Times New Roman"/>
          <w:kern w:val="0"/>
        </w:rPr>
        <w:t xml:space="preserve">-Rousan, R. Z. (2023). Impact of Internal CFRP strips on the flexural behavior of heat-damaged reinforced concrete beams. </w:t>
      </w:r>
      <w:r>
        <w:rPr>
          <w:rFonts w:ascii="Times New Roman" w:hAnsi="Times New Roman" w:cs="Times New Roman"/>
          <w:i/>
          <w:iCs/>
          <w:kern w:val="0"/>
        </w:rPr>
        <w:t>Heliyon</w:t>
      </w:r>
      <w:r>
        <w:rPr>
          <w:rFonts w:ascii="Times New Roman" w:hAnsi="Times New Roman" w:cs="Times New Roman"/>
          <w:kern w:val="0"/>
        </w:rPr>
        <w:t xml:space="preserve">, </w:t>
      </w:r>
      <w:r>
        <w:rPr>
          <w:rFonts w:ascii="Times New Roman" w:hAnsi="Times New Roman" w:cs="Times New Roman"/>
          <w:i/>
          <w:iCs/>
          <w:kern w:val="0"/>
        </w:rPr>
        <w:t>9</w:t>
      </w:r>
      <w:r>
        <w:rPr>
          <w:rFonts w:ascii="Times New Roman" w:hAnsi="Times New Roman" w:cs="Times New Roman"/>
          <w:kern w:val="0"/>
        </w:rPr>
        <w:t>(6). https://doi.org/10.1016/j.heliyon.2023.e17145</w:t>
      </w:r>
    </w:p>
    <w:p w14:paraId="19CCE124"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Alkhateeb, M. Y., &amp; Hejazi, F. (2022). Reinforced concrete beams external</w:t>
      </w:r>
      <w:r>
        <w:rPr>
          <w:rFonts w:ascii="Times New Roman" w:hAnsi="Times New Roman" w:cs="Times New Roman"/>
          <w:kern w:val="0"/>
        </w:rPr>
        <w:t xml:space="preserve">ly strengthened by CFRP rods with steel plate, anchorage bolts, and concrete jacketing. </w:t>
      </w:r>
      <w:r>
        <w:rPr>
          <w:rFonts w:ascii="Times New Roman" w:hAnsi="Times New Roman" w:cs="Times New Roman"/>
          <w:i/>
          <w:iCs/>
          <w:kern w:val="0"/>
        </w:rPr>
        <w:t>Structures</w:t>
      </w:r>
      <w:r>
        <w:rPr>
          <w:rFonts w:ascii="Times New Roman" w:hAnsi="Times New Roman" w:cs="Times New Roman"/>
          <w:kern w:val="0"/>
        </w:rPr>
        <w:t xml:space="preserve">, </w:t>
      </w:r>
      <w:r>
        <w:rPr>
          <w:rFonts w:ascii="Times New Roman" w:hAnsi="Times New Roman" w:cs="Times New Roman"/>
          <w:i/>
          <w:iCs/>
          <w:kern w:val="0"/>
        </w:rPr>
        <w:t>46</w:t>
      </w:r>
      <w:r>
        <w:rPr>
          <w:rFonts w:ascii="Times New Roman" w:hAnsi="Times New Roman" w:cs="Times New Roman"/>
          <w:kern w:val="0"/>
        </w:rPr>
        <w:t>, 1994–2013. https://doi.org/10.1016/j.istruc.2022.11.024</w:t>
      </w:r>
    </w:p>
    <w:p w14:paraId="63E5DFAB"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Beigi, A., Lay, A. B., &amp; Najafabadi, M. A. (2024). Acoustic emission-based delamination investig</w:t>
      </w:r>
      <w:r>
        <w:rPr>
          <w:rFonts w:ascii="Times New Roman" w:hAnsi="Times New Roman" w:cs="Times New Roman"/>
          <w:kern w:val="0"/>
        </w:rPr>
        <w:t xml:space="preserve">ation in drilled GFRP under mixed tensile and bending cyclic loading. </w:t>
      </w:r>
      <w:r>
        <w:rPr>
          <w:rFonts w:ascii="Times New Roman" w:hAnsi="Times New Roman" w:cs="Times New Roman"/>
          <w:i/>
          <w:iCs/>
          <w:kern w:val="0"/>
        </w:rPr>
        <w:t>Journal of Reinforced Plastics and Composites</w:t>
      </w:r>
      <w:r>
        <w:rPr>
          <w:rFonts w:ascii="Times New Roman" w:hAnsi="Times New Roman" w:cs="Times New Roman"/>
          <w:kern w:val="0"/>
        </w:rPr>
        <w:t>, 2024. https://doi.org/10.1177/07316844241279721.</w:t>
      </w:r>
    </w:p>
    <w:p w14:paraId="04C288CD"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Boateng, G. O., Kankam, C. K., Mansar, E. C., Afrifa, R. O., Kwarteng, F., Ohene-Coffie, F</w:t>
      </w:r>
      <w:r>
        <w:rPr>
          <w:rFonts w:ascii="Times New Roman" w:hAnsi="Times New Roman" w:cs="Times New Roman"/>
          <w:kern w:val="0"/>
        </w:rPr>
        <w:t xml:space="preserve">., &amp; Kpo, S. A. K. (2024). Evaluating the Mechanical Properties of Fiberglass-reinforced Polymer Bar. </w:t>
      </w:r>
      <w:r>
        <w:rPr>
          <w:rFonts w:ascii="Times New Roman" w:hAnsi="Times New Roman" w:cs="Times New Roman"/>
          <w:i/>
          <w:iCs/>
          <w:kern w:val="0"/>
        </w:rPr>
        <w:t>Journal of Engineering Research and Reports</w:t>
      </w:r>
      <w:r>
        <w:rPr>
          <w:rFonts w:ascii="Times New Roman" w:hAnsi="Times New Roman" w:cs="Times New Roman"/>
          <w:kern w:val="0"/>
        </w:rPr>
        <w:t xml:space="preserve">, </w:t>
      </w:r>
      <w:r>
        <w:rPr>
          <w:rFonts w:ascii="Times New Roman" w:hAnsi="Times New Roman" w:cs="Times New Roman"/>
          <w:i/>
          <w:iCs/>
          <w:kern w:val="0"/>
        </w:rPr>
        <w:t>26</w:t>
      </w:r>
      <w:r>
        <w:rPr>
          <w:rFonts w:ascii="Times New Roman" w:hAnsi="Times New Roman" w:cs="Times New Roman"/>
          <w:kern w:val="0"/>
        </w:rPr>
        <w:t>(7), 150–160. https://doi.org/10.9734/jerr/2024/v26i71200</w:t>
      </w:r>
    </w:p>
    <w:p w14:paraId="3606E69B"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sidRPr="002747BE">
        <w:rPr>
          <w:rFonts w:ascii="Times New Roman" w:hAnsi="Times New Roman" w:cs="Times New Roman"/>
          <w:kern w:val="0"/>
        </w:rPr>
        <w:t>BS8110 (2000).</w:t>
      </w:r>
      <w:r>
        <w:rPr>
          <w:rFonts w:ascii="Times New Roman" w:hAnsi="Times New Roman" w:cs="Times New Roman"/>
          <w:kern w:val="0"/>
        </w:rPr>
        <w:t xml:space="preserve"> Structural Use of Concrete. In </w:t>
      </w:r>
      <w:r>
        <w:rPr>
          <w:rFonts w:ascii="Times New Roman" w:hAnsi="Times New Roman" w:cs="Times New Roman"/>
          <w:i/>
          <w:iCs/>
          <w:kern w:val="0"/>
        </w:rPr>
        <w:t>Bri</w:t>
      </w:r>
      <w:r>
        <w:rPr>
          <w:rFonts w:ascii="Times New Roman" w:hAnsi="Times New Roman" w:cs="Times New Roman"/>
          <w:i/>
          <w:iCs/>
          <w:kern w:val="0"/>
        </w:rPr>
        <w:t>tish Standard Institution</w:t>
      </w:r>
      <w:r>
        <w:rPr>
          <w:rFonts w:ascii="Times New Roman" w:hAnsi="Times New Roman" w:cs="Times New Roman"/>
          <w:kern w:val="0"/>
        </w:rPr>
        <w:t xml:space="preserve"> (Vol. 4, Issue 1).</w:t>
      </w:r>
    </w:p>
    <w:p w14:paraId="41C9A2BF"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Cai, J., Pan, J., &amp; Zhou, X. (2017). Flexural behavior of basalt FRP reinforced ECC and concrete beams. </w:t>
      </w:r>
      <w:r>
        <w:rPr>
          <w:rFonts w:ascii="Times New Roman" w:hAnsi="Times New Roman" w:cs="Times New Roman"/>
          <w:i/>
          <w:iCs/>
          <w:kern w:val="0"/>
        </w:rPr>
        <w:t>Construction and Building Materials</w:t>
      </w:r>
      <w:r>
        <w:rPr>
          <w:rFonts w:ascii="Times New Roman" w:hAnsi="Times New Roman" w:cs="Times New Roman"/>
          <w:kern w:val="0"/>
        </w:rPr>
        <w:t xml:space="preserve">, </w:t>
      </w:r>
      <w:r>
        <w:rPr>
          <w:rFonts w:ascii="Times New Roman" w:hAnsi="Times New Roman" w:cs="Times New Roman"/>
          <w:i/>
          <w:iCs/>
          <w:kern w:val="0"/>
        </w:rPr>
        <w:t>142</w:t>
      </w:r>
      <w:r>
        <w:rPr>
          <w:rFonts w:ascii="Times New Roman" w:hAnsi="Times New Roman" w:cs="Times New Roman"/>
          <w:kern w:val="0"/>
        </w:rPr>
        <w:t>. https://doi.org/./j.conbuildmat...</w:t>
      </w:r>
    </w:p>
    <w:p w14:paraId="6F755C70"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Chalioris, C. E., Kosmidou, P.</w:t>
      </w:r>
      <w:r>
        <w:rPr>
          <w:rFonts w:ascii="Times New Roman" w:hAnsi="Times New Roman" w:cs="Times New Roman"/>
          <w:kern w:val="0"/>
        </w:rPr>
        <w:t xml:space="preserve">-M. K., &amp; Papadopoulos, N. A. (2018). Investigation of a New Strengthening Technique for RC Deep Beams Using Carbon FRP Ropes as Transverse Reinforcements. </w:t>
      </w:r>
      <w:r>
        <w:rPr>
          <w:rFonts w:ascii="Times New Roman" w:hAnsi="Times New Roman" w:cs="Times New Roman"/>
          <w:i/>
          <w:iCs/>
          <w:kern w:val="0"/>
        </w:rPr>
        <w:t>Fibers</w:t>
      </w:r>
      <w:r>
        <w:rPr>
          <w:rFonts w:ascii="Times New Roman" w:hAnsi="Times New Roman" w:cs="Times New Roman"/>
          <w:kern w:val="0"/>
        </w:rPr>
        <w:t>. https://doi.org/10.3390/fib6030052/(/journal/fibers)</w:t>
      </w:r>
    </w:p>
    <w:p w14:paraId="046839D7"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Douier, K., Hawileh, R., Abdalla, J. A.</w:t>
      </w:r>
      <w:r>
        <w:rPr>
          <w:rFonts w:ascii="Times New Roman" w:hAnsi="Times New Roman" w:cs="Times New Roman"/>
          <w:kern w:val="0"/>
        </w:rPr>
        <w:t xml:space="preserve">, Al Nuaimi, N., &amp; Ghous Sohail, M. (2023). Durability performance of RC beams strengthened with CFRP laminates and galvanized steel mesh bonded with epoxy and mortar systems. </w:t>
      </w:r>
      <w:r>
        <w:rPr>
          <w:rFonts w:ascii="Times New Roman" w:hAnsi="Times New Roman" w:cs="Times New Roman"/>
          <w:i/>
          <w:iCs/>
          <w:kern w:val="0"/>
        </w:rPr>
        <w:t>Structures</w:t>
      </w:r>
      <w:r>
        <w:rPr>
          <w:rFonts w:ascii="Times New Roman" w:hAnsi="Times New Roman" w:cs="Times New Roman"/>
          <w:kern w:val="0"/>
        </w:rPr>
        <w:t xml:space="preserve">, </w:t>
      </w:r>
      <w:r>
        <w:rPr>
          <w:rFonts w:ascii="Times New Roman" w:hAnsi="Times New Roman" w:cs="Times New Roman"/>
          <w:i/>
          <w:iCs/>
          <w:kern w:val="0"/>
        </w:rPr>
        <w:t>55</w:t>
      </w:r>
      <w:r>
        <w:rPr>
          <w:rFonts w:ascii="Times New Roman" w:hAnsi="Times New Roman" w:cs="Times New Roman"/>
          <w:kern w:val="0"/>
        </w:rPr>
        <w:t>, 338–353. https://doi.org/10.1016/j.istruc.2023.06.024</w:t>
      </w:r>
    </w:p>
    <w:p w14:paraId="2D7F980A"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Eisa, A. S., Ahmed, M. H., Demjan, I., &amp; Katunský, D. (2023). Experimental investigation on the behavior of fly-ash based geopolymer reinforced concrete beams strengthened with CFRP. </w:t>
      </w:r>
      <w:r>
        <w:rPr>
          <w:rFonts w:ascii="Times New Roman" w:hAnsi="Times New Roman" w:cs="Times New Roman"/>
          <w:i/>
          <w:iCs/>
          <w:kern w:val="0"/>
        </w:rPr>
        <w:t>Heliyon</w:t>
      </w:r>
      <w:r>
        <w:rPr>
          <w:rFonts w:ascii="Times New Roman" w:hAnsi="Times New Roman" w:cs="Times New Roman"/>
          <w:kern w:val="0"/>
        </w:rPr>
        <w:t xml:space="preserve">, </w:t>
      </w:r>
      <w:r>
        <w:rPr>
          <w:rFonts w:ascii="Times New Roman" w:hAnsi="Times New Roman" w:cs="Times New Roman"/>
          <w:i/>
          <w:iCs/>
          <w:kern w:val="0"/>
        </w:rPr>
        <w:t>9</w:t>
      </w:r>
      <w:r>
        <w:rPr>
          <w:rFonts w:ascii="Times New Roman" w:hAnsi="Times New Roman" w:cs="Times New Roman"/>
          <w:kern w:val="0"/>
        </w:rPr>
        <w:t>(7). https://doi.org/10.1016/j.heliyon.2023.e17674</w:t>
      </w:r>
    </w:p>
    <w:p w14:paraId="12F8948C"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Elghandour, </w:t>
      </w:r>
      <w:r>
        <w:rPr>
          <w:rFonts w:ascii="Times New Roman" w:hAnsi="Times New Roman" w:cs="Times New Roman"/>
          <w:kern w:val="0"/>
        </w:rPr>
        <w:t xml:space="preserve">B., Eltahawy, R., Shedid, M., &amp; Abdelrahman, A. (2023). Prediction of shear strength for CFRP reinforced concrete beams without stirrups. </w:t>
      </w:r>
      <w:r>
        <w:rPr>
          <w:rFonts w:ascii="Times New Roman" w:hAnsi="Times New Roman" w:cs="Times New Roman"/>
          <w:i/>
          <w:iCs/>
          <w:kern w:val="0"/>
        </w:rPr>
        <w:t>Engineering Structures</w:t>
      </w:r>
      <w:r>
        <w:rPr>
          <w:rFonts w:ascii="Times New Roman" w:hAnsi="Times New Roman" w:cs="Times New Roman"/>
          <w:kern w:val="0"/>
        </w:rPr>
        <w:t xml:space="preserve">, </w:t>
      </w:r>
      <w:r>
        <w:rPr>
          <w:rFonts w:ascii="Times New Roman" w:hAnsi="Times New Roman" w:cs="Times New Roman"/>
          <w:i/>
          <w:iCs/>
          <w:kern w:val="0"/>
        </w:rPr>
        <w:t>284</w:t>
      </w:r>
      <w:r>
        <w:rPr>
          <w:rFonts w:ascii="Times New Roman" w:hAnsi="Times New Roman" w:cs="Times New Roman"/>
          <w:kern w:val="0"/>
        </w:rPr>
        <w:t>. https://doi.org/10.1016/j.engstruct.2023.115946</w:t>
      </w:r>
    </w:p>
    <w:p w14:paraId="65677B53"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Geier, N., Patra, K., Anand, R. S., Ashwo</w:t>
      </w:r>
      <w:r>
        <w:rPr>
          <w:rFonts w:ascii="Times New Roman" w:hAnsi="Times New Roman" w:cs="Times New Roman"/>
          <w:kern w:val="0"/>
        </w:rPr>
        <w:t xml:space="preserve">rth, S., Balázs, B. Z., Lukács, T., Magyar, G., Tamás-Bényei, P., Xu, J., &amp; Davim, J. P. (2023). A critical review on mechanical micro-drilling of glass and carbon fibre reinforced polymer (GFRP and CFRP) composites. In </w:t>
      </w:r>
      <w:r>
        <w:rPr>
          <w:rFonts w:ascii="Times New Roman" w:hAnsi="Times New Roman" w:cs="Times New Roman"/>
          <w:i/>
          <w:iCs/>
          <w:kern w:val="0"/>
        </w:rPr>
        <w:t>Composites Part B: Engineering</w:t>
      </w:r>
      <w:r>
        <w:rPr>
          <w:rFonts w:ascii="Times New Roman" w:hAnsi="Times New Roman" w:cs="Times New Roman"/>
          <w:kern w:val="0"/>
        </w:rPr>
        <w:t xml:space="preserve"> (Vol.</w:t>
      </w:r>
      <w:r>
        <w:rPr>
          <w:rFonts w:ascii="Times New Roman" w:hAnsi="Times New Roman" w:cs="Times New Roman"/>
          <w:kern w:val="0"/>
        </w:rPr>
        <w:t xml:space="preserve"> 254). Elsevier Ltd. https://doi.org/10.1016/j.compositesb.2023.110589</w:t>
      </w:r>
    </w:p>
    <w:p w14:paraId="4DF30F65"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Grzesiak, S., Schultz-Cornelius, M., &amp; Pahn, M. (2023). Experimental and analytical evaluation of externally bonded BFRP and CFRP strips on the load-bearing behaviour of reinforced conc</w:t>
      </w:r>
      <w:r>
        <w:rPr>
          <w:rFonts w:ascii="Times New Roman" w:hAnsi="Times New Roman" w:cs="Times New Roman"/>
          <w:kern w:val="0"/>
        </w:rPr>
        <w:t xml:space="preserve">rete structures using distributed fibre optic sensing. </w:t>
      </w:r>
      <w:r>
        <w:rPr>
          <w:rFonts w:ascii="Times New Roman" w:hAnsi="Times New Roman" w:cs="Times New Roman"/>
          <w:i/>
          <w:iCs/>
          <w:kern w:val="0"/>
        </w:rPr>
        <w:t>Construction and Building Materials</w:t>
      </w:r>
      <w:r>
        <w:rPr>
          <w:rFonts w:ascii="Times New Roman" w:hAnsi="Times New Roman" w:cs="Times New Roman"/>
          <w:kern w:val="0"/>
        </w:rPr>
        <w:t xml:space="preserve">, </w:t>
      </w:r>
      <w:r>
        <w:rPr>
          <w:rFonts w:ascii="Times New Roman" w:hAnsi="Times New Roman" w:cs="Times New Roman"/>
          <w:i/>
          <w:iCs/>
          <w:kern w:val="0"/>
        </w:rPr>
        <w:t>400</w:t>
      </w:r>
      <w:r>
        <w:rPr>
          <w:rFonts w:ascii="Times New Roman" w:hAnsi="Times New Roman" w:cs="Times New Roman"/>
          <w:kern w:val="0"/>
        </w:rPr>
        <w:t>. https://doi.org/10.1016/j.conbuildmat.2023.132452</w:t>
      </w:r>
    </w:p>
    <w:p w14:paraId="00A27348"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Hao, Z., Zeng, J., Chen, G., &amp; Dai, J. (2024). Durability of FRP-to-concrete bonded joints subjected to 110 m</w:t>
      </w:r>
      <w:r>
        <w:rPr>
          <w:rFonts w:ascii="Times New Roman" w:hAnsi="Times New Roman" w:cs="Times New Roman"/>
          <w:kern w:val="0"/>
        </w:rPr>
        <w:t xml:space="preserve">onths accelerated laboratory and field exposure. </w:t>
      </w:r>
      <w:r>
        <w:rPr>
          <w:rFonts w:ascii="Times New Roman" w:hAnsi="Times New Roman" w:cs="Times New Roman"/>
          <w:i/>
          <w:iCs/>
          <w:kern w:val="0"/>
        </w:rPr>
        <w:t>Engineering Structures</w:t>
      </w:r>
      <w:r>
        <w:rPr>
          <w:rFonts w:ascii="Times New Roman" w:hAnsi="Times New Roman" w:cs="Times New Roman"/>
          <w:kern w:val="0"/>
        </w:rPr>
        <w:t xml:space="preserve">, </w:t>
      </w:r>
      <w:r>
        <w:rPr>
          <w:rFonts w:ascii="Times New Roman" w:hAnsi="Times New Roman" w:cs="Times New Roman"/>
          <w:i/>
          <w:iCs/>
          <w:kern w:val="0"/>
        </w:rPr>
        <w:t>305</w:t>
      </w:r>
      <w:r>
        <w:rPr>
          <w:rFonts w:ascii="Times New Roman" w:hAnsi="Times New Roman" w:cs="Times New Roman"/>
          <w:kern w:val="0"/>
        </w:rPr>
        <w:t>. https://doi.org/https://doi.org/10.1016/j.engstruct.2024.117681</w:t>
      </w:r>
    </w:p>
    <w:p w14:paraId="732D3F9C"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Hasan, M. A., Akiyama, M., Kojima, K., &amp; Izumi, N. (2023). Shear behavior of reinforced concrete beams repaired us</w:t>
      </w:r>
      <w:r>
        <w:rPr>
          <w:rFonts w:ascii="Times New Roman" w:hAnsi="Times New Roman" w:cs="Times New Roman"/>
          <w:kern w:val="0"/>
        </w:rPr>
        <w:t xml:space="preserve">ing a hybrid scheme with stainless steel rebars and CFRP sheets. </w:t>
      </w:r>
      <w:r>
        <w:rPr>
          <w:rFonts w:ascii="Times New Roman" w:hAnsi="Times New Roman" w:cs="Times New Roman"/>
          <w:i/>
          <w:iCs/>
          <w:kern w:val="0"/>
        </w:rPr>
        <w:t>Construction and Building Materials</w:t>
      </w:r>
      <w:r>
        <w:rPr>
          <w:rFonts w:ascii="Times New Roman" w:hAnsi="Times New Roman" w:cs="Times New Roman"/>
          <w:kern w:val="0"/>
        </w:rPr>
        <w:t xml:space="preserve">, </w:t>
      </w:r>
      <w:r>
        <w:rPr>
          <w:rFonts w:ascii="Times New Roman" w:hAnsi="Times New Roman" w:cs="Times New Roman"/>
          <w:i/>
          <w:iCs/>
          <w:kern w:val="0"/>
        </w:rPr>
        <w:t>363</w:t>
      </w:r>
      <w:r>
        <w:rPr>
          <w:rFonts w:ascii="Times New Roman" w:hAnsi="Times New Roman" w:cs="Times New Roman"/>
          <w:kern w:val="0"/>
        </w:rPr>
        <w:t>. https://doi.org/10.1016/j.conbuildmat.2022.129817</w:t>
      </w:r>
    </w:p>
    <w:p w14:paraId="29EE3531"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ISO3310-1. (2000). Test sieves - Technical requirements and testing. Part 1: Test </w:t>
      </w:r>
      <w:r>
        <w:rPr>
          <w:rFonts w:ascii="Times New Roman" w:hAnsi="Times New Roman" w:cs="Times New Roman"/>
          <w:kern w:val="0"/>
        </w:rPr>
        <w:lastRenderedPageBreak/>
        <w:t xml:space="preserve">sieves of metal wire cloth. In </w:t>
      </w:r>
      <w:r>
        <w:rPr>
          <w:rFonts w:ascii="Times New Roman" w:hAnsi="Times New Roman" w:cs="Times New Roman"/>
          <w:i/>
          <w:iCs/>
          <w:kern w:val="0"/>
        </w:rPr>
        <w:t>International Organization for Standardization, Technical-Committee, ISO/TC24</w:t>
      </w:r>
      <w:r>
        <w:rPr>
          <w:rFonts w:ascii="Times New Roman" w:hAnsi="Times New Roman" w:cs="Times New Roman"/>
          <w:kern w:val="0"/>
        </w:rPr>
        <w:t>.</w:t>
      </w:r>
    </w:p>
    <w:p w14:paraId="327B5F02"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Jagadeesh, P., Mavinkere Rangappa, S., Suyambulingam, I., Siengc</w:t>
      </w:r>
      <w:r>
        <w:rPr>
          <w:rFonts w:ascii="Times New Roman" w:hAnsi="Times New Roman" w:cs="Times New Roman"/>
          <w:kern w:val="0"/>
        </w:rPr>
        <w:t xml:space="preserve">hin, S., Puttegowda, M., Binoj, J. S., Gorbatyuk, S., Khan, A., Doddamani, M., Fiore, V., &amp; Cuadrado, M. M. M. (2023). Drilling characteristics and properties analysis of fiber reinforced polymer composites: A comprehensive review. In </w:t>
      </w:r>
      <w:r>
        <w:rPr>
          <w:rFonts w:ascii="Times New Roman" w:hAnsi="Times New Roman" w:cs="Times New Roman"/>
          <w:i/>
          <w:iCs/>
          <w:kern w:val="0"/>
        </w:rPr>
        <w:t>Heliyon</w:t>
      </w:r>
      <w:r>
        <w:rPr>
          <w:rFonts w:ascii="Times New Roman" w:hAnsi="Times New Roman" w:cs="Times New Roman"/>
          <w:kern w:val="0"/>
        </w:rPr>
        <w:t xml:space="preserve"> (Vol. 9, Issu</w:t>
      </w:r>
      <w:r>
        <w:rPr>
          <w:rFonts w:ascii="Times New Roman" w:hAnsi="Times New Roman" w:cs="Times New Roman"/>
          <w:kern w:val="0"/>
        </w:rPr>
        <w:t>e 3). Elsevier Ltd. https://doi.org/10.1016/j.heliyon.2023.e14428</w:t>
      </w:r>
    </w:p>
    <w:p w14:paraId="41F8B122"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Kankam, C. K. (2003). Structural behaviour of bolted end-plated reinforced concrete beams. </w:t>
      </w:r>
      <w:r>
        <w:rPr>
          <w:rFonts w:ascii="Times New Roman" w:hAnsi="Times New Roman" w:cs="Times New Roman"/>
          <w:i/>
          <w:iCs/>
          <w:kern w:val="0"/>
        </w:rPr>
        <w:t>Materials and Design</w:t>
      </w:r>
      <w:r>
        <w:rPr>
          <w:rFonts w:ascii="Times New Roman" w:hAnsi="Times New Roman" w:cs="Times New Roman"/>
          <w:kern w:val="0"/>
        </w:rPr>
        <w:t xml:space="preserve">, </w:t>
      </w:r>
      <w:r>
        <w:rPr>
          <w:rFonts w:ascii="Times New Roman" w:hAnsi="Times New Roman" w:cs="Times New Roman"/>
          <w:i/>
          <w:iCs/>
          <w:kern w:val="0"/>
        </w:rPr>
        <w:t>3069</w:t>
      </w:r>
      <w:r>
        <w:rPr>
          <w:rFonts w:ascii="Times New Roman" w:hAnsi="Times New Roman" w:cs="Times New Roman"/>
          <w:kern w:val="0"/>
        </w:rPr>
        <w:t>(December). https://doi.org/10.1016/S0261-3069(03)00037-2</w:t>
      </w:r>
    </w:p>
    <w:p w14:paraId="7CB04448"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Kumari, A., &amp; N</w:t>
      </w:r>
      <w:r>
        <w:rPr>
          <w:rFonts w:ascii="Times New Roman" w:hAnsi="Times New Roman" w:cs="Times New Roman"/>
          <w:kern w:val="0"/>
        </w:rPr>
        <w:t xml:space="preserve">ayak, A. N. (2021). An experimental approach for strengthening of RC deep beams with web openings using GFRP fabrics and gas actuated fasteners. </w:t>
      </w:r>
      <w:r>
        <w:rPr>
          <w:rFonts w:ascii="Times New Roman" w:hAnsi="Times New Roman" w:cs="Times New Roman"/>
          <w:i/>
          <w:iCs/>
          <w:kern w:val="0"/>
        </w:rPr>
        <w:t>Journal of Building Engineering</w:t>
      </w:r>
      <w:r>
        <w:rPr>
          <w:rFonts w:ascii="Times New Roman" w:hAnsi="Times New Roman" w:cs="Times New Roman"/>
          <w:kern w:val="0"/>
        </w:rPr>
        <w:t xml:space="preserve">, </w:t>
      </w:r>
      <w:r>
        <w:rPr>
          <w:rFonts w:ascii="Times New Roman" w:hAnsi="Times New Roman" w:cs="Times New Roman"/>
          <w:i/>
          <w:iCs/>
          <w:kern w:val="0"/>
        </w:rPr>
        <w:t>35</w:t>
      </w:r>
      <w:r>
        <w:rPr>
          <w:rFonts w:ascii="Times New Roman" w:hAnsi="Times New Roman" w:cs="Times New Roman"/>
          <w:kern w:val="0"/>
        </w:rPr>
        <w:t>. https://doi.org/10.1016/j.jobe.2020.102027</w:t>
      </w:r>
    </w:p>
    <w:p w14:paraId="113883AF"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Liu, D., Qin, F., Di, J., &amp; Zha</w:t>
      </w:r>
      <w:r>
        <w:rPr>
          <w:rFonts w:ascii="Times New Roman" w:hAnsi="Times New Roman" w:cs="Times New Roman"/>
          <w:kern w:val="0"/>
        </w:rPr>
        <w:t xml:space="preserve">ng, </w:t>
      </w:r>
      <w:r w:rsidRPr="002747BE">
        <w:rPr>
          <w:rFonts w:ascii="Times New Roman" w:hAnsi="Times New Roman" w:cs="Times New Roman"/>
          <w:kern w:val="0"/>
        </w:rPr>
        <w:t>Z. (2023a)</w:t>
      </w:r>
      <w:r>
        <w:rPr>
          <w:rFonts w:ascii="Times New Roman" w:hAnsi="Times New Roman" w:cs="Times New Roman"/>
          <w:kern w:val="0"/>
        </w:rPr>
        <w:t xml:space="preserve">. Flexural behavior of reinforced concrete (RC) beams strengthened with carbon fiber reinforced polymer (CFRP) and ECC. </w:t>
      </w:r>
      <w:r>
        <w:rPr>
          <w:rFonts w:ascii="Times New Roman" w:hAnsi="Times New Roman" w:cs="Times New Roman"/>
          <w:i/>
          <w:iCs/>
          <w:kern w:val="0"/>
        </w:rPr>
        <w:t>Case Studies in Construction Materials</w:t>
      </w:r>
      <w:r>
        <w:rPr>
          <w:rFonts w:ascii="Times New Roman" w:hAnsi="Times New Roman" w:cs="Times New Roman"/>
          <w:kern w:val="0"/>
        </w:rPr>
        <w:t xml:space="preserve">, </w:t>
      </w:r>
      <w:r>
        <w:rPr>
          <w:rFonts w:ascii="Times New Roman" w:hAnsi="Times New Roman" w:cs="Times New Roman"/>
          <w:i/>
          <w:iCs/>
          <w:kern w:val="0"/>
        </w:rPr>
        <w:t>19</w:t>
      </w:r>
      <w:r>
        <w:rPr>
          <w:rFonts w:ascii="Times New Roman" w:hAnsi="Times New Roman" w:cs="Times New Roman"/>
          <w:kern w:val="0"/>
        </w:rPr>
        <w:t>. https://doi.org/10.1016/j.cscm.2023.e02270</w:t>
      </w:r>
    </w:p>
    <w:p w14:paraId="40207810"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Liu, X., Sun, Y., Wu, T., &amp; Liu, Y.</w:t>
      </w:r>
      <w:r>
        <w:rPr>
          <w:rFonts w:ascii="Times New Roman" w:hAnsi="Times New Roman" w:cs="Times New Roman"/>
          <w:kern w:val="0"/>
        </w:rPr>
        <w:t xml:space="preserve"> (2020). Flexural cracks in steel fiber-reinforced lightweight aggregate concrete beams reinforced with FRP bars. </w:t>
      </w:r>
      <w:r>
        <w:rPr>
          <w:rFonts w:ascii="Times New Roman" w:hAnsi="Times New Roman" w:cs="Times New Roman"/>
          <w:i/>
          <w:iCs/>
          <w:kern w:val="0"/>
        </w:rPr>
        <w:t>Composite Structures</w:t>
      </w:r>
      <w:r>
        <w:rPr>
          <w:rFonts w:ascii="Times New Roman" w:hAnsi="Times New Roman" w:cs="Times New Roman"/>
          <w:kern w:val="0"/>
        </w:rPr>
        <w:t xml:space="preserve">, </w:t>
      </w:r>
      <w:r>
        <w:rPr>
          <w:rFonts w:ascii="Times New Roman" w:hAnsi="Times New Roman" w:cs="Times New Roman"/>
          <w:i/>
          <w:iCs/>
          <w:kern w:val="0"/>
        </w:rPr>
        <w:t>253</w:t>
      </w:r>
      <w:r>
        <w:rPr>
          <w:rFonts w:ascii="Times New Roman" w:hAnsi="Times New Roman" w:cs="Times New Roman"/>
          <w:kern w:val="0"/>
        </w:rPr>
        <w:t>(June), 112752. https://doi.org/10.1016/j.compstruct.2020.112752</w:t>
      </w:r>
    </w:p>
    <w:p w14:paraId="38AACD16"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Liu, X., Yu, W., Huang, Y., Yang, G., You, W., Gao, </w:t>
      </w:r>
      <w:r>
        <w:rPr>
          <w:rFonts w:ascii="Times New Roman" w:hAnsi="Times New Roman" w:cs="Times New Roman"/>
          <w:kern w:val="0"/>
        </w:rPr>
        <w:t xml:space="preserve">L., &amp; Song, </w:t>
      </w:r>
      <w:r w:rsidRPr="002747BE">
        <w:rPr>
          <w:rFonts w:ascii="Times New Roman" w:hAnsi="Times New Roman" w:cs="Times New Roman"/>
          <w:kern w:val="0"/>
        </w:rPr>
        <w:t>J. (2023b).</w:t>
      </w:r>
      <w:r>
        <w:rPr>
          <w:rFonts w:ascii="Times New Roman" w:hAnsi="Times New Roman" w:cs="Times New Roman"/>
          <w:kern w:val="0"/>
        </w:rPr>
        <w:t xml:space="preserve"> Long-term behaviour of recycled aggregate concrete beams prestressed with carbon fibre-reinforced polymer (CFRP) tendons. </w:t>
      </w:r>
      <w:r>
        <w:rPr>
          <w:rFonts w:ascii="Times New Roman" w:hAnsi="Times New Roman" w:cs="Times New Roman"/>
          <w:i/>
          <w:iCs/>
          <w:kern w:val="0"/>
        </w:rPr>
        <w:t>Case Studies in Construction Materials</w:t>
      </w:r>
      <w:r>
        <w:rPr>
          <w:rFonts w:ascii="Times New Roman" w:hAnsi="Times New Roman" w:cs="Times New Roman"/>
          <w:kern w:val="0"/>
        </w:rPr>
        <w:t xml:space="preserve">, </w:t>
      </w:r>
      <w:r>
        <w:rPr>
          <w:rFonts w:ascii="Times New Roman" w:hAnsi="Times New Roman" w:cs="Times New Roman"/>
          <w:i/>
          <w:iCs/>
          <w:kern w:val="0"/>
        </w:rPr>
        <w:t>18</w:t>
      </w:r>
      <w:r>
        <w:rPr>
          <w:rFonts w:ascii="Times New Roman" w:hAnsi="Times New Roman" w:cs="Times New Roman"/>
          <w:kern w:val="0"/>
        </w:rPr>
        <w:t>. https://doi.org/10.1016/j.cscm.2022.e01785</w:t>
      </w:r>
    </w:p>
    <w:p w14:paraId="0B8AA594"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Medeiros da Costa, L., </w:t>
      </w:r>
      <w:r>
        <w:rPr>
          <w:rFonts w:ascii="Times New Roman" w:hAnsi="Times New Roman" w:cs="Times New Roman"/>
          <w:kern w:val="0"/>
        </w:rPr>
        <w:t xml:space="preserve">Ancelmo de Carvalho Pires, T., &amp; Jéferson Rêgo Silva, J. (2023). Shear strengthening of fire-damaged reinforced concrete beams using NSM CFRP laminates. </w:t>
      </w:r>
      <w:r>
        <w:rPr>
          <w:rFonts w:ascii="Times New Roman" w:hAnsi="Times New Roman" w:cs="Times New Roman"/>
          <w:i/>
          <w:iCs/>
          <w:kern w:val="0"/>
        </w:rPr>
        <w:t>Engineering Structures</w:t>
      </w:r>
      <w:r>
        <w:rPr>
          <w:rFonts w:ascii="Times New Roman" w:hAnsi="Times New Roman" w:cs="Times New Roman"/>
          <w:kern w:val="0"/>
        </w:rPr>
        <w:t xml:space="preserve">, </w:t>
      </w:r>
      <w:r>
        <w:rPr>
          <w:rFonts w:ascii="Times New Roman" w:hAnsi="Times New Roman" w:cs="Times New Roman"/>
          <w:i/>
          <w:iCs/>
          <w:kern w:val="0"/>
        </w:rPr>
        <w:t>287</w:t>
      </w:r>
      <w:r>
        <w:rPr>
          <w:rFonts w:ascii="Times New Roman" w:hAnsi="Times New Roman" w:cs="Times New Roman"/>
          <w:kern w:val="0"/>
        </w:rPr>
        <w:t>(July), 1–25. https://doi.org/10.1016/j.engstruct.2023.116175</w:t>
      </w:r>
    </w:p>
    <w:p w14:paraId="60FED769"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Nawaz, W., Elc</w:t>
      </w:r>
      <w:r>
        <w:rPr>
          <w:rFonts w:ascii="Times New Roman" w:hAnsi="Times New Roman" w:cs="Times New Roman"/>
          <w:kern w:val="0"/>
        </w:rPr>
        <w:t xml:space="preserve">halakani, M., Yehia, S., Pham, T. M., Ayough, P., &amp; Nie, S. (2023). The effect of CFRP strip stirrups on the shear strength of SCC high strength lightweight concrete beams. </w:t>
      </w:r>
      <w:r>
        <w:rPr>
          <w:rFonts w:ascii="Times New Roman" w:hAnsi="Times New Roman" w:cs="Times New Roman"/>
          <w:i/>
          <w:iCs/>
          <w:kern w:val="0"/>
        </w:rPr>
        <w:t>Structures</w:t>
      </w:r>
      <w:r>
        <w:rPr>
          <w:rFonts w:ascii="Times New Roman" w:hAnsi="Times New Roman" w:cs="Times New Roman"/>
          <w:kern w:val="0"/>
        </w:rPr>
        <w:t xml:space="preserve">, </w:t>
      </w:r>
      <w:r>
        <w:rPr>
          <w:rFonts w:ascii="Times New Roman" w:hAnsi="Times New Roman" w:cs="Times New Roman"/>
          <w:i/>
          <w:iCs/>
          <w:kern w:val="0"/>
        </w:rPr>
        <w:t>47</w:t>
      </w:r>
      <w:r>
        <w:rPr>
          <w:rFonts w:ascii="Times New Roman" w:hAnsi="Times New Roman" w:cs="Times New Roman"/>
          <w:kern w:val="0"/>
        </w:rPr>
        <w:t>, 709–724. https://doi.org/10.1016/j.istruc.2022.11.026</w:t>
      </w:r>
    </w:p>
    <w:p w14:paraId="2B9ABD46"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Nikoloutsopou</w:t>
      </w:r>
      <w:r>
        <w:rPr>
          <w:rFonts w:ascii="Times New Roman" w:hAnsi="Times New Roman" w:cs="Times New Roman"/>
          <w:kern w:val="0"/>
        </w:rPr>
        <w:t xml:space="preserve">los, N., Sotiropoulou, A., &amp; Passa, D. (2023). Deep embedment and NSM techniques for shear strengthening of reinforced concrete slender beams with cFRP ropes. </w:t>
      </w:r>
      <w:r>
        <w:rPr>
          <w:rFonts w:ascii="Times New Roman" w:hAnsi="Times New Roman" w:cs="Times New Roman"/>
          <w:i/>
          <w:iCs/>
          <w:kern w:val="0"/>
        </w:rPr>
        <w:t>Materials Today: Proceedings</w:t>
      </w:r>
      <w:r>
        <w:rPr>
          <w:rFonts w:ascii="Times New Roman" w:hAnsi="Times New Roman" w:cs="Times New Roman"/>
          <w:kern w:val="0"/>
        </w:rPr>
        <w:t>. https://doi.org/10.1016/j.matpr.2023.07.254</w:t>
      </w:r>
    </w:p>
    <w:p w14:paraId="6A5BF002"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Sanginabadi, K., Yazdan</w:t>
      </w:r>
      <w:r>
        <w:rPr>
          <w:rFonts w:ascii="Times New Roman" w:hAnsi="Times New Roman" w:cs="Times New Roman"/>
          <w:kern w:val="0"/>
        </w:rPr>
        <w:t xml:space="preserve">i, A., Mostofineja, D., &amp; Czaderski, C. (2022). 8 Bond behavior of FRP composites attached to concrete using EBROG method_ A state-of-the-art review - ScienceDirect. </w:t>
      </w:r>
      <w:r>
        <w:rPr>
          <w:rFonts w:ascii="Times New Roman" w:hAnsi="Times New Roman" w:cs="Times New Roman"/>
          <w:i/>
          <w:iCs/>
          <w:kern w:val="0"/>
        </w:rPr>
        <w:t>Composite Structures</w:t>
      </w:r>
      <w:r>
        <w:rPr>
          <w:rFonts w:ascii="Times New Roman" w:hAnsi="Times New Roman" w:cs="Times New Roman"/>
          <w:kern w:val="0"/>
        </w:rPr>
        <w:t xml:space="preserve">, </w:t>
      </w:r>
      <w:r>
        <w:rPr>
          <w:rFonts w:ascii="Times New Roman" w:hAnsi="Times New Roman" w:cs="Times New Roman"/>
          <w:i/>
          <w:iCs/>
          <w:kern w:val="0"/>
        </w:rPr>
        <w:t>299</w:t>
      </w:r>
      <w:r>
        <w:rPr>
          <w:rFonts w:ascii="Times New Roman" w:hAnsi="Times New Roman" w:cs="Times New Roman"/>
          <w:kern w:val="0"/>
        </w:rPr>
        <w:t>(116060).</w:t>
      </w:r>
    </w:p>
    <w:p w14:paraId="641364CD"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Singh, M. K., Tewari, R., Zafar, S., Rangappa, S. M., &amp;</w:t>
      </w:r>
      <w:r>
        <w:rPr>
          <w:rFonts w:ascii="Times New Roman" w:hAnsi="Times New Roman" w:cs="Times New Roman"/>
          <w:kern w:val="0"/>
        </w:rPr>
        <w:t xml:space="preserve"> Siengchin, S. (2023). A comprehensive review of various factors for application feasibility of natural fiber-reinforced polymer composites. </w:t>
      </w:r>
      <w:r>
        <w:rPr>
          <w:rFonts w:ascii="Times New Roman" w:hAnsi="Times New Roman" w:cs="Times New Roman"/>
          <w:i/>
          <w:iCs/>
          <w:kern w:val="0"/>
        </w:rPr>
        <w:t>Results in Materials</w:t>
      </w:r>
      <w:r>
        <w:rPr>
          <w:rFonts w:ascii="Times New Roman" w:hAnsi="Times New Roman" w:cs="Times New Roman"/>
          <w:kern w:val="0"/>
        </w:rPr>
        <w:t xml:space="preserve">, </w:t>
      </w:r>
      <w:r>
        <w:rPr>
          <w:rFonts w:ascii="Times New Roman" w:hAnsi="Times New Roman" w:cs="Times New Roman"/>
          <w:i/>
          <w:iCs/>
          <w:kern w:val="0"/>
        </w:rPr>
        <w:t>17</w:t>
      </w:r>
      <w:r>
        <w:rPr>
          <w:rFonts w:ascii="Times New Roman" w:hAnsi="Times New Roman" w:cs="Times New Roman"/>
          <w:kern w:val="0"/>
        </w:rPr>
        <w:t>. https://doi.org/10.1016/j.rinma.2022.100355</w:t>
      </w:r>
    </w:p>
    <w:p w14:paraId="570EF1C6"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Solahuddin, B. A., &amp; Yahaya, F. M. (2023). A </w:t>
      </w:r>
      <w:r>
        <w:rPr>
          <w:rFonts w:ascii="Times New Roman" w:hAnsi="Times New Roman" w:cs="Times New Roman"/>
          <w:kern w:val="0"/>
        </w:rPr>
        <w:t xml:space="preserve">state-of-the-art review on experimental investigation and finite element analysis on structural behaviour of fibre reinforced polymer reinforced concrete beams. In </w:t>
      </w:r>
      <w:r>
        <w:rPr>
          <w:rFonts w:ascii="Times New Roman" w:hAnsi="Times New Roman" w:cs="Times New Roman"/>
          <w:i/>
          <w:iCs/>
          <w:kern w:val="0"/>
        </w:rPr>
        <w:t>Heliyon</w:t>
      </w:r>
      <w:r>
        <w:rPr>
          <w:rFonts w:ascii="Times New Roman" w:hAnsi="Times New Roman" w:cs="Times New Roman"/>
          <w:kern w:val="0"/>
        </w:rPr>
        <w:t xml:space="preserve"> (Vol. 9, Issue 3). Elsevier Ltd. https://doi.org/10.1016/j.heliyon.2023.e14225</w:t>
      </w:r>
    </w:p>
    <w:p w14:paraId="735E28F2" w14:textId="77777777" w:rsidR="009523E5" w:rsidRPr="002747BE"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Sun, Y., Fu, W., Chen, X., Zhang, Z., Yu, W., &amp; </w:t>
      </w:r>
      <w:r w:rsidRPr="002747BE">
        <w:rPr>
          <w:rFonts w:ascii="Times New Roman" w:hAnsi="Times New Roman" w:cs="Times New Roman"/>
          <w:kern w:val="0"/>
        </w:rPr>
        <w:t xml:space="preserve">Li, S. (2023a). Theoretical and experimental investigations into flexural behavior of existing reinforced concrete beams strengthened by CFRP bars. </w:t>
      </w:r>
      <w:r w:rsidRPr="002747BE">
        <w:rPr>
          <w:rFonts w:ascii="Times New Roman" w:hAnsi="Times New Roman" w:cs="Times New Roman"/>
          <w:i/>
          <w:iCs/>
          <w:kern w:val="0"/>
        </w:rPr>
        <w:t>Journal of Building Engineering</w:t>
      </w:r>
      <w:r w:rsidRPr="002747BE">
        <w:rPr>
          <w:rFonts w:ascii="Times New Roman" w:hAnsi="Times New Roman" w:cs="Times New Roman"/>
          <w:kern w:val="0"/>
        </w:rPr>
        <w:t xml:space="preserve">, </w:t>
      </w:r>
      <w:r w:rsidRPr="002747BE">
        <w:rPr>
          <w:rFonts w:ascii="Times New Roman" w:hAnsi="Times New Roman" w:cs="Times New Roman"/>
          <w:i/>
          <w:iCs/>
          <w:kern w:val="0"/>
        </w:rPr>
        <w:t>77</w:t>
      </w:r>
      <w:r w:rsidRPr="002747BE">
        <w:rPr>
          <w:rFonts w:ascii="Times New Roman" w:hAnsi="Times New Roman" w:cs="Times New Roman"/>
          <w:kern w:val="0"/>
        </w:rPr>
        <w:t>. https://doi.org/10.1016</w:t>
      </w:r>
      <w:r w:rsidRPr="002747BE">
        <w:rPr>
          <w:rFonts w:ascii="Times New Roman" w:hAnsi="Times New Roman" w:cs="Times New Roman"/>
          <w:kern w:val="0"/>
        </w:rPr>
        <w:t>/j.jobe.2023.107528</w:t>
      </w:r>
    </w:p>
    <w:p w14:paraId="7E55BAF4"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sidRPr="002747BE">
        <w:rPr>
          <w:rFonts w:ascii="Times New Roman" w:hAnsi="Times New Roman" w:cs="Times New Roman"/>
          <w:kern w:val="0"/>
        </w:rPr>
        <w:t>Sun, Y., Ji, J. H., Zhu, H., Dong, Z. Q., Zhang, P., Yan, M., &amp; Soh, C. K. (2023b). Flexural behaviours of pretensioned prestressed concrete-UHDC composite beams reinforc</w:t>
      </w:r>
      <w:r>
        <w:rPr>
          <w:rFonts w:ascii="Times New Roman" w:hAnsi="Times New Roman" w:cs="Times New Roman"/>
          <w:kern w:val="0"/>
        </w:rPr>
        <w:t xml:space="preserve">ed with CFRP bars. </w:t>
      </w:r>
      <w:r>
        <w:rPr>
          <w:rFonts w:ascii="Times New Roman" w:hAnsi="Times New Roman" w:cs="Times New Roman"/>
          <w:i/>
          <w:iCs/>
          <w:kern w:val="0"/>
        </w:rPr>
        <w:t>Composite Structures</w:t>
      </w:r>
      <w:r>
        <w:rPr>
          <w:rFonts w:ascii="Times New Roman" w:hAnsi="Times New Roman" w:cs="Times New Roman"/>
          <w:kern w:val="0"/>
        </w:rPr>
        <w:t xml:space="preserve">, </w:t>
      </w:r>
      <w:r>
        <w:rPr>
          <w:rFonts w:ascii="Times New Roman" w:hAnsi="Times New Roman" w:cs="Times New Roman"/>
          <w:i/>
          <w:iCs/>
          <w:kern w:val="0"/>
        </w:rPr>
        <w:t>322</w:t>
      </w:r>
      <w:r>
        <w:rPr>
          <w:rFonts w:ascii="Times New Roman" w:hAnsi="Times New Roman" w:cs="Times New Roman"/>
          <w:kern w:val="0"/>
        </w:rPr>
        <w:t>. https://doi.org/10.1</w:t>
      </w:r>
      <w:r>
        <w:rPr>
          <w:rFonts w:ascii="Times New Roman" w:hAnsi="Times New Roman" w:cs="Times New Roman"/>
          <w:kern w:val="0"/>
        </w:rPr>
        <w:t>016/j.compstruct.2023.117385</w:t>
      </w:r>
    </w:p>
    <w:p w14:paraId="39F22A56"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Tang, W., Li, S., Lu, Y., &amp; Li, Z. (2020). Combined effects of wetting–drying cycles and sustained load on the behaviour of FRP-strengthened RC beams. </w:t>
      </w:r>
      <w:r>
        <w:rPr>
          <w:rFonts w:ascii="Times New Roman" w:hAnsi="Times New Roman" w:cs="Times New Roman"/>
          <w:i/>
          <w:iCs/>
          <w:kern w:val="0"/>
        </w:rPr>
        <w:t>Engineering Structures</w:t>
      </w:r>
      <w:r>
        <w:rPr>
          <w:rFonts w:ascii="Times New Roman" w:hAnsi="Times New Roman" w:cs="Times New Roman"/>
          <w:kern w:val="0"/>
        </w:rPr>
        <w:t xml:space="preserve">, </w:t>
      </w:r>
      <w:r>
        <w:rPr>
          <w:rFonts w:ascii="Times New Roman" w:hAnsi="Times New Roman" w:cs="Times New Roman"/>
          <w:i/>
          <w:iCs/>
          <w:kern w:val="0"/>
        </w:rPr>
        <w:t>213</w:t>
      </w:r>
      <w:r>
        <w:rPr>
          <w:rFonts w:ascii="Times New Roman" w:hAnsi="Times New Roman" w:cs="Times New Roman"/>
          <w:kern w:val="0"/>
        </w:rPr>
        <w:t>(March), 110570. https://doi.org/10.1016/j.engstr</w:t>
      </w:r>
      <w:r>
        <w:rPr>
          <w:rFonts w:ascii="Times New Roman" w:hAnsi="Times New Roman" w:cs="Times New Roman"/>
          <w:kern w:val="0"/>
        </w:rPr>
        <w:t>uct.2020.110570</w:t>
      </w:r>
    </w:p>
    <w:p w14:paraId="1A4EFD49"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 xml:space="preserve">Vieira, P. R., Carvalho, E., J. Vieira, &amp; Filho, R. D. T. (2018). Experimental fatigue </w:t>
      </w:r>
      <w:r>
        <w:rPr>
          <w:rFonts w:ascii="Times New Roman" w:hAnsi="Times New Roman" w:cs="Times New Roman"/>
          <w:kern w:val="0"/>
        </w:rPr>
        <w:lastRenderedPageBreak/>
        <w:t xml:space="preserve">behavior of pultruded glass fibre reinforced polymer composite materials. </w:t>
      </w:r>
      <w:r>
        <w:rPr>
          <w:rFonts w:ascii="Times New Roman" w:hAnsi="Times New Roman" w:cs="Times New Roman"/>
          <w:i/>
          <w:iCs/>
          <w:kern w:val="0"/>
        </w:rPr>
        <w:t>Composites Part B: Engineering</w:t>
      </w:r>
      <w:r>
        <w:rPr>
          <w:rFonts w:ascii="Times New Roman" w:hAnsi="Times New Roman" w:cs="Times New Roman"/>
          <w:kern w:val="0"/>
        </w:rPr>
        <w:t xml:space="preserve">, </w:t>
      </w:r>
      <w:r>
        <w:rPr>
          <w:rFonts w:ascii="Times New Roman" w:hAnsi="Times New Roman" w:cs="Times New Roman"/>
          <w:i/>
          <w:iCs/>
          <w:kern w:val="0"/>
        </w:rPr>
        <w:t>3</w:t>
      </w:r>
      <w:r>
        <w:rPr>
          <w:rFonts w:ascii="Times New Roman" w:hAnsi="Times New Roman" w:cs="Times New Roman"/>
          <w:kern w:val="0"/>
        </w:rPr>
        <w:t>(2), 91–102.</w:t>
      </w:r>
    </w:p>
    <w:p w14:paraId="63579D67"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Wu, C., Ma, G., &amp; Hwang, H. J. (2</w:t>
      </w:r>
      <w:r>
        <w:rPr>
          <w:rFonts w:ascii="Times New Roman" w:hAnsi="Times New Roman" w:cs="Times New Roman"/>
          <w:kern w:val="0"/>
        </w:rPr>
        <w:t xml:space="preserve">023). Bond performance of spliced GFRP bars in pre-damaged concrete beams retrofitted with CFRP and UHPC. </w:t>
      </w:r>
      <w:r>
        <w:rPr>
          <w:rFonts w:ascii="Times New Roman" w:hAnsi="Times New Roman" w:cs="Times New Roman"/>
          <w:i/>
          <w:iCs/>
          <w:kern w:val="0"/>
        </w:rPr>
        <w:t>Engineering Structures</w:t>
      </w:r>
      <w:r>
        <w:rPr>
          <w:rFonts w:ascii="Times New Roman" w:hAnsi="Times New Roman" w:cs="Times New Roman"/>
          <w:kern w:val="0"/>
        </w:rPr>
        <w:t xml:space="preserve">, </w:t>
      </w:r>
      <w:r>
        <w:rPr>
          <w:rFonts w:ascii="Times New Roman" w:hAnsi="Times New Roman" w:cs="Times New Roman"/>
          <w:i/>
          <w:iCs/>
          <w:kern w:val="0"/>
        </w:rPr>
        <w:t>292</w:t>
      </w:r>
      <w:r>
        <w:rPr>
          <w:rFonts w:ascii="Times New Roman" w:hAnsi="Times New Roman" w:cs="Times New Roman"/>
          <w:kern w:val="0"/>
        </w:rPr>
        <w:t>. https://doi.org/10.1016/j.engstruct.2023.116523</w:t>
      </w:r>
    </w:p>
    <w:p w14:paraId="333E67FD"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Ze, G. K., Pramanik, A., Basak, A. K., Prakash, C., Shankar, S., &amp; Radhik</w:t>
      </w:r>
      <w:r>
        <w:rPr>
          <w:rFonts w:ascii="Times New Roman" w:hAnsi="Times New Roman" w:cs="Times New Roman"/>
          <w:kern w:val="0"/>
        </w:rPr>
        <w:t xml:space="preserve">a, N. (2023). Challenges associated with drilling of carbon fiber reinforced polymer (CFRP) composites-A review. In </w:t>
      </w:r>
      <w:r>
        <w:rPr>
          <w:rFonts w:ascii="Times New Roman" w:hAnsi="Times New Roman" w:cs="Times New Roman"/>
          <w:i/>
          <w:iCs/>
          <w:kern w:val="0"/>
        </w:rPr>
        <w:t>Composites Part C: Open Access</w:t>
      </w:r>
      <w:r>
        <w:rPr>
          <w:rFonts w:ascii="Times New Roman" w:hAnsi="Times New Roman" w:cs="Times New Roman"/>
          <w:kern w:val="0"/>
        </w:rPr>
        <w:t xml:space="preserve"> (Vol. 11). Elsevier B.V. https://doi.org/10.1016/j.jcomc.2023.100356</w:t>
      </w:r>
    </w:p>
    <w:p w14:paraId="7C281A24"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kern w:val="0"/>
        </w:rPr>
      </w:pPr>
      <w:r>
        <w:rPr>
          <w:rFonts w:ascii="Times New Roman" w:hAnsi="Times New Roman" w:cs="Times New Roman"/>
          <w:kern w:val="0"/>
        </w:rPr>
        <w:t>Zhang, Z., Wu, X., Zhang, J., Sun, Q., T</w:t>
      </w:r>
      <w:r>
        <w:rPr>
          <w:rFonts w:ascii="Times New Roman" w:hAnsi="Times New Roman" w:cs="Times New Roman"/>
          <w:kern w:val="0"/>
        </w:rPr>
        <w:t xml:space="preserve">ian, P., &amp; Hu, G. (2023). Numerical investigation on the flexural behavior of GFRP reinforced concrete beams with CFRP grid-reinforced engineered cementitious composites. </w:t>
      </w:r>
      <w:r>
        <w:rPr>
          <w:rFonts w:ascii="Times New Roman" w:hAnsi="Times New Roman" w:cs="Times New Roman"/>
          <w:i/>
          <w:iCs/>
          <w:kern w:val="0"/>
        </w:rPr>
        <w:t>Engineering Structures</w:t>
      </w:r>
      <w:r>
        <w:rPr>
          <w:rFonts w:ascii="Times New Roman" w:hAnsi="Times New Roman" w:cs="Times New Roman"/>
          <w:kern w:val="0"/>
        </w:rPr>
        <w:t xml:space="preserve">, </w:t>
      </w:r>
      <w:r>
        <w:rPr>
          <w:rFonts w:ascii="Times New Roman" w:hAnsi="Times New Roman" w:cs="Times New Roman"/>
          <w:i/>
          <w:iCs/>
          <w:kern w:val="0"/>
        </w:rPr>
        <w:t>288</w:t>
      </w:r>
      <w:r>
        <w:rPr>
          <w:rFonts w:ascii="Times New Roman" w:hAnsi="Times New Roman" w:cs="Times New Roman"/>
          <w:kern w:val="0"/>
        </w:rPr>
        <w:t>(August), 1–28. https://doi.org/10.1016/j.engstruct.2023.1</w:t>
      </w:r>
      <w:r>
        <w:rPr>
          <w:rFonts w:ascii="Times New Roman" w:hAnsi="Times New Roman" w:cs="Times New Roman"/>
          <w:kern w:val="0"/>
        </w:rPr>
        <w:t>16163</w:t>
      </w:r>
    </w:p>
    <w:p w14:paraId="297FD0FD" w14:textId="77777777" w:rsidR="009523E5" w:rsidRDefault="003B4279" w:rsidP="009201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kern w:val="0"/>
        </w:rPr>
        <w:t xml:space="preserve">Zhu, M., Li, X., Deng, J., &amp; Peng, S. (2023). Electrochemical impedance based interfacial monitoring for concrete beams strengthened with CFRP subjected to wetting–drying cycling and sustained loading. </w:t>
      </w:r>
      <w:r>
        <w:rPr>
          <w:rFonts w:ascii="Times New Roman" w:hAnsi="Times New Roman" w:cs="Times New Roman"/>
          <w:i/>
          <w:iCs/>
          <w:kern w:val="0"/>
        </w:rPr>
        <w:t>Construction and Building Materials</w:t>
      </w:r>
      <w:r>
        <w:rPr>
          <w:rFonts w:ascii="Times New Roman" w:hAnsi="Times New Roman" w:cs="Times New Roman"/>
          <w:kern w:val="0"/>
        </w:rPr>
        <w:t xml:space="preserve">, </w:t>
      </w:r>
      <w:r>
        <w:rPr>
          <w:rFonts w:ascii="Times New Roman" w:hAnsi="Times New Roman" w:cs="Times New Roman"/>
          <w:i/>
          <w:iCs/>
          <w:kern w:val="0"/>
        </w:rPr>
        <w:t>366</w:t>
      </w:r>
      <w:r>
        <w:rPr>
          <w:rFonts w:ascii="Times New Roman" w:hAnsi="Times New Roman" w:cs="Times New Roman"/>
          <w:kern w:val="0"/>
        </w:rPr>
        <w:t>. https:</w:t>
      </w:r>
      <w:r>
        <w:rPr>
          <w:rFonts w:ascii="Times New Roman" w:hAnsi="Times New Roman" w:cs="Times New Roman"/>
          <w:kern w:val="0"/>
        </w:rPr>
        <w:t>//doi.org/10.1016/j.conbuildmat.2022.130238</w:t>
      </w:r>
    </w:p>
    <w:p w14:paraId="278141C5" w14:textId="77777777" w:rsidR="009523E5" w:rsidRDefault="003B4279" w:rsidP="009201D3">
      <w:pPr>
        <w:spacing w:after="0" w:line="240" w:lineRule="auto"/>
        <w:ind w:left="450"/>
        <w:rPr>
          <w:rFonts w:ascii="Times New Roman" w:hAnsi="Times New Roman" w:cs="Times New Roman"/>
        </w:rPr>
      </w:pPr>
      <w:r>
        <w:rPr>
          <w:rFonts w:ascii="Times New Roman" w:hAnsi="Times New Roman" w:cs="Times New Roman"/>
        </w:rPr>
        <w:fldChar w:fldCharType="end"/>
      </w:r>
    </w:p>
    <w:p w14:paraId="14D6ADB0" w14:textId="77777777" w:rsidR="009523E5" w:rsidRDefault="009523E5" w:rsidP="009201D3">
      <w:pPr>
        <w:spacing w:after="0" w:line="240" w:lineRule="auto"/>
        <w:rPr>
          <w:rFonts w:ascii="Times New Roman" w:hAnsi="Times New Roman" w:cs="Times New Roman"/>
        </w:rPr>
      </w:pPr>
    </w:p>
    <w:p w14:paraId="0AD205E4" w14:textId="77777777" w:rsidR="009523E5" w:rsidRDefault="009523E5" w:rsidP="009201D3">
      <w:pPr>
        <w:spacing w:after="0" w:line="240" w:lineRule="auto"/>
        <w:rPr>
          <w:rFonts w:ascii="Times New Roman" w:hAnsi="Times New Roman" w:cs="Times New Roman"/>
        </w:rPr>
      </w:pPr>
    </w:p>
    <w:sectPr w:rsidR="009523E5" w:rsidSect="00C6080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49440" w14:textId="77777777" w:rsidR="003B4279" w:rsidRDefault="003B4279">
      <w:pPr>
        <w:spacing w:line="240" w:lineRule="auto"/>
      </w:pPr>
      <w:r>
        <w:separator/>
      </w:r>
    </w:p>
  </w:endnote>
  <w:endnote w:type="continuationSeparator" w:id="0">
    <w:p w14:paraId="67D3124E" w14:textId="77777777" w:rsidR="003B4279" w:rsidRDefault="003B42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8C460" w14:textId="77777777" w:rsidR="00C6080E" w:rsidRDefault="00C608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718820652"/>
    </w:sdtPr>
    <w:sdtEndPr/>
    <w:sdtContent>
      <w:p w14:paraId="572088B3" w14:textId="77777777" w:rsidR="009523E5" w:rsidRDefault="003B4279">
        <w:pPr>
          <w:pStyle w:val="Footer"/>
          <w:jc w:val="center"/>
        </w:pPr>
        <w:r>
          <w:fldChar w:fldCharType="begin"/>
        </w:r>
        <w:r>
          <w:instrText xml:space="preserve"> PAGE   \* MERGEFORMAT </w:instrText>
        </w:r>
        <w:r>
          <w:fldChar w:fldCharType="separate"/>
        </w:r>
        <w:r>
          <w:t>2</w:t>
        </w:r>
        <w:r>
          <w:fldChar w:fldCharType="end"/>
        </w:r>
      </w:p>
    </w:sdtContent>
  </w:sdt>
  <w:p w14:paraId="16292FD8" w14:textId="77777777" w:rsidR="009523E5" w:rsidRDefault="00952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C6AA2" w14:textId="77777777" w:rsidR="00C6080E" w:rsidRDefault="00C60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7BF42" w14:textId="77777777" w:rsidR="003B4279" w:rsidRDefault="003B4279">
      <w:pPr>
        <w:spacing w:after="0"/>
      </w:pPr>
      <w:r>
        <w:separator/>
      </w:r>
    </w:p>
  </w:footnote>
  <w:footnote w:type="continuationSeparator" w:id="0">
    <w:p w14:paraId="1C86FB95" w14:textId="77777777" w:rsidR="003B4279" w:rsidRDefault="003B42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4A9E" w14:textId="1AAE3031" w:rsidR="00C6080E" w:rsidRDefault="00C6080E">
    <w:pPr>
      <w:pStyle w:val="Header"/>
    </w:pPr>
    <w:r>
      <w:rPr>
        <w:noProof/>
      </w:rPr>
      <w:pict w14:anchorId="5CE36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40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737CD" w14:textId="1339BE52" w:rsidR="00C6080E" w:rsidRDefault="00C6080E">
    <w:pPr>
      <w:pStyle w:val="Header"/>
    </w:pPr>
    <w:r>
      <w:rPr>
        <w:noProof/>
      </w:rPr>
      <w:pict w14:anchorId="41848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40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AA370" w14:textId="4EF35833" w:rsidR="00C6080E" w:rsidRDefault="00C6080E">
    <w:pPr>
      <w:pStyle w:val="Header"/>
    </w:pPr>
    <w:r>
      <w:rPr>
        <w:noProof/>
      </w:rPr>
      <w:pict w14:anchorId="4D0EE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40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182E"/>
    <w:multiLevelType w:val="multilevel"/>
    <w:tmpl w:val="0E9F182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7C313A"/>
    <w:multiLevelType w:val="multilevel"/>
    <w:tmpl w:val="177C313A"/>
    <w:lvl w:ilvl="0">
      <w:start w:val="159"/>
      <w:numFmt w:val="decimal"/>
      <w:lvlText w:val="%1"/>
      <w:lvlJc w:val="left"/>
      <w:pPr>
        <w:ind w:left="728"/>
      </w:pPr>
      <w:rPr>
        <w:rFonts w:ascii="Calibri" w:eastAsia="Calibri" w:hAnsi="Calibri" w:cs="Calibri" w:hint="default"/>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2" w15:restartNumberingAfterBreak="0">
    <w:nsid w:val="57441994"/>
    <w:multiLevelType w:val="multilevel"/>
    <w:tmpl w:val="57441994"/>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7423289C"/>
    <w:multiLevelType w:val="multilevel"/>
    <w:tmpl w:val="742328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132E84"/>
    <w:multiLevelType w:val="multilevel"/>
    <w:tmpl w:val="79132E84"/>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34"/>
    <w:rsid w:val="00000B42"/>
    <w:rsid w:val="00004E9E"/>
    <w:rsid w:val="00004EE1"/>
    <w:rsid w:val="00006130"/>
    <w:rsid w:val="00010C6C"/>
    <w:rsid w:val="00014C1E"/>
    <w:rsid w:val="00015A70"/>
    <w:rsid w:val="00016683"/>
    <w:rsid w:val="00021A16"/>
    <w:rsid w:val="00021CE1"/>
    <w:rsid w:val="00022125"/>
    <w:rsid w:val="00026D9A"/>
    <w:rsid w:val="00035CCE"/>
    <w:rsid w:val="00036DDA"/>
    <w:rsid w:val="00041C79"/>
    <w:rsid w:val="00051C5E"/>
    <w:rsid w:val="00056DF0"/>
    <w:rsid w:val="00057453"/>
    <w:rsid w:val="0006447A"/>
    <w:rsid w:val="000655F7"/>
    <w:rsid w:val="00065793"/>
    <w:rsid w:val="00065E4F"/>
    <w:rsid w:val="00067AF5"/>
    <w:rsid w:val="00080DAA"/>
    <w:rsid w:val="00081597"/>
    <w:rsid w:val="0008174D"/>
    <w:rsid w:val="00081E85"/>
    <w:rsid w:val="00083BB1"/>
    <w:rsid w:val="00083E0D"/>
    <w:rsid w:val="0008559E"/>
    <w:rsid w:val="000875C9"/>
    <w:rsid w:val="000918F9"/>
    <w:rsid w:val="000933E2"/>
    <w:rsid w:val="00093E79"/>
    <w:rsid w:val="000944B1"/>
    <w:rsid w:val="000952F9"/>
    <w:rsid w:val="000967CB"/>
    <w:rsid w:val="0009728D"/>
    <w:rsid w:val="000A05B5"/>
    <w:rsid w:val="000A5632"/>
    <w:rsid w:val="000A5E82"/>
    <w:rsid w:val="000B0C53"/>
    <w:rsid w:val="000B29DD"/>
    <w:rsid w:val="000B36A2"/>
    <w:rsid w:val="000B40DE"/>
    <w:rsid w:val="000B4B88"/>
    <w:rsid w:val="000B72C0"/>
    <w:rsid w:val="000C029E"/>
    <w:rsid w:val="000C09B3"/>
    <w:rsid w:val="000C11CD"/>
    <w:rsid w:val="000C3153"/>
    <w:rsid w:val="000C5076"/>
    <w:rsid w:val="000C7A41"/>
    <w:rsid w:val="000E0E80"/>
    <w:rsid w:val="000E35B7"/>
    <w:rsid w:val="000E5213"/>
    <w:rsid w:val="000E6A96"/>
    <w:rsid w:val="000F18E6"/>
    <w:rsid w:val="000F45F6"/>
    <w:rsid w:val="000F519D"/>
    <w:rsid w:val="000F772D"/>
    <w:rsid w:val="001013CE"/>
    <w:rsid w:val="0010297D"/>
    <w:rsid w:val="00103636"/>
    <w:rsid w:val="0010568A"/>
    <w:rsid w:val="001122B9"/>
    <w:rsid w:val="001145F0"/>
    <w:rsid w:val="00120298"/>
    <w:rsid w:val="001227FD"/>
    <w:rsid w:val="00124EC9"/>
    <w:rsid w:val="00125B10"/>
    <w:rsid w:val="00130FEA"/>
    <w:rsid w:val="00135DF9"/>
    <w:rsid w:val="0014110E"/>
    <w:rsid w:val="001433D0"/>
    <w:rsid w:val="00143691"/>
    <w:rsid w:val="001451DB"/>
    <w:rsid w:val="00151AD4"/>
    <w:rsid w:val="0015554C"/>
    <w:rsid w:val="001601AF"/>
    <w:rsid w:val="0016428C"/>
    <w:rsid w:val="001650B9"/>
    <w:rsid w:val="0016557F"/>
    <w:rsid w:val="0016675E"/>
    <w:rsid w:val="0016701D"/>
    <w:rsid w:val="00167976"/>
    <w:rsid w:val="001705DB"/>
    <w:rsid w:val="00173BA0"/>
    <w:rsid w:val="0017585B"/>
    <w:rsid w:val="001758E7"/>
    <w:rsid w:val="00181B28"/>
    <w:rsid w:val="00182E07"/>
    <w:rsid w:val="00183423"/>
    <w:rsid w:val="00184FE5"/>
    <w:rsid w:val="0018549C"/>
    <w:rsid w:val="00185F1A"/>
    <w:rsid w:val="001873B5"/>
    <w:rsid w:val="00187F30"/>
    <w:rsid w:val="0019060E"/>
    <w:rsid w:val="00194674"/>
    <w:rsid w:val="001960FF"/>
    <w:rsid w:val="001A1A84"/>
    <w:rsid w:val="001A1B18"/>
    <w:rsid w:val="001A3E36"/>
    <w:rsid w:val="001A59D6"/>
    <w:rsid w:val="001A6F59"/>
    <w:rsid w:val="001A77FA"/>
    <w:rsid w:val="001B1003"/>
    <w:rsid w:val="001B5297"/>
    <w:rsid w:val="001C638E"/>
    <w:rsid w:val="001C6B17"/>
    <w:rsid w:val="001D02BD"/>
    <w:rsid w:val="001D0A44"/>
    <w:rsid w:val="001D0A45"/>
    <w:rsid w:val="001D0CF7"/>
    <w:rsid w:val="001D2C27"/>
    <w:rsid w:val="001E3D9D"/>
    <w:rsid w:val="001E7B97"/>
    <w:rsid w:val="001E7DB9"/>
    <w:rsid w:val="001F2204"/>
    <w:rsid w:val="001F276A"/>
    <w:rsid w:val="001F487B"/>
    <w:rsid w:val="002012D4"/>
    <w:rsid w:val="0020229E"/>
    <w:rsid w:val="002025F1"/>
    <w:rsid w:val="00202B55"/>
    <w:rsid w:val="002030DD"/>
    <w:rsid w:val="00204E33"/>
    <w:rsid w:val="00204E73"/>
    <w:rsid w:val="00206640"/>
    <w:rsid w:val="002133F3"/>
    <w:rsid w:val="002202AE"/>
    <w:rsid w:val="002226A1"/>
    <w:rsid w:val="002316B1"/>
    <w:rsid w:val="00231994"/>
    <w:rsid w:val="00235410"/>
    <w:rsid w:val="00240B2F"/>
    <w:rsid w:val="00242083"/>
    <w:rsid w:val="00242778"/>
    <w:rsid w:val="002433C6"/>
    <w:rsid w:val="002466E4"/>
    <w:rsid w:val="00253B35"/>
    <w:rsid w:val="002558F7"/>
    <w:rsid w:val="00255DD9"/>
    <w:rsid w:val="0025653A"/>
    <w:rsid w:val="00256CE3"/>
    <w:rsid w:val="00260FA0"/>
    <w:rsid w:val="00260FF8"/>
    <w:rsid w:val="00261318"/>
    <w:rsid w:val="0026306C"/>
    <w:rsid w:val="00265E45"/>
    <w:rsid w:val="002712D9"/>
    <w:rsid w:val="00272368"/>
    <w:rsid w:val="00273C82"/>
    <w:rsid w:val="002747BE"/>
    <w:rsid w:val="00274C66"/>
    <w:rsid w:val="00280448"/>
    <w:rsid w:val="00283B6D"/>
    <w:rsid w:val="00286C6E"/>
    <w:rsid w:val="00291ECF"/>
    <w:rsid w:val="00294CD1"/>
    <w:rsid w:val="00295392"/>
    <w:rsid w:val="00295A47"/>
    <w:rsid w:val="00296B33"/>
    <w:rsid w:val="002A171F"/>
    <w:rsid w:val="002A1AC2"/>
    <w:rsid w:val="002A2D66"/>
    <w:rsid w:val="002A48D7"/>
    <w:rsid w:val="002A5E7F"/>
    <w:rsid w:val="002A5FB7"/>
    <w:rsid w:val="002B17DE"/>
    <w:rsid w:val="002B1D2A"/>
    <w:rsid w:val="002B5377"/>
    <w:rsid w:val="002C00D1"/>
    <w:rsid w:val="002C17A5"/>
    <w:rsid w:val="002C427E"/>
    <w:rsid w:val="002C47CD"/>
    <w:rsid w:val="002C4814"/>
    <w:rsid w:val="002D6252"/>
    <w:rsid w:val="002D725C"/>
    <w:rsid w:val="002D7B7E"/>
    <w:rsid w:val="002E028C"/>
    <w:rsid w:val="002E1855"/>
    <w:rsid w:val="002E2761"/>
    <w:rsid w:val="002E5668"/>
    <w:rsid w:val="002F1D2C"/>
    <w:rsid w:val="002F31EA"/>
    <w:rsid w:val="002F3CDC"/>
    <w:rsid w:val="002F6AF3"/>
    <w:rsid w:val="003002B4"/>
    <w:rsid w:val="0030126A"/>
    <w:rsid w:val="00301861"/>
    <w:rsid w:val="00302B46"/>
    <w:rsid w:val="0030322C"/>
    <w:rsid w:val="00304B4C"/>
    <w:rsid w:val="003073DF"/>
    <w:rsid w:val="003108E4"/>
    <w:rsid w:val="003110D1"/>
    <w:rsid w:val="003168DD"/>
    <w:rsid w:val="00317B13"/>
    <w:rsid w:val="00320716"/>
    <w:rsid w:val="003209F6"/>
    <w:rsid w:val="00321BD0"/>
    <w:rsid w:val="00327024"/>
    <w:rsid w:val="003272B8"/>
    <w:rsid w:val="00331684"/>
    <w:rsid w:val="00336027"/>
    <w:rsid w:val="0033612F"/>
    <w:rsid w:val="0034154A"/>
    <w:rsid w:val="0034355F"/>
    <w:rsid w:val="00344F3B"/>
    <w:rsid w:val="00346DB1"/>
    <w:rsid w:val="00351D2A"/>
    <w:rsid w:val="00352329"/>
    <w:rsid w:val="0035777B"/>
    <w:rsid w:val="00367109"/>
    <w:rsid w:val="00367E9F"/>
    <w:rsid w:val="00370DDB"/>
    <w:rsid w:val="003753E2"/>
    <w:rsid w:val="00375B94"/>
    <w:rsid w:val="00377ADA"/>
    <w:rsid w:val="00383C84"/>
    <w:rsid w:val="00385EDB"/>
    <w:rsid w:val="00385F07"/>
    <w:rsid w:val="00392BDC"/>
    <w:rsid w:val="0039400A"/>
    <w:rsid w:val="00395CF4"/>
    <w:rsid w:val="00395FBD"/>
    <w:rsid w:val="00396D7C"/>
    <w:rsid w:val="003A32DA"/>
    <w:rsid w:val="003A4DE9"/>
    <w:rsid w:val="003A5A90"/>
    <w:rsid w:val="003A6F49"/>
    <w:rsid w:val="003A7154"/>
    <w:rsid w:val="003B1180"/>
    <w:rsid w:val="003B151B"/>
    <w:rsid w:val="003B2124"/>
    <w:rsid w:val="003B4279"/>
    <w:rsid w:val="003B428C"/>
    <w:rsid w:val="003B601A"/>
    <w:rsid w:val="003C0B54"/>
    <w:rsid w:val="003C16AA"/>
    <w:rsid w:val="003C20B9"/>
    <w:rsid w:val="003C3929"/>
    <w:rsid w:val="003C3F77"/>
    <w:rsid w:val="003C72A4"/>
    <w:rsid w:val="003C75B1"/>
    <w:rsid w:val="003D38A0"/>
    <w:rsid w:val="003D5676"/>
    <w:rsid w:val="003D6B73"/>
    <w:rsid w:val="003E2138"/>
    <w:rsid w:val="003E319C"/>
    <w:rsid w:val="003E5B03"/>
    <w:rsid w:val="003E6DB0"/>
    <w:rsid w:val="003E723E"/>
    <w:rsid w:val="003F0C9D"/>
    <w:rsid w:val="003F1F62"/>
    <w:rsid w:val="003F4980"/>
    <w:rsid w:val="003F503C"/>
    <w:rsid w:val="003F6999"/>
    <w:rsid w:val="003F6CC1"/>
    <w:rsid w:val="003F72A8"/>
    <w:rsid w:val="00401326"/>
    <w:rsid w:val="00402226"/>
    <w:rsid w:val="0040429B"/>
    <w:rsid w:val="00404338"/>
    <w:rsid w:val="004127F4"/>
    <w:rsid w:val="00420E94"/>
    <w:rsid w:val="00421E24"/>
    <w:rsid w:val="004226E0"/>
    <w:rsid w:val="00425516"/>
    <w:rsid w:val="00430239"/>
    <w:rsid w:val="00430F20"/>
    <w:rsid w:val="00431118"/>
    <w:rsid w:val="004345C0"/>
    <w:rsid w:val="00434692"/>
    <w:rsid w:val="00434D7A"/>
    <w:rsid w:val="00435195"/>
    <w:rsid w:val="00435CA4"/>
    <w:rsid w:val="00435FB7"/>
    <w:rsid w:val="00437E20"/>
    <w:rsid w:val="00437EE0"/>
    <w:rsid w:val="0044097B"/>
    <w:rsid w:val="00443E51"/>
    <w:rsid w:val="00451959"/>
    <w:rsid w:val="004575F6"/>
    <w:rsid w:val="004608F0"/>
    <w:rsid w:val="0046096F"/>
    <w:rsid w:val="004647B2"/>
    <w:rsid w:val="004660A2"/>
    <w:rsid w:val="004733DC"/>
    <w:rsid w:val="00476E04"/>
    <w:rsid w:val="00481BB4"/>
    <w:rsid w:val="0048258B"/>
    <w:rsid w:val="00494278"/>
    <w:rsid w:val="00496C6C"/>
    <w:rsid w:val="004A34E6"/>
    <w:rsid w:val="004A4743"/>
    <w:rsid w:val="004A5047"/>
    <w:rsid w:val="004B288E"/>
    <w:rsid w:val="004B58C4"/>
    <w:rsid w:val="004B6364"/>
    <w:rsid w:val="004B6FFD"/>
    <w:rsid w:val="004C11EB"/>
    <w:rsid w:val="004C210D"/>
    <w:rsid w:val="004C39A4"/>
    <w:rsid w:val="004C7D5A"/>
    <w:rsid w:val="004D0187"/>
    <w:rsid w:val="004D07CC"/>
    <w:rsid w:val="004D3D22"/>
    <w:rsid w:val="004D6D2A"/>
    <w:rsid w:val="004E03C0"/>
    <w:rsid w:val="004E4B3C"/>
    <w:rsid w:val="004E7095"/>
    <w:rsid w:val="004F12A8"/>
    <w:rsid w:val="004F5A41"/>
    <w:rsid w:val="0050024A"/>
    <w:rsid w:val="005034CD"/>
    <w:rsid w:val="005144AB"/>
    <w:rsid w:val="005151A3"/>
    <w:rsid w:val="00520803"/>
    <w:rsid w:val="00522060"/>
    <w:rsid w:val="00522E43"/>
    <w:rsid w:val="00525D39"/>
    <w:rsid w:val="0053297D"/>
    <w:rsid w:val="00533278"/>
    <w:rsid w:val="00533494"/>
    <w:rsid w:val="0053515E"/>
    <w:rsid w:val="00535726"/>
    <w:rsid w:val="00535D74"/>
    <w:rsid w:val="00536CF2"/>
    <w:rsid w:val="00536E9D"/>
    <w:rsid w:val="00540228"/>
    <w:rsid w:val="00541398"/>
    <w:rsid w:val="00541CA3"/>
    <w:rsid w:val="005420B5"/>
    <w:rsid w:val="0054407B"/>
    <w:rsid w:val="005446EF"/>
    <w:rsid w:val="00547886"/>
    <w:rsid w:val="00547973"/>
    <w:rsid w:val="00547E27"/>
    <w:rsid w:val="005563B6"/>
    <w:rsid w:val="00560C56"/>
    <w:rsid w:val="0056226D"/>
    <w:rsid w:val="00565674"/>
    <w:rsid w:val="0056665A"/>
    <w:rsid w:val="00567CBC"/>
    <w:rsid w:val="005730A3"/>
    <w:rsid w:val="00581EC7"/>
    <w:rsid w:val="00582460"/>
    <w:rsid w:val="00582FAB"/>
    <w:rsid w:val="005911AB"/>
    <w:rsid w:val="00592638"/>
    <w:rsid w:val="00593459"/>
    <w:rsid w:val="005971AB"/>
    <w:rsid w:val="0059766E"/>
    <w:rsid w:val="005A1628"/>
    <w:rsid w:val="005A2F1A"/>
    <w:rsid w:val="005B2B79"/>
    <w:rsid w:val="005B2E30"/>
    <w:rsid w:val="005B349B"/>
    <w:rsid w:val="005B546D"/>
    <w:rsid w:val="005C0376"/>
    <w:rsid w:val="005C127F"/>
    <w:rsid w:val="005C271F"/>
    <w:rsid w:val="005C3613"/>
    <w:rsid w:val="005C5F76"/>
    <w:rsid w:val="005C6944"/>
    <w:rsid w:val="005C6EB7"/>
    <w:rsid w:val="005C78C8"/>
    <w:rsid w:val="005D1DE1"/>
    <w:rsid w:val="005D4862"/>
    <w:rsid w:val="005D54BD"/>
    <w:rsid w:val="005D6AAC"/>
    <w:rsid w:val="005E24F9"/>
    <w:rsid w:val="005E41AA"/>
    <w:rsid w:val="005E4226"/>
    <w:rsid w:val="005E7AB0"/>
    <w:rsid w:val="005F2468"/>
    <w:rsid w:val="005F2A6F"/>
    <w:rsid w:val="005F4688"/>
    <w:rsid w:val="005F5DEB"/>
    <w:rsid w:val="005F6CED"/>
    <w:rsid w:val="00601002"/>
    <w:rsid w:val="00604199"/>
    <w:rsid w:val="00604CA1"/>
    <w:rsid w:val="0061787A"/>
    <w:rsid w:val="00621473"/>
    <w:rsid w:val="00623C36"/>
    <w:rsid w:val="006254BA"/>
    <w:rsid w:val="0062780B"/>
    <w:rsid w:val="0063033C"/>
    <w:rsid w:val="006303AC"/>
    <w:rsid w:val="00631885"/>
    <w:rsid w:val="00636DCD"/>
    <w:rsid w:val="006373F5"/>
    <w:rsid w:val="00640A3F"/>
    <w:rsid w:val="00645753"/>
    <w:rsid w:val="00646DD8"/>
    <w:rsid w:val="0064730F"/>
    <w:rsid w:val="00653270"/>
    <w:rsid w:val="0065331B"/>
    <w:rsid w:val="0065568D"/>
    <w:rsid w:val="00656BAF"/>
    <w:rsid w:val="0065752D"/>
    <w:rsid w:val="00660CD5"/>
    <w:rsid w:val="00665237"/>
    <w:rsid w:val="006667D1"/>
    <w:rsid w:val="006672D2"/>
    <w:rsid w:val="0067099A"/>
    <w:rsid w:val="00670DA8"/>
    <w:rsid w:val="006718AF"/>
    <w:rsid w:val="006729DB"/>
    <w:rsid w:val="00672DE1"/>
    <w:rsid w:val="00673584"/>
    <w:rsid w:val="00673738"/>
    <w:rsid w:val="00673779"/>
    <w:rsid w:val="00674D11"/>
    <w:rsid w:val="00675D6D"/>
    <w:rsid w:val="006807BC"/>
    <w:rsid w:val="006814C2"/>
    <w:rsid w:val="006814D3"/>
    <w:rsid w:val="006837E1"/>
    <w:rsid w:val="00683E4B"/>
    <w:rsid w:val="00683EFE"/>
    <w:rsid w:val="0068528C"/>
    <w:rsid w:val="00687033"/>
    <w:rsid w:val="006871CD"/>
    <w:rsid w:val="00690ABD"/>
    <w:rsid w:val="00691085"/>
    <w:rsid w:val="00692AC3"/>
    <w:rsid w:val="00692DF4"/>
    <w:rsid w:val="00692EB4"/>
    <w:rsid w:val="00693E23"/>
    <w:rsid w:val="00693F87"/>
    <w:rsid w:val="006A337A"/>
    <w:rsid w:val="006A3F22"/>
    <w:rsid w:val="006B210C"/>
    <w:rsid w:val="006B3532"/>
    <w:rsid w:val="006B5D3C"/>
    <w:rsid w:val="006C1DC5"/>
    <w:rsid w:val="006C2142"/>
    <w:rsid w:val="006C4165"/>
    <w:rsid w:val="006C5532"/>
    <w:rsid w:val="006C57E7"/>
    <w:rsid w:val="006C5AEB"/>
    <w:rsid w:val="006C6EBD"/>
    <w:rsid w:val="006C7D4D"/>
    <w:rsid w:val="006D2427"/>
    <w:rsid w:val="006D4890"/>
    <w:rsid w:val="006D56A1"/>
    <w:rsid w:val="006D6812"/>
    <w:rsid w:val="006E2C8F"/>
    <w:rsid w:val="006E77D4"/>
    <w:rsid w:val="006E7E29"/>
    <w:rsid w:val="006F3D63"/>
    <w:rsid w:val="006F4A2E"/>
    <w:rsid w:val="00700E73"/>
    <w:rsid w:val="0070322D"/>
    <w:rsid w:val="00704450"/>
    <w:rsid w:val="00706B94"/>
    <w:rsid w:val="0070753D"/>
    <w:rsid w:val="007076B6"/>
    <w:rsid w:val="00710A9A"/>
    <w:rsid w:val="00714FB7"/>
    <w:rsid w:val="007160C7"/>
    <w:rsid w:val="007165B0"/>
    <w:rsid w:val="00717BFC"/>
    <w:rsid w:val="00721A70"/>
    <w:rsid w:val="00722951"/>
    <w:rsid w:val="00723245"/>
    <w:rsid w:val="0073252F"/>
    <w:rsid w:val="00732A18"/>
    <w:rsid w:val="007349E4"/>
    <w:rsid w:val="0073604F"/>
    <w:rsid w:val="007404BB"/>
    <w:rsid w:val="0074091E"/>
    <w:rsid w:val="00741A52"/>
    <w:rsid w:val="00745ABF"/>
    <w:rsid w:val="00761468"/>
    <w:rsid w:val="007668F7"/>
    <w:rsid w:val="00770752"/>
    <w:rsid w:val="007721E2"/>
    <w:rsid w:val="00772D7B"/>
    <w:rsid w:val="00776DF3"/>
    <w:rsid w:val="00781C3D"/>
    <w:rsid w:val="00782160"/>
    <w:rsid w:val="0078360F"/>
    <w:rsid w:val="00783CDE"/>
    <w:rsid w:val="007865C9"/>
    <w:rsid w:val="00791AD3"/>
    <w:rsid w:val="00792B71"/>
    <w:rsid w:val="00794E32"/>
    <w:rsid w:val="00795813"/>
    <w:rsid w:val="007A2787"/>
    <w:rsid w:val="007A4C52"/>
    <w:rsid w:val="007A6C6F"/>
    <w:rsid w:val="007B018C"/>
    <w:rsid w:val="007B022E"/>
    <w:rsid w:val="007B7D8D"/>
    <w:rsid w:val="007B7F41"/>
    <w:rsid w:val="007C1870"/>
    <w:rsid w:val="007C2657"/>
    <w:rsid w:val="007C3C33"/>
    <w:rsid w:val="007C57E4"/>
    <w:rsid w:val="007D13CA"/>
    <w:rsid w:val="007D2C15"/>
    <w:rsid w:val="007E05CF"/>
    <w:rsid w:val="007E3F89"/>
    <w:rsid w:val="007E5CB4"/>
    <w:rsid w:val="007E724A"/>
    <w:rsid w:val="007E7DA0"/>
    <w:rsid w:val="007F0D48"/>
    <w:rsid w:val="007F4E59"/>
    <w:rsid w:val="00800169"/>
    <w:rsid w:val="0080431E"/>
    <w:rsid w:val="00804F5C"/>
    <w:rsid w:val="008143D6"/>
    <w:rsid w:val="008148E7"/>
    <w:rsid w:val="00815A83"/>
    <w:rsid w:val="00815D6C"/>
    <w:rsid w:val="0081772B"/>
    <w:rsid w:val="00820141"/>
    <w:rsid w:val="00822A96"/>
    <w:rsid w:val="0082459A"/>
    <w:rsid w:val="008259FB"/>
    <w:rsid w:val="008312FE"/>
    <w:rsid w:val="00831742"/>
    <w:rsid w:val="0083333C"/>
    <w:rsid w:val="00840A5F"/>
    <w:rsid w:val="00841B76"/>
    <w:rsid w:val="00845A66"/>
    <w:rsid w:val="00846992"/>
    <w:rsid w:val="008508E3"/>
    <w:rsid w:val="00851E6A"/>
    <w:rsid w:val="00856761"/>
    <w:rsid w:val="0087399B"/>
    <w:rsid w:val="00873E34"/>
    <w:rsid w:val="0087511B"/>
    <w:rsid w:val="00876296"/>
    <w:rsid w:val="008829E9"/>
    <w:rsid w:val="00883CCA"/>
    <w:rsid w:val="008869DE"/>
    <w:rsid w:val="008915CB"/>
    <w:rsid w:val="00893F8D"/>
    <w:rsid w:val="00894449"/>
    <w:rsid w:val="008978EA"/>
    <w:rsid w:val="008C04B1"/>
    <w:rsid w:val="008C14EB"/>
    <w:rsid w:val="008C399A"/>
    <w:rsid w:val="008C3DDF"/>
    <w:rsid w:val="008C5EBE"/>
    <w:rsid w:val="008D03EC"/>
    <w:rsid w:val="008D30A1"/>
    <w:rsid w:val="008D6BCE"/>
    <w:rsid w:val="008E0694"/>
    <w:rsid w:val="008E227D"/>
    <w:rsid w:val="008E4363"/>
    <w:rsid w:val="008E571F"/>
    <w:rsid w:val="008E5CDA"/>
    <w:rsid w:val="008E65EA"/>
    <w:rsid w:val="008F09F6"/>
    <w:rsid w:val="0090247E"/>
    <w:rsid w:val="009026BB"/>
    <w:rsid w:val="0090645D"/>
    <w:rsid w:val="009064FC"/>
    <w:rsid w:val="0091176D"/>
    <w:rsid w:val="00912F85"/>
    <w:rsid w:val="00914A7C"/>
    <w:rsid w:val="0091653E"/>
    <w:rsid w:val="009171E2"/>
    <w:rsid w:val="009201D3"/>
    <w:rsid w:val="00920468"/>
    <w:rsid w:val="009209E6"/>
    <w:rsid w:val="00920F48"/>
    <w:rsid w:val="00924A80"/>
    <w:rsid w:val="00924A92"/>
    <w:rsid w:val="0093173E"/>
    <w:rsid w:val="0093770E"/>
    <w:rsid w:val="00942D16"/>
    <w:rsid w:val="00943C3E"/>
    <w:rsid w:val="00950FCB"/>
    <w:rsid w:val="009523E5"/>
    <w:rsid w:val="0095261A"/>
    <w:rsid w:val="00957A3A"/>
    <w:rsid w:val="0096037D"/>
    <w:rsid w:val="00961583"/>
    <w:rsid w:val="00962AF8"/>
    <w:rsid w:val="00962F2A"/>
    <w:rsid w:val="009632AD"/>
    <w:rsid w:val="00964025"/>
    <w:rsid w:val="00964221"/>
    <w:rsid w:val="0096714A"/>
    <w:rsid w:val="009675AC"/>
    <w:rsid w:val="0096768C"/>
    <w:rsid w:val="00971898"/>
    <w:rsid w:val="009742DA"/>
    <w:rsid w:val="009753F0"/>
    <w:rsid w:val="00976616"/>
    <w:rsid w:val="009774C4"/>
    <w:rsid w:val="00977C37"/>
    <w:rsid w:val="00981352"/>
    <w:rsid w:val="009912B3"/>
    <w:rsid w:val="009931C2"/>
    <w:rsid w:val="00994B86"/>
    <w:rsid w:val="009978D7"/>
    <w:rsid w:val="00997C55"/>
    <w:rsid w:val="009A09CD"/>
    <w:rsid w:val="009A36D6"/>
    <w:rsid w:val="009A4ACC"/>
    <w:rsid w:val="009A50CC"/>
    <w:rsid w:val="009A5142"/>
    <w:rsid w:val="009A5935"/>
    <w:rsid w:val="009B2F49"/>
    <w:rsid w:val="009B4884"/>
    <w:rsid w:val="009B760A"/>
    <w:rsid w:val="009C05CD"/>
    <w:rsid w:val="009C4779"/>
    <w:rsid w:val="009C48BB"/>
    <w:rsid w:val="009C5660"/>
    <w:rsid w:val="009C770A"/>
    <w:rsid w:val="009D0F44"/>
    <w:rsid w:val="009D1C50"/>
    <w:rsid w:val="009D629C"/>
    <w:rsid w:val="009E188D"/>
    <w:rsid w:val="009E241F"/>
    <w:rsid w:val="009E2F03"/>
    <w:rsid w:val="009E37F1"/>
    <w:rsid w:val="009E5460"/>
    <w:rsid w:val="009E61D0"/>
    <w:rsid w:val="009E6E71"/>
    <w:rsid w:val="009F1817"/>
    <w:rsid w:val="009F1CE8"/>
    <w:rsid w:val="00A043C1"/>
    <w:rsid w:val="00A05A72"/>
    <w:rsid w:val="00A11923"/>
    <w:rsid w:val="00A132A1"/>
    <w:rsid w:val="00A14DAD"/>
    <w:rsid w:val="00A231DF"/>
    <w:rsid w:val="00A243B5"/>
    <w:rsid w:val="00A257A9"/>
    <w:rsid w:val="00A25BFF"/>
    <w:rsid w:val="00A26B53"/>
    <w:rsid w:val="00A27E14"/>
    <w:rsid w:val="00A31339"/>
    <w:rsid w:val="00A33995"/>
    <w:rsid w:val="00A34AC7"/>
    <w:rsid w:val="00A363DF"/>
    <w:rsid w:val="00A3799A"/>
    <w:rsid w:val="00A4107E"/>
    <w:rsid w:val="00A47D17"/>
    <w:rsid w:val="00A52716"/>
    <w:rsid w:val="00A5327D"/>
    <w:rsid w:val="00A62247"/>
    <w:rsid w:val="00A6317F"/>
    <w:rsid w:val="00A650F2"/>
    <w:rsid w:val="00A65A11"/>
    <w:rsid w:val="00A6637D"/>
    <w:rsid w:val="00A71C1C"/>
    <w:rsid w:val="00A722ED"/>
    <w:rsid w:val="00A729BE"/>
    <w:rsid w:val="00A7489A"/>
    <w:rsid w:val="00A74C7D"/>
    <w:rsid w:val="00A766AA"/>
    <w:rsid w:val="00A8091D"/>
    <w:rsid w:val="00A81912"/>
    <w:rsid w:val="00A827E8"/>
    <w:rsid w:val="00A82F07"/>
    <w:rsid w:val="00A84DBB"/>
    <w:rsid w:val="00A85361"/>
    <w:rsid w:val="00A866D3"/>
    <w:rsid w:val="00A878F5"/>
    <w:rsid w:val="00A87928"/>
    <w:rsid w:val="00A91B8B"/>
    <w:rsid w:val="00A942E6"/>
    <w:rsid w:val="00A97524"/>
    <w:rsid w:val="00AA1F6B"/>
    <w:rsid w:val="00AA2E0A"/>
    <w:rsid w:val="00AA4741"/>
    <w:rsid w:val="00AA6844"/>
    <w:rsid w:val="00AA7D98"/>
    <w:rsid w:val="00AB01E8"/>
    <w:rsid w:val="00AB1B4B"/>
    <w:rsid w:val="00AB431E"/>
    <w:rsid w:val="00AB57A3"/>
    <w:rsid w:val="00AB7F11"/>
    <w:rsid w:val="00AC12EC"/>
    <w:rsid w:val="00AC35E0"/>
    <w:rsid w:val="00AC4BDC"/>
    <w:rsid w:val="00AC4C8D"/>
    <w:rsid w:val="00AC6259"/>
    <w:rsid w:val="00AC6E93"/>
    <w:rsid w:val="00AD1F5D"/>
    <w:rsid w:val="00AE0B5A"/>
    <w:rsid w:val="00AE0C3E"/>
    <w:rsid w:val="00AE3125"/>
    <w:rsid w:val="00AE3170"/>
    <w:rsid w:val="00AE3735"/>
    <w:rsid w:val="00AE48C1"/>
    <w:rsid w:val="00AE738B"/>
    <w:rsid w:val="00AF3A49"/>
    <w:rsid w:val="00AF6553"/>
    <w:rsid w:val="00AF7C14"/>
    <w:rsid w:val="00B00037"/>
    <w:rsid w:val="00B0363C"/>
    <w:rsid w:val="00B06711"/>
    <w:rsid w:val="00B103DB"/>
    <w:rsid w:val="00B1297C"/>
    <w:rsid w:val="00B14032"/>
    <w:rsid w:val="00B1492D"/>
    <w:rsid w:val="00B20806"/>
    <w:rsid w:val="00B22FA7"/>
    <w:rsid w:val="00B255AF"/>
    <w:rsid w:val="00B261CA"/>
    <w:rsid w:val="00B27958"/>
    <w:rsid w:val="00B27E2A"/>
    <w:rsid w:val="00B3006D"/>
    <w:rsid w:val="00B4096F"/>
    <w:rsid w:val="00B4630B"/>
    <w:rsid w:val="00B4694E"/>
    <w:rsid w:val="00B47922"/>
    <w:rsid w:val="00B52344"/>
    <w:rsid w:val="00B574DD"/>
    <w:rsid w:val="00B60AC9"/>
    <w:rsid w:val="00B62525"/>
    <w:rsid w:val="00B63AA7"/>
    <w:rsid w:val="00B65103"/>
    <w:rsid w:val="00B66148"/>
    <w:rsid w:val="00B66D12"/>
    <w:rsid w:val="00B67427"/>
    <w:rsid w:val="00B73F18"/>
    <w:rsid w:val="00B7435D"/>
    <w:rsid w:val="00B746C4"/>
    <w:rsid w:val="00B839E5"/>
    <w:rsid w:val="00B87A8A"/>
    <w:rsid w:val="00B9046F"/>
    <w:rsid w:val="00B93B2B"/>
    <w:rsid w:val="00B95063"/>
    <w:rsid w:val="00B95629"/>
    <w:rsid w:val="00B9787F"/>
    <w:rsid w:val="00BA2144"/>
    <w:rsid w:val="00BA41D8"/>
    <w:rsid w:val="00BA4610"/>
    <w:rsid w:val="00BA7BCD"/>
    <w:rsid w:val="00BB0A7F"/>
    <w:rsid w:val="00BB2510"/>
    <w:rsid w:val="00BB7E91"/>
    <w:rsid w:val="00BC05EE"/>
    <w:rsid w:val="00BC0D2C"/>
    <w:rsid w:val="00BC1B07"/>
    <w:rsid w:val="00BC4214"/>
    <w:rsid w:val="00BC4B2B"/>
    <w:rsid w:val="00BC51A2"/>
    <w:rsid w:val="00BD7C74"/>
    <w:rsid w:val="00BE03CA"/>
    <w:rsid w:val="00BE0D55"/>
    <w:rsid w:val="00BE114C"/>
    <w:rsid w:val="00BE4AF3"/>
    <w:rsid w:val="00BE5ED2"/>
    <w:rsid w:val="00BE6309"/>
    <w:rsid w:val="00BE6A41"/>
    <w:rsid w:val="00BE7D14"/>
    <w:rsid w:val="00BF0232"/>
    <w:rsid w:val="00BF2976"/>
    <w:rsid w:val="00BF2BDB"/>
    <w:rsid w:val="00BF4553"/>
    <w:rsid w:val="00C010EE"/>
    <w:rsid w:val="00C020EC"/>
    <w:rsid w:val="00C108E1"/>
    <w:rsid w:val="00C11753"/>
    <w:rsid w:val="00C160D9"/>
    <w:rsid w:val="00C17A03"/>
    <w:rsid w:val="00C21D64"/>
    <w:rsid w:val="00C2298A"/>
    <w:rsid w:val="00C234B6"/>
    <w:rsid w:val="00C2629D"/>
    <w:rsid w:val="00C27E1F"/>
    <w:rsid w:val="00C33BD4"/>
    <w:rsid w:val="00C34B8D"/>
    <w:rsid w:val="00C35CCF"/>
    <w:rsid w:val="00C36353"/>
    <w:rsid w:val="00C37019"/>
    <w:rsid w:val="00C4543D"/>
    <w:rsid w:val="00C50643"/>
    <w:rsid w:val="00C549ED"/>
    <w:rsid w:val="00C57B4C"/>
    <w:rsid w:val="00C6080E"/>
    <w:rsid w:val="00C619B7"/>
    <w:rsid w:val="00C635AC"/>
    <w:rsid w:val="00C67F41"/>
    <w:rsid w:val="00C75A72"/>
    <w:rsid w:val="00C75B96"/>
    <w:rsid w:val="00C76A16"/>
    <w:rsid w:val="00C76BF1"/>
    <w:rsid w:val="00C775D4"/>
    <w:rsid w:val="00C8140E"/>
    <w:rsid w:val="00C82CE0"/>
    <w:rsid w:val="00C83030"/>
    <w:rsid w:val="00C858DB"/>
    <w:rsid w:val="00C85FDE"/>
    <w:rsid w:val="00C868B6"/>
    <w:rsid w:val="00C9230A"/>
    <w:rsid w:val="00C93848"/>
    <w:rsid w:val="00CA14CB"/>
    <w:rsid w:val="00CA2302"/>
    <w:rsid w:val="00CA2416"/>
    <w:rsid w:val="00CA7B42"/>
    <w:rsid w:val="00CB1B44"/>
    <w:rsid w:val="00CC166E"/>
    <w:rsid w:val="00CC2CA3"/>
    <w:rsid w:val="00CD5EDE"/>
    <w:rsid w:val="00CD79FA"/>
    <w:rsid w:val="00CE41E6"/>
    <w:rsid w:val="00CE7360"/>
    <w:rsid w:val="00CE77A5"/>
    <w:rsid w:val="00CE79E9"/>
    <w:rsid w:val="00CF1924"/>
    <w:rsid w:val="00CF1DAF"/>
    <w:rsid w:val="00CF31AC"/>
    <w:rsid w:val="00D0132D"/>
    <w:rsid w:val="00D01537"/>
    <w:rsid w:val="00D050C5"/>
    <w:rsid w:val="00D0744F"/>
    <w:rsid w:val="00D076EA"/>
    <w:rsid w:val="00D11573"/>
    <w:rsid w:val="00D11D86"/>
    <w:rsid w:val="00D14C95"/>
    <w:rsid w:val="00D16CA6"/>
    <w:rsid w:val="00D233FB"/>
    <w:rsid w:val="00D317DC"/>
    <w:rsid w:val="00D329EC"/>
    <w:rsid w:val="00D33D2D"/>
    <w:rsid w:val="00D4115A"/>
    <w:rsid w:val="00D426A9"/>
    <w:rsid w:val="00D51CC8"/>
    <w:rsid w:val="00D52783"/>
    <w:rsid w:val="00D54B29"/>
    <w:rsid w:val="00D55D77"/>
    <w:rsid w:val="00D646C0"/>
    <w:rsid w:val="00D65DAC"/>
    <w:rsid w:val="00D678E3"/>
    <w:rsid w:val="00D71044"/>
    <w:rsid w:val="00D72017"/>
    <w:rsid w:val="00D73444"/>
    <w:rsid w:val="00D736B9"/>
    <w:rsid w:val="00D778C9"/>
    <w:rsid w:val="00D80B14"/>
    <w:rsid w:val="00D80D85"/>
    <w:rsid w:val="00D8187F"/>
    <w:rsid w:val="00D82AEB"/>
    <w:rsid w:val="00D84C9C"/>
    <w:rsid w:val="00D85AE0"/>
    <w:rsid w:val="00D86661"/>
    <w:rsid w:val="00D8736B"/>
    <w:rsid w:val="00D87FA1"/>
    <w:rsid w:val="00D9116A"/>
    <w:rsid w:val="00D92994"/>
    <w:rsid w:val="00D9499D"/>
    <w:rsid w:val="00DA0381"/>
    <w:rsid w:val="00DA0DAA"/>
    <w:rsid w:val="00DA6BE6"/>
    <w:rsid w:val="00DA7560"/>
    <w:rsid w:val="00DB03DD"/>
    <w:rsid w:val="00DB2980"/>
    <w:rsid w:val="00DB4F6C"/>
    <w:rsid w:val="00DC14D7"/>
    <w:rsid w:val="00DC258D"/>
    <w:rsid w:val="00DC2740"/>
    <w:rsid w:val="00DC31C8"/>
    <w:rsid w:val="00DC4483"/>
    <w:rsid w:val="00DC5566"/>
    <w:rsid w:val="00DD2569"/>
    <w:rsid w:val="00DD2F2D"/>
    <w:rsid w:val="00DD4167"/>
    <w:rsid w:val="00DD7CDC"/>
    <w:rsid w:val="00DE4DF4"/>
    <w:rsid w:val="00DE600B"/>
    <w:rsid w:val="00DF0280"/>
    <w:rsid w:val="00DF13A8"/>
    <w:rsid w:val="00DF283B"/>
    <w:rsid w:val="00DF3FD8"/>
    <w:rsid w:val="00DF51E0"/>
    <w:rsid w:val="00E019C1"/>
    <w:rsid w:val="00E01CC5"/>
    <w:rsid w:val="00E036E9"/>
    <w:rsid w:val="00E04381"/>
    <w:rsid w:val="00E077FD"/>
    <w:rsid w:val="00E10289"/>
    <w:rsid w:val="00E11A36"/>
    <w:rsid w:val="00E12895"/>
    <w:rsid w:val="00E13FC0"/>
    <w:rsid w:val="00E1612C"/>
    <w:rsid w:val="00E16BEB"/>
    <w:rsid w:val="00E17B15"/>
    <w:rsid w:val="00E23229"/>
    <w:rsid w:val="00E23873"/>
    <w:rsid w:val="00E25871"/>
    <w:rsid w:val="00E32EE9"/>
    <w:rsid w:val="00E32F1E"/>
    <w:rsid w:val="00E35246"/>
    <w:rsid w:val="00E3722C"/>
    <w:rsid w:val="00E402C0"/>
    <w:rsid w:val="00E413B2"/>
    <w:rsid w:val="00E41AA8"/>
    <w:rsid w:val="00E43014"/>
    <w:rsid w:val="00E43E44"/>
    <w:rsid w:val="00E45457"/>
    <w:rsid w:val="00E458E8"/>
    <w:rsid w:val="00E529A3"/>
    <w:rsid w:val="00E52EC6"/>
    <w:rsid w:val="00E531F1"/>
    <w:rsid w:val="00E60064"/>
    <w:rsid w:val="00E601AB"/>
    <w:rsid w:val="00E62F38"/>
    <w:rsid w:val="00E66384"/>
    <w:rsid w:val="00E713B3"/>
    <w:rsid w:val="00E7388D"/>
    <w:rsid w:val="00E75835"/>
    <w:rsid w:val="00E77F60"/>
    <w:rsid w:val="00E82F63"/>
    <w:rsid w:val="00E855FE"/>
    <w:rsid w:val="00E87309"/>
    <w:rsid w:val="00E8761A"/>
    <w:rsid w:val="00E90F4D"/>
    <w:rsid w:val="00E92E04"/>
    <w:rsid w:val="00E969CD"/>
    <w:rsid w:val="00EA14CE"/>
    <w:rsid w:val="00EA1DB6"/>
    <w:rsid w:val="00EA40DB"/>
    <w:rsid w:val="00EA5168"/>
    <w:rsid w:val="00EA5491"/>
    <w:rsid w:val="00EA5CFB"/>
    <w:rsid w:val="00EA6A0D"/>
    <w:rsid w:val="00EA7F5D"/>
    <w:rsid w:val="00EB3997"/>
    <w:rsid w:val="00EB4579"/>
    <w:rsid w:val="00EB6914"/>
    <w:rsid w:val="00EC4B08"/>
    <w:rsid w:val="00EC5E37"/>
    <w:rsid w:val="00ED39D7"/>
    <w:rsid w:val="00ED7583"/>
    <w:rsid w:val="00EE3F17"/>
    <w:rsid w:val="00EF19A4"/>
    <w:rsid w:val="00EF230C"/>
    <w:rsid w:val="00EF278E"/>
    <w:rsid w:val="00EF2B4E"/>
    <w:rsid w:val="00EF3ECB"/>
    <w:rsid w:val="00EF7C26"/>
    <w:rsid w:val="00F018DF"/>
    <w:rsid w:val="00F01B4D"/>
    <w:rsid w:val="00F02831"/>
    <w:rsid w:val="00F031C3"/>
    <w:rsid w:val="00F03AAF"/>
    <w:rsid w:val="00F05F61"/>
    <w:rsid w:val="00F066E1"/>
    <w:rsid w:val="00F07E60"/>
    <w:rsid w:val="00F106F5"/>
    <w:rsid w:val="00F10A74"/>
    <w:rsid w:val="00F118AA"/>
    <w:rsid w:val="00F14275"/>
    <w:rsid w:val="00F201E4"/>
    <w:rsid w:val="00F21AE8"/>
    <w:rsid w:val="00F22B5B"/>
    <w:rsid w:val="00F267E2"/>
    <w:rsid w:val="00F26CC1"/>
    <w:rsid w:val="00F33971"/>
    <w:rsid w:val="00F34A27"/>
    <w:rsid w:val="00F359FC"/>
    <w:rsid w:val="00F40332"/>
    <w:rsid w:val="00F477EF"/>
    <w:rsid w:val="00F615E7"/>
    <w:rsid w:val="00F62223"/>
    <w:rsid w:val="00F6260D"/>
    <w:rsid w:val="00F6332B"/>
    <w:rsid w:val="00F6452C"/>
    <w:rsid w:val="00F66F03"/>
    <w:rsid w:val="00F80FCF"/>
    <w:rsid w:val="00F810A2"/>
    <w:rsid w:val="00F86ECE"/>
    <w:rsid w:val="00F876C1"/>
    <w:rsid w:val="00F91082"/>
    <w:rsid w:val="00F91383"/>
    <w:rsid w:val="00FA03D9"/>
    <w:rsid w:val="00FA205A"/>
    <w:rsid w:val="00FA2EB1"/>
    <w:rsid w:val="00FA5097"/>
    <w:rsid w:val="00FA56B8"/>
    <w:rsid w:val="00FA5E00"/>
    <w:rsid w:val="00FA5F2B"/>
    <w:rsid w:val="00FB53BA"/>
    <w:rsid w:val="00FC12E9"/>
    <w:rsid w:val="00FD48BD"/>
    <w:rsid w:val="00FD4C40"/>
    <w:rsid w:val="00FD53A0"/>
    <w:rsid w:val="00FD5940"/>
    <w:rsid w:val="00FE29F3"/>
    <w:rsid w:val="00FE6440"/>
    <w:rsid w:val="00FF0B09"/>
    <w:rsid w:val="00FF0D18"/>
    <w:rsid w:val="00FF1507"/>
    <w:rsid w:val="00FF29D9"/>
    <w:rsid w:val="00FF6221"/>
    <w:rsid w:val="00FF7716"/>
    <w:rsid w:val="00FF7CDA"/>
    <w:rsid w:val="00FF7E3C"/>
    <w:rsid w:val="01EF0EF8"/>
    <w:rsid w:val="074351DF"/>
    <w:rsid w:val="077E5DF2"/>
    <w:rsid w:val="07866778"/>
    <w:rsid w:val="091066AC"/>
    <w:rsid w:val="0D6A04CB"/>
    <w:rsid w:val="12BE4BCE"/>
    <w:rsid w:val="1A607657"/>
    <w:rsid w:val="30240363"/>
    <w:rsid w:val="32FD4A40"/>
    <w:rsid w:val="37C6008F"/>
    <w:rsid w:val="381C3B7C"/>
    <w:rsid w:val="3A58060A"/>
    <w:rsid w:val="3C49477F"/>
    <w:rsid w:val="436434C6"/>
    <w:rsid w:val="486E71FF"/>
    <w:rsid w:val="48952E00"/>
    <w:rsid w:val="4A2C7FB1"/>
    <w:rsid w:val="4AB32B38"/>
    <w:rsid w:val="53211D72"/>
    <w:rsid w:val="57AF6E8F"/>
    <w:rsid w:val="587340E0"/>
    <w:rsid w:val="5D987CFA"/>
    <w:rsid w:val="5FEE6BE1"/>
    <w:rsid w:val="64BE43DA"/>
    <w:rsid w:val="70C7611C"/>
    <w:rsid w:val="77002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505D3E7"/>
  <w15:docId w15:val="{C2482792-65BF-4AF3-B037-260CC240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eastAsiaTheme="minorEastAsia"/>
      <w:kern w:val="2"/>
      <w:sz w:val="24"/>
      <w:szCs w:val="24"/>
      <w:lang w:eastAsia="zh-CN"/>
      <w14:ligatures w14:val="standardContextual"/>
    </w:rPr>
  </w:style>
  <w:style w:type="paragraph" w:styleId="Heading1">
    <w:name w:val="heading 1"/>
    <w:basedOn w:val="Normal"/>
    <w:next w:val="Normal"/>
    <w:link w:val="Heading1Char"/>
    <w:uiPriority w:val="9"/>
    <w:qFormat/>
    <w:pPr>
      <w:keepNext/>
      <w:keepLines/>
      <w:spacing w:before="360" w:after="80" w:line="259" w:lineRule="auto"/>
      <w:outlineLvl w:val="0"/>
    </w:pPr>
    <w:rPr>
      <w:rFonts w:ascii="Times New Roman" w:eastAsiaTheme="majorEastAsia" w:hAnsi="Times New Roman" w:cstheme="majorBidi"/>
      <w:b/>
      <w:szCs w:val="40"/>
      <w:lang w:val="en-US" w:eastAsia="en-US"/>
    </w:rPr>
  </w:style>
  <w:style w:type="paragraph" w:styleId="Heading2">
    <w:name w:val="heading 2"/>
    <w:basedOn w:val="Normal"/>
    <w:next w:val="Normal"/>
    <w:link w:val="Heading2Char"/>
    <w:uiPriority w:val="9"/>
    <w:semiHidden/>
    <w:unhideWhenUsed/>
    <w:qFormat/>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n-US" w:eastAsia="en-US"/>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rFonts w:eastAsiaTheme="majorEastAsia" w:cstheme="majorBidi"/>
      <w:color w:val="2F5496" w:themeColor="accent1" w:themeShade="BF"/>
      <w:sz w:val="28"/>
      <w:szCs w:val="28"/>
      <w:lang w:val="en-US" w:eastAsia="en-US"/>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rFonts w:eastAsiaTheme="majorEastAsia" w:cstheme="majorBidi"/>
      <w:i/>
      <w:iCs/>
      <w:color w:val="2F5496" w:themeColor="accent1" w:themeShade="BF"/>
      <w:sz w:val="22"/>
      <w:szCs w:val="22"/>
      <w:lang w:val="en-US" w:eastAsia="en-US"/>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rFonts w:eastAsiaTheme="majorEastAsia" w:cstheme="majorBidi"/>
      <w:color w:val="2F5496" w:themeColor="accent1" w:themeShade="BF"/>
      <w:sz w:val="22"/>
      <w:szCs w:val="22"/>
      <w:lang w:val="en-US" w:eastAsia="en-US"/>
    </w:rPr>
  </w:style>
  <w:style w:type="paragraph" w:styleId="Heading6">
    <w:name w:val="heading 6"/>
    <w:basedOn w:val="Normal"/>
    <w:next w:val="Normal"/>
    <w:link w:val="Heading6Char"/>
    <w:uiPriority w:val="9"/>
    <w:semiHidden/>
    <w:unhideWhenUsed/>
    <w:qFormat/>
    <w:pPr>
      <w:keepNext/>
      <w:keepLines/>
      <w:spacing w:before="40" w:after="0" w:line="259" w:lineRule="auto"/>
      <w:outlineLvl w:val="5"/>
    </w:pPr>
    <w:rPr>
      <w:rFonts w:eastAsiaTheme="majorEastAsia" w:cstheme="majorBidi"/>
      <w:i/>
      <w:iCs/>
      <w:color w:val="595959" w:themeColor="text1" w:themeTint="A6"/>
      <w:sz w:val="22"/>
      <w:szCs w:val="22"/>
      <w:lang w:val="en-US" w:eastAsia="en-US"/>
    </w:rPr>
  </w:style>
  <w:style w:type="paragraph" w:styleId="Heading7">
    <w:name w:val="heading 7"/>
    <w:basedOn w:val="Normal"/>
    <w:next w:val="Normal"/>
    <w:link w:val="Heading7Char"/>
    <w:uiPriority w:val="9"/>
    <w:semiHidden/>
    <w:unhideWhenUsed/>
    <w:qFormat/>
    <w:pPr>
      <w:keepNext/>
      <w:keepLines/>
      <w:spacing w:before="40" w:after="0" w:line="259" w:lineRule="auto"/>
      <w:outlineLvl w:val="6"/>
    </w:pPr>
    <w:rPr>
      <w:rFonts w:eastAsiaTheme="majorEastAsia" w:cstheme="majorBidi"/>
      <w:color w:val="595959" w:themeColor="text1" w:themeTint="A6"/>
      <w:sz w:val="22"/>
      <w:szCs w:val="22"/>
      <w:lang w:val="en-US" w:eastAsia="en-US"/>
    </w:rPr>
  </w:style>
  <w:style w:type="paragraph" w:styleId="Heading8">
    <w:name w:val="heading 8"/>
    <w:basedOn w:val="Normal"/>
    <w:next w:val="Normal"/>
    <w:link w:val="Heading8Char"/>
    <w:uiPriority w:val="9"/>
    <w:semiHidden/>
    <w:unhideWhenUsed/>
    <w:qFormat/>
    <w:pPr>
      <w:keepNext/>
      <w:keepLines/>
      <w:spacing w:after="0" w:line="259" w:lineRule="auto"/>
      <w:outlineLvl w:val="7"/>
    </w:pPr>
    <w:rPr>
      <w:rFonts w:eastAsiaTheme="majorEastAsia" w:cstheme="majorBidi"/>
      <w:i/>
      <w:iCs/>
      <w:color w:val="262626" w:themeColor="text1" w:themeTint="D9"/>
      <w:sz w:val="22"/>
      <w:szCs w:val="22"/>
      <w:lang w:val="en-US" w:eastAsia="en-US"/>
    </w:rPr>
  </w:style>
  <w:style w:type="paragraph" w:styleId="Heading9">
    <w:name w:val="heading 9"/>
    <w:basedOn w:val="Normal"/>
    <w:next w:val="Normal"/>
    <w:link w:val="Heading9Char"/>
    <w:uiPriority w:val="9"/>
    <w:semiHidden/>
    <w:unhideWhenUsed/>
    <w:qFormat/>
    <w:pPr>
      <w:keepNext/>
      <w:keepLines/>
      <w:spacing w:after="0" w:line="259" w:lineRule="auto"/>
      <w:outlineLvl w:val="8"/>
    </w:pPr>
    <w:rPr>
      <w:rFonts w:eastAsiaTheme="majorEastAsia" w:cstheme="majorBidi"/>
      <w:color w:val="262626" w:themeColor="text1" w:themeTint="D9"/>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2C4814"/>
    <w:pPr>
      <w:spacing w:after="200" w:line="360" w:lineRule="auto"/>
    </w:pPr>
    <w:rPr>
      <w:rFonts w:ascii="Times New Roman" w:hAnsi="Times New Roman"/>
      <w:iCs/>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after="141" w:line="259" w:lineRule="auto"/>
      <w:ind w:left="10" w:hanging="10"/>
    </w:pPr>
    <w:rPr>
      <w:rFonts w:ascii="Times New Roman" w:eastAsia="Times New Roman" w:hAnsi="Times New Roman" w:cs="Times New Roman"/>
      <w:color w:val="000000"/>
      <w:kern w:val="0"/>
      <w:szCs w:val="22"/>
      <w:lang w:val="zh-CN"/>
      <w14:ligatures w14:val="non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rPr>
      <w:rFonts w:ascii="Times New Roman" w:hAnsi="Times New Roman" w:cs="Times New Roman"/>
    </w:rPr>
  </w:style>
  <w:style w:type="paragraph" w:styleId="Subtitle">
    <w:name w:val="Subtitle"/>
    <w:basedOn w:val="Normal"/>
    <w:next w:val="Normal"/>
    <w:link w:val="SubtitleChar"/>
    <w:uiPriority w:val="11"/>
    <w:qFormat/>
    <w:pPr>
      <w:spacing w:line="259" w:lineRule="auto"/>
    </w:pPr>
    <w:rPr>
      <w:rFonts w:eastAsiaTheme="majorEastAsia" w:cstheme="majorBidi"/>
      <w:color w:val="595959" w:themeColor="text1" w:themeTint="A6"/>
      <w:spacing w:val="15"/>
      <w:sz w:val="28"/>
      <w:szCs w:val="28"/>
      <w:lang w:val="en-US" w:eastAsia="en-US"/>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line="259" w:lineRule="auto"/>
      <w:jc w:val="center"/>
    </w:pPr>
    <w:rPr>
      <w:rFonts w:eastAsiaTheme="minorHAnsi"/>
      <w:i/>
      <w:iCs/>
      <w:color w:val="404040" w:themeColor="text1" w:themeTint="BF"/>
      <w:sz w:val="22"/>
      <w:szCs w:val="22"/>
      <w:lang w:val="en-US" w:eastAsia="en-US"/>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spacing w:line="259" w:lineRule="auto"/>
      <w:ind w:left="720"/>
      <w:contextualSpacing/>
    </w:pPr>
    <w:rPr>
      <w:rFonts w:eastAsiaTheme="minorHAnsi"/>
      <w:sz w:val="22"/>
      <w:szCs w:val="22"/>
      <w:lang w:val="en-US" w:eastAsia="en-US"/>
    </w:r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lang w:val="en-US" w:eastAsia="en-US"/>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FooterChar">
    <w:name w:val="Footer Char"/>
    <w:basedOn w:val="DefaultParagraphFont"/>
    <w:link w:val="Footer"/>
    <w:uiPriority w:val="99"/>
    <w:qFormat/>
    <w:rPr>
      <w:rFonts w:eastAsiaTheme="minorEastAsia"/>
      <w:sz w:val="24"/>
      <w:szCs w:val="24"/>
      <w:lang w:val="en-GB" w:eastAsia="zh-CN"/>
    </w:rPr>
  </w:style>
  <w:style w:type="character" w:customStyle="1" w:styleId="MTEquationSection">
    <w:name w:val="MTEquationSection"/>
    <w:basedOn w:val="DefaultParagraphFont"/>
    <w:qFormat/>
    <w:rPr>
      <w:rFonts w:ascii="Times New Roman" w:hAnsi="Times New Roman" w:cs="Times New Roman"/>
      <w:b/>
      <w:bCs/>
      <w:vanish/>
      <w:color w:val="FF0000"/>
    </w:rPr>
  </w:style>
  <w:style w:type="paragraph" w:customStyle="1" w:styleId="MTDisplayEquation">
    <w:name w:val="MTDisplayEquation"/>
    <w:basedOn w:val="Normal"/>
    <w:next w:val="Normal"/>
    <w:link w:val="MTDisplayEquationChar"/>
    <w:qFormat/>
    <w:pPr>
      <w:tabs>
        <w:tab w:val="center" w:pos="6980"/>
        <w:tab w:val="right" w:pos="13960"/>
      </w:tabs>
      <w:spacing w:line="259" w:lineRule="auto"/>
    </w:pPr>
    <w:rPr>
      <w:rFonts w:ascii="Times New Roman" w:hAnsi="Times New Roman" w:cs="Times New Roman"/>
    </w:rPr>
  </w:style>
  <w:style w:type="character" w:customStyle="1" w:styleId="MTDisplayEquationChar">
    <w:name w:val="MTDisplayEquation Char"/>
    <w:basedOn w:val="DefaultParagraphFont"/>
    <w:link w:val="MTDisplayEquation"/>
    <w:qFormat/>
    <w:rPr>
      <w:rFonts w:ascii="Times New Roman" w:eastAsiaTheme="minorEastAsia" w:hAnsi="Times New Roman" w:cs="Times New Roman"/>
      <w:sz w:val="24"/>
      <w:szCs w:val="24"/>
      <w:lang w:val="en-GB" w:eastAsia="zh-CN"/>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color w:val="000000"/>
      <w:kern w:val="0"/>
      <w:sz w:val="24"/>
      <w:lang w:val="zh-CN" w:eastAsia="zh-CN"/>
      <w14:ligatures w14:val="none"/>
    </w:rPr>
  </w:style>
  <w:style w:type="character" w:styleId="Hyperlink">
    <w:name w:val="Hyperlink"/>
    <w:basedOn w:val="DefaultParagraphFont"/>
    <w:uiPriority w:val="99"/>
    <w:unhideWhenUsed/>
    <w:rsid w:val="00283B6D"/>
    <w:rPr>
      <w:color w:val="0563C1" w:themeColor="hyperlink"/>
      <w:u w:val="single"/>
    </w:rPr>
  </w:style>
  <w:style w:type="character" w:styleId="UnresolvedMention">
    <w:name w:val="Unresolved Mention"/>
    <w:basedOn w:val="DefaultParagraphFont"/>
    <w:uiPriority w:val="99"/>
    <w:semiHidden/>
    <w:unhideWhenUsed/>
    <w:rsid w:val="00283B6D"/>
    <w:rPr>
      <w:color w:val="605E5C"/>
      <w:shd w:val="clear" w:color="auto" w:fill="E1DFDD"/>
    </w:rPr>
  </w:style>
  <w:style w:type="paragraph" w:styleId="Header">
    <w:name w:val="header"/>
    <w:basedOn w:val="Normal"/>
    <w:link w:val="HeaderChar"/>
    <w:uiPriority w:val="99"/>
    <w:unhideWhenUsed/>
    <w:rsid w:val="00C60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80E"/>
    <w:rPr>
      <w:rFonts w:eastAsiaTheme="minorEastAsia"/>
      <w:kern w:val="2"/>
      <w:sz w:val="24"/>
      <w:szCs w:val="24"/>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29.bin"/><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chart" Target="charts/chart7.xml"/><Relationship Id="rId63" Type="http://schemas.openxmlformats.org/officeDocument/2006/relationships/image" Target="media/image34.wmf"/><Relationship Id="rId68" Type="http://schemas.openxmlformats.org/officeDocument/2006/relationships/image" Target="media/image36.wmf"/><Relationship Id="rId84" Type="http://schemas.openxmlformats.org/officeDocument/2006/relationships/image" Target="media/image45.png"/><Relationship Id="rId89" Type="http://schemas.openxmlformats.org/officeDocument/2006/relationships/oleObject" Target="embeddings/oleObject15.bin"/><Relationship Id="rId112" Type="http://schemas.openxmlformats.org/officeDocument/2006/relationships/image" Target="media/image60.wmf"/><Relationship Id="rId16" Type="http://schemas.openxmlformats.org/officeDocument/2006/relationships/image" Target="media/image9.jpeg"/><Relationship Id="rId107" Type="http://schemas.openxmlformats.org/officeDocument/2006/relationships/oleObject" Target="embeddings/oleObject24.bin"/><Relationship Id="rId11"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24.jpeg"/><Relationship Id="rId53" Type="http://schemas.openxmlformats.org/officeDocument/2006/relationships/chart" Target="charts/chart13.xml"/><Relationship Id="rId58" Type="http://schemas.openxmlformats.org/officeDocument/2006/relationships/image" Target="media/image32.wmf"/><Relationship Id="rId74" Type="http://schemas.openxmlformats.org/officeDocument/2006/relationships/header" Target="header3.xml"/><Relationship Id="rId79" Type="http://schemas.openxmlformats.org/officeDocument/2006/relationships/image" Target="media/image40.png"/><Relationship Id="rId102" Type="http://schemas.openxmlformats.org/officeDocument/2006/relationships/image" Target="media/image55.wmf"/><Relationship Id="rId123"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18.bin"/><Relationship Id="rId22" Type="http://schemas.openxmlformats.org/officeDocument/2006/relationships/image" Target="media/image15.jpeg"/><Relationship Id="rId27" Type="http://schemas.openxmlformats.org/officeDocument/2006/relationships/image" Target="media/image17.wmf"/><Relationship Id="rId43" Type="http://schemas.openxmlformats.org/officeDocument/2006/relationships/chart" Target="charts/chart3.xml"/><Relationship Id="rId48" Type="http://schemas.openxmlformats.org/officeDocument/2006/relationships/chart" Target="charts/chart8.xml"/><Relationship Id="rId64" Type="http://schemas.openxmlformats.org/officeDocument/2006/relationships/oleObject" Target="embeddings/oleObject10.bin"/><Relationship Id="rId69" Type="http://schemas.openxmlformats.org/officeDocument/2006/relationships/oleObject" Target="embeddings/oleObject13.bin"/><Relationship Id="rId113" Type="http://schemas.openxmlformats.org/officeDocument/2006/relationships/oleObject" Target="embeddings/oleObject27.bin"/><Relationship Id="rId118" Type="http://schemas.openxmlformats.org/officeDocument/2006/relationships/image" Target="media/image63.wmf"/><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oleObject" Target="embeddings/oleObject7.bin"/><Relationship Id="rId103" Type="http://schemas.openxmlformats.org/officeDocument/2006/relationships/oleObject" Target="embeddings/oleObject22.bin"/><Relationship Id="rId108" Type="http://schemas.openxmlformats.org/officeDocument/2006/relationships/image" Target="media/image58.wmf"/><Relationship Id="rId124" Type="http://schemas.openxmlformats.org/officeDocument/2006/relationships/chart" Target="charts/chart14.xml"/><Relationship Id="rId54" Type="http://schemas.openxmlformats.org/officeDocument/2006/relationships/image" Target="media/image30.wmf"/><Relationship Id="rId70" Type="http://schemas.openxmlformats.org/officeDocument/2006/relationships/header" Target="header1.xml"/><Relationship Id="rId75" Type="http://schemas.openxmlformats.org/officeDocument/2006/relationships/footer" Target="footer3.xml"/><Relationship Id="rId91" Type="http://schemas.openxmlformats.org/officeDocument/2006/relationships/oleObject" Target="embeddings/oleObject16.bin"/><Relationship Id="rId96"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oleObject" Target="embeddings/oleObject2.bin"/><Relationship Id="rId49" Type="http://schemas.openxmlformats.org/officeDocument/2006/relationships/chart" Target="charts/chart9.xml"/><Relationship Id="rId114" Type="http://schemas.openxmlformats.org/officeDocument/2006/relationships/image" Target="media/image61.wmf"/><Relationship Id="rId119" Type="http://schemas.openxmlformats.org/officeDocument/2006/relationships/oleObject" Target="embeddings/oleObject30.bin"/><Relationship Id="rId44" Type="http://schemas.openxmlformats.org/officeDocument/2006/relationships/chart" Target="charts/chart4.xml"/><Relationship Id="rId60" Type="http://schemas.openxmlformats.org/officeDocument/2006/relationships/image" Target="media/image33.wmf"/><Relationship Id="rId65" Type="http://schemas.openxmlformats.org/officeDocument/2006/relationships/image" Target="media/image35.wmf"/><Relationship Id="rId81" Type="http://schemas.openxmlformats.org/officeDocument/2006/relationships/image" Target="media/image42.png"/><Relationship Id="rId86" Type="http://schemas.openxmlformats.org/officeDocument/2006/relationships/image" Target="media/image47.w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109" Type="http://schemas.openxmlformats.org/officeDocument/2006/relationships/oleObject" Target="embeddings/oleObject25.bin"/><Relationship Id="rId34" Type="http://schemas.openxmlformats.org/officeDocument/2006/relationships/image" Target="media/image21.jpeg"/><Relationship Id="rId50" Type="http://schemas.openxmlformats.org/officeDocument/2006/relationships/chart" Target="charts/chart10.xml"/><Relationship Id="rId55" Type="http://schemas.openxmlformats.org/officeDocument/2006/relationships/oleObject" Target="embeddings/oleObject5.bin"/><Relationship Id="rId76" Type="http://schemas.openxmlformats.org/officeDocument/2006/relationships/image" Target="media/image37.png"/><Relationship Id="rId97" Type="http://schemas.openxmlformats.org/officeDocument/2006/relationships/image" Target="media/image52.wmf"/><Relationship Id="rId104" Type="http://schemas.openxmlformats.org/officeDocument/2006/relationships/image" Target="media/image56.wmf"/><Relationship Id="rId120" Type="http://schemas.openxmlformats.org/officeDocument/2006/relationships/image" Target="media/image64.w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chart" Target="charts/chart2.xml"/><Relationship Id="rId40" Type="http://schemas.openxmlformats.org/officeDocument/2006/relationships/image" Target="media/image27.jpeg"/><Relationship Id="rId45" Type="http://schemas.openxmlformats.org/officeDocument/2006/relationships/chart" Target="charts/chart5.xml"/><Relationship Id="rId66" Type="http://schemas.openxmlformats.org/officeDocument/2006/relationships/oleObject" Target="embeddings/oleObject11.bin"/><Relationship Id="rId87" Type="http://schemas.openxmlformats.org/officeDocument/2006/relationships/oleObject" Target="embeddings/oleObject14.bin"/><Relationship Id="rId110" Type="http://schemas.openxmlformats.org/officeDocument/2006/relationships/image" Target="media/image59.wmf"/><Relationship Id="rId115" Type="http://schemas.openxmlformats.org/officeDocument/2006/relationships/oleObject" Target="embeddings/oleObject28.bin"/><Relationship Id="rId61" Type="http://schemas.openxmlformats.org/officeDocument/2006/relationships/oleObject" Target="embeddings/oleObject8.bin"/><Relationship Id="rId82" Type="http://schemas.openxmlformats.org/officeDocument/2006/relationships/image" Target="media/image43.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22.jpeg"/><Relationship Id="rId56" Type="http://schemas.openxmlformats.org/officeDocument/2006/relationships/image" Target="media/image31.wmf"/><Relationship Id="rId77" Type="http://schemas.openxmlformats.org/officeDocument/2006/relationships/image" Target="media/image38.png"/><Relationship Id="rId100" Type="http://schemas.openxmlformats.org/officeDocument/2006/relationships/image" Target="media/image54.wmf"/><Relationship Id="rId105" Type="http://schemas.openxmlformats.org/officeDocument/2006/relationships/oleObject" Target="embeddings/oleObject23.bin"/><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footer" Target="footer1.xml"/><Relationship Id="rId93" Type="http://schemas.openxmlformats.org/officeDocument/2006/relationships/oleObject" Target="embeddings/oleObject17.bin"/><Relationship Id="rId98" Type="http://schemas.openxmlformats.org/officeDocument/2006/relationships/oleObject" Target="embeddings/oleObject20.bin"/><Relationship Id="rId121" Type="http://schemas.openxmlformats.org/officeDocument/2006/relationships/oleObject" Target="embeddings/oleObject31.bin"/><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chart" Target="charts/chart6.xml"/><Relationship Id="rId67" Type="http://schemas.openxmlformats.org/officeDocument/2006/relationships/oleObject" Target="embeddings/oleObject12.bin"/><Relationship Id="rId116" Type="http://schemas.openxmlformats.org/officeDocument/2006/relationships/image" Target="media/image62.wmf"/><Relationship Id="rId20" Type="http://schemas.openxmlformats.org/officeDocument/2006/relationships/image" Target="media/image13.jpeg"/><Relationship Id="rId41" Type="http://schemas.openxmlformats.org/officeDocument/2006/relationships/image" Target="media/image28.jpeg"/><Relationship Id="rId62" Type="http://schemas.openxmlformats.org/officeDocument/2006/relationships/oleObject" Target="embeddings/oleObject9.bin"/><Relationship Id="rId83" Type="http://schemas.openxmlformats.org/officeDocument/2006/relationships/image" Target="media/image44.png"/><Relationship Id="rId88" Type="http://schemas.openxmlformats.org/officeDocument/2006/relationships/image" Target="media/image48.wmf"/><Relationship Id="rId111" Type="http://schemas.openxmlformats.org/officeDocument/2006/relationships/oleObject" Target="embeddings/oleObject26.bin"/><Relationship Id="rId15" Type="http://schemas.openxmlformats.org/officeDocument/2006/relationships/image" Target="media/image8.jpeg"/><Relationship Id="rId36" Type="http://schemas.openxmlformats.org/officeDocument/2006/relationships/image" Target="media/image23.jpeg"/><Relationship Id="rId57" Type="http://schemas.openxmlformats.org/officeDocument/2006/relationships/oleObject" Target="embeddings/oleObject6.bin"/><Relationship Id="rId106" Type="http://schemas.openxmlformats.org/officeDocument/2006/relationships/image" Target="media/image57.wmf"/><Relationship Id="rId10" Type="http://schemas.openxmlformats.org/officeDocument/2006/relationships/image" Target="media/image3.png"/><Relationship Id="rId31" Type="http://schemas.openxmlformats.org/officeDocument/2006/relationships/image" Target="media/image19.wmf"/><Relationship Id="rId52" Type="http://schemas.openxmlformats.org/officeDocument/2006/relationships/chart" Target="charts/chart12.xml"/><Relationship Id="rId73" Type="http://schemas.openxmlformats.org/officeDocument/2006/relationships/footer" Target="footer2.xml"/><Relationship Id="rId78" Type="http://schemas.openxmlformats.org/officeDocument/2006/relationships/image" Target="media/image39.png"/><Relationship Id="rId94" Type="http://schemas.openxmlformats.org/officeDocument/2006/relationships/image" Target="media/image51.wmf"/><Relationship Id="rId99" Type="http://schemas.openxmlformats.org/officeDocument/2006/relationships/image" Target="media/image53.png"/><Relationship Id="rId101" Type="http://schemas.openxmlformats.org/officeDocument/2006/relationships/oleObject" Target="embeddings/oleObject21.bin"/><Relationship Id="rId122"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KNUST\PhD%20Structural%20Engineering%20KNUST\PhD%20data%20sheet%20(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KNUST\PhD%20Data%20Sheet%20MIKE_2024-07-24%2013-14-15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KNUST\PhD%20Data%20Sheet%20MIKE_2024-07-24%2013-14-15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KNUST\PhD%20Data%20Sheet%20MIKE_2024-07-24%2013-14-15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KNUST\PhD%20Data%20Sheet%20MIKE_2024-07-24%2013-14-151.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E:\KNUST\PhD%20Supplementary%20Data.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KNUST\PhD%20Structural%20Engineering%20KNUST\PhD%20data%20sheet%20(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KNUST\PhD%20Supplementary%20Dat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KNUST\PhD%20Supplementary%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KNUST\PhD%20Supplementary%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KNUST\PhD%20Supplementary%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KNUST\PhD%20Supplementary%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KNUST\PhD%20Data%20Sheet%20MIKE_2024-07-24%2013-14-15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KNUST\PhD%20Data%20Sheet%20MIKE_2024-07-24%2013-14-1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193828686847"/>
          <c:y val="9.3545822630559494E-2"/>
          <c:w val="0.78403956043772904"/>
          <c:h val="0.75060586610215196"/>
        </c:manualLayout>
      </c:layout>
      <c:scatterChart>
        <c:scatterStyle val="smoothMarker"/>
        <c:varyColors val="0"/>
        <c:ser>
          <c:idx val="0"/>
          <c:order val="0"/>
          <c:tx>
            <c:strRef>
              <c:f>Grading curve for fine aggregate</c:f>
              <c:strCache>
                <c:ptCount val="1"/>
                <c:pt idx="0">
                  <c:v>Grading curve for fine aggregate</c:v>
                </c:pt>
              </c:strCache>
            </c:strRef>
          </c:tx>
          <c:spPr>
            <a:ln w="28575" cap="rnd">
              <a:solidFill>
                <a:schemeClr val="tx1"/>
              </a:solidFill>
              <a:round/>
            </a:ln>
            <a:effectLst/>
          </c:spPr>
          <c:marker>
            <c:symbol val="diamond"/>
            <c:size val="6"/>
            <c:spPr>
              <a:solidFill>
                <a:schemeClr val="tx1">
                  <a:alpha val="97000"/>
                </a:schemeClr>
              </a:solidFill>
              <a:ln w="25400">
                <a:solidFill>
                  <a:schemeClr val="tx1"/>
                </a:solidFill>
                <a:round/>
              </a:ln>
              <a:effectLst/>
            </c:spPr>
          </c:marker>
          <c:xVal>
            <c:numRef>
              <c:f>GRADING!$AG$8:$AG$22</c:f>
              <c:numCache>
                <c:formatCode>0.000</c:formatCode>
                <c:ptCount val="15"/>
                <c:pt idx="0">
                  <c:v>6.7</c:v>
                </c:pt>
                <c:pt idx="1">
                  <c:v>4.75</c:v>
                </c:pt>
                <c:pt idx="2">
                  <c:v>3.35</c:v>
                </c:pt>
                <c:pt idx="3">
                  <c:v>2.8</c:v>
                </c:pt>
                <c:pt idx="4">
                  <c:v>2.36</c:v>
                </c:pt>
                <c:pt idx="5">
                  <c:v>1.18</c:v>
                </c:pt>
                <c:pt idx="6">
                  <c:v>0.6</c:v>
                </c:pt>
                <c:pt idx="7">
                  <c:v>0.5</c:v>
                </c:pt>
                <c:pt idx="8">
                  <c:v>0.42499999999999999</c:v>
                </c:pt>
                <c:pt idx="9">
                  <c:v>0.35499999999999998</c:v>
                </c:pt>
                <c:pt idx="10">
                  <c:v>0.25</c:v>
                </c:pt>
                <c:pt idx="11">
                  <c:v>0.15</c:v>
                </c:pt>
                <c:pt idx="12">
                  <c:v>0.106</c:v>
                </c:pt>
                <c:pt idx="13">
                  <c:v>0.09</c:v>
                </c:pt>
                <c:pt idx="14">
                  <c:v>7.4999999999999997E-2</c:v>
                </c:pt>
              </c:numCache>
            </c:numRef>
          </c:xVal>
          <c:yVal>
            <c:numRef>
              <c:f>GRADING!$AL$8:$AL$22</c:f>
              <c:numCache>
                <c:formatCode>0.00</c:formatCode>
                <c:ptCount val="15"/>
                <c:pt idx="0">
                  <c:v>100</c:v>
                </c:pt>
                <c:pt idx="1">
                  <c:v>99.388379204892999</c:v>
                </c:pt>
                <c:pt idx="2">
                  <c:v>97.859327217125397</c:v>
                </c:pt>
                <c:pt idx="3">
                  <c:v>97.043832823649296</c:v>
                </c:pt>
                <c:pt idx="4">
                  <c:v>94.291539245667707</c:v>
                </c:pt>
                <c:pt idx="5">
                  <c:v>60.550458715596299</c:v>
                </c:pt>
                <c:pt idx="6">
                  <c:v>30.7849133537207</c:v>
                </c:pt>
                <c:pt idx="7">
                  <c:v>26.095820591233402</c:v>
                </c:pt>
                <c:pt idx="8">
                  <c:v>21.610601427115199</c:v>
                </c:pt>
                <c:pt idx="9">
                  <c:v>18.348623853210999</c:v>
                </c:pt>
                <c:pt idx="10">
                  <c:v>11.722731906218099</c:v>
                </c:pt>
                <c:pt idx="11">
                  <c:v>5.3007135575942597</c:v>
                </c:pt>
                <c:pt idx="12">
                  <c:v>1.9367991845055801</c:v>
                </c:pt>
                <c:pt idx="13">
                  <c:v>0.61162079510700795</c:v>
                </c:pt>
                <c:pt idx="14">
                  <c:v>-2.0428103653102899E-14</c:v>
                </c:pt>
              </c:numCache>
            </c:numRef>
          </c:yVal>
          <c:smooth val="1"/>
          <c:extLst>
            <c:ext xmlns:c16="http://schemas.microsoft.com/office/drawing/2014/chart" uri="{C3380CC4-5D6E-409C-BE32-E72D297353CC}">
              <c16:uniqueId val="{00000000-59A4-45B0-9701-7D2D686E8EAA}"/>
            </c:ext>
          </c:extLst>
        </c:ser>
        <c:ser>
          <c:idx val="1"/>
          <c:order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GRADING!$AQ$3:$AQ$5</c:f>
              <c:numCache>
                <c:formatCode>General</c:formatCode>
                <c:ptCount val="3"/>
              </c:numCache>
            </c:numRef>
          </c:xVal>
          <c:yVal>
            <c:numRef>
              <c:f>GRADING!$AR$3:$AR$5</c:f>
              <c:numCache>
                <c:formatCode>General</c:formatCode>
                <c:ptCount val="3"/>
              </c:numCache>
            </c:numRef>
          </c:yVal>
          <c:smooth val="1"/>
          <c:extLst>
            <c:ext xmlns:c16="http://schemas.microsoft.com/office/drawing/2014/chart" uri="{C3380CC4-5D6E-409C-BE32-E72D297353CC}">
              <c16:uniqueId val="{00000001-59A4-45B0-9701-7D2D686E8EAA}"/>
            </c:ext>
          </c:extLst>
        </c:ser>
        <c:ser>
          <c:idx val="2"/>
          <c:order val="2"/>
          <c:tx>
            <c:strRef>
              <c:f>d10</c:f>
              <c:strCache>
                <c:ptCount val="1"/>
                <c:pt idx="0">
                  <c:v>d10</c:v>
                </c:pt>
              </c:strCache>
            </c:strRef>
          </c:tx>
          <c:spPr>
            <a:ln w="22225" cap="rnd">
              <a:solidFill>
                <a:srgbClr val="C0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59A4-45B0-9701-7D2D686E8EAA}"/>
                </c:ext>
              </c:extLst>
            </c:dLbl>
            <c:dLbl>
              <c:idx val="1"/>
              <c:layout>
                <c:manualLayout>
                  <c:x val="-0.116393436476636"/>
                  <c:y val="-6.5018215979506605E-2"/>
                </c:manualLayout>
              </c:layout>
              <c:tx>
                <c:rich>
                  <a:bodyPr/>
                  <a:lstStyle/>
                  <a:p>
                    <a:fld id="{8D3FD52F-83D6-458C-BBA0-75B3F1B51413}" type="CATEGORYNAME">
                      <a:rPr lang="en-US"/>
                      <a:pPr/>
                      <a:t>[CATEGORY NAME]</a:t>
                    </a:fld>
                    <a:r>
                      <a:rPr lang="en-US"/>
                      <a:t>,</a:t>
                    </a:r>
                    <a:fld id="{FA1D672D-186A-45B2-B9DA-3A6A1223EAE8}" type="VALUE">
                      <a:rPr lang="en-US"/>
                      <a:pPr/>
                      <a:t>[VALUE]</a:t>
                    </a:fld>
                    <a:endParaRPr lang="en-US"/>
                  </a:p>
                </c:rich>
              </c:tx>
              <c:dLblPos val="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9A4-45B0-9701-7D2D686E8EAA}"/>
                </c:ext>
              </c:extLst>
            </c:dLbl>
            <c:spPr>
              <a:no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900" b="0" i="0" u="none" strike="noStrike" kern="1200" baseline="0">
                    <a:solidFill>
                      <a:schemeClr val="dk1">
                        <a:lumMod val="65000"/>
                        <a:lumOff val="35000"/>
                      </a:schemeClr>
                    </a:solidFill>
                    <a:latin typeface="Arial" panose="020B0604020202020204" pitchFamily="2" charset="0"/>
                    <a:ea typeface="+mn-ea"/>
                    <a:cs typeface="Arial" panose="020B0604020202020204" pitchFamily="2"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xVal>
            <c:numRef>
              <c:f>GRADING!$AQ$26:$AQ$27</c:f>
              <c:numCache>
                <c:formatCode>General</c:formatCode>
                <c:ptCount val="2"/>
                <c:pt idx="0">
                  <c:v>0.21726000000000001</c:v>
                </c:pt>
                <c:pt idx="1">
                  <c:v>0.21726000000000001</c:v>
                </c:pt>
              </c:numCache>
            </c:numRef>
          </c:xVal>
          <c:yVal>
            <c:numRef>
              <c:f>GRADING!$AR$26:$AR$27</c:f>
              <c:numCache>
                <c:formatCode>General</c:formatCode>
                <c:ptCount val="2"/>
                <c:pt idx="0">
                  <c:v>0</c:v>
                </c:pt>
                <c:pt idx="1">
                  <c:v>10</c:v>
                </c:pt>
              </c:numCache>
            </c:numRef>
          </c:yVal>
          <c:smooth val="1"/>
          <c:extLst>
            <c:ext xmlns:c16="http://schemas.microsoft.com/office/drawing/2014/chart" uri="{C3380CC4-5D6E-409C-BE32-E72D297353CC}">
              <c16:uniqueId val="{00000004-59A4-45B0-9701-7D2D686E8EAA}"/>
            </c:ext>
          </c:extLst>
        </c:ser>
        <c:ser>
          <c:idx val="3"/>
          <c:order val="3"/>
          <c:tx>
            <c:strRef>
              <c:f>d10.</c:f>
              <c:strCache>
                <c:ptCount val="1"/>
                <c:pt idx="0">
                  <c:v>d10.</c:v>
                </c:pt>
              </c:strCache>
            </c:strRef>
          </c:tx>
          <c:spPr>
            <a:ln w="22225" cap="rnd">
              <a:solidFill>
                <a:srgbClr val="C00000"/>
              </a:solidFill>
              <a:round/>
            </a:ln>
            <a:effectLst/>
          </c:spPr>
          <c:marker>
            <c:symbol val="none"/>
          </c:marker>
          <c:xVal>
            <c:numRef>
              <c:f>(GRADING!$AQ$29,GRADING!$AQ$30)</c:f>
              <c:numCache>
                <c:formatCode>General</c:formatCode>
                <c:ptCount val="2"/>
                <c:pt idx="0">
                  <c:v>0.01</c:v>
                </c:pt>
                <c:pt idx="1">
                  <c:v>0.21726000000000001</c:v>
                </c:pt>
              </c:numCache>
            </c:numRef>
          </c:xVal>
          <c:yVal>
            <c:numRef>
              <c:f>(GRADING!$AR$29,GRADING!$AR$30)</c:f>
              <c:numCache>
                <c:formatCode>General</c:formatCode>
                <c:ptCount val="2"/>
                <c:pt idx="0">
                  <c:v>10</c:v>
                </c:pt>
                <c:pt idx="1">
                  <c:v>10</c:v>
                </c:pt>
              </c:numCache>
            </c:numRef>
          </c:yVal>
          <c:smooth val="1"/>
          <c:extLst>
            <c:ext xmlns:c16="http://schemas.microsoft.com/office/drawing/2014/chart" uri="{C3380CC4-5D6E-409C-BE32-E72D297353CC}">
              <c16:uniqueId val="{00000005-59A4-45B0-9701-7D2D686E8EAA}"/>
            </c:ext>
          </c:extLst>
        </c:ser>
        <c:ser>
          <c:idx val="4"/>
          <c:order val="4"/>
          <c:tx>
            <c:strRef>
              <c:f>d30</c:f>
              <c:strCache>
                <c:ptCount val="1"/>
                <c:pt idx="0">
                  <c:v>d30</c:v>
                </c:pt>
              </c:strCache>
            </c:strRef>
          </c:tx>
          <c:spPr>
            <a:ln w="22225" cap="rnd">
              <a:solidFill>
                <a:srgbClr val="C00000"/>
              </a:solidFill>
              <a:round/>
            </a:ln>
            <a:effectLst/>
          </c:spPr>
          <c:marker>
            <c:symbol val="none"/>
          </c:marker>
          <c:xVal>
            <c:numRef>
              <c:f>(GRADING!$AT$26,GRADING!$AT$27)</c:f>
              <c:numCache>
                <c:formatCode>General</c:formatCode>
                <c:ptCount val="2"/>
                <c:pt idx="0">
                  <c:v>0.57926999999999995</c:v>
                </c:pt>
                <c:pt idx="1">
                  <c:v>0.57926999999999995</c:v>
                </c:pt>
              </c:numCache>
            </c:numRef>
          </c:xVal>
          <c:yVal>
            <c:numRef>
              <c:f>(GRADING!$AU$26,GRADING!$AU$27)</c:f>
              <c:numCache>
                <c:formatCode>General</c:formatCode>
                <c:ptCount val="2"/>
                <c:pt idx="0">
                  <c:v>0</c:v>
                </c:pt>
                <c:pt idx="1">
                  <c:v>30</c:v>
                </c:pt>
              </c:numCache>
            </c:numRef>
          </c:yVal>
          <c:smooth val="1"/>
          <c:extLst>
            <c:ext xmlns:c16="http://schemas.microsoft.com/office/drawing/2014/chart" uri="{C3380CC4-5D6E-409C-BE32-E72D297353CC}">
              <c16:uniqueId val="{00000006-59A4-45B0-9701-7D2D686E8EAA}"/>
            </c:ext>
          </c:extLst>
        </c:ser>
        <c:ser>
          <c:idx val="5"/>
          <c:order val="5"/>
          <c:tx>
            <c:strRef>
              <c:f>d30.</c:f>
              <c:strCache>
                <c:ptCount val="1"/>
                <c:pt idx="0">
                  <c:v>d30.</c:v>
                </c:pt>
              </c:strCache>
            </c:strRef>
          </c:tx>
          <c:spPr>
            <a:ln w="22225" cap="rnd">
              <a:solidFill>
                <a:srgbClr val="C0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59A4-45B0-9701-7D2D686E8EAA}"/>
                </c:ext>
              </c:extLst>
            </c:dLbl>
            <c:dLbl>
              <c:idx val="1"/>
              <c:layout>
                <c:manualLayout>
                  <c:x val="-0.16947350331208599"/>
                  <c:y val="-8.9061290798088694E-2"/>
                </c:manualLayout>
              </c:layout>
              <c:tx>
                <c:rich>
                  <a:bodyPr rot="0" spcFirstLastPara="1" vertOverflow="clip" horzOverflow="clip" vert="horz" wrap="square" lIns="36576" tIns="18288" rIns="36576" bIns="18288" anchor="ctr" anchorCtr="1">
                    <a:noAutofit/>
                  </a:bodyPr>
                  <a:lstStyle/>
                  <a:p>
                    <a:fld id="{2F2EA0E7-119C-4DE5-AA2E-2C4B6468D512}" type="CATEGORYNAME">
                      <a:rPr lang="en-US" sz="900">
                        <a:latin typeface="Arial" panose="020B0604020202020204" pitchFamily="34" charset="0"/>
                        <a:cs typeface="Arial" panose="020B0604020202020204" pitchFamily="34" charset="0"/>
                      </a:rPr>
                      <a:pPr/>
                      <a:t>[CATEGORY NAME]</a:t>
                    </a:fld>
                    <a:r>
                      <a:rPr lang="en-US" sz="900">
                        <a:latin typeface="Arial" panose="020B0604020202020204" pitchFamily="34" charset="0"/>
                        <a:cs typeface="Arial" panose="020B0604020202020204" pitchFamily="34" charset="0"/>
                      </a:rPr>
                      <a:t>,</a:t>
                    </a:r>
                    <a:fld id="{960103CC-6DEB-4AEC-BB41-6E0E0702A222}" type="VALUE">
                      <a:rPr lang="en-US" sz="900">
                        <a:latin typeface="Arial" panose="020B0604020202020204" pitchFamily="34" charset="0"/>
                        <a:cs typeface="Arial" panose="020B0604020202020204" pitchFamily="34" charset="0"/>
                      </a:rPr>
                      <a:pPr/>
                      <a:t>[VALUE]</a:t>
                    </a:fld>
                    <a:endParaRPr lang="en-US" sz="900">
                      <a:latin typeface="Arial" panose="020B0604020202020204" pitchFamily="34" charset="0"/>
                      <a:cs typeface="Arial" panose="020B0604020202020204" pitchFamily="34" charset="0"/>
                    </a:endParaRPr>
                  </a:p>
                </c:rich>
              </c:tx>
              <c:spPr>
                <a:xfrm>
                  <a:off x="2184241" y="1632106"/>
                  <a:ext cx="692296" cy="18684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5048"/>
                        <a:gd name="adj2" fmla="val 138785"/>
                      </a:avLst>
                    </a:prstGeom>
                  </c15:spPr>
                  <c15:layout>
                    <c:manualLayout>
                      <c:w val="0.1442105153522476"/>
                      <c:h val="5.7380814917636067E-2"/>
                    </c:manualLayout>
                  </c15:layout>
                  <c15:dlblFieldTable/>
                  <c15:showDataLabelsRange val="0"/>
                </c:ext>
                <c:ext xmlns:c16="http://schemas.microsoft.com/office/drawing/2014/chart" uri="{C3380CC4-5D6E-409C-BE32-E72D297353CC}">
                  <c16:uniqueId val="{00000008-59A4-45B0-9701-7D2D686E8EAA}"/>
                </c:ext>
              </c:extLst>
            </c:dLbl>
            <c:spPr>
              <a:noFill/>
              <a:ln>
                <a:noFill/>
              </a:ln>
              <a:effectLst/>
            </c:spPr>
            <c:txPr>
              <a:bodyPr rot="0" spcFirstLastPara="1" vertOverflow="ellipsis" vert="horz" wrap="square" lIns="38100" tIns="19050" rIns="38100" bIns="19050" anchor="ctr" anchorCtr="1"/>
              <a:lstStyle/>
              <a:p>
                <a:pPr>
                  <a:defRPr lang="en-US" sz="800" b="0" i="0" u="none" strike="noStrike" kern="1200" baseline="0">
                    <a:solidFill>
                      <a:schemeClr val="tx1">
                        <a:lumMod val="50000"/>
                        <a:lumOff val="50000"/>
                      </a:schemeClr>
                    </a:solidFill>
                    <a:latin typeface="Arial" panose="020B0604020202020204" pitchFamily="2" charset="0"/>
                    <a:ea typeface="+mn-ea"/>
                    <a:cs typeface="Arial" panose="020B0604020202020204" pitchFamily="2"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(GRADING!$AT$29,GRADING!$AT$30)</c:f>
              <c:numCache>
                <c:formatCode>General</c:formatCode>
                <c:ptCount val="2"/>
                <c:pt idx="0">
                  <c:v>0.01</c:v>
                </c:pt>
                <c:pt idx="1">
                  <c:v>0.57926999999999995</c:v>
                </c:pt>
              </c:numCache>
            </c:numRef>
          </c:xVal>
          <c:yVal>
            <c:numRef>
              <c:f>(GRADING!$AU$29,GRADING!$AU$30)</c:f>
              <c:numCache>
                <c:formatCode>General</c:formatCode>
                <c:ptCount val="2"/>
                <c:pt idx="0">
                  <c:v>30</c:v>
                </c:pt>
                <c:pt idx="1">
                  <c:v>30</c:v>
                </c:pt>
              </c:numCache>
            </c:numRef>
          </c:yVal>
          <c:smooth val="1"/>
          <c:extLst>
            <c:ext xmlns:c16="http://schemas.microsoft.com/office/drawing/2014/chart" uri="{C3380CC4-5D6E-409C-BE32-E72D297353CC}">
              <c16:uniqueId val="{00000009-59A4-45B0-9701-7D2D686E8EAA}"/>
            </c:ext>
          </c:extLst>
        </c:ser>
        <c:ser>
          <c:idx val="6"/>
          <c:order val="6"/>
          <c:tx>
            <c:strRef>
              <c:f>d60</c:f>
              <c:strCache>
                <c:ptCount val="1"/>
                <c:pt idx="0">
                  <c:v>d60</c:v>
                </c:pt>
              </c:strCache>
            </c:strRef>
          </c:tx>
          <c:spPr>
            <a:ln w="22225" cap="rnd">
              <a:solidFill>
                <a:srgbClr val="C00000"/>
              </a:solidFill>
              <a:round/>
            </a:ln>
            <a:effectLst/>
          </c:spPr>
          <c:marker>
            <c:symbol val="none"/>
          </c:marker>
          <c:xVal>
            <c:numRef>
              <c:f>(GRADING!$AW$26,GRADING!$AW$27)</c:f>
              <c:numCache>
                <c:formatCode>General</c:formatCode>
                <c:ptCount val="2"/>
                <c:pt idx="0">
                  <c:v>1.16812</c:v>
                </c:pt>
                <c:pt idx="1">
                  <c:v>1.16812</c:v>
                </c:pt>
              </c:numCache>
            </c:numRef>
          </c:xVal>
          <c:yVal>
            <c:numRef>
              <c:f>(GRADING!$AX$26,GRADING!$AX$27)</c:f>
              <c:numCache>
                <c:formatCode>General</c:formatCode>
                <c:ptCount val="2"/>
                <c:pt idx="0">
                  <c:v>0</c:v>
                </c:pt>
                <c:pt idx="1">
                  <c:v>60</c:v>
                </c:pt>
              </c:numCache>
            </c:numRef>
          </c:yVal>
          <c:smooth val="1"/>
          <c:extLst>
            <c:ext xmlns:c16="http://schemas.microsoft.com/office/drawing/2014/chart" uri="{C3380CC4-5D6E-409C-BE32-E72D297353CC}">
              <c16:uniqueId val="{0000000A-59A4-45B0-9701-7D2D686E8EAA}"/>
            </c:ext>
          </c:extLst>
        </c:ser>
        <c:ser>
          <c:idx val="7"/>
          <c:order val="7"/>
          <c:tx>
            <c:strRef>
              <c:f>d60.</c:f>
              <c:strCache>
                <c:ptCount val="1"/>
                <c:pt idx="0">
                  <c:v>d60.</c:v>
                </c:pt>
              </c:strCache>
            </c:strRef>
          </c:tx>
          <c:spPr>
            <a:ln w="22225" cap="rnd">
              <a:solidFill>
                <a:srgbClr val="C00000"/>
              </a:solidFill>
              <a:round/>
            </a:ln>
            <a:effectLst/>
          </c:spPr>
          <c:marker>
            <c:symbol val="dot"/>
            <c:size val="6"/>
            <c:spPr>
              <a:solidFill>
                <a:schemeClr val="accent2">
                  <a:lumMod val="60000"/>
                </a:schemeClr>
              </a:solidFill>
              <a:ln w="9525">
                <a:solidFill>
                  <a:schemeClr val="accent2">
                    <a:lumMod val="60000"/>
                  </a:schemeClr>
                </a:solidFill>
                <a:round/>
              </a:ln>
              <a:effectLst/>
            </c:spPr>
          </c:marker>
          <c:dPt>
            <c:idx val="1"/>
            <c:marker>
              <c:symbol val="none"/>
            </c:marker>
            <c:bubble3D val="0"/>
            <c:extLst>
              <c:ext xmlns:c16="http://schemas.microsoft.com/office/drawing/2014/chart" uri="{C3380CC4-5D6E-409C-BE32-E72D297353CC}">
                <c16:uniqueId val="{0000000B-59A4-45B0-9701-7D2D686E8EAA}"/>
              </c:ext>
            </c:extLst>
          </c:dPt>
          <c:dLbls>
            <c:dLbl>
              <c:idx val="0"/>
              <c:delete val="1"/>
              <c:extLst>
                <c:ext xmlns:c15="http://schemas.microsoft.com/office/drawing/2012/chart" uri="{CE6537A1-D6FC-4f65-9D91-7224C49458BB}"/>
                <c:ext xmlns:c16="http://schemas.microsoft.com/office/drawing/2014/chart" uri="{C3380CC4-5D6E-409C-BE32-E72D297353CC}">
                  <c16:uniqueId val="{0000000C-59A4-45B0-9701-7D2D686E8EAA}"/>
                </c:ext>
              </c:extLst>
            </c:dLbl>
            <c:dLbl>
              <c:idx val="1"/>
              <c:layout>
                <c:manualLayout>
                  <c:x val="1.3036981369135101E-3"/>
                  <c:y val="6.0954577480787198E-2"/>
                </c:manualLayout>
              </c:layout>
              <c:tx>
                <c:rich>
                  <a:bodyPr rot="0" spcFirstLastPara="1" vertOverflow="clip" horzOverflow="clip" vert="horz" wrap="square" lIns="36576" tIns="18288" rIns="36576" bIns="18288" anchor="ctr" anchorCtr="1">
                    <a:spAutoFit/>
                  </a:bodyPr>
                  <a:lstStyle/>
                  <a:p>
                    <a:fld id="{BFBD1265-6E48-410A-897B-CE638E632609}" type="CATEGORYNAME">
                      <a:rPr lang="en-US" sz="900">
                        <a:latin typeface="Arial" panose="020B0604020202020204" pitchFamily="34" charset="0"/>
                        <a:cs typeface="Arial" panose="020B0604020202020204" pitchFamily="34" charset="0"/>
                      </a:rPr>
                      <a:pPr/>
                      <a:t>[CATEGORY NAME]</a:t>
                    </a:fld>
                    <a:r>
                      <a:rPr lang="en-US" sz="900">
                        <a:latin typeface="Arial" panose="020B0604020202020204" pitchFamily="34" charset="0"/>
                        <a:cs typeface="Arial" panose="020B0604020202020204" pitchFamily="34" charset="0"/>
                      </a:rPr>
                      <a:t>,</a:t>
                    </a:r>
                    <a:fld id="{C7B5C176-0947-4850-BD41-F759D4CF4772}" type="VALUE">
                      <a:rPr lang="en-US" sz="900">
                        <a:latin typeface="Arial" panose="020B0604020202020204" pitchFamily="34" charset="0"/>
                        <a:cs typeface="Arial" panose="020B0604020202020204" pitchFamily="34" charset="0"/>
                      </a:rPr>
                      <a:pPr/>
                      <a:t>[VALUE]</a:t>
                    </a:fld>
                    <a:endParaRPr lang="en-US" sz="900">
                      <a:latin typeface="Arial" panose="020B0604020202020204" pitchFamily="34" charset="0"/>
                      <a:cs typeface="Arial" panose="020B0604020202020204" pitchFamily="34" charset="0"/>
                    </a:endParaRP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2757"/>
                        <a:gd name="adj2" fmla="val -114918"/>
                      </a:avLst>
                    </a:prstGeom>
                  </c15:spPr>
                  <c15:dlblFieldTable/>
                  <c15:showDataLabelsRange val="0"/>
                </c:ext>
                <c:ext xmlns:c16="http://schemas.microsoft.com/office/drawing/2014/chart" uri="{C3380CC4-5D6E-409C-BE32-E72D297353CC}">
                  <c16:uniqueId val="{0000000B-59A4-45B0-9701-7D2D686E8EAA}"/>
                </c:ext>
              </c:extLst>
            </c:dLbl>
            <c:spPr>
              <a:noFill/>
              <a:ln>
                <a:noFill/>
              </a:ln>
              <a:effectLst/>
            </c:spPr>
            <c:txPr>
              <a:bodyPr rot="0" spcFirstLastPara="1" vertOverflow="ellipsis" vert="horz" wrap="square" lIns="38100" tIns="19050" rIns="38100" bIns="19050" anchor="ctr" anchorCtr="1"/>
              <a:lstStyle/>
              <a:p>
                <a:pPr>
                  <a:defRPr lang="en-US" sz="800" b="0" i="0" u="none" strike="noStrike" kern="1200" baseline="0">
                    <a:solidFill>
                      <a:schemeClr val="tx1">
                        <a:lumMod val="50000"/>
                        <a:lumOff val="50000"/>
                      </a:schemeClr>
                    </a:solidFill>
                    <a:latin typeface="Arial" panose="020B0604020202020204" pitchFamily="2" charset="0"/>
                    <a:ea typeface="+mn-ea"/>
                    <a:cs typeface="Arial" panose="020B0604020202020204" pitchFamily="2"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(GRADING!$AW$29,GRADING!$AW$30)</c:f>
              <c:numCache>
                <c:formatCode>General</c:formatCode>
                <c:ptCount val="2"/>
                <c:pt idx="0">
                  <c:v>0.01</c:v>
                </c:pt>
                <c:pt idx="1">
                  <c:v>1.16812</c:v>
                </c:pt>
              </c:numCache>
            </c:numRef>
          </c:xVal>
          <c:yVal>
            <c:numRef>
              <c:f>(GRADING!$AX$29,GRADING!$AX$30)</c:f>
              <c:numCache>
                <c:formatCode>General</c:formatCode>
                <c:ptCount val="2"/>
                <c:pt idx="0">
                  <c:v>60</c:v>
                </c:pt>
                <c:pt idx="1">
                  <c:v>60</c:v>
                </c:pt>
              </c:numCache>
            </c:numRef>
          </c:yVal>
          <c:smooth val="1"/>
          <c:extLst>
            <c:ext xmlns:c16="http://schemas.microsoft.com/office/drawing/2014/chart" uri="{C3380CC4-5D6E-409C-BE32-E72D297353CC}">
              <c16:uniqueId val="{0000000D-59A4-45B0-9701-7D2D686E8EAA}"/>
            </c:ext>
          </c:extLst>
        </c:ser>
        <c:dLbls>
          <c:showLegendKey val="0"/>
          <c:showVal val="0"/>
          <c:showCatName val="0"/>
          <c:showSerName val="0"/>
          <c:showPercent val="0"/>
          <c:showBubbleSize val="0"/>
        </c:dLbls>
        <c:axId val="1050104448"/>
        <c:axId val="1105273568"/>
      </c:scatterChart>
      <c:valAx>
        <c:axId val="1050104448"/>
        <c:scaling>
          <c:logBase val="10"/>
          <c:orientation val="minMax"/>
          <c:max val="10"/>
        </c:scaling>
        <c:delete val="0"/>
        <c:axPos val="b"/>
        <c:majorGridlines>
          <c:spPr>
            <a:ln w="25400" cap="flat" cmpd="sng" algn="ctr">
              <a:solidFill>
                <a:schemeClr val="tx1">
                  <a:lumMod val="15000"/>
                  <a:lumOff val="85000"/>
                </a:schemeClr>
              </a:solidFill>
              <a:prstDash val="sysDot"/>
              <a:round/>
            </a:ln>
            <a:effectLst/>
          </c:spPr>
        </c:majorGridlines>
        <c:minorGridlines>
          <c:spPr>
            <a:ln w="25400">
              <a:solidFill>
                <a:schemeClr val="tx1">
                  <a:lumMod val="5000"/>
                  <a:lumOff val="95000"/>
                </a:schemeClr>
              </a:solidFill>
              <a:prstDash val="sysDot"/>
            </a:ln>
            <a:effectLst/>
          </c:spPr>
        </c:minorGridlines>
        <c:title>
          <c:tx>
            <c:rich>
              <a:bodyPr rot="0" spcFirstLastPara="1" vertOverflow="ellipsis" vert="horz" wrap="square" anchor="ctr" anchorCtr="1"/>
              <a:lstStyle/>
              <a:p>
                <a:pPr>
                  <a:defRPr lang="en-US" sz="1100" b="1" i="0" u="none" strike="noStrike" kern="1200" cap="all" baseline="0">
                    <a:solidFill>
                      <a:schemeClr val="tx1"/>
                    </a:solidFill>
                    <a:latin typeface="Arial" panose="020B0604020202020204" pitchFamily="2" charset="0"/>
                    <a:ea typeface="+mn-ea"/>
                    <a:cs typeface="Arial" panose="020B0604020202020204" pitchFamily="2" charset="0"/>
                  </a:defRPr>
                </a:pPr>
                <a:r>
                  <a:rPr lang="en-US" sz="1100" b="1" baseline="0">
                    <a:solidFill>
                      <a:schemeClr val="tx1"/>
                    </a:solidFill>
                  </a:rPr>
                  <a:t>Sieve sizes, </a:t>
                </a:r>
                <a:r>
                  <a:rPr lang="en-US" sz="1100" b="1" cap="none" baseline="0">
                    <a:solidFill>
                      <a:schemeClr val="tx1"/>
                    </a:solidFill>
                  </a:rPr>
                  <a:t>mm</a:t>
                </a:r>
              </a:p>
            </c:rich>
          </c:tx>
          <c:layout>
            <c:manualLayout>
              <c:xMode val="edge"/>
              <c:yMode val="edge"/>
              <c:x val="0.38796777643128699"/>
              <c:y val="0.93005986808977603"/>
            </c:manualLayout>
          </c:layout>
          <c:overlay val="0"/>
          <c:spPr>
            <a:noFill/>
            <a:ln>
              <a:noFill/>
            </a:ln>
            <a:effectLst/>
          </c:spPr>
        </c:title>
        <c:numFmt formatCode="0.0" sourceLinked="0"/>
        <c:majorTickMark val="in"/>
        <c:minorTickMark val="in"/>
        <c:tickLblPos val="nextTo"/>
        <c:spPr>
          <a:noFill/>
          <a:ln w="25400" cap="flat" cmpd="sng" algn="ctr">
            <a:solidFill>
              <a:schemeClr val="tx1">
                <a:alpha val="99000"/>
              </a:schemeClr>
            </a:solidFill>
            <a:prstDash val="solid"/>
            <a:round/>
            <a:headEnd w="med" len="med"/>
          </a:ln>
          <a:effectLst/>
        </c:spPr>
        <c:txPr>
          <a:bodyPr rot="-60000000" spcFirstLastPara="1" vertOverflow="ellipsis" vert="horz" wrap="square" anchor="ctr" anchorCtr="1"/>
          <a:lstStyle/>
          <a:p>
            <a:pPr>
              <a:defRPr lang="en-US" sz="1100" b="1"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1105273568"/>
        <c:crosses val="autoZero"/>
        <c:crossBetween val="midCat"/>
      </c:valAx>
      <c:valAx>
        <c:axId val="1105273568"/>
        <c:scaling>
          <c:orientation val="minMax"/>
          <c:max val="100"/>
          <c:min val="0"/>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lang="en-US" sz="1100" b="1" i="0" u="none" strike="noStrike" kern="1200" cap="all" baseline="0">
                    <a:solidFill>
                      <a:schemeClr val="tx1"/>
                    </a:solidFill>
                    <a:latin typeface="Arial" panose="020B0604020202020204" pitchFamily="2" charset="0"/>
                    <a:ea typeface="+mn-ea"/>
                    <a:cs typeface="Arial" panose="020B0604020202020204" pitchFamily="2" charset="0"/>
                  </a:defRPr>
                </a:pPr>
                <a:r>
                  <a:rPr lang="en-US" sz="1100" b="1" baseline="0">
                    <a:solidFill>
                      <a:schemeClr val="tx1"/>
                    </a:solidFill>
                  </a:rPr>
                  <a:t>Percentage passing, %</a:t>
                </a:r>
              </a:p>
            </c:rich>
          </c:tx>
          <c:overlay val="0"/>
          <c:spPr>
            <a:noFill/>
            <a:ln>
              <a:noFill/>
            </a:ln>
            <a:effectLst/>
          </c:sp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1050104448"/>
        <c:crossesAt val="0.01"/>
        <c:crossBetween val="midCat"/>
        <c:majorUnit val="10"/>
      </c:valAx>
      <c:spPr>
        <a:noFill/>
        <a:ln w="25400">
          <a:solidFill>
            <a:schemeClr val="accent1">
              <a:shade val="15000"/>
            </a:schemeClr>
          </a:solidFill>
        </a:ln>
        <a:effectLst/>
      </c:spPr>
    </c:plotArea>
    <c:plotVisOnly val="1"/>
    <c:dispBlanksAs val="gap"/>
    <c:showDLblsOverMax val="0"/>
    <c:extLst>
      <c:ext uri="{0b15fc19-7d7d-44ad-8c2d-2c3a37ce22c3}">
        <chartProps xmlns="https://web.wps.cn/et/2018/main" chartId="{f56dc97b-cb27-40f2-9554-cbbafa01ab43}"/>
      </c:ext>
    </c:extLst>
  </c:chart>
  <c:spPr>
    <a:solidFill>
      <a:schemeClr val="lt1"/>
    </a:solidFill>
    <a:ln w="9525" cap="flat" cmpd="sng" algn="ctr">
      <a:noFill/>
      <a:round/>
    </a:ln>
    <a:effectLst/>
  </c:spPr>
  <c:txPr>
    <a:bodyPr/>
    <a:lstStyle/>
    <a:p>
      <a:pPr>
        <a:defRPr lang="en-US">
          <a:latin typeface="Arial" panose="020B0604020202020204" pitchFamily="2" charset="0"/>
          <a:cs typeface="Arial" panose="020B0604020202020204" pitchFamily="2"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7436143652799"/>
          <c:y val="7.5677930746766806E-2"/>
          <c:w val="0.79945799457994604"/>
          <c:h val="0.71061201868277601"/>
        </c:manualLayout>
      </c:layout>
      <c:scatterChart>
        <c:scatterStyle val="smoothMarker"/>
        <c:varyColors val="0"/>
        <c:ser>
          <c:idx val="0"/>
          <c:order val="0"/>
          <c:tx>
            <c:strRef>
              <c:f>B1</c:f>
              <c:strCache>
                <c:ptCount val="1"/>
                <c:pt idx="0">
                  <c:v>B1</c:v>
                </c:pt>
              </c:strCache>
            </c:strRef>
          </c:tx>
          <c:spPr>
            <a:ln w="25400" cap="rnd" cmpd="sng">
              <a:solidFill>
                <a:schemeClr val="tx1"/>
              </a:solidFill>
              <a:round/>
            </a:ln>
            <a:effectLst/>
          </c:spPr>
          <c:marker>
            <c:symbol val="circle"/>
            <c:size val="6"/>
            <c:spPr>
              <a:solidFill>
                <a:schemeClr val="tx1"/>
              </a:solidFill>
              <a:ln w="25400">
                <a:solidFill>
                  <a:sysClr val="windowText" lastClr="000000"/>
                </a:solidFill>
              </a:ln>
              <a:effectLst/>
            </c:spPr>
          </c:marker>
          <c:xVal>
            <c:numRef>
              <c:f>'BEAMS - MONOTONIC'!$BE$8:$BE$21</c:f>
              <c:numCache>
                <c:formatCode>0.00</c:formatCode>
                <c:ptCount val="14"/>
                <c:pt idx="0">
                  <c:v>0</c:v>
                </c:pt>
                <c:pt idx="1">
                  <c:v>0.23</c:v>
                </c:pt>
                <c:pt idx="2">
                  <c:v>0.62</c:v>
                </c:pt>
                <c:pt idx="3">
                  <c:v>1.2</c:v>
                </c:pt>
                <c:pt idx="4">
                  <c:v>1.78</c:v>
                </c:pt>
                <c:pt idx="5">
                  <c:v>2.71</c:v>
                </c:pt>
                <c:pt idx="6">
                  <c:v>3.55</c:v>
                </c:pt>
                <c:pt idx="7">
                  <c:v>4.5599999999999996</c:v>
                </c:pt>
                <c:pt idx="8">
                  <c:v>5.46</c:v>
                </c:pt>
                <c:pt idx="9">
                  <c:v>6.2</c:v>
                </c:pt>
                <c:pt idx="10">
                  <c:v>7.04</c:v>
                </c:pt>
                <c:pt idx="11">
                  <c:v>7.74</c:v>
                </c:pt>
                <c:pt idx="12">
                  <c:v>9.59</c:v>
                </c:pt>
                <c:pt idx="13">
                  <c:v>19.559999999999999</c:v>
                </c:pt>
              </c:numCache>
            </c:numRef>
          </c:xVal>
          <c:yVal>
            <c:numRef>
              <c:f>'BEAMS - MONOTONIC'!$BD$8:$BD$21</c:f>
              <c:numCache>
                <c:formatCode>General</c:formatCode>
                <c:ptCount val="14"/>
                <c:pt idx="0">
                  <c:v>0</c:v>
                </c:pt>
                <c:pt idx="1">
                  <c:v>2</c:v>
                </c:pt>
                <c:pt idx="2">
                  <c:v>4</c:v>
                </c:pt>
                <c:pt idx="3">
                  <c:v>6</c:v>
                </c:pt>
                <c:pt idx="4">
                  <c:v>8</c:v>
                </c:pt>
                <c:pt idx="5">
                  <c:v>10</c:v>
                </c:pt>
                <c:pt idx="6">
                  <c:v>12</c:v>
                </c:pt>
                <c:pt idx="7">
                  <c:v>14</c:v>
                </c:pt>
                <c:pt idx="8">
                  <c:v>16</c:v>
                </c:pt>
                <c:pt idx="9">
                  <c:v>18</c:v>
                </c:pt>
                <c:pt idx="10">
                  <c:v>20</c:v>
                </c:pt>
                <c:pt idx="11">
                  <c:v>22</c:v>
                </c:pt>
                <c:pt idx="12">
                  <c:v>24</c:v>
                </c:pt>
                <c:pt idx="13">
                  <c:v>24</c:v>
                </c:pt>
              </c:numCache>
            </c:numRef>
          </c:yVal>
          <c:smooth val="1"/>
          <c:extLst>
            <c:ext xmlns:c16="http://schemas.microsoft.com/office/drawing/2014/chart" uri="{C3380CC4-5D6E-409C-BE32-E72D297353CC}">
              <c16:uniqueId val="{00000000-DDD3-47F0-9E44-758CAD3A08AB}"/>
            </c:ext>
          </c:extLst>
        </c:ser>
        <c:ser>
          <c:idx val="2"/>
          <c:order val="1"/>
          <c:tx>
            <c:strRef>
              <c:f>BR02</c:f>
              <c:strCache>
                <c:ptCount val="1"/>
                <c:pt idx="0">
                  <c:v>BR02</c:v>
                </c:pt>
              </c:strCache>
            </c:strRef>
          </c:tx>
          <c:spPr>
            <a:ln w="25400" cap="rnd">
              <a:solidFill>
                <a:srgbClr val="C00000"/>
              </a:solidFill>
              <a:round/>
            </a:ln>
            <a:effectLst/>
          </c:spPr>
          <c:marker>
            <c:symbol val="x"/>
            <c:size val="6"/>
            <c:spPr>
              <a:noFill/>
              <a:ln w="25400">
                <a:solidFill>
                  <a:srgbClr val="C00000"/>
                </a:solidFill>
              </a:ln>
              <a:effectLst/>
            </c:spPr>
          </c:marker>
          <c:xVal>
            <c:numRef>
              <c:f>'BEAMS - MONOTONIC'!$ES$83:$ES$105</c:f>
              <c:numCache>
                <c:formatCode>0.00</c:formatCode>
                <c:ptCount val="23"/>
                <c:pt idx="0">
                  <c:v>0</c:v>
                </c:pt>
                <c:pt idx="1">
                  <c:v>0</c:v>
                </c:pt>
                <c:pt idx="2">
                  <c:v>0.05</c:v>
                </c:pt>
                <c:pt idx="3">
                  <c:v>0.25</c:v>
                </c:pt>
                <c:pt idx="4">
                  <c:v>0.47</c:v>
                </c:pt>
                <c:pt idx="5">
                  <c:v>0.74</c:v>
                </c:pt>
                <c:pt idx="6">
                  <c:v>1.32</c:v>
                </c:pt>
                <c:pt idx="7">
                  <c:v>1.74</c:v>
                </c:pt>
                <c:pt idx="8">
                  <c:v>2.25</c:v>
                </c:pt>
                <c:pt idx="9">
                  <c:v>2.92</c:v>
                </c:pt>
                <c:pt idx="10">
                  <c:v>3.6</c:v>
                </c:pt>
                <c:pt idx="11">
                  <c:v>3.99</c:v>
                </c:pt>
                <c:pt idx="12">
                  <c:v>4.5199999999999996</c:v>
                </c:pt>
                <c:pt idx="13">
                  <c:v>4.92</c:v>
                </c:pt>
                <c:pt idx="14">
                  <c:v>5.42</c:v>
                </c:pt>
                <c:pt idx="15">
                  <c:v>5.91</c:v>
                </c:pt>
                <c:pt idx="16">
                  <c:v>6.59</c:v>
                </c:pt>
                <c:pt idx="17">
                  <c:v>7.2</c:v>
                </c:pt>
                <c:pt idx="18">
                  <c:v>7.7</c:v>
                </c:pt>
                <c:pt idx="19">
                  <c:v>8.7899999999999991</c:v>
                </c:pt>
                <c:pt idx="20">
                  <c:v>11.9</c:v>
                </c:pt>
                <c:pt idx="21">
                  <c:v>13.27</c:v>
                </c:pt>
                <c:pt idx="22">
                  <c:v>22.46</c:v>
                </c:pt>
              </c:numCache>
            </c:numRef>
          </c:xVal>
          <c:yVal>
            <c:numRef>
              <c:f>'BEAMS - MONOTONIC'!$ER$83:$ER$105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32</c:v>
                </c:pt>
                <c:pt idx="21">
                  <c:v>34</c:v>
                </c:pt>
                <c:pt idx="22">
                  <c:v>33</c:v>
                </c:pt>
              </c:numCache>
            </c:numRef>
          </c:yVal>
          <c:smooth val="1"/>
          <c:extLst>
            <c:ext xmlns:c16="http://schemas.microsoft.com/office/drawing/2014/chart" uri="{C3380CC4-5D6E-409C-BE32-E72D297353CC}">
              <c16:uniqueId val="{00000001-DDD3-47F0-9E44-758CAD3A08AB}"/>
            </c:ext>
          </c:extLst>
        </c:ser>
        <c:dLbls>
          <c:showLegendKey val="0"/>
          <c:showVal val="0"/>
          <c:showCatName val="0"/>
          <c:showSerName val="0"/>
          <c:showPercent val="0"/>
          <c:showBubbleSize val="0"/>
        </c:dLbls>
        <c:axId val="14880095"/>
        <c:axId val="14879135"/>
      </c:scatterChart>
      <c:valAx>
        <c:axId val="14880095"/>
        <c:scaling>
          <c:orientation val="minMax"/>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2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r>
                  <a:rPr lang="en-US" sz="1200" b="1" i="0" u="none" strike="noStrike" kern="1200" baseline="0">
                    <a:solidFill>
                      <a:sysClr val="windowText" lastClr="000000">
                        <a:lumMod val="65000"/>
                        <a:lumOff val="35000"/>
                      </a:sysClr>
                    </a:solidFill>
                    <a:latin typeface="Arial" panose="020B0604020202020204" pitchFamily="2" charset="0"/>
                    <a:cs typeface="Arial" panose="020B0604020202020204" pitchFamily="2" charset="0"/>
                  </a:rPr>
                  <a:t>Deflection, mm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2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79135"/>
        <c:crosses val="autoZero"/>
        <c:crossBetween val="midCat"/>
        <c:majorUnit val="2"/>
      </c:valAx>
      <c:valAx>
        <c:axId val="14879135"/>
        <c:scaling>
          <c:orientation val="minMax"/>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4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r>
                  <a:rPr lang="en-US" sz="1200" b="1" i="0" u="none" strike="noStrike" kern="1200" baseline="0">
                    <a:solidFill>
                      <a:sysClr val="windowText" lastClr="000000">
                        <a:lumMod val="65000"/>
                        <a:lumOff val="35000"/>
                      </a:sysClr>
                    </a:solidFill>
                    <a:latin typeface="Arial" panose="020B0604020202020204" pitchFamily="2" charset="0"/>
                    <a:cs typeface="Arial" panose="020B0604020202020204" pitchFamily="2" charset="0"/>
                  </a:rPr>
                  <a:t> Load, kN</a:t>
                </a:r>
                <a:endParaRPr lang="en-US" sz="1200" b="1" i="0" u="none" strike="noStrike" kern="1200" baseline="0">
                  <a:solidFill>
                    <a:sysClr val="windowText" lastClr="000000">
                      <a:lumMod val="65000"/>
                      <a:lumOff val="35000"/>
                    </a:sysClr>
                  </a:solidFill>
                  <a:latin typeface="Symbol" panose="05050102010706020507" pitchFamily="18" charset="2"/>
                  <a:cs typeface="Arial" panose="020B0604020202020204" pitchFamily="2" charset="0"/>
                </a:endParaRPr>
              </a:p>
              <a:p>
                <a:pPr marL="0" marR="0" lvl="0" indent="0" algn="ctr" defTabSz="914400" rtl="0" eaLnBrk="1" fontAlgn="auto" latinLnBrk="0" hangingPunct="1">
                  <a:lnSpc>
                    <a:spcPct val="100000"/>
                  </a:lnSpc>
                  <a:spcBef>
                    <a:spcPts val="0"/>
                  </a:spcBef>
                  <a:spcAft>
                    <a:spcPts val="0"/>
                  </a:spcAft>
                  <a:buClrTx/>
                  <a:buSzTx/>
                  <a:buFontTx/>
                  <a:buNone/>
                  <a:defRPr b="1">
                    <a:solidFill>
                      <a:sysClr val="windowText" lastClr="000000">
                        <a:lumMod val="65000"/>
                        <a:lumOff val="35000"/>
                      </a:sysClr>
                    </a:solidFill>
                  </a:defRPr>
                </a:pPr>
                <a:endParaRPr lang="en-US"/>
              </a:p>
            </c:rich>
          </c:tx>
          <c:layout>
            <c:manualLayout>
              <c:xMode val="edge"/>
              <c:yMode val="edge"/>
              <c:x val="3.5531674693113501E-3"/>
              <c:y val="0.3185854511472229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4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endParaRPr lang="en-US"/>
            </a:p>
          </c:txPr>
        </c:title>
        <c:numFmt formatCode="General" sourceLinked="1"/>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80095"/>
        <c:crosses val="autoZero"/>
        <c:crossBetween val="midCat"/>
        <c:majorUnit val="10"/>
      </c:valAx>
      <c:spPr>
        <a:noFill/>
        <a:ln w="25400" cmpd="sng">
          <a:solidFill>
            <a:schemeClr val="tx1"/>
          </a:solidFill>
        </a:ln>
        <a:effectLst/>
      </c:spPr>
    </c:plotArea>
    <c:legend>
      <c:legendPos val="r"/>
      <c:legendEntry>
        <c:idx val="0"/>
        <c:txPr>
          <a:bodyPr rot="0" spcFirstLastPara="1" vertOverflow="ellipsis" vert="horz" wrap="square" anchor="ctr" anchorCtr="1"/>
          <a:lstStyle/>
          <a:p>
            <a:pPr>
              <a:defRPr lang="en-US" sz="1200" b="1" i="0" u="none" strike="noStrike" kern="1200" baseline="0">
                <a:ln w="12700">
                  <a:noFill/>
                </a:ln>
                <a:solidFill>
                  <a:schemeClr val="tx1"/>
                </a:solidFill>
                <a:latin typeface="Arial" panose="020B0604020202020204" pitchFamily="2" charset="0"/>
                <a:ea typeface="+mn-ea"/>
                <a:cs typeface="Arial" panose="020B0604020202020204" pitchFamily="2" charset="0"/>
              </a:defRPr>
            </a:pPr>
            <a:endParaRPr lang="en-US"/>
          </a:p>
        </c:txPr>
      </c:legendEntry>
      <c:layout>
        <c:manualLayout>
          <c:xMode val="edge"/>
          <c:yMode val="edge"/>
          <c:x val="0.68749998213764596"/>
          <c:y val="0.54873665925970805"/>
          <c:w val="0.22331514421778501"/>
          <c:h val="0.18129290223324199"/>
        </c:manualLayout>
      </c:layout>
      <c:overlay val="0"/>
      <c:spPr>
        <a:noFill/>
        <a:ln w="19050">
          <a:solidFill>
            <a:sysClr val="windowText" lastClr="000000"/>
          </a:solidFill>
        </a:ln>
        <a:effectLst/>
      </c:spPr>
      <c:txPr>
        <a:bodyPr rot="0" spcFirstLastPara="1" vertOverflow="ellipsis" vert="horz" wrap="square" anchor="ctr" anchorCtr="1"/>
        <a:lstStyle/>
        <a:p>
          <a:pPr>
            <a:defRPr lang="en-US" sz="1200" b="1" i="0" u="none" strike="noStrike" kern="1200" baseline="0">
              <a:ln>
                <a:noFill/>
              </a:ln>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8359cd53-4867-4fb4-b307-f4eb8da98d65}"/>
      </c:ext>
    </c:extLst>
  </c:chart>
  <c:spPr>
    <a:solidFill>
      <a:schemeClr val="bg1"/>
    </a:solidFill>
    <a:ln w="9525" cap="flat" cmpd="sng" algn="ctr">
      <a:noFill/>
      <a:round/>
    </a:ln>
    <a:effectLst/>
  </c:spPr>
  <c:txPr>
    <a:bodyPr/>
    <a:lstStyle/>
    <a:p>
      <a:pPr>
        <a:defRPr lang="en-US" sz="1400">
          <a:latin typeface="Arial" panose="020B0604020202020204" pitchFamily="2" charset="0"/>
          <a:cs typeface="Arial" panose="020B0604020202020204" pitchFamily="2"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7436143652799"/>
          <c:y val="7.5677930746766806E-2"/>
          <c:w val="0.79945799457994604"/>
          <c:h val="0.69256232467100298"/>
        </c:manualLayout>
      </c:layout>
      <c:scatterChart>
        <c:scatterStyle val="smoothMarker"/>
        <c:varyColors val="0"/>
        <c:ser>
          <c:idx val="1"/>
          <c:order val="0"/>
          <c:tx>
            <c:strRef>
              <c:f>C2</c:f>
              <c:strCache>
                <c:ptCount val="1"/>
                <c:pt idx="0">
                  <c:v>C2</c:v>
                </c:pt>
              </c:strCache>
            </c:strRef>
          </c:tx>
          <c:spPr>
            <a:ln w="25400" cap="rnd">
              <a:solidFill>
                <a:sysClr val="windowText" lastClr="000000"/>
              </a:solidFill>
              <a:round/>
            </a:ln>
            <a:effectLst/>
          </c:spPr>
          <c:marker>
            <c:symbol val="square"/>
            <c:size val="6"/>
            <c:spPr>
              <a:solidFill>
                <a:sysClr val="windowText" lastClr="000000"/>
              </a:solidFill>
              <a:ln w="25400">
                <a:solidFill>
                  <a:sysClr val="windowText" lastClr="000000"/>
                </a:solidFill>
              </a:ln>
              <a:effectLst/>
            </c:spPr>
          </c:marker>
          <c:xVal>
            <c:numRef>
              <c:f>'BEAMS - MONOTONIC'!$AR$8:$AR$22</c:f>
              <c:numCache>
                <c:formatCode>0.00</c:formatCode>
                <c:ptCount val="15"/>
                <c:pt idx="0">
                  <c:v>0</c:v>
                </c:pt>
                <c:pt idx="1">
                  <c:v>0.09</c:v>
                </c:pt>
                <c:pt idx="2">
                  <c:v>0.23</c:v>
                </c:pt>
                <c:pt idx="3">
                  <c:v>0.66</c:v>
                </c:pt>
                <c:pt idx="4">
                  <c:v>1.4</c:v>
                </c:pt>
                <c:pt idx="5">
                  <c:v>2.14</c:v>
                </c:pt>
                <c:pt idx="6">
                  <c:v>3.2</c:v>
                </c:pt>
                <c:pt idx="7">
                  <c:v>4.07</c:v>
                </c:pt>
                <c:pt idx="8">
                  <c:v>5.01</c:v>
                </c:pt>
                <c:pt idx="9">
                  <c:v>5.88</c:v>
                </c:pt>
                <c:pt idx="10">
                  <c:v>6.71</c:v>
                </c:pt>
                <c:pt idx="11">
                  <c:v>7.46</c:v>
                </c:pt>
                <c:pt idx="12">
                  <c:v>8.7799999999999994</c:v>
                </c:pt>
                <c:pt idx="13">
                  <c:v>11.1</c:v>
                </c:pt>
                <c:pt idx="14">
                  <c:v>23.05</c:v>
                </c:pt>
              </c:numCache>
            </c:numRef>
          </c:xVal>
          <c:yVal>
            <c:numRef>
              <c:f>'BEAMS - MONOTONIC'!$AQ$8:$AQ$22</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26</c:v>
                </c:pt>
              </c:numCache>
            </c:numRef>
          </c:yVal>
          <c:smooth val="1"/>
          <c:extLst>
            <c:ext xmlns:c16="http://schemas.microsoft.com/office/drawing/2014/chart" uri="{C3380CC4-5D6E-409C-BE32-E72D297353CC}">
              <c16:uniqueId val="{00000000-BC61-4DA8-BD30-59163B002908}"/>
            </c:ext>
          </c:extLst>
        </c:ser>
        <c:ser>
          <c:idx val="3"/>
          <c:order val="1"/>
          <c:tx>
            <c:strRef>
              <c:f>CR02</c:f>
              <c:strCache>
                <c:ptCount val="1"/>
                <c:pt idx="0">
                  <c:v>CR02</c:v>
                </c:pt>
              </c:strCache>
            </c:strRef>
          </c:tx>
          <c:spPr>
            <a:ln w="25400" cap="rnd">
              <a:solidFill>
                <a:srgbClr val="C00000"/>
              </a:solidFill>
              <a:round/>
            </a:ln>
            <a:effectLst/>
          </c:spPr>
          <c:marker>
            <c:symbol val="square"/>
            <c:size val="6"/>
            <c:spPr>
              <a:noFill/>
              <a:ln w="25400">
                <a:solidFill>
                  <a:srgbClr val="C00000">
                    <a:alpha val="97000"/>
                  </a:srgbClr>
                </a:solidFill>
              </a:ln>
              <a:effectLst/>
            </c:spPr>
          </c:marker>
          <c:xVal>
            <c:numRef>
              <c:f>'BEAMS - MONOTONIC'!$FF$83:$FF$105</c:f>
              <c:numCache>
                <c:formatCode>0.00</c:formatCode>
                <c:ptCount val="23"/>
                <c:pt idx="0">
                  <c:v>0</c:v>
                </c:pt>
                <c:pt idx="1">
                  <c:v>0</c:v>
                </c:pt>
                <c:pt idx="2">
                  <c:v>0.27</c:v>
                </c:pt>
                <c:pt idx="3">
                  <c:v>0.41</c:v>
                </c:pt>
                <c:pt idx="4">
                  <c:v>0.63</c:v>
                </c:pt>
                <c:pt idx="5">
                  <c:v>0.87</c:v>
                </c:pt>
                <c:pt idx="6">
                  <c:v>1.26</c:v>
                </c:pt>
                <c:pt idx="7">
                  <c:v>2</c:v>
                </c:pt>
                <c:pt idx="8">
                  <c:v>2.72</c:v>
                </c:pt>
                <c:pt idx="9">
                  <c:v>3.36</c:v>
                </c:pt>
                <c:pt idx="10">
                  <c:v>3.91</c:v>
                </c:pt>
                <c:pt idx="11">
                  <c:v>4.5199999999999996</c:v>
                </c:pt>
                <c:pt idx="12">
                  <c:v>5.01</c:v>
                </c:pt>
                <c:pt idx="13">
                  <c:v>5.71</c:v>
                </c:pt>
                <c:pt idx="14">
                  <c:v>6.29</c:v>
                </c:pt>
                <c:pt idx="15">
                  <c:v>6.96</c:v>
                </c:pt>
                <c:pt idx="16">
                  <c:v>7.58</c:v>
                </c:pt>
                <c:pt idx="17">
                  <c:v>8.27</c:v>
                </c:pt>
                <c:pt idx="18">
                  <c:v>9.39</c:v>
                </c:pt>
                <c:pt idx="19">
                  <c:v>10.63</c:v>
                </c:pt>
                <c:pt idx="20">
                  <c:v>11.19</c:v>
                </c:pt>
                <c:pt idx="21">
                  <c:v>12.95</c:v>
                </c:pt>
                <c:pt idx="22">
                  <c:v>19.8</c:v>
                </c:pt>
              </c:numCache>
            </c:numRef>
          </c:xVal>
          <c:yVal>
            <c:numRef>
              <c:f>'BEAMS - MONOTONIC'!$FE$83:$FE$105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32</c:v>
                </c:pt>
                <c:pt idx="22">
                  <c:v>30</c:v>
                </c:pt>
              </c:numCache>
            </c:numRef>
          </c:yVal>
          <c:smooth val="1"/>
          <c:extLst>
            <c:ext xmlns:c16="http://schemas.microsoft.com/office/drawing/2014/chart" uri="{C3380CC4-5D6E-409C-BE32-E72D297353CC}">
              <c16:uniqueId val="{00000001-BC61-4DA8-BD30-59163B002908}"/>
            </c:ext>
          </c:extLst>
        </c:ser>
        <c:dLbls>
          <c:showLegendKey val="0"/>
          <c:showVal val="0"/>
          <c:showCatName val="0"/>
          <c:showSerName val="0"/>
          <c:showPercent val="0"/>
          <c:showBubbleSize val="0"/>
        </c:dLbls>
        <c:axId val="14880095"/>
        <c:axId val="14879135"/>
      </c:scatterChart>
      <c:valAx>
        <c:axId val="14880095"/>
        <c:scaling>
          <c:orientation val="minMax"/>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a:t>Deflection, mm</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79135"/>
        <c:crosses val="autoZero"/>
        <c:crossBetween val="midCat"/>
        <c:majorUnit val="2"/>
      </c:valAx>
      <c:valAx>
        <c:axId val="14879135"/>
        <c:scaling>
          <c:orientation val="minMax"/>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lgn="ctr" rtl="0">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a:t> Load, kN</a:t>
                </a:r>
              </a:p>
              <a:p>
                <a:pPr algn="ctr" rtl="0">
                  <a:defRPr/>
                </a:pPr>
                <a:endParaRPr lang="en-US"/>
              </a:p>
            </c:rich>
          </c:tx>
          <c:layout>
            <c:manualLayout>
              <c:xMode val="edge"/>
              <c:yMode val="edge"/>
              <c:x val="3.54430814201258E-3"/>
              <c:y val="0.30384905590504901"/>
            </c:manualLayout>
          </c:layout>
          <c:overlay val="0"/>
          <c:spPr>
            <a:noFill/>
            <a:ln>
              <a:noFill/>
            </a:ln>
            <a:effectLst/>
          </c:spPr>
          <c:txPr>
            <a:bodyPr rot="-5400000" spcFirstLastPara="1" vertOverflow="ellipsis" vert="horz" wrap="square" anchor="ctr" anchorCtr="1"/>
            <a:lstStyle/>
            <a:p>
              <a:pPr algn="ctr" rtl="0">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General" sourceLinked="1"/>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80095"/>
        <c:crosses val="autoZero"/>
        <c:crossBetween val="midCat"/>
        <c:majorUnit val="10"/>
      </c:valAx>
      <c:spPr>
        <a:noFill/>
        <a:ln w="25400" cmpd="sng">
          <a:solidFill>
            <a:schemeClr val="tx1"/>
          </a:solidFill>
        </a:ln>
        <a:effectLst/>
      </c:spPr>
    </c:plotArea>
    <c:legend>
      <c:legendPos val="r"/>
      <c:layout>
        <c:manualLayout>
          <c:xMode val="edge"/>
          <c:yMode val="edge"/>
          <c:x val="0.69643087448422303"/>
          <c:y val="0.53235078897759402"/>
          <c:w val="0.23252605802785101"/>
          <c:h val="0.18592267542850699"/>
        </c:manualLayout>
      </c:layout>
      <c:overlay val="0"/>
      <c:spPr>
        <a:noFill/>
        <a:ln w="19050">
          <a:solidFill>
            <a:sysClr val="windowText" lastClr="000000"/>
          </a:solid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49a2c611-e8e0-4b1b-8fa9-53c7eefe3993}"/>
      </c:ext>
    </c:extLst>
  </c:chart>
  <c:spPr>
    <a:solidFill>
      <a:schemeClr val="bg1"/>
    </a:solidFill>
    <a:ln w="9525" cap="flat" cmpd="sng" algn="ctr">
      <a:noFill/>
      <a:round/>
    </a:ln>
    <a:effectLst/>
  </c:spPr>
  <c:txPr>
    <a:bodyPr/>
    <a:lstStyle/>
    <a:p>
      <a:pPr>
        <a:defRPr lang="en-US" sz="1200" b="1">
          <a:latin typeface="Arial" panose="020B0604020202020204" pitchFamily="2" charset="0"/>
          <a:cs typeface="Arial" panose="020B0604020202020204" pitchFamily="2"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0392194408699"/>
          <c:y val="7.5677930746766806E-2"/>
          <c:w val="0.76316176804719305"/>
          <c:h val="0.704318558610596"/>
        </c:manualLayout>
      </c:layout>
      <c:scatterChart>
        <c:scatterStyle val="smoothMarker"/>
        <c:varyColors val="0"/>
        <c:ser>
          <c:idx val="0"/>
          <c:order val="0"/>
          <c:tx>
            <c:strRef>
              <c:f>D1</c:f>
              <c:strCache>
                <c:ptCount val="1"/>
                <c:pt idx="0">
                  <c:v>D1</c:v>
                </c:pt>
              </c:strCache>
            </c:strRef>
          </c:tx>
          <c:spPr>
            <a:ln w="25400" cap="rnd" cmpd="sng">
              <a:solidFill>
                <a:schemeClr val="tx1"/>
              </a:solidFill>
              <a:round/>
            </a:ln>
            <a:effectLst/>
          </c:spPr>
          <c:marker>
            <c:symbol val="circle"/>
            <c:size val="6"/>
            <c:spPr>
              <a:solidFill>
                <a:schemeClr val="tx1"/>
              </a:solidFill>
              <a:ln w="25400">
                <a:solidFill>
                  <a:sysClr val="windowText" lastClr="000000"/>
                </a:solidFill>
              </a:ln>
              <a:effectLst/>
            </c:spPr>
          </c:marker>
          <c:xVal>
            <c:numRef>
              <c:f>'BEAMS - MONOTONIC'!$CR$8:$CR$25</c:f>
              <c:numCache>
                <c:formatCode>0.00</c:formatCode>
                <c:ptCount val="18"/>
                <c:pt idx="0">
                  <c:v>0</c:v>
                </c:pt>
                <c:pt idx="1">
                  <c:v>0.06</c:v>
                </c:pt>
                <c:pt idx="2">
                  <c:v>0.32</c:v>
                </c:pt>
                <c:pt idx="3">
                  <c:v>0.86</c:v>
                </c:pt>
                <c:pt idx="4">
                  <c:v>1.26</c:v>
                </c:pt>
                <c:pt idx="5">
                  <c:v>1.8</c:v>
                </c:pt>
                <c:pt idx="6">
                  <c:v>2.4500000000000002</c:v>
                </c:pt>
                <c:pt idx="7">
                  <c:v>3.12</c:v>
                </c:pt>
                <c:pt idx="8">
                  <c:v>3.71</c:v>
                </c:pt>
                <c:pt idx="9">
                  <c:v>4.18</c:v>
                </c:pt>
                <c:pt idx="10">
                  <c:v>4.84</c:v>
                </c:pt>
                <c:pt idx="11">
                  <c:v>5.33</c:v>
                </c:pt>
                <c:pt idx="12">
                  <c:v>6.04</c:v>
                </c:pt>
                <c:pt idx="13">
                  <c:v>6.78</c:v>
                </c:pt>
                <c:pt idx="14">
                  <c:v>7.44</c:v>
                </c:pt>
                <c:pt idx="15">
                  <c:v>8.26</c:v>
                </c:pt>
                <c:pt idx="16">
                  <c:v>9.4499999999999993</c:v>
                </c:pt>
                <c:pt idx="17">
                  <c:v>16.41</c:v>
                </c:pt>
              </c:numCache>
            </c:numRef>
          </c:xVal>
          <c:yVal>
            <c:numRef>
              <c:f>'BEAMS - MONOTONIC'!$CQ$8:$CQ$25</c:f>
              <c:numCache>
                <c:formatCode>General</c:formatCode>
                <c:ptCount val="18"/>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32</c:v>
                </c:pt>
              </c:numCache>
            </c:numRef>
          </c:yVal>
          <c:smooth val="1"/>
          <c:extLst>
            <c:ext xmlns:c16="http://schemas.microsoft.com/office/drawing/2014/chart" uri="{C3380CC4-5D6E-409C-BE32-E72D297353CC}">
              <c16:uniqueId val="{00000000-95A9-48C2-A26C-EFB23E0E7E66}"/>
            </c:ext>
          </c:extLst>
        </c:ser>
        <c:ser>
          <c:idx val="2"/>
          <c:order val="1"/>
          <c:tx>
            <c:strRef>
              <c:f>DR02</c:f>
              <c:strCache>
                <c:ptCount val="1"/>
                <c:pt idx="0">
                  <c:v>DR02</c:v>
                </c:pt>
              </c:strCache>
            </c:strRef>
          </c:tx>
          <c:spPr>
            <a:ln w="25400" cap="rnd">
              <a:solidFill>
                <a:srgbClr val="C00000"/>
              </a:solidFill>
              <a:round/>
            </a:ln>
            <a:effectLst/>
          </c:spPr>
          <c:marker>
            <c:symbol val="x"/>
            <c:size val="6"/>
            <c:spPr>
              <a:noFill/>
              <a:ln w="25400">
                <a:solidFill>
                  <a:srgbClr val="C00000"/>
                </a:solidFill>
              </a:ln>
              <a:effectLst/>
            </c:spPr>
          </c:marker>
          <c:xVal>
            <c:numRef>
              <c:f>'BEAMS - MONOTONIC'!$IF$83:$IF$107</c:f>
              <c:numCache>
                <c:formatCode>0.00</c:formatCode>
                <c:ptCount val="25"/>
                <c:pt idx="0">
                  <c:v>0</c:v>
                </c:pt>
                <c:pt idx="1">
                  <c:v>0</c:v>
                </c:pt>
                <c:pt idx="2">
                  <c:v>0.12</c:v>
                </c:pt>
                <c:pt idx="3">
                  <c:v>0.33</c:v>
                </c:pt>
                <c:pt idx="4">
                  <c:v>0.55000000000000004</c:v>
                </c:pt>
                <c:pt idx="5">
                  <c:v>0.77</c:v>
                </c:pt>
                <c:pt idx="6">
                  <c:v>1</c:v>
                </c:pt>
                <c:pt idx="7">
                  <c:v>1.27</c:v>
                </c:pt>
                <c:pt idx="8">
                  <c:v>1.63</c:v>
                </c:pt>
                <c:pt idx="9">
                  <c:v>1.96</c:v>
                </c:pt>
                <c:pt idx="10">
                  <c:v>2.2400000000000002</c:v>
                </c:pt>
                <c:pt idx="11">
                  <c:v>2.54</c:v>
                </c:pt>
                <c:pt idx="12">
                  <c:v>2.89</c:v>
                </c:pt>
                <c:pt idx="13">
                  <c:v>3.23</c:v>
                </c:pt>
                <c:pt idx="14">
                  <c:v>3.56</c:v>
                </c:pt>
                <c:pt idx="15">
                  <c:v>3.99</c:v>
                </c:pt>
                <c:pt idx="16">
                  <c:v>4.3899999999999997</c:v>
                </c:pt>
                <c:pt idx="17">
                  <c:v>4.82</c:v>
                </c:pt>
                <c:pt idx="18">
                  <c:v>5.13</c:v>
                </c:pt>
                <c:pt idx="19">
                  <c:v>5.54</c:v>
                </c:pt>
                <c:pt idx="20">
                  <c:v>6.26</c:v>
                </c:pt>
                <c:pt idx="21">
                  <c:v>6.84</c:v>
                </c:pt>
                <c:pt idx="22">
                  <c:v>7.44</c:v>
                </c:pt>
                <c:pt idx="23">
                  <c:v>8.3000000000000007</c:v>
                </c:pt>
                <c:pt idx="24">
                  <c:v>15.43</c:v>
                </c:pt>
              </c:numCache>
            </c:numRef>
          </c:xVal>
          <c:yVal>
            <c:numRef>
              <c:f>'BEAMS - MONOTONIC'!$IE$83:$IE$107</c:f>
              <c:numCache>
                <c:formatCode>General</c:formatCode>
                <c:ptCount val="2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22</c:v>
                </c:pt>
              </c:numCache>
            </c:numRef>
          </c:yVal>
          <c:smooth val="1"/>
          <c:extLst>
            <c:ext xmlns:c16="http://schemas.microsoft.com/office/drawing/2014/chart" uri="{C3380CC4-5D6E-409C-BE32-E72D297353CC}">
              <c16:uniqueId val="{00000001-95A9-48C2-A26C-EFB23E0E7E66}"/>
            </c:ext>
          </c:extLst>
        </c:ser>
        <c:dLbls>
          <c:showLegendKey val="0"/>
          <c:showVal val="0"/>
          <c:showCatName val="0"/>
          <c:showSerName val="0"/>
          <c:showPercent val="0"/>
          <c:showBubbleSize val="0"/>
        </c:dLbls>
        <c:axId val="14880095"/>
        <c:axId val="14879135"/>
      </c:scatterChart>
      <c:valAx>
        <c:axId val="14880095"/>
        <c:scaling>
          <c:orientation val="minMax"/>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a:t>Deflection, mm</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79135"/>
        <c:crosses val="autoZero"/>
        <c:crossBetween val="midCat"/>
        <c:majorUnit val="2"/>
      </c:valAx>
      <c:valAx>
        <c:axId val="14879135"/>
        <c:scaling>
          <c:orientation val="minMax"/>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lgn="ctr" rtl="0">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a:t> Load, kN</a:t>
                </a:r>
              </a:p>
              <a:p>
                <a:pPr algn="ctr" rtl="0">
                  <a:defRPr/>
                </a:pPr>
                <a:endParaRPr lang="en-US"/>
              </a:p>
            </c:rich>
          </c:tx>
          <c:layout>
            <c:manualLayout>
              <c:xMode val="edge"/>
              <c:yMode val="edge"/>
              <c:x val="1.8071652114266101E-2"/>
              <c:y val="0.32737204145778098"/>
            </c:manualLayout>
          </c:layout>
          <c:overlay val="0"/>
          <c:spPr>
            <a:noFill/>
            <a:ln>
              <a:noFill/>
            </a:ln>
            <a:effectLst/>
          </c:spPr>
          <c:txPr>
            <a:bodyPr rot="-5400000" spcFirstLastPara="1" vertOverflow="ellipsis" vert="horz" wrap="square" anchor="ctr" anchorCtr="1"/>
            <a:lstStyle/>
            <a:p>
              <a:pPr algn="ctr" rtl="0">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General" sourceLinked="1"/>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80095"/>
        <c:crosses val="autoZero"/>
        <c:crossBetween val="midCat"/>
        <c:majorUnit val="10"/>
      </c:valAx>
      <c:spPr>
        <a:noFill/>
        <a:ln w="25400" cmpd="sng">
          <a:solidFill>
            <a:schemeClr val="tx1"/>
          </a:solidFill>
        </a:ln>
        <a:effectLst/>
      </c:spPr>
    </c:plotArea>
    <c:legend>
      <c:legendPos val="r"/>
      <c:legendEntry>
        <c:idx val="0"/>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Entry>
      <c:layout>
        <c:manualLayout>
          <c:xMode val="edge"/>
          <c:yMode val="edge"/>
          <c:x val="0.51757414698162696"/>
          <c:y val="0.57349732618340798"/>
          <c:w val="0.244463313440864"/>
          <c:h val="0.15065431443935001"/>
        </c:manualLayout>
      </c:layout>
      <c:overlay val="0"/>
      <c:spPr>
        <a:noFill/>
        <a:ln w="19050">
          <a:solidFill>
            <a:sysClr val="windowText" lastClr="000000"/>
          </a:solid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c89d6670-ce05-44fd-9680-83140f261a20}"/>
      </c:ext>
    </c:extLst>
  </c:chart>
  <c:spPr>
    <a:solidFill>
      <a:schemeClr val="bg1"/>
    </a:solidFill>
    <a:ln w="9525" cap="flat" cmpd="sng" algn="ctr">
      <a:noFill/>
      <a:round/>
    </a:ln>
    <a:effectLst/>
  </c:spPr>
  <c:txPr>
    <a:bodyPr/>
    <a:lstStyle/>
    <a:p>
      <a:pPr>
        <a:defRPr lang="en-US" sz="1200" b="1">
          <a:latin typeface="Arial" panose="020B0604020202020204" pitchFamily="2" charset="0"/>
          <a:cs typeface="Arial" panose="020B0604020202020204" pitchFamily="2"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13724975199899"/>
          <c:y val="7.5677930746766806E-2"/>
          <c:w val="0.79582844023928101"/>
          <c:h val="0.71019660443343502"/>
        </c:manualLayout>
      </c:layout>
      <c:scatterChart>
        <c:scatterStyle val="smoothMarker"/>
        <c:varyColors val="0"/>
        <c:ser>
          <c:idx val="1"/>
          <c:order val="0"/>
          <c:tx>
            <c:strRef>
              <c:f>E2</c:f>
              <c:strCache>
                <c:ptCount val="1"/>
                <c:pt idx="0">
                  <c:v>E2</c:v>
                </c:pt>
              </c:strCache>
            </c:strRef>
          </c:tx>
          <c:spPr>
            <a:ln w="25400" cap="rnd">
              <a:solidFill>
                <a:sysClr val="windowText" lastClr="000000"/>
              </a:solidFill>
              <a:round/>
            </a:ln>
            <a:effectLst/>
          </c:spPr>
          <c:marker>
            <c:symbol val="square"/>
            <c:size val="6"/>
            <c:spPr>
              <a:solidFill>
                <a:sysClr val="windowText" lastClr="000000"/>
              </a:solidFill>
              <a:ln w="25400">
                <a:solidFill>
                  <a:sysClr val="windowText" lastClr="000000"/>
                </a:solidFill>
              </a:ln>
              <a:effectLst/>
            </c:spPr>
          </c:marker>
          <c:xVal>
            <c:numRef>
              <c:f>'BEAMS - MONOTONIC'!$AE$8:$AE$22</c:f>
              <c:numCache>
                <c:formatCode>0.00</c:formatCode>
                <c:ptCount val="15"/>
                <c:pt idx="0">
                  <c:v>0</c:v>
                </c:pt>
                <c:pt idx="1">
                  <c:v>7.0000000000000007E-2</c:v>
                </c:pt>
                <c:pt idx="2">
                  <c:v>1.1100000000000001</c:v>
                </c:pt>
                <c:pt idx="3">
                  <c:v>1.91</c:v>
                </c:pt>
                <c:pt idx="4">
                  <c:v>2.74</c:v>
                </c:pt>
                <c:pt idx="5">
                  <c:v>3.62</c:v>
                </c:pt>
                <c:pt idx="6">
                  <c:v>4.53</c:v>
                </c:pt>
                <c:pt idx="7">
                  <c:v>5.12</c:v>
                </c:pt>
                <c:pt idx="8">
                  <c:v>5.99</c:v>
                </c:pt>
                <c:pt idx="9">
                  <c:v>6.7</c:v>
                </c:pt>
                <c:pt idx="10">
                  <c:v>7.5</c:v>
                </c:pt>
                <c:pt idx="11">
                  <c:v>8.86</c:v>
                </c:pt>
                <c:pt idx="12">
                  <c:v>10.09</c:v>
                </c:pt>
                <c:pt idx="13">
                  <c:v>13.19</c:v>
                </c:pt>
                <c:pt idx="14">
                  <c:v>17.84</c:v>
                </c:pt>
              </c:numCache>
            </c:numRef>
          </c:xVal>
          <c:yVal>
            <c:numRef>
              <c:f>'BEAMS - MONOTONIC'!$AD$8:$AD$22</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26</c:v>
                </c:pt>
              </c:numCache>
            </c:numRef>
          </c:yVal>
          <c:smooth val="1"/>
          <c:extLst>
            <c:ext xmlns:c16="http://schemas.microsoft.com/office/drawing/2014/chart" uri="{C3380CC4-5D6E-409C-BE32-E72D297353CC}">
              <c16:uniqueId val="{00000000-57FC-4350-BF4F-59028FCC7EB5}"/>
            </c:ext>
          </c:extLst>
        </c:ser>
        <c:ser>
          <c:idx val="3"/>
          <c:order val="1"/>
          <c:tx>
            <c:strRef>
              <c:f>ER03</c:f>
              <c:strCache>
                <c:ptCount val="1"/>
                <c:pt idx="0">
                  <c:v>ER03</c:v>
                </c:pt>
              </c:strCache>
            </c:strRef>
          </c:tx>
          <c:spPr>
            <a:ln w="25400" cap="rnd">
              <a:solidFill>
                <a:srgbClr val="C00000"/>
              </a:solidFill>
              <a:round/>
            </a:ln>
            <a:effectLst/>
          </c:spPr>
          <c:marker>
            <c:symbol val="square"/>
            <c:size val="6"/>
            <c:spPr>
              <a:noFill/>
              <a:ln w="25400">
                <a:solidFill>
                  <a:srgbClr val="C00000">
                    <a:alpha val="97000"/>
                  </a:srgbClr>
                </a:solidFill>
              </a:ln>
              <a:effectLst/>
            </c:spPr>
          </c:marker>
          <c:xVal>
            <c:numRef>
              <c:f>'BEAMS - MONOTONIC'!$HS$83:$HS$104</c:f>
              <c:numCache>
                <c:formatCode>0.00</c:formatCode>
                <c:ptCount val="22"/>
                <c:pt idx="0">
                  <c:v>0</c:v>
                </c:pt>
                <c:pt idx="1">
                  <c:v>0.08</c:v>
                </c:pt>
                <c:pt idx="2">
                  <c:v>0.24</c:v>
                </c:pt>
                <c:pt idx="3">
                  <c:v>0.48</c:v>
                </c:pt>
                <c:pt idx="4">
                  <c:v>0.69</c:v>
                </c:pt>
                <c:pt idx="5">
                  <c:v>0.98</c:v>
                </c:pt>
                <c:pt idx="6">
                  <c:v>1.35</c:v>
                </c:pt>
                <c:pt idx="7">
                  <c:v>1.96</c:v>
                </c:pt>
                <c:pt idx="8">
                  <c:v>2.42</c:v>
                </c:pt>
                <c:pt idx="9">
                  <c:v>2.86</c:v>
                </c:pt>
                <c:pt idx="10">
                  <c:v>3.33</c:v>
                </c:pt>
                <c:pt idx="11">
                  <c:v>3.82</c:v>
                </c:pt>
                <c:pt idx="12">
                  <c:v>4.25</c:v>
                </c:pt>
                <c:pt idx="13">
                  <c:v>4.7300000000000004</c:v>
                </c:pt>
                <c:pt idx="14">
                  <c:v>5.26</c:v>
                </c:pt>
                <c:pt idx="15">
                  <c:v>5.81</c:v>
                </c:pt>
                <c:pt idx="16">
                  <c:v>6.39</c:v>
                </c:pt>
                <c:pt idx="17">
                  <c:v>6.8</c:v>
                </c:pt>
                <c:pt idx="18">
                  <c:v>7.37</c:v>
                </c:pt>
                <c:pt idx="19">
                  <c:v>8.35</c:v>
                </c:pt>
                <c:pt idx="20">
                  <c:v>9.5</c:v>
                </c:pt>
                <c:pt idx="21">
                  <c:v>14.68</c:v>
                </c:pt>
              </c:numCache>
            </c:numRef>
          </c:xVal>
          <c:yVal>
            <c:numRef>
              <c:f>'BEAMS - MONOTONIC'!$HR$83:$HR$104</c:f>
              <c:numCache>
                <c:formatCode>General</c:formatCode>
                <c:ptCount val="22"/>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32</c:v>
                </c:pt>
                <c:pt idx="21">
                  <c:v>20</c:v>
                </c:pt>
              </c:numCache>
            </c:numRef>
          </c:yVal>
          <c:smooth val="1"/>
          <c:extLst>
            <c:ext xmlns:c16="http://schemas.microsoft.com/office/drawing/2014/chart" uri="{C3380CC4-5D6E-409C-BE32-E72D297353CC}">
              <c16:uniqueId val="{00000001-57FC-4350-BF4F-59028FCC7EB5}"/>
            </c:ext>
          </c:extLst>
        </c:ser>
        <c:dLbls>
          <c:showLegendKey val="0"/>
          <c:showVal val="0"/>
          <c:showCatName val="0"/>
          <c:showSerName val="0"/>
          <c:showPercent val="0"/>
          <c:showBubbleSize val="0"/>
        </c:dLbls>
        <c:axId val="14880095"/>
        <c:axId val="14879135"/>
      </c:scatterChart>
      <c:valAx>
        <c:axId val="14880095"/>
        <c:scaling>
          <c:orientation val="minMax"/>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a:t>Deflection, mm</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79135"/>
        <c:crosses val="autoZero"/>
        <c:crossBetween val="midCat"/>
        <c:majorUnit val="2"/>
      </c:valAx>
      <c:valAx>
        <c:axId val="14879135"/>
        <c:scaling>
          <c:orientation val="minMax"/>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lgn="ctr" rtl="0">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a:t> Load, kN</a:t>
                </a:r>
              </a:p>
              <a:p>
                <a:pPr algn="ctr" rtl="0">
                  <a:defRPr/>
                </a:pPr>
                <a:endParaRPr lang="en-US"/>
              </a:p>
            </c:rich>
          </c:tx>
          <c:layout>
            <c:manualLayout>
              <c:xMode val="edge"/>
              <c:yMode val="edge"/>
              <c:x val="3.5531674693113501E-3"/>
              <c:y val="0.292100524471478"/>
            </c:manualLayout>
          </c:layout>
          <c:overlay val="0"/>
          <c:spPr>
            <a:noFill/>
            <a:ln>
              <a:noFill/>
            </a:ln>
            <a:effectLst/>
          </c:spPr>
          <c:txPr>
            <a:bodyPr rot="-5400000" spcFirstLastPara="1" vertOverflow="ellipsis" vert="horz" wrap="square" anchor="ctr" anchorCtr="1"/>
            <a:lstStyle/>
            <a:p>
              <a:pPr algn="ctr" rtl="0">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General" sourceLinked="1"/>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80095"/>
        <c:crosses val="autoZero"/>
        <c:crossBetween val="midCat"/>
        <c:majorUnit val="10"/>
      </c:valAx>
      <c:spPr>
        <a:noFill/>
        <a:ln w="25400" cmpd="sng">
          <a:solidFill>
            <a:schemeClr val="tx1"/>
          </a:solidFill>
        </a:ln>
        <a:effectLst/>
      </c:spPr>
    </c:plotArea>
    <c:legend>
      <c:legendPos val="r"/>
      <c:layout>
        <c:manualLayout>
          <c:xMode val="edge"/>
          <c:yMode val="edge"/>
          <c:x val="0.68194464728139303"/>
          <c:y val="0.52647295960069995"/>
          <c:w val="0.22161121858690799"/>
          <c:h val="0.174166497730704"/>
        </c:manualLayout>
      </c:layout>
      <c:overlay val="0"/>
      <c:spPr>
        <a:noFill/>
        <a:ln w="19050">
          <a:solidFill>
            <a:sysClr val="windowText" lastClr="000000"/>
          </a:solid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98eb4e2e-cb6e-4017-9154-ed7e30495aeb}"/>
      </c:ext>
    </c:extLst>
  </c:chart>
  <c:spPr>
    <a:solidFill>
      <a:schemeClr val="bg1"/>
    </a:solidFill>
    <a:ln w="9525" cap="flat" cmpd="sng" algn="ctr">
      <a:noFill/>
      <a:round/>
    </a:ln>
    <a:effectLst/>
  </c:spPr>
  <c:txPr>
    <a:bodyPr/>
    <a:lstStyle/>
    <a:p>
      <a:pPr>
        <a:defRPr lang="en-US" sz="1200" b="1">
          <a:latin typeface="Arial" panose="020B0604020202020204" pitchFamily="2" charset="0"/>
          <a:cs typeface="Arial" panose="020B0604020202020204" pitchFamily="2"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47653987671"/>
          <c:y val="6.6352211963928501E-2"/>
          <c:w val="0.82683028244054002"/>
          <c:h val="0.775299349253462"/>
        </c:manualLayout>
      </c:layout>
      <c:scatterChart>
        <c:scatterStyle val="lineMarker"/>
        <c:varyColors val="0"/>
        <c:ser>
          <c:idx val="0"/>
          <c:order val="0"/>
          <c:tx>
            <c:strRef>
              <c:f>Ma/Me</c:f>
              <c:strCache>
                <c:ptCount val="1"/>
                <c:pt idx="0">
                  <c:v>Ma/Me</c:v>
                </c:pt>
              </c:strCache>
            </c:strRef>
          </c:tx>
          <c:spPr>
            <a:ln w="25400" cap="rnd">
              <a:noFill/>
              <a:round/>
            </a:ln>
            <a:effectLst/>
          </c:spPr>
          <c:marker>
            <c:symbol val="square"/>
            <c:size val="7"/>
            <c:spPr>
              <a:solidFill>
                <a:schemeClr val="tx1"/>
              </a:solidFill>
              <a:ln w="9525">
                <a:solidFill>
                  <a:schemeClr val="tx1"/>
                </a:solidFill>
              </a:ln>
              <a:effectLst/>
            </c:spPr>
          </c:marker>
          <c:xVal>
            <c:numRef>
              <c:f>'FORMULA DERIVATION (2)'!$CM$13:$CM$17</c:f>
              <c:numCache>
                <c:formatCode>General</c:formatCode>
                <c:ptCount val="5"/>
                <c:pt idx="0">
                  <c:v>14.7</c:v>
                </c:pt>
                <c:pt idx="1">
                  <c:v>13.3</c:v>
                </c:pt>
                <c:pt idx="2" formatCode="0.0">
                  <c:v>14</c:v>
                </c:pt>
                <c:pt idx="3">
                  <c:v>16.100000000000001</c:v>
                </c:pt>
                <c:pt idx="4">
                  <c:v>13.3</c:v>
                </c:pt>
              </c:numCache>
            </c:numRef>
          </c:xVal>
          <c:yVal>
            <c:numRef>
              <c:f>'FORMULA DERIVATION (2)'!$CN$13:$CN$17</c:f>
              <c:numCache>
                <c:formatCode>0.00</c:formatCode>
                <c:ptCount val="5"/>
                <c:pt idx="0">
                  <c:v>14.985051017988001</c:v>
                </c:pt>
                <c:pt idx="1">
                  <c:v>13.4207192187252</c:v>
                </c:pt>
                <c:pt idx="2">
                  <c:v>11.8605555733263</c:v>
                </c:pt>
                <c:pt idx="3">
                  <c:v>14.5836969369459</c:v>
                </c:pt>
                <c:pt idx="4">
                  <c:v>12.1292950379974</c:v>
                </c:pt>
              </c:numCache>
            </c:numRef>
          </c:yVal>
          <c:smooth val="0"/>
          <c:extLst>
            <c:ext xmlns:c16="http://schemas.microsoft.com/office/drawing/2014/chart" uri="{C3380CC4-5D6E-409C-BE32-E72D297353CC}">
              <c16:uniqueId val="{00000000-E6AB-4D13-AEE0-F53288C2771A}"/>
            </c:ext>
          </c:extLst>
        </c:ser>
        <c:ser>
          <c:idx val="1"/>
          <c:order val="1"/>
          <c:spPr>
            <a:ln w="25400" cap="rnd">
              <a:solidFill>
                <a:srgbClr val="FF0000"/>
              </a:solidFill>
              <a:round/>
            </a:ln>
            <a:effectLst/>
          </c:spPr>
          <c:marker>
            <c:symbol val="circle"/>
            <c:size val="5"/>
            <c:spPr>
              <a:noFill/>
              <a:ln w="9525">
                <a:noFill/>
              </a:ln>
              <a:effectLst/>
            </c:spPr>
          </c:marker>
          <c:xVal>
            <c:numRef>
              <c:f>{0,20}</c:f>
              <c:numCache>
                <c:formatCode>General</c:formatCode>
                <c:ptCount val="2"/>
                <c:pt idx="0">
                  <c:v>0</c:v>
                </c:pt>
                <c:pt idx="1">
                  <c:v>20</c:v>
                </c:pt>
              </c:numCache>
            </c:numRef>
          </c:xVal>
          <c:yVal>
            <c:numRef>
              <c:f>{0,20}</c:f>
              <c:numCache>
                <c:formatCode>General</c:formatCode>
                <c:ptCount val="2"/>
                <c:pt idx="0">
                  <c:v>0</c:v>
                </c:pt>
                <c:pt idx="1">
                  <c:v>20</c:v>
                </c:pt>
              </c:numCache>
            </c:numRef>
          </c:yVal>
          <c:smooth val="0"/>
          <c:extLst>
            <c:ext xmlns:c16="http://schemas.microsoft.com/office/drawing/2014/chart" uri="{C3380CC4-5D6E-409C-BE32-E72D297353CC}">
              <c16:uniqueId val="{00000001-E6AB-4D13-AEE0-F53288C2771A}"/>
            </c:ext>
          </c:extLst>
        </c:ser>
        <c:ser>
          <c:idx val="2"/>
          <c:order val="2"/>
          <c:spPr>
            <a:ln w="25400" cap="rnd">
              <a:solidFill>
                <a:srgbClr val="00B050"/>
              </a:solidFill>
              <a:prstDash val="sysDot"/>
              <a:round/>
            </a:ln>
            <a:effectLst/>
          </c:spPr>
          <c:marker>
            <c:symbol val="circle"/>
            <c:size val="5"/>
            <c:spPr>
              <a:noFill/>
              <a:ln w="9525">
                <a:noFill/>
              </a:ln>
              <a:effectLst/>
            </c:spPr>
          </c:marker>
          <c:xVal>
            <c:numRef>
              <c:f>'FORMULA DERIVATION (2)'!$CT$21:$CT$22</c:f>
              <c:numCache>
                <c:formatCode>General</c:formatCode>
                <c:ptCount val="2"/>
                <c:pt idx="0">
                  <c:v>0</c:v>
                </c:pt>
                <c:pt idx="1">
                  <c:v>20</c:v>
                </c:pt>
              </c:numCache>
            </c:numRef>
          </c:xVal>
          <c:yVal>
            <c:numRef>
              <c:f>'FORMULA DERIVATION (2)'!$CU$21:$CU$22</c:f>
              <c:numCache>
                <c:formatCode>General</c:formatCode>
                <c:ptCount val="2"/>
                <c:pt idx="0">
                  <c:v>3</c:v>
                </c:pt>
                <c:pt idx="1">
                  <c:v>23</c:v>
                </c:pt>
              </c:numCache>
            </c:numRef>
          </c:yVal>
          <c:smooth val="0"/>
          <c:extLst>
            <c:ext xmlns:c16="http://schemas.microsoft.com/office/drawing/2014/chart" uri="{C3380CC4-5D6E-409C-BE32-E72D297353CC}">
              <c16:uniqueId val="{00000002-E6AB-4D13-AEE0-F53288C2771A}"/>
            </c:ext>
          </c:extLst>
        </c:ser>
        <c:ser>
          <c:idx val="3"/>
          <c:order val="3"/>
          <c:spPr>
            <a:ln w="25400" cap="rnd">
              <a:solidFill>
                <a:srgbClr val="00B050"/>
              </a:solidFill>
              <a:prstDash val="sysDot"/>
              <a:round/>
            </a:ln>
            <a:effectLst/>
          </c:spPr>
          <c:marker>
            <c:symbol val="circle"/>
            <c:size val="5"/>
            <c:spPr>
              <a:noFill/>
              <a:ln w="9525">
                <a:noFill/>
              </a:ln>
              <a:effectLst/>
            </c:spPr>
          </c:marker>
          <c:xVal>
            <c:numRef>
              <c:f>'FORMULA DERIVATION (2)'!$CT$26:$CT$27</c:f>
              <c:numCache>
                <c:formatCode>General</c:formatCode>
                <c:ptCount val="2"/>
                <c:pt idx="0">
                  <c:v>3</c:v>
                </c:pt>
                <c:pt idx="1">
                  <c:v>23</c:v>
                </c:pt>
              </c:numCache>
            </c:numRef>
          </c:xVal>
          <c:yVal>
            <c:numRef>
              <c:f>'FORMULA DERIVATION (2)'!$CU$26:$CU$27</c:f>
              <c:numCache>
                <c:formatCode>General</c:formatCode>
                <c:ptCount val="2"/>
                <c:pt idx="0">
                  <c:v>0</c:v>
                </c:pt>
                <c:pt idx="1">
                  <c:v>20</c:v>
                </c:pt>
              </c:numCache>
            </c:numRef>
          </c:yVal>
          <c:smooth val="0"/>
          <c:extLst>
            <c:ext xmlns:c16="http://schemas.microsoft.com/office/drawing/2014/chart" uri="{C3380CC4-5D6E-409C-BE32-E72D297353CC}">
              <c16:uniqueId val="{00000003-E6AB-4D13-AEE0-F53288C2771A}"/>
            </c:ext>
          </c:extLst>
        </c:ser>
        <c:dLbls>
          <c:showLegendKey val="0"/>
          <c:showVal val="0"/>
          <c:showCatName val="0"/>
          <c:showSerName val="0"/>
          <c:showPercent val="0"/>
          <c:showBubbleSize val="0"/>
        </c:dLbls>
        <c:axId val="2054393584"/>
        <c:axId val="2054377744"/>
      </c:scatterChart>
      <c:valAx>
        <c:axId val="2054393584"/>
        <c:scaling>
          <c:orientation val="minMax"/>
          <c:max val="20"/>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r>
                  <a:rPr lang="en-US" sz="1100" b="1" i="0" u="none" strike="noStrike" kern="1200" baseline="0">
                    <a:solidFill>
                      <a:sysClr val="windowText" lastClr="000000">
                        <a:lumMod val="65000"/>
                        <a:lumOff val="35000"/>
                      </a:sysClr>
                    </a:solidFill>
                  </a:rPr>
                  <a:t>Experimental moments, kNm</a:t>
                </a:r>
              </a:p>
            </c:rich>
          </c:tx>
          <c:layout>
            <c:manualLayout>
              <c:xMode val="edge"/>
              <c:yMode val="edge"/>
              <c:x val="0.35319063359071101"/>
              <c:y val="0.92049082995201703"/>
            </c:manualLayout>
          </c:layout>
          <c:overlay val="0"/>
          <c:spPr>
            <a:noFill/>
            <a:ln>
              <a:noFill/>
            </a:ln>
            <a:effectLst/>
          </c:spPr>
          <c:txPr>
            <a:bodyPr rot="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in"/>
        <c:minorTickMark val="none"/>
        <c:tickLblPos val="nextTo"/>
        <c:spPr>
          <a:noFill/>
          <a:ln w="25400" cap="flat" cmpd="sng" algn="ctr">
            <a:solidFill>
              <a:schemeClr val="tx1"/>
            </a:solidFill>
            <a:prstDash val="solid"/>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2054377744"/>
        <c:crosses val="autoZero"/>
        <c:crossBetween val="midCat"/>
        <c:majorUnit val="5"/>
      </c:valAx>
      <c:valAx>
        <c:axId val="2054377744"/>
        <c:scaling>
          <c:orientation val="minMax"/>
          <c:max val="20"/>
          <c:min val="0"/>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r>
                  <a:rPr lang="en-US" sz="1100" b="1"/>
                  <a:t>Analytical moments, kNm</a:t>
                </a: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2054393584"/>
        <c:crosses val="autoZero"/>
        <c:crossBetween val="midCat"/>
        <c:majorUnit val="5"/>
      </c:valAx>
      <c:spPr>
        <a:noFill/>
        <a:ln w="25400">
          <a:solidFill>
            <a:schemeClr val="tx1"/>
          </a:solidFill>
        </a:ln>
        <a:effectLst/>
      </c:spPr>
    </c:plotArea>
    <c:legend>
      <c:legendPos val="r"/>
      <c:layout>
        <c:manualLayout>
          <c:xMode val="edge"/>
          <c:yMode val="edge"/>
          <c:x val="0.65994105661781399"/>
          <c:y val="0.69953584917728995"/>
          <c:w val="0.26789295320476503"/>
          <c:h val="6.8242585433910694E-2"/>
        </c:manualLayout>
      </c:layout>
      <c:overlay val="0"/>
      <c:spPr>
        <a:noFill/>
        <a:ln w="25400">
          <a:solidFill>
            <a:schemeClr val="tx1"/>
          </a:solidFill>
        </a:ln>
        <a:effectLst/>
      </c:spPr>
      <c:txPr>
        <a:bodyPr rot="0" spcFirstLastPara="1" vertOverflow="ellipsis" vert="horz" wrap="square" anchor="ctr" anchorCtr="0"/>
        <a:lstStyle/>
        <a:p>
          <a:pPr>
            <a:defRPr lang="en-US" sz="1050" b="1"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bef12562-021c-4d8e-8471-aeeb4404f4c3}"/>
      </c:ext>
    </c:extLst>
  </c:chart>
  <c:spPr>
    <a:solidFill>
      <a:schemeClr val="bg1"/>
    </a:solidFill>
    <a:ln w="9525" cap="flat" cmpd="sng" algn="ctr">
      <a:noFill/>
      <a:round/>
    </a:ln>
    <a:effectLst/>
  </c:spPr>
  <c:txPr>
    <a:bodyPr/>
    <a:lstStyle/>
    <a:p>
      <a:pPr>
        <a:defRPr lang="en-US"/>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59537600391401"/>
          <c:y val="6.6305059678582606E-2"/>
          <c:w val="0.77290754231872005"/>
          <c:h val="0.78009603908496705"/>
        </c:manualLayout>
      </c:layout>
      <c:scatterChart>
        <c:scatterStyle val="smoothMarker"/>
        <c:varyColors val="0"/>
        <c:ser>
          <c:idx val="0"/>
          <c:order val="0"/>
          <c:tx>
            <c:strRef>
              <c:f>Grading curve for coarse aggregate</c:f>
              <c:strCache>
                <c:ptCount val="1"/>
                <c:pt idx="0">
                  <c:v>Grading curve for coarse aggregate</c:v>
                </c:pt>
              </c:strCache>
            </c:strRef>
          </c:tx>
          <c:spPr>
            <a:ln w="28575" cap="rnd">
              <a:solidFill>
                <a:schemeClr val="tx1"/>
              </a:solidFill>
              <a:round/>
            </a:ln>
            <a:effectLst/>
          </c:spPr>
          <c:marker>
            <c:symbol val="diamond"/>
            <c:size val="6"/>
            <c:spPr>
              <a:solidFill>
                <a:sysClr val="windowText" lastClr="000000"/>
              </a:solidFill>
              <a:ln w="25400">
                <a:solidFill>
                  <a:sysClr val="windowText" lastClr="000000"/>
                </a:solidFill>
                <a:round/>
              </a:ln>
              <a:effectLst/>
            </c:spPr>
          </c:marker>
          <c:xVal>
            <c:numRef>
              <c:f>GRADING!$B$8:$B$18</c:f>
              <c:numCache>
                <c:formatCode>0.00</c:formatCode>
                <c:ptCount val="11"/>
                <c:pt idx="0">
                  <c:v>19</c:v>
                </c:pt>
                <c:pt idx="1">
                  <c:v>18</c:v>
                </c:pt>
                <c:pt idx="2">
                  <c:v>16</c:v>
                </c:pt>
                <c:pt idx="3">
                  <c:v>13.2</c:v>
                </c:pt>
                <c:pt idx="4">
                  <c:v>11.2</c:v>
                </c:pt>
                <c:pt idx="5">
                  <c:v>9.5</c:v>
                </c:pt>
                <c:pt idx="6">
                  <c:v>8</c:v>
                </c:pt>
                <c:pt idx="7">
                  <c:v>6.7</c:v>
                </c:pt>
                <c:pt idx="8">
                  <c:v>5.6</c:v>
                </c:pt>
                <c:pt idx="9">
                  <c:v>4.75</c:v>
                </c:pt>
                <c:pt idx="10">
                  <c:v>3.35</c:v>
                </c:pt>
              </c:numCache>
            </c:numRef>
          </c:xVal>
          <c:yVal>
            <c:numRef>
              <c:f>GRADING!$G$8:$G$18</c:f>
              <c:numCache>
                <c:formatCode>0.00</c:formatCode>
                <c:ptCount val="11"/>
                <c:pt idx="0">
                  <c:v>100</c:v>
                </c:pt>
                <c:pt idx="1">
                  <c:v>100</c:v>
                </c:pt>
                <c:pt idx="2">
                  <c:v>100</c:v>
                </c:pt>
                <c:pt idx="3">
                  <c:v>93.580868470736306</c:v>
                </c:pt>
                <c:pt idx="4">
                  <c:v>49.528005034613003</c:v>
                </c:pt>
                <c:pt idx="5">
                  <c:v>10.509754562617999</c:v>
                </c:pt>
                <c:pt idx="6">
                  <c:v>2.95783511642543</c:v>
                </c:pt>
                <c:pt idx="7">
                  <c:v>0.44052863436124001</c:v>
                </c:pt>
                <c:pt idx="8">
                  <c:v>0.25173064820643298</c:v>
                </c:pt>
                <c:pt idx="9">
                  <c:v>0.12586532410322299</c:v>
                </c:pt>
                <c:pt idx="10">
                  <c:v>1.3211653993039401E-14</c:v>
                </c:pt>
              </c:numCache>
            </c:numRef>
          </c:yVal>
          <c:smooth val="1"/>
          <c:extLst>
            <c:ext xmlns:c16="http://schemas.microsoft.com/office/drawing/2014/chart" uri="{C3380CC4-5D6E-409C-BE32-E72D297353CC}">
              <c16:uniqueId val="{00000000-F2D7-4BF6-B1AC-965FCED27701}"/>
            </c:ext>
          </c:extLst>
        </c:ser>
        <c:ser>
          <c:idx val="1"/>
          <c:order val="1"/>
          <c:tx>
            <c:strRef>
              <c:f>d10</c:f>
              <c:strCache>
                <c:ptCount val="1"/>
                <c:pt idx="0">
                  <c:v>d10</c:v>
                </c:pt>
              </c:strCache>
            </c:strRef>
          </c:tx>
          <c:spPr>
            <a:ln w="25400" cap="rnd">
              <a:solidFill>
                <a:srgbClr val="C00000"/>
              </a:solidFill>
              <a:round/>
            </a:ln>
            <a:effectLst/>
          </c:spPr>
          <c:marker>
            <c:symbol val="none"/>
          </c:marker>
          <c:xVal>
            <c:numRef>
              <c:f>GRADING!$H$27:$H$28</c:f>
              <c:numCache>
                <c:formatCode>General</c:formatCode>
                <c:ptCount val="2"/>
                <c:pt idx="0">
                  <c:v>9.4885599999999997</c:v>
                </c:pt>
                <c:pt idx="1">
                  <c:v>9.4885599999999997</c:v>
                </c:pt>
              </c:numCache>
            </c:numRef>
          </c:xVal>
          <c:yVal>
            <c:numRef>
              <c:f>GRADING!$I$27:$I$28</c:f>
              <c:numCache>
                <c:formatCode>General</c:formatCode>
                <c:ptCount val="2"/>
                <c:pt idx="0">
                  <c:v>0</c:v>
                </c:pt>
                <c:pt idx="1">
                  <c:v>10</c:v>
                </c:pt>
              </c:numCache>
            </c:numRef>
          </c:yVal>
          <c:smooth val="1"/>
          <c:extLst>
            <c:ext xmlns:c16="http://schemas.microsoft.com/office/drawing/2014/chart" uri="{C3380CC4-5D6E-409C-BE32-E72D297353CC}">
              <c16:uniqueId val="{00000001-F2D7-4BF6-B1AC-965FCED27701}"/>
            </c:ext>
          </c:extLst>
        </c:ser>
        <c:ser>
          <c:idx val="2"/>
          <c:order val="2"/>
          <c:tx>
            <c:strRef>
              <c:f>d10.</c:f>
              <c:strCache>
                <c:ptCount val="1"/>
                <c:pt idx="0">
                  <c:v>d10.</c:v>
                </c:pt>
              </c:strCache>
            </c:strRef>
          </c:tx>
          <c:spPr>
            <a:ln w="25400" cap="rnd">
              <a:solidFill>
                <a:srgbClr val="C0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F2D7-4BF6-B1AC-965FCED27701}"/>
                </c:ext>
              </c:extLst>
            </c:dLbl>
            <c:dLbl>
              <c:idx val="1"/>
              <c:layout>
                <c:manualLayout>
                  <c:x val="-0.156431745175652"/>
                  <c:y val="-6.5018267996445195E-2"/>
                </c:manualLayout>
              </c:layout>
              <c:tx>
                <c:rich>
                  <a:bodyPr/>
                  <a:lstStyle/>
                  <a:p>
                    <a:r>
                      <a:rPr lang="en-US"/>
                      <a:t>9.48856</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D7-4BF6-B1AC-965FCED27701}"/>
                </c:ext>
              </c:extLst>
            </c:dLbl>
            <c:spPr>
              <a:no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900" b="0" i="0" u="none" strike="noStrike" kern="1200" baseline="0">
                    <a:solidFill>
                      <a:schemeClr val="dk1">
                        <a:lumMod val="65000"/>
                        <a:lumOff val="35000"/>
                      </a:schemeClr>
                    </a:solidFill>
                    <a:latin typeface="Arial" panose="020B0604020202020204" pitchFamily="2" charset="0"/>
                    <a:ea typeface="+mn-ea"/>
                    <a:cs typeface="Arial" panose="020B0604020202020204" pitchFamily="2"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GRADING!$H$30:$H$31</c:f>
              <c:numCache>
                <c:formatCode>General</c:formatCode>
                <c:ptCount val="2"/>
                <c:pt idx="0">
                  <c:v>1</c:v>
                </c:pt>
                <c:pt idx="1">
                  <c:v>9.4885599999999997</c:v>
                </c:pt>
              </c:numCache>
            </c:numRef>
          </c:xVal>
          <c:yVal>
            <c:numRef>
              <c:f>GRADING!$I$30:$I$31</c:f>
              <c:numCache>
                <c:formatCode>General</c:formatCode>
                <c:ptCount val="2"/>
                <c:pt idx="0">
                  <c:v>10</c:v>
                </c:pt>
                <c:pt idx="1">
                  <c:v>10</c:v>
                </c:pt>
              </c:numCache>
            </c:numRef>
          </c:yVal>
          <c:smooth val="1"/>
          <c:extLst>
            <c:ext xmlns:c16="http://schemas.microsoft.com/office/drawing/2014/chart" uri="{C3380CC4-5D6E-409C-BE32-E72D297353CC}">
              <c16:uniqueId val="{00000004-F2D7-4BF6-B1AC-965FCED27701}"/>
            </c:ext>
          </c:extLst>
        </c:ser>
        <c:ser>
          <c:idx val="3"/>
          <c:order val="3"/>
          <c:tx>
            <c:strRef>
              <c:f>d30</c:f>
              <c:strCache>
                <c:ptCount val="1"/>
                <c:pt idx="0">
                  <c:v>d30</c:v>
                </c:pt>
              </c:strCache>
            </c:strRef>
          </c:tx>
          <c:spPr>
            <a:ln w="25400" cap="rnd">
              <a:solidFill>
                <a:srgbClr val="C00000"/>
              </a:solidFill>
              <a:round/>
            </a:ln>
            <a:effectLst/>
          </c:spPr>
          <c:marker>
            <c:symbol val="none"/>
          </c:marker>
          <c:xVal>
            <c:numRef>
              <c:f>GRADING!$K$27:$K$28</c:f>
              <c:numCache>
                <c:formatCode>0.00000</c:formatCode>
                <c:ptCount val="2"/>
                <c:pt idx="0">
                  <c:v>10.396129999999999</c:v>
                </c:pt>
                <c:pt idx="1">
                  <c:v>10.396129999999999</c:v>
                </c:pt>
              </c:numCache>
            </c:numRef>
          </c:xVal>
          <c:yVal>
            <c:numRef>
              <c:f>GRADING!$L$27:$L$28</c:f>
              <c:numCache>
                <c:formatCode>General</c:formatCode>
                <c:ptCount val="2"/>
                <c:pt idx="0">
                  <c:v>0</c:v>
                </c:pt>
                <c:pt idx="1">
                  <c:v>30</c:v>
                </c:pt>
              </c:numCache>
            </c:numRef>
          </c:yVal>
          <c:smooth val="1"/>
          <c:extLst>
            <c:ext xmlns:c16="http://schemas.microsoft.com/office/drawing/2014/chart" uri="{C3380CC4-5D6E-409C-BE32-E72D297353CC}">
              <c16:uniqueId val="{00000005-F2D7-4BF6-B1AC-965FCED27701}"/>
            </c:ext>
          </c:extLst>
        </c:ser>
        <c:ser>
          <c:idx val="4"/>
          <c:order val="4"/>
          <c:tx>
            <c:strRef>
              <c:f>d30.</c:f>
              <c:strCache>
                <c:ptCount val="1"/>
                <c:pt idx="0">
                  <c:v>d30.</c:v>
                </c:pt>
              </c:strCache>
            </c:strRef>
          </c:tx>
          <c:spPr>
            <a:ln w="25400" cap="rnd">
              <a:solidFill>
                <a:srgbClr val="C0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F2D7-4BF6-B1AC-965FCED27701}"/>
                </c:ext>
              </c:extLst>
            </c:dLbl>
            <c:dLbl>
              <c:idx val="1"/>
              <c:layout>
                <c:manualLayout>
                  <c:x val="-0.194031276842691"/>
                  <c:y val="-6.5597678711137794E-2"/>
                </c:manualLayout>
              </c:layout>
              <c:tx>
                <c:rich>
                  <a:bodyPr/>
                  <a:lstStyle/>
                  <a:p>
                    <a:r>
                      <a:rPr lang="en-US"/>
                      <a:t>10.39613</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D7-4BF6-B1AC-965FCED2770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Arial" panose="020B0604020202020204" pitchFamily="2" charset="0"/>
                    <a:ea typeface="+mn-ea"/>
                    <a:cs typeface="Arial" panose="020B0604020202020204" pitchFamily="2" charset="0"/>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GRADING!$K$30:$K$31</c:f>
              <c:numCache>
                <c:formatCode>0.00000</c:formatCode>
                <c:ptCount val="2"/>
                <c:pt idx="0" formatCode="General">
                  <c:v>1</c:v>
                </c:pt>
                <c:pt idx="1">
                  <c:v>10.396129999999999</c:v>
                </c:pt>
              </c:numCache>
            </c:numRef>
          </c:xVal>
          <c:yVal>
            <c:numRef>
              <c:f>GRADING!$L$30:$L$31</c:f>
              <c:numCache>
                <c:formatCode>General</c:formatCode>
                <c:ptCount val="2"/>
                <c:pt idx="0">
                  <c:v>30</c:v>
                </c:pt>
                <c:pt idx="1">
                  <c:v>30</c:v>
                </c:pt>
              </c:numCache>
            </c:numRef>
          </c:yVal>
          <c:smooth val="1"/>
          <c:extLst>
            <c:ext xmlns:c16="http://schemas.microsoft.com/office/drawing/2014/chart" uri="{C3380CC4-5D6E-409C-BE32-E72D297353CC}">
              <c16:uniqueId val="{00000008-F2D7-4BF6-B1AC-965FCED27701}"/>
            </c:ext>
          </c:extLst>
        </c:ser>
        <c:ser>
          <c:idx val="5"/>
          <c:order val="5"/>
          <c:tx>
            <c:strRef>
              <c:f>d60</c:f>
              <c:strCache>
                <c:ptCount val="1"/>
                <c:pt idx="0">
                  <c:v>d60</c:v>
                </c:pt>
              </c:strCache>
            </c:strRef>
          </c:tx>
          <c:spPr>
            <a:ln w="25400" cap="rnd">
              <a:solidFill>
                <a:srgbClr val="C0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F2D7-4BF6-B1AC-965FCED27701}"/>
                </c:ext>
              </c:extLst>
            </c:dLbl>
            <c:dLbl>
              <c:idx val="1"/>
              <c:layout>
                <c:manualLayout>
                  <c:x val="-0.15243090043964699"/>
                  <c:y val="-7.03084444292323E-2"/>
                </c:manualLayout>
              </c:layout>
              <c:tx>
                <c:rich>
                  <a:bodyPr rot="0" spcFirstLastPara="1" vertOverflow="clip" horzOverflow="clip" vert="horz" wrap="square" lIns="36576" tIns="18288" rIns="36576" bIns="18288" anchor="ctr" anchorCtr="1">
                    <a:spAutoFit/>
                  </a:bodyPr>
                  <a:lstStyle/>
                  <a:p>
                    <a:pPr>
                      <a:defRPr lang="en-US" sz="900" b="0" i="0" u="none" strike="noStrike" kern="1200" baseline="0">
                        <a:solidFill>
                          <a:schemeClr val="dk1">
                            <a:lumMod val="65000"/>
                            <a:lumOff val="35000"/>
                          </a:schemeClr>
                        </a:solidFill>
                        <a:latin typeface="Arial" panose="020B0604020202020204" pitchFamily="2" charset="0"/>
                        <a:ea typeface="+mn-ea"/>
                        <a:cs typeface="Arial" panose="020B0604020202020204" pitchFamily="2" charset="0"/>
                      </a:defRPr>
                    </a:pPr>
                    <a:r>
                      <a:rPr lang="en-US"/>
                      <a:t>11.65670</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900" b="0" i="0" u="none" strike="noStrike" kern="1200" baseline="0">
                      <a:solidFill>
                        <a:schemeClr val="dk1">
                          <a:lumMod val="65000"/>
                          <a:lumOff val="35000"/>
                        </a:schemeClr>
                      </a:solidFill>
                      <a:latin typeface="Arial" panose="020B0604020202020204" pitchFamily="2" charset="0"/>
                      <a:ea typeface="+mn-ea"/>
                      <a:cs typeface="Arial" panose="020B0604020202020204" pitchFamily="2" charset="0"/>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6837"/>
                        <a:gd name="adj2" fmla="val 134128"/>
                      </a:avLst>
                    </a:prstGeom>
                    <a:noFill/>
                    <a:ln>
                      <a:noFill/>
                    </a:ln>
                  </c15:spPr>
                </c:ext>
                <c:ext xmlns:c16="http://schemas.microsoft.com/office/drawing/2014/chart" uri="{C3380CC4-5D6E-409C-BE32-E72D297353CC}">
                  <c16:uniqueId val="{0000000A-F2D7-4BF6-B1AC-965FCED27701}"/>
                </c:ext>
              </c:extLst>
            </c:dLbl>
            <c:spPr>
              <a:noFill/>
              <a:ln>
                <a:noFill/>
              </a:ln>
              <a:effectLst/>
            </c:spPr>
            <c:txPr>
              <a:bodyPr rot="0" spcFirstLastPara="1" vertOverflow="ellipsis" vert="horz" wrap="square" lIns="38100" tIns="19050" rIns="38100" bIns="19050" anchor="ctr" anchorCtr="1"/>
              <a:lstStyle/>
              <a:p>
                <a:pPr>
                  <a:defRPr lang="en-US" sz="800" b="0" i="0" u="none" strike="noStrike" kern="1200" baseline="0">
                    <a:solidFill>
                      <a:schemeClr val="tx1">
                        <a:lumMod val="50000"/>
                        <a:lumOff val="50000"/>
                      </a:schemeClr>
                    </a:solidFill>
                    <a:latin typeface="Arial" panose="020B0604020202020204" pitchFamily="2" charset="0"/>
                    <a:ea typeface="+mn-ea"/>
                    <a:cs typeface="Arial" panose="020B0604020202020204" pitchFamily="2"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GRADING!$N$27:$N$28</c:f>
              <c:numCache>
                <c:formatCode>0.00000</c:formatCode>
                <c:ptCount val="2"/>
                <c:pt idx="0">
                  <c:v>11.656700000000001</c:v>
                </c:pt>
                <c:pt idx="1">
                  <c:v>11.656700000000001</c:v>
                </c:pt>
              </c:numCache>
            </c:numRef>
          </c:xVal>
          <c:yVal>
            <c:numRef>
              <c:f>GRADING!$O$27:$O$28</c:f>
              <c:numCache>
                <c:formatCode>General</c:formatCode>
                <c:ptCount val="2"/>
                <c:pt idx="0">
                  <c:v>0</c:v>
                </c:pt>
                <c:pt idx="1">
                  <c:v>60</c:v>
                </c:pt>
              </c:numCache>
            </c:numRef>
          </c:yVal>
          <c:smooth val="1"/>
          <c:extLst>
            <c:ext xmlns:c16="http://schemas.microsoft.com/office/drawing/2014/chart" uri="{C3380CC4-5D6E-409C-BE32-E72D297353CC}">
              <c16:uniqueId val="{0000000B-F2D7-4BF6-B1AC-965FCED27701}"/>
            </c:ext>
          </c:extLst>
        </c:ser>
        <c:ser>
          <c:idx val="6"/>
          <c:order val="6"/>
          <c:tx>
            <c:strRef>
              <c:f>d60.</c:f>
              <c:strCache>
                <c:ptCount val="1"/>
                <c:pt idx="0">
                  <c:v>d60.</c:v>
                </c:pt>
              </c:strCache>
            </c:strRef>
          </c:tx>
          <c:spPr>
            <a:ln w="25400" cap="rnd">
              <a:solidFill>
                <a:srgbClr val="C00000"/>
              </a:solidFill>
              <a:round/>
            </a:ln>
            <a:effectLst/>
          </c:spPr>
          <c:marker>
            <c:symbol val="none"/>
          </c:marker>
          <c:xVal>
            <c:numRef>
              <c:f>GRADING!$N$30:$N$31</c:f>
              <c:numCache>
                <c:formatCode>0.00000</c:formatCode>
                <c:ptCount val="2"/>
                <c:pt idx="0" formatCode="General">
                  <c:v>1</c:v>
                </c:pt>
                <c:pt idx="1">
                  <c:v>11.656700000000001</c:v>
                </c:pt>
              </c:numCache>
            </c:numRef>
          </c:xVal>
          <c:yVal>
            <c:numRef>
              <c:f>GRADING!$O$30:$O$31</c:f>
              <c:numCache>
                <c:formatCode>General</c:formatCode>
                <c:ptCount val="2"/>
                <c:pt idx="0">
                  <c:v>60</c:v>
                </c:pt>
                <c:pt idx="1">
                  <c:v>60</c:v>
                </c:pt>
              </c:numCache>
            </c:numRef>
          </c:yVal>
          <c:smooth val="1"/>
          <c:extLst>
            <c:ext xmlns:c16="http://schemas.microsoft.com/office/drawing/2014/chart" uri="{C3380CC4-5D6E-409C-BE32-E72D297353CC}">
              <c16:uniqueId val="{0000000C-F2D7-4BF6-B1AC-965FCED27701}"/>
            </c:ext>
          </c:extLst>
        </c:ser>
        <c:dLbls>
          <c:showLegendKey val="0"/>
          <c:showVal val="0"/>
          <c:showCatName val="0"/>
          <c:showSerName val="0"/>
          <c:showPercent val="0"/>
          <c:showBubbleSize val="0"/>
        </c:dLbls>
        <c:axId val="1050104448"/>
        <c:axId val="1105273568"/>
      </c:scatterChart>
      <c:valAx>
        <c:axId val="1050104448"/>
        <c:scaling>
          <c:logBase val="10"/>
          <c:orientation val="minMax"/>
          <c:max val="100"/>
        </c:scaling>
        <c:delete val="0"/>
        <c:axPos val="b"/>
        <c:majorGridlines>
          <c:spPr>
            <a:ln w="25400" cap="flat" cmpd="sng" algn="ctr">
              <a:solidFill>
                <a:schemeClr val="tx1">
                  <a:lumMod val="15000"/>
                  <a:lumOff val="85000"/>
                </a:schemeClr>
              </a:solidFill>
              <a:prstDash val="sysDot"/>
              <a:round/>
            </a:ln>
            <a:effectLst/>
          </c:spPr>
        </c:majorGridlines>
        <c:minorGridlines>
          <c:spPr>
            <a:ln w="25400">
              <a:solidFill>
                <a:schemeClr val="tx1">
                  <a:lumMod val="5000"/>
                  <a:lumOff val="95000"/>
                </a:schemeClr>
              </a:solidFill>
              <a:prstDash val="sysDot"/>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100" b="1" i="0" u="none" strike="noStrike" kern="1200" cap="all" baseline="0">
                    <a:solidFill>
                      <a:sysClr val="windowText" lastClr="000000"/>
                    </a:solidFill>
                    <a:latin typeface="Arial" panose="020B0604020202020204" pitchFamily="2" charset="0"/>
                    <a:ea typeface="+mn-ea"/>
                    <a:cs typeface="Arial" panose="020B0604020202020204" pitchFamily="2" charset="0"/>
                  </a:defRPr>
                </a:pPr>
                <a:r>
                  <a:rPr lang="en-US" sz="1100" b="1" i="0" u="none" strike="noStrike" kern="1200" cap="all" baseline="0">
                    <a:solidFill>
                      <a:schemeClr val="tx1"/>
                    </a:solidFill>
                    <a:latin typeface="Arial" panose="020B0604020202020204" pitchFamily="2" charset="0"/>
                    <a:cs typeface="Arial" panose="020B0604020202020204" pitchFamily="2" charset="0"/>
                  </a:rPr>
                  <a:t>Sieve sizes, </a:t>
                </a:r>
                <a:r>
                  <a:rPr lang="en-US" sz="1100" b="1" i="0" u="none" strike="noStrike" kern="1200" cap="none" baseline="0">
                    <a:solidFill>
                      <a:schemeClr val="tx1"/>
                    </a:solidFill>
                    <a:latin typeface="Arial" panose="020B0604020202020204" pitchFamily="2" charset="0"/>
                    <a:cs typeface="Arial" panose="020B0604020202020204" pitchFamily="2" charset="0"/>
                  </a:rPr>
                  <a:t>mm</a:t>
                </a:r>
              </a:p>
            </c:rich>
          </c:tx>
          <c:layout>
            <c:manualLayout>
              <c:xMode val="edge"/>
              <c:yMode val="edge"/>
              <c:x val="0.38796777643128699"/>
              <c:y val="0.9300598680897760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100" b="1" i="0" u="none" strike="noStrike" kern="1200" cap="all"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0.0" sourceLinked="0"/>
        <c:majorTickMark val="in"/>
        <c:minorTickMark val="in"/>
        <c:tickLblPos val="nextTo"/>
        <c:spPr>
          <a:noFill/>
          <a:ln w="25400" cap="flat" cmpd="sng" algn="ctr">
            <a:solidFill>
              <a:schemeClr val="tx1">
                <a:alpha val="99000"/>
              </a:schemeClr>
            </a:solidFill>
            <a:prstDash val="solid"/>
            <a:round/>
            <a:headEnd w="med" len="med"/>
          </a:ln>
          <a:effectLst/>
        </c:spPr>
        <c:txPr>
          <a:bodyPr rot="-60000000" spcFirstLastPara="1" vertOverflow="ellipsis" vert="horz" wrap="square" anchor="ctr" anchorCtr="1"/>
          <a:lstStyle/>
          <a:p>
            <a:pPr>
              <a:defRPr lang="en-US" sz="1100" b="1"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1105273568"/>
        <c:crosses val="autoZero"/>
        <c:crossBetween val="midCat"/>
      </c:valAx>
      <c:valAx>
        <c:axId val="1105273568"/>
        <c:scaling>
          <c:orientation val="minMax"/>
          <c:max val="100"/>
          <c:min val="0"/>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100" b="1" i="0" u="none" strike="noStrike" kern="1200" cap="all" baseline="0">
                    <a:solidFill>
                      <a:sysClr val="windowText" lastClr="000000"/>
                    </a:solidFill>
                    <a:latin typeface="Arial" panose="020B0604020202020204" pitchFamily="2" charset="0"/>
                    <a:ea typeface="+mn-ea"/>
                    <a:cs typeface="Arial" panose="020B0604020202020204" pitchFamily="2" charset="0"/>
                  </a:defRPr>
                </a:pPr>
                <a:r>
                  <a:rPr lang="en-US" sz="1100" b="1" i="0" u="none" strike="noStrike" kern="1200" cap="all" baseline="0">
                    <a:solidFill>
                      <a:schemeClr val="tx1"/>
                    </a:solidFill>
                    <a:latin typeface="Arial" panose="020B0604020202020204" pitchFamily="2" charset="0"/>
                    <a:cs typeface="Arial" panose="020B0604020202020204" pitchFamily="2" charset="0"/>
                  </a:rPr>
                  <a:t>Percentage passing, %</a:t>
                </a:r>
              </a:p>
              <a:p>
                <a:pPr marL="0" marR="0" lvl="0" indent="0" algn="ctr" defTabSz="914400" rtl="0" eaLnBrk="1" fontAlgn="auto" latinLnBrk="0" hangingPunct="1">
                  <a:lnSpc>
                    <a:spcPct val="100000"/>
                  </a:lnSpc>
                  <a:spcBef>
                    <a:spcPts val="0"/>
                  </a:spcBef>
                  <a:spcAft>
                    <a:spcPts val="0"/>
                  </a:spcAft>
                  <a:buClrTx/>
                  <a:buSzTx/>
                  <a:buFontTx/>
                  <a:buNone/>
                  <a:defRPr sz="1100" b="1">
                    <a:solidFill>
                      <a:sysClr val="windowText" lastClr="000000"/>
                    </a:solidFill>
                  </a:defRPr>
                </a:pPr>
                <a:endParaRPr lang="en-US" sz="1100"/>
              </a:p>
            </c:rich>
          </c:tx>
          <c:layout>
            <c:manualLayout>
              <c:xMode val="edge"/>
              <c:yMode val="edge"/>
              <c:x val="2.1398956800856E-2"/>
              <c:y val="0.12824524319312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100" b="1" i="0" u="none" strike="noStrike" kern="1200" cap="all"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1050104448"/>
        <c:crossesAt val="0.01"/>
        <c:crossBetween val="midCat"/>
        <c:majorUnit val="10"/>
      </c:valAx>
      <c:spPr>
        <a:noFill/>
        <a:ln w="25400">
          <a:solidFill>
            <a:schemeClr val="accent1">
              <a:shade val="15000"/>
            </a:schemeClr>
          </a:solidFill>
        </a:ln>
        <a:effectLst/>
      </c:spPr>
    </c:plotArea>
    <c:plotVisOnly val="1"/>
    <c:dispBlanksAs val="gap"/>
    <c:showDLblsOverMax val="0"/>
    <c:extLst>
      <c:ext uri="{0b15fc19-7d7d-44ad-8c2d-2c3a37ce22c3}">
        <chartProps xmlns="https://web.wps.cn/et/2018/main" chartId="{9502fbbb-da4a-43a8-ba63-26b62c7862e1}"/>
      </c:ext>
    </c:extLst>
  </c:chart>
  <c:spPr>
    <a:solidFill>
      <a:schemeClr val="lt1"/>
    </a:solidFill>
    <a:ln w="9525" cap="flat" cmpd="sng" algn="ctr">
      <a:noFill/>
      <a:round/>
    </a:ln>
    <a:effectLst/>
  </c:spPr>
  <c:txPr>
    <a:bodyPr/>
    <a:lstStyle/>
    <a:p>
      <a:pPr>
        <a:defRPr lang="en-US">
          <a:latin typeface="Arial" panose="020B0604020202020204" pitchFamily="2" charset="0"/>
          <a:cs typeface="Arial" panose="020B0604020202020204" pitchFamily="2"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5146974759599"/>
          <c:y val="3.66885735208239E-2"/>
          <c:w val="0.83004713529486995"/>
          <c:h val="0.76072189694236902"/>
        </c:manualLayout>
      </c:layout>
      <c:barChart>
        <c:barDir val="col"/>
        <c:grouping val="clustered"/>
        <c:varyColors val="0"/>
        <c:ser>
          <c:idx val="0"/>
          <c:order val="0"/>
          <c:tx>
            <c:strRef>
              <c:f>ANALYTICAL!$W$41:$W$42</c:f>
              <c:strCache>
                <c:ptCount val="1"/>
                <c:pt idx="0">
                  <c:v>Flexure</c:v>
                </c:pt>
              </c:strCache>
            </c:strRef>
          </c:tx>
          <c:spPr>
            <a:solidFill>
              <a:srgbClr val="00B050"/>
            </a:solidFill>
            <a:ln>
              <a:solidFill>
                <a:srgbClr val="00B050"/>
              </a:solidFill>
            </a:ln>
            <a:effectLst/>
          </c:spPr>
          <c:invertIfNegative val="0"/>
          <c:cat>
            <c:strRef>
              <c:f>ANALYTICAL!$V$43:$V$52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ANALYTICAL!$W$43:$W$52</c:f>
              <c:numCache>
                <c:formatCode>General</c:formatCode>
                <c:ptCount val="10"/>
                <c:pt idx="0">
                  <c:v>7</c:v>
                </c:pt>
                <c:pt idx="1">
                  <c:v>4</c:v>
                </c:pt>
                <c:pt idx="2">
                  <c:v>5</c:v>
                </c:pt>
                <c:pt idx="3">
                  <c:v>12</c:v>
                </c:pt>
                <c:pt idx="4">
                  <c:v>5</c:v>
                </c:pt>
                <c:pt idx="5">
                  <c:v>13</c:v>
                </c:pt>
                <c:pt idx="6">
                  <c:v>4</c:v>
                </c:pt>
                <c:pt idx="7">
                  <c:v>0</c:v>
                </c:pt>
                <c:pt idx="8">
                  <c:v>4</c:v>
                </c:pt>
                <c:pt idx="9">
                  <c:v>3</c:v>
                </c:pt>
              </c:numCache>
            </c:numRef>
          </c:val>
          <c:extLst>
            <c:ext xmlns:c16="http://schemas.microsoft.com/office/drawing/2014/chart" uri="{C3380CC4-5D6E-409C-BE32-E72D297353CC}">
              <c16:uniqueId val="{00000000-F18D-48B9-B447-048132FF9EB3}"/>
            </c:ext>
          </c:extLst>
        </c:ser>
        <c:ser>
          <c:idx val="1"/>
          <c:order val="1"/>
          <c:tx>
            <c:strRef>
              <c:f>ANALYTICAL!$X$41:$X$42</c:f>
              <c:strCache>
                <c:ptCount val="1"/>
                <c:pt idx="0">
                  <c:v>Shear</c:v>
                </c:pt>
              </c:strCache>
            </c:strRef>
          </c:tx>
          <c:spPr>
            <a:solidFill>
              <a:srgbClr val="FF0000"/>
            </a:solidFill>
            <a:ln>
              <a:solidFill>
                <a:srgbClr val="FF0000"/>
              </a:solidFill>
            </a:ln>
            <a:effectLst/>
          </c:spPr>
          <c:invertIfNegative val="0"/>
          <c:cat>
            <c:strRef>
              <c:f>ANALYTICAL!$V$43:$V$52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ANALYTICAL!$X$43:$X$52</c:f>
              <c:numCache>
                <c:formatCode>General</c:formatCode>
                <c:ptCount val="10"/>
                <c:pt idx="0">
                  <c:v>0</c:v>
                </c:pt>
                <c:pt idx="1">
                  <c:v>0</c:v>
                </c:pt>
                <c:pt idx="2">
                  <c:v>0</c:v>
                </c:pt>
                <c:pt idx="3">
                  <c:v>2</c:v>
                </c:pt>
                <c:pt idx="4">
                  <c:v>0</c:v>
                </c:pt>
                <c:pt idx="5">
                  <c:v>1</c:v>
                </c:pt>
                <c:pt idx="6">
                  <c:v>0</c:v>
                </c:pt>
                <c:pt idx="7">
                  <c:v>0</c:v>
                </c:pt>
                <c:pt idx="8">
                  <c:v>0</c:v>
                </c:pt>
                <c:pt idx="9">
                  <c:v>0</c:v>
                </c:pt>
              </c:numCache>
            </c:numRef>
          </c:val>
          <c:extLst>
            <c:ext xmlns:c16="http://schemas.microsoft.com/office/drawing/2014/chart" uri="{C3380CC4-5D6E-409C-BE32-E72D297353CC}">
              <c16:uniqueId val="{00000001-F18D-48B9-B447-048132FF9EB3}"/>
            </c:ext>
          </c:extLst>
        </c:ser>
        <c:dLbls>
          <c:showLegendKey val="0"/>
          <c:showVal val="0"/>
          <c:showCatName val="0"/>
          <c:showSerName val="0"/>
          <c:showPercent val="0"/>
          <c:showBubbleSize val="0"/>
        </c:dLbls>
        <c:gapWidth val="150"/>
        <c:axId val="542652271"/>
        <c:axId val="542657071"/>
      </c:barChart>
      <c:catAx>
        <c:axId val="542652271"/>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7071"/>
        <c:crosses val="autoZero"/>
        <c:auto val="1"/>
        <c:lblAlgn val="ctr"/>
        <c:lblOffset val="100"/>
        <c:tickLblSkip val="1"/>
        <c:noMultiLvlLbl val="0"/>
      </c:catAx>
      <c:valAx>
        <c:axId val="54265707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r>
                  <a:rPr lang="en-US" sz="1100" b="1">
                    <a:latin typeface="+mn-lt"/>
                    <a:cs typeface="Arial" panose="020B0604020202020204" pitchFamily="2" charset="0"/>
                  </a:rPr>
                  <a:t>Number</a:t>
                </a:r>
              </a:p>
            </c:rich>
          </c:tx>
          <c:layout>
            <c:manualLayout>
              <c:xMode val="edge"/>
              <c:yMode val="edge"/>
              <c:x val="0"/>
              <c:y val="0.277669930093703"/>
            </c:manualLayout>
          </c:layout>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endParaRPr lang="en-US"/>
            </a:p>
          </c:txPr>
        </c:title>
        <c:numFmt formatCode="General" sourceLinked="1"/>
        <c:majorTickMark val="out"/>
        <c:minorTickMark val="none"/>
        <c:tickLblPos val="nextTo"/>
        <c:spPr>
          <a:noFill/>
          <a:ln w="22225">
            <a:solidFill>
              <a:schemeClr val="tx1"/>
            </a:solidFill>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2271"/>
        <c:crossesAt val="1"/>
        <c:crossBetween val="between"/>
      </c:valAx>
      <c:spPr>
        <a:noFill/>
        <a:ln w="15875">
          <a:solidFill>
            <a:schemeClr val="tx1"/>
          </a:solidFill>
        </a:ln>
        <a:effectLst/>
      </c:spPr>
    </c:plotArea>
    <c:legend>
      <c:legendPos val="r"/>
      <c:layout>
        <c:manualLayout>
          <c:xMode val="edge"/>
          <c:yMode val="edge"/>
          <c:x val="0.64541115567512097"/>
          <c:y val="8.7735689915056397E-2"/>
          <c:w val="0.25572604606404598"/>
          <c:h val="0.14845430948636601"/>
        </c:manualLayout>
      </c:layout>
      <c:overlay val="0"/>
      <c:spPr>
        <a:noFill/>
        <a:ln>
          <a:noFill/>
        </a:ln>
        <a:effectLst/>
      </c:spPr>
      <c:txPr>
        <a:bodyPr rot="0" spcFirstLastPara="1" vertOverflow="ellipsis" vert="horz" wrap="square" anchor="ctr" anchorCtr="1"/>
        <a:lstStyle/>
        <a:p>
          <a:pPr>
            <a:defRPr lang="en-US"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95e8f325-5889-46d5-a607-27d5abc8b52e}"/>
      </c:ext>
    </c:extLst>
  </c:chart>
  <c:spPr>
    <a:solidFill>
      <a:schemeClr val="bg1"/>
    </a:solidFill>
    <a:ln w="9525" cap="flat" cmpd="sng" algn="ctr">
      <a:no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302235735385"/>
          <c:y val="3.66885735208239E-2"/>
          <c:w val="0.83000684320400497"/>
          <c:h val="0.78798829642975898"/>
        </c:manualLayout>
      </c:layout>
      <c:barChart>
        <c:barDir val="col"/>
        <c:grouping val="clustered"/>
        <c:varyColors val="0"/>
        <c:ser>
          <c:idx val="0"/>
          <c:order val="0"/>
          <c:tx>
            <c:strRef>
              <c:f>ANALYTICAL!$AC$41:$AC$42</c:f>
              <c:strCache>
                <c:ptCount val="1"/>
                <c:pt idx="0">
                  <c:v>Flexure</c:v>
                </c:pt>
              </c:strCache>
            </c:strRef>
          </c:tx>
          <c:spPr>
            <a:solidFill>
              <a:srgbClr val="00B050"/>
            </a:solidFill>
            <a:ln>
              <a:solidFill>
                <a:srgbClr val="00B050"/>
              </a:solidFill>
            </a:ln>
            <a:effectLst/>
          </c:spPr>
          <c:invertIfNegative val="0"/>
          <c:cat>
            <c:strRef>
              <c:f>ANALYTICAL!$AB$43:$AB$52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ANALYTICAL!$AC$43:$AC$52</c:f>
              <c:numCache>
                <c:formatCode>General</c:formatCode>
                <c:ptCount val="10"/>
                <c:pt idx="0">
                  <c:v>6</c:v>
                </c:pt>
                <c:pt idx="1">
                  <c:v>10</c:v>
                </c:pt>
                <c:pt idx="2">
                  <c:v>9</c:v>
                </c:pt>
                <c:pt idx="3">
                  <c:v>12</c:v>
                </c:pt>
                <c:pt idx="4">
                  <c:v>7</c:v>
                </c:pt>
                <c:pt idx="5">
                  <c:v>13</c:v>
                </c:pt>
                <c:pt idx="6">
                  <c:v>5</c:v>
                </c:pt>
                <c:pt idx="7">
                  <c:v>10</c:v>
                </c:pt>
                <c:pt idx="8">
                  <c:v>4</c:v>
                </c:pt>
                <c:pt idx="9">
                  <c:v>7</c:v>
                </c:pt>
              </c:numCache>
            </c:numRef>
          </c:val>
          <c:extLst>
            <c:ext xmlns:c16="http://schemas.microsoft.com/office/drawing/2014/chart" uri="{C3380CC4-5D6E-409C-BE32-E72D297353CC}">
              <c16:uniqueId val="{00000000-D0D3-460D-BA46-082B64CB438D}"/>
            </c:ext>
          </c:extLst>
        </c:ser>
        <c:ser>
          <c:idx val="1"/>
          <c:order val="1"/>
          <c:tx>
            <c:strRef>
              <c:f>ANALYTICAL!$AD$41:$AD$42</c:f>
              <c:strCache>
                <c:ptCount val="1"/>
                <c:pt idx="0">
                  <c:v>Shear</c:v>
                </c:pt>
              </c:strCache>
            </c:strRef>
          </c:tx>
          <c:spPr>
            <a:solidFill>
              <a:srgbClr val="FF0000"/>
            </a:solidFill>
            <a:ln>
              <a:solidFill>
                <a:srgbClr val="FF0000"/>
              </a:solidFill>
            </a:ln>
            <a:effectLst/>
          </c:spPr>
          <c:invertIfNegative val="0"/>
          <c:cat>
            <c:strRef>
              <c:f>ANALYTICAL!$AB$43:$AB$52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ANALYTICAL!$AD$43:$AD$52</c:f>
              <c:numCache>
                <c:formatCode>General</c:formatCode>
                <c:ptCount val="10"/>
                <c:pt idx="0">
                  <c:v>4</c:v>
                </c:pt>
                <c:pt idx="1">
                  <c:v>8</c:v>
                </c:pt>
                <c:pt idx="2">
                  <c:v>0</c:v>
                </c:pt>
                <c:pt idx="3">
                  <c:v>11</c:v>
                </c:pt>
                <c:pt idx="4">
                  <c:v>2</c:v>
                </c:pt>
                <c:pt idx="5">
                  <c:v>6</c:v>
                </c:pt>
                <c:pt idx="6">
                  <c:v>1</c:v>
                </c:pt>
                <c:pt idx="7">
                  <c:v>7</c:v>
                </c:pt>
                <c:pt idx="8">
                  <c:v>1</c:v>
                </c:pt>
                <c:pt idx="9">
                  <c:v>7</c:v>
                </c:pt>
              </c:numCache>
            </c:numRef>
          </c:val>
          <c:extLst>
            <c:ext xmlns:c16="http://schemas.microsoft.com/office/drawing/2014/chart" uri="{C3380CC4-5D6E-409C-BE32-E72D297353CC}">
              <c16:uniqueId val="{00000001-D0D3-460D-BA46-082B64CB438D}"/>
            </c:ext>
          </c:extLst>
        </c:ser>
        <c:dLbls>
          <c:showLegendKey val="0"/>
          <c:showVal val="0"/>
          <c:showCatName val="0"/>
          <c:showSerName val="0"/>
          <c:showPercent val="0"/>
          <c:showBubbleSize val="0"/>
        </c:dLbls>
        <c:gapWidth val="150"/>
        <c:axId val="542652271"/>
        <c:axId val="542657071"/>
      </c:barChart>
      <c:catAx>
        <c:axId val="542652271"/>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7071"/>
        <c:crosses val="autoZero"/>
        <c:auto val="1"/>
        <c:lblAlgn val="ctr"/>
        <c:lblOffset val="100"/>
        <c:tickLblSkip val="1"/>
        <c:noMultiLvlLbl val="0"/>
      </c:catAx>
      <c:valAx>
        <c:axId val="54265707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r>
                  <a:rPr lang="en-US"/>
                  <a:t>Number</a:t>
                </a: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endParaRPr lang="en-US"/>
            </a:p>
          </c:txPr>
        </c:title>
        <c:numFmt formatCode="General" sourceLinked="1"/>
        <c:majorTickMark val="out"/>
        <c:minorTickMark val="none"/>
        <c:tickLblPos val="nextTo"/>
        <c:spPr>
          <a:noFill/>
          <a:ln w="22225">
            <a:solidFill>
              <a:schemeClr val="tx1"/>
            </a:solidFill>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2271"/>
        <c:crossesAt val="1"/>
        <c:crossBetween val="between"/>
      </c:valAx>
      <c:spPr>
        <a:noFill/>
        <a:ln w="15875">
          <a:solidFill>
            <a:schemeClr val="tx1"/>
          </a:solidFill>
        </a:ln>
        <a:effectLst/>
      </c:spPr>
    </c:plotArea>
    <c:legend>
      <c:legendPos val="r"/>
      <c:layout>
        <c:manualLayout>
          <c:xMode val="edge"/>
          <c:yMode val="edge"/>
          <c:x val="0.70883651407980797"/>
          <c:y val="5.5065880584022502E-2"/>
          <c:w val="0.242722185150585"/>
          <c:h val="0.13355702396496899"/>
        </c:manualLayout>
      </c:layout>
      <c:overlay val="0"/>
      <c:spPr>
        <a:noFill/>
        <a:ln>
          <a:noFill/>
        </a:ln>
        <a:effectLst/>
      </c:spPr>
      <c:txPr>
        <a:bodyPr rot="0" spcFirstLastPara="1" vertOverflow="ellipsis" vert="horz" wrap="square" anchor="ctr" anchorCtr="1"/>
        <a:lstStyle/>
        <a:p>
          <a:pPr>
            <a:defRPr lang="en-US"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d19387b-cbb9-4857-a092-8b22b465d497}"/>
      </c:ext>
    </c:extLst>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6289713115599"/>
          <c:y val="3.66885735208239E-2"/>
          <c:w val="0.81301218044795298"/>
          <c:h val="0.772707486273017"/>
        </c:manualLayout>
      </c:layout>
      <c:barChart>
        <c:barDir val="col"/>
        <c:grouping val="clustered"/>
        <c:varyColors val="0"/>
        <c:ser>
          <c:idx val="0"/>
          <c:order val="0"/>
          <c:tx>
            <c:strRef>
              <c:f>ANALYTICAL!$W$69</c:f>
              <c:strCache>
                <c:ptCount val="1"/>
                <c:pt idx="0">
                  <c:v>Largest</c:v>
                </c:pt>
              </c:strCache>
            </c:strRef>
          </c:tx>
          <c:spPr>
            <a:solidFill>
              <a:srgbClr val="00B050"/>
            </a:solidFill>
            <a:ln>
              <a:solidFill>
                <a:srgbClr val="00B050"/>
              </a:solidFill>
            </a:ln>
            <a:effectLst/>
          </c:spPr>
          <c:invertIfNegative val="0"/>
          <c:cat>
            <c:strRef>
              <c:f>ANALYTICAL!$V$70:$V$79</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ANALYTICAL!$W$70:$W$79</c:f>
              <c:numCache>
                <c:formatCode>General</c:formatCode>
                <c:ptCount val="10"/>
                <c:pt idx="0">
                  <c:v>224</c:v>
                </c:pt>
                <c:pt idx="1">
                  <c:v>694</c:v>
                </c:pt>
                <c:pt idx="2">
                  <c:v>168</c:v>
                </c:pt>
                <c:pt idx="3">
                  <c:v>242</c:v>
                </c:pt>
                <c:pt idx="4">
                  <c:v>204</c:v>
                </c:pt>
                <c:pt idx="5">
                  <c:v>382</c:v>
                </c:pt>
                <c:pt idx="6">
                  <c:v>496</c:v>
                </c:pt>
                <c:pt idx="7">
                  <c:v>584</c:v>
                </c:pt>
                <c:pt idx="8">
                  <c:v>523</c:v>
                </c:pt>
                <c:pt idx="9">
                  <c:v>686</c:v>
                </c:pt>
              </c:numCache>
            </c:numRef>
          </c:val>
          <c:extLst>
            <c:ext xmlns:c16="http://schemas.microsoft.com/office/drawing/2014/chart" uri="{C3380CC4-5D6E-409C-BE32-E72D297353CC}">
              <c16:uniqueId val="{00000000-34DE-4274-9CF0-A48B1F115998}"/>
            </c:ext>
          </c:extLst>
        </c:ser>
        <c:ser>
          <c:idx val="1"/>
          <c:order val="1"/>
          <c:tx>
            <c:strRef>
              <c:f>ANALYTICAL!$X$69</c:f>
              <c:strCache>
                <c:ptCount val="1"/>
                <c:pt idx="0">
                  <c:v>Average</c:v>
                </c:pt>
              </c:strCache>
            </c:strRef>
          </c:tx>
          <c:spPr>
            <a:solidFill>
              <a:srgbClr val="FF0000"/>
            </a:solidFill>
            <a:ln>
              <a:solidFill>
                <a:srgbClr val="FF0000"/>
              </a:solidFill>
            </a:ln>
            <a:effectLst/>
          </c:spPr>
          <c:invertIfNegative val="0"/>
          <c:cat>
            <c:strRef>
              <c:f>ANALYTICAL!$V$70:$V$79</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ANALYTICAL!$X$70:$X$79</c:f>
              <c:numCache>
                <c:formatCode>0.0</c:formatCode>
                <c:ptCount val="10"/>
                <c:pt idx="0">
                  <c:v>133.529411764706</c:v>
                </c:pt>
                <c:pt idx="1">
                  <c:v>119.954545454545</c:v>
                </c:pt>
                <c:pt idx="2">
                  <c:v>123.78571428571399</c:v>
                </c:pt>
                <c:pt idx="3">
                  <c:v>86.648648648648603</c:v>
                </c:pt>
                <c:pt idx="4">
                  <c:v>125.928571428571</c:v>
                </c:pt>
                <c:pt idx="5">
                  <c:v>102.363636363636</c:v>
                </c:pt>
                <c:pt idx="6">
                  <c:v>139.30000000000001</c:v>
                </c:pt>
                <c:pt idx="7">
                  <c:v>105.764705882353</c:v>
                </c:pt>
                <c:pt idx="8">
                  <c:v>141.888888888889</c:v>
                </c:pt>
                <c:pt idx="9">
                  <c:v>126.941176470588</c:v>
                </c:pt>
              </c:numCache>
            </c:numRef>
          </c:val>
          <c:extLst>
            <c:ext xmlns:c16="http://schemas.microsoft.com/office/drawing/2014/chart" uri="{C3380CC4-5D6E-409C-BE32-E72D297353CC}">
              <c16:uniqueId val="{00000001-34DE-4274-9CF0-A48B1F115998}"/>
            </c:ext>
          </c:extLst>
        </c:ser>
        <c:ser>
          <c:idx val="2"/>
          <c:order val="2"/>
          <c:tx>
            <c:strRef>
              <c:f>ANALYTICAL!$Y$69</c:f>
              <c:strCache>
                <c:ptCount val="1"/>
                <c:pt idx="0">
                  <c:v>Smallest</c:v>
                </c:pt>
              </c:strCache>
            </c:strRef>
          </c:tx>
          <c:spPr>
            <a:solidFill>
              <a:srgbClr val="FFC000">
                <a:lumMod val="75000"/>
              </a:srgbClr>
            </a:solidFill>
            <a:ln>
              <a:solidFill>
                <a:srgbClr val="FFC000">
                  <a:lumMod val="75000"/>
                </a:srgbClr>
              </a:solidFill>
            </a:ln>
            <a:effectLst/>
          </c:spPr>
          <c:invertIfNegative val="0"/>
          <c:cat>
            <c:strRef>
              <c:f>ANALYTICAL!$V$70:$V$79</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ANALYTICAL!$Y$70:$Y$79</c:f>
              <c:numCache>
                <c:formatCode>General</c:formatCode>
                <c:ptCount val="10"/>
                <c:pt idx="0">
                  <c:v>68</c:v>
                </c:pt>
                <c:pt idx="1">
                  <c:v>25</c:v>
                </c:pt>
                <c:pt idx="2">
                  <c:v>64</c:v>
                </c:pt>
                <c:pt idx="3">
                  <c:v>26</c:v>
                </c:pt>
                <c:pt idx="4">
                  <c:v>41</c:v>
                </c:pt>
                <c:pt idx="5">
                  <c:v>14</c:v>
                </c:pt>
                <c:pt idx="6">
                  <c:v>46</c:v>
                </c:pt>
                <c:pt idx="7">
                  <c:v>17</c:v>
                </c:pt>
                <c:pt idx="8">
                  <c:v>23</c:v>
                </c:pt>
                <c:pt idx="9">
                  <c:v>10</c:v>
                </c:pt>
              </c:numCache>
            </c:numRef>
          </c:val>
          <c:extLst>
            <c:ext xmlns:c16="http://schemas.microsoft.com/office/drawing/2014/chart" uri="{C3380CC4-5D6E-409C-BE32-E72D297353CC}">
              <c16:uniqueId val="{00000002-34DE-4274-9CF0-A48B1F115998}"/>
            </c:ext>
          </c:extLst>
        </c:ser>
        <c:dLbls>
          <c:showLegendKey val="0"/>
          <c:showVal val="0"/>
          <c:showCatName val="0"/>
          <c:showSerName val="0"/>
          <c:showPercent val="0"/>
          <c:showBubbleSize val="0"/>
        </c:dLbls>
        <c:gapWidth val="150"/>
        <c:axId val="542652271"/>
        <c:axId val="542657071"/>
      </c:barChart>
      <c:catAx>
        <c:axId val="542652271"/>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7071"/>
        <c:crosses val="autoZero"/>
        <c:auto val="1"/>
        <c:lblAlgn val="ctr"/>
        <c:lblOffset val="100"/>
        <c:tickLblSkip val="1"/>
        <c:noMultiLvlLbl val="0"/>
      </c:catAx>
      <c:valAx>
        <c:axId val="54265707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r>
                  <a:rPr lang="en-US"/>
                  <a:t>Crack Length, mm</a:t>
                </a: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endParaRPr lang="en-US"/>
            </a:p>
          </c:txPr>
        </c:title>
        <c:numFmt formatCode="General" sourceLinked="1"/>
        <c:majorTickMark val="out"/>
        <c:minorTickMark val="none"/>
        <c:tickLblPos val="nextTo"/>
        <c:spPr>
          <a:noFill/>
          <a:ln w="22225">
            <a:solidFill>
              <a:schemeClr val="tx1"/>
            </a:solidFill>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2271"/>
        <c:crossesAt val="1"/>
        <c:crossBetween val="between"/>
      </c:valAx>
      <c:spPr>
        <a:noFill/>
        <a:ln w="15875">
          <a:solidFill>
            <a:schemeClr val="tx1"/>
          </a:solidFill>
        </a:ln>
        <a:effectLst/>
      </c:spPr>
    </c:plotArea>
    <c:legend>
      <c:legendPos val="r"/>
      <c:layout>
        <c:manualLayout>
          <c:xMode val="edge"/>
          <c:yMode val="edge"/>
          <c:x val="0.36976969031686102"/>
          <c:y val="7.5658096770627306E-2"/>
          <c:w val="0.50046962628331004"/>
          <c:h val="9.17578011081948E-2"/>
        </c:manualLayout>
      </c:layout>
      <c:overlay val="0"/>
      <c:spPr>
        <a:noFill/>
        <a:ln>
          <a:noFill/>
        </a:ln>
        <a:effectLst/>
      </c:spPr>
      <c:txPr>
        <a:bodyPr rot="0" spcFirstLastPara="1" vertOverflow="ellipsis" vert="horz" wrap="square" anchor="ctr" anchorCtr="1"/>
        <a:lstStyle/>
        <a:p>
          <a:pPr>
            <a:defRPr lang="en-US"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5432fb38-afd6-44df-81b8-86536fc8b55c}"/>
      </c:ext>
    </c:extLst>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6289713115599"/>
          <c:y val="3.66885735208239E-2"/>
          <c:w val="0.81301218044795298"/>
          <c:h val="0.772707486273017"/>
        </c:manualLayout>
      </c:layout>
      <c:barChart>
        <c:barDir val="col"/>
        <c:grouping val="clustered"/>
        <c:varyColors val="0"/>
        <c:ser>
          <c:idx val="0"/>
          <c:order val="0"/>
          <c:tx>
            <c:strRef>
              <c:f>ANALYTICAL!$AN$72</c:f>
              <c:strCache>
                <c:ptCount val="1"/>
                <c:pt idx="0">
                  <c:v>Largest</c:v>
                </c:pt>
              </c:strCache>
            </c:strRef>
          </c:tx>
          <c:spPr>
            <a:solidFill>
              <a:srgbClr val="00B050"/>
            </a:solidFill>
            <a:ln>
              <a:solidFill>
                <a:srgbClr val="00B050"/>
              </a:solidFill>
            </a:ln>
            <a:effectLst/>
          </c:spPr>
          <c:invertIfNegative val="0"/>
          <c:cat>
            <c:strRef>
              <c:f>ANALYTICAL!$AM$73:$AM$82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ANALYTICAL!$AN$73:$AN$82</c:f>
              <c:numCache>
                <c:formatCode>General</c:formatCode>
                <c:ptCount val="10"/>
                <c:pt idx="0">
                  <c:v>152</c:v>
                </c:pt>
                <c:pt idx="1">
                  <c:v>151</c:v>
                </c:pt>
                <c:pt idx="2">
                  <c:v>130</c:v>
                </c:pt>
                <c:pt idx="3">
                  <c:v>108</c:v>
                </c:pt>
                <c:pt idx="4">
                  <c:v>204</c:v>
                </c:pt>
                <c:pt idx="5">
                  <c:v>308</c:v>
                </c:pt>
                <c:pt idx="6">
                  <c:v>254</c:v>
                </c:pt>
                <c:pt idx="7">
                  <c:v>441</c:v>
                </c:pt>
                <c:pt idx="8">
                  <c:v>221</c:v>
                </c:pt>
                <c:pt idx="9">
                  <c:v>254</c:v>
                </c:pt>
              </c:numCache>
            </c:numRef>
          </c:val>
          <c:extLst>
            <c:ext xmlns:c16="http://schemas.microsoft.com/office/drawing/2014/chart" uri="{C3380CC4-5D6E-409C-BE32-E72D297353CC}">
              <c16:uniqueId val="{00000000-A2A5-4411-BE54-F29BF6EF7D69}"/>
            </c:ext>
          </c:extLst>
        </c:ser>
        <c:ser>
          <c:idx val="1"/>
          <c:order val="1"/>
          <c:tx>
            <c:strRef>
              <c:f>ANALYTICAL!$AO$72</c:f>
              <c:strCache>
                <c:ptCount val="1"/>
                <c:pt idx="0">
                  <c:v>Average</c:v>
                </c:pt>
              </c:strCache>
            </c:strRef>
          </c:tx>
          <c:spPr>
            <a:solidFill>
              <a:srgbClr val="FF0000"/>
            </a:solidFill>
            <a:ln>
              <a:solidFill>
                <a:srgbClr val="FF0000"/>
              </a:solidFill>
            </a:ln>
            <a:effectLst/>
          </c:spPr>
          <c:invertIfNegative val="0"/>
          <c:cat>
            <c:strRef>
              <c:f>ANALYTICAL!$AM$73:$AM$82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ANALYTICAL!$AO$73:$AO$82</c:f>
              <c:numCache>
                <c:formatCode>0.00</c:formatCode>
                <c:ptCount val="10"/>
                <c:pt idx="0">
                  <c:v>83.1875</c:v>
                </c:pt>
                <c:pt idx="1">
                  <c:v>77.142857142857096</c:v>
                </c:pt>
                <c:pt idx="2">
                  <c:v>91.230769230769198</c:v>
                </c:pt>
                <c:pt idx="3">
                  <c:v>47.2777777777778</c:v>
                </c:pt>
                <c:pt idx="4">
                  <c:v>104.769230769231</c:v>
                </c:pt>
                <c:pt idx="5">
                  <c:v>50.625</c:v>
                </c:pt>
                <c:pt idx="6">
                  <c:v>127.888888888889</c:v>
                </c:pt>
                <c:pt idx="7">
                  <c:v>81.0625</c:v>
                </c:pt>
                <c:pt idx="8">
                  <c:v>118.875</c:v>
                </c:pt>
                <c:pt idx="9">
                  <c:v>103.375</c:v>
                </c:pt>
              </c:numCache>
            </c:numRef>
          </c:val>
          <c:extLst>
            <c:ext xmlns:c16="http://schemas.microsoft.com/office/drawing/2014/chart" uri="{C3380CC4-5D6E-409C-BE32-E72D297353CC}">
              <c16:uniqueId val="{00000001-A2A5-4411-BE54-F29BF6EF7D69}"/>
            </c:ext>
          </c:extLst>
        </c:ser>
        <c:ser>
          <c:idx val="2"/>
          <c:order val="2"/>
          <c:tx>
            <c:strRef>
              <c:f>ANALYTICAL!$AP$72</c:f>
              <c:strCache>
                <c:ptCount val="1"/>
                <c:pt idx="0">
                  <c:v>Smallest</c:v>
                </c:pt>
              </c:strCache>
            </c:strRef>
          </c:tx>
          <c:spPr>
            <a:solidFill>
              <a:srgbClr val="FFC000">
                <a:lumMod val="75000"/>
              </a:srgbClr>
            </a:solidFill>
            <a:ln>
              <a:solidFill>
                <a:srgbClr val="FFC000">
                  <a:lumMod val="75000"/>
                </a:srgbClr>
              </a:solidFill>
            </a:ln>
            <a:effectLst/>
          </c:spPr>
          <c:invertIfNegative val="0"/>
          <c:cat>
            <c:strRef>
              <c:f>ANALYTICAL!$AM$73:$AM$82</c:f>
              <c:strCache>
                <c:ptCount val="10"/>
                <c:pt idx="0">
                  <c:v>A1</c:v>
                </c:pt>
                <c:pt idx="1">
                  <c:v>AR02</c:v>
                </c:pt>
                <c:pt idx="2">
                  <c:v>B1</c:v>
                </c:pt>
                <c:pt idx="3">
                  <c:v>BR02</c:v>
                </c:pt>
                <c:pt idx="4">
                  <c:v>C2</c:v>
                </c:pt>
                <c:pt idx="5">
                  <c:v>CR02</c:v>
                </c:pt>
                <c:pt idx="6">
                  <c:v>D1</c:v>
                </c:pt>
                <c:pt idx="7">
                  <c:v>DR02</c:v>
                </c:pt>
                <c:pt idx="8">
                  <c:v>E2</c:v>
                </c:pt>
                <c:pt idx="9">
                  <c:v>ER03</c:v>
                </c:pt>
              </c:strCache>
            </c:strRef>
          </c:cat>
          <c:val>
            <c:numRef>
              <c:f>ANALYTICAL!$AP$73:$AP$82</c:f>
              <c:numCache>
                <c:formatCode>General</c:formatCode>
                <c:ptCount val="10"/>
                <c:pt idx="0">
                  <c:v>20</c:v>
                </c:pt>
                <c:pt idx="1">
                  <c:v>10</c:v>
                </c:pt>
                <c:pt idx="2">
                  <c:v>55</c:v>
                </c:pt>
                <c:pt idx="3">
                  <c:v>10</c:v>
                </c:pt>
                <c:pt idx="4">
                  <c:v>49</c:v>
                </c:pt>
                <c:pt idx="5">
                  <c:v>10</c:v>
                </c:pt>
                <c:pt idx="6">
                  <c:v>57</c:v>
                </c:pt>
                <c:pt idx="7">
                  <c:v>20</c:v>
                </c:pt>
                <c:pt idx="8">
                  <c:v>86</c:v>
                </c:pt>
                <c:pt idx="9">
                  <c:v>31</c:v>
                </c:pt>
              </c:numCache>
            </c:numRef>
          </c:val>
          <c:extLst>
            <c:ext xmlns:c16="http://schemas.microsoft.com/office/drawing/2014/chart" uri="{C3380CC4-5D6E-409C-BE32-E72D297353CC}">
              <c16:uniqueId val="{00000002-A2A5-4411-BE54-F29BF6EF7D69}"/>
            </c:ext>
          </c:extLst>
        </c:ser>
        <c:dLbls>
          <c:showLegendKey val="0"/>
          <c:showVal val="0"/>
          <c:showCatName val="0"/>
          <c:showSerName val="0"/>
          <c:showPercent val="0"/>
          <c:showBubbleSize val="0"/>
        </c:dLbls>
        <c:gapWidth val="150"/>
        <c:axId val="542652271"/>
        <c:axId val="542657071"/>
      </c:barChart>
      <c:catAx>
        <c:axId val="542652271"/>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7071"/>
        <c:crosses val="autoZero"/>
        <c:auto val="1"/>
        <c:lblAlgn val="ctr"/>
        <c:lblOffset val="100"/>
        <c:tickLblSkip val="1"/>
        <c:noMultiLvlLbl val="0"/>
      </c:catAx>
      <c:valAx>
        <c:axId val="54265707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r>
                  <a:rPr lang="en-US"/>
                  <a:t>Crack spacing, mm</a:t>
                </a: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endParaRPr lang="en-US"/>
            </a:p>
          </c:txPr>
        </c:title>
        <c:numFmt formatCode="General" sourceLinked="1"/>
        <c:majorTickMark val="out"/>
        <c:minorTickMark val="none"/>
        <c:tickLblPos val="nextTo"/>
        <c:spPr>
          <a:noFill/>
          <a:ln w="22225">
            <a:solidFill>
              <a:schemeClr val="tx1"/>
            </a:solidFill>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2271"/>
        <c:crossesAt val="1"/>
        <c:crossBetween val="between"/>
      </c:valAx>
      <c:spPr>
        <a:noFill/>
        <a:ln w="15875">
          <a:solidFill>
            <a:schemeClr val="tx1"/>
          </a:solidFill>
        </a:ln>
        <a:effectLst/>
      </c:spPr>
    </c:plotArea>
    <c:legend>
      <c:legendPos val="r"/>
      <c:layout>
        <c:manualLayout>
          <c:xMode val="edge"/>
          <c:yMode val="edge"/>
          <c:x val="0.23289706945466301"/>
          <c:y val="8.5479795733860095E-2"/>
          <c:w val="0.43542442798821501"/>
          <c:h val="9.17578011081948E-2"/>
        </c:manualLayout>
      </c:layout>
      <c:overlay val="0"/>
      <c:spPr>
        <a:noFill/>
        <a:ln>
          <a:noFill/>
        </a:ln>
        <a:effectLst/>
      </c:spPr>
      <c:txPr>
        <a:bodyPr rot="0" spcFirstLastPara="1" vertOverflow="ellipsis" vert="horz" wrap="square" anchor="ctr" anchorCtr="1"/>
        <a:lstStyle/>
        <a:p>
          <a:pPr>
            <a:defRPr lang="en-US"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a9169dd2-7820-423f-932a-756f7b9ddf4a}"/>
      </c:ext>
    </c:extLst>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4827313252499"/>
          <c:y val="3.66885735208239E-2"/>
          <c:w val="0.83142662722715199"/>
          <c:h val="0.78248646374756303"/>
        </c:manualLayout>
      </c:layout>
      <c:barChart>
        <c:barDir val="col"/>
        <c:grouping val="clustered"/>
        <c:varyColors val="0"/>
        <c:ser>
          <c:idx val="0"/>
          <c:order val="0"/>
          <c:spPr>
            <a:solidFill>
              <a:srgbClr val="00B050"/>
            </a:solidFill>
            <a:ln>
              <a:solidFill>
                <a:srgbClr val="00B050"/>
              </a:solidFill>
            </a:ln>
            <a:effectLst/>
          </c:spPr>
          <c:invertIfNegative val="0"/>
          <c:cat>
            <c:strRef>
              <c:f>ANALYTICAL!$AT$55:$AT$65</c:f>
              <c:strCache>
                <c:ptCount val="11"/>
                <c:pt idx="1">
                  <c:v>A1</c:v>
                </c:pt>
                <c:pt idx="2">
                  <c:v>AR02</c:v>
                </c:pt>
                <c:pt idx="3">
                  <c:v>B1</c:v>
                </c:pt>
                <c:pt idx="4">
                  <c:v>BR02</c:v>
                </c:pt>
                <c:pt idx="5">
                  <c:v>C2</c:v>
                </c:pt>
                <c:pt idx="6">
                  <c:v>CR02</c:v>
                </c:pt>
                <c:pt idx="7">
                  <c:v>D1</c:v>
                </c:pt>
                <c:pt idx="8">
                  <c:v>DR02</c:v>
                </c:pt>
                <c:pt idx="9">
                  <c:v>E2</c:v>
                </c:pt>
                <c:pt idx="10">
                  <c:v>ER03</c:v>
                </c:pt>
              </c:strCache>
            </c:strRef>
          </c:cat>
          <c:val>
            <c:numRef>
              <c:f>ANALYTICAL!$AU$55:$AU$65</c:f>
              <c:numCache>
                <c:formatCode>General</c:formatCode>
                <c:ptCount val="11"/>
                <c:pt idx="1">
                  <c:v>2</c:v>
                </c:pt>
                <c:pt idx="2">
                  <c:v>15</c:v>
                </c:pt>
                <c:pt idx="3">
                  <c:v>2</c:v>
                </c:pt>
                <c:pt idx="4">
                  <c:v>3</c:v>
                </c:pt>
                <c:pt idx="5">
                  <c:v>3</c:v>
                </c:pt>
                <c:pt idx="6">
                  <c:v>5</c:v>
                </c:pt>
                <c:pt idx="7">
                  <c:v>4</c:v>
                </c:pt>
                <c:pt idx="8">
                  <c:v>31</c:v>
                </c:pt>
                <c:pt idx="9">
                  <c:v>9</c:v>
                </c:pt>
                <c:pt idx="10">
                  <c:v>30</c:v>
                </c:pt>
              </c:numCache>
            </c:numRef>
          </c:val>
          <c:extLst>
            <c:ext xmlns:c16="http://schemas.microsoft.com/office/drawing/2014/chart" uri="{C3380CC4-5D6E-409C-BE32-E72D297353CC}">
              <c16:uniqueId val="{00000000-6C68-4F89-B265-F88F38FA4B69}"/>
            </c:ext>
          </c:extLst>
        </c:ser>
        <c:dLbls>
          <c:showLegendKey val="0"/>
          <c:showVal val="0"/>
          <c:showCatName val="0"/>
          <c:showSerName val="0"/>
          <c:showPercent val="0"/>
          <c:showBubbleSize val="0"/>
        </c:dLbls>
        <c:gapWidth val="150"/>
        <c:axId val="542652271"/>
        <c:axId val="542657071"/>
      </c:barChart>
      <c:catAx>
        <c:axId val="542652271"/>
        <c:scaling>
          <c:orientation val="minMax"/>
        </c:scaling>
        <c:delete val="0"/>
        <c:axPos val="b"/>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7071"/>
        <c:crosses val="autoZero"/>
        <c:auto val="1"/>
        <c:lblAlgn val="ctr"/>
        <c:lblOffset val="100"/>
        <c:tickLblSkip val="1"/>
        <c:noMultiLvlLbl val="0"/>
      </c:catAx>
      <c:valAx>
        <c:axId val="54265707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r>
                  <a:rPr lang="en-US"/>
                  <a:t>Max.</a:t>
                </a:r>
                <a:r>
                  <a:rPr lang="en-US" baseline="0"/>
                  <a:t> c</a:t>
                </a:r>
                <a:r>
                  <a:rPr lang="en-US"/>
                  <a:t>rack width, mm</a:t>
                </a:r>
              </a:p>
            </c:rich>
          </c:tx>
          <c:overlay val="0"/>
          <c:spPr>
            <a:noFill/>
            <a:ln>
              <a:noFill/>
            </a:ln>
            <a:effectLst/>
          </c:spPr>
          <c:txPr>
            <a:bodyPr rot="-54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Arial" panose="020B0604020202020204" pitchFamily="2" charset="0"/>
                </a:defRPr>
              </a:pPr>
              <a:endParaRPr lang="en-US"/>
            </a:p>
          </c:txPr>
        </c:title>
        <c:numFmt formatCode="General" sourceLinked="1"/>
        <c:majorTickMark val="out"/>
        <c:minorTickMark val="none"/>
        <c:tickLblPos val="nextTo"/>
        <c:spPr>
          <a:noFill/>
          <a:ln w="22225">
            <a:solidFill>
              <a:schemeClr val="tx1"/>
            </a:solidFill>
          </a:ln>
          <a:effectLst/>
        </c:spPr>
        <c:txPr>
          <a:bodyPr rot="-60000000" spcFirstLastPara="1" vertOverflow="ellipsis" vert="horz" wrap="square" anchor="ctr" anchorCtr="1"/>
          <a:lstStyle/>
          <a:p>
            <a:pPr>
              <a:defRPr lang="en-US" sz="1100" b="1" i="0" u="none" strike="noStrike" kern="1200" baseline="0">
                <a:solidFill>
                  <a:schemeClr val="tx1">
                    <a:lumMod val="65000"/>
                    <a:lumOff val="35000"/>
                  </a:schemeClr>
                </a:solidFill>
                <a:latin typeface="+mn-lt"/>
                <a:ea typeface="+mn-ea"/>
                <a:cs typeface="+mn-cs"/>
              </a:defRPr>
            </a:pPr>
            <a:endParaRPr lang="en-US"/>
          </a:p>
        </c:txPr>
        <c:crossAx val="542652271"/>
        <c:crossesAt val="1"/>
        <c:crossBetween val="between"/>
      </c:valAx>
      <c:spPr>
        <a:noFill/>
        <a:ln w="15875">
          <a:solidFill>
            <a:schemeClr val="tx1"/>
          </a:solidFill>
        </a:ln>
        <a:effectLst/>
      </c:spPr>
    </c:plotArea>
    <c:plotVisOnly val="1"/>
    <c:dispBlanksAs val="gap"/>
    <c:showDLblsOverMax val="0"/>
    <c:extLst>
      <c:ext uri="{0b15fc19-7d7d-44ad-8c2d-2c3a37ce22c3}">
        <chartProps xmlns="https://web.wps.cn/et/2018/main" chartId="{6853a355-67ec-471c-bbe4-bfa10e3f4458}"/>
      </c:ext>
    </c:extLst>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7436143652799"/>
          <c:y val="7.5677930746766806E-2"/>
          <c:w val="0.79945799457994604"/>
          <c:h val="0.73370880267000405"/>
        </c:manualLayout>
      </c:layout>
      <c:scatterChart>
        <c:scatterStyle val="smoothMarker"/>
        <c:varyColors val="0"/>
        <c:ser>
          <c:idx val="0"/>
          <c:order val="0"/>
          <c:tx>
            <c:strRef>
              <c:f>A1</c:f>
              <c:strCache>
                <c:ptCount val="1"/>
                <c:pt idx="0">
                  <c:v>A1</c:v>
                </c:pt>
              </c:strCache>
            </c:strRef>
          </c:tx>
          <c:spPr>
            <a:ln w="25400" cap="rnd" cmpd="sng">
              <a:solidFill>
                <a:schemeClr val="tx1"/>
              </a:solidFill>
              <a:round/>
            </a:ln>
            <a:effectLst/>
          </c:spPr>
          <c:marker>
            <c:symbol val="circle"/>
            <c:size val="6"/>
            <c:spPr>
              <a:solidFill>
                <a:schemeClr val="tx1"/>
              </a:solidFill>
              <a:ln w="25400">
                <a:solidFill>
                  <a:sysClr val="windowText" lastClr="000000"/>
                </a:solidFill>
              </a:ln>
              <a:effectLst/>
            </c:spPr>
          </c:marker>
          <c:xVal>
            <c:numRef>
              <c:f>'BEAMS - MONOTONIC'!$DE$8:$DE$24</c:f>
              <c:numCache>
                <c:formatCode>0.00</c:formatCode>
                <c:ptCount val="17"/>
                <c:pt idx="0">
                  <c:v>0</c:v>
                </c:pt>
                <c:pt idx="1">
                  <c:v>0</c:v>
                </c:pt>
                <c:pt idx="2">
                  <c:v>0.06</c:v>
                </c:pt>
                <c:pt idx="3">
                  <c:v>0.36</c:v>
                </c:pt>
                <c:pt idx="4">
                  <c:v>0.65</c:v>
                </c:pt>
                <c:pt idx="5">
                  <c:v>1.17</c:v>
                </c:pt>
                <c:pt idx="6">
                  <c:v>1.94</c:v>
                </c:pt>
                <c:pt idx="7">
                  <c:v>2.68</c:v>
                </c:pt>
                <c:pt idx="8">
                  <c:v>3.25</c:v>
                </c:pt>
                <c:pt idx="9">
                  <c:v>3.75</c:v>
                </c:pt>
                <c:pt idx="10">
                  <c:v>4.41</c:v>
                </c:pt>
                <c:pt idx="11">
                  <c:v>4.95</c:v>
                </c:pt>
                <c:pt idx="12">
                  <c:v>5.67</c:v>
                </c:pt>
                <c:pt idx="13">
                  <c:v>6.61</c:v>
                </c:pt>
                <c:pt idx="14">
                  <c:v>7.75</c:v>
                </c:pt>
                <c:pt idx="15">
                  <c:v>10.1</c:v>
                </c:pt>
                <c:pt idx="16">
                  <c:v>19.059999999999999</c:v>
                </c:pt>
              </c:numCache>
            </c:numRef>
          </c:xVal>
          <c:yVal>
            <c:numRef>
              <c:f>'BEAMS - MONOTONIC'!$DD$8:$DD$24</c:f>
              <c:numCache>
                <c:formatCode>General</c:formatCode>
                <c:ptCount val="17"/>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30</c:v>
                </c:pt>
              </c:numCache>
            </c:numRef>
          </c:yVal>
          <c:smooth val="1"/>
          <c:extLst>
            <c:ext xmlns:c16="http://schemas.microsoft.com/office/drawing/2014/chart" uri="{C3380CC4-5D6E-409C-BE32-E72D297353CC}">
              <c16:uniqueId val="{00000000-D6A3-4596-9F0A-762FBFCFFD17}"/>
            </c:ext>
          </c:extLst>
        </c:ser>
        <c:ser>
          <c:idx val="1"/>
          <c:order val="1"/>
          <c:tx>
            <c:strRef>
              <c:f>B1</c:f>
              <c:strCache>
                <c:ptCount val="1"/>
                <c:pt idx="0">
                  <c:v>B1</c:v>
                </c:pt>
              </c:strCache>
            </c:strRef>
          </c:tx>
          <c:spPr>
            <a:ln w="25400" cap="rnd">
              <a:solidFill>
                <a:srgbClr val="FF0000"/>
              </a:solidFill>
              <a:round/>
            </a:ln>
            <a:effectLst/>
          </c:spPr>
          <c:marker>
            <c:symbol val="square"/>
            <c:size val="7"/>
            <c:spPr>
              <a:solidFill>
                <a:srgbClr val="FF0000"/>
              </a:solidFill>
              <a:ln w="9525">
                <a:solidFill>
                  <a:srgbClr val="FF0000"/>
                </a:solidFill>
              </a:ln>
              <a:effectLst/>
            </c:spPr>
          </c:marker>
          <c:xVal>
            <c:numRef>
              <c:f>'BEAMS - MONOTONIC'!$BE$8:$BE$21</c:f>
              <c:numCache>
                <c:formatCode>0.00</c:formatCode>
                <c:ptCount val="14"/>
                <c:pt idx="0">
                  <c:v>0</c:v>
                </c:pt>
                <c:pt idx="1">
                  <c:v>0.23</c:v>
                </c:pt>
                <c:pt idx="2">
                  <c:v>0.62</c:v>
                </c:pt>
                <c:pt idx="3">
                  <c:v>1.2</c:v>
                </c:pt>
                <c:pt idx="4">
                  <c:v>1.78</c:v>
                </c:pt>
                <c:pt idx="5">
                  <c:v>2.71</c:v>
                </c:pt>
                <c:pt idx="6">
                  <c:v>3.55</c:v>
                </c:pt>
                <c:pt idx="7">
                  <c:v>4.5599999999999996</c:v>
                </c:pt>
                <c:pt idx="8">
                  <c:v>5.46</c:v>
                </c:pt>
                <c:pt idx="9">
                  <c:v>6.2</c:v>
                </c:pt>
                <c:pt idx="10">
                  <c:v>7.04</c:v>
                </c:pt>
                <c:pt idx="11">
                  <c:v>7.74</c:v>
                </c:pt>
                <c:pt idx="12">
                  <c:v>9.59</c:v>
                </c:pt>
                <c:pt idx="13">
                  <c:v>19.559999999999999</c:v>
                </c:pt>
              </c:numCache>
            </c:numRef>
          </c:xVal>
          <c:yVal>
            <c:numRef>
              <c:f>'BEAMS - MONOTONIC'!$BD$8:$BD$21</c:f>
              <c:numCache>
                <c:formatCode>General</c:formatCode>
                <c:ptCount val="14"/>
                <c:pt idx="0">
                  <c:v>0</c:v>
                </c:pt>
                <c:pt idx="1">
                  <c:v>2</c:v>
                </c:pt>
                <c:pt idx="2">
                  <c:v>4</c:v>
                </c:pt>
                <c:pt idx="3">
                  <c:v>6</c:v>
                </c:pt>
                <c:pt idx="4">
                  <c:v>8</c:v>
                </c:pt>
                <c:pt idx="5">
                  <c:v>10</c:v>
                </c:pt>
                <c:pt idx="6">
                  <c:v>12</c:v>
                </c:pt>
                <c:pt idx="7">
                  <c:v>14</c:v>
                </c:pt>
                <c:pt idx="8">
                  <c:v>16</c:v>
                </c:pt>
                <c:pt idx="9">
                  <c:v>18</c:v>
                </c:pt>
                <c:pt idx="10">
                  <c:v>20</c:v>
                </c:pt>
                <c:pt idx="11">
                  <c:v>22</c:v>
                </c:pt>
                <c:pt idx="12">
                  <c:v>24</c:v>
                </c:pt>
                <c:pt idx="13">
                  <c:v>24</c:v>
                </c:pt>
              </c:numCache>
            </c:numRef>
          </c:yVal>
          <c:smooth val="1"/>
          <c:extLst>
            <c:ext xmlns:c16="http://schemas.microsoft.com/office/drawing/2014/chart" uri="{C3380CC4-5D6E-409C-BE32-E72D297353CC}">
              <c16:uniqueId val="{00000001-D6A3-4596-9F0A-762FBFCFFD17}"/>
            </c:ext>
          </c:extLst>
        </c:ser>
        <c:ser>
          <c:idx val="2"/>
          <c:order val="2"/>
          <c:tx>
            <c:strRef>
              <c:f>C2</c:f>
              <c:strCache>
                <c:ptCount val="1"/>
                <c:pt idx="0">
                  <c:v>C2</c:v>
                </c:pt>
              </c:strCache>
            </c:strRef>
          </c:tx>
          <c:spPr>
            <a:ln w="25400" cap="rnd">
              <a:solidFill>
                <a:sysClr val="windowText" lastClr="000000"/>
              </a:solidFill>
              <a:round/>
            </a:ln>
            <a:effectLst/>
          </c:spPr>
          <c:marker>
            <c:symbol val="triangle"/>
            <c:size val="7"/>
            <c:spPr>
              <a:solidFill>
                <a:sysClr val="windowText" lastClr="000000"/>
              </a:solidFill>
              <a:ln w="25400">
                <a:solidFill>
                  <a:sysClr val="windowText" lastClr="000000"/>
                </a:solidFill>
              </a:ln>
              <a:effectLst/>
            </c:spPr>
          </c:marker>
          <c:xVal>
            <c:numRef>
              <c:f>'BEAMS - MONOTONIC'!$AR$8:$AR$22</c:f>
              <c:numCache>
                <c:formatCode>0.00</c:formatCode>
                <c:ptCount val="15"/>
                <c:pt idx="0">
                  <c:v>0</c:v>
                </c:pt>
                <c:pt idx="1">
                  <c:v>0.09</c:v>
                </c:pt>
                <c:pt idx="2">
                  <c:v>0.23</c:v>
                </c:pt>
                <c:pt idx="3">
                  <c:v>0.66</c:v>
                </c:pt>
                <c:pt idx="4">
                  <c:v>1.4</c:v>
                </c:pt>
                <c:pt idx="5">
                  <c:v>2.14</c:v>
                </c:pt>
                <c:pt idx="6">
                  <c:v>3.2</c:v>
                </c:pt>
                <c:pt idx="7">
                  <c:v>4.07</c:v>
                </c:pt>
                <c:pt idx="8">
                  <c:v>5.01</c:v>
                </c:pt>
                <c:pt idx="9">
                  <c:v>5.88</c:v>
                </c:pt>
                <c:pt idx="10">
                  <c:v>6.71</c:v>
                </c:pt>
                <c:pt idx="11">
                  <c:v>7.46</c:v>
                </c:pt>
                <c:pt idx="12">
                  <c:v>8.7799999999999994</c:v>
                </c:pt>
                <c:pt idx="13">
                  <c:v>11.1</c:v>
                </c:pt>
                <c:pt idx="14">
                  <c:v>23.05</c:v>
                </c:pt>
              </c:numCache>
            </c:numRef>
          </c:xVal>
          <c:yVal>
            <c:numRef>
              <c:f>'BEAMS - MONOTONIC'!$AQ$8:$AQ$22</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26</c:v>
                </c:pt>
              </c:numCache>
            </c:numRef>
          </c:yVal>
          <c:smooth val="1"/>
          <c:extLst>
            <c:ext xmlns:c16="http://schemas.microsoft.com/office/drawing/2014/chart" uri="{C3380CC4-5D6E-409C-BE32-E72D297353CC}">
              <c16:uniqueId val="{00000002-D6A3-4596-9F0A-762FBFCFFD17}"/>
            </c:ext>
          </c:extLst>
        </c:ser>
        <c:ser>
          <c:idx val="3"/>
          <c:order val="3"/>
          <c:tx>
            <c:strRef>
              <c:f>D1</c:f>
              <c:strCache>
                <c:ptCount val="1"/>
                <c:pt idx="0">
                  <c:v>D1</c:v>
                </c:pt>
              </c:strCache>
            </c:strRef>
          </c:tx>
          <c:spPr>
            <a:ln w="25400" cap="rnd">
              <a:solidFill>
                <a:srgbClr val="FF0000"/>
              </a:solidFill>
              <a:round/>
            </a:ln>
            <a:effectLst/>
          </c:spPr>
          <c:marker>
            <c:symbol val="x"/>
            <c:size val="7"/>
            <c:spPr>
              <a:noFill/>
              <a:ln w="25400">
                <a:solidFill>
                  <a:srgbClr val="FF0000"/>
                </a:solidFill>
              </a:ln>
              <a:effectLst/>
            </c:spPr>
          </c:marker>
          <c:xVal>
            <c:numRef>
              <c:f>'BEAMS - MONOTONIC'!$CR$8:$CR$25</c:f>
              <c:numCache>
                <c:formatCode>0.00</c:formatCode>
                <c:ptCount val="18"/>
                <c:pt idx="0">
                  <c:v>0</c:v>
                </c:pt>
                <c:pt idx="1">
                  <c:v>0.06</c:v>
                </c:pt>
                <c:pt idx="2">
                  <c:v>0.32</c:v>
                </c:pt>
                <c:pt idx="3">
                  <c:v>0.86</c:v>
                </c:pt>
                <c:pt idx="4">
                  <c:v>1.26</c:v>
                </c:pt>
                <c:pt idx="5">
                  <c:v>1.8</c:v>
                </c:pt>
                <c:pt idx="6">
                  <c:v>2.4500000000000002</c:v>
                </c:pt>
                <c:pt idx="7">
                  <c:v>3.12</c:v>
                </c:pt>
                <c:pt idx="8">
                  <c:v>3.71</c:v>
                </c:pt>
                <c:pt idx="9">
                  <c:v>4.18</c:v>
                </c:pt>
                <c:pt idx="10">
                  <c:v>4.84</c:v>
                </c:pt>
                <c:pt idx="11">
                  <c:v>5.33</c:v>
                </c:pt>
                <c:pt idx="12">
                  <c:v>6.04</c:v>
                </c:pt>
                <c:pt idx="13">
                  <c:v>6.78</c:v>
                </c:pt>
                <c:pt idx="14">
                  <c:v>7.44</c:v>
                </c:pt>
                <c:pt idx="15">
                  <c:v>8.26</c:v>
                </c:pt>
                <c:pt idx="16">
                  <c:v>9.4499999999999993</c:v>
                </c:pt>
                <c:pt idx="17">
                  <c:v>16.41</c:v>
                </c:pt>
              </c:numCache>
            </c:numRef>
          </c:xVal>
          <c:yVal>
            <c:numRef>
              <c:f>'BEAMS - MONOTONIC'!$CQ$8:$CQ$25</c:f>
              <c:numCache>
                <c:formatCode>General</c:formatCode>
                <c:ptCount val="18"/>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32</c:v>
                </c:pt>
              </c:numCache>
            </c:numRef>
          </c:yVal>
          <c:smooth val="1"/>
          <c:extLst>
            <c:ext xmlns:c16="http://schemas.microsoft.com/office/drawing/2014/chart" uri="{C3380CC4-5D6E-409C-BE32-E72D297353CC}">
              <c16:uniqueId val="{00000003-D6A3-4596-9F0A-762FBFCFFD17}"/>
            </c:ext>
          </c:extLst>
        </c:ser>
        <c:ser>
          <c:idx val="4"/>
          <c:order val="4"/>
          <c:tx>
            <c:strRef>
              <c:f>E2</c:f>
              <c:strCache>
                <c:ptCount val="1"/>
                <c:pt idx="0">
                  <c:v>E2</c:v>
                </c:pt>
              </c:strCache>
            </c:strRef>
          </c:tx>
          <c:spPr>
            <a:ln w="25400" cap="rnd">
              <a:solidFill>
                <a:srgbClr val="00B050"/>
              </a:solidFill>
              <a:round/>
            </a:ln>
            <a:effectLst/>
          </c:spPr>
          <c:marker>
            <c:symbol val="diamond"/>
            <c:size val="7"/>
            <c:spPr>
              <a:solidFill>
                <a:srgbClr val="00B050"/>
              </a:solidFill>
              <a:ln w="25400">
                <a:solidFill>
                  <a:srgbClr val="00B050"/>
                </a:solidFill>
              </a:ln>
              <a:effectLst/>
            </c:spPr>
          </c:marker>
          <c:xVal>
            <c:numRef>
              <c:f>'BEAMS - MONOTONIC'!$AE$8:$AE$22</c:f>
              <c:numCache>
                <c:formatCode>0.00</c:formatCode>
                <c:ptCount val="15"/>
                <c:pt idx="0">
                  <c:v>0</c:v>
                </c:pt>
                <c:pt idx="1">
                  <c:v>7.0000000000000007E-2</c:v>
                </c:pt>
                <c:pt idx="2">
                  <c:v>1.1100000000000001</c:v>
                </c:pt>
                <c:pt idx="3">
                  <c:v>1.91</c:v>
                </c:pt>
                <c:pt idx="4">
                  <c:v>2.74</c:v>
                </c:pt>
                <c:pt idx="5">
                  <c:v>3.62</c:v>
                </c:pt>
                <c:pt idx="6">
                  <c:v>4.53</c:v>
                </c:pt>
                <c:pt idx="7">
                  <c:v>5.12</c:v>
                </c:pt>
                <c:pt idx="8">
                  <c:v>5.99</c:v>
                </c:pt>
                <c:pt idx="9">
                  <c:v>6.7</c:v>
                </c:pt>
                <c:pt idx="10">
                  <c:v>7.5</c:v>
                </c:pt>
                <c:pt idx="11">
                  <c:v>8.86</c:v>
                </c:pt>
                <c:pt idx="12">
                  <c:v>10.09</c:v>
                </c:pt>
                <c:pt idx="13">
                  <c:v>13.19</c:v>
                </c:pt>
                <c:pt idx="14">
                  <c:v>17.84</c:v>
                </c:pt>
              </c:numCache>
            </c:numRef>
          </c:xVal>
          <c:yVal>
            <c:numRef>
              <c:f>'BEAMS - MONOTONIC'!$AD$8:$AD$22</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26</c:v>
                </c:pt>
              </c:numCache>
            </c:numRef>
          </c:yVal>
          <c:smooth val="1"/>
          <c:extLst>
            <c:ext xmlns:c16="http://schemas.microsoft.com/office/drawing/2014/chart" uri="{C3380CC4-5D6E-409C-BE32-E72D297353CC}">
              <c16:uniqueId val="{00000004-D6A3-4596-9F0A-762FBFCFFD17}"/>
            </c:ext>
          </c:extLst>
        </c:ser>
        <c:dLbls>
          <c:showLegendKey val="0"/>
          <c:showVal val="0"/>
          <c:showCatName val="0"/>
          <c:showSerName val="0"/>
          <c:showPercent val="0"/>
          <c:showBubbleSize val="0"/>
        </c:dLbls>
        <c:axId val="14880095"/>
        <c:axId val="14879135"/>
      </c:scatterChart>
      <c:valAx>
        <c:axId val="14880095"/>
        <c:scaling>
          <c:orientation val="minMax"/>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1200"/>
                  <a:t>Deflection, mm</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79135"/>
        <c:crosses val="autoZero"/>
        <c:crossBetween val="midCat"/>
        <c:majorUnit val="2"/>
      </c:valAx>
      <c:valAx>
        <c:axId val="14879135"/>
        <c:scaling>
          <c:orientation val="minMax"/>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2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r>
                  <a:rPr lang="en-US" sz="1200" b="1" i="0" u="none" strike="noStrike" kern="1200" baseline="0">
                    <a:solidFill>
                      <a:sysClr val="windowText" lastClr="000000">
                        <a:lumMod val="65000"/>
                        <a:lumOff val="35000"/>
                      </a:sysClr>
                    </a:solidFill>
                    <a:latin typeface="Arial" panose="020B0604020202020204" pitchFamily="2" charset="0"/>
                    <a:cs typeface="Arial" panose="020B0604020202020204" pitchFamily="2" charset="0"/>
                  </a:rPr>
                  <a:t> Load, kN</a:t>
                </a:r>
                <a:endParaRPr lang="en-US" sz="1200" b="1" i="0" u="none" strike="noStrike" kern="1200" baseline="0">
                  <a:solidFill>
                    <a:sysClr val="windowText" lastClr="000000">
                      <a:lumMod val="65000"/>
                      <a:lumOff val="35000"/>
                    </a:sysClr>
                  </a:solidFill>
                  <a:latin typeface="Symbol" panose="05050102010706020507" pitchFamily="18" charset="2"/>
                  <a:cs typeface="Arial" panose="020B0604020202020204" pitchFamily="2" charset="0"/>
                </a:endParaRPr>
              </a:p>
              <a:p>
                <a:pPr marL="0" marR="0" lvl="0" indent="0" algn="ctr" defTabSz="914400" rtl="0" eaLnBrk="1" fontAlgn="auto" latinLnBrk="0" hangingPunct="1">
                  <a:lnSpc>
                    <a:spcPct val="100000"/>
                  </a:lnSpc>
                  <a:spcBef>
                    <a:spcPts val="0"/>
                  </a:spcBef>
                  <a:spcAft>
                    <a:spcPts val="0"/>
                  </a:spcAft>
                  <a:buClrTx/>
                  <a:buSzTx/>
                  <a:buFontTx/>
                  <a:buNone/>
                  <a:defRPr sz="1200" b="1">
                    <a:solidFill>
                      <a:sysClr val="windowText" lastClr="000000">
                        <a:lumMod val="65000"/>
                        <a:lumOff val="35000"/>
                      </a:sysClr>
                    </a:solidFill>
                  </a:defRPr>
                </a:pPr>
                <a:endParaRPr lang="en-US" sz="1200"/>
              </a:p>
            </c:rich>
          </c:tx>
          <c:layout>
            <c:manualLayout>
              <c:xMode val="edge"/>
              <c:yMode val="edge"/>
              <c:x val="2.3150783282134602E-2"/>
              <c:y val="0.2845522592504219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2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endParaRPr lang="en-US"/>
            </a:p>
          </c:txPr>
        </c:title>
        <c:numFmt formatCode="General" sourceLinked="1"/>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80095"/>
        <c:crosses val="autoZero"/>
        <c:crossBetween val="midCat"/>
      </c:valAx>
      <c:spPr>
        <a:noFill/>
        <a:ln w="25400" cmpd="sng">
          <a:solidFill>
            <a:schemeClr val="tx1"/>
          </a:solidFill>
        </a:ln>
        <a:effectLst/>
      </c:spPr>
    </c:plotArea>
    <c:legend>
      <c:legendPos val="r"/>
      <c:legendEntry>
        <c:idx val="0"/>
        <c:txPr>
          <a:bodyPr rot="0" spcFirstLastPara="1" vertOverflow="ellipsis" vert="horz" wrap="square" anchor="ctr" anchorCtr="1"/>
          <a:lstStyle/>
          <a:p>
            <a:pPr>
              <a:defRPr lang="en-US" sz="1200" b="1" i="0" u="none" strike="noStrike" kern="1200" baseline="0">
                <a:ln w="12700">
                  <a:noFill/>
                </a:ln>
                <a:solidFill>
                  <a:schemeClr val="tx1"/>
                </a:solidFill>
                <a:latin typeface="Arial" panose="020B0604020202020204" pitchFamily="2" charset="0"/>
                <a:ea typeface="+mn-ea"/>
                <a:cs typeface="Arial" panose="020B0604020202020204" pitchFamily="2" charset="0"/>
              </a:defRPr>
            </a:pPr>
            <a:endParaRPr lang="en-US"/>
          </a:p>
        </c:txPr>
      </c:legendEntry>
      <c:layout>
        <c:manualLayout>
          <c:xMode val="edge"/>
          <c:yMode val="edge"/>
          <c:x val="0.77967774207596197"/>
          <c:y val="0.45541316736035498"/>
          <c:w val="0.13675035015241899"/>
          <c:h val="0.326809030473802"/>
        </c:manualLayout>
      </c:layout>
      <c:overlay val="0"/>
      <c:spPr>
        <a:noFill/>
        <a:ln w="19050">
          <a:solidFill>
            <a:sysClr val="windowText" lastClr="000000"/>
          </a:solidFill>
        </a:ln>
        <a:effectLst/>
      </c:spPr>
      <c:txPr>
        <a:bodyPr rot="0" spcFirstLastPara="1" vertOverflow="ellipsis" vert="horz" wrap="square" anchor="ctr" anchorCtr="1"/>
        <a:lstStyle/>
        <a:p>
          <a:pPr>
            <a:defRPr lang="en-US" sz="1200" b="1" i="0" u="none" strike="noStrike" kern="1200" baseline="0">
              <a:ln>
                <a:noFill/>
              </a:ln>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4adac8a7-1304-4ac7-9cc1-3a09d9cc6aaf}"/>
      </c:ext>
    </c:extLst>
  </c:chart>
  <c:spPr>
    <a:solidFill>
      <a:schemeClr val="bg1"/>
    </a:solidFill>
    <a:ln w="9525" cap="flat" cmpd="sng" algn="ctr">
      <a:noFill/>
      <a:round/>
    </a:ln>
    <a:effectLst/>
  </c:spPr>
  <c:txPr>
    <a:bodyPr/>
    <a:lstStyle/>
    <a:p>
      <a:pPr>
        <a:defRPr lang="en-US" sz="1400">
          <a:latin typeface="Arial" panose="020B0604020202020204" pitchFamily="2" charset="0"/>
          <a:cs typeface="Arial" panose="020B0604020202020204"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7436143652799"/>
          <c:y val="7.5677930746766806E-2"/>
          <c:w val="0.79945799457994604"/>
          <c:h val="0.73370880267000405"/>
        </c:manualLayout>
      </c:layout>
      <c:scatterChart>
        <c:scatterStyle val="smoothMarker"/>
        <c:varyColors val="0"/>
        <c:ser>
          <c:idx val="0"/>
          <c:order val="0"/>
          <c:tx>
            <c:strRef>
              <c:f>A1</c:f>
              <c:strCache>
                <c:ptCount val="1"/>
                <c:pt idx="0">
                  <c:v>A1</c:v>
                </c:pt>
              </c:strCache>
            </c:strRef>
          </c:tx>
          <c:spPr>
            <a:ln w="25400" cap="rnd" cmpd="sng">
              <a:solidFill>
                <a:schemeClr val="tx1"/>
              </a:solidFill>
              <a:round/>
            </a:ln>
            <a:effectLst/>
          </c:spPr>
          <c:marker>
            <c:symbol val="circle"/>
            <c:size val="6"/>
            <c:spPr>
              <a:solidFill>
                <a:schemeClr val="tx1"/>
              </a:solidFill>
              <a:ln w="25400">
                <a:solidFill>
                  <a:sysClr val="windowText" lastClr="000000"/>
                </a:solidFill>
              </a:ln>
              <a:effectLst/>
            </c:spPr>
          </c:marker>
          <c:xVal>
            <c:numRef>
              <c:f>'BEAMS - MONOTONIC'!$DE$8:$DE$24</c:f>
              <c:numCache>
                <c:formatCode>0.00</c:formatCode>
                <c:ptCount val="17"/>
                <c:pt idx="0">
                  <c:v>0</c:v>
                </c:pt>
                <c:pt idx="1">
                  <c:v>0</c:v>
                </c:pt>
                <c:pt idx="2">
                  <c:v>0.06</c:v>
                </c:pt>
                <c:pt idx="3">
                  <c:v>0.36</c:v>
                </c:pt>
                <c:pt idx="4">
                  <c:v>0.65</c:v>
                </c:pt>
                <c:pt idx="5">
                  <c:v>1.17</c:v>
                </c:pt>
                <c:pt idx="6">
                  <c:v>1.94</c:v>
                </c:pt>
                <c:pt idx="7">
                  <c:v>2.68</c:v>
                </c:pt>
                <c:pt idx="8">
                  <c:v>3.25</c:v>
                </c:pt>
                <c:pt idx="9">
                  <c:v>3.75</c:v>
                </c:pt>
                <c:pt idx="10">
                  <c:v>4.41</c:v>
                </c:pt>
                <c:pt idx="11">
                  <c:v>4.95</c:v>
                </c:pt>
                <c:pt idx="12">
                  <c:v>5.67</c:v>
                </c:pt>
                <c:pt idx="13">
                  <c:v>6.61</c:v>
                </c:pt>
                <c:pt idx="14">
                  <c:v>7.75</c:v>
                </c:pt>
                <c:pt idx="15">
                  <c:v>10.1</c:v>
                </c:pt>
                <c:pt idx="16">
                  <c:v>19.059999999999999</c:v>
                </c:pt>
              </c:numCache>
            </c:numRef>
          </c:xVal>
          <c:yVal>
            <c:numRef>
              <c:f>'BEAMS - MONOTONIC'!$DD$8:$DD$24</c:f>
              <c:numCache>
                <c:formatCode>General</c:formatCode>
                <c:ptCount val="17"/>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30</c:v>
                </c:pt>
              </c:numCache>
            </c:numRef>
          </c:yVal>
          <c:smooth val="1"/>
          <c:extLst>
            <c:ext xmlns:c16="http://schemas.microsoft.com/office/drawing/2014/chart" uri="{C3380CC4-5D6E-409C-BE32-E72D297353CC}">
              <c16:uniqueId val="{00000000-106E-4A5D-AC08-5EB4F797B32A}"/>
            </c:ext>
          </c:extLst>
        </c:ser>
        <c:ser>
          <c:idx val="2"/>
          <c:order val="1"/>
          <c:tx>
            <c:strRef>
              <c:f>AR02</c:f>
              <c:strCache>
                <c:ptCount val="1"/>
                <c:pt idx="0">
                  <c:v>AR02</c:v>
                </c:pt>
              </c:strCache>
            </c:strRef>
          </c:tx>
          <c:spPr>
            <a:ln w="25400" cap="rnd">
              <a:solidFill>
                <a:srgbClr val="C00000"/>
              </a:solidFill>
              <a:round/>
            </a:ln>
            <a:effectLst/>
          </c:spPr>
          <c:marker>
            <c:symbol val="square"/>
            <c:size val="6"/>
            <c:spPr>
              <a:solidFill>
                <a:srgbClr val="C00000"/>
              </a:solidFill>
              <a:ln w="25400">
                <a:solidFill>
                  <a:srgbClr val="C00000"/>
                </a:solidFill>
              </a:ln>
              <a:effectLst/>
            </c:spPr>
          </c:marker>
          <c:xVal>
            <c:numRef>
              <c:f>'BEAMS - MONOTONIC'!$GS$83:$GS$106</c:f>
              <c:numCache>
                <c:formatCode>0.00</c:formatCode>
                <c:ptCount val="24"/>
                <c:pt idx="0">
                  <c:v>0</c:v>
                </c:pt>
                <c:pt idx="1">
                  <c:v>0.24</c:v>
                </c:pt>
                <c:pt idx="2">
                  <c:v>0.42</c:v>
                </c:pt>
                <c:pt idx="3">
                  <c:v>0.59</c:v>
                </c:pt>
                <c:pt idx="4">
                  <c:v>0.74</c:v>
                </c:pt>
                <c:pt idx="5">
                  <c:v>0.88</c:v>
                </c:pt>
                <c:pt idx="6">
                  <c:v>1.1399999999999999</c:v>
                </c:pt>
                <c:pt idx="7">
                  <c:v>1.62</c:v>
                </c:pt>
                <c:pt idx="8">
                  <c:v>2.13</c:v>
                </c:pt>
                <c:pt idx="9">
                  <c:v>2.54</c:v>
                </c:pt>
                <c:pt idx="10">
                  <c:v>3.03</c:v>
                </c:pt>
                <c:pt idx="11">
                  <c:v>3.44</c:v>
                </c:pt>
                <c:pt idx="12">
                  <c:v>4.03</c:v>
                </c:pt>
                <c:pt idx="13">
                  <c:v>4.42</c:v>
                </c:pt>
                <c:pt idx="14">
                  <c:v>4.8499999999999996</c:v>
                </c:pt>
                <c:pt idx="15">
                  <c:v>5.24</c:v>
                </c:pt>
                <c:pt idx="16">
                  <c:v>5.73</c:v>
                </c:pt>
                <c:pt idx="17">
                  <c:v>6.14</c:v>
                </c:pt>
                <c:pt idx="18">
                  <c:v>6.67</c:v>
                </c:pt>
                <c:pt idx="19">
                  <c:v>7.13</c:v>
                </c:pt>
                <c:pt idx="20">
                  <c:v>7.63</c:v>
                </c:pt>
                <c:pt idx="21">
                  <c:v>8.26</c:v>
                </c:pt>
                <c:pt idx="22">
                  <c:v>8.83</c:v>
                </c:pt>
                <c:pt idx="23">
                  <c:v>17.25</c:v>
                </c:pt>
              </c:numCache>
            </c:numRef>
          </c:xVal>
          <c:yVal>
            <c:numRef>
              <c:f>'BEAMS - MONOTONIC'!$GR$83:$GR$106</c:f>
              <c:numCache>
                <c:formatCode>General</c:formatCode>
                <c:ptCount val="24"/>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40</c:v>
                </c:pt>
                <c:pt idx="22">
                  <c:v>42</c:v>
                </c:pt>
                <c:pt idx="23">
                  <c:v>8</c:v>
                </c:pt>
              </c:numCache>
            </c:numRef>
          </c:yVal>
          <c:smooth val="1"/>
          <c:extLst>
            <c:ext xmlns:c16="http://schemas.microsoft.com/office/drawing/2014/chart" uri="{C3380CC4-5D6E-409C-BE32-E72D297353CC}">
              <c16:uniqueId val="{00000001-106E-4A5D-AC08-5EB4F797B32A}"/>
            </c:ext>
          </c:extLst>
        </c:ser>
        <c:dLbls>
          <c:showLegendKey val="0"/>
          <c:showVal val="0"/>
          <c:showCatName val="0"/>
          <c:showSerName val="0"/>
          <c:showPercent val="0"/>
          <c:showBubbleSize val="0"/>
        </c:dLbls>
        <c:axId val="14880095"/>
        <c:axId val="14879135"/>
      </c:scatterChart>
      <c:valAx>
        <c:axId val="14880095"/>
        <c:scaling>
          <c:orientation val="minMax"/>
          <c:min val="0"/>
        </c:scaling>
        <c:delete val="0"/>
        <c:axPos val="b"/>
        <c:majorGridlines>
          <c:spPr>
            <a:ln w="25400" cap="flat" cmpd="sng" algn="ctr">
              <a:solidFill>
                <a:schemeClr val="tx1">
                  <a:lumMod val="15000"/>
                  <a:lumOff val="85000"/>
                </a:schemeClr>
              </a:solidFill>
              <a:prstDash val="sysDot"/>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1200" b="1" i="0" u="none" strike="noStrike" kern="1200" baseline="0">
                    <a:solidFill>
                      <a:sysClr val="windowText" lastClr="000000">
                        <a:lumMod val="65000"/>
                        <a:lumOff val="35000"/>
                      </a:sysClr>
                    </a:solidFill>
                    <a:latin typeface="Arial" panose="020B0604020202020204" pitchFamily="2" charset="0"/>
                    <a:cs typeface="Arial" panose="020B0604020202020204" pitchFamily="2" charset="0"/>
                  </a:rPr>
                  <a:t>Deflection, mm</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title>
        <c:numFmt formatCode="0" sourceLinked="0"/>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79135"/>
        <c:crosses val="autoZero"/>
        <c:crossBetween val="midCat"/>
        <c:majorUnit val="2"/>
      </c:valAx>
      <c:valAx>
        <c:axId val="14879135"/>
        <c:scaling>
          <c:orientation val="minMax"/>
        </c:scaling>
        <c:delete val="0"/>
        <c:axPos val="l"/>
        <c:majorGridlines>
          <c:spPr>
            <a:ln w="25400"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2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r>
                  <a:rPr lang="en-US" sz="1200" b="1" i="0" u="none" strike="noStrike" kern="1200" baseline="0">
                    <a:solidFill>
                      <a:sysClr val="windowText" lastClr="000000">
                        <a:lumMod val="65000"/>
                        <a:lumOff val="35000"/>
                      </a:sysClr>
                    </a:solidFill>
                    <a:latin typeface="Arial" panose="020B0604020202020204" pitchFamily="2" charset="0"/>
                    <a:cs typeface="Arial" panose="020B0604020202020204" pitchFamily="2" charset="0"/>
                  </a:rPr>
                  <a:t> Load, kN</a:t>
                </a:r>
                <a:endParaRPr lang="en-US" sz="1200" b="1" i="0" u="none" strike="noStrike" kern="1200" baseline="0">
                  <a:solidFill>
                    <a:sysClr val="windowText" lastClr="000000">
                      <a:lumMod val="65000"/>
                      <a:lumOff val="35000"/>
                    </a:sysClr>
                  </a:solidFill>
                  <a:latin typeface="Symbol" panose="05050102010706020507" pitchFamily="18" charset="2"/>
                  <a:cs typeface="Arial" panose="020B0604020202020204" pitchFamily="2" charset="0"/>
                </a:endParaRPr>
              </a:p>
              <a:p>
                <a:pPr marL="0" marR="0" lvl="0" indent="0" algn="ctr" defTabSz="914400" rtl="0" eaLnBrk="1" fontAlgn="auto" latinLnBrk="0" hangingPunct="1">
                  <a:lnSpc>
                    <a:spcPct val="100000"/>
                  </a:lnSpc>
                  <a:spcBef>
                    <a:spcPts val="0"/>
                  </a:spcBef>
                  <a:spcAft>
                    <a:spcPts val="0"/>
                  </a:spcAft>
                  <a:buClrTx/>
                  <a:buSzTx/>
                  <a:buFontTx/>
                  <a:buNone/>
                  <a:defRPr sz="1200" b="1">
                    <a:solidFill>
                      <a:sysClr val="windowText" lastClr="000000">
                        <a:lumMod val="65000"/>
                        <a:lumOff val="35000"/>
                      </a:sysClr>
                    </a:solidFill>
                  </a:defRPr>
                </a:pPr>
                <a:endParaRPr lang="en-US" sz="1200"/>
              </a:p>
            </c:rich>
          </c:tx>
          <c:layout>
            <c:manualLayout>
              <c:xMode val="edge"/>
              <c:yMode val="edge"/>
              <c:x val="1.8071516038774899E-2"/>
              <c:y val="0.28646782703313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200" b="1" i="0" u="none" strike="noStrike" kern="1200" baseline="0">
                  <a:solidFill>
                    <a:sysClr val="windowText" lastClr="000000">
                      <a:lumMod val="65000"/>
                      <a:lumOff val="35000"/>
                    </a:sysClr>
                  </a:solidFill>
                  <a:latin typeface="Arial" panose="020B0604020202020204" pitchFamily="2" charset="0"/>
                  <a:ea typeface="+mn-ea"/>
                  <a:cs typeface="Arial" panose="020B0604020202020204" pitchFamily="2" charset="0"/>
                </a:defRPr>
              </a:pPr>
              <a:endParaRPr lang="en-US"/>
            </a:p>
          </c:txPr>
        </c:title>
        <c:numFmt formatCode="General" sourceLinked="1"/>
        <c:majorTickMark val="in"/>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crossAx val="14880095"/>
        <c:crosses val="autoZero"/>
        <c:crossBetween val="midCat"/>
      </c:valAx>
      <c:spPr>
        <a:noFill/>
        <a:ln w="25400" cmpd="sng">
          <a:solidFill>
            <a:schemeClr val="tx1"/>
          </a:solidFill>
        </a:ln>
        <a:effectLst/>
      </c:spPr>
    </c:plotArea>
    <c:legend>
      <c:legendPos val="r"/>
      <c:legendEntry>
        <c:idx val="0"/>
        <c:txPr>
          <a:bodyPr rot="0" spcFirstLastPara="1" vertOverflow="ellipsis" vert="horz" wrap="square" anchor="ctr" anchorCtr="1"/>
          <a:lstStyle/>
          <a:p>
            <a:pPr>
              <a:defRPr lang="en-US" sz="1200" b="1" i="0" u="none" strike="noStrike" kern="1200" baseline="0">
                <a:ln w="12700">
                  <a:noFill/>
                </a:ln>
                <a:solidFill>
                  <a:schemeClr val="tx1"/>
                </a:solidFill>
                <a:latin typeface="Arial" panose="020B0604020202020204" pitchFamily="2" charset="0"/>
                <a:ea typeface="+mn-ea"/>
                <a:cs typeface="Arial" panose="020B0604020202020204" pitchFamily="2" charset="0"/>
              </a:defRPr>
            </a:pPr>
            <a:endParaRPr lang="en-US"/>
          </a:p>
        </c:txPr>
      </c:legendEntry>
      <c:layout>
        <c:manualLayout>
          <c:xMode val="edge"/>
          <c:yMode val="edge"/>
          <c:x val="0.70573021132907698"/>
          <c:y val="0.111938976377953"/>
          <c:w val="0.234121861053115"/>
          <c:h val="0.13608035522645401"/>
        </c:manualLayout>
      </c:layout>
      <c:overlay val="0"/>
      <c:spPr>
        <a:noFill/>
        <a:ln w="19050">
          <a:solidFill>
            <a:sysClr val="windowText" lastClr="000000"/>
          </a:solidFill>
        </a:ln>
        <a:effectLst/>
      </c:spPr>
      <c:txPr>
        <a:bodyPr rot="0" spcFirstLastPara="1" vertOverflow="ellipsis" vert="horz" wrap="square" anchor="ctr" anchorCtr="1"/>
        <a:lstStyle/>
        <a:p>
          <a:pPr>
            <a:defRPr lang="en-US" sz="1200" b="1" i="0" u="none" strike="noStrike" kern="1200" baseline="0">
              <a:ln>
                <a:noFill/>
              </a:ln>
              <a:solidFill>
                <a:schemeClr val="tx1">
                  <a:lumMod val="65000"/>
                  <a:lumOff val="35000"/>
                </a:schemeClr>
              </a:solidFill>
              <a:latin typeface="Arial" panose="020B0604020202020204" pitchFamily="2" charset="0"/>
              <a:ea typeface="+mn-ea"/>
              <a:cs typeface="Arial" panose="020B0604020202020204" pitchFamily="2" charset="0"/>
            </a:defRPr>
          </a:pPr>
          <a:endParaRPr lang="en-US"/>
        </a:p>
      </c:txPr>
    </c:legend>
    <c:plotVisOnly val="1"/>
    <c:dispBlanksAs val="gap"/>
    <c:showDLblsOverMax val="0"/>
    <c:extLst>
      <c:ext uri="{0b15fc19-7d7d-44ad-8c2d-2c3a37ce22c3}">
        <chartProps xmlns="https://web.wps.cn/et/2018/main" chartId="{dcfdd63c-af13-4742-bcc5-650bdc3fdc74}"/>
      </c:ext>
    </c:extLst>
  </c:chart>
  <c:spPr>
    <a:solidFill>
      <a:schemeClr val="bg1"/>
    </a:solidFill>
    <a:ln w="9525" cap="flat" cmpd="sng" algn="ctr">
      <a:noFill/>
      <a:round/>
    </a:ln>
    <a:effectLst/>
  </c:spPr>
  <c:txPr>
    <a:bodyPr/>
    <a:lstStyle/>
    <a:p>
      <a:pPr>
        <a:defRPr lang="en-US" sz="1400">
          <a:latin typeface="Arial" panose="020B0604020202020204" pitchFamily="2" charset="0"/>
          <a:cs typeface="Arial" panose="020B0604020202020204"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0.58083</cdr:x>
      <cdr:y>0.08916</cdr:y>
    </cdr:from>
    <cdr:to>
      <cdr:x>0.89833</cdr:x>
      <cdr:y>0.4184</cdr:y>
    </cdr:to>
    <cdr:grpSp>
      <cdr:nvGrpSpPr>
        <cdr:cNvPr id="2" name="Group 1"/>
        <cdr:cNvGrpSpPr/>
      </cdr:nvGrpSpPr>
      <cdr:grpSpPr>
        <a:xfrm xmlns:a="http://schemas.openxmlformats.org/drawingml/2006/main">
          <a:off x="2350904" y="259247"/>
          <a:ext cx="1285078" cy="957320"/>
          <a:chOff x="2350889" y="259250"/>
          <a:chExt cx="1285093" cy="957317"/>
        </a:xfrm>
      </cdr:grpSpPr>
      <cdr:sp macro="" textlink="">
        <cdr:nvSpPr>
          <cdr:cNvPr id="3" name="Rectangles 2"/>
          <cdr:cNvSpPr/>
        </cdr:nvSpPr>
        <cdr:spPr>
          <a:xfrm xmlns:a="http://schemas.openxmlformats.org/drawingml/2006/main">
            <a:off x="3164247" y="952028"/>
            <a:ext cx="471735" cy="2645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-10%</a:t>
            </a:r>
          </a:p>
        </cdr:txBody>
      </cdr:sp>
      <cdr:sp macro="" textlink="">
        <cdr:nvSpPr>
          <cdr:cNvPr id="4" name="Rectangles 3"/>
          <cdr:cNvSpPr/>
        </cdr:nvSpPr>
        <cdr:spPr>
          <a:xfrm xmlns:a="http://schemas.openxmlformats.org/drawingml/2006/main">
            <a:off x="2350889" y="259250"/>
            <a:ext cx="49879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horz" wrap="none" lIns="45720" tIns="45720" rIns="45720" bIns="45720" rtlCol="0" anchor="t" anchorCtr="0">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+10%</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8D07227-8E42-42E7-A92F-E875D7BC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30</Pages>
  <Words>23735</Words>
  <Characters>135295</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SDI 1084</cp:lastModifiedBy>
  <cp:revision>69</cp:revision>
  <dcterms:created xsi:type="dcterms:W3CDTF">2025-01-16T18:26:00Z</dcterms:created>
  <dcterms:modified xsi:type="dcterms:W3CDTF">2025-08-18T06:58:00Z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e3dcf8c7-1dd8-3441-8b77-67cbe871de18</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TEquationNumber2">
    <vt:lpwstr>(#S1.#E1)</vt:lpwstr>
  </property>
  <property fmtid="{D5CDD505-2E9C-101B-9397-08002B2CF9AE}" pid="27" name="MTEquationSection">
    <vt:lpwstr>1</vt:lpwstr>
  </property>
  <property fmtid="{D5CDD505-2E9C-101B-9397-08002B2CF9AE}" pid="28" name="KSOProductBuildVer">
    <vt:lpwstr>1033-12.2.0.20795</vt:lpwstr>
  </property>
  <property fmtid="{D5CDD505-2E9C-101B-9397-08002B2CF9AE}" pid="29" name="ICV">
    <vt:lpwstr>B9C25ED78C07451C93407D84FACE5256_13</vt:lpwstr>
  </property>
</Properties>
</file>