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460B2" w14:textId="77777777" w:rsidR="002E09D6" w:rsidRDefault="002E09D6">
      <w:pPr>
        <w:spacing w:line="240" w:lineRule="auto"/>
        <w:jc w:val="center"/>
        <w:rPr>
          <w:rFonts w:ascii="Arial" w:eastAsia="Arial" w:hAnsi="Arial" w:cs="Arial"/>
          <w:b/>
          <w:sz w:val="36"/>
          <w:szCs w:val="36"/>
        </w:rPr>
      </w:pPr>
      <w:bookmarkStart w:id="0" w:name="_Hlk204252130"/>
      <w:r w:rsidRPr="002E09D6">
        <w:rPr>
          <w:rFonts w:ascii="Arial" w:eastAsia="Arial" w:hAnsi="Arial" w:cs="Arial"/>
          <w:b/>
          <w:sz w:val="36"/>
          <w:szCs w:val="36"/>
        </w:rPr>
        <w:t>Original Research Article</w:t>
      </w:r>
    </w:p>
    <w:p w14:paraId="77BE0A30" w14:textId="77777777" w:rsidR="002E09D6" w:rsidRDefault="002E09D6">
      <w:pPr>
        <w:spacing w:line="240" w:lineRule="auto"/>
        <w:jc w:val="center"/>
        <w:rPr>
          <w:rFonts w:ascii="Arial" w:eastAsia="Arial" w:hAnsi="Arial" w:cs="Arial"/>
          <w:b/>
          <w:sz w:val="36"/>
          <w:szCs w:val="36"/>
        </w:rPr>
      </w:pPr>
    </w:p>
    <w:p w14:paraId="13A389AB" w14:textId="49DE7F14" w:rsidR="002B57B9" w:rsidRDefault="00193F43">
      <w:pPr>
        <w:spacing w:line="240" w:lineRule="auto"/>
        <w:jc w:val="center"/>
        <w:rPr>
          <w:rFonts w:ascii="Arial" w:eastAsia="Arial" w:hAnsi="Arial" w:cs="Arial"/>
          <w:b/>
          <w:sz w:val="36"/>
          <w:szCs w:val="36"/>
        </w:rPr>
      </w:pPr>
      <w:r>
        <w:rPr>
          <w:rFonts w:ascii="Arial" w:eastAsia="Arial" w:hAnsi="Arial" w:cs="Arial"/>
          <w:b/>
          <w:sz w:val="36"/>
          <w:szCs w:val="36"/>
        </w:rPr>
        <w:t>Perspective</w:t>
      </w:r>
      <w:r w:rsidR="00F62B38">
        <w:rPr>
          <w:rFonts w:ascii="Arial" w:eastAsia="Arial" w:hAnsi="Arial" w:cs="Arial"/>
          <w:b/>
          <w:sz w:val="36"/>
          <w:szCs w:val="36"/>
        </w:rPr>
        <w:t>s</w:t>
      </w:r>
      <w:r>
        <w:rPr>
          <w:rFonts w:ascii="Arial" w:eastAsia="Arial" w:hAnsi="Arial" w:cs="Arial"/>
          <w:b/>
          <w:sz w:val="36"/>
          <w:szCs w:val="36"/>
        </w:rPr>
        <w:t xml:space="preserve"> of Agriculture Employers on Agricultural Crop Production Trainees: The Case of Davao del Norte</w:t>
      </w:r>
    </w:p>
    <w:p w14:paraId="6E508069" w14:textId="77777777" w:rsidR="00A07706" w:rsidRDefault="00A07706">
      <w:pPr>
        <w:spacing w:line="240" w:lineRule="auto"/>
        <w:jc w:val="center"/>
        <w:rPr>
          <w:rFonts w:ascii="Arial" w:eastAsia="Arial" w:hAnsi="Arial" w:cs="Arial"/>
          <w:b/>
          <w:sz w:val="36"/>
          <w:szCs w:val="36"/>
        </w:rPr>
      </w:pPr>
    </w:p>
    <w:p w14:paraId="1132B415" w14:textId="77777777" w:rsidR="00B513D3" w:rsidRDefault="00B513D3">
      <w:pPr>
        <w:spacing w:line="240" w:lineRule="auto"/>
        <w:jc w:val="center"/>
        <w:rPr>
          <w:rFonts w:ascii="Arial" w:eastAsia="Arial" w:hAnsi="Arial" w:cs="Arial"/>
          <w:b/>
          <w:sz w:val="36"/>
          <w:szCs w:val="36"/>
        </w:rPr>
      </w:pPr>
      <w:bookmarkStart w:id="1" w:name="_GoBack"/>
      <w:bookmarkEnd w:id="0"/>
      <w:bookmarkEnd w:id="1"/>
    </w:p>
    <w:p w14:paraId="03E51228" w14:textId="77777777" w:rsidR="002B57B9" w:rsidRDefault="002B57B9">
      <w:pPr>
        <w:spacing w:line="240" w:lineRule="auto"/>
        <w:jc w:val="both"/>
        <w:rPr>
          <w:rFonts w:ascii="Arial" w:eastAsia="Arial" w:hAnsi="Arial" w:cs="Arial"/>
          <w:b/>
          <w:sz w:val="36"/>
          <w:szCs w:val="36"/>
        </w:rPr>
      </w:pPr>
    </w:p>
    <w:p w14:paraId="05F64261" w14:textId="77777777" w:rsidR="002B57B9" w:rsidRDefault="00193F43">
      <w:pPr>
        <w:spacing w:line="240" w:lineRule="auto"/>
        <w:jc w:val="both"/>
        <w:rPr>
          <w:rFonts w:ascii="Arial" w:eastAsia="Arial" w:hAnsi="Arial" w:cs="Arial"/>
          <w:b/>
          <w:sz w:val="20"/>
          <w:szCs w:val="20"/>
        </w:rPr>
      </w:pPr>
      <w:r>
        <w:rPr>
          <w:rFonts w:ascii="Arial" w:eastAsia="Arial" w:hAnsi="Arial" w:cs="Arial"/>
          <w:b/>
          <w:sz w:val="20"/>
          <w:szCs w:val="20"/>
        </w:rPr>
        <w:t>Abstract</w:t>
      </w:r>
    </w:p>
    <w:tbl>
      <w:tblPr>
        <w:tblStyle w:val="a"/>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2B57B9" w14:paraId="3B564D27" w14:textId="77777777">
        <w:tc>
          <w:tcPr>
            <w:tcW w:w="9350" w:type="dxa"/>
            <w:shd w:val="clear" w:color="auto" w:fill="D0CECE"/>
          </w:tcPr>
          <w:p w14:paraId="535D3F68" w14:textId="77777777" w:rsidR="002B57B9" w:rsidRDefault="00193F43">
            <w:pPr>
              <w:jc w:val="both"/>
              <w:rPr>
                <w:rFonts w:ascii="Arial" w:eastAsia="Arial" w:hAnsi="Arial" w:cs="Arial"/>
                <w:sz w:val="20"/>
                <w:szCs w:val="20"/>
              </w:rPr>
            </w:pPr>
            <w:r>
              <w:rPr>
                <w:rFonts w:ascii="Arial" w:eastAsia="Arial" w:hAnsi="Arial" w:cs="Arial"/>
                <w:sz w:val="20"/>
                <w:szCs w:val="20"/>
              </w:rPr>
              <w:t>The Technical Vocational and Livelihood (TVL) track is part of the K-12 program, which was implemented by the Department of Education (DepEd) in 2013. The track aims to help students transition into the workforce after graduation or continue their educatio</w:t>
            </w:r>
            <w:r>
              <w:rPr>
                <w:rFonts w:ascii="Arial" w:eastAsia="Arial" w:hAnsi="Arial" w:cs="Arial"/>
                <w:sz w:val="20"/>
                <w:szCs w:val="20"/>
              </w:rPr>
              <w:t>n and skill development. However, some studies claimed a common mismatch between education and employment in TVL graduates. This research explores the experiences of Agriculture Industries, mainly the skills, knowledge, and attitude of on-the-job trainees,</w:t>
            </w:r>
            <w:r>
              <w:rPr>
                <w:rFonts w:ascii="Arial" w:eastAsia="Arial" w:hAnsi="Arial" w:cs="Arial"/>
                <w:sz w:val="20"/>
                <w:szCs w:val="20"/>
              </w:rPr>
              <w:t xml:space="preserve"> as they house Technical Vocational and Livelihood (TVL), specifically, those taking Agriculture Crop Production (ACP). This study gathers the agriculture industry perspective to provide insight into developing innovative strategies to address the existing</w:t>
            </w:r>
            <w:r>
              <w:rPr>
                <w:rFonts w:ascii="Arial" w:eastAsia="Arial" w:hAnsi="Arial" w:cs="Arial"/>
                <w:sz w:val="20"/>
                <w:szCs w:val="20"/>
              </w:rPr>
              <w:t xml:space="preserve"> gap. The study follows a qualitative case study methodology, with data collected through semi-structured interviews with three participants from the agriculture industry. The gathered data were systematically coded, analyzed, and interpreted using themati</w:t>
            </w:r>
            <w:r>
              <w:rPr>
                <w:rFonts w:ascii="Arial" w:eastAsia="Arial" w:hAnsi="Arial" w:cs="Arial"/>
                <w:sz w:val="20"/>
                <w:szCs w:val="20"/>
              </w:rPr>
              <w:t xml:space="preserve">c analysis. The process involved familiarization with the data, initial code generation, theme development, reviewing and refining themes, and defining and naming final themes. The study resulted in five major themes: Agriculture knowledge and specialized </w:t>
            </w:r>
            <w:r>
              <w:rPr>
                <w:rFonts w:ascii="Arial" w:eastAsia="Arial" w:hAnsi="Arial" w:cs="Arial"/>
                <w:sz w:val="20"/>
                <w:szCs w:val="20"/>
              </w:rPr>
              <w:t>skills, positive work ethic and attitudes, skill and experience gap, professionalism and work readiness, and curriculum innovation through industry insight. This research implies enhancing hands-on integration along the lessons and curriculum enhancement.</w:t>
            </w:r>
          </w:p>
        </w:tc>
      </w:tr>
    </w:tbl>
    <w:p w14:paraId="78DA98DF" w14:textId="77777777" w:rsidR="002B57B9" w:rsidRDefault="002B57B9">
      <w:pPr>
        <w:spacing w:line="240" w:lineRule="auto"/>
        <w:jc w:val="both"/>
        <w:rPr>
          <w:rFonts w:ascii="Arial" w:eastAsia="Arial" w:hAnsi="Arial" w:cs="Arial"/>
          <w:b/>
          <w:sz w:val="20"/>
          <w:szCs w:val="20"/>
        </w:rPr>
      </w:pPr>
    </w:p>
    <w:p w14:paraId="75279CB1" w14:textId="77777777" w:rsidR="002B57B9" w:rsidRDefault="00193F43">
      <w:pPr>
        <w:spacing w:line="240" w:lineRule="auto"/>
        <w:jc w:val="both"/>
        <w:rPr>
          <w:rFonts w:ascii="Arial" w:eastAsia="Arial" w:hAnsi="Arial" w:cs="Arial"/>
          <w:i/>
          <w:sz w:val="20"/>
          <w:szCs w:val="20"/>
        </w:rPr>
      </w:pPr>
      <w:r>
        <w:rPr>
          <w:rFonts w:ascii="Arial" w:eastAsia="Arial" w:hAnsi="Arial" w:cs="Arial"/>
          <w:i/>
          <w:sz w:val="20"/>
          <w:szCs w:val="20"/>
        </w:rPr>
        <w:t>Keywords: Agriculture Crop Production (ACP), Technical Vocational and Livelihood (TVL), On-The-Job Trainees (OJT), Skills Mismatch, Curriculum Enhancement</w:t>
      </w:r>
    </w:p>
    <w:p w14:paraId="0BB331E8" w14:textId="77777777" w:rsidR="002B57B9" w:rsidRDefault="002B57B9">
      <w:pPr>
        <w:spacing w:line="240" w:lineRule="auto"/>
        <w:jc w:val="both"/>
        <w:rPr>
          <w:rFonts w:ascii="Arial" w:eastAsia="Arial" w:hAnsi="Arial" w:cs="Arial"/>
          <w:i/>
          <w:sz w:val="20"/>
          <w:szCs w:val="20"/>
        </w:rPr>
      </w:pPr>
    </w:p>
    <w:p w14:paraId="748E51A4" w14:textId="77777777" w:rsidR="002B57B9" w:rsidRDefault="00193F43">
      <w:pPr>
        <w:spacing w:line="240" w:lineRule="auto"/>
        <w:jc w:val="both"/>
        <w:rPr>
          <w:rFonts w:ascii="Arial" w:eastAsia="Arial" w:hAnsi="Arial" w:cs="Arial"/>
          <w:b/>
          <w:sz w:val="20"/>
          <w:szCs w:val="20"/>
        </w:rPr>
      </w:pPr>
      <w:r>
        <w:rPr>
          <w:rFonts w:ascii="Arial" w:eastAsia="Arial" w:hAnsi="Arial" w:cs="Arial"/>
          <w:b/>
          <w:sz w:val="20"/>
          <w:szCs w:val="20"/>
        </w:rPr>
        <w:t>1. INTRODUCTION</w:t>
      </w:r>
    </w:p>
    <w:p w14:paraId="12DF01E8" w14:textId="77777777" w:rsidR="002B57B9" w:rsidRDefault="00193F43">
      <w:pPr>
        <w:spacing w:line="240" w:lineRule="auto"/>
        <w:ind w:firstLine="720"/>
        <w:jc w:val="both"/>
        <w:rPr>
          <w:rFonts w:ascii="Arial" w:eastAsia="Arial" w:hAnsi="Arial" w:cs="Arial"/>
          <w:sz w:val="20"/>
          <w:szCs w:val="20"/>
        </w:rPr>
      </w:pPr>
      <w:r>
        <w:rPr>
          <w:rFonts w:ascii="Arial" w:eastAsia="Arial" w:hAnsi="Arial" w:cs="Arial"/>
          <w:sz w:val="20"/>
          <w:szCs w:val="20"/>
        </w:rPr>
        <w:t>The 2019 report of the Philippine Statistics Authority (PSA) identified several ca</w:t>
      </w:r>
      <w:r>
        <w:rPr>
          <w:rFonts w:ascii="Arial" w:eastAsia="Arial" w:hAnsi="Arial" w:cs="Arial"/>
          <w:sz w:val="20"/>
          <w:szCs w:val="20"/>
        </w:rPr>
        <w:t xml:space="preserve">uses of graduate unemployment, such as insufficient job training and employers' reluctance to hire recent senior high school graduates. Concerns remain about the readiness of employers to accept K to 12 completers, with 35% of firms hesitant and 41% still </w:t>
      </w:r>
      <w:r>
        <w:rPr>
          <w:rFonts w:ascii="Arial" w:eastAsia="Arial" w:hAnsi="Arial" w:cs="Arial"/>
          <w:sz w:val="20"/>
          <w:szCs w:val="20"/>
        </w:rPr>
        <w:t>assessing their preparedness (Romero et al., 2022). Employment remains a key goal of the significant investment in implementing Technical Vocational and Livelihood education in the Philippines (</w:t>
      </w:r>
      <w:proofErr w:type="spellStart"/>
      <w:r>
        <w:rPr>
          <w:rFonts w:ascii="Arial" w:eastAsia="Arial" w:hAnsi="Arial" w:cs="Arial"/>
          <w:sz w:val="20"/>
          <w:szCs w:val="20"/>
        </w:rPr>
        <w:t>Autentico</w:t>
      </w:r>
      <w:proofErr w:type="spellEnd"/>
      <w:r>
        <w:rPr>
          <w:rFonts w:ascii="Arial" w:eastAsia="Arial" w:hAnsi="Arial" w:cs="Arial"/>
          <w:sz w:val="20"/>
          <w:szCs w:val="20"/>
        </w:rPr>
        <w:t xml:space="preserve"> &amp; </w:t>
      </w:r>
      <w:proofErr w:type="spellStart"/>
      <w:r>
        <w:rPr>
          <w:rFonts w:ascii="Arial" w:eastAsia="Arial" w:hAnsi="Arial" w:cs="Arial"/>
          <w:sz w:val="20"/>
          <w:szCs w:val="20"/>
        </w:rPr>
        <w:t>Alerta</w:t>
      </w:r>
      <w:proofErr w:type="spellEnd"/>
      <w:r>
        <w:rPr>
          <w:rFonts w:ascii="Arial" w:eastAsia="Arial" w:hAnsi="Arial" w:cs="Arial"/>
          <w:sz w:val="20"/>
          <w:szCs w:val="20"/>
        </w:rPr>
        <w:t>, 2020).</w:t>
      </w:r>
    </w:p>
    <w:p w14:paraId="1058E88B" w14:textId="77777777" w:rsidR="002B57B9" w:rsidRDefault="00193F43">
      <w:pPr>
        <w:spacing w:line="240" w:lineRule="auto"/>
        <w:ind w:firstLine="720"/>
        <w:jc w:val="both"/>
        <w:rPr>
          <w:rFonts w:ascii="Arial" w:eastAsia="Arial" w:hAnsi="Arial" w:cs="Arial"/>
          <w:sz w:val="20"/>
          <w:szCs w:val="20"/>
        </w:rPr>
      </w:pPr>
      <w:r>
        <w:rPr>
          <w:rFonts w:ascii="Arial" w:eastAsia="Arial" w:hAnsi="Arial" w:cs="Arial"/>
          <w:sz w:val="20"/>
          <w:szCs w:val="20"/>
        </w:rPr>
        <w:t>However, most companies require app</w:t>
      </w:r>
      <w:r>
        <w:rPr>
          <w:rFonts w:ascii="Arial" w:eastAsia="Arial" w:hAnsi="Arial" w:cs="Arial"/>
          <w:sz w:val="20"/>
          <w:szCs w:val="20"/>
        </w:rPr>
        <w:t>licants to have at least two years of college, favoring college graduates and excluding senior high school graduates (Canada, 2022). A study by the Philippine Institute for Development Studies (PIDS, 2021), which began in 2018, found that senior high gradu</w:t>
      </w:r>
      <w:r>
        <w:rPr>
          <w:rFonts w:ascii="Arial" w:eastAsia="Arial" w:hAnsi="Arial" w:cs="Arial"/>
          <w:sz w:val="20"/>
          <w:szCs w:val="20"/>
        </w:rPr>
        <w:t>ates struggled to enter the labor market, with 22 out of 26 employers saying they lacked job readiness.</w:t>
      </w:r>
    </w:p>
    <w:p w14:paraId="3DDDC602" w14:textId="77777777" w:rsidR="002B57B9" w:rsidRDefault="00193F43">
      <w:pPr>
        <w:spacing w:line="240" w:lineRule="auto"/>
        <w:ind w:firstLine="720"/>
        <w:jc w:val="both"/>
        <w:rPr>
          <w:rFonts w:ascii="Arial" w:eastAsia="Arial" w:hAnsi="Arial" w:cs="Arial"/>
          <w:sz w:val="20"/>
          <w:szCs w:val="20"/>
        </w:rPr>
      </w:pPr>
      <w:r>
        <w:rPr>
          <w:rFonts w:ascii="Arial" w:eastAsia="Arial" w:hAnsi="Arial" w:cs="Arial"/>
          <w:sz w:val="20"/>
          <w:szCs w:val="20"/>
        </w:rPr>
        <w:lastRenderedPageBreak/>
        <w:t>In Australia, around 60–70% of senior high school graduates find employment soon after graduation, with TVET students having slightly higher rates due t</w:t>
      </w:r>
      <w:r>
        <w:rPr>
          <w:rFonts w:ascii="Arial" w:eastAsia="Arial" w:hAnsi="Arial" w:cs="Arial"/>
          <w:sz w:val="20"/>
          <w:szCs w:val="20"/>
        </w:rPr>
        <w:t>o practical and industry-specific training (Graduate Outcomes Survey, 2022). The Australian Bureau of Statistics (2021) also shows TVET graduates are more likely to gain full-time jobs than those from academic tracks. Longitudinal surveys of Australian you</w:t>
      </w:r>
      <w:r>
        <w:rPr>
          <w:rFonts w:ascii="Arial" w:eastAsia="Arial" w:hAnsi="Arial" w:cs="Arial"/>
          <w:sz w:val="20"/>
          <w:szCs w:val="20"/>
        </w:rPr>
        <w:t>th (LSAY, 2020) found that TVET graduates’ employability improves over time, with many landing stable, well-paying jobs within a few years.</w:t>
      </w:r>
    </w:p>
    <w:p w14:paraId="00020655" w14:textId="77777777" w:rsidR="002B57B9" w:rsidRDefault="00193F43">
      <w:pPr>
        <w:spacing w:line="240" w:lineRule="auto"/>
        <w:ind w:firstLine="720"/>
        <w:jc w:val="both"/>
        <w:rPr>
          <w:rFonts w:ascii="Arial" w:eastAsia="Arial" w:hAnsi="Arial" w:cs="Arial"/>
          <w:sz w:val="20"/>
          <w:szCs w:val="20"/>
        </w:rPr>
      </w:pPr>
      <w:r>
        <w:rPr>
          <w:rFonts w:ascii="Arial" w:eastAsia="Arial" w:hAnsi="Arial" w:cs="Arial"/>
          <w:sz w:val="20"/>
          <w:szCs w:val="20"/>
        </w:rPr>
        <w:t>In the Philippines, preparing senior high school graduates for employment or entrepreneurship supports their transit</w:t>
      </w:r>
      <w:r>
        <w:rPr>
          <w:rFonts w:ascii="Arial" w:eastAsia="Arial" w:hAnsi="Arial" w:cs="Arial"/>
          <w:sz w:val="20"/>
          <w:szCs w:val="20"/>
        </w:rPr>
        <w:t>ion to the workforce alongside further education. Since the first batch graduated only in 2018, research on their employability remains limited (</w:t>
      </w:r>
      <w:proofErr w:type="spellStart"/>
      <w:r>
        <w:rPr>
          <w:rFonts w:ascii="Arial" w:eastAsia="Arial" w:hAnsi="Arial" w:cs="Arial"/>
          <w:sz w:val="20"/>
          <w:szCs w:val="20"/>
        </w:rPr>
        <w:t>Orbeta</w:t>
      </w:r>
      <w:proofErr w:type="spellEnd"/>
      <w:r>
        <w:rPr>
          <w:rFonts w:ascii="Arial" w:eastAsia="Arial" w:hAnsi="Arial" w:cs="Arial"/>
          <w:sz w:val="20"/>
          <w:szCs w:val="20"/>
        </w:rPr>
        <w:t xml:space="preserve"> &amp; </w:t>
      </w:r>
      <w:proofErr w:type="spellStart"/>
      <w:r>
        <w:rPr>
          <w:rFonts w:ascii="Arial" w:eastAsia="Arial" w:hAnsi="Arial" w:cs="Arial"/>
          <w:sz w:val="20"/>
          <w:szCs w:val="20"/>
        </w:rPr>
        <w:t>Potestad</w:t>
      </w:r>
      <w:proofErr w:type="spellEnd"/>
      <w:r>
        <w:rPr>
          <w:rFonts w:ascii="Arial" w:eastAsia="Arial" w:hAnsi="Arial" w:cs="Arial"/>
          <w:sz w:val="20"/>
          <w:szCs w:val="20"/>
        </w:rPr>
        <w:t>, 2020). While the Department of Education curriculum allows graduates to work after senior hi</w:t>
      </w:r>
      <w:r>
        <w:rPr>
          <w:rFonts w:ascii="Arial" w:eastAsia="Arial" w:hAnsi="Arial" w:cs="Arial"/>
          <w:sz w:val="20"/>
          <w:szCs w:val="20"/>
        </w:rPr>
        <w:t>gh school, employers still prefer college graduates. The K to 12 program aims to equip students with essential skills, values, and competencies for lifelong learning and employment. The added two years were intended to provide real-life experience, enablin</w:t>
      </w:r>
      <w:r>
        <w:rPr>
          <w:rFonts w:ascii="Arial" w:eastAsia="Arial" w:hAnsi="Arial" w:cs="Arial"/>
          <w:sz w:val="20"/>
          <w:szCs w:val="20"/>
        </w:rPr>
        <w:t>g graduates to pursue jobs or start ventures without needing a college degree (</w:t>
      </w:r>
      <w:proofErr w:type="spellStart"/>
      <w:r w:rsidRPr="001634E5">
        <w:rPr>
          <w:rFonts w:ascii="Arial" w:eastAsia="Arial" w:hAnsi="Arial" w:cs="Arial"/>
          <w:sz w:val="20"/>
          <w:szCs w:val="20"/>
        </w:rPr>
        <w:t>Carada</w:t>
      </w:r>
      <w:proofErr w:type="spellEnd"/>
      <w:r w:rsidRPr="001634E5">
        <w:rPr>
          <w:rFonts w:ascii="Arial" w:eastAsia="Arial" w:hAnsi="Arial" w:cs="Arial"/>
          <w:sz w:val="20"/>
          <w:szCs w:val="20"/>
        </w:rPr>
        <w:t xml:space="preserve"> &amp; </w:t>
      </w:r>
      <w:proofErr w:type="spellStart"/>
      <w:r w:rsidRPr="001634E5">
        <w:rPr>
          <w:rFonts w:ascii="Arial" w:eastAsia="Arial" w:hAnsi="Arial" w:cs="Arial"/>
          <w:sz w:val="20"/>
          <w:szCs w:val="20"/>
        </w:rPr>
        <w:t>Aliazas</w:t>
      </w:r>
      <w:proofErr w:type="spellEnd"/>
      <w:r w:rsidRPr="001634E5">
        <w:rPr>
          <w:rFonts w:ascii="Arial" w:eastAsia="Arial" w:hAnsi="Arial" w:cs="Arial"/>
          <w:sz w:val="20"/>
          <w:szCs w:val="20"/>
        </w:rPr>
        <w:t xml:space="preserve"> et al., 2022). Like other nations, the Philippines faces labor market challenges brought on by globalization (</w:t>
      </w:r>
      <w:proofErr w:type="spellStart"/>
      <w:r w:rsidRPr="001634E5">
        <w:rPr>
          <w:rFonts w:ascii="Arial" w:eastAsia="Arial" w:hAnsi="Arial" w:cs="Arial"/>
          <w:sz w:val="20"/>
          <w:szCs w:val="20"/>
        </w:rPr>
        <w:t>Icban</w:t>
      </w:r>
      <w:proofErr w:type="spellEnd"/>
      <w:r w:rsidRPr="001634E5">
        <w:rPr>
          <w:rFonts w:ascii="Arial" w:eastAsia="Arial" w:hAnsi="Arial" w:cs="Arial"/>
          <w:sz w:val="20"/>
          <w:szCs w:val="20"/>
        </w:rPr>
        <w:t>, 2019).</w:t>
      </w:r>
    </w:p>
    <w:p w14:paraId="68B9A8EB" w14:textId="77777777" w:rsidR="002B57B9" w:rsidRDefault="00193F43">
      <w:pPr>
        <w:spacing w:line="240" w:lineRule="auto"/>
        <w:ind w:firstLine="720"/>
        <w:jc w:val="both"/>
        <w:rPr>
          <w:rFonts w:ascii="Arial" w:eastAsia="Arial" w:hAnsi="Arial" w:cs="Arial"/>
          <w:sz w:val="20"/>
          <w:szCs w:val="20"/>
        </w:rPr>
      </w:pPr>
      <w:proofErr w:type="spellStart"/>
      <w:r>
        <w:rPr>
          <w:rFonts w:ascii="Arial" w:eastAsia="Arial" w:hAnsi="Arial" w:cs="Arial"/>
          <w:sz w:val="20"/>
          <w:szCs w:val="20"/>
        </w:rPr>
        <w:t>Paladio</w:t>
      </w:r>
      <w:proofErr w:type="spellEnd"/>
      <w:r>
        <w:rPr>
          <w:rFonts w:ascii="Arial" w:eastAsia="Arial" w:hAnsi="Arial" w:cs="Arial"/>
          <w:sz w:val="20"/>
          <w:szCs w:val="20"/>
        </w:rPr>
        <w:t xml:space="preserve"> and </w:t>
      </w:r>
      <w:proofErr w:type="spellStart"/>
      <w:r>
        <w:rPr>
          <w:rFonts w:ascii="Arial" w:eastAsia="Arial" w:hAnsi="Arial" w:cs="Arial"/>
          <w:sz w:val="20"/>
          <w:szCs w:val="20"/>
        </w:rPr>
        <w:t>Buayan</w:t>
      </w:r>
      <w:proofErr w:type="spellEnd"/>
      <w:r>
        <w:rPr>
          <w:rFonts w:ascii="Arial" w:eastAsia="Arial" w:hAnsi="Arial" w:cs="Arial"/>
          <w:sz w:val="20"/>
          <w:szCs w:val="20"/>
        </w:rPr>
        <w:t xml:space="preserve"> (2023) found a co</w:t>
      </w:r>
      <w:r>
        <w:rPr>
          <w:rFonts w:ascii="Arial" w:eastAsia="Arial" w:hAnsi="Arial" w:cs="Arial"/>
          <w:sz w:val="20"/>
          <w:szCs w:val="20"/>
        </w:rPr>
        <w:t xml:space="preserve">mmon mismatch between the education and employment outcomes of K to 12 TVL graduates in Masbate City, noting that their technical skills, work immersions, and training often do not align with job demands. Similarly, </w:t>
      </w:r>
      <w:proofErr w:type="spellStart"/>
      <w:r>
        <w:rPr>
          <w:rFonts w:ascii="Arial" w:eastAsia="Arial" w:hAnsi="Arial" w:cs="Arial"/>
          <w:sz w:val="20"/>
          <w:szCs w:val="20"/>
        </w:rPr>
        <w:t>Pajares</w:t>
      </w:r>
      <w:proofErr w:type="spellEnd"/>
      <w:r>
        <w:rPr>
          <w:rFonts w:ascii="Arial" w:eastAsia="Arial" w:hAnsi="Arial" w:cs="Arial"/>
          <w:sz w:val="20"/>
          <w:szCs w:val="20"/>
        </w:rPr>
        <w:t xml:space="preserve"> et al. (2018b) reported that mos</w:t>
      </w:r>
      <w:r>
        <w:rPr>
          <w:rFonts w:ascii="Arial" w:eastAsia="Arial" w:hAnsi="Arial" w:cs="Arial"/>
          <w:sz w:val="20"/>
          <w:szCs w:val="20"/>
        </w:rPr>
        <w:t>t senior high graduates are not immediately employable in their districts due to misalignment between their programs and the in-demand or projected job opportunities in the area.</w:t>
      </w:r>
    </w:p>
    <w:p w14:paraId="3592287F" w14:textId="77777777" w:rsidR="002B57B9" w:rsidRDefault="00193F43">
      <w:pPr>
        <w:spacing w:line="240" w:lineRule="auto"/>
        <w:ind w:firstLine="720"/>
        <w:jc w:val="both"/>
        <w:rPr>
          <w:rFonts w:ascii="Arial" w:eastAsia="Arial" w:hAnsi="Arial" w:cs="Arial"/>
          <w:sz w:val="20"/>
          <w:szCs w:val="20"/>
        </w:rPr>
      </w:pPr>
      <w:r>
        <w:rPr>
          <w:rFonts w:ascii="Arial" w:eastAsia="Arial" w:hAnsi="Arial" w:cs="Arial"/>
          <w:sz w:val="20"/>
          <w:szCs w:val="20"/>
        </w:rPr>
        <w:t>This study explores the experiences of agriculture industry employers in host</w:t>
      </w:r>
      <w:r>
        <w:rPr>
          <w:rFonts w:ascii="Arial" w:eastAsia="Arial" w:hAnsi="Arial" w:cs="Arial"/>
          <w:sz w:val="20"/>
          <w:szCs w:val="20"/>
        </w:rPr>
        <w:t>ing Technical-Vocational-Livelihood trainees to help graduates transition into the field, reduce skill gaps, and improve employer satisfaction. A review of existing literature revealed limited studies from the industry’s perspective and none within the tar</w:t>
      </w:r>
      <w:r>
        <w:rPr>
          <w:rFonts w:ascii="Arial" w:eastAsia="Arial" w:hAnsi="Arial" w:cs="Arial"/>
          <w:sz w:val="20"/>
          <w:szCs w:val="20"/>
        </w:rPr>
        <w:t>geted locale. Thus, the study aims to examine the experiences of employers housing agricultural crop production trainees as input for reshaping the K–12 curriculum to fulfill its core purpose.</w:t>
      </w:r>
    </w:p>
    <w:p w14:paraId="432871C5" w14:textId="77777777" w:rsidR="002B57B9" w:rsidRDefault="002B57B9">
      <w:pPr>
        <w:spacing w:line="240" w:lineRule="auto"/>
        <w:jc w:val="both"/>
        <w:rPr>
          <w:rFonts w:ascii="Arial" w:eastAsia="Arial" w:hAnsi="Arial" w:cs="Arial"/>
          <w:sz w:val="20"/>
          <w:szCs w:val="20"/>
        </w:rPr>
      </w:pPr>
    </w:p>
    <w:p w14:paraId="01A1600C" w14:textId="77777777" w:rsidR="002B57B9" w:rsidRDefault="00193F43">
      <w:pPr>
        <w:spacing w:line="240" w:lineRule="auto"/>
        <w:jc w:val="both"/>
        <w:rPr>
          <w:rFonts w:ascii="Arial" w:eastAsia="Arial" w:hAnsi="Arial" w:cs="Arial"/>
          <w:b/>
          <w:sz w:val="20"/>
          <w:szCs w:val="20"/>
        </w:rPr>
      </w:pPr>
      <w:r>
        <w:rPr>
          <w:rFonts w:ascii="Arial" w:eastAsia="Arial" w:hAnsi="Arial" w:cs="Arial"/>
          <w:b/>
          <w:sz w:val="20"/>
          <w:szCs w:val="20"/>
        </w:rPr>
        <w:t>2. OBJECTIVES</w:t>
      </w:r>
    </w:p>
    <w:p w14:paraId="26EE58CB" w14:textId="77777777" w:rsidR="002B57B9" w:rsidRDefault="00193F43">
      <w:pPr>
        <w:spacing w:line="240" w:lineRule="auto"/>
        <w:jc w:val="both"/>
        <w:rPr>
          <w:rFonts w:ascii="Arial" w:eastAsia="Arial" w:hAnsi="Arial" w:cs="Arial"/>
          <w:sz w:val="20"/>
          <w:szCs w:val="20"/>
        </w:rPr>
      </w:pPr>
      <w:r>
        <w:rPr>
          <w:rFonts w:ascii="Arial" w:eastAsia="Arial" w:hAnsi="Arial" w:cs="Arial"/>
          <w:sz w:val="20"/>
          <w:szCs w:val="20"/>
        </w:rPr>
        <w:t>This study explores the experiences of agricultu</w:t>
      </w:r>
      <w:r>
        <w:rPr>
          <w:rFonts w:ascii="Arial" w:eastAsia="Arial" w:hAnsi="Arial" w:cs="Arial"/>
          <w:sz w:val="20"/>
          <w:szCs w:val="20"/>
        </w:rPr>
        <w:t xml:space="preserve">re industry employers in hiring Technical-Vocational Livelihood graduates. The researchers aimed to obtain answers to the following questions: </w:t>
      </w:r>
    </w:p>
    <w:p w14:paraId="20D13293" w14:textId="77777777" w:rsidR="002B57B9" w:rsidRDefault="00193F43">
      <w:pPr>
        <w:spacing w:line="240" w:lineRule="auto"/>
        <w:jc w:val="both"/>
        <w:rPr>
          <w:rFonts w:ascii="Arial" w:eastAsia="Arial" w:hAnsi="Arial" w:cs="Arial"/>
          <w:sz w:val="20"/>
          <w:szCs w:val="20"/>
        </w:rPr>
      </w:pPr>
      <w:r>
        <w:rPr>
          <w:rFonts w:ascii="Arial" w:eastAsia="Arial" w:hAnsi="Arial" w:cs="Arial"/>
          <w:sz w:val="20"/>
          <w:szCs w:val="20"/>
        </w:rPr>
        <w:t xml:space="preserve">1. What are the specific knowledge, skills, and attitudes agriculture-related employers look for? </w:t>
      </w:r>
    </w:p>
    <w:p w14:paraId="148DF3AE" w14:textId="77777777" w:rsidR="002B57B9" w:rsidRDefault="00193F43">
      <w:pPr>
        <w:spacing w:line="240" w:lineRule="auto"/>
        <w:jc w:val="both"/>
        <w:rPr>
          <w:rFonts w:ascii="Arial" w:eastAsia="Arial" w:hAnsi="Arial" w:cs="Arial"/>
          <w:sz w:val="20"/>
          <w:szCs w:val="20"/>
        </w:rPr>
      </w:pPr>
      <w:r>
        <w:rPr>
          <w:rFonts w:ascii="Arial" w:eastAsia="Arial" w:hAnsi="Arial" w:cs="Arial"/>
          <w:sz w:val="20"/>
          <w:szCs w:val="20"/>
        </w:rPr>
        <w:t xml:space="preserve">2. What gaps </w:t>
      </w:r>
      <w:r>
        <w:rPr>
          <w:rFonts w:ascii="Arial" w:eastAsia="Arial" w:hAnsi="Arial" w:cs="Arial"/>
          <w:sz w:val="20"/>
          <w:szCs w:val="20"/>
        </w:rPr>
        <w:t xml:space="preserve">do employers find in the skills, knowledge, and attitudes of Technical-Vocational Livelihood students during their On-the-Job Training, and how do these perceptions influence their hiring decisions? </w:t>
      </w:r>
    </w:p>
    <w:p w14:paraId="24CA13DF" w14:textId="77777777" w:rsidR="002B57B9" w:rsidRDefault="00193F43">
      <w:pPr>
        <w:spacing w:line="240" w:lineRule="auto"/>
        <w:jc w:val="both"/>
        <w:rPr>
          <w:rFonts w:ascii="Arial" w:eastAsia="Arial" w:hAnsi="Arial" w:cs="Arial"/>
          <w:sz w:val="20"/>
          <w:szCs w:val="20"/>
        </w:rPr>
      </w:pPr>
      <w:r>
        <w:rPr>
          <w:rFonts w:ascii="Arial" w:eastAsia="Arial" w:hAnsi="Arial" w:cs="Arial"/>
          <w:sz w:val="20"/>
          <w:szCs w:val="20"/>
        </w:rPr>
        <w:t>3. What strategies can the industry recommend to address</w:t>
      </w:r>
      <w:r>
        <w:rPr>
          <w:rFonts w:ascii="Arial" w:eastAsia="Arial" w:hAnsi="Arial" w:cs="Arial"/>
          <w:sz w:val="20"/>
          <w:szCs w:val="20"/>
        </w:rPr>
        <w:t xml:space="preserve"> the identified existing gaps?</w:t>
      </w:r>
    </w:p>
    <w:p w14:paraId="77690FF0" w14:textId="77777777" w:rsidR="002B57B9" w:rsidRDefault="002B57B9">
      <w:pPr>
        <w:spacing w:line="240" w:lineRule="auto"/>
        <w:jc w:val="both"/>
        <w:rPr>
          <w:rFonts w:ascii="Arial" w:eastAsia="Arial" w:hAnsi="Arial" w:cs="Arial"/>
          <w:sz w:val="20"/>
          <w:szCs w:val="20"/>
        </w:rPr>
      </w:pPr>
    </w:p>
    <w:p w14:paraId="14955C0B" w14:textId="77777777" w:rsidR="002B57B9" w:rsidRDefault="00193F43">
      <w:pPr>
        <w:spacing w:line="240" w:lineRule="auto"/>
        <w:jc w:val="both"/>
        <w:rPr>
          <w:rFonts w:ascii="Arial" w:eastAsia="Arial" w:hAnsi="Arial" w:cs="Arial"/>
          <w:b/>
          <w:sz w:val="20"/>
          <w:szCs w:val="20"/>
        </w:rPr>
      </w:pPr>
      <w:r>
        <w:rPr>
          <w:rFonts w:ascii="Arial" w:eastAsia="Arial" w:hAnsi="Arial" w:cs="Arial"/>
          <w:b/>
          <w:sz w:val="20"/>
          <w:szCs w:val="20"/>
        </w:rPr>
        <w:t>3. MATERIALS AND METHODS</w:t>
      </w:r>
    </w:p>
    <w:p w14:paraId="40F8D8CE" w14:textId="77777777" w:rsidR="002B57B9" w:rsidRDefault="00193F43">
      <w:pPr>
        <w:spacing w:line="240" w:lineRule="auto"/>
        <w:jc w:val="both"/>
        <w:rPr>
          <w:rFonts w:ascii="Arial" w:eastAsia="Arial" w:hAnsi="Arial" w:cs="Arial"/>
          <w:b/>
          <w:sz w:val="20"/>
          <w:szCs w:val="20"/>
        </w:rPr>
      </w:pPr>
      <w:r>
        <w:rPr>
          <w:rFonts w:ascii="Arial" w:eastAsia="Arial" w:hAnsi="Arial" w:cs="Arial"/>
          <w:b/>
          <w:sz w:val="20"/>
          <w:szCs w:val="20"/>
        </w:rPr>
        <w:t>Research Design</w:t>
      </w:r>
    </w:p>
    <w:p w14:paraId="25A22344" w14:textId="77777777" w:rsidR="002B57B9" w:rsidRDefault="00193F43">
      <w:pPr>
        <w:spacing w:before="240" w:after="240" w:line="240" w:lineRule="auto"/>
        <w:ind w:firstLine="720"/>
        <w:jc w:val="both"/>
        <w:rPr>
          <w:rFonts w:ascii="Arial" w:eastAsia="Arial" w:hAnsi="Arial" w:cs="Arial"/>
          <w:sz w:val="20"/>
          <w:szCs w:val="20"/>
        </w:rPr>
      </w:pPr>
      <w:r>
        <w:rPr>
          <w:rFonts w:ascii="Arial" w:eastAsia="Arial" w:hAnsi="Arial" w:cs="Arial"/>
          <w:sz w:val="20"/>
          <w:szCs w:val="20"/>
        </w:rPr>
        <w:t xml:space="preserve">This study employed a qualitative case study approach to explore why local companies remain hesitant to hire K to 12 graduates, focusing on their experiences with housing </w:t>
      </w:r>
      <w:r>
        <w:rPr>
          <w:rFonts w:ascii="Arial" w:eastAsia="Arial" w:hAnsi="Arial" w:cs="Arial"/>
          <w:sz w:val="20"/>
          <w:szCs w:val="20"/>
        </w:rPr>
        <w:t>Technical-Vocational-Livelihood (TVL) on-the-job trainees. As defined by Creswell (2014), the qualitative case study is grounded in various methodological traditions and is used to investigate social or human problems. It allows researchers to examine char</w:t>
      </w:r>
      <w:r>
        <w:rPr>
          <w:rFonts w:ascii="Arial" w:eastAsia="Arial" w:hAnsi="Arial" w:cs="Arial"/>
          <w:sz w:val="20"/>
          <w:szCs w:val="20"/>
        </w:rPr>
        <w:t>acteristics, relationships, activities, changes, and differences between phenomena, relying primarily on interpretation and flexible structure.</w:t>
      </w:r>
    </w:p>
    <w:p w14:paraId="349A42AF" w14:textId="77777777" w:rsidR="002B57B9" w:rsidRPr="00B97A50" w:rsidRDefault="00193F43">
      <w:pPr>
        <w:spacing w:line="240" w:lineRule="auto"/>
        <w:jc w:val="both"/>
        <w:rPr>
          <w:rFonts w:ascii="Arial" w:eastAsia="Arial" w:hAnsi="Arial" w:cs="Arial"/>
          <w:b/>
          <w:sz w:val="20"/>
          <w:szCs w:val="20"/>
        </w:rPr>
      </w:pPr>
      <w:r w:rsidRPr="00B97A50">
        <w:rPr>
          <w:rFonts w:ascii="Arial" w:eastAsia="Arial" w:hAnsi="Arial" w:cs="Arial"/>
          <w:b/>
          <w:sz w:val="20"/>
          <w:szCs w:val="20"/>
        </w:rPr>
        <w:t>Research Instrument</w:t>
      </w:r>
    </w:p>
    <w:p w14:paraId="3694FD7E" w14:textId="6709AC45" w:rsidR="002B57B9" w:rsidRDefault="00193F43" w:rsidP="00BF1C8A">
      <w:pPr>
        <w:spacing w:before="240" w:after="240" w:line="240" w:lineRule="auto"/>
        <w:ind w:firstLine="720"/>
        <w:jc w:val="both"/>
        <w:rPr>
          <w:rFonts w:ascii="Arial" w:eastAsia="Arial" w:hAnsi="Arial" w:cs="Arial"/>
          <w:sz w:val="20"/>
          <w:szCs w:val="20"/>
        </w:rPr>
      </w:pPr>
      <w:r w:rsidRPr="00B97A50">
        <w:rPr>
          <w:rFonts w:ascii="Arial" w:eastAsia="Arial" w:hAnsi="Arial" w:cs="Arial"/>
          <w:sz w:val="20"/>
          <w:szCs w:val="20"/>
        </w:rPr>
        <w:lastRenderedPageBreak/>
        <w:t>The researchers used a qualitative case study approach</w:t>
      </w:r>
      <w:r w:rsidR="00F13D1D" w:rsidRPr="00B97A50">
        <w:rPr>
          <w:rFonts w:ascii="Arial" w:eastAsia="Arial" w:hAnsi="Arial" w:cs="Arial"/>
          <w:sz w:val="20"/>
          <w:szCs w:val="20"/>
        </w:rPr>
        <w:t xml:space="preserve">. </w:t>
      </w:r>
      <w:r w:rsidRPr="00B97A50">
        <w:rPr>
          <w:rFonts w:ascii="Arial" w:eastAsia="Arial" w:hAnsi="Arial" w:cs="Arial"/>
          <w:sz w:val="20"/>
          <w:szCs w:val="20"/>
        </w:rPr>
        <w:t>In-depth interviews</w:t>
      </w:r>
      <w:r w:rsidR="00EE7206" w:rsidRPr="00B97A50">
        <w:rPr>
          <w:rFonts w:ascii="Arial" w:eastAsia="Arial" w:hAnsi="Arial" w:cs="Arial"/>
          <w:sz w:val="20"/>
          <w:szCs w:val="20"/>
        </w:rPr>
        <w:t xml:space="preserve"> and Focus group discussions</w:t>
      </w:r>
      <w:r w:rsidRPr="00B97A50">
        <w:rPr>
          <w:rFonts w:ascii="Arial" w:eastAsia="Arial" w:hAnsi="Arial" w:cs="Arial"/>
          <w:sz w:val="20"/>
          <w:szCs w:val="20"/>
        </w:rPr>
        <w:t xml:space="preserve"> with open-ended questions were conducted to understand why local companies hesitate to hire Technical-Vocational Livelihood (TVL) graduates and to explore the alignment between industry needs and TVL student competencies.</w:t>
      </w:r>
      <w:r w:rsidR="00BF1C8A" w:rsidRPr="00B97A50">
        <w:rPr>
          <w:rFonts w:ascii="Arial" w:eastAsia="Arial" w:hAnsi="Arial" w:cs="Arial"/>
          <w:sz w:val="20"/>
          <w:szCs w:val="20"/>
        </w:rPr>
        <w:t xml:space="preserve"> </w:t>
      </w:r>
      <w:r w:rsidRPr="00B97A50">
        <w:rPr>
          <w:rFonts w:ascii="Arial" w:eastAsia="Arial" w:hAnsi="Arial" w:cs="Arial"/>
          <w:sz w:val="20"/>
          <w:szCs w:val="20"/>
        </w:rPr>
        <w:t xml:space="preserve">As </w:t>
      </w:r>
      <w:r w:rsidRPr="0074509A">
        <w:rPr>
          <w:rFonts w:ascii="Arial" w:eastAsia="Arial" w:hAnsi="Arial" w:cs="Arial"/>
          <w:sz w:val="20"/>
          <w:szCs w:val="20"/>
        </w:rPr>
        <w:t>Kr</w:t>
      </w:r>
      <w:r w:rsidRPr="0074509A">
        <w:rPr>
          <w:rFonts w:ascii="Arial" w:eastAsia="Arial" w:hAnsi="Arial" w:cs="Arial"/>
          <w:sz w:val="20"/>
          <w:szCs w:val="20"/>
        </w:rPr>
        <w:t>ueger (1994) noted, these are structured to collect information on a specific topic, and Dilshad and Latif (2013) emph</w:t>
      </w:r>
      <w:r w:rsidRPr="00B97A50">
        <w:rPr>
          <w:rFonts w:ascii="Arial" w:eastAsia="Arial" w:hAnsi="Arial" w:cs="Arial"/>
          <w:sz w:val="20"/>
          <w:szCs w:val="20"/>
        </w:rPr>
        <w:t>asized their value in qualitative research. The discussions took place in a relaxed, friendly environment, which encouraged open and hones</w:t>
      </w:r>
      <w:r w:rsidRPr="00B97A50">
        <w:rPr>
          <w:rFonts w:ascii="Arial" w:eastAsia="Arial" w:hAnsi="Arial" w:cs="Arial"/>
          <w:sz w:val="20"/>
          <w:szCs w:val="20"/>
        </w:rPr>
        <w:t>t feedback.</w:t>
      </w:r>
      <w:r w:rsidR="00BF1C8A" w:rsidRPr="00B97A50">
        <w:rPr>
          <w:rFonts w:ascii="Arial" w:eastAsia="Arial" w:hAnsi="Arial" w:cs="Arial"/>
          <w:sz w:val="20"/>
          <w:szCs w:val="20"/>
        </w:rPr>
        <w:t xml:space="preserve"> </w:t>
      </w:r>
      <w:r w:rsidRPr="00B97A50">
        <w:rPr>
          <w:rFonts w:ascii="Arial" w:eastAsia="Arial" w:hAnsi="Arial" w:cs="Arial"/>
          <w:sz w:val="20"/>
          <w:szCs w:val="20"/>
        </w:rPr>
        <w:t xml:space="preserve">Participants for the focus groups were purposefully selected to ensure productive group dynamics. Careful planning helped foster effective interaction. </w:t>
      </w:r>
      <w:proofErr w:type="spellStart"/>
      <w:r w:rsidRPr="0074509A">
        <w:rPr>
          <w:rFonts w:ascii="Arial" w:eastAsia="Arial" w:hAnsi="Arial" w:cs="Arial"/>
          <w:sz w:val="20"/>
          <w:szCs w:val="20"/>
        </w:rPr>
        <w:t>Sargeant</w:t>
      </w:r>
      <w:proofErr w:type="spellEnd"/>
      <w:r w:rsidRPr="0074509A">
        <w:rPr>
          <w:rFonts w:ascii="Arial" w:eastAsia="Arial" w:hAnsi="Arial" w:cs="Arial"/>
          <w:sz w:val="20"/>
          <w:szCs w:val="20"/>
        </w:rPr>
        <w:t xml:space="preserve"> (2012) stressed that the required number of participants depends on reaching a full</w:t>
      </w:r>
      <w:r w:rsidRPr="0074509A">
        <w:rPr>
          <w:rFonts w:ascii="Arial" w:eastAsia="Arial" w:hAnsi="Arial" w:cs="Arial"/>
          <w:sz w:val="20"/>
          <w:szCs w:val="20"/>
        </w:rPr>
        <w:t xml:space="preserve"> understanding of the topic</w:t>
      </w:r>
      <w:r w:rsidR="00BF1C8A" w:rsidRPr="0074509A">
        <w:rPr>
          <w:rFonts w:ascii="Arial" w:eastAsia="Arial" w:hAnsi="Arial" w:cs="Arial"/>
          <w:sz w:val="20"/>
          <w:szCs w:val="20"/>
        </w:rPr>
        <w:t>.</w:t>
      </w:r>
      <w:r w:rsidR="00BF1C8A" w:rsidRPr="00B97A50">
        <w:rPr>
          <w:rFonts w:ascii="Arial" w:eastAsia="Arial" w:hAnsi="Arial" w:cs="Arial"/>
          <w:sz w:val="20"/>
          <w:szCs w:val="20"/>
        </w:rPr>
        <w:t xml:space="preserve"> </w:t>
      </w:r>
      <w:r w:rsidRPr="00B97A50">
        <w:rPr>
          <w:rFonts w:ascii="Arial" w:eastAsia="Arial" w:hAnsi="Arial" w:cs="Arial"/>
          <w:sz w:val="20"/>
          <w:szCs w:val="20"/>
        </w:rPr>
        <w:t xml:space="preserve"> According to </w:t>
      </w:r>
      <w:r w:rsidRPr="0074509A">
        <w:rPr>
          <w:rFonts w:ascii="Arial" w:eastAsia="Arial" w:hAnsi="Arial" w:cs="Arial"/>
          <w:sz w:val="20"/>
          <w:szCs w:val="20"/>
        </w:rPr>
        <w:t>Tobias et al. (2018),</w:t>
      </w:r>
      <w:r w:rsidRPr="00B97A50">
        <w:rPr>
          <w:rFonts w:ascii="Arial" w:eastAsia="Arial" w:hAnsi="Arial" w:cs="Arial"/>
          <w:sz w:val="20"/>
          <w:szCs w:val="20"/>
        </w:rPr>
        <w:t xml:space="preserve"> focus group sizes typically range from 3 to 21 participants, with a median of 10, though this varies depending on research needs and availability. Interviews were conducted in English or Cebu</w:t>
      </w:r>
      <w:r w:rsidRPr="00B97A50">
        <w:rPr>
          <w:rFonts w:ascii="Arial" w:eastAsia="Arial" w:hAnsi="Arial" w:cs="Arial"/>
          <w:sz w:val="20"/>
          <w:szCs w:val="20"/>
        </w:rPr>
        <w:t>ano, based on participant preference, to ensure clarity and comfort in answering the guiding questions.</w:t>
      </w:r>
      <w:r>
        <w:rPr>
          <w:rFonts w:ascii="Arial" w:eastAsia="Arial" w:hAnsi="Arial" w:cs="Arial"/>
          <w:sz w:val="20"/>
          <w:szCs w:val="20"/>
        </w:rPr>
        <w:t xml:space="preserve"> </w:t>
      </w:r>
    </w:p>
    <w:p w14:paraId="0CCDA55D" w14:textId="77777777" w:rsidR="002B57B9" w:rsidRDefault="00193F43">
      <w:pPr>
        <w:spacing w:line="240" w:lineRule="auto"/>
        <w:jc w:val="both"/>
        <w:rPr>
          <w:rFonts w:ascii="Arial" w:eastAsia="Arial" w:hAnsi="Arial" w:cs="Arial"/>
          <w:b/>
          <w:sz w:val="20"/>
          <w:szCs w:val="20"/>
        </w:rPr>
      </w:pPr>
      <w:r>
        <w:rPr>
          <w:rFonts w:ascii="Arial" w:eastAsia="Arial" w:hAnsi="Arial" w:cs="Arial"/>
          <w:b/>
          <w:sz w:val="20"/>
          <w:szCs w:val="20"/>
        </w:rPr>
        <w:t>Respondents of the Study</w:t>
      </w:r>
    </w:p>
    <w:p w14:paraId="04A95A62" w14:textId="7922BAD7" w:rsidR="00B74BA6" w:rsidRPr="00C56226" w:rsidRDefault="00193F43">
      <w:pPr>
        <w:spacing w:line="240" w:lineRule="auto"/>
        <w:ind w:firstLine="720"/>
        <w:jc w:val="both"/>
        <w:rPr>
          <w:rFonts w:ascii="Arial" w:eastAsia="Arial" w:hAnsi="Arial" w:cs="Arial"/>
          <w:sz w:val="20"/>
          <w:szCs w:val="20"/>
        </w:rPr>
      </w:pPr>
      <w:r w:rsidRPr="00C56226">
        <w:rPr>
          <w:rFonts w:ascii="Arial" w:eastAsia="Arial" w:hAnsi="Arial" w:cs="Arial"/>
          <w:sz w:val="20"/>
          <w:szCs w:val="20"/>
        </w:rPr>
        <w:t xml:space="preserve">The participants of this study were HR managers and supervisors from three agricultural firms in Davao del Norte—TADECO, </w:t>
      </w:r>
      <w:proofErr w:type="spellStart"/>
      <w:r w:rsidRPr="00C56226">
        <w:rPr>
          <w:rFonts w:ascii="Arial" w:eastAsia="Arial" w:hAnsi="Arial" w:cs="Arial"/>
          <w:sz w:val="20"/>
          <w:szCs w:val="20"/>
        </w:rPr>
        <w:t>Marsman</w:t>
      </w:r>
      <w:proofErr w:type="spellEnd"/>
      <w:r w:rsidRPr="00C56226">
        <w:rPr>
          <w:rFonts w:ascii="Arial" w:eastAsia="Arial" w:hAnsi="Arial" w:cs="Arial"/>
          <w:sz w:val="20"/>
          <w:szCs w:val="20"/>
        </w:rPr>
        <w:t xml:space="preserve"> Estate Plantation Inc., and the City Agriculture Office (CAGRO)—located in </w:t>
      </w:r>
      <w:proofErr w:type="spellStart"/>
      <w:r w:rsidRPr="00C56226">
        <w:rPr>
          <w:rFonts w:ascii="Arial" w:eastAsia="Arial" w:hAnsi="Arial" w:cs="Arial"/>
          <w:sz w:val="20"/>
          <w:szCs w:val="20"/>
        </w:rPr>
        <w:t>Panabo</w:t>
      </w:r>
      <w:proofErr w:type="spellEnd"/>
      <w:r w:rsidRPr="00C56226">
        <w:rPr>
          <w:rFonts w:ascii="Arial" w:eastAsia="Arial" w:hAnsi="Arial" w:cs="Arial"/>
          <w:sz w:val="20"/>
          <w:szCs w:val="20"/>
        </w:rPr>
        <w:t xml:space="preserve">, </w:t>
      </w:r>
      <w:proofErr w:type="spellStart"/>
      <w:r w:rsidRPr="00C56226">
        <w:rPr>
          <w:rFonts w:ascii="Arial" w:eastAsia="Arial" w:hAnsi="Arial" w:cs="Arial"/>
          <w:sz w:val="20"/>
          <w:szCs w:val="20"/>
        </w:rPr>
        <w:t>Sto</w:t>
      </w:r>
      <w:proofErr w:type="spellEnd"/>
      <w:r w:rsidRPr="00C56226">
        <w:rPr>
          <w:rFonts w:ascii="Arial" w:eastAsia="Arial" w:hAnsi="Arial" w:cs="Arial"/>
          <w:sz w:val="20"/>
          <w:szCs w:val="20"/>
        </w:rPr>
        <w:t xml:space="preserve">. Tomas and Tagum. TADECO and </w:t>
      </w:r>
      <w:proofErr w:type="spellStart"/>
      <w:r w:rsidRPr="00C56226">
        <w:rPr>
          <w:rFonts w:ascii="Arial" w:eastAsia="Arial" w:hAnsi="Arial" w:cs="Arial"/>
          <w:sz w:val="20"/>
          <w:szCs w:val="20"/>
        </w:rPr>
        <w:t>Marsman</w:t>
      </w:r>
      <w:proofErr w:type="spellEnd"/>
      <w:r w:rsidRPr="00C56226">
        <w:rPr>
          <w:rFonts w:ascii="Arial" w:eastAsia="Arial" w:hAnsi="Arial" w:cs="Arial"/>
          <w:sz w:val="20"/>
          <w:szCs w:val="20"/>
        </w:rPr>
        <w:t xml:space="preserve"> are</w:t>
      </w:r>
      <w:r w:rsidRPr="00C56226">
        <w:rPr>
          <w:rFonts w:ascii="Arial" w:eastAsia="Arial" w:hAnsi="Arial" w:cs="Arial"/>
          <w:sz w:val="20"/>
          <w:szCs w:val="20"/>
        </w:rPr>
        <w:t xml:space="preserve"> major players in the banana industry, offering agricultural, technical, and managerial roles, while CAGRO focuses on government-led agricultural development and provides on-the-job training for Technical-Vocational Livelihood (TVL) students. </w:t>
      </w:r>
    </w:p>
    <w:p w14:paraId="053116EB" w14:textId="77777777" w:rsidR="002B57B9" w:rsidRDefault="00193F43">
      <w:pPr>
        <w:spacing w:line="240" w:lineRule="auto"/>
        <w:jc w:val="both"/>
        <w:rPr>
          <w:rFonts w:ascii="Arial" w:eastAsia="Arial" w:hAnsi="Arial" w:cs="Arial"/>
          <w:b/>
          <w:sz w:val="20"/>
          <w:szCs w:val="20"/>
        </w:rPr>
      </w:pPr>
      <w:r>
        <w:rPr>
          <w:rFonts w:ascii="Arial" w:eastAsia="Arial" w:hAnsi="Arial" w:cs="Arial"/>
          <w:b/>
          <w:sz w:val="20"/>
          <w:szCs w:val="20"/>
        </w:rPr>
        <w:t>Data Gatheri</w:t>
      </w:r>
      <w:r>
        <w:rPr>
          <w:rFonts w:ascii="Arial" w:eastAsia="Arial" w:hAnsi="Arial" w:cs="Arial"/>
          <w:b/>
          <w:sz w:val="20"/>
          <w:szCs w:val="20"/>
        </w:rPr>
        <w:t>ng</w:t>
      </w:r>
    </w:p>
    <w:p w14:paraId="4748F62F" w14:textId="77777777" w:rsidR="002B57B9" w:rsidRDefault="00193F43">
      <w:pPr>
        <w:spacing w:line="240" w:lineRule="auto"/>
        <w:jc w:val="both"/>
        <w:rPr>
          <w:rFonts w:ascii="Arial" w:eastAsia="Arial" w:hAnsi="Arial" w:cs="Arial"/>
          <w:sz w:val="20"/>
          <w:szCs w:val="20"/>
        </w:rPr>
      </w:pPr>
      <w:r>
        <w:rPr>
          <w:rFonts w:ascii="Arial" w:eastAsia="Arial" w:hAnsi="Arial" w:cs="Arial"/>
          <w:sz w:val="20"/>
          <w:szCs w:val="20"/>
        </w:rPr>
        <w:t>The following methods were used to collect data:</w:t>
      </w:r>
    </w:p>
    <w:p w14:paraId="5519477C" w14:textId="77777777" w:rsidR="002B57B9" w:rsidRDefault="00193F43">
      <w:pPr>
        <w:spacing w:line="240" w:lineRule="auto"/>
        <w:ind w:firstLine="720"/>
        <w:jc w:val="both"/>
        <w:rPr>
          <w:rFonts w:ascii="Arial" w:eastAsia="Arial" w:hAnsi="Arial" w:cs="Arial"/>
          <w:sz w:val="20"/>
          <w:szCs w:val="20"/>
        </w:rPr>
      </w:pPr>
      <w:r>
        <w:rPr>
          <w:rFonts w:ascii="Arial" w:eastAsia="Arial" w:hAnsi="Arial" w:cs="Arial"/>
          <w:sz w:val="20"/>
          <w:szCs w:val="20"/>
        </w:rPr>
        <w:t xml:space="preserve">A structured approach was applied to gather information from different sources. This was important for generating insights, solving problems, evaluating outcomes, and supporting decision-making. The main </w:t>
      </w:r>
      <w:r>
        <w:rPr>
          <w:rFonts w:ascii="Arial" w:eastAsia="Arial" w:hAnsi="Arial" w:cs="Arial"/>
          <w:sz w:val="20"/>
          <w:szCs w:val="20"/>
        </w:rPr>
        <w:t>goal of data collection was to gather relevant information for analysis, track progress, and contribute to knowledge (Nicolette, 2023).</w:t>
      </w:r>
    </w:p>
    <w:p w14:paraId="0F3E41B3" w14:textId="77777777" w:rsidR="00B97A50" w:rsidRDefault="00B97A50">
      <w:pPr>
        <w:spacing w:line="240" w:lineRule="auto"/>
        <w:ind w:firstLine="720"/>
        <w:jc w:val="both"/>
        <w:rPr>
          <w:rFonts w:ascii="Arial" w:eastAsia="Arial" w:hAnsi="Arial" w:cs="Arial"/>
          <w:sz w:val="20"/>
          <w:szCs w:val="20"/>
        </w:rPr>
      </w:pPr>
    </w:p>
    <w:p w14:paraId="45D834CA" w14:textId="77777777" w:rsidR="002B57B9" w:rsidRDefault="00193F43">
      <w:pPr>
        <w:spacing w:line="240" w:lineRule="auto"/>
        <w:jc w:val="both"/>
        <w:rPr>
          <w:rFonts w:ascii="Arial" w:eastAsia="Arial" w:hAnsi="Arial" w:cs="Arial"/>
          <w:b/>
          <w:i/>
          <w:sz w:val="20"/>
          <w:szCs w:val="20"/>
        </w:rPr>
      </w:pPr>
      <w:r>
        <w:rPr>
          <w:rFonts w:ascii="Arial" w:eastAsia="Arial" w:hAnsi="Arial" w:cs="Arial"/>
          <w:b/>
          <w:i/>
          <w:sz w:val="20"/>
          <w:szCs w:val="20"/>
        </w:rPr>
        <w:t>Before Interview</w:t>
      </w:r>
    </w:p>
    <w:p w14:paraId="258A00AD" w14:textId="77777777" w:rsidR="00B97A50" w:rsidRDefault="00193F43">
      <w:pPr>
        <w:spacing w:line="240" w:lineRule="auto"/>
        <w:jc w:val="both"/>
        <w:rPr>
          <w:rFonts w:ascii="Arial" w:eastAsia="Arial" w:hAnsi="Arial" w:cs="Arial"/>
          <w:sz w:val="20"/>
          <w:szCs w:val="20"/>
        </w:rPr>
      </w:pPr>
      <w:r>
        <w:rPr>
          <w:rFonts w:ascii="Arial" w:eastAsia="Arial" w:hAnsi="Arial" w:cs="Arial"/>
          <w:sz w:val="20"/>
          <w:szCs w:val="20"/>
        </w:rPr>
        <w:tab/>
        <w:t>A structured protocol was followed before conducting interviews with the three selected participants.</w:t>
      </w:r>
      <w:r>
        <w:rPr>
          <w:rFonts w:ascii="Arial" w:eastAsia="Arial" w:hAnsi="Arial" w:cs="Arial"/>
          <w:sz w:val="20"/>
          <w:szCs w:val="20"/>
        </w:rPr>
        <w:t xml:space="preserve"> The researchers first sent an approval letter to the agriculture industry to request permission for data collection. Onc</w:t>
      </w:r>
      <w:r w:rsidR="00BF1C8A">
        <w:rPr>
          <w:rFonts w:ascii="Arial" w:eastAsia="Arial" w:hAnsi="Arial" w:cs="Arial"/>
          <w:sz w:val="20"/>
          <w:szCs w:val="20"/>
        </w:rPr>
        <w:t xml:space="preserve">e </w:t>
      </w:r>
      <w:r>
        <w:rPr>
          <w:rFonts w:ascii="Arial" w:eastAsia="Arial" w:hAnsi="Arial" w:cs="Arial"/>
          <w:sz w:val="20"/>
          <w:szCs w:val="20"/>
        </w:rPr>
        <w:t>approved, they</w:t>
      </w:r>
      <w:r w:rsidR="00BF1C8A">
        <w:rPr>
          <w:rFonts w:ascii="Arial" w:eastAsia="Arial" w:hAnsi="Arial" w:cs="Arial"/>
          <w:sz w:val="20"/>
          <w:szCs w:val="20"/>
        </w:rPr>
        <w:t xml:space="preserve"> sought </w:t>
      </w:r>
      <w:r>
        <w:rPr>
          <w:rFonts w:ascii="Arial" w:eastAsia="Arial" w:hAnsi="Arial" w:cs="Arial"/>
          <w:sz w:val="20"/>
          <w:szCs w:val="20"/>
        </w:rPr>
        <w:t>consent from the specific institutions involved. Participants were informed about the study, allowed to ask que</w:t>
      </w:r>
      <w:r>
        <w:rPr>
          <w:rFonts w:ascii="Arial" w:eastAsia="Arial" w:hAnsi="Arial" w:cs="Arial"/>
          <w:sz w:val="20"/>
          <w:szCs w:val="20"/>
        </w:rPr>
        <w:t>stions, and asked to sign a voluntary consent form. It was made clear that participation</w:t>
      </w:r>
      <w:r w:rsidR="00BF1C8A">
        <w:rPr>
          <w:rFonts w:ascii="Arial" w:eastAsia="Arial" w:hAnsi="Arial" w:cs="Arial"/>
          <w:sz w:val="20"/>
          <w:szCs w:val="20"/>
        </w:rPr>
        <w:t xml:space="preserve"> </w:t>
      </w:r>
      <w:r>
        <w:rPr>
          <w:rFonts w:ascii="Arial" w:eastAsia="Arial" w:hAnsi="Arial" w:cs="Arial"/>
          <w:sz w:val="20"/>
          <w:szCs w:val="20"/>
        </w:rPr>
        <w:t xml:space="preserve">could be withdrawn at any time. </w:t>
      </w:r>
    </w:p>
    <w:p w14:paraId="23FF768B" w14:textId="60869188" w:rsidR="002B57B9" w:rsidRDefault="00193F43">
      <w:pPr>
        <w:spacing w:line="240" w:lineRule="auto"/>
        <w:jc w:val="both"/>
        <w:rPr>
          <w:rFonts w:ascii="Arial" w:eastAsia="Arial" w:hAnsi="Arial" w:cs="Arial"/>
          <w:b/>
          <w:i/>
          <w:sz w:val="20"/>
          <w:szCs w:val="20"/>
        </w:rPr>
      </w:pPr>
      <w:r>
        <w:rPr>
          <w:rFonts w:ascii="Arial" w:eastAsia="Arial" w:hAnsi="Arial" w:cs="Arial"/>
          <w:b/>
          <w:i/>
          <w:sz w:val="20"/>
          <w:szCs w:val="20"/>
        </w:rPr>
        <w:t>During Interview</w:t>
      </w:r>
    </w:p>
    <w:p w14:paraId="1A736740" w14:textId="0E8BDE90" w:rsidR="002B57B9" w:rsidRDefault="00193F43">
      <w:pPr>
        <w:spacing w:line="240" w:lineRule="auto"/>
        <w:jc w:val="both"/>
        <w:rPr>
          <w:rFonts w:ascii="Arial" w:eastAsia="Arial" w:hAnsi="Arial" w:cs="Arial"/>
          <w:sz w:val="20"/>
          <w:szCs w:val="20"/>
        </w:rPr>
      </w:pPr>
      <w:r>
        <w:rPr>
          <w:rFonts w:ascii="Arial" w:eastAsia="Arial" w:hAnsi="Arial" w:cs="Arial"/>
          <w:sz w:val="20"/>
          <w:szCs w:val="20"/>
        </w:rPr>
        <w:tab/>
        <w:t>Participants were asked three main research questions, along with follow-up probing</w:t>
      </w:r>
      <w:r w:rsidR="00B97A50">
        <w:rPr>
          <w:rFonts w:ascii="Arial" w:eastAsia="Arial" w:hAnsi="Arial" w:cs="Arial"/>
          <w:sz w:val="20"/>
          <w:szCs w:val="20"/>
        </w:rPr>
        <w:t xml:space="preserve"> </w:t>
      </w:r>
      <w:r>
        <w:rPr>
          <w:rFonts w:ascii="Arial" w:eastAsia="Arial" w:hAnsi="Arial" w:cs="Arial"/>
          <w:sz w:val="20"/>
          <w:szCs w:val="20"/>
        </w:rPr>
        <w:t>(</w:t>
      </w:r>
      <w:proofErr w:type="spellStart"/>
      <w:r>
        <w:rPr>
          <w:rFonts w:ascii="Arial" w:eastAsia="Arial" w:hAnsi="Arial" w:cs="Arial"/>
          <w:sz w:val="20"/>
          <w:szCs w:val="20"/>
        </w:rPr>
        <w:t>Sirisilla</w:t>
      </w:r>
      <w:proofErr w:type="spellEnd"/>
      <w:r>
        <w:rPr>
          <w:rFonts w:ascii="Arial" w:eastAsia="Arial" w:hAnsi="Arial" w:cs="Arial"/>
          <w:sz w:val="20"/>
          <w:szCs w:val="20"/>
        </w:rPr>
        <w:t>, 2023). The interview</w:t>
      </w:r>
      <w:r>
        <w:rPr>
          <w:rFonts w:ascii="Arial" w:eastAsia="Arial" w:hAnsi="Arial" w:cs="Arial"/>
          <w:sz w:val="20"/>
          <w:szCs w:val="20"/>
        </w:rPr>
        <w:t>s gave them enough time to express their thoughts and share relevant information. Researchers carefully recorded their responses using</w:t>
      </w:r>
      <w:r w:rsidR="00BF1C8A">
        <w:rPr>
          <w:rFonts w:ascii="Arial" w:eastAsia="Arial" w:hAnsi="Arial" w:cs="Arial"/>
          <w:sz w:val="20"/>
          <w:szCs w:val="20"/>
        </w:rPr>
        <w:t xml:space="preserve"> audio</w:t>
      </w:r>
      <w:r>
        <w:rPr>
          <w:rFonts w:ascii="Arial" w:eastAsia="Arial" w:hAnsi="Arial" w:cs="Arial"/>
          <w:sz w:val="20"/>
          <w:szCs w:val="20"/>
        </w:rPr>
        <w:t xml:space="preserve"> methods to preserve key details for later analysis. Afterwards, an online focus group discussion was held to compar</w:t>
      </w:r>
      <w:r>
        <w:rPr>
          <w:rFonts w:ascii="Arial" w:eastAsia="Arial" w:hAnsi="Arial" w:cs="Arial"/>
          <w:sz w:val="20"/>
          <w:szCs w:val="20"/>
        </w:rPr>
        <w:t>e and triangulate individual responses across different industries.</w:t>
      </w:r>
    </w:p>
    <w:p w14:paraId="584CB0EE" w14:textId="77777777" w:rsidR="002B57B9" w:rsidRDefault="00193F43">
      <w:pPr>
        <w:spacing w:line="240" w:lineRule="auto"/>
        <w:jc w:val="both"/>
        <w:rPr>
          <w:rFonts w:ascii="Arial" w:eastAsia="Arial" w:hAnsi="Arial" w:cs="Arial"/>
          <w:b/>
          <w:i/>
          <w:sz w:val="20"/>
          <w:szCs w:val="20"/>
        </w:rPr>
      </w:pPr>
      <w:r>
        <w:rPr>
          <w:rFonts w:ascii="Arial" w:eastAsia="Arial" w:hAnsi="Arial" w:cs="Arial"/>
          <w:b/>
          <w:i/>
          <w:sz w:val="20"/>
          <w:szCs w:val="20"/>
        </w:rPr>
        <w:t xml:space="preserve">After interview </w:t>
      </w:r>
    </w:p>
    <w:p w14:paraId="112C7A86" w14:textId="77777777" w:rsidR="002B57B9" w:rsidRDefault="00193F43">
      <w:pPr>
        <w:spacing w:line="240" w:lineRule="auto"/>
        <w:ind w:firstLine="720"/>
        <w:jc w:val="both"/>
        <w:rPr>
          <w:rFonts w:ascii="Arial" w:eastAsia="Arial" w:hAnsi="Arial" w:cs="Arial"/>
          <w:sz w:val="20"/>
          <w:szCs w:val="20"/>
        </w:rPr>
      </w:pPr>
      <w:r>
        <w:rPr>
          <w:rFonts w:ascii="Arial" w:eastAsia="Arial" w:hAnsi="Arial" w:cs="Arial"/>
          <w:sz w:val="20"/>
          <w:szCs w:val="20"/>
        </w:rPr>
        <w:t>The framework involved familiarizing the researchers with the data, creating specific codes, organizing them into meaningful themes, evaluating the importance of these the</w:t>
      </w:r>
      <w:r>
        <w:rPr>
          <w:rFonts w:ascii="Arial" w:eastAsia="Arial" w:hAnsi="Arial" w:cs="Arial"/>
          <w:sz w:val="20"/>
          <w:szCs w:val="20"/>
        </w:rPr>
        <w:t xml:space="preserve">mes, and reporting the results. The researchers transcribed the participants' audio recordings and translated the transcripts into English for detailed analysis. To ensure accuracy, a member-checking process was done, where participants were contacted and </w:t>
      </w:r>
      <w:r>
        <w:rPr>
          <w:rFonts w:ascii="Arial" w:eastAsia="Arial" w:hAnsi="Arial" w:cs="Arial"/>
          <w:sz w:val="20"/>
          <w:szCs w:val="20"/>
        </w:rPr>
        <w:t>given a letter asking them to review their transcribed and translated responses. The researchers then carefully grouped the responses into clear themes for systematic analysis and interpretation.</w:t>
      </w:r>
    </w:p>
    <w:p w14:paraId="726514E8" w14:textId="77777777" w:rsidR="002B57B9" w:rsidRDefault="002B57B9">
      <w:pPr>
        <w:spacing w:line="240" w:lineRule="auto"/>
        <w:jc w:val="both"/>
        <w:rPr>
          <w:rFonts w:ascii="Arial" w:eastAsia="Arial" w:hAnsi="Arial" w:cs="Arial"/>
          <w:sz w:val="20"/>
          <w:szCs w:val="20"/>
        </w:rPr>
      </w:pPr>
    </w:p>
    <w:p w14:paraId="17DC2B27" w14:textId="77777777" w:rsidR="004D468E" w:rsidRDefault="004D468E">
      <w:pPr>
        <w:spacing w:line="240" w:lineRule="auto"/>
        <w:jc w:val="both"/>
        <w:rPr>
          <w:rFonts w:ascii="Arial" w:eastAsia="Arial" w:hAnsi="Arial" w:cs="Arial"/>
          <w:sz w:val="20"/>
          <w:szCs w:val="20"/>
        </w:rPr>
      </w:pPr>
    </w:p>
    <w:p w14:paraId="2AE00B42" w14:textId="77777777" w:rsidR="002B57B9" w:rsidRDefault="00193F43">
      <w:pPr>
        <w:spacing w:line="240" w:lineRule="auto"/>
        <w:jc w:val="both"/>
        <w:rPr>
          <w:rFonts w:ascii="Arial" w:eastAsia="Arial" w:hAnsi="Arial" w:cs="Arial"/>
          <w:b/>
          <w:sz w:val="20"/>
          <w:szCs w:val="20"/>
        </w:rPr>
      </w:pPr>
      <w:r>
        <w:rPr>
          <w:rFonts w:ascii="Arial" w:eastAsia="Arial" w:hAnsi="Arial" w:cs="Arial"/>
          <w:b/>
          <w:sz w:val="20"/>
          <w:szCs w:val="20"/>
        </w:rPr>
        <w:t>4. RESULTS AND DISCUSSION</w:t>
      </w:r>
    </w:p>
    <w:p w14:paraId="701CA9EE" w14:textId="77777777" w:rsidR="002B57B9" w:rsidRDefault="00193F43">
      <w:pPr>
        <w:pBdr>
          <w:top w:val="nil"/>
          <w:left w:val="nil"/>
          <w:bottom w:val="nil"/>
          <w:right w:val="nil"/>
          <w:between w:val="nil"/>
        </w:pBdr>
        <w:spacing w:line="240" w:lineRule="auto"/>
        <w:jc w:val="both"/>
        <w:rPr>
          <w:rFonts w:ascii="Arial" w:eastAsia="Arial" w:hAnsi="Arial" w:cs="Arial"/>
          <w:color w:val="000000"/>
          <w:sz w:val="20"/>
          <w:szCs w:val="20"/>
        </w:rPr>
      </w:pPr>
      <w:r>
        <w:rPr>
          <w:rFonts w:ascii="Arial" w:eastAsia="Arial" w:hAnsi="Arial" w:cs="Arial"/>
          <w:color w:val="000000"/>
          <w:sz w:val="20"/>
          <w:szCs w:val="20"/>
        </w:rPr>
        <w:t>This chapter presents a thematic</w:t>
      </w:r>
      <w:r>
        <w:rPr>
          <w:rFonts w:ascii="Arial" w:eastAsia="Arial" w:hAnsi="Arial" w:cs="Arial"/>
          <w:color w:val="000000"/>
          <w:sz w:val="20"/>
          <w:szCs w:val="20"/>
        </w:rPr>
        <w:t xml:space="preserve"> analysis of data from In-Depth Interviews (IDIs) with industry participants. Supported by literature, the discussion explains the themes that emerged in response to three research questions.</w:t>
      </w:r>
    </w:p>
    <w:p w14:paraId="2B12B5BB" w14:textId="2D28C3CD" w:rsidR="002B57B9" w:rsidRDefault="00193F43" w:rsidP="00C56226">
      <w:pPr>
        <w:pBdr>
          <w:top w:val="nil"/>
          <w:left w:val="nil"/>
          <w:bottom w:val="nil"/>
          <w:right w:val="nil"/>
          <w:between w:val="nil"/>
        </w:pBdr>
        <w:spacing w:line="240" w:lineRule="auto"/>
        <w:jc w:val="both"/>
        <w:rPr>
          <w:rFonts w:ascii="Arial" w:eastAsia="Arial" w:hAnsi="Arial" w:cs="Arial"/>
          <w:color w:val="000000"/>
          <w:sz w:val="20"/>
          <w:szCs w:val="20"/>
        </w:rPr>
      </w:pPr>
      <w:r>
        <w:rPr>
          <w:rFonts w:ascii="Arial" w:eastAsia="Arial" w:hAnsi="Arial" w:cs="Arial"/>
          <w:color w:val="000000"/>
          <w:sz w:val="20"/>
          <w:szCs w:val="20"/>
        </w:rPr>
        <w:t xml:space="preserve">The first question explored the specific knowledge, skills, and </w:t>
      </w:r>
      <w:r>
        <w:rPr>
          <w:rFonts w:ascii="Arial" w:eastAsia="Arial" w:hAnsi="Arial" w:cs="Arial"/>
          <w:color w:val="000000"/>
          <w:sz w:val="20"/>
          <w:szCs w:val="20"/>
        </w:rPr>
        <w:t>attitudes sought by agriculture-related employers. The second addressed gaps observed in TVL students during their On-the-Job Training (OJT) and how these influence hiring decisions. The third examined the industry's strategies to address these gaps. Parti</w:t>
      </w:r>
      <w:r>
        <w:rPr>
          <w:rFonts w:ascii="Arial" w:eastAsia="Arial" w:hAnsi="Arial" w:cs="Arial"/>
          <w:color w:val="000000"/>
          <w:sz w:val="20"/>
          <w:szCs w:val="20"/>
        </w:rPr>
        <w:t>cipant responses were analyzed and categorized into key themes, with supporting literature.</w:t>
      </w:r>
    </w:p>
    <w:p w14:paraId="19AB61D6" w14:textId="77777777" w:rsidR="00811BA7" w:rsidRDefault="00811BA7" w:rsidP="00C56226">
      <w:pPr>
        <w:pBdr>
          <w:top w:val="nil"/>
          <w:left w:val="nil"/>
          <w:bottom w:val="nil"/>
          <w:right w:val="nil"/>
          <w:between w:val="nil"/>
        </w:pBdr>
        <w:spacing w:line="240" w:lineRule="auto"/>
        <w:jc w:val="both"/>
        <w:rPr>
          <w:rFonts w:ascii="Arial" w:eastAsia="Arial" w:hAnsi="Arial" w:cs="Arial"/>
          <w:color w:val="000000"/>
          <w:sz w:val="20"/>
          <w:szCs w:val="20"/>
        </w:rPr>
      </w:pPr>
    </w:p>
    <w:p w14:paraId="2DEDE291" w14:textId="77777777" w:rsidR="00811BA7" w:rsidRDefault="00811BA7" w:rsidP="00C56226">
      <w:pPr>
        <w:pBdr>
          <w:top w:val="nil"/>
          <w:left w:val="nil"/>
          <w:bottom w:val="nil"/>
          <w:right w:val="nil"/>
          <w:between w:val="nil"/>
        </w:pBdr>
        <w:spacing w:line="240" w:lineRule="auto"/>
        <w:jc w:val="both"/>
        <w:rPr>
          <w:rFonts w:ascii="Arial" w:eastAsia="Arial" w:hAnsi="Arial" w:cs="Arial"/>
          <w:color w:val="000000"/>
          <w:sz w:val="20"/>
          <w:szCs w:val="20"/>
        </w:rPr>
      </w:pPr>
    </w:p>
    <w:p w14:paraId="653A9BC8" w14:textId="77777777" w:rsidR="00811BA7" w:rsidRDefault="00811BA7" w:rsidP="00C56226">
      <w:pPr>
        <w:pBdr>
          <w:top w:val="nil"/>
          <w:left w:val="nil"/>
          <w:bottom w:val="nil"/>
          <w:right w:val="nil"/>
          <w:between w:val="nil"/>
        </w:pBdr>
        <w:spacing w:line="240" w:lineRule="auto"/>
        <w:jc w:val="both"/>
        <w:rPr>
          <w:rFonts w:ascii="Arial" w:eastAsia="Arial" w:hAnsi="Arial" w:cs="Arial"/>
          <w:color w:val="000000"/>
          <w:sz w:val="20"/>
          <w:szCs w:val="20"/>
        </w:rPr>
      </w:pPr>
    </w:p>
    <w:p w14:paraId="39CB511E" w14:textId="77777777" w:rsidR="00811BA7" w:rsidRDefault="00811BA7" w:rsidP="00C56226">
      <w:pPr>
        <w:pBdr>
          <w:top w:val="nil"/>
          <w:left w:val="nil"/>
          <w:bottom w:val="nil"/>
          <w:right w:val="nil"/>
          <w:between w:val="nil"/>
        </w:pBdr>
        <w:spacing w:line="240" w:lineRule="auto"/>
        <w:jc w:val="both"/>
        <w:rPr>
          <w:rFonts w:ascii="Arial" w:eastAsia="Arial" w:hAnsi="Arial" w:cs="Arial"/>
          <w:color w:val="000000"/>
          <w:sz w:val="20"/>
          <w:szCs w:val="20"/>
        </w:rPr>
      </w:pPr>
    </w:p>
    <w:p w14:paraId="6F76E400" w14:textId="77777777" w:rsidR="00811BA7" w:rsidRDefault="00811BA7" w:rsidP="00C56226">
      <w:pPr>
        <w:pBdr>
          <w:top w:val="nil"/>
          <w:left w:val="nil"/>
          <w:bottom w:val="nil"/>
          <w:right w:val="nil"/>
          <w:between w:val="nil"/>
        </w:pBdr>
        <w:spacing w:line="240" w:lineRule="auto"/>
        <w:jc w:val="both"/>
        <w:rPr>
          <w:rFonts w:ascii="Arial" w:eastAsia="Arial" w:hAnsi="Arial" w:cs="Arial"/>
          <w:color w:val="000000"/>
          <w:sz w:val="20"/>
          <w:szCs w:val="20"/>
        </w:rPr>
      </w:pPr>
    </w:p>
    <w:p w14:paraId="4124BB8A" w14:textId="77777777" w:rsidR="00811BA7" w:rsidRDefault="00811BA7" w:rsidP="00C56226">
      <w:pPr>
        <w:pBdr>
          <w:top w:val="nil"/>
          <w:left w:val="nil"/>
          <w:bottom w:val="nil"/>
          <w:right w:val="nil"/>
          <w:between w:val="nil"/>
        </w:pBdr>
        <w:spacing w:line="240" w:lineRule="auto"/>
        <w:jc w:val="both"/>
        <w:rPr>
          <w:rFonts w:ascii="Arial" w:eastAsia="Arial" w:hAnsi="Arial" w:cs="Arial"/>
          <w:color w:val="000000"/>
          <w:sz w:val="20"/>
          <w:szCs w:val="20"/>
        </w:rPr>
      </w:pPr>
    </w:p>
    <w:p w14:paraId="36844055" w14:textId="77777777" w:rsidR="00811BA7" w:rsidRDefault="00811BA7" w:rsidP="00C56226">
      <w:pPr>
        <w:pBdr>
          <w:top w:val="nil"/>
          <w:left w:val="nil"/>
          <w:bottom w:val="nil"/>
          <w:right w:val="nil"/>
          <w:between w:val="nil"/>
        </w:pBdr>
        <w:spacing w:line="240" w:lineRule="auto"/>
        <w:jc w:val="both"/>
        <w:rPr>
          <w:rFonts w:ascii="Arial" w:eastAsia="Arial" w:hAnsi="Arial" w:cs="Arial"/>
          <w:color w:val="000000"/>
          <w:sz w:val="20"/>
          <w:szCs w:val="20"/>
        </w:rPr>
      </w:pPr>
    </w:p>
    <w:p w14:paraId="6F4A13F9" w14:textId="77777777" w:rsidR="00811BA7" w:rsidRDefault="00811BA7" w:rsidP="00C56226">
      <w:pPr>
        <w:pBdr>
          <w:top w:val="nil"/>
          <w:left w:val="nil"/>
          <w:bottom w:val="nil"/>
          <w:right w:val="nil"/>
          <w:between w:val="nil"/>
        </w:pBdr>
        <w:spacing w:line="240" w:lineRule="auto"/>
        <w:jc w:val="both"/>
        <w:rPr>
          <w:rFonts w:ascii="Arial" w:eastAsia="Arial" w:hAnsi="Arial" w:cs="Arial"/>
          <w:color w:val="000000"/>
          <w:sz w:val="20"/>
          <w:szCs w:val="20"/>
        </w:rPr>
      </w:pPr>
    </w:p>
    <w:p w14:paraId="2F8EE1F9" w14:textId="77777777" w:rsidR="00811BA7" w:rsidRDefault="00811BA7" w:rsidP="00C56226">
      <w:pPr>
        <w:pBdr>
          <w:top w:val="nil"/>
          <w:left w:val="nil"/>
          <w:bottom w:val="nil"/>
          <w:right w:val="nil"/>
          <w:between w:val="nil"/>
        </w:pBdr>
        <w:spacing w:line="240" w:lineRule="auto"/>
        <w:jc w:val="both"/>
        <w:rPr>
          <w:rFonts w:ascii="Arial" w:eastAsia="Arial" w:hAnsi="Arial" w:cs="Arial"/>
          <w:color w:val="000000"/>
          <w:sz w:val="20"/>
          <w:szCs w:val="20"/>
        </w:rPr>
      </w:pPr>
    </w:p>
    <w:p w14:paraId="1D5568C3" w14:textId="77777777" w:rsidR="00811BA7" w:rsidRDefault="00811BA7" w:rsidP="00C56226">
      <w:pPr>
        <w:pBdr>
          <w:top w:val="nil"/>
          <w:left w:val="nil"/>
          <w:bottom w:val="nil"/>
          <w:right w:val="nil"/>
          <w:between w:val="nil"/>
        </w:pBdr>
        <w:spacing w:line="240" w:lineRule="auto"/>
        <w:jc w:val="both"/>
        <w:rPr>
          <w:rFonts w:ascii="Arial" w:eastAsia="Arial" w:hAnsi="Arial" w:cs="Arial"/>
          <w:color w:val="000000"/>
          <w:sz w:val="20"/>
          <w:szCs w:val="20"/>
        </w:rPr>
      </w:pPr>
    </w:p>
    <w:p w14:paraId="63B6109E" w14:textId="77777777" w:rsidR="00811BA7" w:rsidRDefault="00811BA7" w:rsidP="00C56226">
      <w:pPr>
        <w:pBdr>
          <w:top w:val="nil"/>
          <w:left w:val="nil"/>
          <w:bottom w:val="nil"/>
          <w:right w:val="nil"/>
          <w:between w:val="nil"/>
        </w:pBdr>
        <w:spacing w:line="240" w:lineRule="auto"/>
        <w:jc w:val="both"/>
        <w:rPr>
          <w:rFonts w:ascii="Arial" w:eastAsia="Arial" w:hAnsi="Arial" w:cs="Arial"/>
          <w:color w:val="000000"/>
          <w:sz w:val="20"/>
          <w:szCs w:val="20"/>
        </w:rPr>
      </w:pPr>
    </w:p>
    <w:p w14:paraId="0943F886" w14:textId="2A4CC6D6" w:rsidR="00811BA7" w:rsidRPr="00C56226" w:rsidRDefault="00811BA7" w:rsidP="00C56226">
      <w:pPr>
        <w:pBdr>
          <w:top w:val="nil"/>
          <w:left w:val="nil"/>
          <w:bottom w:val="nil"/>
          <w:right w:val="nil"/>
          <w:between w:val="nil"/>
        </w:pBdr>
        <w:spacing w:line="240" w:lineRule="auto"/>
        <w:jc w:val="both"/>
        <w:rPr>
          <w:rFonts w:ascii="Arial" w:eastAsia="Arial" w:hAnsi="Arial" w:cs="Arial"/>
          <w:color w:val="000000"/>
          <w:sz w:val="20"/>
          <w:szCs w:val="20"/>
        </w:rPr>
      </w:pPr>
      <w:r>
        <w:rPr>
          <w:noProof/>
        </w:rPr>
        <w:drawing>
          <wp:anchor distT="0" distB="0" distL="114300" distR="114300" simplePos="0" relativeHeight="251658240" behindDoc="0" locked="0" layoutInCell="1" hidden="0" allowOverlap="1" wp14:anchorId="02CA1B77" wp14:editId="5C9452FE">
            <wp:simplePos x="0" y="0"/>
            <wp:positionH relativeFrom="column">
              <wp:posOffset>-148856</wp:posOffset>
            </wp:positionH>
            <wp:positionV relativeFrom="paragraph">
              <wp:posOffset>1</wp:posOffset>
            </wp:positionV>
            <wp:extent cx="5943600" cy="3115340"/>
            <wp:effectExtent l="0" t="0" r="0" b="8890"/>
            <wp:wrapNone/>
            <wp:docPr id="2022264914" name="image4.png" descr="A diagram of a variety of skill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A diagram of a variety of skills&#10;&#10;Description automatically generated"/>
                    <pic:cNvPicPr preferRelativeResize="0"/>
                  </pic:nvPicPr>
                  <pic:blipFill rotWithShape="1">
                    <a:blip r:embed="rId7"/>
                    <a:srcRect b="11171"/>
                    <a:stretch>
                      <a:fillRect/>
                    </a:stretch>
                  </pic:blipFill>
                  <pic:spPr bwMode="auto">
                    <a:xfrm>
                      <a:off x="0" y="0"/>
                      <a:ext cx="5943600" cy="311534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07D2A07A" w14:textId="738401FA" w:rsidR="002B57B9" w:rsidRDefault="002B57B9">
      <w:pPr>
        <w:spacing w:line="240" w:lineRule="auto"/>
        <w:jc w:val="center"/>
        <w:rPr>
          <w:rFonts w:ascii="Arial" w:eastAsia="Arial" w:hAnsi="Arial" w:cs="Arial"/>
          <w:i/>
          <w:sz w:val="20"/>
          <w:szCs w:val="20"/>
        </w:rPr>
      </w:pPr>
    </w:p>
    <w:p w14:paraId="36632BC2" w14:textId="3AA2E3C5" w:rsidR="002B57B9" w:rsidRDefault="002B57B9">
      <w:pPr>
        <w:spacing w:line="240" w:lineRule="auto"/>
        <w:jc w:val="center"/>
        <w:rPr>
          <w:rFonts w:ascii="Arial" w:eastAsia="Arial" w:hAnsi="Arial" w:cs="Arial"/>
          <w:i/>
          <w:sz w:val="20"/>
          <w:szCs w:val="20"/>
        </w:rPr>
      </w:pPr>
    </w:p>
    <w:p w14:paraId="1592773D" w14:textId="2FC671DA" w:rsidR="002B57B9" w:rsidRDefault="002B57B9">
      <w:pPr>
        <w:spacing w:line="240" w:lineRule="auto"/>
        <w:jc w:val="center"/>
        <w:rPr>
          <w:rFonts w:ascii="Arial" w:eastAsia="Arial" w:hAnsi="Arial" w:cs="Arial"/>
          <w:i/>
          <w:sz w:val="20"/>
          <w:szCs w:val="20"/>
        </w:rPr>
      </w:pPr>
    </w:p>
    <w:p w14:paraId="2EF516C2" w14:textId="77777777" w:rsidR="002B57B9" w:rsidRDefault="002B57B9">
      <w:pPr>
        <w:spacing w:line="240" w:lineRule="auto"/>
        <w:jc w:val="center"/>
        <w:rPr>
          <w:rFonts w:ascii="Arial" w:eastAsia="Arial" w:hAnsi="Arial" w:cs="Arial"/>
          <w:i/>
          <w:sz w:val="20"/>
          <w:szCs w:val="20"/>
        </w:rPr>
      </w:pPr>
    </w:p>
    <w:p w14:paraId="0B76E1C7" w14:textId="77777777" w:rsidR="002B57B9" w:rsidRDefault="002B57B9">
      <w:pPr>
        <w:spacing w:line="240" w:lineRule="auto"/>
        <w:jc w:val="center"/>
        <w:rPr>
          <w:rFonts w:ascii="Arial" w:eastAsia="Arial" w:hAnsi="Arial" w:cs="Arial"/>
          <w:i/>
          <w:sz w:val="20"/>
          <w:szCs w:val="20"/>
        </w:rPr>
      </w:pPr>
    </w:p>
    <w:p w14:paraId="6AC045D7" w14:textId="77777777" w:rsidR="002B57B9" w:rsidRDefault="002B57B9">
      <w:pPr>
        <w:spacing w:line="240" w:lineRule="auto"/>
        <w:jc w:val="center"/>
        <w:rPr>
          <w:rFonts w:ascii="Arial" w:eastAsia="Arial" w:hAnsi="Arial" w:cs="Arial"/>
          <w:i/>
          <w:sz w:val="20"/>
          <w:szCs w:val="20"/>
        </w:rPr>
      </w:pPr>
    </w:p>
    <w:p w14:paraId="6D442BEF" w14:textId="77777777" w:rsidR="002B57B9" w:rsidRDefault="002B57B9">
      <w:pPr>
        <w:spacing w:line="240" w:lineRule="auto"/>
        <w:jc w:val="center"/>
        <w:rPr>
          <w:rFonts w:ascii="Arial" w:eastAsia="Arial" w:hAnsi="Arial" w:cs="Arial"/>
          <w:i/>
          <w:sz w:val="20"/>
          <w:szCs w:val="20"/>
        </w:rPr>
      </w:pPr>
    </w:p>
    <w:p w14:paraId="6B566011" w14:textId="77777777" w:rsidR="002B57B9" w:rsidRDefault="002B57B9">
      <w:pPr>
        <w:spacing w:line="240" w:lineRule="auto"/>
        <w:jc w:val="center"/>
        <w:rPr>
          <w:rFonts w:ascii="Arial" w:eastAsia="Arial" w:hAnsi="Arial" w:cs="Arial"/>
          <w:i/>
          <w:sz w:val="20"/>
          <w:szCs w:val="20"/>
        </w:rPr>
      </w:pPr>
    </w:p>
    <w:p w14:paraId="6BB049E9" w14:textId="77777777" w:rsidR="002B57B9" w:rsidRDefault="002B57B9">
      <w:pPr>
        <w:spacing w:line="240" w:lineRule="auto"/>
        <w:jc w:val="center"/>
        <w:rPr>
          <w:rFonts w:ascii="Arial" w:eastAsia="Arial" w:hAnsi="Arial" w:cs="Arial"/>
          <w:i/>
          <w:sz w:val="20"/>
          <w:szCs w:val="20"/>
        </w:rPr>
      </w:pPr>
    </w:p>
    <w:p w14:paraId="65105279" w14:textId="77777777" w:rsidR="002B57B9" w:rsidRDefault="002B57B9">
      <w:pPr>
        <w:spacing w:line="240" w:lineRule="auto"/>
        <w:jc w:val="center"/>
        <w:rPr>
          <w:rFonts w:ascii="Arial" w:eastAsia="Arial" w:hAnsi="Arial" w:cs="Arial"/>
          <w:i/>
          <w:sz w:val="20"/>
          <w:szCs w:val="20"/>
        </w:rPr>
      </w:pPr>
    </w:p>
    <w:p w14:paraId="3E38DC46" w14:textId="77777777" w:rsidR="002B57B9" w:rsidRDefault="002B57B9">
      <w:pPr>
        <w:spacing w:line="240" w:lineRule="auto"/>
        <w:jc w:val="center"/>
        <w:rPr>
          <w:rFonts w:ascii="Arial" w:eastAsia="Arial" w:hAnsi="Arial" w:cs="Arial"/>
          <w:i/>
          <w:sz w:val="20"/>
          <w:szCs w:val="20"/>
        </w:rPr>
      </w:pPr>
    </w:p>
    <w:p w14:paraId="26674DFC" w14:textId="77777777" w:rsidR="002B57B9" w:rsidRDefault="002B57B9">
      <w:pPr>
        <w:spacing w:line="240" w:lineRule="auto"/>
        <w:jc w:val="center"/>
        <w:rPr>
          <w:rFonts w:ascii="Arial" w:eastAsia="Arial" w:hAnsi="Arial" w:cs="Arial"/>
          <w:i/>
          <w:sz w:val="20"/>
          <w:szCs w:val="20"/>
        </w:rPr>
      </w:pPr>
    </w:p>
    <w:p w14:paraId="64278D3E" w14:textId="77777777" w:rsidR="002B57B9" w:rsidRDefault="002B57B9">
      <w:pPr>
        <w:spacing w:line="240" w:lineRule="auto"/>
        <w:jc w:val="center"/>
        <w:rPr>
          <w:rFonts w:ascii="Arial" w:eastAsia="Arial" w:hAnsi="Arial" w:cs="Arial"/>
          <w:i/>
          <w:sz w:val="20"/>
          <w:szCs w:val="20"/>
        </w:rPr>
      </w:pPr>
    </w:p>
    <w:p w14:paraId="5C62756A" w14:textId="77777777" w:rsidR="002B57B9" w:rsidRDefault="002B57B9">
      <w:pPr>
        <w:spacing w:line="240" w:lineRule="auto"/>
        <w:jc w:val="both"/>
        <w:rPr>
          <w:rFonts w:ascii="Arial" w:eastAsia="Arial" w:hAnsi="Arial" w:cs="Arial"/>
          <w:i/>
          <w:sz w:val="20"/>
          <w:szCs w:val="20"/>
        </w:rPr>
      </w:pPr>
    </w:p>
    <w:p w14:paraId="4CE4CBB3" w14:textId="5CED27A1" w:rsidR="00811BA7" w:rsidRDefault="00811BA7">
      <w:pPr>
        <w:spacing w:line="240" w:lineRule="auto"/>
        <w:ind w:left="720"/>
        <w:jc w:val="both"/>
        <w:rPr>
          <w:rFonts w:ascii="Arial" w:eastAsia="Arial" w:hAnsi="Arial" w:cs="Arial"/>
          <w:b/>
          <w:sz w:val="20"/>
          <w:szCs w:val="20"/>
        </w:rPr>
      </w:pPr>
      <w:r>
        <w:rPr>
          <w:rFonts w:ascii="Arial" w:eastAsia="Arial" w:hAnsi="Arial" w:cs="Arial"/>
          <w:b/>
          <w:sz w:val="20"/>
          <w:szCs w:val="20"/>
        </w:rPr>
        <w:t>Fig 1-</w:t>
      </w:r>
      <w:r w:rsidR="008F1291">
        <w:rPr>
          <w:rFonts w:ascii="Arial" w:eastAsia="Arial" w:hAnsi="Arial" w:cs="Arial"/>
          <w:b/>
          <w:sz w:val="20"/>
          <w:szCs w:val="20"/>
        </w:rPr>
        <w:t xml:space="preserve"> </w:t>
      </w:r>
      <w:r>
        <w:rPr>
          <w:rFonts w:ascii="Arial" w:eastAsia="Arial" w:hAnsi="Arial" w:cs="Arial"/>
          <w:b/>
          <w:sz w:val="20"/>
          <w:szCs w:val="20"/>
        </w:rPr>
        <w:t>Emergent themes, Categories and codes on the Industry Perspective</w:t>
      </w:r>
      <w:r w:rsidR="00B63E65">
        <w:rPr>
          <w:rFonts w:ascii="Arial" w:eastAsia="Arial" w:hAnsi="Arial" w:cs="Arial"/>
          <w:b/>
          <w:sz w:val="20"/>
          <w:szCs w:val="20"/>
        </w:rPr>
        <w:t>s</w:t>
      </w:r>
      <w:r>
        <w:rPr>
          <w:rFonts w:ascii="Arial" w:eastAsia="Arial" w:hAnsi="Arial" w:cs="Arial"/>
          <w:b/>
          <w:sz w:val="20"/>
          <w:szCs w:val="20"/>
        </w:rPr>
        <w:t xml:space="preserve"> on the speci</w:t>
      </w:r>
      <w:r w:rsidR="00DA64E6">
        <w:rPr>
          <w:rFonts w:ascii="Arial" w:eastAsia="Arial" w:hAnsi="Arial" w:cs="Arial"/>
          <w:b/>
          <w:sz w:val="20"/>
          <w:szCs w:val="20"/>
        </w:rPr>
        <w:t>fic</w:t>
      </w:r>
      <w:r>
        <w:rPr>
          <w:rFonts w:ascii="Arial" w:eastAsia="Arial" w:hAnsi="Arial" w:cs="Arial"/>
          <w:b/>
          <w:sz w:val="20"/>
          <w:szCs w:val="20"/>
        </w:rPr>
        <w:t xml:space="preserve"> Knowledge, Skills, and Attitudes they seek in future TVL graduates</w:t>
      </w:r>
    </w:p>
    <w:p w14:paraId="194D54AF" w14:textId="77777777" w:rsidR="00811BA7" w:rsidRDefault="00811BA7">
      <w:pPr>
        <w:spacing w:line="240" w:lineRule="auto"/>
        <w:ind w:left="720"/>
        <w:jc w:val="both"/>
        <w:rPr>
          <w:rFonts w:ascii="Arial" w:eastAsia="Arial" w:hAnsi="Arial" w:cs="Arial"/>
          <w:b/>
          <w:sz w:val="20"/>
          <w:szCs w:val="20"/>
        </w:rPr>
      </w:pPr>
    </w:p>
    <w:p w14:paraId="483F40F1" w14:textId="006762FE" w:rsidR="002B57B9" w:rsidRDefault="00193F43">
      <w:pPr>
        <w:spacing w:line="240" w:lineRule="auto"/>
        <w:ind w:left="720"/>
        <w:jc w:val="both"/>
        <w:rPr>
          <w:rFonts w:ascii="Arial" w:eastAsia="Arial" w:hAnsi="Arial" w:cs="Arial"/>
          <w:b/>
          <w:sz w:val="20"/>
          <w:szCs w:val="20"/>
        </w:rPr>
      </w:pPr>
      <w:r>
        <w:rPr>
          <w:rFonts w:ascii="Arial" w:eastAsia="Arial" w:hAnsi="Arial" w:cs="Arial"/>
          <w:b/>
          <w:sz w:val="20"/>
          <w:szCs w:val="20"/>
        </w:rPr>
        <w:t>Theme 1: Agricultural knowledge and Specialized skills</w:t>
      </w:r>
    </w:p>
    <w:p w14:paraId="3017B63F" w14:textId="77777777" w:rsidR="008964FC" w:rsidRDefault="00193F43">
      <w:pPr>
        <w:spacing w:line="240" w:lineRule="auto"/>
        <w:ind w:firstLine="720"/>
        <w:jc w:val="both"/>
        <w:rPr>
          <w:rFonts w:ascii="Arial" w:eastAsia="Arial" w:hAnsi="Arial" w:cs="Arial"/>
          <w:sz w:val="20"/>
          <w:szCs w:val="20"/>
        </w:rPr>
      </w:pPr>
      <w:r>
        <w:rPr>
          <w:rFonts w:ascii="Arial" w:eastAsia="Arial" w:hAnsi="Arial" w:cs="Arial"/>
          <w:sz w:val="20"/>
          <w:szCs w:val="20"/>
        </w:rPr>
        <w:t>The industry places significant value on Technical-Vocational-Livelihood graduates with agricultural knowledge and specialized skill</w:t>
      </w:r>
      <w:r>
        <w:rPr>
          <w:rFonts w:ascii="Arial" w:eastAsia="Arial" w:hAnsi="Arial" w:cs="Arial"/>
          <w:sz w:val="20"/>
          <w:szCs w:val="20"/>
        </w:rPr>
        <w:t>s.  There are two (2) categories under this area: Agricultural Knowledge and Agricultural Skills</w:t>
      </w:r>
    </w:p>
    <w:p w14:paraId="4BA7625E" w14:textId="77777777" w:rsidR="008964FC" w:rsidRDefault="008964FC">
      <w:pPr>
        <w:spacing w:line="240" w:lineRule="auto"/>
        <w:ind w:firstLine="720"/>
        <w:jc w:val="both"/>
        <w:rPr>
          <w:rFonts w:ascii="Arial" w:eastAsia="Arial" w:hAnsi="Arial" w:cs="Arial"/>
          <w:sz w:val="20"/>
          <w:szCs w:val="20"/>
        </w:rPr>
      </w:pPr>
    </w:p>
    <w:p w14:paraId="6F614781" w14:textId="18B750E7" w:rsidR="002B57B9" w:rsidRDefault="00193F43">
      <w:pPr>
        <w:spacing w:line="240" w:lineRule="auto"/>
        <w:ind w:firstLine="720"/>
        <w:jc w:val="both"/>
        <w:rPr>
          <w:rFonts w:ascii="Arial" w:eastAsia="Arial" w:hAnsi="Arial" w:cs="Arial"/>
          <w:b/>
          <w:sz w:val="20"/>
          <w:szCs w:val="20"/>
        </w:rPr>
      </w:pPr>
      <w:r>
        <w:rPr>
          <w:rFonts w:ascii="Arial" w:eastAsia="Arial" w:hAnsi="Arial" w:cs="Arial"/>
          <w:b/>
          <w:sz w:val="20"/>
          <w:szCs w:val="20"/>
        </w:rPr>
        <w:t>Category 1: Agricultural knowledge</w:t>
      </w:r>
    </w:p>
    <w:p w14:paraId="6075BAEE" w14:textId="1C1724DA" w:rsidR="006C7245" w:rsidRDefault="00193F43">
      <w:pPr>
        <w:spacing w:line="240" w:lineRule="auto"/>
        <w:ind w:firstLine="720"/>
        <w:jc w:val="both"/>
        <w:rPr>
          <w:rFonts w:ascii="Arial" w:eastAsia="Arial" w:hAnsi="Arial" w:cs="Arial"/>
          <w:sz w:val="20"/>
          <w:szCs w:val="20"/>
        </w:rPr>
      </w:pPr>
      <w:r>
        <w:rPr>
          <w:rFonts w:ascii="Arial" w:eastAsia="Arial" w:hAnsi="Arial" w:cs="Arial"/>
          <w:sz w:val="20"/>
          <w:szCs w:val="20"/>
        </w:rPr>
        <w:t>Transitioning from theoretical learning to practical agricultural work is a significant adjustment for Technical-Vocational</w:t>
      </w:r>
      <w:r>
        <w:rPr>
          <w:rFonts w:ascii="Arial" w:eastAsia="Arial" w:hAnsi="Arial" w:cs="Arial"/>
          <w:sz w:val="20"/>
          <w:szCs w:val="20"/>
        </w:rPr>
        <w:t>-Livelihood students. Industry expectations emphasize the need for comprehensive knowledge, and students must quickly adapt to the demands of real-world agricultural environments, which often require blending technical knowledge with practical applications</w:t>
      </w:r>
      <w:r>
        <w:rPr>
          <w:rFonts w:ascii="Arial" w:eastAsia="Arial" w:hAnsi="Arial" w:cs="Arial"/>
          <w:sz w:val="20"/>
          <w:szCs w:val="20"/>
        </w:rPr>
        <w:t>. Four (4) codes are generated in this category: Practical Knowledge, Fertilizer Knowledge, Nursery Operation Knowledge, and Specific Agriculture Knowledge. The knowledge about what the industry demands becomes an asset and guarantees employment for the Te</w:t>
      </w:r>
      <w:r>
        <w:rPr>
          <w:rFonts w:ascii="Arial" w:eastAsia="Arial" w:hAnsi="Arial" w:cs="Arial"/>
          <w:sz w:val="20"/>
          <w:szCs w:val="20"/>
        </w:rPr>
        <w:t>chnical-Vocational-Livelihood student</w:t>
      </w:r>
      <w:r w:rsidR="006C7245">
        <w:rPr>
          <w:rFonts w:ascii="Arial" w:eastAsia="Arial" w:hAnsi="Arial" w:cs="Arial"/>
          <w:sz w:val="20"/>
          <w:szCs w:val="20"/>
        </w:rPr>
        <w:t>.</w:t>
      </w:r>
    </w:p>
    <w:p w14:paraId="3993BCC8" w14:textId="77777777" w:rsidR="006C7245" w:rsidRDefault="006C7245">
      <w:pPr>
        <w:spacing w:line="240" w:lineRule="auto"/>
        <w:ind w:firstLine="720"/>
        <w:jc w:val="both"/>
        <w:rPr>
          <w:rFonts w:ascii="Arial" w:eastAsia="Arial" w:hAnsi="Arial" w:cs="Arial"/>
          <w:sz w:val="20"/>
          <w:szCs w:val="20"/>
        </w:rPr>
      </w:pPr>
    </w:p>
    <w:p w14:paraId="5F51638F" w14:textId="77777777" w:rsidR="006C7245" w:rsidRDefault="006C7245">
      <w:pPr>
        <w:spacing w:line="240" w:lineRule="auto"/>
        <w:ind w:firstLine="720"/>
        <w:jc w:val="both"/>
        <w:rPr>
          <w:rFonts w:ascii="Arial" w:eastAsia="Arial" w:hAnsi="Arial" w:cs="Arial"/>
          <w:sz w:val="20"/>
          <w:szCs w:val="20"/>
        </w:rPr>
      </w:pPr>
    </w:p>
    <w:p w14:paraId="0F9FA7EA" w14:textId="77777777" w:rsidR="002B57B9" w:rsidRDefault="00193F43">
      <w:pPr>
        <w:spacing w:line="240" w:lineRule="auto"/>
        <w:ind w:firstLine="720"/>
        <w:jc w:val="both"/>
        <w:rPr>
          <w:rFonts w:ascii="Arial" w:eastAsia="Arial" w:hAnsi="Arial" w:cs="Arial"/>
          <w:b/>
          <w:sz w:val="20"/>
          <w:szCs w:val="20"/>
        </w:rPr>
      </w:pPr>
      <w:r>
        <w:rPr>
          <w:rFonts w:ascii="Arial" w:eastAsia="Arial" w:hAnsi="Arial" w:cs="Arial"/>
          <w:b/>
          <w:sz w:val="20"/>
          <w:szCs w:val="20"/>
        </w:rPr>
        <w:t>Practical Knowledge</w:t>
      </w:r>
    </w:p>
    <w:p w14:paraId="4EF4712F" w14:textId="27CAD426" w:rsidR="002B57B9" w:rsidRDefault="00193F43">
      <w:pPr>
        <w:spacing w:before="240" w:after="240" w:line="240" w:lineRule="auto"/>
        <w:jc w:val="both"/>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t xml:space="preserve">Orientations and training sessions are frequently used to get students ready for real-world duties so they can manage responsibilities with competence and confidence. (Murray, 2009; </w:t>
      </w:r>
      <w:proofErr w:type="spellStart"/>
      <w:r>
        <w:rPr>
          <w:rFonts w:ascii="Arial" w:eastAsia="Arial" w:hAnsi="Arial" w:cs="Arial"/>
          <w:sz w:val="20"/>
          <w:szCs w:val="20"/>
        </w:rPr>
        <w:t>Wibo</w:t>
      </w:r>
      <w:r>
        <w:rPr>
          <w:rFonts w:ascii="Arial" w:eastAsia="Arial" w:hAnsi="Arial" w:cs="Arial"/>
          <w:sz w:val="20"/>
          <w:szCs w:val="20"/>
        </w:rPr>
        <w:t>wo</w:t>
      </w:r>
      <w:proofErr w:type="spellEnd"/>
      <w:r>
        <w:rPr>
          <w:rFonts w:ascii="Arial" w:eastAsia="Arial" w:hAnsi="Arial" w:cs="Arial"/>
          <w:sz w:val="20"/>
          <w:szCs w:val="20"/>
        </w:rPr>
        <w:t>, 2016) claimed that the transition from technical and vocational education to industry is crucial for student success. It highlights the importance of preparing students with hard and soft skills to meet industry demands. Sufficient knowledge ensures th</w:t>
      </w:r>
      <w:r>
        <w:rPr>
          <w:rFonts w:ascii="Arial" w:eastAsia="Arial" w:hAnsi="Arial" w:cs="Arial"/>
          <w:sz w:val="20"/>
          <w:szCs w:val="20"/>
        </w:rPr>
        <w:t>at individuals are not only aware of the concepts learned in agriculture but also that they possess practical skills for applying them, where, most of the time, they are either flexible or unpredictable. The competencies among agricultural graduates are cr</w:t>
      </w:r>
      <w:r>
        <w:rPr>
          <w:rFonts w:ascii="Arial" w:eastAsia="Arial" w:hAnsi="Arial" w:cs="Arial"/>
          <w:sz w:val="20"/>
          <w:szCs w:val="20"/>
        </w:rPr>
        <w:t>ucial for their career development. However, besides career prospects, these competencies play a major role in the country's agricultural development (Kaur &amp; Anand, 2020).</w:t>
      </w:r>
      <w:r w:rsidR="00DA613A">
        <w:rPr>
          <w:rFonts w:ascii="Arial" w:eastAsia="Arial" w:hAnsi="Arial" w:cs="Arial"/>
          <w:sz w:val="20"/>
          <w:szCs w:val="20"/>
        </w:rPr>
        <w:t xml:space="preserve"> This was confirmed by (IDI_</w:t>
      </w:r>
      <w:r w:rsidR="006C7245">
        <w:rPr>
          <w:rFonts w:ascii="Arial" w:eastAsia="Arial" w:hAnsi="Arial" w:cs="Arial"/>
          <w:sz w:val="20"/>
          <w:szCs w:val="20"/>
        </w:rPr>
        <w:t>KI1</w:t>
      </w:r>
      <w:r w:rsidR="00DA613A">
        <w:rPr>
          <w:rFonts w:ascii="Arial" w:eastAsia="Arial" w:hAnsi="Arial" w:cs="Arial"/>
          <w:sz w:val="20"/>
          <w:szCs w:val="20"/>
        </w:rPr>
        <w:t>1, IDI_</w:t>
      </w:r>
      <w:r w:rsidR="006C7245">
        <w:rPr>
          <w:rFonts w:ascii="Arial" w:eastAsia="Arial" w:hAnsi="Arial" w:cs="Arial"/>
          <w:sz w:val="20"/>
          <w:szCs w:val="20"/>
        </w:rPr>
        <w:t>KI2</w:t>
      </w:r>
      <w:r w:rsidR="00DA613A">
        <w:rPr>
          <w:rFonts w:ascii="Arial" w:eastAsia="Arial" w:hAnsi="Arial" w:cs="Arial"/>
          <w:sz w:val="20"/>
          <w:szCs w:val="20"/>
        </w:rPr>
        <w:t>2, IDI_</w:t>
      </w:r>
      <w:r w:rsidR="006C7245">
        <w:rPr>
          <w:rFonts w:ascii="Arial" w:eastAsia="Arial" w:hAnsi="Arial" w:cs="Arial"/>
          <w:sz w:val="20"/>
          <w:szCs w:val="20"/>
        </w:rPr>
        <w:t>KI</w:t>
      </w:r>
      <w:r w:rsidR="00DA613A">
        <w:rPr>
          <w:rFonts w:ascii="Arial" w:eastAsia="Arial" w:hAnsi="Arial" w:cs="Arial"/>
          <w:sz w:val="20"/>
          <w:szCs w:val="20"/>
        </w:rPr>
        <w:t>3)</w:t>
      </w:r>
    </w:p>
    <w:p w14:paraId="12A6EE05" w14:textId="77777777" w:rsidR="002B57B9" w:rsidRDefault="00193F43">
      <w:pPr>
        <w:spacing w:line="240" w:lineRule="auto"/>
        <w:ind w:firstLine="720"/>
        <w:jc w:val="both"/>
        <w:rPr>
          <w:rFonts w:ascii="Arial" w:eastAsia="Arial" w:hAnsi="Arial" w:cs="Arial"/>
          <w:sz w:val="20"/>
          <w:szCs w:val="20"/>
        </w:rPr>
      </w:pPr>
      <w:r>
        <w:rPr>
          <w:rFonts w:ascii="Arial" w:eastAsia="Arial" w:hAnsi="Arial" w:cs="Arial"/>
          <w:b/>
          <w:sz w:val="20"/>
          <w:szCs w:val="20"/>
        </w:rPr>
        <w:t>Fertilizer Knowledge</w:t>
      </w:r>
    </w:p>
    <w:p w14:paraId="2905F668" w14:textId="110E0D6A" w:rsidR="002B57B9" w:rsidRDefault="00193F43">
      <w:pPr>
        <w:spacing w:line="240" w:lineRule="auto"/>
        <w:ind w:firstLine="720"/>
        <w:jc w:val="both"/>
        <w:rPr>
          <w:rFonts w:ascii="Arial" w:eastAsia="Arial" w:hAnsi="Arial" w:cs="Arial"/>
          <w:sz w:val="20"/>
          <w:szCs w:val="20"/>
        </w:rPr>
      </w:pPr>
      <w:r>
        <w:rPr>
          <w:rFonts w:ascii="Arial" w:eastAsia="Arial" w:hAnsi="Arial" w:cs="Arial"/>
          <w:sz w:val="20"/>
          <w:szCs w:val="20"/>
        </w:rPr>
        <w:t>Basic fertilizer knowledge is essential for Technical-Vocational and Livelihood (TVL) graduates and offers a valuable and practical skill set that significantly improves job performance. Understanding fertilizers is part of a broader set of employability s</w:t>
      </w:r>
      <w:r>
        <w:rPr>
          <w:rFonts w:ascii="Arial" w:eastAsia="Arial" w:hAnsi="Arial" w:cs="Arial"/>
          <w:sz w:val="20"/>
          <w:szCs w:val="20"/>
        </w:rPr>
        <w:t>kills required by industry. Briones (2017) also claimed that understanding fertilizers is part of the technical knowledge needed, as farmers often underapply fertilizers. The study by Singh (2024) claimed that the basic knowledge about chemical fertilizers</w:t>
      </w:r>
      <w:r>
        <w:rPr>
          <w:rFonts w:ascii="Arial" w:eastAsia="Arial" w:hAnsi="Arial" w:cs="Arial"/>
          <w:sz w:val="20"/>
          <w:szCs w:val="20"/>
        </w:rPr>
        <w:t xml:space="preserve"> needed by agricultural graduates, farmers, and other concerned people has not been fulfilled. However, there have been many forays in this direction. The industry has also experienced this claim. As per the industry response, the industry requires Technic</w:t>
      </w:r>
      <w:r>
        <w:rPr>
          <w:rFonts w:ascii="Arial" w:eastAsia="Arial" w:hAnsi="Arial" w:cs="Arial"/>
          <w:sz w:val="20"/>
          <w:szCs w:val="20"/>
        </w:rPr>
        <w:t xml:space="preserve">al-Vocational and Livelihood (TVL) students to obtain basic knowledge in fertilizer since it is one of the relevant processes in industry production. </w:t>
      </w:r>
      <w:r w:rsidR="00DA613A">
        <w:rPr>
          <w:rFonts w:ascii="Arial" w:eastAsia="Arial" w:hAnsi="Arial" w:cs="Arial"/>
          <w:sz w:val="20"/>
          <w:szCs w:val="20"/>
        </w:rPr>
        <w:t>This was confirmed by (IDI_KI1 &amp; IDI_KI3).</w:t>
      </w:r>
    </w:p>
    <w:p w14:paraId="64CABD49" w14:textId="77777777" w:rsidR="002B57B9" w:rsidRDefault="002B57B9">
      <w:pPr>
        <w:spacing w:line="240" w:lineRule="auto"/>
        <w:ind w:firstLine="720"/>
        <w:jc w:val="both"/>
        <w:rPr>
          <w:rFonts w:ascii="Arial" w:eastAsia="Arial" w:hAnsi="Arial" w:cs="Arial"/>
          <w:sz w:val="20"/>
          <w:szCs w:val="20"/>
        </w:rPr>
      </w:pPr>
    </w:p>
    <w:p w14:paraId="50CC7AA0" w14:textId="77777777" w:rsidR="002B57B9" w:rsidRDefault="00193F43">
      <w:pPr>
        <w:spacing w:line="240" w:lineRule="auto"/>
        <w:ind w:firstLine="720"/>
        <w:jc w:val="both"/>
        <w:rPr>
          <w:rFonts w:ascii="Arial" w:eastAsia="Arial" w:hAnsi="Arial" w:cs="Arial"/>
          <w:b/>
          <w:sz w:val="20"/>
          <w:szCs w:val="20"/>
        </w:rPr>
      </w:pPr>
      <w:r>
        <w:rPr>
          <w:rFonts w:ascii="Arial" w:eastAsia="Arial" w:hAnsi="Arial" w:cs="Arial"/>
          <w:b/>
          <w:sz w:val="20"/>
          <w:szCs w:val="20"/>
        </w:rPr>
        <w:t>Nursery Operation Knowledge</w:t>
      </w:r>
    </w:p>
    <w:p w14:paraId="4F89358C" w14:textId="6C90FB85" w:rsidR="002B57B9" w:rsidRDefault="00193F43">
      <w:pPr>
        <w:spacing w:line="240" w:lineRule="auto"/>
        <w:jc w:val="both"/>
        <w:rPr>
          <w:rFonts w:ascii="Arial" w:eastAsia="Arial" w:hAnsi="Arial" w:cs="Arial"/>
          <w:sz w:val="20"/>
          <w:szCs w:val="20"/>
        </w:rPr>
      </w:pPr>
      <w:r>
        <w:rPr>
          <w:rFonts w:ascii="Arial" w:eastAsia="Arial" w:hAnsi="Arial" w:cs="Arial"/>
          <w:sz w:val="20"/>
          <w:szCs w:val="20"/>
        </w:rPr>
        <w:tab/>
        <w:t xml:space="preserve">Prior technical knowledge in </w:t>
      </w:r>
      <w:r>
        <w:rPr>
          <w:rFonts w:ascii="Arial" w:eastAsia="Arial" w:hAnsi="Arial" w:cs="Arial"/>
          <w:sz w:val="20"/>
          <w:szCs w:val="20"/>
        </w:rPr>
        <w:t xml:space="preserve">agriculture offers substantial benefits for employees and enterprises. With this expertise, Technical-Vocational and Livelihood (TVL) graduates are better prepared to contribute </w:t>
      </w:r>
      <w:r>
        <w:rPr>
          <w:rFonts w:ascii="Arial" w:eastAsia="Arial" w:hAnsi="Arial" w:cs="Arial"/>
          <w:sz w:val="20"/>
          <w:szCs w:val="20"/>
        </w:rPr>
        <w:lastRenderedPageBreak/>
        <w:t>to the industry's success, driving productivity and environmental stewardship.</w:t>
      </w:r>
      <w:r>
        <w:rPr>
          <w:rFonts w:ascii="Arial" w:eastAsia="Arial" w:hAnsi="Arial" w:cs="Arial"/>
          <w:sz w:val="20"/>
          <w:szCs w:val="20"/>
        </w:rPr>
        <w:t xml:space="preserve"> If all of these are achieved, notably, it will enable better utilization of crop inputs, increased yields, and improved risk management in precision agriculture (Erickson et al., 2018). Skilled workforce is essential for realizing sustainable results acro</w:t>
      </w:r>
      <w:r>
        <w:rPr>
          <w:rFonts w:ascii="Arial" w:eastAsia="Arial" w:hAnsi="Arial" w:cs="Arial"/>
          <w:sz w:val="20"/>
          <w:szCs w:val="20"/>
        </w:rPr>
        <w:t>ss different sectors, where technical knowledge is closely linked to long-term sustainability objectives (</w:t>
      </w:r>
      <w:proofErr w:type="spellStart"/>
      <w:r>
        <w:rPr>
          <w:rFonts w:ascii="Arial" w:eastAsia="Arial" w:hAnsi="Arial" w:cs="Arial"/>
          <w:sz w:val="20"/>
          <w:szCs w:val="20"/>
        </w:rPr>
        <w:t>Hormazábal</w:t>
      </w:r>
      <w:proofErr w:type="spellEnd"/>
      <w:r>
        <w:rPr>
          <w:rFonts w:ascii="Arial" w:eastAsia="Arial" w:hAnsi="Arial" w:cs="Arial"/>
          <w:sz w:val="20"/>
          <w:szCs w:val="20"/>
        </w:rPr>
        <w:t xml:space="preserve"> et al., 2024). The industry looks for graduates in this aspect to become effective and productive inputs into the variety of tasks found in</w:t>
      </w:r>
      <w:r>
        <w:rPr>
          <w:rFonts w:ascii="Arial" w:eastAsia="Arial" w:hAnsi="Arial" w:cs="Arial"/>
          <w:sz w:val="20"/>
          <w:szCs w:val="20"/>
        </w:rPr>
        <w:t xml:space="preserve"> the industry; hence, they are ready to be deployed into the various sectors as and when produced with minimal training.</w:t>
      </w:r>
      <w:r w:rsidR="00DA613A">
        <w:rPr>
          <w:rFonts w:ascii="Arial" w:eastAsia="Arial" w:hAnsi="Arial" w:cs="Arial"/>
          <w:sz w:val="20"/>
          <w:szCs w:val="20"/>
        </w:rPr>
        <w:t xml:space="preserve"> This was confirmed by (IDI_KI1 &amp; IDI_KI3).</w:t>
      </w:r>
    </w:p>
    <w:p w14:paraId="5DD82B80" w14:textId="77777777" w:rsidR="002B57B9" w:rsidRDefault="002B57B9">
      <w:pPr>
        <w:spacing w:line="240" w:lineRule="auto"/>
        <w:jc w:val="both"/>
        <w:rPr>
          <w:rFonts w:ascii="Arial" w:eastAsia="Arial" w:hAnsi="Arial" w:cs="Arial"/>
          <w:sz w:val="20"/>
          <w:szCs w:val="20"/>
        </w:rPr>
      </w:pPr>
    </w:p>
    <w:p w14:paraId="4909C011" w14:textId="77777777" w:rsidR="002B57B9" w:rsidRDefault="00193F43">
      <w:pPr>
        <w:spacing w:line="240" w:lineRule="auto"/>
        <w:ind w:firstLine="720"/>
        <w:jc w:val="both"/>
        <w:rPr>
          <w:rFonts w:ascii="Arial" w:eastAsia="Arial" w:hAnsi="Arial" w:cs="Arial"/>
          <w:sz w:val="20"/>
          <w:szCs w:val="20"/>
        </w:rPr>
      </w:pPr>
      <w:r>
        <w:rPr>
          <w:rFonts w:ascii="Arial" w:eastAsia="Arial" w:hAnsi="Arial" w:cs="Arial"/>
          <w:b/>
          <w:sz w:val="20"/>
          <w:szCs w:val="20"/>
        </w:rPr>
        <w:t>Specific Knowledge in Agriculture</w:t>
      </w:r>
    </w:p>
    <w:p w14:paraId="161A1B9A" w14:textId="335BB56D" w:rsidR="002B57B9" w:rsidRDefault="00193F43">
      <w:pPr>
        <w:spacing w:line="240" w:lineRule="auto"/>
        <w:ind w:firstLine="720"/>
        <w:jc w:val="both"/>
        <w:rPr>
          <w:rFonts w:ascii="Arial" w:eastAsia="Arial" w:hAnsi="Arial" w:cs="Arial"/>
          <w:sz w:val="20"/>
          <w:szCs w:val="20"/>
        </w:rPr>
      </w:pPr>
      <w:r>
        <w:rPr>
          <w:rFonts w:ascii="Arial" w:eastAsia="Arial" w:hAnsi="Arial" w:cs="Arial"/>
          <w:sz w:val="20"/>
          <w:szCs w:val="20"/>
        </w:rPr>
        <w:t xml:space="preserve">Technical-Vocational and Livelihood (TVL) graduates must </w:t>
      </w:r>
      <w:r>
        <w:rPr>
          <w:rFonts w:ascii="Arial" w:eastAsia="Arial" w:hAnsi="Arial" w:cs="Arial"/>
          <w:sz w:val="20"/>
          <w:szCs w:val="20"/>
        </w:rPr>
        <w:t>be prepared specifically with knowledge regarding agriculture upon entering the industry. One way to keep up with this moment is for schools to create opportunities for K-12 graduates to learn specific general skills and qualities that thoroughly prepare t</w:t>
      </w:r>
      <w:r>
        <w:rPr>
          <w:rFonts w:ascii="Arial" w:eastAsia="Arial" w:hAnsi="Arial" w:cs="Arial"/>
          <w:sz w:val="20"/>
          <w:szCs w:val="20"/>
        </w:rPr>
        <w:t xml:space="preserve">hem for the actual demands of the job (Cielo &amp; </w:t>
      </w:r>
      <w:proofErr w:type="spellStart"/>
      <w:r>
        <w:rPr>
          <w:rFonts w:ascii="Arial" w:eastAsia="Arial" w:hAnsi="Arial" w:cs="Arial"/>
          <w:sz w:val="20"/>
          <w:szCs w:val="20"/>
        </w:rPr>
        <w:t>Niez</w:t>
      </w:r>
      <w:proofErr w:type="spellEnd"/>
      <w:r>
        <w:rPr>
          <w:rFonts w:ascii="Arial" w:eastAsia="Arial" w:hAnsi="Arial" w:cs="Arial"/>
          <w:sz w:val="20"/>
          <w:szCs w:val="20"/>
        </w:rPr>
        <w:t xml:space="preserve">, 2023). The industry strongly advocates that specific knowledge in agriculture helps graduates enhance workplace prerequisites and overall productivity since it corresponds to the industry's requirements </w:t>
      </w:r>
      <w:r>
        <w:rPr>
          <w:rFonts w:ascii="Arial" w:eastAsia="Arial" w:hAnsi="Arial" w:cs="Arial"/>
          <w:sz w:val="20"/>
          <w:szCs w:val="20"/>
        </w:rPr>
        <w:t>and needs. Specialized agricultural training can provide advantages when working within the industry, but graduates with more general skills tend to earn more outside agriculture (</w:t>
      </w:r>
      <w:proofErr w:type="spellStart"/>
      <w:r>
        <w:rPr>
          <w:rFonts w:ascii="Arial" w:eastAsia="Arial" w:hAnsi="Arial" w:cs="Arial"/>
          <w:sz w:val="20"/>
          <w:szCs w:val="20"/>
        </w:rPr>
        <w:t>Artz</w:t>
      </w:r>
      <w:proofErr w:type="spellEnd"/>
      <w:r>
        <w:rPr>
          <w:rFonts w:ascii="Arial" w:eastAsia="Arial" w:hAnsi="Arial" w:cs="Arial"/>
          <w:sz w:val="20"/>
          <w:szCs w:val="20"/>
        </w:rPr>
        <w:t xml:space="preserve"> et al., 2014).</w:t>
      </w:r>
      <w:r w:rsidR="00DA613A">
        <w:rPr>
          <w:rFonts w:ascii="Arial" w:eastAsia="Arial" w:hAnsi="Arial" w:cs="Arial"/>
          <w:sz w:val="20"/>
          <w:szCs w:val="20"/>
        </w:rPr>
        <w:t xml:space="preserve"> This was confirmed by (IDI_KI1 &amp; IDI_KI2)</w:t>
      </w:r>
    </w:p>
    <w:p w14:paraId="59099040" w14:textId="77777777" w:rsidR="00DA613A" w:rsidRDefault="00DA613A">
      <w:pPr>
        <w:spacing w:line="240" w:lineRule="auto"/>
        <w:ind w:firstLine="720"/>
        <w:jc w:val="both"/>
        <w:rPr>
          <w:rFonts w:ascii="Arial" w:eastAsia="Arial" w:hAnsi="Arial" w:cs="Arial"/>
          <w:sz w:val="20"/>
          <w:szCs w:val="20"/>
        </w:rPr>
      </w:pPr>
    </w:p>
    <w:p w14:paraId="060A0D91" w14:textId="77777777" w:rsidR="00B559CB" w:rsidRDefault="00B559CB" w:rsidP="00C56226">
      <w:pPr>
        <w:spacing w:line="240" w:lineRule="auto"/>
        <w:jc w:val="both"/>
        <w:rPr>
          <w:rFonts w:ascii="Arial" w:eastAsia="Arial" w:hAnsi="Arial" w:cs="Arial"/>
          <w:b/>
          <w:sz w:val="20"/>
          <w:szCs w:val="20"/>
        </w:rPr>
      </w:pPr>
    </w:p>
    <w:p w14:paraId="0F2DDB37" w14:textId="77777777" w:rsidR="002B57B9" w:rsidRDefault="00193F43">
      <w:pPr>
        <w:spacing w:line="240" w:lineRule="auto"/>
        <w:ind w:firstLine="720"/>
        <w:jc w:val="both"/>
        <w:rPr>
          <w:rFonts w:ascii="Arial" w:eastAsia="Arial" w:hAnsi="Arial" w:cs="Arial"/>
          <w:sz w:val="20"/>
          <w:szCs w:val="20"/>
        </w:rPr>
      </w:pPr>
      <w:r>
        <w:rPr>
          <w:rFonts w:ascii="Arial" w:eastAsia="Arial" w:hAnsi="Arial" w:cs="Arial"/>
          <w:b/>
          <w:sz w:val="20"/>
          <w:szCs w:val="20"/>
        </w:rPr>
        <w:t xml:space="preserve">Category 2: </w:t>
      </w:r>
      <w:r>
        <w:rPr>
          <w:rFonts w:ascii="Arial" w:eastAsia="Arial" w:hAnsi="Arial" w:cs="Arial"/>
          <w:b/>
          <w:sz w:val="20"/>
          <w:szCs w:val="20"/>
        </w:rPr>
        <w:t xml:space="preserve">Agricultural Skills </w:t>
      </w:r>
    </w:p>
    <w:p w14:paraId="3A241AAD" w14:textId="3B3A930A" w:rsidR="002B57B9" w:rsidRDefault="00B559CB">
      <w:pPr>
        <w:spacing w:line="240" w:lineRule="auto"/>
        <w:ind w:firstLine="720"/>
        <w:jc w:val="both"/>
        <w:rPr>
          <w:rFonts w:ascii="Arial" w:eastAsia="Arial" w:hAnsi="Arial" w:cs="Arial"/>
          <w:sz w:val="20"/>
          <w:szCs w:val="20"/>
        </w:rPr>
      </w:pPr>
      <w:r>
        <w:rPr>
          <w:rFonts w:ascii="Arial" w:eastAsia="Arial" w:hAnsi="Arial" w:cs="Arial"/>
          <w:sz w:val="20"/>
          <w:szCs w:val="20"/>
        </w:rPr>
        <w:t xml:space="preserve">The agricultural industry is experiencing a shift in employer expectations, moving beyond traditional farming skills to seek innovative and digitally competent personnel. Agricultural skills represent the best of knowledge, skills, and application or experience. Two (2) codes were generated under this category, particularly technical skills and 21st Century Skills. </w:t>
      </w:r>
    </w:p>
    <w:p w14:paraId="79A01B33" w14:textId="77777777" w:rsidR="00B559CB" w:rsidRDefault="00B559CB">
      <w:pPr>
        <w:spacing w:line="240" w:lineRule="auto"/>
        <w:ind w:firstLine="720"/>
        <w:jc w:val="both"/>
        <w:rPr>
          <w:rFonts w:ascii="Arial" w:eastAsia="Arial" w:hAnsi="Arial" w:cs="Arial"/>
          <w:sz w:val="20"/>
          <w:szCs w:val="20"/>
        </w:rPr>
      </w:pPr>
    </w:p>
    <w:p w14:paraId="16203B16" w14:textId="77777777" w:rsidR="002B57B9" w:rsidRDefault="00193F43">
      <w:pPr>
        <w:spacing w:line="240" w:lineRule="auto"/>
        <w:ind w:firstLine="720"/>
        <w:jc w:val="both"/>
        <w:rPr>
          <w:rFonts w:ascii="Arial" w:eastAsia="Arial" w:hAnsi="Arial" w:cs="Arial"/>
          <w:b/>
          <w:sz w:val="20"/>
          <w:szCs w:val="20"/>
        </w:rPr>
      </w:pPr>
      <w:r>
        <w:rPr>
          <w:rFonts w:ascii="Arial" w:eastAsia="Arial" w:hAnsi="Arial" w:cs="Arial"/>
          <w:b/>
          <w:sz w:val="20"/>
          <w:szCs w:val="20"/>
        </w:rPr>
        <w:t>Technical Skills</w:t>
      </w:r>
    </w:p>
    <w:p w14:paraId="6D878578" w14:textId="0E406E57" w:rsidR="002B57B9" w:rsidRDefault="00193F43">
      <w:pPr>
        <w:spacing w:line="240" w:lineRule="auto"/>
        <w:jc w:val="both"/>
        <w:rPr>
          <w:rFonts w:ascii="Arial" w:eastAsia="Arial" w:hAnsi="Arial" w:cs="Arial"/>
          <w:sz w:val="20"/>
          <w:szCs w:val="20"/>
        </w:rPr>
      </w:pPr>
      <w:r>
        <w:rPr>
          <w:rFonts w:ascii="Arial" w:eastAsia="Arial" w:hAnsi="Arial" w:cs="Arial"/>
          <w:b/>
          <w:sz w:val="20"/>
          <w:szCs w:val="20"/>
        </w:rPr>
        <w:tab/>
      </w:r>
      <w:r>
        <w:rPr>
          <w:rFonts w:ascii="Arial" w:eastAsia="Arial" w:hAnsi="Arial" w:cs="Arial"/>
          <w:sz w:val="20"/>
          <w:szCs w:val="20"/>
        </w:rPr>
        <w:t>Technical skills are expected and required in the agricultural sector, which Technical-Vocational and L</w:t>
      </w:r>
      <w:r>
        <w:rPr>
          <w:rFonts w:ascii="Arial" w:eastAsia="Arial" w:hAnsi="Arial" w:cs="Arial"/>
          <w:sz w:val="20"/>
          <w:szCs w:val="20"/>
        </w:rPr>
        <w:t>ivelihood (TVL) students must acquire. It emphasizes the role of preparing students for professional practice by providing them with versatile competencies matching the requirements of the agriculture industry so that the learners can perform the tasks eff</w:t>
      </w:r>
      <w:r>
        <w:rPr>
          <w:rFonts w:ascii="Arial" w:eastAsia="Arial" w:hAnsi="Arial" w:cs="Arial"/>
          <w:sz w:val="20"/>
          <w:szCs w:val="20"/>
        </w:rPr>
        <w:t>ectively expected of them once they join the workforce. These skills encompass technical competencies, soft skills, and personal attributes (</w:t>
      </w:r>
      <w:proofErr w:type="spellStart"/>
      <w:r>
        <w:rPr>
          <w:rFonts w:ascii="Arial" w:eastAsia="Arial" w:hAnsi="Arial" w:cs="Arial"/>
          <w:sz w:val="20"/>
          <w:szCs w:val="20"/>
        </w:rPr>
        <w:t>Edziwa</w:t>
      </w:r>
      <w:proofErr w:type="spellEnd"/>
      <w:r>
        <w:rPr>
          <w:rFonts w:ascii="Arial" w:eastAsia="Arial" w:hAnsi="Arial" w:cs="Arial"/>
          <w:sz w:val="20"/>
          <w:szCs w:val="20"/>
        </w:rPr>
        <w:t xml:space="preserve"> &amp; </w:t>
      </w:r>
      <w:proofErr w:type="spellStart"/>
      <w:r>
        <w:rPr>
          <w:rFonts w:ascii="Arial" w:eastAsia="Arial" w:hAnsi="Arial" w:cs="Arial"/>
          <w:sz w:val="20"/>
          <w:szCs w:val="20"/>
        </w:rPr>
        <w:t>Blignaut</w:t>
      </w:r>
      <w:proofErr w:type="spellEnd"/>
      <w:r>
        <w:rPr>
          <w:rFonts w:ascii="Arial" w:eastAsia="Arial" w:hAnsi="Arial" w:cs="Arial"/>
          <w:sz w:val="20"/>
          <w:szCs w:val="20"/>
        </w:rPr>
        <w:t>, 2022). On the other hand, they must invest in honing their technical abilities to stay competiti</w:t>
      </w:r>
      <w:r>
        <w:rPr>
          <w:rFonts w:ascii="Arial" w:eastAsia="Arial" w:hAnsi="Arial" w:cs="Arial"/>
          <w:sz w:val="20"/>
          <w:szCs w:val="20"/>
        </w:rPr>
        <w:t>ve and thrive in today's fast-paced, technologically advanced world. Possessing the appropriate skills will help them safeguard their future in a labor market that is constantly changing, open up new work options, and raise their earning potential (</w:t>
      </w:r>
      <w:proofErr w:type="spellStart"/>
      <w:r>
        <w:rPr>
          <w:rFonts w:ascii="Arial" w:eastAsia="Arial" w:hAnsi="Arial" w:cs="Arial"/>
          <w:sz w:val="20"/>
          <w:szCs w:val="20"/>
        </w:rPr>
        <w:t>Subbura</w:t>
      </w:r>
      <w:r>
        <w:rPr>
          <w:rFonts w:ascii="Arial" w:eastAsia="Arial" w:hAnsi="Arial" w:cs="Arial"/>
          <w:sz w:val="20"/>
          <w:szCs w:val="20"/>
        </w:rPr>
        <w:t>yan</w:t>
      </w:r>
      <w:proofErr w:type="spellEnd"/>
      <w:r>
        <w:rPr>
          <w:rFonts w:ascii="Arial" w:eastAsia="Arial" w:hAnsi="Arial" w:cs="Arial"/>
          <w:sz w:val="20"/>
          <w:szCs w:val="20"/>
        </w:rPr>
        <w:t xml:space="preserve">, 2023). </w:t>
      </w:r>
      <w:r w:rsidR="00DA613A">
        <w:rPr>
          <w:rFonts w:ascii="Arial" w:eastAsia="Arial" w:hAnsi="Arial" w:cs="Arial"/>
          <w:sz w:val="20"/>
          <w:szCs w:val="20"/>
        </w:rPr>
        <w:t>This was confirmed by (IDI_KI2 &amp; IDI_KI3)</w:t>
      </w:r>
    </w:p>
    <w:p w14:paraId="03183B91" w14:textId="77777777" w:rsidR="002B57B9" w:rsidRDefault="002B57B9">
      <w:pPr>
        <w:spacing w:line="240" w:lineRule="auto"/>
        <w:jc w:val="both"/>
        <w:rPr>
          <w:rFonts w:ascii="Arial" w:eastAsia="Arial" w:hAnsi="Arial" w:cs="Arial"/>
          <w:sz w:val="20"/>
          <w:szCs w:val="20"/>
        </w:rPr>
      </w:pPr>
    </w:p>
    <w:p w14:paraId="53B1DD9A" w14:textId="77777777" w:rsidR="002B57B9" w:rsidRDefault="00193F43">
      <w:pPr>
        <w:spacing w:line="240" w:lineRule="auto"/>
        <w:jc w:val="both"/>
        <w:rPr>
          <w:rFonts w:ascii="Arial" w:eastAsia="Arial" w:hAnsi="Arial" w:cs="Arial"/>
          <w:sz w:val="20"/>
          <w:szCs w:val="20"/>
        </w:rPr>
      </w:pPr>
      <w:r>
        <w:rPr>
          <w:rFonts w:ascii="Arial" w:eastAsia="Arial" w:hAnsi="Arial" w:cs="Arial"/>
          <w:b/>
          <w:sz w:val="20"/>
          <w:szCs w:val="20"/>
        </w:rPr>
        <w:tab/>
        <w:t>21</w:t>
      </w:r>
      <w:r>
        <w:rPr>
          <w:rFonts w:ascii="Arial" w:eastAsia="Arial" w:hAnsi="Arial" w:cs="Arial"/>
          <w:b/>
          <w:sz w:val="20"/>
          <w:szCs w:val="20"/>
          <w:vertAlign w:val="superscript"/>
        </w:rPr>
        <w:t>st</w:t>
      </w:r>
      <w:r>
        <w:rPr>
          <w:rFonts w:ascii="Arial" w:eastAsia="Arial" w:hAnsi="Arial" w:cs="Arial"/>
          <w:b/>
          <w:sz w:val="20"/>
          <w:szCs w:val="20"/>
        </w:rPr>
        <w:t xml:space="preserve"> Century Skills</w:t>
      </w:r>
    </w:p>
    <w:p w14:paraId="698F3210" w14:textId="318C9182" w:rsidR="002B57B9" w:rsidRDefault="00193F43">
      <w:pPr>
        <w:spacing w:line="240" w:lineRule="auto"/>
        <w:ind w:firstLine="720"/>
        <w:jc w:val="both"/>
        <w:rPr>
          <w:rFonts w:ascii="Arial" w:eastAsia="Arial" w:hAnsi="Arial" w:cs="Arial"/>
          <w:sz w:val="20"/>
          <w:szCs w:val="20"/>
        </w:rPr>
      </w:pPr>
      <w:r>
        <w:rPr>
          <w:rFonts w:ascii="Arial" w:eastAsia="Arial" w:hAnsi="Arial" w:cs="Arial"/>
          <w:sz w:val="20"/>
          <w:szCs w:val="20"/>
        </w:rPr>
        <w:t>Learning, unlearning, and relearning become essential as technology reshapes industries. Moreover, individuals who adapt to evolving workplace demands can work effectively in diver</w:t>
      </w:r>
      <w:r>
        <w:rPr>
          <w:rFonts w:ascii="Arial" w:eastAsia="Arial" w:hAnsi="Arial" w:cs="Arial"/>
          <w:sz w:val="20"/>
          <w:szCs w:val="20"/>
        </w:rPr>
        <w:t>se teams and contribute innovative solutions to complex challenges. In addition, embracing 21st-century skills empowers individuals to thrive in the modern workforce and drive positive change. Employers increasingly prioritize these skills, with high deman</w:t>
      </w:r>
      <w:r>
        <w:rPr>
          <w:rFonts w:ascii="Arial" w:eastAsia="Arial" w:hAnsi="Arial" w:cs="Arial"/>
          <w:sz w:val="20"/>
          <w:szCs w:val="20"/>
        </w:rPr>
        <w:t xml:space="preserve">d for oral and written communication, collaboration, and problem-solving (Rios et al., 2020). 21st-century skills are crucial, particularly in Technical-Vocational and Livelihood (TVL) education. </w:t>
      </w:r>
      <w:r w:rsidR="00B559CB">
        <w:rPr>
          <w:rFonts w:ascii="Arial" w:eastAsia="Arial" w:hAnsi="Arial" w:cs="Arial"/>
          <w:sz w:val="20"/>
          <w:szCs w:val="20"/>
        </w:rPr>
        <w:t>S</w:t>
      </w:r>
      <w:r>
        <w:rPr>
          <w:rFonts w:ascii="Arial" w:eastAsia="Arial" w:hAnsi="Arial" w:cs="Arial"/>
          <w:sz w:val="20"/>
          <w:szCs w:val="20"/>
        </w:rPr>
        <w:t>tudents need 21st-century abilities to meet the problems th</w:t>
      </w:r>
      <w:r>
        <w:rPr>
          <w:rFonts w:ascii="Arial" w:eastAsia="Arial" w:hAnsi="Arial" w:cs="Arial"/>
          <w:sz w:val="20"/>
          <w:szCs w:val="20"/>
        </w:rPr>
        <w:t>at come with a world that is changing quickly</w:t>
      </w:r>
      <w:r w:rsidR="00B559CB">
        <w:rPr>
          <w:rFonts w:ascii="Arial" w:eastAsia="Arial" w:hAnsi="Arial" w:cs="Arial"/>
          <w:sz w:val="20"/>
          <w:szCs w:val="20"/>
        </w:rPr>
        <w:t xml:space="preserve"> (Tavares et al., 2010)</w:t>
      </w:r>
      <w:r>
        <w:rPr>
          <w:rFonts w:ascii="Arial" w:eastAsia="Arial" w:hAnsi="Arial" w:cs="Arial"/>
          <w:sz w:val="20"/>
          <w:szCs w:val="20"/>
        </w:rPr>
        <w:t xml:space="preserve">. </w:t>
      </w:r>
      <w:r w:rsidR="00DA613A">
        <w:rPr>
          <w:rFonts w:ascii="Arial" w:eastAsia="Arial" w:hAnsi="Arial" w:cs="Arial"/>
          <w:sz w:val="20"/>
          <w:szCs w:val="20"/>
        </w:rPr>
        <w:t>This was confirmed by (IDI_KI2 &amp; IDI_KI3)</w:t>
      </w:r>
    </w:p>
    <w:p w14:paraId="4F5D887C" w14:textId="77777777" w:rsidR="004F1FEC" w:rsidRDefault="004F1FEC">
      <w:pPr>
        <w:spacing w:line="240" w:lineRule="auto"/>
        <w:ind w:firstLine="720"/>
        <w:jc w:val="both"/>
        <w:rPr>
          <w:rFonts w:ascii="Arial" w:eastAsia="Arial" w:hAnsi="Arial" w:cs="Arial"/>
          <w:sz w:val="20"/>
          <w:szCs w:val="20"/>
        </w:rPr>
      </w:pPr>
    </w:p>
    <w:p w14:paraId="35808DD8" w14:textId="78B6FA45" w:rsidR="002B57B9" w:rsidRDefault="00B559CB">
      <w:pPr>
        <w:spacing w:line="240" w:lineRule="auto"/>
        <w:ind w:firstLine="720"/>
        <w:jc w:val="both"/>
        <w:rPr>
          <w:rFonts w:ascii="Arial" w:eastAsia="Arial" w:hAnsi="Arial" w:cs="Arial"/>
          <w:sz w:val="20"/>
          <w:szCs w:val="20"/>
        </w:rPr>
      </w:pPr>
      <w:r>
        <w:rPr>
          <w:noProof/>
        </w:rPr>
        <w:lastRenderedPageBreak/>
        <w:drawing>
          <wp:anchor distT="0" distB="0" distL="114300" distR="114300" simplePos="0" relativeHeight="251659264" behindDoc="0" locked="0" layoutInCell="1" hidden="0" allowOverlap="1" wp14:anchorId="08F3AD99" wp14:editId="560E39B3">
            <wp:simplePos x="0" y="0"/>
            <wp:positionH relativeFrom="column">
              <wp:posOffset>-42530</wp:posOffset>
            </wp:positionH>
            <wp:positionV relativeFrom="paragraph">
              <wp:posOffset>111642</wp:posOffset>
            </wp:positionV>
            <wp:extent cx="5943600" cy="2392325"/>
            <wp:effectExtent l="0" t="0" r="0" b="8255"/>
            <wp:wrapNone/>
            <wp:docPr id="202226491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rotWithShape="1">
                    <a:blip r:embed="rId8"/>
                    <a:srcRect b="21560"/>
                    <a:stretch>
                      <a:fillRect/>
                    </a:stretch>
                  </pic:blipFill>
                  <pic:spPr bwMode="auto">
                    <a:xfrm>
                      <a:off x="0" y="0"/>
                      <a:ext cx="5943600" cy="239232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1FCE5EE1" w14:textId="385F2BC8" w:rsidR="002B57B9" w:rsidRDefault="002B57B9">
      <w:pPr>
        <w:spacing w:line="240" w:lineRule="auto"/>
        <w:ind w:firstLine="720"/>
        <w:jc w:val="both"/>
        <w:rPr>
          <w:rFonts w:ascii="Arial" w:eastAsia="Arial" w:hAnsi="Arial" w:cs="Arial"/>
          <w:sz w:val="20"/>
          <w:szCs w:val="20"/>
        </w:rPr>
      </w:pPr>
    </w:p>
    <w:p w14:paraId="4B1A952F" w14:textId="29D81F13" w:rsidR="002B57B9" w:rsidRDefault="002B57B9">
      <w:pPr>
        <w:spacing w:line="240" w:lineRule="auto"/>
        <w:ind w:firstLine="720"/>
        <w:jc w:val="both"/>
        <w:rPr>
          <w:rFonts w:ascii="Arial" w:eastAsia="Arial" w:hAnsi="Arial" w:cs="Arial"/>
          <w:sz w:val="20"/>
          <w:szCs w:val="20"/>
        </w:rPr>
      </w:pPr>
    </w:p>
    <w:p w14:paraId="55DA15CC" w14:textId="3DC7D530" w:rsidR="002B57B9" w:rsidRDefault="002B57B9">
      <w:pPr>
        <w:spacing w:line="240" w:lineRule="auto"/>
        <w:ind w:firstLine="720"/>
        <w:jc w:val="both"/>
        <w:rPr>
          <w:rFonts w:ascii="Arial" w:eastAsia="Arial" w:hAnsi="Arial" w:cs="Arial"/>
          <w:i/>
          <w:sz w:val="20"/>
          <w:szCs w:val="20"/>
        </w:rPr>
      </w:pPr>
    </w:p>
    <w:p w14:paraId="2A831844" w14:textId="2561C973" w:rsidR="002B57B9" w:rsidRDefault="002B57B9">
      <w:pPr>
        <w:spacing w:line="240" w:lineRule="auto"/>
        <w:ind w:firstLine="720"/>
        <w:jc w:val="both"/>
        <w:rPr>
          <w:rFonts w:ascii="Arial" w:eastAsia="Arial" w:hAnsi="Arial" w:cs="Arial"/>
          <w:i/>
          <w:sz w:val="20"/>
          <w:szCs w:val="20"/>
        </w:rPr>
      </w:pPr>
    </w:p>
    <w:p w14:paraId="0246A46D" w14:textId="354517AE" w:rsidR="002B57B9" w:rsidRDefault="002B57B9">
      <w:pPr>
        <w:spacing w:line="240" w:lineRule="auto"/>
        <w:ind w:firstLine="720"/>
        <w:jc w:val="both"/>
        <w:rPr>
          <w:rFonts w:ascii="Arial" w:eastAsia="Arial" w:hAnsi="Arial" w:cs="Arial"/>
          <w:i/>
          <w:sz w:val="20"/>
          <w:szCs w:val="20"/>
        </w:rPr>
      </w:pPr>
    </w:p>
    <w:p w14:paraId="6B1E9428" w14:textId="77777777" w:rsidR="002B57B9" w:rsidRDefault="002B57B9">
      <w:pPr>
        <w:spacing w:line="240" w:lineRule="auto"/>
        <w:ind w:firstLine="720"/>
        <w:jc w:val="both"/>
        <w:rPr>
          <w:rFonts w:ascii="Arial" w:eastAsia="Arial" w:hAnsi="Arial" w:cs="Arial"/>
          <w:i/>
          <w:sz w:val="20"/>
          <w:szCs w:val="20"/>
        </w:rPr>
      </w:pPr>
    </w:p>
    <w:p w14:paraId="0F26A2F8" w14:textId="77777777" w:rsidR="002B57B9" w:rsidRDefault="002B57B9">
      <w:pPr>
        <w:spacing w:line="240" w:lineRule="auto"/>
        <w:ind w:firstLine="720"/>
        <w:jc w:val="both"/>
        <w:rPr>
          <w:rFonts w:ascii="Arial" w:eastAsia="Arial" w:hAnsi="Arial" w:cs="Arial"/>
          <w:i/>
          <w:sz w:val="20"/>
          <w:szCs w:val="20"/>
        </w:rPr>
      </w:pPr>
    </w:p>
    <w:p w14:paraId="5846C5CE" w14:textId="77777777" w:rsidR="002B57B9" w:rsidRDefault="002B57B9">
      <w:pPr>
        <w:spacing w:line="240" w:lineRule="auto"/>
        <w:ind w:firstLine="720"/>
        <w:jc w:val="both"/>
        <w:rPr>
          <w:rFonts w:ascii="Arial" w:eastAsia="Arial" w:hAnsi="Arial" w:cs="Arial"/>
          <w:i/>
          <w:sz w:val="20"/>
          <w:szCs w:val="20"/>
        </w:rPr>
      </w:pPr>
    </w:p>
    <w:p w14:paraId="2E1F5524" w14:textId="77777777" w:rsidR="002B57B9" w:rsidRDefault="002B57B9">
      <w:pPr>
        <w:spacing w:line="240" w:lineRule="auto"/>
        <w:ind w:firstLine="720"/>
        <w:jc w:val="both"/>
        <w:rPr>
          <w:rFonts w:ascii="Arial" w:eastAsia="Arial" w:hAnsi="Arial" w:cs="Arial"/>
          <w:i/>
          <w:sz w:val="20"/>
          <w:szCs w:val="20"/>
        </w:rPr>
      </w:pPr>
    </w:p>
    <w:p w14:paraId="03120FBD" w14:textId="77777777" w:rsidR="002B57B9" w:rsidRDefault="002B57B9">
      <w:pPr>
        <w:spacing w:line="240" w:lineRule="auto"/>
        <w:ind w:firstLine="720"/>
        <w:jc w:val="both"/>
        <w:rPr>
          <w:rFonts w:ascii="Arial" w:eastAsia="Arial" w:hAnsi="Arial" w:cs="Arial"/>
          <w:i/>
          <w:sz w:val="20"/>
          <w:szCs w:val="20"/>
        </w:rPr>
      </w:pPr>
    </w:p>
    <w:p w14:paraId="22EFA4D2" w14:textId="77777777" w:rsidR="006557AE" w:rsidRDefault="006557AE">
      <w:pPr>
        <w:spacing w:line="240" w:lineRule="auto"/>
        <w:jc w:val="both"/>
        <w:rPr>
          <w:rFonts w:ascii="Arial" w:eastAsia="Arial" w:hAnsi="Arial" w:cs="Arial"/>
          <w:i/>
          <w:sz w:val="20"/>
          <w:szCs w:val="20"/>
        </w:rPr>
      </w:pPr>
    </w:p>
    <w:p w14:paraId="25D2CA24" w14:textId="6194B783" w:rsidR="000673FF" w:rsidRDefault="000673FF">
      <w:pPr>
        <w:spacing w:line="240" w:lineRule="auto"/>
        <w:ind w:firstLine="720"/>
        <w:jc w:val="both"/>
        <w:rPr>
          <w:rFonts w:ascii="Arial" w:eastAsia="Arial" w:hAnsi="Arial" w:cs="Arial"/>
          <w:b/>
          <w:sz w:val="20"/>
          <w:szCs w:val="20"/>
        </w:rPr>
      </w:pPr>
      <w:r>
        <w:rPr>
          <w:rFonts w:ascii="Arial" w:eastAsia="Arial" w:hAnsi="Arial" w:cs="Arial"/>
          <w:b/>
          <w:sz w:val="20"/>
          <w:szCs w:val="20"/>
        </w:rPr>
        <w:t xml:space="preserve">Fig 2- </w:t>
      </w:r>
      <w:r w:rsidRPr="000673FF">
        <w:rPr>
          <w:rFonts w:ascii="Arial" w:eastAsia="Arial" w:hAnsi="Arial" w:cs="Arial"/>
          <w:b/>
          <w:sz w:val="20"/>
          <w:szCs w:val="20"/>
        </w:rPr>
        <w:t xml:space="preserve">Emergent themes, Categories and codes on the Industry Perspectives on the specific Knowledge, Skills, and Attitudes they </w:t>
      </w:r>
      <w:r>
        <w:rPr>
          <w:rFonts w:ascii="Arial" w:eastAsia="Arial" w:hAnsi="Arial" w:cs="Arial"/>
          <w:b/>
          <w:sz w:val="20"/>
          <w:szCs w:val="20"/>
        </w:rPr>
        <w:t>are looking for in future</w:t>
      </w:r>
      <w:r w:rsidRPr="000673FF">
        <w:rPr>
          <w:rFonts w:ascii="Arial" w:eastAsia="Arial" w:hAnsi="Arial" w:cs="Arial"/>
          <w:b/>
          <w:sz w:val="20"/>
          <w:szCs w:val="20"/>
        </w:rPr>
        <w:t xml:space="preserve"> TVL graduates</w:t>
      </w:r>
    </w:p>
    <w:p w14:paraId="6BBAFFC6" w14:textId="3BD2ECCA" w:rsidR="002B57B9" w:rsidRDefault="00193F43">
      <w:pPr>
        <w:spacing w:line="240" w:lineRule="auto"/>
        <w:ind w:firstLine="720"/>
        <w:jc w:val="both"/>
        <w:rPr>
          <w:rFonts w:ascii="Arial" w:eastAsia="Arial" w:hAnsi="Arial" w:cs="Arial"/>
          <w:b/>
          <w:sz w:val="20"/>
          <w:szCs w:val="20"/>
        </w:rPr>
      </w:pPr>
      <w:r>
        <w:rPr>
          <w:rFonts w:ascii="Arial" w:eastAsia="Arial" w:hAnsi="Arial" w:cs="Arial"/>
          <w:b/>
          <w:sz w:val="20"/>
          <w:szCs w:val="20"/>
        </w:rPr>
        <w:t>Theme 2: Positive Work Ethic and Attitude</w:t>
      </w:r>
    </w:p>
    <w:p w14:paraId="4E7949EF" w14:textId="77777777" w:rsidR="00033B9E" w:rsidRDefault="00033B9E">
      <w:pPr>
        <w:spacing w:line="240" w:lineRule="auto"/>
        <w:ind w:firstLine="720"/>
        <w:jc w:val="both"/>
        <w:rPr>
          <w:rFonts w:ascii="Arial" w:eastAsia="Arial" w:hAnsi="Arial" w:cs="Arial"/>
          <w:sz w:val="20"/>
          <w:szCs w:val="20"/>
        </w:rPr>
      </w:pPr>
      <w:r>
        <w:rPr>
          <w:rFonts w:ascii="Arial" w:eastAsia="Arial" w:hAnsi="Arial" w:cs="Arial"/>
          <w:sz w:val="20"/>
          <w:szCs w:val="20"/>
        </w:rPr>
        <w:t>Technical-vocational and Livelihood (TVL) college graduates set their workplace attitude once they enter the profession. Its constructive work attitude indicates readiness to work, productivity, and positive contribution towards organizational goals. With this, the industry is attracted to employees who are not only committed to work but also willing to adapt their attitude to the workforce's needs. There are two (2) categories under this area: Desirable work and values, and Professionalism.</w:t>
      </w:r>
    </w:p>
    <w:p w14:paraId="54C7B793" w14:textId="77777777" w:rsidR="00033B9E" w:rsidRDefault="00033B9E">
      <w:pPr>
        <w:spacing w:line="240" w:lineRule="auto"/>
        <w:ind w:firstLine="720"/>
        <w:jc w:val="both"/>
        <w:rPr>
          <w:rFonts w:ascii="Arial" w:eastAsia="Arial" w:hAnsi="Arial" w:cs="Arial"/>
          <w:sz w:val="20"/>
          <w:szCs w:val="20"/>
        </w:rPr>
      </w:pPr>
    </w:p>
    <w:p w14:paraId="2F775964" w14:textId="1E1633A3" w:rsidR="002B57B9" w:rsidRDefault="00193F43">
      <w:pPr>
        <w:spacing w:line="240" w:lineRule="auto"/>
        <w:ind w:firstLine="720"/>
        <w:jc w:val="both"/>
        <w:rPr>
          <w:rFonts w:ascii="Arial" w:eastAsia="Arial" w:hAnsi="Arial" w:cs="Arial"/>
          <w:b/>
          <w:sz w:val="20"/>
          <w:szCs w:val="20"/>
        </w:rPr>
      </w:pPr>
      <w:r>
        <w:rPr>
          <w:rFonts w:ascii="Arial" w:eastAsia="Arial" w:hAnsi="Arial" w:cs="Arial"/>
          <w:sz w:val="20"/>
          <w:szCs w:val="20"/>
        </w:rPr>
        <w:t xml:space="preserve"> </w:t>
      </w:r>
      <w:r>
        <w:rPr>
          <w:rFonts w:ascii="Arial" w:eastAsia="Arial" w:hAnsi="Arial" w:cs="Arial"/>
          <w:b/>
          <w:sz w:val="20"/>
          <w:szCs w:val="20"/>
        </w:rPr>
        <w:t>Category 1: Desirable Work and Values</w:t>
      </w:r>
    </w:p>
    <w:p w14:paraId="5C9A9698" w14:textId="0CDA678F" w:rsidR="002B57B9" w:rsidRDefault="00193F43">
      <w:pPr>
        <w:spacing w:line="240" w:lineRule="auto"/>
        <w:jc w:val="both"/>
        <w:rPr>
          <w:rFonts w:ascii="Arial" w:eastAsia="Arial" w:hAnsi="Arial" w:cs="Arial"/>
          <w:sz w:val="20"/>
          <w:szCs w:val="20"/>
        </w:rPr>
      </w:pPr>
      <w:r>
        <w:rPr>
          <w:rFonts w:ascii="Arial" w:eastAsia="Arial" w:hAnsi="Arial" w:cs="Arial"/>
          <w:sz w:val="20"/>
          <w:szCs w:val="20"/>
        </w:rPr>
        <w:tab/>
        <w:t xml:space="preserve">Industries asserted the importance of nurturing skillful workers and ethical and value-driven individuals. The industry claimed they needed skilled </w:t>
      </w:r>
      <w:r>
        <w:rPr>
          <w:rFonts w:ascii="Arial" w:eastAsia="Arial" w:hAnsi="Arial" w:cs="Arial"/>
          <w:sz w:val="20"/>
          <w:szCs w:val="20"/>
        </w:rPr>
        <w:t xml:space="preserve">but also ethical and virtuous employees. Three (3) codes were generated under this category, which include work ethics, desirable attitude, and communication skills.  </w:t>
      </w:r>
    </w:p>
    <w:p w14:paraId="372B350B" w14:textId="77777777" w:rsidR="00033B9E" w:rsidRDefault="00033B9E">
      <w:pPr>
        <w:spacing w:line="240" w:lineRule="auto"/>
        <w:jc w:val="both"/>
        <w:rPr>
          <w:rFonts w:ascii="Arial" w:eastAsia="Arial" w:hAnsi="Arial" w:cs="Arial"/>
          <w:sz w:val="20"/>
          <w:szCs w:val="20"/>
        </w:rPr>
      </w:pPr>
    </w:p>
    <w:p w14:paraId="31903FCD" w14:textId="77777777" w:rsidR="002B57B9" w:rsidRDefault="00193F43">
      <w:pPr>
        <w:spacing w:line="240" w:lineRule="auto"/>
        <w:ind w:firstLine="720"/>
        <w:jc w:val="both"/>
        <w:rPr>
          <w:rFonts w:ascii="Arial" w:eastAsia="Arial" w:hAnsi="Arial" w:cs="Arial"/>
          <w:b/>
          <w:sz w:val="20"/>
          <w:szCs w:val="20"/>
        </w:rPr>
      </w:pPr>
      <w:r>
        <w:rPr>
          <w:rFonts w:ascii="Arial" w:eastAsia="Arial" w:hAnsi="Arial" w:cs="Arial"/>
          <w:b/>
          <w:sz w:val="20"/>
          <w:szCs w:val="20"/>
        </w:rPr>
        <w:t>Work Ethics</w:t>
      </w:r>
    </w:p>
    <w:p w14:paraId="05EC7B9C" w14:textId="1DDB7A32" w:rsidR="002B57B9" w:rsidRDefault="00193F43">
      <w:pPr>
        <w:spacing w:line="240" w:lineRule="auto"/>
        <w:ind w:firstLine="720"/>
        <w:jc w:val="both"/>
        <w:rPr>
          <w:rFonts w:ascii="Arial" w:eastAsia="Arial" w:hAnsi="Arial" w:cs="Arial"/>
          <w:sz w:val="20"/>
          <w:szCs w:val="20"/>
        </w:rPr>
      </w:pPr>
      <w:r>
        <w:rPr>
          <w:rFonts w:ascii="Arial" w:eastAsia="Arial" w:hAnsi="Arial" w:cs="Arial"/>
          <w:sz w:val="20"/>
          <w:szCs w:val="20"/>
        </w:rPr>
        <w:t>Technical skills and knowledge are undeniably important, but the right atti</w:t>
      </w:r>
      <w:r>
        <w:rPr>
          <w:rFonts w:ascii="Arial" w:eastAsia="Arial" w:hAnsi="Arial" w:cs="Arial"/>
          <w:sz w:val="20"/>
          <w:szCs w:val="20"/>
        </w:rPr>
        <w:t>tude toward work sets an employee apart. Management must pay close attention to workers' work ethics since it substantially impacts their job performance. Managers may look at workers' attitudes regarding their jobs to increase task and contextual performa</w:t>
      </w:r>
      <w:r>
        <w:rPr>
          <w:rFonts w:ascii="Arial" w:eastAsia="Arial" w:hAnsi="Arial" w:cs="Arial"/>
          <w:sz w:val="20"/>
          <w:szCs w:val="20"/>
        </w:rPr>
        <w:t>nce, especially how they perceive their work, lives, and intrinsic motivation (</w:t>
      </w:r>
      <w:proofErr w:type="spellStart"/>
      <w:r>
        <w:rPr>
          <w:rFonts w:ascii="Arial" w:eastAsia="Arial" w:hAnsi="Arial" w:cs="Arial"/>
          <w:sz w:val="20"/>
          <w:szCs w:val="20"/>
        </w:rPr>
        <w:t>Abun</w:t>
      </w:r>
      <w:proofErr w:type="spellEnd"/>
      <w:r>
        <w:rPr>
          <w:rFonts w:ascii="Arial" w:eastAsia="Arial" w:hAnsi="Arial" w:cs="Arial"/>
          <w:sz w:val="20"/>
          <w:szCs w:val="20"/>
        </w:rPr>
        <w:t xml:space="preserve"> et al., 2022). Employees' attitudes regarding their jobs influence their behavior and how they complete their assignments. It is, therefore, said that work ethics, organiza</w:t>
      </w:r>
      <w:r>
        <w:rPr>
          <w:rFonts w:ascii="Arial" w:eastAsia="Arial" w:hAnsi="Arial" w:cs="Arial"/>
          <w:sz w:val="20"/>
          <w:szCs w:val="20"/>
        </w:rPr>
        <w:t>tional citizenship behavior, and attitude toward work are related (Nicolas, 2024). Moreover, by improving</w:t>
      </w:r>
      <w:r w:rsidR="00033B9E">
        <w:rPr>
          <w:rFonts w:ascii="Arial" w:eastAsia="Arial" w:hAnsi="Arial" w:cs="Arial"/>
          <w:sz w:val="20"/>
          <w:szCs w:val="20"/>
        </w:rPr>
        <w:t xml:space="preserve"> </w:t>
      </w:r>
      <w:r>
        <w:rPr>
          <w:rFonts w:ascii="Arial" w:eastAsia="Arial" w:hAnsi="Arial" w:cs="Arial"/>
          <w:sz w:val="20"/>
          <w:szCs w:val="20"/>
        </w:rPr>
        <w:t xml:space="preserve">soft skills, graduates can establish themselves as significant assets to the sector and support its expansion and innovation. </w:t>
      </w:r>
      <w:r w:rsidR="00DA613A">
        <w:rPr>
          <w:rFonts w:ascii="Arial" w:eastAsia="Arial" w:hAnsi="Arial" w:cs="Arial"/>
          <w:sz w:val="20"/>
          <w:szCs w:val="20"/>
        </w:rPr>
        <w:t>This was confirmed by (IDI_KI1 &amp; IDI_KI3)</w:t>
      </w:r>
    </w:p>
    <w:p w14:paraId="5C4EC4DF" w14:textId="77777777" w:rsidR="002B57B9" w:rsidRDefault="002B57B9">
      <w:pPr>
        <w:spacing w:line="240" w:lineRule="auto"/>
        <w:ind w:firstLine="720"/>
        <w:jc w:val="both"/>
        <w:rPr>
          <w:rFonts w:ascii="Arial" w:eastAsia="Arial" w:hAnsi="Arial" w:cs="Arial"/>
          <w:sz w:val="20"/>
          <w:szCs w:val="20"/>
        </w:rPr>
      </w:pPr>
    </w:p>
    <w:p w14:paraId="54E37780" w14:textId="77777777" w:rsidR="002B57B9" w:rsidRDefault="00193F43">
      <w:pPr>
        <w:spacing w:line="240" w:lineRule="auto"/>
        <w:ind w:firstLine="720"/>
        <w:jc w:val="both"/>
        <w:rPr>
          <w:rFonts w:ascii="Arial" w:eastAsia="Arial" w:hAnsi="Arial" w:cs="Arial"/>
          <w:b/>
          <w:sz w:val="20"/>
          <w:szCs w:val="20"/>
        </w:rPr>
      </w:pPr>
      <w:r>
        <w:rPr>
          <w:rFonts w:ascii="Arial" w:eastAsia="Arial" w:hAnsi="Arial" w:cs="Arial"/>
          <w:b/>
          <w:sz w:val="20"/>
          <w:szCs w:val="20"/>
        </w:rPr>
        <w:t>Desirable Attitudes</w:t>
      </w:r>
    </w:p>
    <w:p w14:paraId="356C5732" w14:textId="07EB9939" w:rsidR="002B57B9" w:rsidRDefault="00193F43">
      <w:pPr>
        <w:spacing w:line="240" w:lineRule="auto"/>
        <w:ind w:firstLine="720"/>
        <w:jc w:val="both"/>
        <w:rPr>
          <w:rFonts w:ascii="Arial" w:eastAsia="Arial" w:hAnsi="Arial" w:cs="Arial"/>
          <w:sz w:val="20"/>
          <w:szCs w:val="20"/>
        </w:rPr>
      </w:pPr>
      <w:r>
        <w:rPr>
          <w:rFonts w:ascii="Arial" w:eastAsia="Arial" w:hAnsi="Arial" w:cs="Arial"/>
          <w:sz w:val="20"/>
          <w:szCs w:val="20"/>
        </w:rPr>
        <w:lastRenderedPageBreak/>
        <w:t xml:space="preserve">Technical-vocational and Livelihood (TVL) graduates can meet deadlines and produce high-quality work by prioritizing assignments and managing their time well. J. </w:t>
      </w:r>
      <w:proofErr w:type="spellStart"/>
      <w:r>
        <w:rPr>
          <w:rFonts w:ascii="Arial" w:eastAsia="Arial" w:hAnsi="Arial" w:cs="Arial"/>
          <w:sz w:val="20"/>
          <w:szCs w:val="20"/>
        </w:rPr>
        <w:t>Fallah</w:t>
      </w:r>
      <w:proofErr w:type="spellEnd"/>
      <w:r>
        <w:rPr>
          <w:rFonts w:ascii="Arial" w:eastAsia="Arial" w:hAnsi="Arial" w:cs="Arial"/>
          <w:sz w:val="20"/>
          <w:szCs w:val="20"/>
        </w:rPr>
        <w:t xml:space="preserve"> (2017) highlighted that attitude is a significan</w:t>
      </w:r>
      <w:r>
        <w:rPr>
          <w:rFonts w:ascii="Arial" w:eastAsia="Arial" w:hAnsi="Arial" w:cs="Arial"/>
          <w:sz w:val="20"/>
          <w:szCs w:val="20"/>
        </w:rPr>
        <w:t>t aspect of employment. It benefits not just the company but also each employee individually. Technical-vocational and Livelihood (TVL) graduates are well-positioned for the industry's successful and significant growth and development due to their strong m</w:t>
      </w:r>
      <w:r>
        <w:rPr>
          <w:rFonts w:ascii="Arial" w:eastAsia="Arial" w:hAnsi="Arial" w:cs="Arial"/>
          <w:sz w:val="20"/>
          <w:szCs w:val="20"/>
        </w:rPr>
        <w:t>oral character, positive interpersonal relationships, and capacity for independent work. Furthermore, employees' attitude toward work can help boost employees' work self-efficacy". These attributes can affect the industry's overall success (</w:t>
      </w:r>
      <w:proofErr w:type="spellStart"/>
      <w:r>
        <w:rPr>
          <w:rFonts w:ascii="Arial" w:eastAsia="Arial" w:hAnsi="Arial" w:cs="Arial"/>
          <w:sz w:val="20"/>
          <w:szCs w:val="20"/>
        </w:rPr>
        <w:t>Abun</w:t>
      </w:r>
      <w:proofErr w:type="spellEnd"/>
      <w:r>
        <w:rPr>
          <w:rFonts w:ascii="Arial" w:eastAsia="Arial" w:hAnsi="Arial" w:cs="Arial"/>
          <w:sz w:val="20"/>
          <w:szCs w:val="20"/>
        </w:rPr>
        <w:t xml:space="preserve"> et al., 20</w:t>
      </w:r>
      <w:r>
        <w:rPr>
          <w:rFonts w:ascii="Arial" w:eastAsia="Arial" w:hAnsi="Arial" w:cs="Arial"/>
          <w:sz w:val="20"/>
          <w:szCs w:val="20"/>
        </w:rPr>
        <w:t>21).</w:t>
      </w:r>
      <w:r w:rsidR="00033B9E">
        <w:rPr>
          <w:rFonts w:ascii="Arial" w:eastAsia="Arial" w:hAnsi="Arial" w:cs="Arial"/>
          <w:sz w:val="20"/>
          <w:szCs w:val="20"/>
        </w:rPr>
        <w:t xml:space="preserve"> </w:t>
      </w:r>
      <w:r w:rsidR="00DA613A">
        <w:rPr>
          <w:rFonts w:ascii="Arial" w:eastAsia="Arial" w:hAnsi="Arial" w:cs="Arial"/>
          <w:sz w:val="20"/>
          <w:szCs w:val="20"/>
        </w:rPr>
        <w:t>This was confirmed by (IDI_KI1 &amp; IDI_KI3)</w:t>
      </w:r>
    </w:p>
    <w:p w14:paraId="2911957B" w14:textId="77777777" w:rsidR="00DA613A" w:rsidRDefault="00DA613A">
      <w:pPr>
        <w:spacing w:line="240" w:lineRule="auto"/>
        <w:ind w:firstLine="720"/>
        <w:jc w:val="both"/>
        <w:rPr>
          <w:rFonts w:ascii="Arial" w:eastAsia="Arial" w:hAnsi="Arial" w:cs="Arial"/>
          <w:sz w:val="20"/>
          <w:szCs w:val="20"/>
        </w:rPr>
      </w:pPr>
    </w:p>
    <w:p w14:paraId="4D594435" w14:textId="77777777" w:rsidR="002B57B9" w:rsidRDefault="00193F43">
      <w:pPr>
        <w:spacing w:line="240" w:lineRule="auto"/>
        <w:ind w:firstLine="720"/>
        <w:jc w:val="both"/>
        <w:rPr>
          <w:rFonts w:ascii="Arial" w:eastAsia="Arial" w:hAnsi="Arial" w:cs="Arial"/>
          <w:b/>
          <w:sz w:val="20"/>
          <w:szCs w:val="20"/>
        </w:rPr>
      </w:pPr>
      <w:r>
        <w:rPr>
          <w:rFonts w:ascii="Arial" w:eastAsia="Arial" w:hAnsi="Arial" w:cs="Arial"/>
          <w:b/>
          <w:sz w:val="20"/>
          <w:szCs w:val="20"/>
        </w:rPr>
        <w:t>Communication Skills</w:t>
      </w:r>
    </w:p>
    <w:p w14:paraId="749A8A08" w14:textId="238BE5CA" w:rsidR="002B57B9" w:rsidRDefault="00193F43">
      <w:pPr>
        <w:spacing w:line="240" w:lineRule="auto"/>
        <w:ind w:firstLine="720"/>
        <w:jc w:val="both"/>
        <w:rPr>
          <w:rFonts w:ascii="Arial" w:eastAsia="Arial" w:hAnsi="Arial" w:cs="Arial"/>
          <w:sz w:val="20"/>
          <w:szCs w:val="20"/>
        </w:rPr>
      </w:pPr>
      <w:r>
        <w:rPr>
          <w:rFonts w:ascii="Arial" w:eastAsia="Arial" w:hAnsi="Arial" w:cs="Arial"/>
          <w:sz w:val="20"/>
          <w:szCs w:val="20"/>
        </w:rPr>
        <w:t>Good communication skills will provide future Technical-Vocational and Livelihood (TVL) graduates with a significant edge. Building relationships, working with colleagues, and clearly and succinctly communicating information depend on effective communicati</w:t>
      </w:r>
      <w:r>
        <w:rPr>
          <w:rFonts w:ascii="Arial" w:eastAsia="Arial" w:hAnsi="Arial" w:cs="Arial"/>
          <w:sz w:val="20"/>
          <w:szCs w:val="20"/>
        </w:rPr>
        <w:t>on. By honing their communication skills, Technical-Vocational and Livelihood (TVL) graduates may work more efficiently with colleagues, communicate information clearly, and comprehend the client's demands. Success in various sectors requires these abiliti</w:t>
      </w:r>
      <w:r>
        <w:rPr>
          <w:rFonts w:ascii="Arial" w:eastAsia="Arial" w:hAnsi="Arial" w:cs="Arial"/>
          <w:sz w:val="20"/>
          <w:szCs w:val="20"/>
        </w:rPr>
        <w:t xml:space="preserve">es; furthermore, valuing skills, writing, and intercultural communication are crucial for workplace success </w:t>
      </w:r>
      <w:r w:rsidRPr="00135D1E">
        <w:rPr>
          <w:rFonts w:ascii="Arial" w:eastAsia="Arial" w:hAnsi="Arial" w:cs="Arial"/>
          <w:sz w:val="20"/>
          <w:szCs w:val="20"/>
        </w:rPr>
        <w:t>(</w:t>
      </w:r>
      <w:proofErr w:type="spellStart"/>
      <w:r w:rsidRPr="00135D1E">
        <w:rPr>
          <w:rFonts w:ascii="Arial" w:eastAsia="Arial" w:hAnsi="Arial" w:cs="Arial"/>
          <w:sz w:val="20"/>
          <w:szCs w:val="20"/>
        </w:rPr>
        <w:t>Sonnenschein</w:t>
      </w:r>
      <w:proofErr w:type="spellEnd"/>
      <w:r w:rsidRPr="00135D1E">
        <w:rPr>
          <w:rFonts w:ascii="Arial" w:eastAsia="Arial" w:hAnsi="Arial" w:cs="Arial"/>
          <w:sz w:val="20"/>
          <w:szCs w:val="20"/>
        </w:rPr>
        <w:t xml:space="preserve"> &amp; Ferguson, 2020)</w:t>
      </w:r>
      <w:r>
        <w:rPr>
          <w:rFonts w:ascii="Arial" w:eastAsia="Arial" w:hAnsi="Arial" w:cs="Arial"/>
          <w:sz w:val="20"/>
          <w:szCs w:val="20"/>
        </w:rPr>
        <w:t>. Good communication skills will provide future (Technical-Vocational and Livelihood) TVL graduates with a significan</w:t>
      </w:r>
      <w:r>
        <w:rPr>
          <w:rFonts w:ascii="Arial" w:eastAsia="Arial" w:hAnsi="Arial" w:cs="Arial"/>
          <w:sz w:val="20"/>
          <w:szCs w:val="20"/>
        </w:rPr>
        <w:t>t edge (</w:t>
      </w:r>
      <w:proofErr w:type="spellStart"/>
      <w:r>
        <w:rPr>
          <w:rFonts w:ascii="Arial" w:eastAsia="Arial" w:hAnsi="Arial" w:cs="Arial"/>
          <w:sz w:val="20"/>
          <w:szCs w:val="20"/>
        </w:rPr>
        <w:t>Bucăţa</w:t>
      </w:r>
      <w:proofErr w:type="spellEnd"/>
      <w:r>
        <w:rPr>
          <w:rFonts w:ascii="Arial" w:eastAsia="Arial" w:hAnsi="Arial" w:cs="Arial"/>
          <w:sz w:val="20"/>
          <w:szCs w:val="20"/>
        </w:rPr>
        <w:t xml:space="preserve"> &amp; </w:t>
      </w:r>
      <w:proofErr w:type="spellStart"/>
      <w:r>
        <w:rPr>
          <w:rFonts w:ascii="Arial" w:eastAsia="Arial" w:hAnsi="Arial" w:cs="Arial"/>
          <w:sz w:val="20"/>
          <w:szCs w:val="20"/>
        </w:rPr>
        <w:t>Rizescu</w:t>
      </w:r>
      <w:proofErr w:type="spellEnd"/>
      <w:r>
        <w:rPr>
          <w:rFonts w:ascii="Arial" w:eastAsia="Arial" w:hAnsi="Arial" w:cs="Arial"/>
          <w:sz w:val="20"/>
          <w:szCs w:val="20"/>
        </w:rPr>
        <w:t>, 2017). With this, practical communication skills are equally essential for the industry's success.</w:t>
      </w:r>
      <w:r w:rsidR="006D1EF9">
        <w:rPr>
          <w:rFonts w:ascii="Arial" w:eastAsia="Arial" w:hAnsi="Arial" w:cs="Arial"/>
          <w:sz w:val="20"/>
          <w:szCs w:val="20"/>
        </w:rPr>
        <w:t xml:space="preserve"> </w:t>
      </w:r>
      <w:r w:rsidR="00DA613A">
        <w:rPr>
          <w:rFonts w:ascii="Arial" w:eastAsia="Arial" w:hAnsi="Arial" w:cs="Arial"/>
          <w:sz w:val="20"/>
          <w:szCs w:val="20"/>
        </w:rPr>
        <w:t xml:space="preserve">This was </w:t>
      </w:r>
      <w:proofErr w:type="gramStart"/>
      <w:r w:rsidR="00DA613A">
        <w:rPr>
          <w:rFonts w:ascii="Arial" w:eastAsia="Arial" w:hAnsi="Arial" w:cs="Arial"/>
          <w:sz w:val="20"/>
          <w:szCs w:val="20"/>
        </w:rPr>
        <w:t>confirmed  by</w:t>
      </w:r>
      <w:proofErr w:type="gramEnd"/>
      <w:r w:rsidR="00DA613A">
        <w:rPr>
          <w:rFonts w:ascii="Arial" w:eastAsia="Arial" w:hAnsi="Arial" w:cs="Arial"/>
          <w:sz w:val="20"/>
          <w:szCs w:val="20"/>
        </w:rPr>
        <w:t xml:space="preserve"> (IDI_KI1</w:t>
      </w:r>
      <w:r w:rsidR="007B00C8">
        <w:rPr>
          <w:rFonts w:ascii="Arial" w:eastAsia="Arial" w:hAnsi="Arial" w:cs="Arial"/>
          <w:sz w:val="20"/>
          <w:szCs w:val="20"/>
        </w:rPr>
        <w:t xml:space="preserve"> &amp; IDI_KI3</w:t>
      </w:r>
      <w:r w:rsidR="00DA613A">
        <w:rPr>
          <w:rFonts w:ascii="Arial" w:eastAsia="Arial" w:hAnsi="Arial" w:cs="Arial"/>
          <w:sz w:val="20"/>
          <w:szCs w:val="20"/>
        </w:rPr>
        <w:t>)</w:t>
      </w:r>
    </w:p>
    <w:p w14:paraId="67AE3A82" w14:textId="77777777" w:rsidR="002B57B9" w:rsidRDefault="002B57B9">
      <w:pPr>
        <w:spacing w:line="240" w:lineRule="auto"/>
        <w:ind w:firstLine="720"/>
        <w:jc w:val="both"/>
        <w:rPr>
          <w:rFonts w:ascii="Arial" w:eastAsia="Arial" w:hAnsi="Arial" w:cs="Arial"/>
          <w:b/>
          <w:sz w:val="20"/>
          <w:szCs w:val="20"/>
        </w:rPr>
      </w:pPr>
    </w:p>
    <w:p w14:paraId="220772C2" w14:textId="77777777" w:rsidR="002B57B9" w:rsidRDefault="00193F43">
      <w:pPr>
        <w:spacing w:line="240" w:lineRule="auto"/>
        <w:ind w:firstLine="720"/>
        <w:jc w:val="both"/>
        <w:rPr>
          <w:rFonts w:ascii="Arial" w:eastAsia="Arial" w:hAnsi="Arial" w:cs="Arial"/>
          <w:sz w:val="20"/>
          <w:szCs w:val="20"/>
        </w:rPr>
      </w:pPr>
      <w:r>
        <w:rPr>
          <w:rFonts w:ascii="Arial" w:eastAsia="Arial" w:hAnsi="Arial" w:cs="Arial"/>
          <w:b/>
          <w:sz w:val="20"/>
          <w:szCs w:val="20"/>
        </w:rPr>
        <w:t>Category 2: Professionalism</w:t>
      </w:r>
    </w:p>
    <w:p w14:paraId="72538D2A" w14:textId="48FB30E7" w:rsidR="002B57B9" w:rsidRDefault="00193F43">
      <w:pPr>
        <w:spacing w:line="240" w:lineRule="auto"/>
        <w:jc w:val="both"/>
        <w:rPr>
          <w:rFonts w:ascii="Arial" w:eastAsia="Arial" w:hAnsi="Arial" w:cs="Arial"/>
          <w:sz w:val="20"/>
          <w:szCs w:val="20"/>
        </w:rPr>
      </w:pPr>
      <w:r>
        <w:rPr>
          <w:rFonts w:ascii="Arial" w:eastAsia="Arial" w:hAnsi="Arial" w:cs="Arial"/>
          <w:sz w:val="20"/>
          <w:szCs w:val="20"/>
        </w:rPr>
        <w:t>Professionalism is one of the most important aspects of the</w:t>
      </w:r>
      <w:r>
        <w:rPr>
          <w:rFonts w:ascii="Arial" w:eastAsia="Arial" w:hAnsi="Arial" w:cs="Arial"/>
          <w:sz w:val="20"/>
          <w:szCs w:val="20"/>
        </w:rPr>
        <w:t xml:space="preserve"> industry’s preparedness for future Technical Vocational and Livelihood (TVL) graduates. Under this category, two (2) codes emerged, which include efficient task completion and dedication to work. </w:t>
      </w:r>
    </w:p>
    <w:p w14:paraId="15EEB855" w14:textId="77777777" w:rsidR="006D1EF9" w:rsidRDefault="006D1EF9">
      <w:pPr>
        <w:spacing w:line="240" w:lineRule="auto"/>
        <w:jc w:val="both"/>
        <w:rPr>
          <w:rFonts w:ascii="Arial" w:eastAsia="Arial" w:hAnsi="Arial" w:cs="Arial"/>
          <w:sz w:val="20"/>
          <w:szCs w:val="20"/>
        </w:rPr>
      </w:pPr>
    </w:p>
    <w:p w14:paraId="0A5B6691" w14:textId="77777777" w:rsidR="002B57B9" w:rsidRDefault="00193F43">
      <w:pPr>
        <w:spacing w:line="240" w:lineRule="auto"/>
        <w:jc w:val="both"/>
        <w:rPr>
          <w:rFonts w:ascii="Arial" w:eastAsia="Arial" w:hAnsi="Arial" w:cs="Arial"/>
          <w:b/>
          <w:sz w:val="20"/>
          <w:szCs w:val="20"/>
        </w:rPr>
      </w:pPr>
      <w:r>
        <w:rPr>
          <w:rFonts w:ascii="Arial" w:eastAsia="Arial" w:hAnsi="Arial" w:cs="Arial"/>
          <w:b/>
          <w:sz w:val="20"/>
          <w:szCs w:val="20"/>
        </w:rPr>
        <w:t xml:space="preserve">Efficient task Completion </w:t>
      </w:r>
    </w:p>
    <w:p w14:paraId="6F7A8823" w14:textId="5573EA7C" w:rsidR="002B57B9" w:rsidRDefault="00193F43">
      <w:pPr>
        <w:spacing w:line="240" w:lineRule="auto"/>
        <w:jc w:val="both"/>
        <w:rPr>
          <w:rFonts w:ascii="Arial" w:eastAsia="Arial" w:hAnsi="Arial" w:cs="Arial"/>
          <w:sz w:val="20"/>
          <w:szCs w:val="20"/>
        </w:rPr>
      </w:pPr>
      <w:r>
        <w:rPr>
          <w:rFonts w:ascii="Arial" w:eastAsia="Arial" w:hAnsi="Arial" w:cs="Arial"/>
          <w:b/>
          <w:sz w:val="20"/>
          <w:szCs w:val="20"/>
        </w:rPr>
        <w:t xml:space="preserve"> </w:t>
      </w:r>
      <w:r>
        <w:rPr>
          <w:rFonts w:ascii="Arial" w:eastAsia="Arial" w:hAnsi="Arial" w:cs="Arial"/>
          <w:b/>
          <w:sz w:val="20"/>
          <w:szCs w:val="20"/>
        </w:rPr>
        <w:tab/>
      </w:r>
      <w:r>
        <w:rPr>
          <w:rFonts w:ascii="Arial" w:eastAsia="Arial" w:hAnsi="Arial" w:cs="Arial"/>
          <w:sz w:val="20"/>
          <w:szCs w:val="20"/>
        </w:rPr>
        <w:t>Employers in the agriculture</w:t>
      </w:r>
      <w:r>
        <w:rPr>
          <w:rFonts w:ascii="Arial" w:eastAsia="Arial" w:hAnsi="Arial" w:cs="Arial"/>
          <w:sz w:val="20"/>
          <w:szCs w:val="20"/>
        </w:rPr>
        <w:t xml:space="preserve"> industry as clients of future Technical-Vocational and Livelihood (TVL) graduates in Agriculture Crop Production highly appreciate these skills, especially the efficient management of activities, time, resources, and skills to achieve the best results. Th</w:t>
      </w:r>
      <w:r>
        <w:rPr>
          <w:rFonts w:ascii="Arial" w:eastAsia="Arial" w:hAnsi="Arial" w:cs="Arial"/>
          <w:sz w:val="20"/>
          <w:szCs w:val="20"/>
        </w:rPr>
        <w:t>is quality stems from professionalism, which signifies a graduate's ability to manage tasks, respect timelines, and adjust in the workplace. Furthermore, closer collaboration between academia and industry is recommended to enhance their performance and rev</w:t>
      </w:r>
      <w:r>
        <w:rPr>
          <w:rFonts w:ascii="Arial" w:eastAsia="Arial" w:hAnsi="Arial" w:cs="Arial"/>
          <w:sz w:val="20"/>
          <w:szCs w:val="20"/>
        </w:rPr>
        <w:t>amp technical education to align with current industry needs (</w:t>
      </w:r>
      <w:proofErr w:type="spellStart"/>
      <w:r>
        <w:rPr>
          <w:rFonts w:ascii="Arial" w:eastAsia="Arial" w:hAnsi="Arial" w:cs="Arial"/>
          <w:sz w:val="20"/>
          <w:szCs w:val="20"/>
        </w:rPr>
        <w:t>Tulsi</w:t>
      </w:r>
      <w:proofErr w:type="spellEnd"/>
      <w:r>
        <w:rPr>
          <w:rFonts w:ascii="Arial" w:eastAsia="Arial" w:hAnsi="Arial" w:cs="Arial"/>
          <w:sz w:val="20"/>
          <w:szCs w:val="20"/>
        </w:rPr>
        <w:t xml:space="preserve"> &amp; </w:t>
      </w:r>
      <w:proofErr w:type="spellStart"/>
      <w:r>
        <w:rPr>
          <w:rFonts w:ascii="Arial" w:eastAsia="Arial" w:hAnsi="Arial" w:cs="Arial"/>
          <w:sz w:val="20"/>
          <w:szCs w:val="20"/>
        </w:rPr>
        <w:t>Poonia</w:t>
      </w:r>
      <w:proofErr w:type="spellEnd"/>
      <w:r>
        <w:rPr>
          <w:rFonts w:ascii="Arial" w:eastAsia="Arial" w:hAnsi="Arial" w:cs="Arial"/>
          <w:sz w:val="20"/>
          <w:szCs w:val="20"/>
        </w:rPr>
        <w:t>, 2015). While individual habits are important, team-based approaches to time management are increasingly relevant in collaborative work environments (</w:t>
      </w:r>
      <w:proofErr w:type="spellStart"/>
      <w:r>
        <w:rPr>
          <w:rFonts w:ascii="Arial" w:eastAsia="Arial" w:hAnsi="Arial" w:cs="Arial"/>
          <w:sz w:val="20"/>
          <w:szCs w:val="20"/>
        </w:rPr>
        <w:t>Perlow</w:t>
      </w:r>
      <w:proofErr w:type="spellEnd"/>
      <w:r>
        <w:rPr>
          <w:rFonts w:ascii="Arial" w:eastAsia="Arial" w:hAnsi="Arial" w:cs="Arial"/>
          <w:sz w:val="20"/>
          <w:szCs w:val="20"/>
        </w:rPr>
        <w:t>, 2014).</w:t>
      </w:r>
      <w:r w:rsidR="00A14195">
        <w:rPr>
          <w:rFonts w:ascii="Arial" w:eastAsia="Arial" w:hAnsi="Arial" w:cs="Arial"/>
          <w:sz w:val="20"/>
          <w:szCs w:val="20"/>
        </w:rPr>
        <w:t xml:space="preserve"> </w:t>
      </w:r>
      <w:r w:rsidR="007B00C8">
        <w:rPr>
          <w:rFonts w:ascii="Arial" w:eastAsia="Arial" w:hAnsi="Arial" w:cs="Arial"/>
          <w:sz w:val="20"/>
          <w:szCs w:val="20"/>
        </w:rPr>
        <w:t>This was confirmed by (IDI_KI2 &amp; IDI_KI3)</w:t>
      </w:r>
    </w:p>
    <w:p w14:paraId="4AC5A126" w14:textId="77777777" w:rsidR="002B57B9" w:rsidRDefault="002B57B9">
      <w:pPr>
        <w:spacing w:line="240" w:lineRule="auto"/>
        <w:jc w:val="both"/>
        <w:rPr>
          <w:rFonts w:ascii="Arial" w:eastAsia="Arial" w:hAnsi="Arial" w:cs="Arial"/>
          <w:sz w:val="20"/>
          <w:szCs w:val="20"/>
        </w:rPr>
      </w:pPr>
    </w:p>
    <w:p w14:paraId="1AC40127" w14:textId="77777777" w:rsidR="002B57B9" w:rsidRDefault="00193F43">
      <w:pPr>
        <w:spacing w:line="240" w:lineRule="auto"/>
        <w:ind w:firstLine="720"/>
        <w:jc w:val="both"/>
        <w:rPr>
          <w:rFonts w:ascii="Arial" w:eastAsia="Arial" w:hAnsi="Arial" w:cs="Arial"/>
          <w:b/>
          <w:sz w:val="20"/>
          <w:szCs w:val="20"/>
        </w:rPr>
      </w:pPr>
      <w:r>
        <w:rPr>
          <w:rFonts w:ascii="Arial" w:eastAsia="Arial" w:hAnsi="Arial" w:cs="Arial"/>
          <w:b/>
          <w:sz w:val="20"/>
          <w:szCs w:val="20"/>
        </w:rPr>
        <w:t>Dedication to work</w:t>
      </w:r>
    </w:p>
    <w:p w14:paraId="6C6D008B" w14:textId="34EBE947" w:rsidR="002B57B9" w:rsidRDefault="00193F43">
      <w:pPr>
        <w:spacing w:line="240" w:lineRule="auto"/>
        <w:ind w:firstLine="720"/>
        <w:jc w:val="both"/>
        <w:rPr>
          <w:rFonts w:ascii="Arial" w:eastAsia="Arial" w:hAnsi="Arial" w:cs="Arial"/>
          <w:sz w:val="20"/>
          <w:szCs w:val="20"/>
        </w:rPr>
      </w:pPr>
      <w:r>
        <w:rPr>
          <w:rFonts w:ascii="Arial" w:eastAsia="Arial" w:hAnsi="Arial" w:cs="Arial"/>
          <w:sz w:val="20"/>
          <w:szCs w:val="20"/>
        </w:rPr>
        <w:t xml:space="preserve">Employers in the industry are searching for future Technical-Vocational-Livelihood (TVL) graduates who are strongly dedicated to work and have unwavering dedication to their profession. The enthusiasm that </w:t>
      </w:r>
      <w:r>
        <w:rPr>
          <w:rFonts w:ascii="Arial" w:eastAsia="Arial" w:hAnsi="Arial" w:cs="Arial"/>
          <w:sz w:val="20"/>
          <w:szCs w:val="20"/>
        </w:rPr>
        <w:t>drives long hours and continuous effort is a critical attribute that graduates must have to excel in the field.  They can raise output, boost efficiency, and improve agriculture's performance. Dedication improves time management and self-discipline, helpin</w:t>
      </w:r>
      <w:r>
        <w:rPr>
          <w:rFonts w:ascii="Arial" w:eastAsia="Arial" w:hAnsi="Arial" w:cs="Arial"/>
          <w:sz w:val="20"/>
          <w:szCs w:val="20"/>
        </w:rPr>
        <w:t>g individuals stay focused and make sound decisions. As Covey (2020) emphasizes, commitment and accountability are key to personal and professional success. Developing these qualities in TVL graduates boosts their employability and value in the workforce.</w:t>
      </w:r>
      <w:r w:rsidR="007B00C8">
        <w:rPr>
          <w:rFonts w:ascii="Arial" w:eastAsia="Arial" w:hAnsi="Arial" w:cs="Arial"/>
          <w:sz w:val="20"/>
          <w:szCs w:val="20"/>
        </w:rPr>
        <w:t xml:space="preserve"> This was confirmed by (IDI_KI1, IDI_KI2 &amp; IDI_KI3)</w:t>
      </w:r>
    </w:p>
    <w:p w14:paraId="78307067" w14:textId="77777777" w:rsidR="004F1FEC" w:rsidRDefault="004F1FEC">
      <w:pPr>
        <w:spacing w:line="240" w:lineRule="auto"/>
        <w:ind w:firstLine="720"/>
        <w:jc w:val="both"/>
        <w:rPr>
          <w:rFonts w:ascii="Arial" w:eastAsia="Arial" w:hAnsi="Arial" w:cs="Arial"/>
          <w:sz w:val="20"/>
          <w:szCs w:val="20"/>
        </w:rPr>
      </w:pPr>
    </w:p>
    <w:p w14:paraId="5D1B2EF9" w14:textId="62B4047E" w:rsidR="004F1FEC" w:rsidRDefault="009517D4">
      <w:pPr>
        <w:spacing w:line="240" w:lineRule="auto"/>
        <w:ind w:firstLine="720"/>
        <w:jc w:val="both"/>
        <w:rPr>
          <w:rFonts w:ascii="Arial" w:eastAsia="Arial" w:hAnsi="Arial" w:cs="Arial"/>
          <w:sz w:val="20"/>
          <w:szCs w:val="20"/>
        </w:rPr>
      </w:pPr>
      <w:r>
        <w:rPr>
          <w:noProof/>
        </w:rPr>
        <w:lastRenderedPageBreak/>
        <w:drawing>
          <wp:anchor distT="0" distB="0" distL="114300" distR="114300" simplePos="0" relativeHeight="251660288" behindDoc="0" locked="0" layoutInCell="1" hidden="0" allowOverlap="1" wp14:anchorId="3F63009C" wp14:editId="128C66D5">
            <wp:simplePos x="0" y="0"/>
            <wp:positionH relativeFrom="column">
              <wp:posOffset>-64135</wp:posOffset>
            </wp:positionH>
            <wp:positionV relativeFrom="paragraph">
              <wp:posOffset>278765</wp:posOffset>
            </wp:positionV>
            <wp:extent cx="5943600" cy="3136265"/>
            <wp:effectExtent l="0" t="0" r="0" b="6985"/>
            <wp:wrapNone/>
            <wp:docPr id="20222649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9"/>
                    <a:srcRect b="12837"/>
                    <a:stretch>
                      <a:fillRect/>
                    </a:stretch>
                  </pic:blipFill>
                  <pic:spPr bwMode="auto">
                    <a:xfrm>
                      <a:off x="0" y="0"/>
                      <a:ext cx="5943600" cy="313626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7C857094" w14:textId="2E3FDAA7" w:rsidR="002B57B9" w:rsidRDefault="002B57B9">
      <w:pPr>
        <w:spacing w:line="240" w:lineRule="auto"/>
        <w:ind w:firstLine="720"/>
        <w:jc w:val="both"/>
        <w:rPr>
          <w:rFonts w:ascii="Arial" w:eastAsia="Arial" w:hAnsi="Arial" w:cs="Arial"/>
          <w:sz w:val="20"/>
          <w:szCs w:val="20"/>
        </w:rPr>
      </w:pPr>
    </w:p>
    <w:p w14:paraId="3F970B15" w14:textId="77777777" w:rsidR="006557AE" w:rsidRDefault="006557AE">
      <w:pPr>
        <w:pBdr>
          <w:top w:val="nil"/>
          <w:left w:val="nil"/>
          <w:bottom w:val="nil"/>
          <w:right w:val="nil"/>
          <w:between w:val="nil"/>
        </w:pBdr>
        <w:spacing w:line="240" w:lineRule="auto"/>
        <w:jc w:val="both"/>
        <w:rPr>
          <w:rFonts w:ascii="Arial" w:eastAsia="Arial" w:hAnsi="Arial" w:cs="Arial"/>
          <w:color w:val="000000"/>
          <w:sz w:val="20"/>
          <w:szCs w:val="20"/>
        </w:rPr>
      </w:pPr>
    </w:p>
    <w:p w14:paraId="73AD6837" w14:textId="77777777" w:rsidR="006557AE" w:rsidRDefault="006557AE">
      <w:pPr>
        <w:pBdr>
          <w:top w:val="nil"/>
          <w:left w:val="nil"/>
          <w:bottom w:val="nil"/>
          <w:right w:val="nil"/>
          <w:between w:val="nil"/>
        </w:pBdr>
        <w:spacing w:line="240" w:lineRule="auto"/>
        <w:jc w:val="both"/>
        <w:rPr>
          <w:rFonts w:ascii="Arial" w:eastAsia="Arial" w:hAnsi="Arial" w:cs="Arial"/>
          <w:color w:val="000000"/>
          <w:sz w:val="20"/>
          <w:szCs w:val="20"/>
        </w:rPr>
      </w:pPr>
    </w:p>
    <w:p w14:paraId="0997BD26" w14:textId="77777777" w:rsidR="006557AE" w:rsidRDefault="006557AE">
      <w:pPr>
        <w:pBdr>
          <w:top w:val="nil"/>
          <w:left w:val="nil"/>
          <w:bottom w:val="nil"/>
          <w:right w:val="nil"/>
          <w:between w:val="nil"/>
        </w:pBdr>
        <w:spacing w:line="240" w:lineRule="auto"/>
        <w:jc w:val="both"/>
        <w:rPr>
          <w:rFonts w:ascii="Arial" w:eastAsia="Arial" w:hAnsi="Arial" w:cs="Arial"/>
          <w:color w:val="000000"/>
          <w:sz w:val="20"/>
          <w:szCs w:val="20"/>
        </w:rPr>
      </w:pPr>
    </w:p>
    <w:p w14:paraId="09E5505B" w14:textId="53804463" w:rsidR="002B57B9" w:rsidRDefault="002B57B9">
      <w:pPr>
        <w:pBdr>
          <w:top w:val="nil"/>
          <w:left w:val="nil"/>
          <w:bottom w:val="nil"/>
          <w:right w:val="nil"/>
          <w:between w:val="nil"/>
        </w:pBdr>
        <w:spacing w:line="240" w:lineRule="auto"/>
        <w:jc w:val="both"/>
        <w:rPr>
          <w:rFonts w:ascii="Arial" w:eastAsia="Arial" w:hAnsi="Arial" w:cs="Arial"/>
          <w:color w:val="000000"/>
          <w:sz w:val="20"/>
          <w:szCs w:val="20"/>
        </w:rPr>
      </w:pPr>
    </w:p>
    <w:p w14:paraId="3D4870F3" w14:textId="77777777" w:rsidR="002B57B9" w:rsidRDefault="002B57B9">
      <w:pPr>
        <w:spacing w:line="240" w:lineRule="auto"/>
        <w:ind w:firstLine="720"/>
        <w:jc w:val="both"/>
        <w:rPr>
          <w:rFonts w:ascii="Arial" w:eastAsia="Arial" w:hAnsi="Arial" w:cs="Arial"/>
          <w:i/>
          <w:sz w:val="20"/>
          <w:szCs w:val="20"/>
        </w:rPr>
      </w:pPr>
    </w:p>
    <w:p w14:paraId="1F21F578" w14:textId="77777777" w:rsidR="002B57B9" w:rsidRDefault="002B57B9">
      <w:pPr>
        <w:spacing w:line="240" w:lineRule="auto"/>
        <w:ind w:firstLine="720"/>
        <w:jc w:val="both"/>
        <w:rPr>
          <w:rFonts w:ascii="Arial" w:eastAsia="Arial" w:hAnsi="Arial" w:cs="Arial"/>
          <w:i/>
          <w:sz w:val="20"/>
          <w:szCs w:val="20"/>
        </w:rPr>
      </w:pPr>
    </w:p>
    <w:p w14:paraId="74D2B23D" w14:textId="77777777" w:rsidR="002B57B9" w:rsidRDefault="002B57B9">
      <w:pPr>
        <w:spacing w:line="240" w:lineRule="auto"/>
        <w:ind w:firstLine="720"/>
        <w:jc w:val="both"/>
        <w:rPr>
          <w:rFonts w:ascii="Arial" w:eastAsia="Arial" w:hAnsi="Arial" w:cs="Arial"/>
          <w:i/>
          <w:sz w:val="20"/>
          <w:szCs w:val="20"/>
        </w:rPr>
      </w:pPr>
    </w:p>
    <w:p w14:paraId="520CD076" w14:textId="77777777" w:rsidR="002B57B9" w:rsidRDefault="002B57B9">
      <w:pPr>
        <w:spacing w:line="240" w:lineRule="auto"/>
        <w:ind w:firstLine="720"/>
        <w:jc w:val="both"/>
        <w:rPr>
          <w:rFonts w:ascii="Arial" w:eastAsia="Arial" w:hAnsi="Arial" w:cs="Arial"/>
          <w:i/>
          <w:sz w:val="20"/>
          <w:szCs w:val="20"/>
        </w:rPr>
      </w:pPr>
    </w:p>
    <w:p w14:paraId="50A613E9" w14:textId="77777777" w:rsidR="002B57B9" w:rsidRDefault="002B57B9">
      <w:pPr>
        <w:spacing w:line="240" w:lineRule="auto"/>
        <w:ind w:firstLine="720"/>
        <w:jc w:val="both"/>
        <w:rPr>
          <w:rFonts w:ascii="Arial" w:eastAsia="Arial" w:hAnsi="Arial" w:cs="Arial"/>
          <w:i/>
          <w:sz w:val="20"/>
          <w:szCs w:val="20"/>
        </w:rPr>
      </w:pPr>
    </w:p>
    <w:p w14:paraId="0E56B1B5" w14:textId="77777777" w:rsidR="002B57B9" w:rsidRDefault="002B57B9">
      <w:pPr>
        <w:spacing w:line="240" w:lineRule="auto"/>
        <w:ind w:firstLine="720"/>
        <w:jc w:val="both"/>
        <w:rPr>
          <w:rFonts w:ascii="Arial" w:eastAsia="Arial" w:hAnsi="Arial" w:cs="Arial"/>
          <w:i/>
          <w:sz w:val="20"/>
          <w:szCs w:val="20"/>
        </w:rPr>
      </w:pPr>
    </w:p>
    <w:p w14:paraId="2EEC1AFC" w14:textId="77777777" w:rsidR="002B57B9" w:rsidRDefault="002B57B9">
      <w:pPr>
        <w:spacing w:line="240" w:lineRule="auto"/>
        <w:ind w:firstLine="720"/>
        <w:jc w:val="both"/>
        <w:rPr>
          <w:rFonts w:ascii="Arial" w:eastAsia="Arial" w:hAnsi="Arial" w:cs="Arial"/>
          <w:i/>
          <w:sz w:val="20"/>
          <w:szCs w:val="20"/>
        </w:rPr>
      </w:pPr>
    </w:p>
    <w:p w14:paraId="32D41229" w14:textId="77777777" w:rsidR="002B57B9" w:rsidRDefault="002B57B9">
      <w:pPr>
        <w:spacing w:line="240" w:lineRule="auto"/>
        <w:ind w:firstLine="720"/>
        <w:jc w:val="both"/>
        <w:rPr>
          <w:rFonts w:ascii="Arial" w:eastAsia="Arial" w:hAnsi="Arial" w:cs="Arial"/>
          <w:i/>
          <w:sz w:val="20"/>
          <w:szCs w:val="20"/>
        </w:rPr>
      </w:pPr>
    </w:p>
    <w:p w14:paraId="0CC975DB" w14:textId="77777777" w:rsidR="002B57B9" w:rsidRDefault="002B57B9">
      <w:pPr>
        <w:spacing w:line="240" w:lineRule="auto"/>
        <w:ind w:firstLine="720"/>
        <w:jc w:val="both"/>
        <w:rPr>
          <w:rFonts w:ascii="Arial" w:eastAsia="Arial" w:hAnsi="Arial" w:cs="Arial"/>
          <w:i/>
          <w:sz w:val="20"/>
          <w:szCs w:val="20"/>
        </w:rPr>
      </w:pPr>
    </w:p>
    <w:p w14:paraId="1B77BEA2" w14:textId="77777777" w:rsidR="002B57B9" w:rsidRDefault="002B57B9">
      <w:pPr>
        <w:spacing w:line="240" w:lineRule="auto"/>
        <w:ind w:firstLine="720"/>
        <w:jc w:val="both"/>
        <w:rPr>
          <w:rFonts w:ascii="Arial" w:eastAsia="Arial" w:hAnsi="Arial" w:cs="Arial"/>
          <w:i/>
          <w:sz w:val="20"/>
          <w:szCs w:val="20"/>
        </w:rPr>
      </w:pPr>
    </w:p>
    <w:p w14:paraId="5BD8FBAE" w14:textId="434F7860" w:rsidR="002B57B9" w:rsidRDefault="009517D4">
      <w:pPr>
        <w:spacing w:line="240" w:lineRule="auto"/>
        <w:ind w:firstLine="720"/>
        <w:jc w:val="both"/>
        <w:rPr>
          <w:rFonts w:ascii="Arial" w:eastAsia="Arial" w:hAnsi="Arial" w:cs="Arial"/>
          <w:b/>
          <w:sz w:val="20"/>
          <w:szCs w:val="20"/>
        </w:rPr>
      </w:pPr>
      <w:r>
        <w:rPr>
          <w:rFonts w:ascii="Arial" w:eastAsia="Arial" w:hAnsi="Arial" w:cs="Arial"/>
          <w:b/>
          <w:sz w:val="20"/>
          <w:szCs w:val="20"/>
        </w:rPr>
        <w:t>Fig 3-</w:t>
      </w:r>
      <w:r w:rsidRPr="009517D4">
        <w:t xml:space="preserve"> </w:t>
      </w:r>
      <w:r w:rsidRPr="009517D4">
        <w:rPr>
          <w:rFonts w:ascii="Arial" w:eastAsia="Arial" w:hAnsi="Arial" w:cs="Arial"/>
          <w:b/>
          <w:sz w:val="20"/>
          <w:szCs w:val="20"/>
        </w:rPr>
        <w:t xml:space="preserve">Emergent themes, Categories and codes on </w:t>
      </w:r>
      <w:r>
        <w:rPr>
          <w:rFonts w:ascii="Arial" w:eastAsia="Arial" w:hAnsi="Arial" w:cs="Arial"/>
          <w:b/>
          <w:sz w:val="20"/>
          <w:szCs w:val="20"/>
        </w:rPr>
        <w:t>shortcomings do employers find in</w:t>
      </w:r>
      <w:r w:rsidRPr="009517D4">
        <w:rPr>
          <w:rFonts w:ascii="Arial" w:eastAsia="Arial" w:hAnsi="Arial" w:cs="Arial"/>
          <w:b/>
          <w:sz w:val="20"/>
          <w:szCs w:val="20"/>
        </w:rPr>
        <w:t xml:space="preserve"> </w:t>
      </w:r>
      <w:r>
        <w:rPr>
          <w:rFonts w:ascii="Arial" w:eastAsia="Arial" w:hAnsi="Arial" w:cs="Arial"/>
          <w:b/>
          <w:sz w:val="20"/>
          <w:szCs w:val="20"/>
        </w:rPr>
        <w:t xml:space="preserve">the </w:t>
      </w:r>
      <w:r w:rsidRPr="009517D4">
        <w:rPr>
          <w:rFonts w:ascii="Arial" w:eastAsia="Arial" w:hAnsi="Arial" w:cs="Arial"/>
          <w:b/>
          <w:sz w:val="20"/>
          <w:szCs w:val="20"/>
        </w:rPr>
        <w:t>Skills</w:t>
      </w:r>
      <w:r>
        <w:rPr>
          <w:rFonts w:ascii="Arial" w:eastAsia="Arial" w:hAnsi="Arial" w:cs="Arial"/>
          <w:b/>
          <w:sz w:val="20"/>
          <w:szCs w:val="20"/>
        </w:rPr>
        <w:t xml:space="preserve">, knowledge and attitudes of TVL students during their </w:t>
      </w:r>
      <w:proofErr w:type="gramStart"/>
      <w:r>
        <w:rPr>
          <w:rFonts w:ascii="Arial" w:eastAsia="Arial" w:hAnsi="Arial" w:cs="Arial"/>
          <w:b/>
          <w:sz w:val="20"/>
          <w:szCs w:val="20"/>
        </w:rPr>
        <w:t>On</w:t>
      </w:r>
      <w:proofErr w:type="gramEnd"/>
      <w:r>
        <w:rPr>
          <w:rFonts w:ascii="Arial" w:eastAsia="Arial" w:hAnsi="Arial" w:cs="Arial"/>
          <w:b/>
          <w:sz w:val="20"/>
          <w:szCs w:val="20"/>
        </w:rPr>
        <w:t xml:space="preserve"> the-Job training</w:t>
      </w:r>
    </w:p>
    <w:p w14:paraId="2E3C3035" w14:textId="77777777" w:rsidR="002B57B9" w:rsidRDefault="00193F43">
      <w:pPr>
        <w:spacing w:line="240" w:lineRule="auto"/>
        <w:ind w:firstLine="720"/>
        <w:jc w:val="both"/>
        <w:rPr>
          <w:rFonts w:ascii="Arial" w:eastAsia="Arial" w:hAnsi="Arial" w:cs="Arial"/>
          <w:b/>
          <w:sz w:val="20"/>
          <w:szCs w:val="20"/>
        </w:rPr>
      </w:pPr>
      <w:r>
        <w:rPr>
          <w:rFonts w:ascii="Arial" w:eastAsia="Arial" w:hAnsi="Arial" w:cs="Arial"/>
          <w:b/>
          <w:sz w:val="20"/>
          <w:szCs w:val="20"/>
        </w:rPr>
        <w:t xml:space="preserve">Theme 1: Skill and </w:t>
      </w:r>
      <w:r>
        <w:rPr>
          <w:rFonts w:ascii="Arial" w:eastAsia="Arial" w:hAnsi="Arial" w:cs="Arial"/>
          <w:b/>
          <w:sz w:val="20"/>
          <w:szCs w:val="20"/>
        </w:rPr>
        <w:t>knowledge gap</w:t>
      </w:r>
    </w:p>
    <w:p w14:paraId="56122D9B" w14:textId="554718BE" w:rsidR="002B57B9" w:rsidRDefault="00193F43">
      <w:pPr>
        <w:spacing w:line="240" w:lineRule="auto"/>
        <w:ind w:firstLine="720"/>
        <w:jc w:val="both"/>
        <w:rPr>
          <w:rFonts w:ascii="Arial" w:eastAsia="Arial" w:hAnsi="Arial" w:cs="Arial"/>
          <w:b/>
          <w:sz w:val="20"/>
          <w:szCs w:val="20"/>
        </w:rPr>
      </w:pPr>
      <w:r>
        <w:rPr>
          <w:rFonts w:ascii="Arial" w:eastAsia="Arial" w:hAnsi="Arial" w:cs="Arial"/>
          <w:sz w:val="20"/>
          <w:szCs w:val="20"/>
        </w:rPr>
        <w:t xml:space="preserve">The skills and knowledge dilemma </w:t>
      </w:r>
      <w:proofErr w:type="gramStart"/>
      <w:r>
        <w:rPr>
          <w:rFonts w:ascii="Arial" w:eastAsia="Arial" w:hAnsi="Arial" w:cs="Arial"/>
          <w:sz w:val="20"/>
          <w:szCs w:val="20"/>
        </w:rPr>
        <w:t>continues</w:t>
      </w:r>
      <w:proofErr w:type="gramEnd"/>
      <w:r>
        <w:rPr>
          <w:rFonts w:ascii="Arial" w:eastAsia="Arial" w:hAnsi="Arial" w:cs="Arial"/>
          <w:sz w:val="20"/>
          <w:szCs w:val="20"/>
        </w:rPr>
        <w:t xml:space="preserve"> to be an issue of concern in organizations and organizations calling for graduates with specialized competencies.</w:t>
      </w:r>
      <w:r w:rsidR="00A14195">
        <w:rPr>
          <w:rFonts w:ascii="Arial" w:eastAsia="Arial" w:hAnsi="Arial" w:cs="Arial"/>
          <w:sz w:val="20"/>
          <w:szCs w:val="20"/>
        </w:rPr>
        <w:t xml:space="preserve"> </w:t>
      </w:r>
      <w:r>
        <w:rPr>
          <w:rFonts w:ascii="Arial" w:eastAsia="Arial" w:hAnsi="Arial" w:cs="Arial"/>
          <w:sz w:val="20"/>
          <w:szCs w:val="20"/>
        </w:rPr>
        <w:t>Two (2) categories have emerged under this theme: 1</w:t>
      </w:r>
      <w:r w:rsidR="00A14195">
        <w:rPr>
          <w:rFonts w:ascii="Arial" w:eastAsia="Arial" w:hAnsi="Arial" w:cs="Arial"/>
          <w:sz w:val="20"/>
          <w:szCs w:val="20"/>
        </w:rPr>
        <w:t>) Skill and experience gap, 2</w:t>
      </w:r>
      <w:r>
        <w:rPr>
          <w:rFonts w:ascii="Arial" w:eastAsia="Arial" w:hAnsi="Arial" w:cs="Arial"/>
          <w:sz w:val="20"/>
          <w:szCs w:val="20"/>
        </w:rPr>
        <w:t>) Kno</w:t>
      </w:r>
      <w:r>
        <w:rPr>
          <w:rFonts w:ascii="Arial" w:eastAsia="Arial" w:hAnsi="Arial" w:cs="Arial"/>
          <w:sz w:val="20"/>
          <w:szCs w:val="20"/>
        </w:rPr>
        <w:t>wledge and skill gap.</w:t>
      </w:r>
    </w:p>
    <w:p w14:paraId="126C70AC" w14:textId="77777777" w:rsidR="002B57B9" w:rsidRDefault="002B57B9">
      <w:pPr>
        <w:spacing w:line="240" w:lineRule="auto"/>
        <w:ind w:firstLine="720"/>
        <w:jc w:val="both"/>
        <w:rPr>
          <w:rFonts w:ascii="Arial" w:eastAsia="Arial" w:hAnsi="Arial" w:cs="Arial"/>
          <w:b/>
          <w:sz w:val="20"/>
          <w:szCs w:val="20"/>
        </w:rPr>
      </w:pPr>
    </w:p>
    <w:p w14:paraId="652B3665" w14:textId="77777777" w:rsidR="002B57B9" w:rsidRDefault="00193F43">
      <w:pPr>
        <w:spacing w:line="240" w:lineRule="auto"/>
        <w:ind w:firstLine="720"/>
        <w:jc w:val="both"/>
        <w:rPr>
          <w:rFonts w:ascii="Arial" w:eastAsia="Arial" w:hAnsi="Arial" w:cs="Arial"/>
          <w:sz w:val="20"/>
          <w:szCs w:val="20"/>
        </w:rPr>
      </w:pPr>
      <w:r>
        <w:rPr>
          <w:rFonts w:ascii="Arial" w:eastAsia="Arial" w:hAnsi="Arial" w:cs="Arial"/>
          <w:b/>
          <w:sz w:val="20"/>
          <w:szCs w:val="20"/>
        </w:rPr>
        <w:t>Category 1: Skill and experience gap</w:t>
      </w:r>
    </w:p>
    <w:p w14:paraId="45D2BE92" w14:textId="6710F230" w:rsidR="002B57B9" w:rsidRDefault="00193F43">
      <w:pPr>
        <w:spacing w:before="240" w:after="240" w:line="240" w:lineRule="auto"/>
        <w:ind w:firstLine="720"/>
        <w:jc w:val="both"/>
        <w:rPr>
          <w:rFonts w:ascii="Arial" w:eastAsia="Arial" w:hAnsi="Arial" w:cs="Arial"/>
          <w:sz w:val="20"/>
          <w:szCs w:val="20"/>
        </w:rPr>
      </w:pPr>
      <w:r>
        <w:rPr>
          <w:rFonts w:ascii="Arial" w:eastAsia="Arial" w:hAnsi="Arial" w:cs="Arial"/>
          <w:sz w:val="20"/>
          <w:szCs w:val="20"/>
        </w:rPr>
        <w:t xml:space="preserve">One challenge student experience in their education transition process is the effort to bring theory learned in the classroom to practice in the workplace, which comes as a difficult task in the </w:t>
      </w:r>
      <w:r>
        <w:rPr>
          <w:rFonts w:ascii="Arial" w:eastAsia="Arial" w:hAnsi="Arial" w:cs="Arial"/>
          <w:sz w:val="20"/>
          <w:szCs w:val="20"/>
        </w:rPr>
        <w:t>Technical-Vocational Livelihood (TVL) offer.</w:t>
      </w:r>
      <w:r w:rsidR="00C23CE3">
        <w:rPr>
          <w:rFonts w:ascii="Arial" w:eastAsia="Arial" w:hAnsi="Arial" w:cs="Arial"/>
          <w:sz w:val="20"/>
          <w:szCs w:val="20"/>
        </w:rPr>
        <w:t xml:space="preserve"> </w:t>
      </w:r>
      <w:r>
        <w:rPr>
          <w:rFonts w:ascii="Arial" w:eastAsia="Arial" w:hAnsi="Arial" w:cs="Arial"/>
          <w:sz w:val="20"/>
          <w:szCs w:val="20"/>
        </w:rPr>
        <w:t>This category has four (4) codes: 1.) Insufficient exposure to industry, 2.)  Lack of communication skills 3.)  Industry exposure 4.) Hands-on experience.</w:t>
      </w:r>
    </w:p>
    <w:p w14:paraId="40E5C6DF" w14:textId="77777777" w:rsidR="002B57B9" w:rsidRDefault="002B57B9">
      <w:pPr>
        <w:spacing w:before="240" w:after="240" w:line="240" w:lineRule="auto"/>
        <w:ind w:firstLine="720"/>
        <w:jc w:val="both"/>
        <w:rPr>
          <w:rFonts w:ascii="Arial" w:eastAsia="Arial" w:hAnsi="Arial" w:cs="Arial"/>
          <w:sz w:val="20"/>
          <w:szCs w:val="20"/>
        </w:rPr>
      </w:pPr>
    </w:p>
    <w:p w14:paraId="4A0B3F10" w14:textId="77777777" w:rsidR="002B57B9" w:rsidRDefault="00193F43">
      <w:pPr>
        <w:spacing w:before="240" w:after="240" w:line="240" w:lineRule="auto"/>
        <w:ind w:firstLine="720"/>
        <w:jc w:val="both"/>
        <w:rPr>
          <w:rFonts w:ascii="Arial" w:eastAsia="Arial" w:hAnsi="Arial" w:cs="Arial"/>
          <w:sz w:val="20"/>
          <w:szCs w:val="20"/>
        </w:rPr>
      </w:pPr>
      <w:r>
        <w:rPr>
          <w:rFonts w:ascii="Arial" w:eastAsia="Arial" w:hAnsi="Arial" w:cs="Arial"/>
          <w:b/>
          <w:sz w:val="20"/>
          <w:szCs w:val="20"/>
        </w:rPr>
        <w:t>Insufficient exposure to industry</w:t>
      </w:r>
    </w:p>
    <w:p w14:paraId="2C7F31CA" w14:textId="04110095" w:rsidR="002B57B9" w:rsidRDefault="00193F43">
      <w:pPr>
        <w:spacing w:before="240" w:after="240" w:line="240" w:lineRule="auto"/>
        <w:ind w:firstLine="720"/>
        <w:jc w:val="both"/>
        <w:rPr>
          <w:rFonts w:ascii="Arial" w:eastAsia="Arial" w:hAnsi="Arial" w:cs="Arial"/>
          <w:sz w:val="20"/>
          <w:szCs w:val="20"/>
        </w:rPr>
      </w:pPr>
      <w:r>
        <w:rPr>
          <w:rFonts w:ascii="Arial" w:eastAsia="Arial" w:hAnsi="Arial" w:cs="Arial"/>
          <w:sz w:val="20"/>
          <w:szCs w:val="20"/>
        </w:rPr>
        <w:t xml:space="preserve">Students in </w:t>
      </w:r>
      <w:r>
        <w:rPr>
          <w:rFonts w:ascii="Arial" w:eastAsia="Arial" w:hAnsi="Arial" w:cs="Arial"/>
          <w:sz w:val="20"/>
          <w:szCs w:val="20"/>
        </w:rPr>
        <w:t>Technical-Vocational Livelihood (TVL) agriculture programs encounter substantial challenges due to limited exposure to the industry, which hampers their ability to translate theoretical knowledge into practical farming applications. This deficiency in hand</w:t>
      </w:r>
      <w:r>
        <w:rPr>
          <w:rFonts w:ascii="Arial" w:eastAsia="Arial" w:hAnsi="Arial" w:cs="Arial"/>
          <w:sz w:val="20"/>
          <w:szCs w:val="20"/>
        </w:rPr>
        <w:t>s-on experience leads to difficulties in managing farm operations, implementing sustainable practices, and using contemporary farming equipment. The rapid pace of technological development further complicates access to training for students who lack proper</w:t>
      </w:r>
      <w:r>
        <w:rPr>
          <w:rFonts w:ascii="Arial" w:eastAsia="Arial" w:hAnsi="Arial" w:cs="Arial"/>
          <w:sz w:val="20"/>
          <w:szCs w:val="20"/>
        </w:rPr>
        <w:t xml:space="preserve"> qualifications and resources (</w:t>
      </w:r>
      <w:proofErr w:type="spellStart"/>
      <w:r>
        <w:rPr>
          <w:rFonts w:ascii="Arial" w:eastAsia="Arial" w:hAnsi="Arial" w:cs="Arial"/>
          <w:sz w:val="20"/>
          <w:szCs w:val="20"/>
        </w:rPr>
        <w:t>Fakunle</w:t>
      </w:r>
      <w:proofErr w:type="spellEnd"/>
      <w:r>
        <w:rPr>
          <w:rFonts w:ascii="Arial" w:eastAsia="Arial" w:hAnsi="Arial" w:cs="Arial"/>
          <w:sz w:val="20"/>
          <w:szCs w:val="20"/>
        </w:rPr>
        <w:t xml:space="preserve"> et al., 2022). Experiential learning in educational programs connects theoretical knowledge with practical application, preparing students with skills relevant to the workplace (</w:t>
      </w:r>
      <w:proofErr w:type="spellStart"/>
      <w:r>
        <w:rPr>
          <w:rFonts w:ascii="Arial" w:eastAsia="Arial" w:hAnsi="Arial" w:cs="Arial"/>
          <w:sz w:val="20"/>
          <w:szCs w:val="20"/>
        </w:rPr>
        <w:t>Villarroel</w:t>
      </w:r>
      <w:proofErr w:type="spellEnd"/>
      <w:r>
        <w:rPr>
          <w:rFonts w:ascii="Arial" w:eastAsia="Arial" w:hAnsi="Arial" w:cs="Arial"/>
          <w:sz w:val="20"/>
          <w:szCs w:val="20"/>
        </w:rPr>
        <w:t xml:space="preserve"> et al., 2020). The lack of i</w:t>
      </w:r>
      <w:r>
        <w:rPr>
          <w:rFonts w:ascii="Arial" w:eastAsia="Arial" w:hAnsi="Arial" w:cs="Arial"/>
          <w:sz w:val="20"/>
          <w:szCs w:val="20"/>
        </w:rPr>
        <w:t xml:space="preserve">ndustry exposure may be due to several factors, </w:t>
      </w:r>
      <w:r>
        <w:rPr>
          <w:rFonts w:ascii="Arial" w:eastAsia="Arial" w:hAnsi="Arial" w:cs="Arial"/>
          <w:sz w:val="20"/>
          <w:szCs w:val="20"/>
        </w:rPr>
        <w:lastRenderedPageBreak/>
        <w:t>including restricted access to training programs, inadequate resources, and limited opportunities for real-world applications.</w:t>
      </w:r>
      <w:r w:rsidR="007B00C8">
        <w:rPr>
          <w:rFonts w:ascii="Arial" w:eastAsia="Arial" w:hAnsi="Arial" w:cs="Arial"/>
          <w:sz w:val="20"/>
          <w:szCs w:val="20"/>
        </w:rPr>
        <w:t xml:space="preserve"> This was confirmed by (IDI_</w:t>
      </w:r>
      <w:r w:rsidR="00D11FE7">
        <w:rPr>
          <w:rFonts w:ascii="Arial" w:eastAsia="Arial" w:hAnsi="Arial" w:cs="Arial"/>
          <w:sz w:val="20"/>
          <w:szCs w:val="20"/>
        </w:rPr>
        <w:t>KI1 &amp; IDI_KI2</w:t>
      </w:r>
      <w:r w:rsidR="007B00C8">
        <w:rPr>
          <w:rFonts w:ascii="Arial" w:eastAsia="Arial" w:hAnsi="Arial" w:cs="Arial"/>
          <w:sz w:val="20"/>
          <w:szCs w:val="20"/>
        </w:rPr>
        <w:t>)</w:t>
      </w:r>
    </w:p>
    <w:p w14:paraId="26A5D838" w14:textId="77777777" w:rsidR="002B57B9" w:rsidRDefault="002B57B9">
      <w:pPr>
        <w:spacing w:before="240" w:after="240" w:line="240" w:lineRule="auto"/>
        <w:ind w:firstLine="720"/>
        <w:jc w:val="both"/>
        <w:rPr>
          <w:rFonts w:ascii="Arial" w:eastAsia="Arial" w:hAnsi="Arial" w:cs="Arial"/>
          <w:sz w:val="20"/>
          <w:szCs w:val="20"/>
        </w:rPr>
      </w:pPr>
    </w:p>
    <w:p w14:paraId="43649AE9" w14:textId="77777777" w:rsidR="002B57B9" w:rsidRDefault="00193F43">
      <w:pPr>
        <w:spacing w:before="240" w:after="240" w:line="240" w:lineRule="auto"/>
        <w:ind w:firstLine="720"/>
        <w:jc w:val="both"/>
        <w:rPr>
          <w:rFonts w:ascii="Arial" w:eastAsia="Arial" w:hAnsi="Arial" w:cs="Arial"/>
          <w:b/>
          <w:sz w:val="20"/>
          <w:szCs w:val="20"/>
        </w:rPr>
      </w:pPr>
      <w:r>
        <w:rPr>
          <w:rFonts w:ascii="Arial" w:eastAsia="Arial" w:hAnsi="Arial" w:cs="Arial"/>
          <w:b/>
          <w:sz w:val="20"/>
          <w:szCs w:val="20"/>
        </w:rPr>
        <w:t xml:space="preserve">Lack of Technical Skills </w:t>
      </w:r>
    </w:p>
    <w:p w14:paraId="265ABA94" w14:textId="7D42ABDE" w:rsidR="002B57B9" w:rsidRDefault="00193F43">
      <w:pPr>
        <w:spacing w:before="240" w:after="240" w:line="240" w:lineRule="auto"/>
        <w:ind w:firstLine="720"/>
        <w:jc w:val="both"/>
        <w:rPr>
          <w:rFonts w:ascii="Arial" w:eastAsia="Arial" w:hAnsi="Arial" w:cs="Arial"/>
          <w:sz w:val="20"/>
          <w:szCs w:val="20"/>
        </w:rPr>
      </w:pPr>
      <w:r>
        <w:rPr>
          <w:rFonts w:ascii="Arial" w:eastAsia="Arial" w:hAnsi="Arial" w:cs="Arial"/>
          <w:sz w:val="20"/>
          <w:szCs w:val="20"/>
        </w:rPr>
        <w:t>Numerous emp</w:t>
      </w:r>
      <w:r>
        <w:rPr>
          <w:rFonts w:ascii="Arial" w:eastAsia="Arial" w:hAnsi="Arial" w:cs="Arial"/>
          <w:sz w:val="20"/>
          <w:szCs w:val="20"/>
        </w:rPr>
        <w:t>loyers have observed a notable</w:t>
      </w:r>
      <w:r w:rsidR="00C23CE3">
        <w:rPr>
          <w:rFonts w:ascii="Arial" w:eastAsia="Arial" w:hAnsi="Arial" w:cs="Arial"/>
          <w:sz w:val="20"/>
          <w:szCs w:val="20"/>
        </w:rPr>
        <w:t xml:space="preserve"> gap</w:t>
      </w:r>
      <w:r>
        <w:rPr>
          <w:rFonts w:ascii="Arial" w:eastAsia="Arial" w:hAnsi="Arial" w:cs="Arial"/>
          <w:sz w:val="20"/>
          <w:szCs w:val="20"/>
        </w:rPr>
        <w:t xml:space="preserve"> in Technical-Vocational Livelihood (TVL) students during their On-the-Job Training (OJT), specifically, a gap in technical skills. This shortcoming is especially apparent in their capability to effectively utilize various</w:t>
      </w:r>
      <w:r>
        <w:rPr>
          <w:rFonts w:ascii="Arial" w:eastAsia="Arial" w:hAnsi="Arial" w:cs="Arial"/>
          <w:sz w:val="20"/>
          <w:szCs w:val="20"/>
        </w:rPr>
        <w:t xml:space="preserve"> tools, equipment, and technologies, which is essential for their success in the job market. This</w:t>
      </w:r>
      <w:r w:rsidR="00C23CE3">
        <w:rPr>
          <w:rFonts w:ascii="Arial" w:eastAsia="Arial" w:hAnsi="Arial" w:cs="Arial"/>
          <w:sz w:val="20"/>
          <w:szCs w:val="20"/>
        </w:rPr>
        <w:t xml:space="preserve"> gap</w:t>
      </w:r>
      <w:r>
        <w:rPr>
          <w:rFonts w:ascii="Arial" w:eastAsia="Arial" w:hAnsi="Arial" w:cs="Arial"/>
          <w:sz w:val="20"/>
          <w:szCs w:val="20"/>
        </w:rPr>
        <w:t xml:space="preserve"> can be observed from their reduced engagement in the technical processes of their work and their inability to perform some procedures that need precision </w:t>
      </w:r>
      <w:r>
        <w:rPr>
          <w:rFonts w:ascii="Arial" w:eastAsia="Arial" w:hAnsi="Arial" w:cs="Arial"/>
          <w:sz w:val="20"/>
          <w:szCs w:val="20"/>
        </w:rPr>
        <w:t>and a direct understanding of their work, for example, choosing leaves, scions, and rootstocks. Lack of skills in the workforce negatively impacts productivity and competitiveness, emphasizing the need for reforms in technical and vocational education (Kha</w:t>
      </w:r>
      <w:r>
        <w:rPr>
          <w:rFonts w:ascii="Arial" w:eastAsia="Arial" w:hAnsi="Arial" w:cs="Arial"/>
          <w:sz w:val="20"/>
          <w:szCs w:val="20"/>
        </w:rPr>
        <w:t xml:space="preserve">n et al., 2018). </w:t>
      </w:r>
      <w:r w:rsidR="00D11FE7">
        <w:rPr>
          <w:rFonts w:ascii="Arial" w:eastAsia="Arial" w:hAnsi="Arial" w:cs="Arial"/>
          <w:sz w:val="20"/>
          <w:szCs w:val="20"/>
        </w:rPr>
        <w:t>This was confirmed by (IDI_KI1 &amp; IDI_KI3)</w:t>
      </w:r>
    </w:p>
    <w:p w14:paraId="0132625C" w14:textId="77777777" w:rsidR="00C23CE3" w:rsidRDefault="00C23CE3">
      <w:pPr>
        <w:spacing w:before="240" w:after="240" w:line="240" w:lineRule="auto"/>
        <w:ind w:firstLine="720"/>
        <w:jc w:val="both"/>
        <w:rPr>
          <w:rFonts w:ascii="Arial" w:eastAsia="Arial" w:hAnsi="Arial" w:cs="Arial"/>
          <w:sz w:val="20"/>
          <w:szCs w:val="20"/>
        </w:rPr>
      </w:pPr>
    </w:p>
    <w:p w14:paraId="01B478B7" w14:textId="77777777" w:rsidR="002B57B9" w:rsidRDefault="00193F43">
      <w:pPr>
        <w:spacing w:before="240" w:after="240" w:line="240" w:lineRule="auto"/>
        <w:ind w:firstLine="720"/>
        <w:jc w:val="both"/>
        <w:rPr>
          <w:rFonts w:ascii="Arial" w:eastAsia="Arial" w:hAnsi="Arial" w:cs="Arial"/>
          <w:b/>
          <w:sz w:val="20"/>
          <w:szCs w:val="20"/>
        </w:rPr>
      </w:pPr>
      <w:r>
        <w:rPr>
          <w:rFonts w:ascii="Arial" w:eastAsia="Arial" w:hAnsi="Arial" w:cs="Arial"/>
          <w:b/>
          <w:sz w:val="20"/>
          <w:szCs w:val="20"/>
        </w:rPr>
        <w:t>Industry Exposure</w:t>
      </w:r>
    </w:p>
    <w:p w14:paraId="08EE0094" w14:textId="608B1CBC" w:rsidR="002B57B9" w:rsidRDefault="00193F43">
      <w:pPr>
        <w:spacing w:before="240" w:after="240" w:line="240" w:lineRule="auto"/>
        <w:jc w:val="both"/>
        <w:rPr>
          <w:rFonts w:ascii="Arial" w:eastAsia="Arial" w:hAnsi="Arial" w:cs="Arial"/>
          <w:sz w:val="20"/>
          <w:szCs w:val="20"/>
        </w:rPr>
      </w:pPr>
      <w:r>
        <w:rPr>
          <w:rFonts w:ascii="Arial" w:eastAsia="Arial" w:hAnsi="Arial" w:cs="Arial"/>
          <w:sz w:val="20"/>
          <w:szCs w:val="20"/>
        </w:rPr>
        <w:tab/>
        <w:t>Industrial exposure and training are vital for fostering employability skills and professional expertise among Technical-Vocational Livelihood (TVL) students. The practical expe</w:t>
      </w:r>
      <w:r>
        <w:rPr>
          <w:rFonts w:ascii="Arial" w:eastAsia="Arial" w:hAnsi="Arial" w:cs="Arial"/>
          <w:sz w:val="20"/>
          <w:szCs w:val="20"/>
        </w:rPr>
        <w:t xml:space="preserve">rience in the industry significantly enhances the employability skills of Technical-Vocational Livelihood (TVL) undergraduates. Okoye and </w:t>
      </w:r>
      <w:proofErr w:type="spellStart"/>
      <w:r>
        <w:rPr>
          <w:rFonts w:ascii="Arial" w:eastAsia="Arial" w:hAnsi="Arial" w:cs="Arial"/>
          <w:sz w:val="20"/>
          <w:szCs w:val="20"/>
        </w:rPr>
        <w:t>Edokpolor</w:t>
      </w:r>
      <w:proofErr w:type="spellEnd"/>
      <w:r>
        <w:rPr>
          <w:rFonts w:ascii="Arial" w:eastAsia="Arial" w:hAnsi="Arial" w:cs="Arial"/>
          <w:sz w:val="20"/>
          <w:szCs w:val="20"/>
        </w:rPr>
        <w:t xml:space="preserve"> (2021) stressed the significance of industry engagement in education, arguing that such collaborations are e</w:t>
      </w:r>
      <w:r>
        <w:rPr>
          <w:rFonts w:ascii="Arial" w:eastAsia="Arial" w:hAnsi="Arial" w:cs="Arial"/>
          <w:sz w:val="20"/>
          <w:szCs w:val="20"/>
        </w:rPr>
        <w:t>ssential in preparing students with the competencies required for career success. The Philippine technical vocational education and training system shall ensure the quality of community-based training to make it more relevant to industry needs (</w:t>
      </w:r>
      <w:proofErr w:type="spellStart"/>
      <w:r>
        <w:rPr>
          <w:rFonts w:ascii="Arial" w:eastAsia="Arial" w:hAnsi="Arial" w:cs="Arial"/>
          <w:sz w:val="20"/>
          <w:szCs w:val="20"/>
        </w:rPr>
        <w:t>Orbeta</w:t>
      </w:r>
      <w:proofErr w:type="spellEnd"/>
      <w:r>
        <w:rPr>
          <w:rFonts w:ascii="Arial" w:eastAsia="Arial" w:hAnsi="Arial" w:cs="Arial"/>
          <w:sz w:val="20"/>
          <w:szCs w:val="20"/>
        </w:rPr>
        <w:t xml:space="preserve"> &amp; Es</w:t>
      </w:r>
      <w:r>
        <w:rPr>
          <w:rFonts w:ascii="Arial" w:eastAsia="Arial" w:hAnsi="Arial" w:cs="Arial"/>
          <w:sz w:val="20"/>
          <w:szCs w:val="20"/>
        </w:rPr>
        <w:t>guerra, 2016).</w:t>
      </w:r>
      <w:r w:rsidR="00D11FE7">
        <w:rPr>
          <w:rFonts w:ascii="Arial" w:eastAsia="Arial" w:hAnsi="Arial" w:cs="Arial"/>
          <w:sz w:val="20"/>
          <w:szCs w:val="20"/>
        </w:rPr>
        <w:t xml:space="preserve"> This was confirmed by (IDI_KI1 &amp; IDI_KI3)</w:t>
      </w:r>
    </w:p>
    <w:p w14:paraId="2D98E19C" w14:textId="77777777" w:rsidR="002B57B9" w:rsidRDefault="002B57B9">
      <w:pPr>
        <w:spacing w:after="0" w:line="240" w:lineRule="auto"/>
        <w:ind w:firstLine="720"/>
        <w:jc w:val="both"/>
        <w:rPr>
          <w:rFonts w:ascii="Arial" w:eastAsia="Arial" w:hAnsi="Arial" w:cs="Arial"/>
          <w:sz w:val="20"/>
          <w:szCs w:val="20"/>
        </w:rPr>
      </w:pPr>
    </w:p>
    <w:p w14:paraId="5D13DC90" w14:textId="77777777" w:rsidR="002B57B9" w:rsidRDefault="00193F43">
      <w:pPr>
        <w:spacing w:after="0" w:line="240" w:lineRule="auto"/>
        <w:ind w:firstLine="720"/>
        <w:jc w:val="both"/>
        <w:rPr>
          <w:rFonts w:ascii="Arial" w:eastAsia="Arial" w:hAnsi="Arial" w:cs="Arial"/>
          <w:b/>
          <w:sz w:val="20"/>
          <w:szCs w:val="20"/>
        </w:rPr>
      </w:pPr>
      <w:r>
        <w:rPr>
          <w:rFonts w:ascii="Arial" w:eastAsia="Arial" w:hAnsi="Arial" w:cs="Arial"/>
          <w:b/>
          <w:sz w:val="20"/>
          <w:szCs w:val="20"/>
        </w:rPr>
        <w:t>Hands-on Experiences</w:t>
      </w:r>
    </w:p>
    <w:p w14:paraId="5E0170C7" w14:textId="02A99AA2" w:rsidR="002B57B9" w:rsidRDefault="00193F43">
      <w:pPr>
        <w:spacing w:before="240" w:after="240" w:line="240" w:lineRule="auto"/>
        <w:ind w:firstLine="720"/>
        <w:jc w:val="both"/>
        <w:rPr>
          <w:rFonts w:ascii="Arial" w:eastAsia="Arial" w:hAnsi="Arial" w:cs="Arial"/>
          <w:sz w:val="20"/>
          <w:szCs w:val="20"/>
        </w:rPr>
      </w:pPr>
      <w:r>
        <w:rPr>
          <w:rFonts w:ascii="Arial" w:eastAsia="Arial" w:hAnsi="Arial" w:cs="Arial"/>
          <w:sz w:val="20"/>
          <w:szCs w:val="20"/>
        </w:rPr>
        <w:t>Practical experience is vital for cultivating employability skills and professional proficiency among Technical-Vocational Livelihood (TVL) graduates. In agricultural education,</w:t>
      </w:r>
      <w:r>
        <w:rPr>
          <w:rFonts w:ascii="Arial" w:eastAsia="Arial" w:hAnsi="Arial" w:cs="Arial"/>
          <w:sz w:val="20"/>
          <w:szCs w:val="20"/>
        </w:rPr>
        <w:t xml:space="preserve"> hands-on lessons significantly improve students' abilities to engage in independent agricultural practices.</w:t>
      </w:r>
      <w:r w:rsidR="0095506C">
        <w:rPr>
          <w:rFonts w:ascii="Arial" w:eastAsia="Arial" w:hAnsi="Arial" w:cs="Arial"/>
          <w:sz w:val="20"/>
          <w:szCs w:val="20"/>
        </w:rPr>
        <w:t xml:space="preserve"> </w:t>
      </w:r>
      <w:r>
        <w:rPr>
          <w:rFonts w:ascii="Arial" w:eastAsia="Arial" w:hAnsi="Arial" w:cs="Arial"/>
          <w:sz w:val="20"/>
          <w:szCs w:val="20"/>
        </w:rPr>
        <w:t>Through involvement in experiential learning and forming connections rooted in practical applications, students can link the education they receive</w:t>
      </w:r>
      <w:r>
        <w:rPr>
          <w:rFonts w:ascii="Arial" w:eastAsia="Arial" w:hAnsi="Arial" w:cs="Arial"/>
          <w:sz w:val="20"/>
          <w:szCs w:val="20"/>
        </w:rPr>
        <w:t xml:space="preserve"> in the classroom with the challenges they face in the workplace. A shift from a traditional content-based approach to a more competency-based learning model allows students to gain hands-on experience and develop skills directly aligned with industry stan</w:t>
      </w:r>
      <w:r>
        <w:rPr>
          <w:rFonts w:ascii="Arial" w:eastAsia="Arial" w:hAnsi="Arial" w:cs="Arial"/>
          <w:sz w:val="20"/>
          <w:szCs w:val="20"/>
        </w:rPr>
        <w:t>dards (</w:t>
      </w:r>
      <w:proofErr w:type="spellStart"/>
      <w:r>
        <w:rPr>
          <w:rFonts w:ascii="Arial" w:eastAsia="Arial" w:hAnsi="Arial" w:cs="Arial"/>
          <w:sz w:val="20"/>
          <w:szCs w:val="20"/>
        </w:rPr>
        <w:t>Dizon</w:t>
      </w:r>
      <w:proofErr w:type="spellEnd"/>
      <w:r>
        <w:rPr>
          <w:rFonts w:ascii="Arial" w:eastAsia="Arial" w:hAnsi="Arial" w:cs="Arial"/>
          <w:sz w:val="20"/>
          <w:szCs w:val="20"/>
        </w:rPr>
        <w:t xml:space="preserve"> et al., 2019).</w:t>
      </w:r>
      <w:r w:rsidR="0095506C">
        <w:rPr>
          <w:rFonts w:ascii="Arial" w:eastAsia="Arial" w:hAnsi="Arial" w:cs="Arial"/>
          <w:sz w:val="20"/>
          <w:szCs w:val="20"/>
        </w:rPr>
        <w:t xml:space="preserve"> </w:t>
      </w:r>
      <w:r w:rsidR="00D11FE7">
        <w:rPr>
          <w:rFonts w:ascii="Arial" w:eastAsia="Arial" w:hAnsi="Arial" w:cs="Arial"/>
          <w:sz w:val="20"/>
          <w:szCs w:val="20"/>
        </w:rPr>
        <w:t>This was confirmed by (IDI_KI1 &amp; IDI_KI3)</w:t>
      </w:r>
    </w:p>
    <w:p w14:paraId="785074C8" w14:textId="77777777" w:rsidR="002B57B9" w:rsidRDefault="002B57B9">
      <w:pPr>
        <w:spacing w:line="240" w:lineRule="auto"/>
        <w:ind w:firstLine="720"/>
        <w:jc w:val="both"/>
        <w:rPr>
          <w:rFonts w:ascii="Arial" w:eastAsia="Arial" w:hAnsi="Arial" w:cs="Arial"/>
          <w:sz w:val="20"/>
          <w:szCs w:val="20"/>
        </w:rPr>
      </w:pPr>
    </w:p>
    <w:p w14:paraId="3F117F14" w14:textId="77777777" w:rsidR="006557AE" w:rsidRDefault="006557AE">
      <w:pPr>
        <w:spacing w:line="240" w:lineRule="auto"/>
        <w:ind w:firstLine="720"/>
        <w:jc w:val="both"/>
        <w:rPr>
          <w:rFonts w:ascii="Arial" w:eastAsia="Arial" w:hAnsi="Arial" w:cs="Arial"/>
          <w:sz w:val="20"/>
          <w:szCs w:val="20"/>
        </w:rPr>
      </w:pPr>
    </w:p>
    <w:p w14:paraId="41178A15" w14:textId="77777777" w:rsidR="00C56226" w:rsidRDefault="00C56226">
      <w:pPr>
        <w:spacing w:line="240" w:lineRule="auto"/>
        <w:ind w:firstLine="720"/>
        <w:jc w:val="both"/>
        <w:rPr>
          <w:rFonts w:ascii="Arial" w:eastAsia="Arial" w:hAnsi="Arial" w:cs="Arial"/>
          <w:sz w:val="20"/>
          <w:szCs w:val="20"/>
        </w:rPr>
      </w:pPr>
    </w:p>
    <w:p w14:paraId="419D0B7A" w14:textId="77777777" w:rsidR="002B57B9" w:rsidRDefault="00193F43">
      <w:pPr>
        <w:spacing w:line="240" w:lineRule="auto"/>
        <w:ind w:firstLine="720"/>
        <w:jc w:val="both"/>
        <w:rPr>
          <w:rFonts w:ascii="Arial" w:eastAsia="Arial" w:hAnsi="Arial" w:cs="Arial"/>
          <w:b/>
          <w:sz w:val="20"/>
          <w:szCs w:val="20"/>
        </w:rPr>
      </w:pPr>
      <w:r>
        <w:rPr>
          <w:rFonts w:ascii="Arial" w:eastAsia="Arial" w:hAnsi="Arial" w:cs="Arial"/>
          <w:b/>
          <w:sz w:val="20"/>
          <w:szCs w:val="20"/>
        </w:rPr>
        <w:t>Category 2: Knowledge and skill gap</w:t>
      </w:r>
    </w:p>
    <w:p w14:paraId="40CE13AC" w14:textId="2755BD0F" w:rsidR="002B57B9" w:rsidRDefault="00193F43">
      <w:pPr>
        <w:spacing w:before="240" w:after="240" w:line="240" w:lineRule="auto"/>
        <w:ind w:firstLine="720"/>
        <w:jc w:val="both"/>
        <w:rPr>
          <w:rFonts w:ascii="Arial" w:eastAsia="Arial" w:hAnsi="Arial" w:cs="Arial"/>
          <w:sz w:val="20"/>
          <w:szCs w:val="20"/>
        </w:rPr>
      </w:pPr>
      <w:r>
        <w:rPr>
          <w:rFonts w:ascii="Arial" w:eastAsia="Arial" w:hAnsi="Arial" w:cs="Arial"/>
          <w:sz w:val="20"/>
          <w:szCs w:val="20"/>
        </w:rPr>
        <w:t xml:space="preserve">Technical-Vocational Livelihood students often face challenges bridging the gap between theoretical knowledge and the technical skills required in </w:t>
      </w:r>
      <w:r>
        <w:rPr>
          <w:rFonts w:ascii="Arial" w:eastAsia="Arial" w:hAnsi="Arial" w:cs="Arial"/>
          <w:sz w:val="20"/>
          <w:szCs w:val="20"/>
        </w:rPr>
        <w:t>their chosen fields.</w:t>
      </w:r>
      <w:r w:rsidR="008D64EF">
        <w:rPr>
          <w:rFonts w:ascii="Arial" w:eastAsia="Arial" w:hAnsi="Arial" w:cs="Arial"/>
          <w:sz w:val="20"/>
          <w:szCs w:val="20"/>
        </w:rPr>
        <w:t xml:space="preserve"> </w:t>
      </w:r>
      <w:r>
        <w:rPr>
          <w:rFonts w:ascii="Arial" w:eastAsia="Arial" w:hAnsi="Arial" w:cs="Arial"/>
          <w:sz w:val="20"/>
          <w:szCs w:val="20"/>
        </w:rPr>
        <w:t>Without adequate hands-on experience, students may struggle to meet performance standards, highlighting the importance of aligning educational programs with industry requirements to build competence and confidence. This category genera</w:t>
      </w:r>
      <w:r>
        <w:rPr>
          <w:rFonts w:ascii="Arial" w:eastAsia="Arial" w:hAnsi="Arial" w:cs="Arial"/>
          <w:sz w:val="20"/>
          <w:szCs w:val="20"/>
        </w:rPr>
        <w:t>tes two (2) codes: 1.) Prior Knowledge 2.)  Lack of communication skills.</w:t>
      </w:r>
    </w:p>
    <w:p w14:paraId="3CD58AD8" w14:textId="77777777" w:rsidR="002B57B9" w:rsidRDefault="002B57B9">
      <w:pPr>
        <w:spacing w:before="240" w:after="240" w:line="240" w:lineRule="auto"/>
        <w:ind w:firstLine="720"/>
        <w:jc w:val="both"/>
        <w:rPr>
          <w:rFonts w:ascii="Arial" w:eastAsia="Arial" w:hAnsi="Arial" w:cs="Arial"/>
          <w:sz w:val="20"/>
          <w:szCs w:val="20"/>
        </w:rPr>
      </w:pPr>
    </w:p>
    <w:p w14:paraId="673C66BE" w14:textId="77777777" w:rsidR="002B57B9" w:rsidRDefault="00193F43">
      <w:pPr>
        <w:spacing w:before="240" w:after="240" w:line="240" w:lineRule="auto"/>
        <w:ind w:firstLine="720"/>
        <w:jc w:val="both"/>
        <w:rPr>
          <w:rFonts w:ascii="Arial" w:eastAsia="Arial" w:hAnsi="Arial" w:cs="Arial"/>
          <w:sz w:val="20"/>
          <w:szCs w:val="20"/>
        </w:rPr>
      </w:pPr>
      <w:r>
        <w:rPr>
          <w:rFonts w:ascii="Arial" w:eastAsia="Arial" w:hAnsi="Arial" w:cs="Arial"/>
          <w:b/>
          <w:sz w:val="20"/>
          <w:szCs w:val="20"/>
        </w:rPr>
        <w:lastRenderedPageBreak/>
        <w:t>Lack of communication skills</w:t>
      </w:r>
    </w:p>
    <w:p w14:paraId="133E84E8" w14:textId="5C59FD6E" w:rsidR="002B57B9" w:rsidRDefault="00193F43">
      <w:pPr>
        <w:spacing w:before="240" w:after="240" w:line="240" w:lineRule="auto"/>
        <w:ind w:firstLine="720"/>
        <w:jc w:val="both"/>
        <w:rPr>
          <w:rFonts w:ascii="Arial" w:eastAsia="Arial" w:hAnsi="Arial" w:cs="Arial"/>
          <w:sz w:val="20"/>
          <w:szCs w:val="20"/>
        </w:rPr>
      </w:pPr>
      <w:r>
        <w:rPr>
          <w:rFonts w:ascii="Arial" w:eastAsia="Arial" w:hAnsi="Arial" w:cs="Arial"/>
          <w:sz w:val="20"/>
          <w:szCs w:val="20"/>
        </w:rPr>
        <w:t xml:space="preserve">The industry has identified a considerable gap in communication abilities among on-the-job trainees and Technical Vocational Livelihood (TVL) students, </w:t>
      </w:r>
      <w:r>
        <w:rPr>
          <w:rFonts w:ascii="Arial" w:eastAsia="Arial" w:hAnsi="Arial" w:cs="Arial"/>
          <w:sz w:val="20"/>
          <w:szCs w:val="20"/>
        </w:rPr>
        <w:t xml:space="preserve">especially within technical-vocational-livelihood programs. A </w:t>
      </w:r>
      <w:r w:rsidR="008D64EF">
        <w:rPr>
          <w:rFonts w:ascii="Arial" w:eastAsia="Arial" w:hAnsi="Arial" w:cs="Arial"/>
          <w:sz w:val="20"/>
          <w:szCs w:val="20"/>
        </w:rPr>
        <w:t>gap</w:t>
      </w:r>
      <w:r>
        <w:rPr>
          <w:rFonts w:ascii="Arial" w:eastAsia="Arial" w:hAnsi="Arial" w:cs="Arial"/>
          <w:sz w:val="20"/>
          <w:szCs w:val="20"/>
        </w:rPr>
        <w:t xml:space="preserve"> in these communication skills results in misunderstandings, inefficiencies, and lost opportunities for learning from supervisors and colleagues.</w:t>
      </w:r>
      <w:r w:rsidR="008D64EF">
        <w:rPr>
          <w:rFonts w:ascii="Arial" w:eastAsia="Arial" w:hAnsi="Arial" w:cs="Arial"/>
          <w:sz w:val="20"/>
          <w:szCs w:val="20"/>
        </w:rPr>
        <w:t xml:space="preserve"> Stress negotiation, communication, and teamwork are skills necessary for logistics industry employees </w:t>
      </w:r>
      <w:r w:rsidR="008D64EF" w:rsidRPr="00682685">
        <w:rPr>
          <w:rFonts w:ascii="Arial" w:eastAsia="Arial" w:hAnsi="Arial" w:cs="Arial"/>
          <w:sz w:val="20"/>
          <w:szCs w:val="20"/>
        </w:rPr>
        <w:t>(</w:t>
      </w:r>
      <w:proofErr w:type="spellStart"/>
      <w:r w:rsidR="008D64EF" w:rsidRPr="00682685">
        <w:rPr>
          <w:rFonts w:ascii="Arial" w:eastAsia="Arial" w:hAnsi="Arial" w:cs="Arial"/>
          <w:sz w:val="20"/>
          <w:szCs w:val="20"/>
        </w:rPr>
        <w:t>Dwiyanti</w:t>
      </w:r>
      <w:proofErr w:type="spellEnd"/>
      <w:r w:rsidR="008D64EF" w:rsidRPr="00682685">
        <w:rPr>
          <w:rFonts w:ascii="Arial" w:eastAsia="Arial" w:hAnsi="Arial" w:cs="Arial"/>
          <w:sz w:val="20"/>
          <w:szCs w:val="20"/>
        </w:rPr>
        <w:t xml:space="preserve"> et al., 2021).</w:t>
      </w:r>
      <w:r w:rsidR="008D64EF">
        <w:rPr>
          <w:rFonts w:ascii="Arial" w:eastAsia="Arial" w:hAnsi="Arial" w:cs="Arial"/>
          <w:sz w:val="20"/>
          <w:szCs w:val="20"/>
        </w:rPr>
        <w:t xml:space="preserve"> </w:t>
      </w:r>
      <w:r>
        <w:rPr>
          <w:rFonts w:ascii="Arial" w:eastAsia="Arial" w:hAnsi="Arial" w:cs="Arial"/>
          <w:sz w:val="20"/>
          <w:szCs w:val="20"/>
        </w:rPr>
        <w:t xml:space="preserve">Furthermore, students frequently lack adequate practice in this domain, which hampers their ability to meet communication expectations in their future jobs. </w:t>
      </w:r>
      <w:r w:rsidR="00D11FE7">
        <w:rPr>
          <w:rFonts w:ascii="Arial" w:eastAsia="Arial" w:hAnsi="Arial" w:cs="Arial"/>
          <w:sz w:val="20"/>
          <w:szCs w:val="20"/>
        </w:rPr>
        <w:t>This was confirmed by (IDI_KI1 &amp; IDI_KI3)</w:t>
      </w:r>
    </w:p>
    <w:p w14:paraId="607D71C0" w14:textId="77777777" w:rsidR="002B57B9" w:rsidRDefault="002B57B9">
      <w:pPr>
        <w:spacing w:before="240" w:after="240" w:line="240" w:lineRule="auto"/>
        <w:ind w:firstLine="720"/>
        <w:jc w:val="both"/>
        <w:rPr>
          <w:rFonts w:ascii="Arial" w:eastAsia="Arial" w:hAnsi="Arial" w:cs="Arial"/>
          <w:sz w:val="20"/>
          <w:szCs w:val="20"/>
        </w:rPr>
      </w:pPr>
    </w:p>
    <w:p w14:paraId="4781B8CD" w14:textId="77777777" w:rsidR="002B57B9" w:rsidRDefault="00193F43">
      <w:pPr>
        <w:spacing w:before="240" w:after="240" w:line="240" w:lineRule="auto"/>
        <w:ind w:firstLine="720"/>
        <w:jc w:val="both"/>
        <w:rPr>
          <w:rFonts w:ascii="Arial" w:eastAsia="Arial" w:hAnsi="Arial" w:cs="Arial"/>
          <w:b/>
          <w:sz w:val="20"/>
          <w:szCs w:val="20"/>
        </w:rPr>
      </w:pPr>
      <w:r>
        <w:rPr>
          <w:rFonts w:ascii="Arial" w:eastAsia="Arial" w:hAnsi="Arial" w:cs="Arial"/>
          <w:b/>
          <w:sz w:val="20"/>
          <w:szCs w:val="20"/>
        </w:rPr>
        <w:t>Prior Knowledge</w:t>
      </w:r>
    </w:p>
    <w:p w14:paraId="682378C7" w14:textId="50E086E8" w:rsidR="00D11FE7" w:rsidRDefault="008D64EF" w:rsidP="00264C2A">
      <w:pPr>
        <w:spacing w:before="240" w:after="240" w:line="240" w:lineRule="auto"/>
        <w:ind w:firstLine="720"/>
        <w:jc w:val="both"/>
        <w:rPr>
          <w:rFonts w:ascii="Arial" w:eastAsia="Arial" w:hAnsi="Arial" w:cs="Arial"/>
          <w:sz w:val="20"/>
          <w:szCs w:val="20"/>
        </w:rPr>
      </w:pPr>
      <w:r>
        <w:rPr>
          <w:rFonts w:ascii="Arial" w:eastAsia="Arial" w:hAnsi="Arial" w:cs="Arial"/>
          <w:sz w:val="20"/>
          <w:szCs w:val="20"/>
        </w:rPr>
        <w:t>Prior knowledge is essential for graduates of Technical-Vocational-Livelihood (TVL) programs, especially within the agriculture sector. This expertise is vital for a smooth transition from being a student to entering the workforce, as employers prioritize knowledge and skills. Nevertheless, skills are particularly critical because they facilitate a more seamless integration into specialized positions within the industry. Students with a background in agriculture are better prepared to tackle complex topics and demonstrate increased agricultural literacy, which aligns with the idea that prior knowledge serves as a critical foundation for further technical training and hands-on experiences in the field (Cosby et al., 2022).</w:t>
      </w:r>
      <w:r w:rsidR="00D11FE7">
        <w:rPr>
          <w:rFonts w:ascii="Arial" w:eastAsia="Arial" w:hAnsi="Arial" w:cs="Arial"/>
          <w:sz w:val="20"/>
          <w:szCs w:val="20"/>
        </w:rPr>
        <w:t xml:space="preserve"> This was confirmed by (IDI_KI2 &amp; IDI_KI3)</w:t>
      </w:r>
    </w:p>
    <w:p w14:paraId="6CED473C" w14:textId="77777777" w:rsidR="008E4E53" w:rsidRDefault="008E4E53" w:rsidP="00264C2A">
      <w:pPr>
        <w:spacing w:before="240" w:after="240" w:line="240" w:lineRule="auto"/>
        <w:ind w:firstLine="720"/>
        <w:jc w:val="both"/>
        <w:rPr>
          <w:rFonts w:ascii="Arial" w:eastAsia="Arial" w:hAnsi="Arial" w:cs="Arial"/>
          <w:sz w:val="20"/>
          <w:szCs w:val="20"/>
        </w:rPr>
      </w:pPr>
    </w:p>
    <w:p w14:paraId="6960032A" w14:textId="77777777" w:rsidR="008E4E53" w:rsidRDefault="008E4E53" w:rsidP="00264C2A">
      <w:pPr>
        <w:spacing w:before="240" w:after="240" w:line="240" w:lineRule="auto"/>
        <w:ind w:firstLine="720"/>
        <w:jc w:val="both"/>
        <w:rPr>
          <w:rFonts w:ascii="Arial" w:eastAsia="Arial" w:hAnsi="Arial" w:cs="Arial"/>
          <w:sz w:val="20"/>
          <w:szCs w:val="20"/>
        </w:rPr>
      </w:pPr>
    </w:p>
    <w:p w14:paraId="24B4B5E7" w14:textId="77777777" w:rsidR="008E4E53" w:rsidRDefault="008E4E53" w:rsidP="00264C2A">
      <w:pPr>
        <w:spacing w:before="240" w:after="240" w:line="240" w:lineRule="auto"/>
        <w:ind w:firstLine="720"/>
        <w:jc w:val="both"/>
        <w:rPr>
          <w:rFonts w:ascii="Arial" w:eastAsia="Arial" w:hAnsi="Arial" w:cs="Arial"/>
          <w:sz w:val="20"/>
          <w:szCs w:val="20"/>
        </w:rPr>
      </w:pPr>
    </w:p>
    <w:p w14:paraId="49878AD6" w14:textId="77777777" w:rsidR="008E4E53" w:rsidRDefault="008E4E53" w:rsidP="00264C2A">
      <w:pPr>
        <w:spacing w:before="240" w:after="240" w:line="240" w:lineRule="auto"/>
        <w:ind w:firstLine="720"/>
        <w:jc w:val="both"/>
        <w:rPr>
          <w:rFonts w:ascii="Arial" w:eastAsia="Arial" w:hAnsi="Arial" w:cs="Arial"/>
          <w:sz w:val="20"/>
          <w:szCs w:val="20"/>
        </w:rPr>
      </w:pPr>
    </w:p>
    <w:p w14:paraId="2711E323" w14:textId="378B7260" w:rsidR="00C56226" w:rsidRDefault="00B72DA4" w:rsidP="00264C2A">
      <w:pPr>
        <w:spacing w:before="240" w:after="240" w:line="240" w:lineRule="auto"/>
        <w:ind w:firstLine="720"/>
        <w:jc w:val="both"/>
        <w:rPr>
          <w:rFonts w:ascii="Arial" w:eastAsia="Arial" w:hAnsi="Arial" w:cs="Arial"/>
          <w:sz w:val="20"/>
          <w:szCs w:val="20"/>
        </w:rPr>
      </w:pPr>
      <w:r>
        <w:rPr>
          <w:noProof/>
        </w:rPr>
        <w:drawing>
          <wp:anchor distT="0" distB="0" distL="114300" distR="114300" simplePos="0" relativeHeight="251661312" behindDoc="0" locked="0" layoutInCell="1" hidden="0" allowOverlap="1" wp14:anchorId="30A3E7AA" wp14:editId="2001B411">
            <wp:simplePos x="0" y="0"/>
            <wp:positionH relativeFrom="column">
              <wp:posOffset>63795</wp:posOffset>
            </wp:positionH>
            <wp:positionV relativeFrom="paragraph">
              <wp:posOffset>191386</wp:posOffset>
            </wp:positionV>
            <wp:extent cx="5943600" cy="2615609"/>
            <wp:effectExtent l="0" t="0" r="0" b="0"/>
            <wp:wrapNone/>
            <wp:docPr id="20222649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rotWithShape="1">
                    <a:blip r:embed="rId10"/>
                    <a:srcRect b="16398"/>
                    <a:stretch>
                      <a:fillRect/>
                    </a:stretch>
                  </pic:blipFill>
                  <pic:spPr bwMode="auto">
                    <a:xfrm>
                      <a:off x="0" y="0"/>
                      <a:ext cx="5943600" cy="2615609"/>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764BC3EB" w14:textId="491FC992" w:rsidR="00B72DA4" w:rsidRDefault="00B72DA4" w:rsidP="00264C2A">
      <w:pPr>
        <w:spacing w:before="240" w:after="240" w:line="240" w:lineRule="auto"/>
        <w:ind w:firstLine="720"/>
        <w:jc w:val="both"/>
        <w:rPr>
          <w:rFonts w:ascii="Arial" w:eastAsia="Arial" w:hAnsi="Arial" w:cs="Arial"/>
          <w:sz w:val="20"/>
          <w:szCs w:val="20"/>
        </w:rPr>
      </w:pPr>
    </w:p>
    <w:p w14:paraId="6EC5CBDB" w14:textId="3CF125A8" w:rsidR="00B72DA4" w:rsidRDefault="00B72DA4" w:rsidP="00264C2A">
      <w:pPr>
        <w:spacing w:before="240" w:after="240" w:line="240" w:lineRule="auto"/>
        <w:ind w:firstLine="720"/>
        <w:jc w:val="both"/>
        <w:rPr>
          <w:rFonts w:ascii="Arial" w:eastAsia="Arial" w:hAnsi="Arial" w:cs="Arial"/>
          <w:sz w:val="20"/>
          <w:szCs w:val="20"/>
        </w:rPr>
      </w:pPr>
    </w:p>
    <w:p w14:paraId="3D1A3959" w14:textId="5632ED9E" w:rsidR="00B72DA4" w:rsidRDefault="00B72DA4" w:rsidP="00264C2A">
      <w:pPr>
        <w:spacing w:before="240" w:after="240" w:line="240" w:lineRule="auto"/>
        <w:ind w:firstLine="720"/>
        <w:jc w:val="both"/>
        <w:rPr>
          <w:rFonts w:ascii="Arial" w:eastAsia="Arial" w:hAnsi="Arial" w:cs="Arial"/>
          <w:sz w:val="20"/>
          <w:szCs w:val="20"/>
        </w:rPr>
      </w:pPr>
    </w:p>
    <w:p w14:paraId="3382393C" w14:textId="10582D53" w:rsidR="00B72DA4" w:rsidRDefault="00B72DA4" w:rsidP="00264C2A">
      <w:pPr>
        <w:spacing w:before="240" w:after="240" w:line="240" w:lineRule="auto"/>
        <w:ind w:firstLine="720"/>
        <w:jc w:val="both"/>
        <w:rPr>
          <w:rFonts w:ascii="Arial" w:eastAsia="Arial" w:hAnsi="Arial" w:cs="Arial"/>
          <w:sz w:val="20"/>
          <w:szCs w:val="20"/>
        </w:rPr>
      </w:pPr>
    </w:p>
    <w:p w14:paraId="5EDB8CC6" w14:textId="0FD9F4A7" w:rsidR="00C56226" w:rsidRDefault="00C56226" w:rsidP="00264C2A">
      <w:pPr>
        <w:spacing w:before="240" w:after="240" w:line="240" w:lineRule="auto"/>
        <w:ind w:firstLine="720"/>
        <w:jc w:val="both"/>
        <w:rPr>
          <w:rFonts w:ascii="Arial" w:eastAsia="Arial" w:hAnsi="Arial" w:cs="Arial"/>
          <w:sz w:val="20"/>
          <w:szCs w:val="20"/>
        </w:rPr>
      </w:pPr>
    </w:p>
    <w:p w14:paraId="4C8E26E0" w14:textId="3E6032A4" w:rsidR="00D11FE7" w:rsidRDefault="00D11FE7">
      <w:pPr>
        <w:spacing w:before="240" w:after="240" w:line="240" w:lineRule="auto"/>
        <w:ind w:firstLine="720"/>
        <w:jc w:val="both"/>
        <w:rPr>
          <w:rFonts w:ascii="Arial" w:eastAsia="Arial" w:hAnsi="Arial" w:cs="Arial"/>
          <w:sz w:val="20"/>
          <w:szCs w:val="20"/>
        </w:rPr>
      </w:pPr>
    </w:p>
    <w:p w14:paraId="451C348F" w14:textId="68924F98" w:rsidR="00D11FE7" w:rsidRDefault="00D11FE7">
      <w:pPr>
        <w:spacing w:before="240" w:after="240" w:line="240" w:lineRule="auto"/>
        <w:ind w:firstLine="720"/>
        <w:jc w:val="both"/>
        <w:rPr>
          <w:rFonts w:ascii="Arial" w:eastAsia="Arial" w:hAnsi="Arial" w:cs="Arial"/>
          <w:sz w:val="20"/>
          <w:szCs w:val="20"/>
        </w:rPr>
      </w:pPr>
    </w:p>
    <w:p w14:paraId="258EF69D" w14:textId="77777777" w:rsidR="002B57B9" w:rsidRDefault="002B57B9">
      <w:pPr>
        <w:spacing w:before="240" w:after="240" w:line="240" w:lineRule="auto"/>
        <w:ind w:firstLine="720"/>
        <w:jc w:val="both"/>
        <w:rPr>
          <w:rFonts w:ascii="Arial" w:eastAsia="Arial" w:hAnsi="Arial" w:cs="Arial"/>
          <w:i/>
          <w:sz w:val="20"/>
          <w:szCs w:val="20"/>
        </w:rPr>
      </w:pPr>
    </w:p>
    <w:p w14:paraId="7897A399" w14:textId="77777777" w:rsidR="002B57B9" w:rsidRDefault="002B57B9">
      <w:pPr>
        <w:spacing w:before="240" w:after="240" w:line="240" w:lineRule="auto"/>
        <w:ind w:firstLine="720"/>
        <w:jc w:val="both"/>
        <w:rPr>
          <w:rFonts w:ascii="Arial" w:eastAsia="Arial" w:hAnsi="Arial" w:cs="Arial"/>
          <w:i/>
          <w:sz w:val="20"/>
          <w:szCs w:val="20"/>
        </w:rPr>
      </w:pPr>
    </w:p>
    <w:p w14:paraId="070A12BE" w14:textId="77777777" w:rsidR="00D11FE7" w:rsidRDefault="00D11FE7" w:rsidP="00264C2A">
      <w:pPr>
        <w:spacing w:before="240" w:after="240" w:line="240" w:lineRule="auto"/>
        <w:jc w:val="both"/>
        <w:rPr>
          <w:rFonts w:ascii="Arial" w:eastAsia="Arial" w:hAnsi="Arial" w:cs="Arial"/>
          <w:i/>
          <w:sz w:val="20"/>
          <w:szCs w:val="20"/>
        </w:rPr>
      </w:pPr>
    </w:p>
    <w:p w14:paraId="40166069" w14:textId="77777777" w:rsidR="00F538F1" w:rsidRDefault="00F538F1">
      <w:pPr>
        <w:spacing w:before="240" w:after="240" w:line="240" w:lineRule="auto"/>
        <w:ind w:firstLine="720"/>
        <w:jc w:val="both"/>
        <w:rPr>
          <w:rFonts w:ascii="Arial" w:eastAsia="Arial" w:hAnsi="Arial" w:cs="Arial"/>
          <w:b/>
          <w:sz w:val="20"/>
          <w:szCs w:val="20"/>
        </w:rPr>
      </w:pPr>
    </w:p>
    <w:p w14:paraId="664DCE30" w14:textId="64FC5A05" w:rsidR="008E4E53" w:rsidRDefault="008E4E53">
      <w:pPr>
        <w:spacing w:before="240" w:after="240" w:line="240" w:lineRule="auto"/>
        <w:ind w:firstLine="720"/>
        <w:jc w:val="both"/>
        <w:rPr>
          <w:rFonts w:ascii="Arial" w:eastAsia="Arial" w:hAnsi="Arial" w:cs="Arial"/>
          <w:b/>
          <w:sz w:val="20"/>
          <w:szCs w:val="20"/>
        </w:rPr>
      </w:pPr>
      <w:r>
        <w:rPr>
          <w:rFonts w:ascii="Arial" w:eastAsia="Arial" w:hAnsi="Arial" w:cs="Arial"/>
          <w:b/>
          <w:sz w:val="20"/>
          <w:szCs w:val="20"/>
        </w:rPr>
        <w:lastRenderedPageBreak/>
        <w:t>Fig 4-</w:t>
      </w:r>
      <w:r w:rsidR="00F538F1" w:rsidRPr="00F538F1">
        <w:t xml:space="preserve"> </w:t>
      </w:r>
      <w:r w:rsidR="00F538F1" w:rsidRPr="00F538F1">
        <w:rPr>
          <w:rFonts w:ascii="Arial" w:eastAsia="Arial" w:hAnsi="Arial" w:cs="Arial"/>
          <w:b/>
          <w:sz w:val="20"/>
          <w:szCs w:val="20"/>
        </w:rPr>
        <w:t xml:space="preserve">Emergent themes, Categories and codes on shortcomings do employers find in the Skills, knowledge and attitudes of TVL students during their </w:t>
      </w:r>
      <w:proofErr w:type="gramStart"/>
      <w:r w:rsidR="00F538F1" w:rsidRPr="00F538F1">
        <w:rPr>
          <w:rFonts w:ascii="Arial" w:eastAsia="Arial" w:hAnsi="Arial" w:cs="Arial"/>
          <w:b/>
          <w:sz w:val="20"/>
          <w:szCs w:val="20"/>
        </w:rPr>
        <w:t>On</w:t>
      </w:r>
      <w:proofErr w:type="gramEnd"/>
      <w:r w:rsidR="00F538F1" w:rsidRPr="00F538F1">
        <w:rPr>
          <w:rFonts w:ascii="Arial" w:eastAsia="Arial" w:hAnsi="Arial" w:cs="Arial"/>
          <w:b/>
          <w:sz w:val="20"/>
          <w:szCs w:val="20"/>
        </w:rPr>
        <w:t xml:space="preserve"> the-Job training</w:t>
      </w:r>
    </w:p>
    <w:p w14:paraId="3F6D72F4" w14:textId="6FE604AA" w:rsidR="002B57B9" w:rsidRDefault="00193F43">
      <w:pPr>
        <w:spacing w:before="240" w:after="240" w:line="240" w:lineRule="auto"/>
        <w:ind w:firstLine="720"/>
        <w:jc w:val="both"/>
        <w:rPr>
          <w:rFonts w:ascii="Arial" w:eastAsia="Arial" w:hAnsi="Arial" w:cs="Arial"/>
          <w:b/>
          <w:sz w:val="20"/>
          <w:szCs w:val="20"/>
        </w:rPr>
      </w:pPr>
      <w:r>
        <w:rPr>
          <w:rFonts w:ascii="Arial" w:eastAsia="Arial" w:hAnsi="Arial" w:cs="Arial"/>
          <w:b/>
          <w:sz w:val="20"/>
          <w:szCs w:val="20"/>
        </w:rPr>
        <w:t xml:space="preserve">Theme 2: </w:t>
      </w:r>
      <w:r>
        <w:rPr>
          <w:rFonts w:ascii="Arial" w:eastAsia="Arial" w:hAnsi="Arial" w:cs="Arial"/>
          <w:b/>
          <w:sz w:val="20"/>
          <w:szCs w:val="20"/>
        </w:rPr>
        <w:t>Professionalism and work readiness</w:t>
      </w:r>
    </w:p>
    <w:p w14:paraId="64DFD42E" w14:textId="5F3BC8C7" w:rsidR="002B57B9" w:rsidRDefault="00193F43">
      <w:pPr>
        <w:spacing w:before="240" w:after="240" w:line="240" w:lineRule="auto"/>
        <w:jc w:val="both"/>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t>Employers commonly identify that Technical-Vocational Livelihood trainees lack fundamental workplace behaviors, including confidence, proper communication, and following safety protocols</w:t>
      </w:r>
      <w:r w:rsidR="008D64EF">
        <w:rPr>
          <w:rFonts w:ascii="Arial" w:eastAsia="Arial" w:hAnsi="Arial" w:cs="Arial"/>
          <w:sz w:val="20"/>
          <w:szCs w:val="20"/>
        </w:rPr>
        <w:t xml:space="preserve">. </w:t>
      </w:r>
      <w:r>
        <w:rPr>
          <w:rFonts w:ascii="Arial" w:eastAsia="Arial" w:hAnsi="Arial" w:cs="Arial"/>
          <w:sz w:val="20"/>
          <w:szCs w:val="20"/>
        </w:rPr>
        <w:t>It influences the employer</w:t>
      </w:r>
      <w:r>
        <w:rPr>
          <w:rFonts w:ascii="Arial" w:eastAsia="Arial" w:hAnsi="Arial" w:cs="Arial"/>
          <w:sz w:val="20"/>
          <w:szCs w:val="20"/>
        </w:rPr>
        <w:t>'s attitude toward hiring trainees who are not mature and lack the professional attitude required for employment over time. Two (2) categories have emerged in this theme: 1.) Professionalism and work ethic, 2.) Work readiness.</w:t>
      </w:r>
    </w:p>
    <w:p w14:paraId="79DBC4DF" w14:textId="77777777" w:rsidR="002B57B9" w:rsidRDefault="002B57B9">
      <w:pPr>
        <w:spacing w:before="240" w:after="240" w:line="240" w:lineRule="auto"/>
        <w:jc w:val="both"/>
        <w:rPr>
          <w:rFonts w:ascii="Arial" w:eastAsia="Arial" w:hAnsi="Arial" w:cs="Arial"/>
          <w:sz w:val="20"/>
          <w:szCs w:val="20"/>
        </w:rPr>
      </w:pPr>
    </w:p>
    <w:p w14:paraId="7F1C88E2" w14:textId="77777777" w:rsidR="002B57B9" w:rsidRDefault="00193F43">
      <w:pPr>
        <w:spacing w:line="240" w:lineRule="auto"/>
        <w:ind w:firstLine="720"/>
        <w:jc w:val="both"/>
        <w:rPr>
          <w:rFonts w:ascii="Arial" w:eastAsia="Arial" w:hAnsi="Arial" w:cs="Arial"/>
          <w:b/>
          <w:sz w:val="20"/>
          <w:szCs w:val="20"/>
        </w:rPr>
      </w:pPr>
      <w:r>
        <w:rPr>
          <w:rFonts w:ascii="Arial" w:eastAsia="Arial" w:hAnsi="Arial" w:cs="Arial"/>
          <w:b/>
          <w:sz w:val="20"/>
          <w:szCs w:val="20"/>
        </w:rPr>
        <w:t xml:space="preserve">Category 3: Professionalism </w:t>
      </w:r>
      <w:r>
        <w:rPr>
          <w:rFonts w:ascii="Arial" w:eastAsia="Arial" w:hAnsi="Arial" w:cs="Arial"/>
          <w:b/>
          <w:sz w:val="20"/>
          <w:szCs w:val="20"/>
        </w:rPr>
        <w:t>and work ethic</w:t>
      </w:r>
    </w:p>
    <w:p w14:paraId="04BC3945" w14:textId="1C39B978" w:rsidR="002B57B9" w:rsidRDefault="00193F43">
      <w:pPr>
        <w:spacing w:line="240" w:lineRule="auto"/>
        <w:ind w:firstLine="720"/>
        <w:jc w:val="both"/>
        <w:rPr>
          <w:rFonts w:ascii="Arial" w:eastAsia="Arial" w:hAnsi="Arial" w:cs="Arial"/>
          <w:sz w:val="20"/>
          <w:szCs w:val="20"/>
        </w:rPr>
      </w:pPr>
      <w:r>
        <w:rPr>
          <w:rFonts w:ascii="Arial" w:eastAsia="Arial" w:hAnsi="Arial" w:cs="Arial"/>
          <w:sz w:val="20"/>
          <w:szCs w:val="20"/>
        </w:rPr>
        <w:t>This focuses on attitudes and behaviors that will lead to workplace success.</w:t>
      </w:r>
      <w:r w:rsidR="00C91CA6">
        <w:rPr>
          <w:rFonts w:ascii="Arial" w:eastAsia="Arial" w:hAnsi="Arial" w:cs="Arial"/>
          <w:sz w:val="20"/>
          <w:szCs w:val="20"/>
        </w:rPr>
        <w:t xml:space="preserve"> </w:t>
      </w:r>
      <w:r>
        <w:rPr>
          <w:rFonts w:ascii="Arial" w:eastAsia="Arial" w:hAnsi="Arial" w:cs="Arial"/>
          <w:sz w:val="20"/>
          <w:szCs w:val="20"/>
        </w:rPr>
        <w:t>This quality enhances their productivity and demonstrates their commitment, making them valuable assets to any workplace.</w:t>
      </w:r>
      <w:r w:rsidR="008D64EF">
        <w:rPr>
          <w:rFonts w:ascii="Arial" w:eastAsia="Arial" w:hAnsi="Arial" w:cs="Arial"/>
          <w:sz w:val="20"/>
          <w:szCs w:val="20"/>
        </w:rPr>
        <w:t xml:space="preserve"> </w:t>
      </w:r>
      <w:r>
        <w:rPr>
          <w:rFonts w:ascii="Arial" w:eastAsia="Arial" w:hAnsi="Arial" w:cs="Arial"/>
          <w:sz w:val="20"/>
          <w:szCs w:val="20"/>
        </w:rPr>
        <w:t xml:space="preserve">This category has two (2) codes: 1.) Lack </w:t>
      </w:r>
      <w:r>
        <w:rPr>
          <w:rFonts w:ascii="Arial" w:eastAsia="Arial" w:hAnsi="Arial" w:cs="Arial"/>
          <w:sz w:val="20"/>
          <w:szCs w:val="20"/>
        </w:rPr>
        <w:t>of Accountability and 2.)  Lack of maturity of TVL Trainees</w:t>
      </w:r>
    </w:p>
    <w:p w14:paraId="43EDC696" w14:textId="77777777" w:rsidR="002B57B9" w:rsidRDefault="002B57B9">
      <w:pPr>
        <w:spacing w:line="240" w:lineRule="auto"/>
        <w:ind w:firstLine="720"/>
        <w:jc w:val="both"/>
        <w:rPr>
          <w:rFonts w:ascii="Arial" w:eastAsia="Arial" w:hAnsi="Arial" w:cs="Arial"/>
          <w:sz w:val="20"/>
          <w:szCs w:val="20"/>
        </w:rPr>
      </w:pPr>
    </w:p>
    <w:p w14:paraId="13E83D04" w14:textId="77777777" w:rsidR="002B57B9" w:rsidRDefault="00193F43">
      <w:pPr>
        <w:spacing w:before="240" w:after="240" w:line="240" w:lineRule="auto"/>
        <w:ind w:firstLine="720"/>
        <w:jc w:val="both"/>
        <w:rPr>
          <w:rFonts w:ascii="Arial" w:eastAsia="Arial" w:hAnsi="Arial" w:cs="Arial"/>
          <w:b/>
          <w:sz w:val="20"/>
          <w:szCs w:val="20"/>
        </w:rPr>
      </w:pPr>
      <w:r>
        <w:rPr>
          <w:rFonts w:ascii="Arial" w:eastAsia="Arial" w:hAnsi="Arial" w:cs="Arial"/>
          <w:b/>
          <w:sz w:val="20"/>
          <w:szCs w:val="20"/>
        </w:rPr>
        <w:t>Lack of Accountability</w:t>
      </w:r>
    </w:p>
    <w:p w14:paraId="1366119D" w14:textId="1F9E9B67" w:rsidR="00C91CA6" w:rsidRDefault="00193F43">
      <w:pPr>
        <w:spacing w:before="240" w:after="240" w:line="240" w:lineRule="auto"/>
        <w:jc w:val="both"/>
        <w:rPr>
          <w:rFonts w:ascii="Arial" w:eastAsia="Arial" w:hAnsi="Arial" w:cs="Arial"/>
          <w:sz w:val="20"/>
          <w:szCs w:val="20"/>
        </w:rPr>
      </w:pPr>
      <w:r>
        <w:rPr>
          <w:rFonts w:ascii="Arial" w:eastAsia="Arial" w:hAnsi="Arial" w:cs="Arial"/>
          <w:b/>
          <w:sz w:val="20"/>
          <w:szCs w:val="20"/>
        </w:rPr>
        <w:tab/>
      </w:r>
      <w:r>
        <w:rPr>
          <w:rFonts w:ascii="Arial" w:eastAsia="Arial" w:hAnsi="Arial" w:cs="Arial"/>
          <w:sz w:val="20"/>
          <w:szCs w:val="20"/>
        </w:rPr>
        <w:t>Holding oneself accountable is essential for establishing trust among employees and showcasing their dedication to their roles. However, some trainees do not embrace respo</w:t>
      </w:r>
      <w:r>
        <w:rPr>
          <w:rFonts w:ascii="Arial" w:eastAsia="Arial" w:hAnsi="Arial" w:cs="Arial"/>
          <w:sz w:val="20"/>
          <w:szCs w:val="20"/>
        </w:rPr>
        <w:t>nsibility for their assignments, resulting in mistakes, delays, or unfinished tasks</w:t>
      </w:r>
      <w:r w:rsidR="0069151B">
        <w:rPr>
          <w:rFonts w:ascii="Arial" w:eastAsia="Arial" w:hAnsi="Arial" w:cs="Arial"/>
          <w:sz w:val="20"/>
          <w:szCs w:val="20"/>
        </w:rPr>
        <w:t xml:space="preserve">, </w:t>
      </w:r>
      <w:r>
        <w:rPr>
          <w:rFonts w:ascii="Arial" w:eastAsia="Arial" w:hAnsi="Arial" w:cs="Arial"/>
          <w:sz w:val="20"/>
          <w:szCs w:val="20"/>
        </w:rPr>
        <w:t>it diminishes their reliability and makes it challenging for employers to have faith in their work ethic.</w:t>
      </w:r>
      <w:r w:rsidR="0069151B">
        <w:rPr>
          <w:rFonts w:ascii="Arial" w:eastAsia="Arial" w:hAnsi="Arial" w:cs="Arial"/>
          <w:sz w:val="20"/>
          <w:szCs w:val="20"/>
        </w:rPr>
        <w:t xml:space="preserve"> </w:t>
      </w:r>
      <w:r>
        <w:rPr>
          <w:rFonts w:ascii="Arial" w:eastAsia="Arial" w:hAnsi="Arial" w:cs="Arial"/>
          <w:sz w:val="20"/>
          <w:szCs w:val="20"/>
        </w:rPr>
        <w:t>Learners are frequently not</w:t>
      </w:r>
      <w:r w:rsidR="0069151B">
        <w:rPr>
          <w:rFonts w:ascii="Arial" w:eastAsia="Arial" w:hAnsi="Arial" w:cs="Arial"/>
          <w:sz w:val="20"/>
          <w:szCs w:val="20"/>
        </w:rPr>
        <w:t xml:space="preserve"> </w:t>
      </w:r>
      <w:r>
        <w:rPr>
          <w:rFonts w:ascii="Arial" w:eastAsia="Arial" w:hAnsi="Arial" w:cs="Arial"/>
          <w:sz w:val="20"/>
          <w:szCs w:val="20"/>
        </w:rPr>
        <w:t>responsible; this is explained by the</w:t>
      </w:r>
      <w:r>
        <w:rPr>
          <w:rFonts w:ascii="Arial" w:eastAsia="Arial" w:hAnsi="Arial" w:cs="Arial"/>
          <w:sz w:val="20"/>
          <w:szCs w:val="20"/>
        </w:rPr>
        <w:t xml:space="preserve"> fact that they are learners, not employees.</w:t>
      </w:r>
      <w:r w:rsidR="0069151B">
        <w:rPr>
          <w:rFonts w:ascii="Arial" w:eastAsia="Arial" w:hAnsi="Arial" w:cs="Arial"/>
          <w:sz w:val="20"/>
          <w:szCs w:val="20"/>
        </w:rPr>
        <w:t xml:space="preserve"> </w:t>
      </w:r>
      <w:r>
        <w:rPr>
          <w:rFonts w:ascii="Arial" w:eastAsia="Arial" w:hAnsi="Arial" w:cs="Arial"/>
          <w:sz w:val="20"/>
          <w:szCs w:val="20"/>
        </w:rPr>
        <w:t xml:space="preserve">A critical area of concern regarding student professional skill learning during their on-the-job training is their work responsibility. Some trainees find accepting accountability for their work challenging and </w:t>
      </w:r>
      <w:r>
        <w:rPr>
          <w:rFonts w:ascii="Arial" w:eastAsia="Arial" w:hAnsi="Arial" w:cs="Arial"/>
          <w:sz w:val="20"/>
          <w:szCs w:val="20"/>
        </w:rPr>
        <w:t>frequently see themselves more as students than workers (</w:t>
      </w:r>
      <w:proofErr w:type="spellStart"/>
      <w:r>
        <w:rPr>
          <w:rFonts w:ascii="Arial" w:eastAsia="Arial" w:hAnsi="Arial" w:cs="Arial"/>
          <w:sz w:val="20"/>
          <w:szCs w:val="20"/>
        </w:rPr>
        <w:t>Baylen</w:t>
      </w:r>
      <w:proofErr w:type="spellEnd"/>
      <w:r>
        <w:rPr>
          <w:rFonts w:ascii="Arial" w:eastAsia="Arial" w:hAnsi="Arial" w:cs="Arial"/>
          <w:sz w:val="20"/>
          <w:szCs w:val="20"/>
        </w:rPr>
        <w:t xml:space="preserve"> et al., 2024). </w:t>
      </w:r>
      <w:r w:rsidR="00D11FE7">
        <w:rPr>
          <w:rFonts w:ascii="Arial" w:eastAsia="Arial" w:hAnsi="Arial" w:cs="Arial"/>
          <w:sz w:val="20"/>
          <w:szCs w:val="20"/>
        </w:rPr>
        <w:t>This was confirmed by (IDI_KI1, IDI_KI2 &amp; IDI_KI3)</w:t>
      </w:r>
    </w:p>
    <w:p w14:paraId="7E284E78" w14:textId="77777777" w:rsidR="0069151B" w:rsidRDefault="0069151B">
      <w:pPr>
        <w:spacing w:before="240" w:after="240" w:line="240" w:lineRule="auto"/>
        <w:jc w:val="both"/>
        <w:rPr>
          <w:rFonts w:ascii="Arial" w:eastAsia="Arial" w:hAnsi="Arial" w:cs="Arial"/>
          <w:sz w:val="20"/>
          <w:szCs w:val="20"/>
        </w:rPr>
      </w:pPr>
    </w:p>
    <w:p w14:paraId="010D0461" w14:textId="77777777" w:rsidR="002B57B9" w:rsidRDefault="00193F43">
      <w:pPr>
        <w:spacing w:line="240" w:lineRule="auto"/>
        <w:ind w:firstLine="720"/>
        <w:jc w:val="both"/>
        <w:rPr>
          <w:rFonts w:ascii="Arial" w:eastAsia="Arial" w:hAnsi="Arial" w:cs="Arial"/>
          <w:b/>
          <w:sz w:val="20"/>
          <w:szCs w:val="20"/>
        </w:rPr>
      </w:pPr>
      <w:r>
        <w:rPr>
          <w:rFonts w:ascii="Arial" w:eastAsia="Arial" w:hAnsi="Arial" w:cs="Arial"/>
          <w:b/>
          <w:sz w:val="20"/>
          <w:szCs w:val="20"/>
        </w:rPr>
        <w:t>Lack of Maturity of TVL</w:t>
      </w:r>
    </w:p>
    <w:p w14:paraId="728146E0" w14:textId="38B2DABE" w:rsidR="002B57B9" w:rsidRDefault="00193F43" w:rsidP="0069151B">
      <w:pPr>
        <w:spacing w:line="240" w:lineRule="auto"/>
        <w:jc w:val="both"/>
        <w:rPr>
          <w:rFonts w:ascii="Arial" w:eastAsia="Arial" w:hAnsi="Arial" w:cs="Arial"/>
          <w:sz w:val="20"/>
          <w:szCs w:val="20"/>
        </w:rPr>
      </w:pPr>
      <w:r>
        <w:rPr>
          <w:rFonts w:ascii="Arial" w:eastAsia="Arial" w:hAnsi="Arial" w:cs="Arial"/>
          <w:b/>
          <w:sz w:val="20"/>
          <w:szCs w:val="20"/>
        </w:rPr>
        <w:tab/>
      </w:r>
      <w:r>
        <w:rPr>
          <w:rFonts w:ascii="Arial" w:eastAsia="Arial" w:hAnsi="Arial" w:cs="Arial"/>
          <w:sz w:val="20"/>
          <w:szCs w:val="20"/>
        </w:rPr>
        <w:t>The lack of maturity and quality in Technical-Vocational Livelihood (TVL) programs negatively impact</w:t>
      </w:r>
      <w:r>
        <w:rPr>
          <w:rFonts w:ascii="Arial" w:eastAsia="Arial" w:hAnsi="Arial" w:cs="Arial"/>
          <w:sz w:val="20"/>
          <w:szCs w:val="20"/>
        </w:rPr>
        <w:t>s their reputation and attractiveness to employers. Technical-Vocational Livelihood (TVL) students often struggle with responsibilities during their On-the-Job Training (OJT), indicating immaturity, such as failing to take instructions seriously or complet</w:t>
      </w:r>
      <w:r>
        <w:rPr>
          <w:rFonts w:ascii="Arial" w:eastAsia="Arial" w:hAnsi="Arial" w:cs="Arial"/>
          <w:sz w:val="20"/>
          <w:szCs w:val="20"/>
        </w:rPr>
        <w:t xml:space="preserve">ing tasks on time. This results in slow work output, increased workload for supervisors, and low performance levels. </w:t>
      </w:r>
      <w:proofErr w:type="spellStart"/>
      <w:r>
        <w:rPr>
          <w:rFonts w:ascii="Arial" w:eastAsia="Arial" w:hAnsi="Arial" w:cs="Arial"/>
          <w:sz w:val="20"/>
          <w:szCs w:val="20"/>
        </w:rPr>
        <w:t>Ratnata</w:t>
      </w:r>
      <w:proofErr w:type="spellEnd"/>
      <w:r>
        <w:rPr>
          <w:rFonts w:ascii="Arial" w:eastAsia="Arial" w:hAnsi="Arial" w:cs="Arial"/>
          <w:sz w:val="20"/>
          <w:szCs w:val="20"/>
        </w:rPr>
        <w:t xml:space="preserve"> (2013) highlights the poor image of Technical-Vocational Livelihood (TVL) programs due to their lack of quality and maturity. Aleja</w:t>
      </w:r>
      <w:r>
        <w:rPr>
          <w:rFonts w:ascii="Arial" w:eastAsia="Arial" w:hAnsi="Arial" w:cs="Arial"/>
          <w:sz w:val="20"/>
          <w:szCs w:val="20"/>
        </w:rPr>
        <w:t xml:space="preserve">ndro and </w:t>
      </w:r>
      <w:proofErr w:type="spellStart"/>
      <w:r>
        <w:rPr>
          <w:rFonts w:ascii="Arial" w:eastAsia="Arial" w:hAnsi="Arial" w:cs="Arial"/>
          <w:sz w:val="20"/>
          <w:szCs w:val="20"/>
        </w:rPr>
        <w:t>Bucad</w:t>
      </w:r>
      <w:proofErr w:type="spellEnd"/>
      <w:r>
        <w:rPr>
          <w:rFonts w:ascii="Arial" w:eastAsia="Arial" w:hAnsi="Arial" w:cs="Arial"/>
          <w:sz w:val="20"/>
          <w:szCs w:val="20"/>
        </w:rPr>
        <w:t xml:space="preserve"> (2024) further emphasize the challenges Technical-Vocational Livelihood programs face in equipping students to meet workplace expectations. According to Rangel et al. (2024), challenges such as a lack of experience and low confidence impede </w:t>
      </w:r>
      <w:r>
        <w:rPr>
          <w:rFonts w:ascii="Arial" w:eastAsia="Arial" w:hAnsi="Arial" w:cs="Arial"/>
          <w:sz w:val="20"/>
          <w:szCs w:val="20"/>
        </w:rPr>
        <w:t>students’ ability to meet workplace expectations during OJT. These challenges highlight the critical need for students to adopt a more professional, responsible, and independent approach to their roles.</w:t>
      </w:r>
      <w:r w:rsidR="0069151B">
        <w:rPr>
          <w:rFonts w:ascii="Arial" w:eastAsia="Arial" w:hAnsi="Arial" w:cs="Arial"/>
          <w:sz w:val="20"/>
          <w:szCs w:val="20"/>
        </w:rPr>
        <w:t xml:space="preserve"> </w:t>
      </w:r>
      <w:r w:rsidR="00D11FE7">
        <w:rPr>
          <w:rFonts w:ascii="Arial" w:eastAsia="Arial" w:hAnsi="Arial" w:cs="Arial"/>
          <w:sz w:val="20"/>
          <w:szCs w:val="20"/>
        </w:rPr>
        <w:t>This was confirmed by (IDI_KI1 &amp; IDI_KI3)</w:t>
      </w:r>
    </w:p>
    <w:p w14:paraId="6488F3A9" w14:textId="77777777" w:rsidR="002B57B9" w:rsidRDefault="002B57B9">
      <w:pPr>
        <w:spacing w:line="240" w:lineRule="auto"/>
        <w:ind w:firstLine="720"/>
        <w:jc w:val="both"/>
        <w:rPr>
          <w:rFonts w:ascii="Arial" w:eastAsia="Arial" w:hAnsi="Arial" w:cs="Arial"/>
          <w:sz w:val="20"/>
          <w:szCs w:val="20"/>
        </w:rPr>
      </w:pPr>
    </w:p>
    <w:p w14:paraId="74F896FF" w14:textId="77777777" w:rsidR="002B57B9" w:rsidRDefault="00193F43">
      <w:pPr>
        <w:spacing w:line="240" w:lineRule="auto"/>
        <w:ind w:firstLine="720"/>
        <w:jc w:val="both"/>
        <w:rPr>
          <w:rFonts w:ascii="Arial" w:eastAsia="Arial" w:hAnsi="Arial" w:cs="Arial"/>
          <w:b/>
          <w:sz w:val="20"/>
          <w:szCs w:val="20"/>
        </w:rPr>
      </w:pPr>
      <w:r>
        <w:rPr>
          <w:rFonts w:ascii="Arial" w:eastAsia="Arial" w:hAnsi="Arial" w:cs="Arial"/>
          <w:b/>
          <w:sz w:val="20"/>
          <w:szCs w:val="20"/>
        </w:rPr>
        <w:t>Category 4</w:t>
      </w:r>
      <w:r>
        <w:rPr>
          <w:rFonts w:ascii="Arial" w:eastAsia="Arial" w:hAnsi="Arial" w:cs="Arial"/>
          <w:b/>
          <w:sz w:val="20"/>
          <w:szCs w:val="20"/>
        </w:rPr>
        <w:t>: Work readiness</w:t>
      </w:r>
    </w:p>
    <w:p w14:paraId="5F1C0966" w14:textId="27589FA0" w:rsidR="002B57B9" w:rsidRDefault="00193F43">
      <w:pPr>
        <w:spacing w:before="240" w:after="240" w:line="240" w:lineRule="auto"/>
        <w:ind w:firstLine="720"/>
        <w:jc w:val="both"/>
        <w:rPr>
          <w:rFonts w:ascii="Arial" w:eastAsia="Arial" w:hAnsi="Arial" w:cs="Arial"/>
          <w:sz w:val="20"/>
          <w:szCs w:val="20"/>
        </w:rPr>
      </w:pPr>
      <w:r>
        <w:rPr>
          <w:rFonts w:ascii="Arial" w:eastAsia="Arial" w:hAnsi="Arial" w:cs="Arial"/>
          <w:sz w:val="20"/>
          <w:szCs w:val="20"/>
        </w:rPr>
        <w:t>For TVL (Technical-Vocational-Livelihood) students, work readiness is transitioning from theoretical learning to practical, hands-on work in a professional setting. This transition often reveals the lack of students' preparedness for the d</w:t>
      </w:r>
      <w:r>
        <w:rPr>
          <w:rFonts w:ascii="Arial" w:eastAsia="Arial" w:hAnsi="Arial" w:cs="Arial"/>
          <w:sz w:val="20"/>
          <w:szCs w:val="20"/>
        </w:rPr>
        <w:t>emands of a real job.</w:t>
      </w:r>
      <w:r w:rsidR="0069151B">
        <w:rPr>
          <w:rFonts w:ascii="Arial" w:eastAsia="Arial" w:hAnsi="Arial" w:cs="Arial"/>
          <w:sz w:val="20"/>
          <w:szCs w:val="20"/>
        </w:rPr>
        <w:t xml:space="preserve"> </w:t>
      </w:r>
      <w:r>
        <w:rPr>
          <w:rFonts w:ascii="Arial" w:eastAsia="Arial" w:hAnsi="Arial" w:cs="Arial"/>
          <w:sz w:val="20"/>
          <w:szCs w:val="20"/>
        </w:rPr>
        <w:t>This category has two (2) codes: 1.</w:t>
      </w:r>
      <w:r w:rsidR="0069151B">
        <w:rPr>
          <w:rFonts w:ascii="Arial" w:eastAsia="Arial" w:hAnsi="Arial" w:cs="Arial"/>
          <w:sz w:val="20"/>
          <w:szCs w:val="20"/>
        </w:rPr>
        <w:t>)</w:t>
      </w:r>
      <w:r>
        <w:rPr>
          <w:rFonts w:ascii="Arial" w:eastAsia="Arial" w:hAnsi="Arial" w:cs="Arial"/>
          <w:sz w:val="20"/>
          <w:szCs w:val="20"/>
        </w:rPr>
        <w:t xml:space="preserve"> Readiness for Agricultural work 2.)  Experiences as an advantage.</w:t>
      </w:r>
      <w:r w:rsidR="00D11FE7">
        <w:rPr>
          <w:rFonts w:ascii="Arial" w:eastAsia="Arial" w:hAnsi="Arial" w:cs="Arial"/>
          <w:sz w:val="20"/>
          <w:szCs w:val="20"/>
        </w:rPr>
        <w:t xml:space="preserve"> </w:t>
      </w:r>
    </w:p>
    <w:p w14:paraId="18174FA4" w14:textId="77777777" w:rsidR="007112A5" w:rsidRDefault="007112A5">
      <w:pPr>
        <w:spacing w:before="240" w:after="240" w:line="240" w:lineRule="auto"/>
        <w:ind w:firstLine="720"/>
        <w:jc w:val="both"/>
        <w:rPr>
          <w:rFonts w:ascii="Arial" w:eastAsia="Arial" w:hAnsi="Arial" w:cs="Arial"/>
          <w:sz w:val="20"/>
          <w:szCs w:val="20"/>
        </w:rPr>
      </w:pPr>
    </w:p>
    <w:p w14:paraId="66800728" w14:textId="77777777" w:rsidR="00B72DA4" w:rsidRDefault="00B72DA4">
      <w:pPr>
        <w:spacing w:before="240" w:after="240" w:line="240" w:lineRule="auto"/>
        <w:ind w:firstLine="720"/>
        <w:jc w:val="both"/>
        <w:rPr>
          <w:rFonts w:ascii="Arial" w:eastAsia="Arial" w:hAnsi="Arial" w:cs="Arial"/>
          <w:sz w:val="20"/>
          <w:szCs w:val="20"/>
        </w:rPr>
      </w:pPr>
    </w:p>
    <w:p w14:paraId="51A17EAC" w14:textId="77777777" w:rsidR="002B57B9" w:rsidRDefault="00193F43">
      <w:pPr>
        <w:spacing w:before="240" w:after="240" w:line="240" w:lineRule="auto"/>
        <w:ind w:firstLine="720"/>
        <w:jc w:val="both"/>
        <w:rPr>
          <w:rFonts w:ascii="Arial" w:eastAsia="Arial" w:hAnsi="Arial" w:cs="Arial"/>
          <w:b/>
          <w:sz w:val="20"/>
          <w:szCs w:val="20"/>
        </w:rPr>
      </w:pPr>
      <w:r>
        <w:rPr>
          <w:rFonts w:ascii="Arial" w:eastAsia="Arial" w:hAnsi="Arial" w:cs="Arial"/>
          <w:b/>
          <w:sz w:val="20"/>
          <w:szCs w:val="20"/>
        </w:rPr>
        <w:t>Readiness for Agricultural Work</w:t>
      </w:r>
    </w:p>
    <w:p w14:paraId="14364C10" w14:textId="77777777" w:rsidR="007112A5" w:rsidRDefault="00193F43" w:rsidP="007112A5">
      <w:pPr>
        <w:spacing w:before="240" w:after="240" w:line="240" w:lineRule="auto"/>
        <w:ind w:firstLine="720"/>
        <w:jc w:val="both"/>
        <w:rPr>
          <w:rFonts w:ascii="Arial" w:eastAsia="Arial" w:hAnsi="Arial" w:cs="Arial"/>
          <w:sz w:val="20"/>
          <w:szCs w:val="20"/>
        </w:rPr>
      </w:pPr>
      <w:r>
        <w:rPr>
          <w:rFonts w:ascii="Arial" w:eastAsia="Arial" w:hAnsi="Arial" w:cs="Arial"/>
          <w:sz w:val="20"/>
          <w:szCs w:val="20"/>
        </w:rPr>
        <w:t xml:space="preserve">Students are frequently influenced by the theoretical information and practical skills they acquire from vocational training. </w:t>
      </w:r>
      <w:proofErr w:type="spellStart"/>
      <w:r w:rsidRPr="00C56226">
        <w:rPr>
          <w:rFonts w:ascii="Arial" w:eastAsia="Arial" w:hAnsi="Arial" w:cs="Arial"/>
          <w:sz w:val="20"/>
          <w:szCs w:val="20"/>
        </w:rPr>
        <w:t>Sukarman</w:t>
      </w:r>
      <w:proofErr w:type="spellEnd"/>
      <w:r w:rsidRPr="00C56226">
        <w:rPr>
          <w:rFonts w:ascii="Arial" w:eastAsia="Arial" w:hAnsi="Arial" w:cs="Arial"/>
          <w:sz w:val="20"/>
          <w:szCs w:val="20"/>
        </w:rPr>
        <w:t xml:space="preserve"> et al. (2023) claimed</w:t>
      </w:r>
      <w:r>
        <w:rPr>
          <w:rFonts w:ascii="Arial" w:eastAsia="Arial" w:hAnsi="Arial" w:cs="Arial"/>
          <w:sz w:val="20"/>
          <w:szCs w:val="20"/>
        </w:rPr>
        <w:t xml:space="preserve"> that there is a strong relationship between fieldwork practices and work readiness. Technical-vocat</w:t>
      </w:r>
      <w:r>
        <w:rPr>
          <w:rFonts w:ascii="Arial" w:eastAsia="Arial" w:hAnsi="Arial" w:cs="Arial"/>
          <w:sz w:val="20"/>
          <w:szCs w:val="20"/>
        </w:rPr>
        <w:t>ional livelihood (TVL) students prepared for agricultural work possess the technical know-how and soft skills required to meet real-world obstacles in the industry. This involves having the capacity to oversee crops. Experiences play an important role in p</w:t>
      </w:r>
      <w:r>
        <w:rPr>
          <w:rFonts w:ascii="Arial" w:eastAsia="Arial" w:hAnsi="Arial" w:cs="Arial"/>
          <w:sz w:val="20"/>
          <w:szCs w:val="20"/>
        </w:rPr>
        <w:t xml:space="preserve">reparing students with the technical know-how and interpersonal skills required to deal with issues and forge the future of the agricultural </w:t>
      </w:r>
      <w:r w:rsidRPr="00C56226">
        <w:rPr>
          <w:rFonts w:ascii="Arial" w:eastAsia="Arial" w:hAnsi="Arial" w:cs="Arial"/>
          <w:sz w:val="20"/>
          <w:szCs w:val="20"/>
        </w:rPr>
        <w:t>business (Loos and Deacon, Johnson, &amp; Greene, 2024).</w:t>
      </w:r>
      <w:r w:rsidR="007112A5" w:rsidRPr="00C56226">
        <w:rPr>
          <w:rFonts w:ascii="Arial" w:eastAsia="Arial" w:hAnsi="Arial" w:cs="Arial"/>
          <w:sz w:val="20"/>
          <w:szCs w:val="20"/>
        </w:rPr>
        <w:t xml:space="preserve"> This was</w:t>
      </w:r>
      <w:r w:rsidR="007112A5">
        <w:rPr>
          <w:rFonts w:ascii="Arial" w:eastAsia="Arial" w:hAnsi="Arial" w:cs="Arial"/>
          <w:sz w:val="20"/>
          <w:szCs w:val="20"/>
        </w:rPr>
        <w:t xml:space="preserve"> confirmed by (IDI_KI2 &amp; IDI_KI3)</w:t>
      </w:r>
    </w:p>
    <w:p w14:paraId="07BBEF71" w14:textId="77777777" w:rsidR="002B57B9" w:rsidRDefault="002B57B9">
      <w:pPr>
        <w:spacing w:before="240" w:after="240" w:line="240" w:lineRule="auto"/>
        <w:ind w:firstLine="720"/>
        <w:jc w:val="both"/>
        <w:rPr>
          <w:rFonts w:ascii="Arial" w:eastAsia="Arial" w:hAnsi="Arial" w:cs="Arial"/>
          <w:b/>
          <w:sz w:val="20"/>
          <w:szCs w:val="20"/>
        </w:rPr>
      </w:pPr>
    </w:p>
    <w:p w14:paraId="4FDD68B7" w14:textId="77777777" w:rsidR="002B57B9" w:rsidRDefault="00193F43">
      <w:pPr>
        <w:spacing w:before="240" w:after="240" w:line="240" w:lineRule="auto"/>
        <w:ind w:firstLine="720"/>
        <w:jc w:val="both"/>
        <w:rPr>
          <w:rFonts w:ascii="Arial" w:eastAsia="Arial" w:hAnsi="Arial" w:cs="Arial"/>
          <w:b/>
          <w:sz w:val="20"/>
          <w:szCs w:val="20"/>
        </w:rPr>
      </w:pPr>
      <w:r>
        <w:rPr>
          <w:rFonts w:ascii="Arial" w:eastAsia="Arial" w:hAnsi="Arial" w:cs="Arial"/>
          <w:b/>
          <w:sz w:val="20"/>
          <w:szCs w:val="20"/>
        </w:rPr>
        <w:t>Experiences as an a</w:t>
      </w:r>
      <w:r>
        <w:rPr>
          <w:rFonts w:ascii="Arial" w:eastAsia="Arial" w:hAnsi="Arial" w:cs="Arial"/>
          <w:b/>
          <w:sz w:val="20"/>
          <w:szCs w:val="20"/>
        </w:rPr>
        <w:t>dvantage</w:t>
      </w:r>
    </w:p>
    <w:p w14:paraId="46EAB9DA" w14:textId="4A618C99" w:rsidR="0069151B" w:rsidRDefault="00193F43" w:rsidP="00B72DA4">
      <w:pPr>
        <w:spacing w:before="240" w:after="240" w:line="240" w:lineRule="auto"/>
        <w:ind w:firstLine="720"/>
        <w:jc w:val="both"/>
        <w:rPr>
          <w:rFonts w:ascii="Arial" w:eastAsia="Arial" w:hAnsi="Arial" w:cs="Arial"/>
          <w:sz w:val="20"/>
          <w:szCs w:val="20"/>
        </w:rPr>
      </w:pPr>
      <w:r>
        <w:rPr>
          <w:rFonts w:ascii="Arial" w:eastAsia="Arial" w:hAnsi="Arial" w:cs="Arial"/>
          <w:sz w:val="20"/>
          <w:szCs w:val="20"/>
        </w:rPr>
        <w:t>Hiring students is important because it gives them experience, increasing their performance, potential, and know-how in the industry. Getting a qualification is important, too. However, the experience one gains while pursuing the course enables th</w:t>
      </w:r>
      <w:r>
        <w:rPr>
          <w:rFonts w:ascii="Arial" w:eastAsia="Arial" w:hAnsi="Arial" w:cs="Arial"/>
          <w:sz w:val="20"/>
          <w:szCs w:val="20"/>
        </w:rPr>
        <w:t>e student to develop an analytical mind, problem-solving, and interpersonal skills vital to organizational settings. Moreover, the combination of experience and skill development positions students to be better candidates for entry-level roles, aligning wi</w:t>
      </w:r>
      <w:r>
        <w:rPr>
          <w:rFonts w:ascii="Arial" w:eastAsia="Arial" w:hAnsi="Arial" w:cs="Arial"/>
          <w:sz w:val="20"/>
          <w:szCs w:val="20"/>
        </w:rPr>
        <w:t xml:space="preserve">th the expectations of employers and organizations; this was supported by </w:t>
      </w:r>
      <w:proofErr w:type="spellStart"/>
      <w:r>
        <w:rPr>
          <w:rFonts w:ascii="Arial" w:eastAsia="Arial" w:hAnsi="Arial" w:cs="Arial"/>
          <w:sz w:val="20"/>
          <w:szCs w:val="20"/>
        </w:rPr>
        <w:t>Blagorazumnaia</w:t>
      </w:r>
      <w:proofErr w:type="spellEnd"/>
      <w:r>
        <w:rPr>
          <w:rFonts w:ascii="Arial" w:eastAsia="Arial" w:hAnsi="Arial" w:cs="Arial"/>
          <w:sz w:val="20"/>
          <w:szCs w:val="20"/>
        </w:rPr>
        <w:t xml:space="preserve"> and </w:t>
      </w:r>
      <w:proofErr w:type="spellStart"/>
      <w:r>
        <w:rPr>
          <w:rFonts w:ascii="Arial" w:eastAsia="Arial" w:hAnsi="Arial" w:cs="Arial"/>
          <w:sz w:val="20"/>
          <w:szCs w:val="20"/>
        </w:rPr>
        <w:t>Trifonova</w:t>
      </w:r>
      <w:proofErr w:type="spellEnd"/>
      <w:r>
        <w:rPr>
          <w:rFonts w:ascii="Arial" w:eastAsia="Arial" w:hAnsi="Arial" w:cs="Arial"/>
          <w:sz w:val="20"/>
          <w:szCs w:val="20"/>
        </w:rPr>
        <w:t xml:space="preserve"> (2024), who said that these skills and interpersonal abilities are considered important by employers, students, and staff in hiring decisions for entry-l</w:t>
      </w:r>
      <w:r>
        <w:rPr>
          <w:rFonts w:ascii="Arial" w:eastAsia="Arial" w:hAnsi="Arial" w:cs="Arial"/>
          <w:sz w:val="20"/>
          <w:szCs w:val="20"/>
        </w:rPr>
        <w:t xml:space="preserve">evel positions. </w:t>
      </w:r>
      <w:r w:rsidR="007112A5">
        <w:rPr>
          <w:rFonts w:ascii="Arial" w:eastAsia="Arial" w:hAnsi="Arial" w:cs="Arial"/>
          <w:sz w:val="20"/>
          <w:szCs w:val="20"/>
        </w:rPr>
        <w:t>This was confirmed by (IDI_KI1 &amp; IDI_KI2)</w:t>
      </w:r>
    </w:p>
    <w:p w14:paraId="020AB610" w14:textId="77777777" w:rsidR="00F2189D" w:rsidRDefault="00F2189D" w:rsidP="00B72DA4">
      <w:pPr>
        <w:spacing w:before="240" w:after="240" w:line="240" w:lineRule="auto"/>
        <w:ind w:firstLine="720"/>
        <w:jc w:val="both"/>
        <w:rPr>
          <w:rFonts w:ascii="Arial" w:eastAsia="Arial" w:hAnsi="Arial" w:cs="Arial"/>
          <w:sz w:val="20"/>
          <w:szCs w:val="20"/>
        </w:rPr>
      </w:pPr>
    </w:p>
    <w:p w14:paraId="79E2E59F" w14:textId="77777777" w:rsidR="00F2189D" w:rsidRPr="00B72DA4" w:rsidRDefault="00F2189D" w:rsidP="00B72DA4">
      <w:pPr>
        <w:spacing w:before="240" w:after="240" w:line="240" w:lineRule="auto"/>
        <w:ind w:firstLine="720"/>
        <w:jc w:val="both"/>
        <w:rPr>
          <w:rFonts w:ascii="Arial" w:eastAsia="Arial" w:hAnsi="Arial" w:cs="Arial"/>
          <w:sz w:val="20"/>
          <w:szCs w:val="20"/>
        </w:rPr>
      </w:pPr>
    </w:p>
    <w:p w14:paraId="4D753648" w14:textId="6361B22F" w:rsidR="002B57B9" w:rsidRDefault="007112A5">
      <w:pPr>
        <w:pBdr>
          <w:top w:val="nil"/>
          <w:left w:val="nil"/>
          <w:bottom w:val="nil"/>
          <w:right w:val="nil"/>
          <w:between w:val="nil"/>
        </w:pBdr>
        <w:spacing w:line="240" w:lineRule="auto"/>
        <w:jc w:val="both"/>
        <w:rPr>
          <w:rFonts w:ascii="Arial" w:eastAsia="Arial" w:hAnsi="Arial" w:cs="Arial"/>
          <w:color w:val="000000"/>
          <w:sz w:val="20"/>
          <w:szCs w:val="20"/>
        </w:rPr>
      </w:pPr>
      <w:r>
        <w:rPr>
          <w:noProof/>
        </w:rPr>
        <w:drawing>
          <wp:anchor distT="0" distB="0" distL="114300" distR="114300" simplePos="0" relativeHeight="251662336" behindDoc="0" locked="0" layoutInCell="1" hidden="0" allowOverlap="1" wp14:anchorId="31196239" wp14:editId="1A88523E">
            <wp:simplePos x="0" y="0"/>
            <wp:positionH relativeFrom="column">
              <wp:posOffset>74428</wp:posOffset>
            </wp:positionH>
            <wp:positionV relativeFrom="paragraph">
              <wp:posOffset>148856</wp:posOffset>
            </wp:positionV>
            <wp:extent cx="5943600" cy="2679404"/>
            <wp:effectExtent l="0" t="0" r="0" b="6985"/>
            <wp:wrapNone/>
            <wp:docPr id="202226491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rotWithShape="1">
                    <a:blip r:embed="rId11"/>
                    <a:srcRect b="13781"/>
                    <a:stretch>
                      <a:fillRect/>
                    </a:stretch>
                  </pic:blipFill>
                  <pic:spPr bwMode="auto">
                    <a:xfrm>
                      <a:off x="0" y="0"/>
                      <a:ext cx="5943600" cy="2679404"/>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4B053E8" w14:textId="084FB1B3" w:rsidR="002B57B9" w:rsidRDefault="002B57B9">
      <w:pPr>
        <w:pBdr>
          <w:top w:val="nil"/>
          <w:left w:val="nil"/>
          <w:bottom w:val="nil"/>
          <w:right w:val="nil"/>
          <w:between w:val="nil"/>
        </w:pBdr>
        <w:spacing w:line="240" w:lineRule="auto"/>
        <w:jc w:val="both"/>
        <w:rPr>
          <w:rFonts w:ascii="Arial" w:eastAsia="Arial" w:hAnsi="Arial" w:cs="Arial"/>
          <w:color w:val="000000"/>
          <w:sz w:val="20"/>
          <w:szCs w:val="20"/>
        </w:rPr>
      </w:pPr>
    </w:p>
    <w:p w14:paraId="1B8FA667" w14:textId="5648A11B" w:rsidR="002B57B9" w:rsidRDefault="002B57B9">
      <w:pPr>
        <w:spacing w:line="240" w:lineRule="auto"/>
        <w:ind w:firstLine="720"/>
        <w:jc w:val="both"/>
        <w:rPr>
          <w:rFonts w:ascii="Arial" w:eastAsia="Arial" w:hAnsi="Arial" w:cs="Arial"/>
          <w:b/>
          <w:sz w:val="20"/>
          <w:szCs w:val="20"/>
        </w:rPr>
      </w:pPr>
    </w:p>
    <w:p w14:paraId="70EF7CF4" w14:textId="77777777" w:rsidR="002B57B9" w:rsidRDefault="002B57B9">
      <w:pPr>
        <w:spacing w:line="240" w:lineRule="auto"/>
        <w:ind w:firstLine="720"/>
        <w:jc w:val="both"/>
        <w:rPr>
          <w:rFonts w:ascii="Arial" w:eastAsia="Arial" w:hAnsi="Arial" w:cs="Arial"/>
          <w:b/>
          <w:sz w:val="20"/>
          <w:szCs w:val="20"/>
        </w:rPr>
      </w:pPr>
    </w:p>
    <w:p w14:paraId="2E999E0B" w14:textId="77777777" w:rsidR="002B57B9" w:rsidRDefault="002B57B9">
      <w:pPr>
        <w:spacing w:line="240" w:lineRule="auto"/>
        <w:ind w:firstLine="720"/>
        <w:jc w:val="both"/>
        <w:rPr>
          <w:rFonts w:ascii="Arial" w:eastAsia="Arial" w:hAnsi="Arial" w:cs="Arial"/>
          <w:b/>
          <w:sz w:val="20"/>
          <w:szCs w:val="20"/>
        </w:rPr>
      </w:pPr>
    </w:p>
    <w:p w14:paraId="5650DA25" w14:textId="77777777" w:rsidR="002B57B9" w:rsidRDefault="002B57B9">
      <w:pPr>
        <w:spacing w:line="240" w:lineRule="auto"/>
        <w:ind w:firstLine="720"/>
        <w:jc w:val="both"/>
        <w:rPr>
          <w:rFonts w:ascii="Arial" w:eastAsia="Arial" w:hAnsi="Arial" w:cs="Arial"/>
          <w:b/>
          <w:sz w:val="20"/>
          <w:szCs w:val="20"/>
        </w:rPr>
      </w:pPr>
    </w:p>
    <w:p w14:paraId="76CDA896" w14:textId="77777777" w:rsidR="002B57B9" w:rsidRDefault="002B57B9">
      <w:pPr>
        <w:spacing w:line="240" w:lineRule="auto"/>
        <w:ind w:firstLine="720"/>
        <w:jc w:val="both"/>
        <w:rPr>
          <w:rFonts w:ascii="Arial" w:eastAsia="Arial" w:hAnsi="Arial" w:cs="Arial"/>
          <w:b/>
          <w:sz w:val="20"/>
          <w:szCs w:val="20"/>
        </w:rPr>
      </w:pPr>
    </w:p>
    <w:p w14:paraId="4AC978F4" w14:textId="77777777" w:rsidR="002B57B9" w:rsidRDefault="002B57B9">
      <w:pPr>
        <w:spacing w:line="240" w:lineRule="auto"/>
        <w:ind w:firstLine="720"/>
        <w:jc w:val="both"/>
        <w:rPr>
          <w:rFonts w:ascii="Arial" w:eastAsia="Arial" w:hAnsi="Arial" w:cs="Arial"/>
          <w:b/>
          <w:sz w:val="20"/>
          <w:szCs w:val="20"/>
        </w:rPr>
      </w:pPr>
    </w:p>
    <w:p w14:paraId="2E320939" w14:textId="77777777" w:rsidR="002B57B9" w:rsidRDefault="002B57B9">
      <w:pPr>
        <w:spacing w:line="240" w:lineRule="auto"/>
        <w:ind w:firstLine="720"/>
        <w:jc w:val="both"/>
        <w:rPr>
          <w:rFonts w:ascii="Arial" w:eastAsia="Arial" w:hAnsi="Arial" w:cs="Arial"/>
          <w:b/>
          <w:sz w:val="20"/>
          <w:szCs w:val="20"/>
        </w:rPr>
      </w:pPr>
    </w:p>
    <w:p w14:paraId="5098AEB7" w14:textId="77777777" w:rsidR="002B57B9" w:rsidRDefault="002B57B9">
      <w:pPr>
        <w:spacing w:line="240" w:lineRule="auto"/>
        <w:ind w:firstLine="720"/>
        <w:jc w:val="both"/>
        <w:rPr>
          <w:rFonts w:ascii="Arial" w:eastAsia="Arial" w:hAnsi="Arial" w:cs="Arial"/>
          <w:b/>
          <w:sz w:val="20"/>
          <w:szCs w:val="20"/>
        </w:rPr>
      </w:pPr>
    </w:p>
    <w:p w14:paraId="0C73889C" w14:textId="77777777" w:rsidR="002B57B9" w:rsidRDefault="002B57B9">
      <w:pPr>
        <w:spacing w:line="240" w:lineRule="auto"/>
        <w:ind w:firstLine="720"/>
        <w:jc w:val="both"/>
        <w:rPr>
          <w:rFonts w:ascii="Arial" w:eastAsia="Arial" w:hAnsi="Arial" w:cs="Arial"/>
          <w:b/>
          <w:sz w:val="20"/>
          <w:szCs w:val="20"/>
        </w:rPr>
      </w:pPr>
    </w:p>
    <w:p w14:paraId="474C9240" w14:textId="77777777" w:rsidR="002B57B9" w:rsidRDefault="002B57B9">
      <w:pPr>
        <w:spacing w:line="240" w:lineRule="auto"/>
        <w:ind w:firstLine="720"/>
        <w:jc w:val="both"/>
        <w:rPr>
          <w:rFonts w:ascii="Arial" w:eastAsia="Arial" w:hAnsi="Arial" w:cs="Arial"/>
          <w:b/>
          <w:sz w:val="20"/>
          <w:szCs w:val="20"/>
        </w:rPr>
      </w:pPr>
    </w:p>
    <w:p w14:paraId="167554B2" w14:textId="77777777" w:rsidR="007112A5" w:rsidRDefault="007112A5" w:rsidP="0029419B">
      <w:pPr>
        <w:spacing w:line="240" w:lineRule="auto"/>
        <w:jc w:val="both"/>
        <w:rPr>
          <w:rFonts w:ascii="Arial" w:eastAsia="Arial" w:hAnsi="Arial" w:cs="Arial"/>
          <w:b/>
          <w:sz w:val="20"/>
          <w:szCs w:val="20"/>
        </w:rPr>
      </w:pPr>
    </w:p>
    <w:p w14:paraId="5F938953" w14:textId="77777777" w:rsidR="002B57B9" w:rsidRDefault="002B57B9">
      <w:pPr>
        <w:spacing w:line="240" w:lineRule="auto"/>
        <w:ind w:firstLine="720"/>
        <w:jc w:val="both"/>
        <w:rPr>
          <w:rFonts w:ascii="Arial" w:eastAsia="Arial" w:hAnsi="Arial" w:cs="Arial"/>
          <w:b/>
          <w:sz w:val="20"/>
          <w:szCs w:val="20"/>
        </w:rPr>
      </w:pPr>
    </w:p>
    <w:p w14:paraId="01E1750C" w14:textId="6CD3D617" w:rsidR="00F2189D" w:rsidRDefault="00F2189D">
      <w:pPr>
        <w:spacing w:line="240" w:lineRule="auto"/>
        <w:ind w:firstLine="720"/>
        <w:jc w:val="both"/>
        <w:rPr>
          <w:rFonts w:ascii="Arial" w:eastAsia="Arial" w:hAnsi="Arial" w:cs="Arial"/>
          <w:b/>
          <w:sz w:val="20"/>
          <w:szCs w:val="20"/>
        </w:rPr>
      </w:pPr>
      <w:r>
        <w:rPr>
          <w:rFonts w:ascii="Arial" w:eastAsia="Arial" w:hAnsi="Arial" w:cs="Arial"/>
          <w:b/>
          <w:sz w:val="20"/>
          <w:szCs w:val="20"/>
        </w:rPr>
        <w:lastRenderedPageBreak/>
        <w:t>Fig 5-</w:t>
      </w:r>
      <w:r w:rsidRPr="00F2189D">
        <w:t xml:space="preserve"> </w:t>
      </w:r>
      <w:r w:rsidRPr="00F2189D">
        <w:rPr>
          <w:rFonts w:ascii="Arial" w:eastAsia="Arial" w:hAnsi="Arial" w:cs="Arial"/>
          <w:b/>
          <w:sz w:val="20"/>
          <w:szCs w:val="20"/>
        </w:rPr>
        <w:t xml:space="preserve">Emergent themes, Categories and codes on </w:t>
      </w:r>
      <w:r>
        <w:rPr>
          <w:rFonts w:ascii="Arial" w:eastAsia="Arial" w:hAnsi="Arial" w:cs="Arial"/>
          <w:b/>
          <w:sz w:val="20"/>
          <w:szCs w:val="20"/>
        </w:rPr>
        <w:t xml:space="preserve">the strategies can the industry recommended addressing the identified existing lacking for the TVL students </w:t>
      </w:r>
      <w:r w:rsidRPr="00F2189D">
        <w:rPr>
          <w:rFonts w:ascii="Arial" w:eastAsia="Arial" w:hAnsi="Arial" w:cs="Arial"/>
          <w:b/>
          <w:sz w:val="20"/>
          <w:szCs w:val="20"/>
        </w:rPr>
        <w:t xml:space="preserve">during their </w:t>
      </w:r>
      <w:proofErr w:type="gramStart"/>
      <w:r w:rsidRPr="00F2189D">
        <w:rPr>
          <w:rFonts w:ascii="Arial" w:eastAsia="Arial" w:hAnsi="Arial" w:cs="Arial"/>
          <w:b/>
          <w:sz w:val="20"/>
          <w:szCs w:val="20"/>
        </w:rPr>
        <w:t>On</w:t>
      </w:r>
      <w:proofErr w:type="gramEnd"/>
      <w:r w:rsidRPr="00F2189D">
        <w:rPr>
          <w:rFonts w:ascii="Arial" w:eastAsia="Arial" w:hAnsi="Arial" w:cs="Arial"/>
          <w:b/>
          <w:sz w:val="20"/>
          <w:szCs w:val="20"/>
        </w:rPr>
        <w:t xml:space="preserve"> the-Job training</w:t>
      </w:r>
    </w:p>
    <w:p w14:paraId="3A081A75" w14:textId="109010CE" w:rsidR="002B57B9" w:rsidRDefault="00193F43">
      <w:pPr>
        <w:spacing w:line="240" w:lineRule="auto"/>
        <w:ind w:firstLine="720"/>
        <w:jc w:val="both"/>
        <w:rPr>
          <w:rFonts w:ascii="Arial" w:eastAsia="Arial" w:hAnsi="Arial" w:cs="Arial"/>
          <w:b/>
          <w:sz w:val="20"/>
          <w:szCs w:val="20"/>
        </w:rPr>
      </w:pPr>
      <w:r>
        <w:rPr>
          <w:rFonts w:ascii="Arial" w:eastAsia="Arial" w:hAnsi="Arial" w:cs="Arial"/>
          <w:b/>
          <w:sz w:val="20"/>
          <w:szCs w:val="20"/>
        </w:rPr>
        <w:t>Theme 1: Curriculum Innovation Through Industry Insight</w:t>
      </w:r>
    </w:p>
    <w:p w14:paraId="66D12193" w14:textId="3FDD63B4" w:rsidR="002B57B9" w:rsidRDefault="00193F43" w:rsidP="00B72DA4">
      <w:pPr>
        <w:spacing w:before="240" w:after="240" w:line="240" w:lineRule="auto"/>
        <w:ind w:firstLine="720"/>
        <w:jc w:val="both"/>
        <w:rPr>
          <w:rFonts w:ascii="Arial" w:eastAsia="Arial" w:hAnsi="Arial" w:cs="Arial"/>
          <w:sz w:val="20"/>
          <w:szCs w:val="20"/>
        </w:rPr>
      </w:pPr>
      <w:r>
        <w:rPr>
          <w:rFonts w:ascii="Arial" w:eastAsia="Arial" w:hAnsi="Arial" w:cs="Arial"/>
          <w:sz w:val="20"/>
          <w:szCs w:val="20"/>
        </w:rPr>
        <w:t xml:space="preserve">Curriculum innovation guided by industry insights significantly influences enhancing students' on-the-job training (OJT) experience.  This way, students gain important </w:t>
      </w:r>
      <w:r w:rsidR="00E10562">
        <w:rPr>
          <w:rFonts w:ascii="Arial" w:eastAsia="Arial" w:hAnsi="Arial" w:cs="Arial"/>
          <w:sz w:val="20"/>
          <w:szCs w:val="20"/>
        </w:rPr>
        <w:t xml:space="preserve">exposure, </w:t>
      </w:r>
      <w:r>
        <w:rPr>
          <w:rFonts w:ascii="Arial" w:eastAsia="Arial" w:hAnsi="Arial" w:cs="Arial"/>
          <w:sz w:val="20"/>
          <w:szCs w:val="20"/>
        </w:rPr>
        <w:t>knowledge</w:t>
      </w:r>
      <w:r w:rsidR="00E10562">
        <w:rPr>
          <w:rFonts w:ascii="Arial" w:eastAsia="Arial" w:hAnsi="Arial" w:cs="Arial"/>
          <w:sz w:val="20"/>
          <w:szCs w:val="20"/>
        </w:rPr>
        <w:t>, and</w:t>
      </w:r>
      <w:r>
        <w:rPr>
          <w:rFonts w:ascii="Arial" w:eastAsia="Arial" w:hAnsi="Arial" w:cs="Arial"/>
          <w:sz w:val="20"/>
          <w:szCs w:val="20"/>
        </w:rPr>
        <w:t xml:space="preserve"> skills requisite to the educational curriculum and the industry needs </w:t>
      </w:r>
      <w:r w:rsidR="00E10562">
        <w:rPr>
          <w:rFonts w:ascii="Arial" w:eastAsia="Arial" w:hAnsi="Arial" w:cs="Arial"/>
          <w:sz w:val="20"/>
          <w:szCs w:val="20"/>
        </w:rPr>
        <w:t xml:space="preserve">that </w:t>
      </w:r>
      <w:r>
        <w:rPr>
          <w:rFonts w:ascii="Arial" w:eastAsia="Arial" w:hAnsi="Arial" w:cs="Arial"/>
          <w:sz w:val="20"/>
          <w:szCs w:val="20"/>
        </w:rPr>
        <w:t>a student has to acquire from college.</w:t>
      </w:r>
      <w:r w:rsidR="00E10562">
        <w:rPr>
          <w:rFonts w:ascii="Arial" w:eastAsia="Arial" w:hAnsi="Arial" w:cs="Arial"/>
          <w:sz w:val="20"/>
          <w:szCs w:val="20"/>
        </w:rPr>
        <w:t xml:space="preserve"> </w:t>
      </w:r>
      <w:r>
        <w:rPr>
          <w:rFonts w:ascii="Arial" w:eastAsia="Arial" w:hAnsi="Arial" w:cs="Arial"/>
          <w:sz w:val="20"/>
          <w:szCs w:val="20"/>
        </w:rPr>
        <w:t>Two categories have emerged under this theme: 1</w:t>
      </w:r>
      <w:r w:rsidR="00E10562">
        <w:rPr>
          <w:rFonts w:ascii="Arial" w:eastAsia="Arial" w:hAnsi="Arial" w:cs="Arial"/>
          <w:sz w:val="20"/>
          <w:szCs w:val="20"/>
        </w:rPr>
        <w:t>) Enhancing Industry-School Partnerships, 2</w:t>
      </w:r>
      <w:r>
        <w:rPr>
          <w:rFonts w:ascii="Arial" w:eastAsia="Arial" w:hAnsi="Arial" w:cs="Arial"/>
          <w:sz w:val="20"/>
          <w:szCs w:val="20"/>
        </w:rPr>
        <w:t>) Improving Skills and Curriculum.</w:t>
      </w:r>
    </w:p>
    <w:p w14:paraId="0001E597" w14:textId="77777777" w:rsidR="002B57B9" w:rsidRDefault="00193F43">
      <w:pPr>
        <w:spacing w:before="240" w:after="240" w:line="240" w:lineRule="auto"/>
        <w:ind w:firstLine="720"/>
        <w:jc w:val="both"/>
        <w:rPr>
          <w:rFonts w:ascii="Arial" w:eastAsia="Arial" w:hAnsi="Arial" w:cs="Arial"/>
          <w:b/>
          <w:sz w:val="20"/>
          <w:szCs w:val="20"/>
        </w:rPr>
      </w:pPr>
      <w:r>
        <w:rPr>
          <w:rFonts w:ascii="Arial" w:eastAsia="Arial" w:hAnsi="Arial" w:cs="Arial"/>
          <w:b/>
          <w:sz w:val="20"/>
          <w:szCs w:val="20"/>
        </w:rPr>
        <w:t>Category 1: E</w:t>
      </w:r>
      <w:r>
        <w:rPr>
          <w:rFonts w:ascii="Arial" w:eastAsia="Arial" w:hAnsi="Arial" w:cs="Arial"/>
          <w:b/>
          <w:sz w:val="20"/>
          <w:szCs w:val="20"/>
        </w:rPr>
        <w:t>nhancing Industry-School Partnerships</w:t>
      </w:r>
    </w:p>
    <w:p w14:paraId="24ABEBA1" w14:textId="7F0D38A4" w:rsidR="002B57B9" w:rsidRDefault="00193F43">
      <w:pPr>
        <w:spacing w:before="240" w:after="240" w:line="240" w:lineRule="auto"/>
        <w:ind w:firstLine="720"/>
        <w:jc w:val="both"/>
        <w:rPr>
          <w:rFonts w:ascii="Arial" w:eastAsia="Arial" w:hAnsi="Arial" w:cs="Arial"/>
          <w:sz w:val="20"/>
          <w:szCs w:val="20"/>
        </w:rPr>
      </w:pPr>
      <w:r>
        <w:rPr>
          <w:rFonts w:ascii="Arial" w:eastAsia="Arial" w:hAnsi="Arial" w:cs="Arial"/>
          <w:sz w:val="20"/>
          <w:szCs w:val="20"/>
        </w:rPr>
        <w:t> Technical-Vocational Livelihood (TVL) has the necessary capabilities to satisfy industrial demands.</w:t>
      </w:r>
      <w:r w:rsidR="00E10562">
        <w:rPr>
          <w:rFonts w:ascii="Arial" w:eastAsia="Arial" w:hAnsi="Arial" w:cs="Arial"/>
          <w:sz w:val="20"/>
          <w:szCs w:val="20"/>
        </w:rPr>
        <w:t xml:space="preserve"> </w:t>
      </w:r>
      <w:r>
        <w:rPr>
          <w:rFonts w:ascii="Arial" w:eastAsia="Arial" w:hAnsi="Arial" w:cs="Arial"/>
          <w:sz w:val="20"/>
          <w:szCs w:val="20"/>
        </w:rPr>
        <w:t>Collaboration</w:t>
      </w:r>
      <w:r w:rsidR="00E10562">
        <w:rPr>
          <w:rFonts w:ascii="Arial" w:eastAsia="Arial" w:hAnsi="Arial" w:cs="Arial"/>
          <w:sz w:val="20"/>
          <w:szCs w:val="20"/>
        </w:rPr>
        <w:t xml:space="preserve"> or partnership</w:t>
      </w:r>
      <w:r>
        <w:rPr>
          <w:rFonts w:ascii="Arial" w:eastAsia="Arial" w:hAnsi="Arial" w:cs="Arial"/>
          <w:sz w:val="20"/>
          <w:szCs w:val="20"/>
        </w:rPr>
        <w:t xml:space="preserve"> helps educational institutions stay updated on technological advances and industry trend</w:t>
      </w:r>
      <w:r>
        <w:rPr>
          <w:rFonts w:ascii="Arial" w:eastAsia="Arial" w:hAnsi="Arial" w:cs="Arial"/>
          <w:sz w:val="20"/>
          <w:szCs w:val="20"/>
        </w:rPr>
        <w:t>s, ensuring their curriculum remains relevant and competitive. This category generates two (2) codes: Exposure to Industry and Industry-School Collaboration.</w:t>
      </w:r>
    </w:p>
    <w:p w14:paraId="5472603A" w14:textId="77777777" w:rsidR="007112A5" w:rsidRPr="007112A5" w:rsidRDefault="007112A5">
      <w:pPr>
        <w:spacing w:before="240" w:after="240" w:line="240" w:lineRule="auto"/>
        <w:ind w:firstLine="720"/>
        <w:jc w:val="both"/>
        <w:rPr>
          <w:rFonts w:ascii="Arial" w:eastAsia="Arial" w:hAnsi="Arial" w:cs="Arial"/>
          <w:sz w:val="20"/>
          <w:szCs w:val="20"/>
        </w:rPr>
      </w:pPr>
    </w:p>
    <w:p w14:paraId="727B3EE0" w14:textId="77777777" w:rsidR="002B57B9" w:rsidRDefault="00193F43">
      <w:pPr>
        <w:spacing w:before="240" w:after="240" w:line="240" w:lineRule="auto"/>
        <w:ind w:firstLine="720"/>
        <w:jc w:val="both"/>
        <w:rPr>
          <w:rFonts w:ascii="Arial" w:eastAsia="Arial" w:hAnsi="Arial" w:cs="Arial"/>
          <w:b/>
          <w:sz w:val="20"/>
          <w:szCs w:val="20"/>
        </w:rPr>
      </w:pPr>
      <w:r>
        <w:rPr>
          <w:rFonts w:ascii="Arial" w:eastAsia="Arial" w:hAnsi="Arial" w:cs="Arial"/>
          <w:b/>
          <w:sz w:val="20"/>
          <w:szCs w:val="20"/>
        </w:rPr>
        <w:t>Exposure to industry</w:t>
      </w:r>
    </w:p>
    <w:p w14:paraId="0434B080" w14:textId="0CAC6E24" w:rsidR="002B57B9" w:rsidRDefault="00193F43">
      <w:pPr>
        <w:spacing w:before="240" w:after="240" w:line="240" w:lineRule="auto"/>
        <w:ind w:firstLine="720"/>
        <w:jc w:val="both"/>
        <w:rPr>
          <w:rFonts w:ascii="Arial" w:eastAsia="Arial" w:hAnsi="Arial" w:cs="Arial"/>
          <w:sz w:val="20"/>
          <w:szCs w:val="20"/>
        </w:rPr>
      </w:pPr>
      <w:r>
        <w:rPr>
          <w:rFonts w:ascii="Arial" w:eastAsia="Arial" w:hAnsi="Arial" w:cs="Arial"/>
          <w:sz w:val="20"/>
          <w:szCs w:val="20"/>
        </w:rPr>
        <w:t>Students</w:t>
      </w:r>
      <w:r w:rsidR="00E10562">
        <w:rPr>
          <w:rFonts w:ascii="Arial" w:eastAsia="Arial" w:hAnsi="Arial" w:cs="Arial"/>
          <w:sz w:val="20"/>
          <w:szCs w:val="20"/>
        </w:rPr>
        <w:t xml:space="preserve"> become </w:t>
      </w:r>
      <w:r>
        <w:rPr>
          <w:rFonts w:ascii="Arial" w:eastAsia="Arial" w:hAnsi="Arial" w:cs="Arial"/>
          <w:sz w:val="20"/>
          <w:szCs w:val="20"/>
        </w:rPr>
        <w:t xml:space="preserve">equipped with specific technical skills </w:t>
      </w:r>
      <w:r w:rsidR="00E10562">
        <w:rPr>
          <w:rFonts w:ascii="Arial" w:eastAsia="Arial" w:hAnsi="Arial" w:cs="Arial"/>
          <w:sz w:val="20"/>
          <w:szCs w:val="20"/>
        </w:rPr>
        <w:t xml:space="preserve">and </w:t>
      </w:r>
      <w:r>
        <w:rPr>
          <w:rFonts w:ascii="Arial" w:eastAsia="Arial" w:hAnsi="Arial" w:cs="Arial"/>
          <w:sz w:val="20"/>
          <w:szCs w:val="20"/>
        </w:rPr>
        <w:t>receive more pro</w:t>
      </w:r>
      <w:r>
        <w:rPr>
          <w:rFonts w:ascii="Arial" w:eastAsia="Arial" w:hAnsi="Arial" w:cs="Arial"/>
          <w:sz w:val="20"/>
          <w:szCs w:val="20"/>
        </w:rPr>
        <w:t>found information about interactions in the given industry. These exposures give them the confidence and preparedness to transition seamlessly from learning to working worlds. Butler et al. (2020) mentioned that these experiences enable students to acquire</w:t>
      </w:r>
      <w:r>
        <w:rPr>
          <w:rFonts w:ascii="Arial" w:eastAsia="Arial" w:hAnsi="Arial" w:cs="Arial"/>
          <w:sz w:val="20"/>
          <w:szCs w:val="20"/>
        </w:rPr>
        <w:t xml:space="preserve"> technical skills and a deeper understanding of workplace interactions, including teamwork, communication, and project coordination.</w:t>
      </w:r>
      <w:r w:rsidR="00F13D1D">
        <w:rPr>
          <w:rFonts w:ascii="Arial" w:eastAsia="Arial" w:hAnsi="Arial" w:cs="Arial"/>
          <w:sz w:val="20"/>
          <w:szCs w:val="20"/>
        </w:rPr>
        <w:t xml:space="preserve"> Kolb (2022) stated that it is effective when students engage in direct experiences that allow them to apply concepts in real-world contexts. </w:t>
      </w:r>
      <w:r>
        <w:rPr>
          <w:rFonts w:ascii="Arial" w:eastAsia="Arial" w:hAnsi="Arial" w:cs="Arial"/>
          <w:sz w:val="20"/>
          <w:szCs w:val="20"/>
        </w:rPr>
        <w:t xml:space="preserve">The industry has made suggestions to ensure such exposure is provided, such as better on-site practice, proper apprenticeship training, and collaboration between institutions and industries, such as the local government.  </w:t>
      </w:r>
      <w:r w:rsidR="007112A5">
        <w:rPr>
          <w:rFonts w:ascii="Arial" w:eastAsia="Arial" w:hAnsi="Arial" w:cs="Arial"/>
          <w:sz w:val="20"/>
          <w:szCs w:val="20"/>
        </w:rPr>
        <w:t>This was confirmed by (IDI_KI3 &amp; IDI_KI1)</w:t>
      </w:r>
      <w:r w:rsidR="00D2511A">
        <w:rPr>
          <w:rFonts w:ascii="Arial" w:eastAsia="Arial" w:hAnsi="Arial" w:cs="Arial"/>
          <w:sz w:val="20"/>
          <w:szCs w:val="20"/>
        </w:rPr>
        <w:t>.</w:t>
      </w:r>
    </w:p>
    <w:p w14:paraId="7463E29B" w14:textId="77777777" w:rsidR="002B57B9" w:rsidRDefault="00193F43">
      <w:pPr>
        <w:spacing w:before="240" w:after="240" w:line="240" w:lineRule="auto"/>
        <w:ind w:firstLine="720"/>
        <w:jc w:val="both"/>
        <w:rPr>
          <w:rFonts w:ascii="Arial" w:eastAsia="Arial" w:hAnsi="Arial" w:cs="Arial"/>
          <w:sz w:val="20"/>
          <w:szCs w:val="20"/>
        </w:rPr>
      </w:pPr>
      <w:r>
        <w:rPr>
          <w:rFonts w:ascii="Arial" w:eastAsia="Arial" w:hAnsi="Arial" w:cs="Arial"/>
          <w:b/>
          <w:sz w:val="20"/>
          <w:szCs w:val="20"/>
        </w:rPr>
        <w:t>Industry and School Collaboration</w:t>
      </w:r>
    </w:p>
    <w:p w14:paraId="36F958C8" w14:textId="00A33B4E" w:rsidR="002B57B9" w:rsidRDefault="00193F43">
      <w:pPr>
        <w:spacing w:after="0" w:line="240" w:lineRule="auto"/>
        <w:ind w:firstLine="720"/>
        <w:jc w:val="both"/>
        <w:rPr>
          <w:rFonts w:ascii="Arial" w:eastAsia="Arial" w:hAnsi="Arial" w:cs="Arial"/>
          <w:sz w:val="20"/>
          <w:szCs w:val="20"/>
        </w:rPr>
      </w:pPr>
      <w:r>
        <w:rPr>
          <w:rFonts w:ascii="Arial" w:eastAsia="Arial" w:hAnsi="Arial" w:cs="Arial"/>
          <w:sz w:val="20"/>
          <w:szCs w:val="20"/>
        </w:rPr>
        <w:t xml:space="preserve">The collaboration between industry and schools bridges the gap between theory and practice. It is essential for improving students' abilities and understanding, equipping them for careers </w:t>
      </w:r>
      <w:r>
        <w:rPr>
          <w:rFonts w:ascii="Arial" w:eastAsia="Arial" w:hAnsi="Arial" w:cs="Arial"/>
          <w:sz w:val="20"/>
          <w:szCs w:val="20"/>
        </w:rPr>
        <w:t>and entrepreneurial ventures. Developing strong industry relations equips students with practical skills, professional experience, and essential networks for their careers and entrepreneurial ventures. Such alliances help connect academic education with th</w:t>
      </w:r>
      <w:r>
        <w:rPr>
          <w:rFonts w:ascii="Arial" w:eastAsia="Arial" w:hAnsi="Arial" w:cs="Arial"/>
          <w:sz w:val="20"/>
          <w:szCs w:val="20"/>
        </w:rPr>
        <w:t xml:space="preserve">e requirements of the needs of the industry (Nayak et al., 2024). Industry exposure within the schooling framework is crucial for students’ abilities and preparedness for their work in the future. The partnership programs between schools and collaborative </w:t>
      </w:r>
      <w:r>
        <w:rPr>
          <w:rFonts w:ascii="Arial" w:eastAsia="Arial" w:hAnsi="Arial" w:cs="Arial"/>
          <w:sz w:val="20"/>
          <w:szCs w:val="20"/>
        </w:rPr>
        <w:t>institutions provide important training programs and workshops to bridge the gap between theory and practice. These partnerships help prepare job-ready graduates by integrating real-world experience into academic programs, addressing the growing demand fro</w:t>
      </w:r>
      <w:r>
        <w:rPr>
          <w:rFonts w:ascii="Arial" w:eastAsia="Arial" w:hAnsi="Arial" w:cs="Arial"/>
          <w:sz w:val="20"/>
          <w:szCs w:val="20"/>
        </w:rPr>
        <w:t>m employers for practical skills (</w:t>
      </w:r>
      <w:proofErr w:type="spellStart"/>
      <w:r>
        <w:rPr>
          <w:rFonts w:ascii="Arial" w:eastAsia="Arial" w:hAnsi="Arial" w:cs="Arial"/>
          <w:sz w:val="20"/>
          <w:szCs w:val="20"/>
        </w:rPr>
        <w:t>Angolia</w:t>
      </w:r>
      <w:proofErr w:type="spellEnd"/>
      <w:r>
        <w:rPr>
          <w:rFonts w:ascii="Arial" w:eastAsia="Arial" w:hAnsi="Arial" w:cs="Arial"/>
          <w:sz w:val="20"/>
          <w:szCs w:val="20"/>
        </w:rPr>
        <w:t xml:space="preserve"> et al., 2014). </w:t>
      </w:r>
      <w:r w:rsidR="007112A5">
        <w:rPr>
          <w:rFonts w:ascii="Arial" w:eastAsia="Arial" w:hAnsi="Arial" w:cs="Arial"/>
          <w:sz w:val="20"/>
          <w:szCs w:val="20"/>
        </w:rPr>
        <w:t>This was confirmed by (IDI_KI3, IDI_KI1 &amp; IDI_KI2)</w:t>
      </w:r>
    </w:p>
    <w:p w14:paraId="16CFCFE5" w14:textId="77777777" w:rsidR="002B57B9" w:rsidRDefault="002B57B9">
      <w:pPr>
        <w:spacing w:after="0" w:line="240" w:lineRule="auto"/>
        <w:jc w:val="both"/>
        <w:rPr>
          <w:rFonts w:ascii="Arial" w:eastAsia="Arial" w:hAnsi="Arial" w:cs="Arial"/>
          <w:b/>
          <w:sz w:val="20"/>
          <w:szCs w:val="20"/>
        </w:rPr>
      </w:pPr>
    </w:p>
    <w:p w14:paraId="3D67327F" w14:textId="77777777" w:rsidR="002B57B9" w:rsidRDefault="002B57B9">
      <w:pPr>
        <w:spacing w:after="0" w:line="240" w:lineRule="auto"/>
        <w:jc w:val="both"/>
        <w:rPr>
          <w:rFonts w:ascii="Arial" w:eastAsia="Arial" w:hAnsi="Arial" w:cs="Arial"/>
          <w:b/>
          <w:sz w:val="20"/>
          <w:szCs w:val="20"/>
        </w:rPr>
      </w:pPr>
    </w:p>
    <w:p w14:paraId="3B0915B8" w14:textId="77777777" w:rsidR="002B57B9" w:rsidRDefault="00193F43">
      <w:pPr>
        <w:spacing w:after="0" w:line="240" w:lineRule="auto"/>
        <w:ind w:firstLine="720"/>
        <w:jc w:val="both"/>
        <w:rPr>
          <w:rFonts w:ascii="Arial" w:eastAsia="Arial" w:hAnsi="Arial" w:cs="Arial"/>
          <w:sz w:val="20"/>
          <w:szCs w:val="20"/>
        </w:rPr>
      </w:pPr>
      <w:r>
        <w:rPr>
          <w:rFonts w:ascii="Arial" w:eastAsia="Arial" w:hAnsi="Arial" w:cs="Arial"/>
          <w:b/>
          <w:sz w:val="20"/>
          <w:szCs w:val="20"/>
        </w:rPr>
        <w:t>Category 2: Improving Skills and Curriculum</w:t>
      </w:r>
    </w:p>
    <w:p w14:paraId="2F0E4BF3" w14:textId="1AF18899" w:rsidR="002B57B9" w:rsidRDefault="00193F43">
      <w:pPr>
        <w:spacing w:before="240" w:after="240" w:line="240" w:lineRule="auto"/>
        <w:jc w:val="both"/>
        <w:rPr>
          <w:rFonts w:ascii="Arial" w:eastAsia="Arial" w:hAnsi="Arial" w:cs="Arial"/>
          <w:sz w:val="20"/>
          <w:szCs w:val="20"/>
        </w:rPr>
      </w:pPr>
      <w:r>
        <w:rPr>
          <w:rFonts w:ascii="Arial" w:eastAsia="Arial" w:hAnsi="Arial" w:cs="Arial"/>
          <w:b/>
          <w:sz w:val="20"/>
          <w:szCs w:val="20"/>
        </w:rPr>
        <w:tab/>
      </w:r>
      <w:r>
        <w:rPr>
          <w:rFonts w:ascii="Arial" w:eastAsia="Arial" w:hAnsi="Arial" w:cs="Arial"/>
          <w:sz w:val="20"/>
          <w:szCs w:val="20"/>
        </w:rPr>
        <w:t>Improving the academic program and acquiring new knowledge and skills is imperative to ensure that th</w:t>
      </w:r>
      <w:r>
        <w:rPr>
          <w:rFonts w:ascii="Arial" w:eastAsia="Arial" w:hAnsi="Arial" w:cs="Arial"/>
          <w:sz w:val="20"/>
          <w:szCs w:val="20"/>
        </w:rPr>
        <w:t>e Technical-Vocational-Livelihood (TVL) workforce can meet the demands of the sector. When such a curriculum is relevant to the current trends in the industry, students are sure to gain relevant technical knowledge and practical experience.</w:t>
      </w:r>
      <w:r w:rsidR="00F13D1D">
        <w:rPr>
          <w:rFonts w:ascii="Arial" w:eastAsia="Arial" w:hAnsi="Arial" w:cs="Arial"/>
          <w:sz w:val="20"/>
          <w:szCs w:val="20"/>
        </w:rPr>
        <w:t xml:space="preserve"> </w:t>
      </w:r>
      <w:r>
        <w:rPr>
          <w:rFonts w:ascii="Arial" w:eastAsia="Arial" w:hAnsi="Arial" w:cs="Arial"/>
          <w:sz w:val="20"/>
          <w:szCs w:val="20"/>
        </w:rPr>
        <w:t>This category g</w:t>
      </w:r>
      <w:r>
        <w:rPr>
          <w:rFonts w:ascii="Arial" w:eastAsia="Arial" w:hAnsi="Arial" w:cs="Arial"/>
          <w:sz w:val="20"/>
          <w:szCs w:val="20"/>
        </w:rPr>
        <w:t>enerates 2 two codes: skill improvement and curriculum development.</w:t>
      </w:r>
    </w:p>
    <w:p w14:paraId="175B9F4B" w14:textId="77777777" w:rsidR="007112A5" w:rsidRDefault="007112A5">
      <w:pPr>
        <w:spacing w:before="240" w:after="240" w:line="240" w:lineRule="auto"/>
        <w:jc w:val="both"/>
        <w:rPr>
          <w:rFonts w:ascii="Arial" w:eastAsia="Arial" w:hAnsi="Arial" w:cs="Arial"/>
          <w:sz w:val="20"/>
          <w:szCs w:val="20"/>
        </w:rPr>
      </w:pPr>
    </w:p>
    <w:p w14:paraId="528481D7" w14:textId="77777777" w:rsidR="002B57B9" w:rsidRDefault="00193F43">
      <w:pPr>
        <w:spacing w:before="240" w:after="240" w:line="240" w:lineRule="auto"/>
        <w:ind w:firstLine="720"/>
        <w:jc w:val="both"/>
        <w:rPr>
          <w:rFonts w:ascii="Arial" w:eastAsia="Arial" w:hAnsi="Arial" w:cs="Arial"/>
          <w:b/>
          <w:sz w:val="20"/>
          <w:szCs w:val="20"/>
        </w:rPr>
      </w:pPr>
      <w:r>
        <w:rPr>
          <w:rFonts w:ascii="Arial" w:eastAsia="Arial" w:hAnsi="Arial" w:cs="Arial"/>
          <w:b/>
          <w:sz w:val="20"/>
          <w:szCs w:val="20"/>
        </w:rPr>
        <w:t>Skill Improvement</w:t>
      </w:r>
    </w:p>
    <w:p w14:paraId="407609C5" w14:textId="344D0343" w:rsidR="002B57B9" w:rsidRDefault="00193F43">
      <w:pPr>
        <w:spacing w:before="240" w:after="240" w:line="240" w:lineRule="auto"/>
        <w:ind w:firstLine="720"/>
        <w:jc w:val="both"/>
        <w:rPr>
          <w:rFonts w:ascii="Arial" w:eastAsia="Arial" w:hAnsi="Arial" w:cs="Arial"/>
          <w:sz w:val="20"/>
          <w:szCs w:val="20"/>
        </w:rPr>
      </w:pPr>
      <w:r>
        <w:rPr>
          <w:rFonts w:ascii="Arial" w:eastAsia="Arial" w:hAnsi="Arial" w:cs="Arial"/>
          <w:sz w:val="20"/>
          <w:szCs w:val="20"/>
        </w:rPr>
        <w:t>Skills are critical for every Technical Vocational and Livelihood (TVL) student as they prepare for real-world challenges. Technical Vocational and Livelihood (TVL) seek</w:t>
      </w:r>
      <w:r>
        <w:rPr>
          <w:rFonts w:ascii="Arial" w:eastAsia="Arial" w:hAnsi="Arial" w:cs="Arial"/>
          <w:sz w:val="20"/>
          <w:szCs w:val="20"/>
        </w:rPr>
        <w:t>s to develop students' career skills and prepare them for the job market. As Wangchuk (2023) mentioned, workplace training enhances students' abilities, understanding, and capability to implement theoretical ideas in real-world environments. As supported b</w:t>
      </w:r>
      <w:r>
        <w:rPr>
          <w:rFonts w:ascii="Arial" w:eastAsia="Arial" w:hAnsi="Arial" w:cs="Arial"/>
          <w:sz w:val="20"/>
          <w:szCs w:val="20"/>
        </w:rPr>
        <w:t xml:space="preserve">y </w:t>
      </w:r>
      <w:proofErr w:type="spellStart"/>
      <w:r>
        <w:rPr>
          <w:rFonts w:ascii="Arial" w:eastAsia="Arial" w:hAnsi="Arial" w:cs="Arial"/>
          <w:sz w:val="20"/>
          <w:szCs w:val="20"/>
        </w:rPr>
        <w:t>Vallesteros</w:t>
      </w:r>
      <w:proofErr w:type="spellEnd"/>
      <w:r>
        <w:rPr>
          <w:rFonts w:ascii="Arial" w:eastAsia="Arial" w:hAnsi="Arial" w:cs="Arial"/>
          <w:sz w:val="20"/>
          <w:szCs w:val="20"/>
        </w:rPr>
        <w:t xml:space="preserve"> (2022), the school learning environment, including human practices and material systems, significantly influences students' employability regarding cognitive relationships, hands-on skills, and attitudes. Skills are important in every discipl</w:t>
      </w:r>
      <w:r>
        <w:rPr>
          <w:rFonts w:ascii="Arial" w:eastAsia="Arial" w:hAnsi="Arial" w:cs="Arial"/>
          <w:sz w:val="20"/>
          <w:szCs w:val="20"/>
        </w:rPr>
        <w:t>ine as they make the graduate more competent and flexible in a way that enables each student to face and excel in any given task in the relevant field of study.</w:t>
      </w:r>
      <w:r w:rsidR="007112A5">
        <w:rPr>
          <w:rFonts w:ascii="Arial" w:eastAsia="Arial" w:hAnsi="Arial" w:cs="Arial"/>
          <w:sz w:val="20"/>
          <w:szCs w:val="20"/>
        </w:rPr>
        <w:t xml:space="preserve"> This was confirmed by (IDI_KI2 &amp; IDI_KI1)</w:t>
      </w:r>
    </w:p>
    <w:p w14:paraId="0B619D4A" w14:textId="77777777" w:rsidR="002B57B9" w:rsidRDefault="002B57B9">
      <w:pPr>
        <w:spacing w:before="240" w:after="240" w:line="240" w:lineRule="auto"/>
        <w:ind w:firstLine="720"/>
        <w:jc w:val="both"/>
        <w:rPr>
          <w:rFonts w:ascii="Arial" w:eastAsia="Arial" w:hAnsi="Arial" w:cs="Arial"/>
          <w:sz w:val="20"/>
          <w:szCs w:val="20"/>
        </w:rPr>
      </w:pPr>
    </w:p>
    <w:p w14:paraId="3ADBE7BD" w14:textId="77777777" w:rsidR="002B57B9" w:rsidRDefault="00193F43">
      <w:pPr>
        <w:spacing w:before="240" w:after="240" w:line="240" w:lineRule="auto"/>
        <w:ind w:firstLine="720"/>
        <w:jc w:val="both"/>
        <w:rPr>
          <w:rFonts w:ascii="Arial" w:eastAsia="Arial" w:hAnsi="Arial" w:cs="Arial"/>
          <w:b/>
          <w:sz w:val="20"/>
          <w:szCs w:val="20"/>
        </w:rPr>
      </w:pPr>
      <w:r>
        <w:rPr>
          <w:rFonts w:ascii="Arial" w:eastAsia="Arial" w:hAnsi="Arial" w:cs="Arial"/>
          <w:b/>
          <w:sz w:val="20"/>
          <w:szCs w:val="20"/>
        </w:rPr>
        <w:t>Curriculum Enhancement</w:t>
      </w:r>
    </w:p>
    <w:p w14:paraId="21561EEB" w14:textId="4769B36D" w:rsidR="002B57B9" w:rsidRDefault="00193F43">
      <w:pPr>
        <w:spacing w:before="240" w:after="240" w:line="240" w:lineRule="auto"/>
        <w:jc w:val="both"/>
        <w:rPr>
          <w:rFonts w:ascii="Arial" w:eastAsia="Arial" w:hAnsi="Arial" w:cs="Arial"/>
          <w:sz w:val="20"/>
          <w:szCs w:val="20"/>
        </w:rPr>
      </w:pPr>
      <w:r>
        <w:rPr>
          <w:rFonts w:ascii="Arial" w:eastAsia="Arial" w:hAnsi="Arial" w:cs="Arial"/>
          <w:sz w:val="20"/>
          <w:szCs w:val="20"/>
        </w:rPr>
        <w:tab/>
        <w:t>Enhancing the curriculum cor</w:t>
      </w:r>
      <w:r>
        <w:rPr>
          <w:rFonts w:ascii="Arial" w:eastAsia="Arial" w:hAnsi="Arial" w:cs="Arial"/>
          <w:sz w:val="20"/>
          <w:szCs w:val="20"/>
        </w:rPr>
        <w:t>responds with broader educational theories that combine theory and practice to foster effective learning.</w:t>
      </w:r>
      <w:r w:rsidR="00F13D1D">
        <w:rPr>
          <w:rFonts w:ascii="Arial" w:eastAsia="Arial" w:hAnsi="Arial" w:cs="Arial"/>
          <w:sz w:val="20"/>
          <w:szCs w:val="20"/>
        </w:rPr>
        <w:t xml:space="preserve"> T</w:t>
      </w:r>
      <w:r>
        <w:rPr>
          <w:rFonts w:ascii="Arial" w:eastAsia="Arial" w:hAnsi="Arial" w:cs="Arial"/>
          <w:sz w:val="20"/>
          <w:szCs w:val="20"/>
        </w:rPr>
        <w:t>he practical experiences help to produce feedback that will be useful in improving the offered curricula in response to the needs of the industry. Co</w:t>
      </w:r>
      <w:r>
        <w:rPr>
          <w:rFonts w:ascii="Arial" w:eastAsia="Arial" w:hAnsi="Arial" w:cs="Arial"/>
          <w:sz w:val="20"/>
          <w:szCs w:val="20"/>
        </w:rPr>
        <w:t xml:space="preserve">nsequently, academia and industry need to work together to develop the curriculum (Kelly et al., 2023). The feedback may help educators understand how the practical experiences have prepared students for the workforce and how suitable the curriculum is in </w:t>
      </w:r>
      <w:r>
        <w:rPr>
          <w:rFonts w:ascii="Arial" w:eastAsia="Arial" w:hAnsi="Arial" w:cs="Arial"/>
          <w:sz w:val="20"/>
          <w:szCs w:val="20"/>
        </w:rPr>
        <w:t xml:space="preserve">meeting those needs. </w:t>
      </w:r>
      <w:proofErr w:type="spellStart"/>
      <w:r>
        <w:rPr>
          <w:rFonts w:ascii="Arial" w:eastAsia="Arial" w:hAnsi="Arial" w:cs="Arial"/>
          <w:sz w:val="20"/>
          <w:szCs w:val="20"/>
        </w:rPr>
        <w:t>Gicana</w:t>
      </w:r>
      <w:proofErr w:type="spellEnd"/>
      <w:r>
        <w:rPr>
          <w:rFonts w:ascii="Arial" w:eastAsia="Arial" w:hAnsi="Arial" w:cs="Arial"/>
          <w:sz w:val="20"/>
          <w:szCs w:val="20"/>
        </w:rPr>
        <w:t xml:space="preserve"> (2023) highlights the importance of enhancing Technical Vocational Education and Training (TVET) curricula to meet industry demands. Utilizing theoretical knowledge in real-world settings allows students to develop a deeper unde</w:t>
      </w:r>
      <w:r>
        <w:rPr>
          <w:rFonts w:ascii="Arial" w:eastAsia="Arial" w:hAnsi="Arial" w:cs="Arial"/>
          <w:sz w:val="20"/>
          <w:szCs w:val="20"/>
        </w:rPr>
        <w:t xml:space="preserve">rstanding of their field, which fosters excellent engagement of the students within the learning process. </w:t>
      </w:r>
      <w:r w:rsidR="007112A5">
        <w:rPr>
          <w:rFonts w:ascii="Arial" w:eastAsia="Arial" w:hAnsi="Arial" w:cs="Arial"/>
          <w:sz w:val="20"/>
          <w:szCs w:val="20"/>
        </w:rPr>
        <w:t>This was confirmed by (IDI_KI2 &amp; IDI_KI1)</w:t>
      </w:r>
    </w:p>
    <w:p w14:paraId="7FECEE5D" w14:textId="77777777" w:rsidR="002B57B9" w:rsidRDefault="002B57B9">
      <w:pPr>
        <w:spacing w:line="240" w:lineRule="auto"/>
        <w:jc w:val="both"/>
        <w:rPr>
          <w:rFonts w:ascii="Arial" w:eastAsia="Arial" w:hAnsi="Arial" w:cs="Arial"/>
          <w:sz w:val="20"/>
          <w:szCs w:val="20"/>
        </w:rPr>
      </w:pPr>
    </w:p>
    <w:p w14:paraId="3325E849" w14:textId="77777777" w:rsidR="00F13D1D" w:rsidRDefault="00F13D1D">
      <w:pPr>
        <w:spacing w:line="240" w:lineRule="auto"/>
        <w:jc w:val="both"/>
        <w:rPr>
          <w:rFonts w:ascii="Arial" w:eastAsia="Arial" w:hAnsi="Arial" w:cs="Arial"/>
          <w:sz w:val="20"/>
          <w:szCs w:val="20"/>
        </w:rPr>
      </w:pPr>
    </w:p>
    <w:p w14:paraId="3F81738D" w14:textId="77777777" w:rsidR="002B57B9" w:rsidRDefault="00193F43">
      <w:pPr>
        <w:spacing w:line="240" w:lineRule="auto"/>
        <w:jc w:val="both"/>
        <w:rPr>
          <w:rFonts w:ascii="Arial" w:eastAsia="Arial" w:hAnsi="Arial" w:cs="Arial"/>
          <w:b/>
        </w:rPr>
      </w:pPr>
      <w:r>
        <w:rPr>
          <w:rFonts w:ascii="Arial" w:eastAsia="Arial" w:hAnsi="Arial" w:cs="Arial"/>
          <w:b/>
        </w:rPr>
        <w:t>5. CONCLUSIONS AND RECOMMENDATIONS</w:t>
      </w:r>
    </w:p>
    <w:p w14:paraId="643AB52C" w14:textId="77777777" w:rsidR="002B57B9" w:rsidRDefault="002B57B9">
      <w:pPr>
        <w:spacing w:line="240" w:lineRule="auto"/>
        <w:jc w:val="both"/>
        <w:rPr>
          <w:rFonts w:ascii="Arial" w:eastAsia="Arial" w:hAnsi="Arial" w:cs="Arial"/>
          <w:b/>
        </w:rPr>
      </w:pPr>
    </w:p>
    <w:p w14:paraId="3B4547BB" w14:textId="77777777" w:rsidR="002B57B9" w:rsidRDefault="00193F43">
      <w:pPr>
        <w:spacing w:line="240" w:lineRule="auto"/>
        <w:jc w:val="both"/>
        <w:rPr>
          <w:rFonts w:ascii="Arial" w:eastAsia="Arial" w:hAnsi="Arial" w:cs="Arial"/>
          <w:b/>
          <w:sz w:val="20"/>
          <w:szCs w:val="20"/>
        </w:rPr>
      </w:pPr>
      <w:r>
        <w:rPr>
          <w:rFonts w:ascii="Arial" w:eastAsia="Arial" w:hAnsi="Arial" w:cs="Arial"/>
          <w:b/>
          <w:sz w:val="20"/>
          <w:szCs w:val="20"/>
        </w:rPr>
        <w:t>Conclusion</w:t>
      </w:r>
    </w:p>
    <w:p w14:paraId="6BDD963D" w14:textId="77777777" w:rsidR="002B57B9" w:rsidRDefault="00193F43">
      <w:pPr>
        <w:spacing w:before="240" w:after="240" w:line="240" w:lineRule="auto"/>
        <w:ind w:firstLine="720"/>
        <w:jc w:val="both"/>
        <w:rPr>
          <w:rFonts w:ascii="Arial" w:eastAsia="Arial" w:hAnsi="Arial" w:cs="Arial"/>
          <w:sz w:val="20"/>
          <w:szCs w:val="20"/>
        </w:rPr>
      </w:pPr>
      <w:r>
        <w:rPr>
          <w:rFonts w:ascii="Arial" w:eastAsia="Arial" w:hAnsi="Arial" w:cs="Arial"/>
          <w:sz w:val="20"/>
          <w:szCs w:val="20"/>
        </w:rPr>
        <w:t xml:space="preserve">Based on the findings of the study, the following </w:t>
      </w:r>
      <w:r>
        <w:rPr>
          <w:rFonts w:ascii="Arial" w:eastAsia="Arial" w:hAnsi="Arial" w:cs="Arial"/>
          <w:sz w:val="20"/>
          <w:szCs w:val="20"/>
        </w:rPr>
        <w:t>conclusions were drawn:</w:t>
      </w:r>
    </w:p>
    <w:p w14:paraId="2ED9A30A" w14:textId="77777777" w:rsidR="002B57B9" w:rsidRDefault="00193F43">
      <w:pPr>
        <w:spacing w:after="0" w:line="240" w:lineRule="auto"/>
        <w:jc w:val="center"/>
        <w:rPr>
          <w:rFonts w:ascii="Arial" w:eastAsia="Arial" w:hAnsi="Arial" w:cs="Arial"/>
          <w:b/>
          <w:sz w:val="20"/>
          <w:szCs w:val="20"/>
        </w:rPr>
      </w:pPr>
      <w:r>
        <w:rPr>
          <w:rFonts w:ascii="Arial" w:eastAsia="Arial" w:hAnsi="Arial" w:cs="Arial"/>
          <w:b/>
          <w:sz w:val="20"/>
          <w:szCs w:val="20"/>
        </w:rPr>
        <w:t>SUMMARY AND IMPLICATION</w:t>
      </w:r>
    </w:p>
    <w:p w14:paraId="6E507A4A" w14:textId="77777777" w:rsidR="002B57B9" w:rsidRDefault="002B57B9">
      <w:pPr>
        <w:spacing w:after="0" w:line="240" w:lineRule="auto"/>
        <w:rPr>
          <w:rFonts w:ascii="Arial" w:eastAsia="Arial" w:hAnsi="Arial" w:cs="Arial"/>
          <w:b/>
          <w:sz w:val="20"/>
          <w:szCs w:val="20"/>
        </w:rPr>
      </w:pPr>
    </w:p>
    <w:p w14:paraId="207069E9" w14:textId="77777777" w:rsidR="002B57B9" w:rsidRDefault="00193F43">
      <w:pPr>
        <w:spacing w:after="0" w:line="240" w:lineRule="auto"/>
        <w:ind w:firstLine="720"/>
        <w:jc w:val="both"/>
        <w:rPr>
          <w:rFonts w:ascii="Arial" w:eastAsia="Arial" w:hAnsi="Arial" w:cs="Arial"/>
          <w:sz w:val="20"/>
          <w:szCs w:val="20"/>
        </w:rPr>
      </w:pPr>
      <w:r>
        <w:rPr>
          <w:rFonts w:ascii="Arial" w:eastAsia="Arial" w:hAnsi="Arial" w:cs="Arial"/>
          <w:sz w:val="20"/>
          <w:szCs w:val="20"/>
        </w:rPr>
        <w:t>This final chapter contains the study’s summary, implication, and recommendations to highlight the salient area that needs in-depth attention regarding the Experiences of Agriculture Industry Employers in Ho</w:t>
      </w:r>
      <w:r>
        <w:rPr>
          <w:rFonts w:ascii="Arial" w:eastAsia="Arial" w:hAnsi="Arial" w:cs="Arial"/>
          <w:sz w:val="20"/>
          <w:szCs w:val="20"/>
        </w:rPr>
        <w:t>using Agricultural Crop Production Trainees.</w:t>
      </w:r>
    </w:p>
    <w:p w14:paraId="139BE165" w14:textId="77777777" w:rsidR="002B57B9" w:rsidRDefault="002B57B9">
      <w:pPr>
        <w:spacing w:after="0" w:line="240" w:lineRule="auto"/>
        <w:jc w:val="both"/>
        <w:rPr>
          <w:rFonts w:ascii="Arial" w:eastAsia="Arial" w:hAnsi="Arial" w:cs="Arial"/>
          <w:b/>
          <w:sz w:val="20"/>
          <w:szCs w:val="20"/>
        </w:rPr>
      </w:pPr>
    </w:p>
    <w:p w14:paraId="5E2299AF" w14:textId="77777777" w:rsidR="002B57B9" w:rsidRDefault="00193F43">
      <w:pPr>
        <w:spacing w:after="0" w:line="240" w:lineRule="auto"/>
        <w:jc w:val="both"/>
        <w:rPr>
          <w:rFonts w:ascii="Arial" w:eastAsia="Arial" w:hAnsi="Arial" w:cs="Arial"/>
          <w:b/>
          <w:sz w:val="20"/>
          <w:szCs w:val="20"/>
        </w:rPr>
      </w:pPr>
      <w:r>
        <w:rPr>
          <w:rFonts w:ascii="Arial" w:eastAsia="Arial" w:hAnsi="Arial" w:cs="Arial"/>
          <w:b/>
          <w:sz w:val="20"/>
          <w:szCs w:val="20"/>
        </w:rPr>
        <w:t>Summary</w:t>
      </w:r>
    </w:p>
    <w:p w14:paraId="706EBF0A" w14:textId="77777777" w:rsidR="002B57B9" w:rsidRPr="00B72DA4" w:rsidRDefault="00193F43">
      <w:pPr>
        <w:spacing w:after="0" w:line="240" w:lineRule="auto"/>
        <w:jc w:val="both"/>
        <w:rPr>
          <w:rFonts w:ascii="Arial" w:eastAsia="Arial" w:hAnsi="Arial" w:cs="Arial"/>
          <w:sz w:val="20"/>
          <w:szCs w:val="20"/>
        </w:rPr>
      </w:pPr>
      <w:r>
        <w:rPr>
          <w:rFonts w:ascii="Arial" w:eastAsia="Arial" w:hAnsi="Arial" w:cs="Arial"/>
          <w:b/>
          <w:sz w:val="20"/>
          <w:szCs w:val="20"/>
        </w:rPr>
        <w:tab/>
      </w:r>
      <w:r w:rsidRPr="00B72DA4">
        <w:rPr>
          <w:rFonts w:ascii="Arial" w:eastAsia="Arial" w:hAnsi="Arial" w:cs="Arial"/>
          <w:sz w:val="20"/>
          <w:szCs w:val="20"/>
        </w:rPr>
        <w:t xml:space="preserve">This study examines the agricultural industry's view on hiring TVL crop production graduates. It identifies four key employability factors: skills, work ethic, readiness, and curriculum relevance. </w:t>
      </w:r>
      <w:r w:rsidRPr="00B72DA4">
        <w:rPr>
          <w:rFonts w:ascii="Arial" w:eastAsia="Arial" w:hAnsi="Arial" w:cs="Arial"/>
          <w:sz w:val="20"/>
          <w:szCs w:val="20"/>
        </w:rPr>
        <w:t>Employer insights help guide improvements in students’ competencies to meet industry standards.</w:t>
      </w:r>
    </w:p>
    <w:p w14:paraId="63A3D51F" w14:textId="77777777" w:rsidR="002B57B9" w:rsidRPr="00B72DA4" w:rsidRDefault="002B57B9">
      <w:pPr>
        <w:spacing w:after="0" w:line="240" w:lineRule="auto"/>
        <w:jc w:val="both"/>
        <w:rPr>
          <w:sz w:val="20"/>
          <w:szCs w:val="20"/>
        </w:rPr>
      </w:pPr>
    </w:p>
    <w:p w14:paraId="1F33F515" w14:textId="77777777" w:rsidR="002B57B9" w:rsidRPr="00B72DA4" w:rsidRDefault="00193F43">
      <w:pPr>
        <w:spacing w:after="0" w:line="240" w:lineRule="auto"/>
        <w:jc w:val="both"/>
        <w:rPr>
          <w:rFonts w:ascii="Arial" w:eastAsia="Arial" w:hAnsi="Arial" w:cs="Arial"/>
          <w:b/>
          <w:sz w:val="20"/>
          <w:szCs w:val="20"/>
        </w:rPr>
      </w:pPr>
      <w:r w:rsidRPr="00B72DA4">
        <w:rPr>
          <w:rFonts w:ascii="Arial" w:eastAsia="Arial" w:hAnsi="Arial" w:cs="Arial"/>
          <w:b/>
          <w:sz w:val="20"/>
          <w:szCs w:val="20"/>
        </w:rPr>
        <w:t>Findings</w:t>
      </w:r>
    </w:p>
    <w:p w14:paraId="746C84AC" w14:textId="2B05AA72" w:rsidR="002B57B9" w:rsidRDefault="00193F43">
      <w:pPr>
        <w:spacing w:line="240" w:lineRule="auto"/>
        <w:jc w:val="both"/>
        <w:rPr>
          <w:rFonts w:ascii="Arial" w:hAnsi="Arial" w:cs="Arial"/>
          <w:sz w:val="20"/>
          <w:szCs w:val="20"/>
        </w:rPr>
      </w:pPr>
      <w:r w:rsidRPr="00B72DA4">
        <w:rPr>
          <w:rFonts w:ascii="Arial" w:eastAsia="Arial" w:hAnsi="Arial" w:cs="Arial"/>
          <w:sz w:val="20"/>
          <w:szCs w:val="20"/>
        </w:rPr>
        <w:tab/>
      </w:r>
      <w:r w:rsidRPr="00B72DA4">
        <w:rPr>
          <w:rFonts w:ascii="Arial" w:hAnsi="Arial" w:cs="Arial"/>
          <w:sz w:val="20"/>
          <w:szCs w:val="20"/>
        </w:rPr>
        <w:t xml:space="preserve">The study found that employers value both technical </w:t>
      </w:r>
      <w:proofErr w:type="gramStart"/>
      <w:r w:rsidRPr="00B72DA4">
        <w:rPr>
          <w:rFonts w:ascii="Arial" w:hAnsi="Arial" w:cs="Arial"/>
          <w:sz w:val="20"/>
          <w:szCs w:val="20"/>
        </w:rPr>
        <w:t>skills  pest</w:t>
      </w:r>
      <w:proofErr w:type="gramEnd"/>
      <w:r w:rsidRPr="00B72DA4">
        <w:rPr>
          <w:rFonts w:ascii="Arial" w:hAnsi="Arial" w:cs="Arial"/>
          <w:sz w:val="20"/>
          <w:szCs w:val="20"/>
        </w:rPr>
        <w:t xml:space="preserve"> control, harvesting, fertilizer use and interpersonal traits punctuality, honesty, d</w:t>
      </w:r>
      <w:r w:rsidRPr="00B72DA4">
        <w:rPr>
          <w:rFonts w:ascii="Arial" w:hAnsi="Arial" w:cs="Arial"/>
          <w:sz w:val="20"/>
          <w:szCs w:val="20"/>
        </w:rPr>
        <w:t xml:space="preserve">iligence. However, they noted gaps in hands-on experience and communication, as well as concerns about professionalism and maturity. Despite this, students were </w:t>
      </w:r>
      <w:r w:rsidRPr="00B72DA4">
        <w:rPr>
          <w:rFonts w:ascii="Arial" w:hAnsi="Arial" w:cs="Arial"/>
          <w:sz w:val="20"/>
          <w:szCs w:val="20"/>
        </w:rPr>
        <w:lastRenderedPageBreak/>
        <w:t>seen as physically capable. Employers recommend stronger school-industry ties and curriculum up</w:t>
      </w:r>
      <w:r w:rsidRPr="00B72DA4">
        <w:rPr>
          <w:rFonts w:ascii="Arial" w:hAnsi="Arial" w:cs="Arial"/>
          <w:sz w:val="20"/>
          <w:szCs w:val="20"/>
        </w:rPr>
        <w:t>dates to better prepare students for real-world agricultural work.</w:t>
      </w:r>
    </w:p>
    <w:p w14:paraId="2DD5D0CB" w14:textId="77777777" w:rsidR="00B72DA4" w:rsidRPr="00B72DA4" w:rsidRDefault="00B72DA4">
      <w:pPr>
        <w:spacing w:line="240" w:lineRule="auto"/>
        <w:jc w:val="both"/>
        <w:rPr>
          <w:rFonts w:ascii="Arial" w:hAnsi="Arial" w:cs="Arial"/>
          <w:sz w:val="20"/>
          <w:szCs w:val="20"/>
        </w:rPr>
      </w:pPr>
    </w:p>
    <w:p w14:paraId="022AA4E3" w14:textId="77777777" w:rsidR="002B57B9" w:rsidRDefault="00193F43">
      <w:pPr>
        <w:spacing w:line="240" w:lineRule="auto"/>
        <w:jc w:val="both"/>
        <w:rPr>
          <w:rFonts w:ascii="Arial" w:eastAsia="Arial" w:hAnsi="Arial" w:cs="Arial"/>
          <w:b/>
          <w:sz w:val="20"/>
          <w:szCs w:val="20"/>
        </w:rPr>
      </w:pPr>
      <w:r>
        <w:rPr>
          <w:rFonts w:ascii="Arial" w:eastAsia="Arial" w:hAnsi="Arial" w:cs="Arial"/>
          <w:b/>
          <w:sz w:val="20"/>
          <w:szCs w:val="20"/>
        </w:rPr>
        <w:t>Implication for Practice</w:t>
      </w:r>
      <w:r>
        <w:rPr>
          <w:rFonts w:ascii="Arial" w:eastAsia="Arial" w:hAnsi="Arial" w:cs="Arial"/>
          <w:b/>
          <w:sz w:val="20"/>
          <w:szCs w:val="20"/>
        </w:rPr>
        <w:tab/>
      </w:r>
    </w:p>
    <w:p w14:paraId="3904493E" w14:textId="77777777" w:rsidR="002B57B9" w:rsidRDefault="00193F43">
      <w:pPr>
        <w:spacing w:before="240" w:after="240" w:line="240" w:lineRule="auto"/>
        <w:ind w:firstLine="720"/>
        <w:jc w:val="both"/>
        <w:rPr>
          <w:rFonts w:ascii="Arial" w:eastAsia="Arial" w:hAnsi="Arial" w:cs="Arial"/>
          <w:sz w:val="20"/>
          <w:szCs w:val="20"/>
        </w:rPr>
      </w:pPr>
      <w:r>
        <w:rPr>
          <w:rFonts w:ascii="Arial" w:eastAsia="Arial" w:hAnsi="Arial" w:cs="Arial"/>
          <w:sz w:val="20"/>
          <w:szCs w:val="20"/>
        </w:rPr>
        <w:t xml:space="preserve">The findings emphasize the need for stronger collaboration between agriculture employers and training providers to align on-the-job training with industry needs. </w:t>
      </w:r>
      <w:r>
        <w:rPr>
          <w:rFonts w:ascii="Arial" w:eastAsia="Arial" w:hAnsi="Arial" w:cs="Arial"/>
          <w:sz w:val="20"/>
          <w:szCs w:val="20"/>
        </w:rPr>
        <w:t>Regular communication and updated curricula ensure trainees gain relevant, hands-on experience under expert supervision, building a skilled, job-ready workforce for Davao del Norte’s agriculture sector.</w:t>
      </w:r>
    </w:p>
    <w:p w14:paraId="747AB2E1" w14:textId="77777777" w:rsidR="002B57B9" w:rsidRDefault="00193F43">
      <w:pPr>
        <w:spacing w:before="240" w:after="240" w:line="240" w:lineRule="auto"/>
        <w:jc w:val="both"/>
        <w:rPr>
          <w:rFonts w:ascii="Arial" w:eastAsia="Arial" w:hAnsi="Arial" w:cs="Arial"/>
          <w:sz w:val="20"/>
          <w:szCs w:val="20"/>
        </w:rPr>
      </w:pPr>
      <w:r>
        <w:rPr>
          <w:rFonts w:ascii="Arial" w:eastAsia="Arial" w:hAnsi="Arial" w:cs="Arial"/>
          <w:b/>
          <w:sz w:val="20"/>
          <w:szCs w:val="20"/>
        </w:rPr>
        <w:t>Students</w:t>
      </w:r>
      <w:r>
        <w:rPr>
          <w:rFonts w:ascii="Arial" w:eastAsia="Arial" w:hAnsi="Arial" w:cs="Arial"/>
          <w:sz w:val="20"/>
          <w:szCs w:val="20"/>
        </w:rPr>
        <w:t xml:space="preserve"> gain clearer insights into agricultural work</w:t>
      </w:r>
      <w:r>
        <w:rPr>
          <w:rFonts w:ascii="Arial" w:eastAsia="Arial" w:hAnsi="Arial" w:cs="Arial"/>
          <w:sz w:val="20"/>
          <w:szCs w:val="20"/>
        </w:rPr>
        <w:t>, helping them set realistic expectations and develop both technical and soft skills like communication, teamwork, and problem-solving.</w:t>
      </w:r>
    </w:p>
    <w:p w14:paraId="222D4D0A" w14:textId="77777777" w:rsidR="002B57B9" w:rsidRDefault="00193F43">
      <w:pPr>
        <w:spacing w:before="240" w:after="240" w:line="240" w:lineRule="auto"/>
        <w:jc w:val="both"/>
        <w:rPr>
          <w:rFonts w:ascii="Arial" w:eastAsia="Arial" w:hAnsi="Arial" w:cs="Arial"/>
          <w:sz w:val="20"/>
          <w:szCs w:val="20"/>
        </w:rPr>
      </w:pPr>
      <w:r>
        <w:rPr>
          <w:rFonts w:ascii="Arial" w:eastAsia="Arial" w:hAnsi="Arial" w:cs="Arial"/>
          <w:b/>
          <w:sz w:val="20"/>
          <w:szCs w:val="20"/>
        </w:rPr>
        <w:t>Parents</w:t>
      </w:r>
      <w:r>
        <w:rPr>
          <w:rFonts w:ascii="Arial" w:eastAsia="Arial" w:hAnsi="Arial" w:cs="Arial"/>
          <w:sz w:val="20"/>
          <w:szCs w:val="20"/>
        </w:rPr>
        <w:t xml:space="preserve"> can better support their children by understanding the demands of agriculture careers and encouraging participat</w:t>
      </w:r>
      <w:r>
        <w:rPr>
          <w:rFonts w:ascii="Arial" w:eastAsia="Arial" w:hAnsi="Arial" w:cs="Arial"/>
          <w:sz w:val="20"/>
          <w:szCs w:val="20"/>
        </w:rPr>
        <w:t>ion in internships and apprenticeships.</w:t>
      </w:r>
    </w:p>
    <w:p w14:paraId="3EF1304E" w14:textId="77777777" w:rsidR="002B57B9" w:rsidRDefault="00193F43">
      <w:pPr>
        <w:spacing w:before="240" w:after="240" w:line="240" w:lineRule="auto"/>
        <w:jc w:val="both"/>
        <w:rPr>
          <w:rFonts w:ascii="Arial" w:eastAsia="Arial" w:hAnsi="Arial" w:cs="Arial"/>
          <w:sz w:val="20"/>
          <w:szCs w:val="20"/>
        </w:rPr>
      </w:pPr>
      <w:r>
        <w:rPr>
          <w:rFonts w:ascii="Arial" w:eastAsia="Arial" w:hAnsi="Arial" w:cs="Arial"/>
          <w:b/>
          <w:sz w:val="20"/>
          <w:szCs w:val="20"/>
        </w:rPr>
        <w:t>Teachers</w:t>
      </w:r>
      <w:r>
        <w:rPr>
          <w:rFonts w:ascii="Arial" w:eastAsia="Arial" w:hAnsi="Arial" w:cs="Arial"/>
          <w:sz w:val="20"/>
          <w:szCs w:val="20"/>
        </w:rPr>
        <w:t xml:space="preserve"> should prioritize hands-on learning, build industry ties, and pursue professional growth to align teaching with evolving industry standards.</w:t>
      </w:r>
    </w:p>
    <w:p w14:paraId="45D6F89A" w14:textId="77777777" w:rsidR="002B57B9" w:rsidRDefault="00193F43">
      <w:pPr>
        <w:spacing w:before="240" w:after="240" w:line="240" w:lineRule="auto"/>
        <w:jc w:val="both"/>
        <w:rPr>
          <w:rFonts w:ascii="Arial" w:eastAsia="Arial" w:hAnsi="Arial" w:cs="Arial"/>
          <w:sz w:val="20"/>
          <w:szCs w:val="20"/>
        </w:rPr>
      </w:pPr>
      <w:r>
        <w:rPr>
          <w:rFonts w:ascii="Arial" w:eastAsia="Arial" w:hAnsi="Arial" w:cs="Arial"/>
          <w:b/>
          <w:sz w:val="20"/>
          <w:szCs w:val="20"/>
        </w:rPr>
        <w:t>Schools</w:t>
      </w:r>
      <w:r>
        <w:rPr>
          <w:rFonts w:ascii="Arial" w:eastAsia="Arial" w:hAnsi="Arial" w:cs="Arial"/>
          <w:sz w:val="20"/>
          <w:szCs w:val="20"/>
        </w:rPr>
        <w:t xml:space="preserve"> are encouraged to revise curricula, strengthen student sup</w:t>
      </w:r>
      <w:r>
        <w:rPr>
          <w:rFonts w:ascii="Arial" w:eastAsia="Arial" w:hAnsi="Arial" w:cs="Arial"/>
          <w:sz w:val="20"/>
          <w:szCs w:val="20"/>
        </w:rPr>
        <w:t>port, and formalize partnerships with industries to provide practical, workforce-aligned training.</w:t>
      </w:r>
    </w:p>
    <w:p w14:paraId="630C04BC" w14:textId="77777777" w:rsidR="002B57B9" w:rsidRDefault="002B57B9">
      <w:pPr>
        <w:spacing w:after="0" w:line="240" w:lineRule="auto"/>
        <w:jc w:val="both"/>
        <w:rPr>
          <w:rFonts w:ascii="Arial" w:eastAsia="Arial" w:hAnsi="Arial" w:cs="Arial"/>
          <w:b/>
          <w:sz w:val="20"/>
          <w:szCs w:val="20"/>
        </w:rPr>
      </w:pPr>
    </w:p>
    <w:p w14:paraId="5F1E8380" w14:textId="77777777" w:rsidR="002B57B9" w:rsidRDefault="002B57B9">
      <w:pPr>
        <w:spacing w:after="0" w:line="240" w:lineRule="auto"/>
        <w:jc w:val="both"/>
        <w:rPr>
          <w:rFonts w:ascii="Arial" w:eastAsia="Arial" w:hAnsi="Arial" w:cs="Arial"/>
          <w:b/>
          <w:sz w:val="20"/>
          <w:szCs w:val="20"/>
        </w:rPr>
      </w:pPr>
    </w:p>
    <w:p w14:paraId="30A7B239" w14:textId="77777777" w:rsidR="002B57B9" w:rsidRDefault="00193F43">
      <w:pPr>
        <w:spacing w:after="0" w:line="240" w:lineRule="auto"/>
        <w:jc w:val="both"/>
        <w:rPr>
          <w:rFonts w:ascii="Arial" w:eastAsia="Arial" w:hAnsi="Arial" w:cs="Arial"/>
          <w:b/>
          <w:sz w:val="20"/>
          <w:szCs w:val="20"/>
        </w:rPr>
      </w:pPr>
      <w:r>
        <w:rPr>
          <w:rFonts w:ascii="Arial" w:eastAsia="Arial" w:hAnsi="Arial" w:cs="Arial"/>
          <w:b/>
          <w:sz w:val="20"/>
          <w:szCs w:val="20"/>
        </w:rPr>
        <w:t>Implication to Theories</w:t>
      </w:r>
    </w:p>
    <w:p w14:paraId="2C6CFDB0" w14:textId="77777777" w:rsidR="002B57B9" w:rsidRPr="00B72DA4" w:rsidRDefault="00193F43">
      <w:pPr>
        <w:spacing w:after="0" w:line="240" w:lineRule="auto"/>
        <w:ind w:firstLine="720"/>
        <w:jc w:val="both"/>
        <w:rPr>
          <w:rFonts w:ascii="Arial" w:hAnsi="Arial" w:cs="Arial"/>
          <w:sz w:val="20"/>
          <w:szCs w:val="20"/>
        </w:rPr>
      </w:pPr>
      <w:r w:rsidRPr="00B72DA4">
        <w:rPr>
          <w:rFonts w:ascii="Arial" w:hAnsi="Arial" w:cs="Arial"/>
          <w:sz w:val="20"/>
          <w:szCs w:val="20"/>
        </w:rPr>
        <w:t xml:space="preserve">The agriculture industry's views on TVL students align with Collins' Cognitive Apprenticeship and Experiential Learning theories, </w:t>
      </w:r>
      <w:r w:rsidRPr="00B72DA4">
        <w:rPr>
          <w:rFonts w:ascii="Arial" w:hAnsi="Arial" w:cs="Arial"/>
          <w:sz w:val="20"/>
          <w:szCs w:val="20"/>
        </w:rPr>
        <w:t>which stress learning through real-world, mentor-guided experience. In banana plantations, students apply classroom knowledge to tasks like pest control and harvesting, gaining practical and soft skills such as communication and teamwork. This hands-on app</w:t>
      </w:r>
      <w:r w:rsidRPr="00B72DA4">
        <w:rPr>
          <w:rFonts w:ascii="Arial" w:hAnsi="Arial" w:cs="Arial"/>
          <w:sz w:val="20"/>
          <w:szCs w:val="20"/>
        </w:rPr>
        <w:t>roach boosts employability and workforce value, with employer-supported training contributing to sustainable agricultural development.</w:t>
      </w:r>
    </w:p>
    <w:p w14:paraId="6C4D1FA1" w14:textId="77777777" w:rsidR="002B57B9" w:rsidRPr="00B72DA4" w:rsidRDefault="002B57B9">
      <w:pPr>
        <w:spacing w:after="0" w:line="240" w:lineRule="auto"/>
        <w:ind w:firstLine="720"/>
        <w:jc w:val="both"/>
        <w:rPr>
          <w:rFonts w:ascii="Arial" w:hAnsi="Arial" w:cs="Arial"/>
          <w:sz w:val="20"/>
          <w:szCs w:val="20"/>
        </w:rPr>
      </w:pPr>
    </w:p>
    <w:p w14:paraId="2A5A38F9" w14:textId="77777777" w:rsidR="002B57B9" w:rsidRDefault="002B57B9" w:rsidP="00B72DA4">
      <w:pPr>
        <w:spacing w:after="0" w:line="240" w:lineRule="auto"/>
        <w:jc w:val="both"/>
      </w:pPr>
    </w:p>
    <w:p w14:paraId="62486EAA" w14:textId="77777777" w:rsidR="002B57B9" w:rsidRDefault="00193F43">
      <w:pPr>
        <w:spacing w:after="0" w:line="240" w:lineRule="auto"/>
        <w:jc w:val="both"/>
        <w:rPr>
          <w:rFonts w:ascii="Arial" w:eastAsia="Arial" w:hAnsi="Arial" w:cs="Arial"/>
          <w:b/>
          <w:sz w:val="20"/>
          <w:szCs w:val="20"/>
        </w:rPr>
      </w:pPr>
      <w:r>
        <w:rPr>
          <w:rFonts w:ascii="Arial" w:eastAsia="Arial" w:hAnsi="Arial" w:cs="Arial"/>
          <w:b/>
          <w:sz w:val="20"/>
          <w:szCs w:val="20"/>
        </w:rPr>
        <w:t>Implication for Future Researchers</w:t>
      </w:r>
    </w:p>
    <w:p w14:paraId="0FCA512B" w14:textId="77777777" w:rsidR="002B57B9" w:rsidRDefault="00193F43">
      <w:pPr>
        <w:spacing w:before="280" w:after="280" w:line="240" w:lineRule="auto"/>
        <w:ind w:firstLine="720"/>
        <w:jc w:val="both"/>
        <w:rPr>
          <w:rFonts w:ascii="Arial" w:eastAsia="Arial" w:hAnsi="Arial" w:cs="Arial"/>
          <w:sz w:val="20"/>
          <w:szCs w:val="20"/>
        </w:rPr>
      </w:pPr>
      <w:r>
        <w:rPr>
          <w:rFonts w:ascii="Arial" w:eastAsia="Arial" w:hAnsi="Arial" w:cs="Arial"/>
          <w:sz w:val="20"/>
          <w:szCs w:val="20"/>
        </w:rPr>
        <w:t>This study provides a foundation for future research on the challenges faced by agri</w:t>
      </w:r>
      <w:r>
        <w:rPr>
          <w:rFonts w:ascii="Arial" w:eastAsia="Arial" w:hAnsi="Arial" w:cs="Arial"/>
          <w:sz w:val="20"/>
          <w:szCs w:val="20"/>
        </w:rPr>
        <w:t>cultural industries in hosting TVL OJTs in Davao del Norte. Future studies can explore other TVL tracks Home Economics, Industrial Arts, and ICT to address industry-specific needs. Using quantitative methods can further improve curricula and alignment with</w:t>
      </w:r>
      <w:r>
        <w:rPr>
          <w:rFonts w:ascii="Arial" w:eastAsia="Arial" w:hAnsi="Arial" w:cs="Arial"/>
          <w:sz w:val="20"/>
          <w:szCs w:val="20"/>
        </w:rPr>
        <w:t xml:space="preserve"> industry standards. Emphasis on digital literacy and emerging technologies is key to preparing graduates for the digital age. Additionally, exploring teaching strategies like project-based and experiential learning can enhance student outcomes and support</w:t>
      </w:r>
      <w:r>
        <w:rPr>
          <w:rFonts w:ascii="Arial" w:eastAsia="Arial" w:hAnsi="Arial" w:cs="Arial"/>
          <w:sz w:val="20"/>
          <w:szCs w:val="20"/>
        </w:rPr>
        <w:t xml:space="preserve"> TVL reform in the agricultural sector.</w:t>
      </w:r>
    </w:p>
    <w:p w14:paraId="416BD14E" w14:textId="77777777" w:rsidR="00B85808" w:rsidRDefault="00B85808">
      <w:pPr>
        <w:spacing w:before="280" w:after="280" w:line="240" w:lineRule="auto"/>
        <w:ind w:firstLine="720"/>
        <w:jc w:val="both"/>
        <w:rPr>
          <w:rFonts w:ascii="Arial" w:eastAsia="Arial" w:hAnsi="Arial" w:cs="Arial"/>
          <w:sz w:val="20"/>
          <w:szCs w:val="20"/>
        </w:rPr>
      </w:pPr>
    </w:p>
    <w:p w14:paraId="514E818B" w14:textId="77777777" w:rsidR="002B57B9" w:rsidRPr="00B72DA4" w:rsidRDefault="00193F43">
      <w:pPr>
        <w:tabs>
          <w:tab w:val="left" w:pos="3381"/>
        </w:tabs>
        <w:spacing w:line="240" w:lineRule="auto"/>
        <w:jc w:val="both"/>
        <w:rPr>
          <w:rFonts w:ascii="Arial" w:eastAsia="Arial" w:hAnsi="Arial" w:cs="Arial"/>
          <w:b/>
          <w:sz w:val="20"/>
          <w:szCs w:val="20"/>
        </w:rPr>
      </w:pPr>
      <w:r w:rsidRPr="00B72DA4">
        <w:rPr>
          <w:rFonts w:ascii="Arial" w:eastAsia="Arial" w:hAnsi="Arial" w:cs="Arial"/>
          <w:b/>
          <w:sz w:val="20"/>
          <w:szCs w:val="20"/>
        </w:rPr>
        <w:t>References</w:t>
      </w:r>
      <w:r w:rsidRPr="00B72DA4">
        <w:rPr>
          <w:rFonts w:ascii="Arial" w:eastAsia="Arial" w:hAnsi="Arial" w:cs="Arial"/>
          <w:b/>
          <w:sz w:val="20"/>
          <w:szCs w:val="20"/>
        </w:rPr>
        <w:tab/>
      </w:r>
    </w:p>
    <w:p w14:paraId="4BCCA51C" w14:textId="77777777" w:rsidR="002B57B9" w:rsidRPr="00B72DA4" w:rsidRDefault="00193F43">
      <w:pPr>
        <w:spacing w:line="240" w:lineRule="auto"/>
        <w:ind w:left="720" w:hanging="720"/>
        <w:jc w:val="both"/>
        <w:rPr>
          <w:rFonts w:ascii="Arial" w:eastAsia="Arial" w:hAnsi="Arial" w:cs="Arial"/>
          <w:sz w:val="20"/>
          <w:szCs w:val="20"/>
        </w:rPr>
      </w:pPr>
      <w:proofErr w:type="spellStart"/>
      <w:r w:rsidRPr="00B72DA4">
        <w:rPr>
          <w:rFonts w:ascii="Arial" w:eastAsia="Arial" w:hAnsi="Arial" w:cs="Arial"/>
          <w:sz w:val="20"/>
          <w:szCs w:val="20"/>
        </w:rPr>
        <w:t>Abun</w:t>
      </w:r>
      <w:proofErr w:type="spellEnd"/>
      <w:r w:rsidRPr="00B72DA4">
        <w:rPr>
          <w:rFonts w:ascii="Arial" w:eastAsia="Arial" w:hAnsi="Arial" w:cs="Arial"/>
          <w:sz w:val="20"/>
          <w:szCs w:val="20"/>
        </w:rPr>
        <w:t xml:space="preserve">, D., Magallanes, T., Marlene, T. N., </w:t>
      </w:r>
      <w:proofErr w:type="spellStart"/>
      <w:r w:rsidRPr="00B72DA4">
        <w:rPr>
          <w:rFonts w:ascii="Arial" w:eastAsia="Arial" w:hAnsi="Arial" w:cs="Arial"/>
          <w:sz w:val="20"/>
          <w:szCs w:val="20"/>
        </w:rPr>
        <w:t>Fredoline</w:t>
      </w:r>
      <w:proofErr w:type="spellEnd"/>
      <w:r w:rsidRPr="00B72DA4">
        <w:rPr>
          <w:rFonts w:ascii="Arial" w:eastAsia="Arial" w:hAnsi="Arial" w:cs="Arial"/>
          <w:sz w:val="20"/>
          <w:szCs w:val="20"/>
        </w:rPr>
        <w:t xml:space="preserve">, J. P., &amp; </w:t>
      </w:r>
      <w:proofErr w:type="spellStart"/>
      <w:r w:rsidRPr="00B72DA4">
        <w:rPr>
          <w:rFonts w:ascii="Arial" w:eastAsia="Arial" w:hAnsi="Arial" w:cs="Arial"/>
          <w:sz w:val="20"/>
          <w:szCs w:val="20"/>
        </w:rPr>
        <w:t>Madamba</w:t>
      </w:r>
      <w:proofErr w:type="spellEnd"/>
      <w:r w:rsidRPr="00B72DA4">
        <w:rPr>
          <w:rFonts w:ascii="Arial" w:eastAsia="Arial" w:hAnsi="Arial" w:cs="Arial"/>
          <w:sz w:val="20"/>
          <w:szCs w:val="20"/>
        </w:rPr>
        <w:t xml:space="preserve">, M. B. (2021). Effect of attitude toward work, work environment on the employees’ work </w:t>
      </w:r>
      <w:proofErr w:type="spellStart"/>
      <w:r w:rsidRPr="00B72DA4">
        <w:rPr>
          <w:rFonts w:ascii="Arial" w:eastAsia="Arial" w:hAnsi="Arial" w:cs="Arial"/>
          <w:sz w:val="20"/>
          <w:szCs w:val="20"/>
        </w:rPr>
        <w:t>selfefficacy</w:t>
      </w:r>
      <w:proofErr w:type="spellEnd"/>
      <w:r w:rsidRPr="00B72DA4">
        <w:rPr>
          <w:rFonts w:ascii="Arial" w:eastAsia="Arial" w:hAnsi="Arial" w:cs="Arial"/>
          <w:sz w:val="20"/>
          <w:szCs w:val="20"/>
        </w:rPr>
        <w:t xml:space="preserve">. </w:t>
      </w:r>
      <w:r w:rsidRPr="00B72DA4">
        <w:rPr>
          <w:rFonts w:ascii="Arial" w:eastAsia="Arial" w:hAnsi="Arial" w:cs="Arial"/>
          <w:i/>
          <w:sz w:val="20"/>
          <w:szCs w:val="20"/>
        </w:rPr>
        <w:t>International Journal of Researc</w:t>
      </w:r>
      <w:r w:rsidRPr="00B72DA4">
        <w:rPr>
          <w:rFonts w:ascii="Arial" w:eastAsia="Arial" w:hAnsi="Arial" w:cs="Arial"/>
          <w:i/>
          <w:sz w:val="20"/>
          <w:szCs w:val="20"/>
        </w:rPr>
        <w:t>h in Business and Social Science (2147-4478)</w:t>
      </w:r>
      <w:r w:rsidRPr="00B72DA4">
        <w:rPr>
          <w:rFonts w:ascii="Arial" w:eastAsia="Arial" w:hAnsi="Arial" w:cs="Arial"/>
          <w:sz w:val="20"/>
          <w:szCs w:val="20"/>
        </w:rPr>
        <w:t xml:space="preserve">, </w:t>
      </w:r>
      <w:r w:rsidRPr="00B72DA4">
        <w:rPr>
          <w:rFonts w:ascii="Arial" w:eastAsia="Arial" w:hAnsi="Arial" w:cs="Arial"/>
          <w:i/>
          <w:sz w:val="20"/>
          <w:szCs w:val="20"/>
        </w:rPr>
        <w:t>10</w:t>
      </w:r>
      <w:r w:rsidRPr="00B72DA4">
        <w:rPr>
          <w:rFonts w:ascii="Arial" w:eastAsia="Arial" w:hAnsi="Arial" w:cs="Arial"/>
          <w:sz w:val="20"/>
          <w:szCs w:val="20"/>
        </w:rPr>
        <w:t xml:space="preserve">(7), 129–141. </w:t>
      </w:r>
      <w:hyperlink r:id="rId12">
        <w:r w:rsidR="002B57B9" w:rsidRPr="00B72DA4">
          <w:rPr>
            <w:rFonts w:ascii="Arial" w:eastAsia="Arial" w:hAnsi="Arial" w:cs="Arial"/>
            <w:color w:val="000000"/>
            <w:sz w:val="20"/>
            <w:szCs w:val="20"/>
          </w:rPr>
          <w:t xml:space="preserve">https://doi.org/10.20525/ijrbs.v10i7.1459 </w:t>
        </w:r>
      </w:hyperlink>
      <w:r w:rsidRPr="00B72DA4">
        <w:rPr>
          <w:rFonts w:ascii="Arial" w:eastAsia="Arial" w:hAnsi="Arial" w:cs="Arial"/>
          <w:sz w:val="20"/>
          <w:szCs w:val="20"/>
        </w:rPr>
        <w:t xml:space="preserve"> </w:t>
      </w:r>
    </w:p>
    <w:p w14:paraId="04E7076E" w14:textId="77777777" w:rsidR="002B57B9" w:rsidRPr="00B72DA4" w:rsidRDefault="00193F43">
      <w:pPr>
        <w:spacing w:line="240" w:lineRule="auto"/>
        <w:ind w:left="720" w:hanging="720"/>
        <w:jc w:val="both"/>
        <w:rPr>
          <w:rFonts w:ascii="Arial" w:eastAsia="Arial" w:hAnsi="Arial" w:cs="Arial"/>
          <w:sz w:val="20"/>
          <w:szCs w:val="20"/>
        </w:rPr>
      </w:pPr>
      <w:proofErr w:type="spellStart"/>
      <w:r w:rsidRPr="00B72DA4">
        <w:rPr>
          <w:rFonts w:ascii="Arial" w:eastAsia="Arial" w:hAnsi="Arial" w:cs="Arial"/>
          <w:sz w:val="20"/>
          <w:szCs w:val="20"/>
        </w:rPr>
        <w:t>Abun</w:t>
      </w:r>
      <w:proofErr w:type="spellEnd"/>
      <w:r w:rsidRPr="00B72DA4">
        <w:rPr>
          <w:rFonts w:ascii="Arial" w:eastAsia="Arial" w:hAnsi="Arial" w:cs="Arial"/>
          <w:sz w:val="20"/>
          <w:szCs w:val="20"/>
        </w:rPr>
        <w:t xml:space="preserve">, D., Julian, F., P., &amp; Ballesteros, J. V., A. (2022). The Effect of Work Ethics of Employees on their Work Performance. </w:t>
      </w:r>
      <w:r w:rsidRPr="00B72DA4">
        <w:rPr>
          <w:rFonts w:ascii="Arial" w:eastAsia="Arial" w:hAnsi="Arial" w:cs="Arial"/>
          <w:i/>
          <w:sz w:val="20"/>
          <w:szCs w:val="20"/>
        </w:rPr>
        <w:t xml:space="preserve">Divine Word International Journal of Management </w:t>
      </w:r>
      <w:r w:rsidRPr="00B72DA4">
        <w:rPr>
          <w:rFonts w:ascii="Arial" w:eastAsia="Arial" w:hAnsi="Arial" w:cs="Arial"/>
          <w:i/>
          <w:sz w:val="20"/>
          <w:szCs w:val="20"/>
        </w:rPr>
        <w:tab/>
        <w:t xml:space="preserve">and </w:t>
      </w:r>
      <w:r w:rsidRPr="00B72DA4">
        <w:rPr>
          <w:rFonts w:ascii="Arial" w:eastAsia="Arial" w:hAnsi="Arial" w:cs="Arial"/>
          <w:i/>
          <w:sz w:val="20"/>
          <w:szCs w:val="20"/>
        </w:rPr>
        <w:tab/>
        <w:t xml:space="preserve">Humanities </w:t>
      </w:r>
      <w:r w:rsidRPr="00B72DA4">
        <w:rPr>
          <w:rFonts w:ascii="Arial" w:eastAsia="Arial" w:hAnsi="Arial" w:cs="Arial"/>
          <w:i/>
          <w:sz w:val="20"/>
          <w:szCs w:val="20"/>
        </w:rPr>
        <w:lastRenderedPageBreak/>
        <w:t>(DWIJMH)</w:t>
      </w:r>
      <w:r w:rsidRPr="00B72DA4">
        <w:rPr>
          <w:rFonts w:ascii="Arial" w:eastAsia="Arial" w:hAnsi="Arial" w:cs="Arial"/>
          <w:sz w:val="20"/>
          <w:szCs w:val="20"/>
        </w:rPr>
        <w:t xml:space="preserve">, </w:t>
      </w:r>
      <w:r w:rsidRPr="00B72DA4">
        <w:rPr>
          <w:rFonts w:ascii="Arial" w:eastAsia="Arial" w:hAnsi="Arial" w:cs="Arial"/>
          <w:i/>
          <w:sz w:val="20"/>
          <w:szCs w:val="20"/>
        </w:rPr>
        <w:t>1</w:t>
      </w:r>
      <w:r w:rsidRPr="00B72DA4">
        <w:rPr>
          <w:rFonts w:ascii="Arial" w:eastAsia="Arial" w:hAnsi="Arial" w:cs="Arial"/>
          <w:sz w:val="20"/>
          <w:szCs w:val="20"/>
        </w:rPr>
        <w:t xml:space="preserve">, </w:t>
      </w:r>
      <w:r w:rsidRPr="00B72DA4">
        <w:rPr>
          <w:rFonts w:ascii="Arial" w:eastAsia="Arial" w:hAnsi="Arial" w:cs="Arial"/>
          <w:sz w:val="20"/>
          <w:szCs w:val="20"/>
        </w:rPr>
        <w:tab/>
        <w:t xml:space="preserve">ISSN: </w:t>
      </w:r>
      <w:r w:rsidRPr="00B72DA4">
        <w:rPr>
          <w:rFonts w:ascii="Arial" w:eastAsia="Arial" w:hAnsi="Arial" w:cs="Arial"/>
          <w:sz w:val="20"/>
          <w:szCs w:val="20"/>
        </w:rPr>
        <w:tab/>
        <w:t>2980-4817. https://www.dwijmh.org/index.php/d</w:t>
      </w:r>
      <w:r w:rsidRPr="00B72DA4">
        <w:rPr>
          <w:rFonts w:ascii="Arial" w:eastAsia="Arial" w:hAnsi="Arial" w:cs="Arial"/>
          <w:sz w:val="20"/>
          <w:szCs w:val="20"/>
        </w:rPr>
        <w:t xml:space="preserve">wijmh/article/download/7/19 </w:t>
      </w:r>
    </w:p>
    <w:p w14:paraId="2E14BBC9" w14:textId="77777777" w:rsidR="002B57B9" w:rsidRPr="00B72DA4" w:rsidRDefault="00193F43">
      <w:pPr>
        <w:spacing w:line="240" w:lineRule="auto"/>
        <w:ind w:left="720" w:hanging="720"/>
        <w:jc w:val="both"/>
        <w:rPr>
          <w:rFonts w:ascii="Arial" w:eastAsia="Arial" w:hAnsi="Arial" w:cs="Arial"/>
          <w:sz w:val="20"/>
          <w:szCs w:val="20"/>
        </w:rPr>
      </w:pPr>
      <w:r w:rsidRPr="00B72DA4">
        <w:rPr>
          <w:rFonts w:ascii="Arial" w:eastAsia="Arial" w:hAnsi="Arial" w:cs="Arial"/>
          <w:sz w:val="20"/>
          <w:szCs w:val="20"/>
        </w:rPr>
        <w:t xml:space="preserve">Alejandro, R. A., &amp; </w:t>
      </w:r>
      <w:proofErr w:type="spellStart"/>
      <w:r w:rsidRPr="00B72DA4">
        <w:rPr>
          <w:rFonts w:ascii="Arial" w:eastAsia="Arial" w:hAnsi="Arial" w:cs="Arial"/>
          <w:sz w:val="20"/>
          <w:szCs w:val="20"/>
        </w:rPr>
        <w:t>Bucad</w:t>
      </w:r>
      <w:proofErr w:type="spellEnd"/>
      <w:r w:rsidRPr="00B72DA4">
        <w:rPr>
          <w:rFonts w:ascii="Arial" w:eastAsia="Arial" w:hAnsi="Arial" w:cs="Arial"/>
          <w:sz w:val="20"/>
          <w:szCs w:val="20"/>
        </w:rPr>
        <w:t xml:space="preserve">, M., Jr. (2024). Readiness </w:t>
      </w:r>
      <w:proofErr w:type="gramStart"/>
      <w:r w:rsidRPr="00B72DA4">
        <w:rPr>
          <w:rFonts w:ascii="Arial" w:eastAsia="Arial" w:hAnsi="Arial" w:cs="Arial"/>
          <w:sz w:val="20"/>
          <w:szCs w:val="20"/>
        </w:rPr>
        <w:t>Of</w:t>
      </w:r>
      <w:proofErr w:type="gramEnd"/>
      <w:r w:rsidRPr="00B72DA4">
        <w:rPr>
          <w:rFonts w:ascii="Arial" w:eastAsia="Arial" w:hAnsi="Arial" w:cs="Arial"/>
          <w:sz w:val="20"/>
          <w:szCs w:val="20"/>
        </w:rPr>
        <w:t xml:space="preserve"> Technical Vocational And Livelihood (</w:t>
      </w:r>
      <w:proofErr w:type="spellStart"/>
      <w:r w:rsidRPr="00B72DA4">
        <w:rPr>
          <w:rFonts w:ascii="Arial" w:eastAsia="Arial" w:hAnsi="Arial" w:cs="Arial"/>
          <w:sz w:val="20"/>
          <w:szCs w:val="20"/>
        </w:rPr>
        <w:t>Tvl</w:t>
      </w:r>
      <w:proofErr w:type="spellEnd"/>
      <w:r w:rsidRPr="00B72DA4">
        <w:rPr>
          <w:rFonts w:ascii="Arial" w:eastAsia="Arial" w:hAnsi="Arial" w:cs="Arial"/>
          <w:sz w:val="20"/>
          <w:szCs w:val="20"/>
        </w:rPr>
        <w:t xml:space="preserve">) Students Of </w:t>
      </w:r>
      <w:proofErr w:type="spellStart"/>
      <w:r w:rsidRPr="00B72DA4">
        <w:rPr>
          <w:rFonts w:ascii="Arial" w:eastAsia="Arial" w:hAnsi="Arial" w:cs="Arial"/>
          <w:sz w:val="20"/>
          <w:szCs w:val="20"/>
        </w:rPr>
        <w:t>Simpucan</w:t>
      </w:r>
      <w:proofErr w:type="spellEnd"/>
      <w:r w:rsidRPr="00B72DA4">
        <w:rPr>
          <w:rFonts w:ascii="Arial" w:eastAsia="Arial" w:hAnsi="Arial" w:cs="Arial"/>
          <w:sz w:val="20"/>
          <w:szCs w:val="20"/>
        </w:rPr>
        <w:t xml:space="preserve"> National High School. </w:t>
      </w:r>
      <w:hyperlink r:id="rId13">
        <w:r w:rsidR="002B57B9" w:rsidRPr="00B72DA4">
          <w:rPr>
            <w:rFonts w:ascii="Arial" w:eastAsia="Arial" w:hAnsi="Arial" w:cs="Arial"/>
            <w:color w:val="000000"/>
            <w:sz w:val="20"/>
            <w:szCs w:val="20"/>
          </w:rPr>
          <w:t>https://www.semanticscholar.org/paper/READINESS</w:t>
        </w:r>
      </w:hyperlink>
      <w:hyperlink r:id="rId14">
        <w:r w:rsidR="002B57B9" w:rsidRPr="00B72DA4">
          <w:rPr>
            <w:rFonts w:ascii="Arial" w:eastAsia="Arial" w:hAnsi="Arial" w:cs="Arial"/>
            <w:color w:val="000000"/>
            <w:sz w:val="20"/>
            <w:szCs w:val="20"/>
          </w:rPr>
          <w:t xml:space="preserve">-OF-TECHNICAL-VOCATIONAL-AND-LIVELIHOOD-OF-Alejandro-Bucad/3a65289ae8de7f5133f85bda7d5d46b8ebfa08f9 </w:t>
        </w:r>
      </w:hyperlink>
    </w:p>
    <w:p w14:paraId="13EA0384" w14:textId="77777777" w:rsidR="002B57B9" w:rsidRPr="00B72DA4" w:rsidRDefault="00193F43">
      <w:pPr>
        <w:spacing w:line="240" w:lineRule="auto"/>
        <w:ind w:left="720" w:hanging="720"/>
        <w:jc w:val="both"/>
        <w:rPr>
          <w:rFonts w:ascii="Arial" w:eastAsia="Arial" w:hAnsi="Arial" w:cs="Arial"/>
          <w:sz w:val="20"/>
          <w:szCs w:val="20"/>
        </w:rPr>
      </w:pPr>
      <w:proofErr w:type="spellStart"/>
      <w:r w:rsidRPr="00B72DA4">
        <w:rPr>
          <w:rFonts w:ascii="Arial" w:eastAsia="Arial" w:hAnsi="Arial" w:cs="Arial"/>
          <w:sz w:val="20"/>
          <w:szCs w:val="20"/>
        </w:rPr>
        <w:t>Angolia</w:t>
      </w:r>
      <w:proofErr w:type="spellEnd"/>
      <w:r w:rsidRPr="00B72DA4">
        <w:rPr>
          <w:rFonts w:ascii="Arial" w:eastAsia="Arial" w:hAnsi="Arial" w:cs="Arial"/>
          <w:sz w:val="20"/>
          <w:szCs w:val="20"/>
        </w:rPr>
        <w:t xml:space="preserve">, M., &amp; Pickard, J., &amp; </w:t>
      </w:r>
      <w:proofErr w:type="spellStart"/>
      <w:r w:rsidRPr="00B72DA4">
        <w:rPr>
          <w:rFonts w:ascii="Arial" w:eastAsia="Arial" w:hAnsi="Arial" w:cs="Arial"/>
          <w:sz w:val="20"/>
          <w:szCs w:val="20"/>
        </w:rPr>
        <w:t>Pagliari</w:t>
      </w:r>
      <w:proofErr w:type="spellEnd"/>
      <w:r w:rsidRPr="00B72DA4">
        <w:rPr>
          <w:rFonts w:ascii="Arial" w:eastAsia="Arial" w:hAnsi="Arial" w:cs="Arial"/>
          <w:sz w:val="20"/>
          <w:szCs w:val="20"/>
        </w:rPr>
        <w:t xml:space="preserve">, L., &amp; Lesko, C. J. (2014, June), </w:t>
      </w:r>
      <w:r w:rsidRPr="00B72DA4">
        <w:rPr>
          <w:rFonts w:ascii="Arial" w:eastAsia="Arial" w:hAnsi="Arial" w:cs="Arial"/>
          <w:i/>
          <w:sz w:val="20"/>
          <w:szCs w:val="20"/>
        </w:rPr>
        <w:t xml:space="preserve">Building Sustainable Industry Partnerships That Engage Faculty and Prepare </w:t>
      </w:r>
      <w:proofErr w:type="spellStart"/>
      <w:r w:rsidRPr="00B72DA4">
        <w:rPr>
          <w:rFonts w:ascii="Arial" w:eastAsia="Arial" w:hAnsi="Arial" w:cs="Arial"/>
          <w:i/>
          <w:sz w:val="20"/>
          <w:szCs w:val="20"/>
        </w:rPr>
        <w:t>JobReady</w:t>
      </w:r>
      <w:proofErr w:type="spellEnd"/>
      <w:r w:rsidRPr="00B72DA4">
        <w:rPr>
          <w:rFonts w:ascii="Arial" w:eastAsia="Arial" w:hAnsi="Arial" w:cs="Arial"/>
          <w:i/>
          <w:sz w:val="20"/>
          <w:szCs w:val="20"/>
        </w:rPr>
        <w:t xml:space="preserve"> Students</w:t>
      </w:r>
      <w:r w:rsidRPr="00B72DA4">
        <w:rPr>
          <w:rFonts w:ascii="Arial" w:eastAsia="Arial" w:hAnsi="Arial" w:cs="Arial"/>
          <w:sz w:val="20"/>
          <w:szCs w:val="20"/>
        </w:rPr>
        <w:t xml:space="preserve"> Paper presented at 2014 ASEE Annual Conference &amp; Ex</w:t>
      </w:r>
      <w:r w:rsidRPr="00B72DA4">
        <w:rPr>
          <w:rFonts w:ascii="Arial" w:eastAsia="Arial" w:hAnsi="Arial" w:cs="Arial"/>
          <w:sz w:val="20"/>
          <w:szCs w:val="20"/>
        </w:rPr>
        <w:t xml:space="preserve">position, Indianapolis, Indiana. 10.18260/1-2--20137 </w:t>
      </w:r>
    </w:p>
    <w:p w14:paraId="139598A7" w14:textId="77777777" w:rsidR="002B57B9" w:rsidRPr="00B72DA4" w:rsidRDefault="00193F43">
      <w:pPr>
        <w:spacing w:line="240" w:lineRule="auto"/>
        <w:ind w:left="720" w:hanging="720"/>
        <w:jc w:val="both"/>
        <w:rPr>
          <w:rFonts w:ascii="Arial" w:eastAsia="Arial" w:hAnsi="Arial" w:cs="Arial"/>
          <w:sz w:val="20"/>
          <w:szCs w:val="20"/>
        </w:rPr>
      </w:pPr>
      <w:proofErr w:type="spellStart"/>
      <w:r w:rsidRPr="00B72DA4">
        <w:rPr>
          <w:rFonts w:ascii="Arial" w:eastAsia="Arial" w:hAnsi="Arial" w:cs="Arial"/>
          <w:sz w:val="20"/>
          <w:szCs w:val="20"/>
        </w:rPr>
        <w:t>Artz</w:t>
      </w:r>
      <w:proofErr w:type="spellEnd"/>
      <w:r w:rsidRPr="00B72DA4">
        <w:rPr>
          <w:rFonts w:ascii="Arial" w:eastAsia="Arial" w:hAnsi="Arial" w:cs="Arial"/>
          <w:sz w:val="20"/>
          <w:szCs w:val="20"/>
        </w:rPr>
        <w:t xml:space="preserve">, G. M., </w:t>
      </w:r>
      <w:proofErr w:type="spellStart"/>
      <w:r w:rsidRPr="00B72DA4">
        <w:rPr>
          <w:rFonts w:ascii="Arial" w:eastAsia="Arial" w:hAnsi="Arial" w:cs="Arial"/>
          <w:sz w:val="20"/>
          <w:szCs w:val="20"/>
        </w:rPr>
        <w:t>Kimle</w:t>
      </w:r>
      <w:proofErr w:type="spellEnd"/>
      <w:r w:rsidRPr="00B72DA4">
        <w:rPr>
          <w:rFonts w:ascii="Arial" w:eastAsia="Arial" w:hAnsi="Arial" w:cs="Arial"/>
          <w:sz w:val="20"/>
          <w:szCs w:val="20"/>
        </w:rPr>
        <w:t xml:space="preserve">, K. L., &amp; </w:t>
      </w:r>
      <w:proofErr w:type="spellStart"/>
      <w:r w:rsidRPr="00B72DA4">
        <w:rPr>
          <w:rFonts w:ascii="Arial" w:eastAsia="Arial" w:hAnsi="Arial" w:cs="Arial"/>
          <w:sz w:val="20"/>
          <w:szCs w:val="20"/>
        </w:rPr>
        <w:t>Orazem</w:t>
      </w:r>
      <w:proofErr w:type="spellEnd"/>
      <w:r w:rsidRPr="00B72DA4">
        <w:rPr>
          <w:rFonts w:ascii="Arial" w:eastAsia="Arial" w:hAnsi="Arial" w:cs="Arial"/>
          <w:sz w:val="20"/>
          <w:szCs w:val="20"/>
        </w:rPr>
        <w:t xml:space="preserve">, P. F. (2013). Does the Jack of All Trades Hold the Winning Hand? Comparing the Role of Specialized versus General Skills in the Returns to an Agricultural Degree. </w:t>
      </w:r>
      <w:r w:rsidRPr="00B72DA4">
        <w:rPr>
          <w:rFonts w:ascii="Arial" w:eastAsia="Arial" w:hAnsi="Arial" w:cs="Arial"/>
          <w:i/>
          <w:sz w:val="20"/>
          <w:szCs w:val="20"/>
        </w:rPr>
        <w:t>Am</w:t>
      </w:r>
      <w:r w:rsidRPr="00B72DA4">
        <w:rPr>
          <w:rFonts w:ascii="Arial" w:eastAsia="Arial" w:hAnsi="Arial" w:cs="Arial"/>
          <w:i/>
          <w:sz w:val="20"/>
          <w:szCs w:val="20"/>
        </w:rPr>
        <w:t>erican Journal of Agricultural Economics</w:t>
      </w:r>
      <w:r w:rsidRPr="00B72DA4">
        <w:rPr>
          <w:rFonts w:ascii="Arial" w:eastAsia="Arial" w:hAnsi="Arial" w:cs="Arial"/>
          <w:sz w:val="20"/>
          <w:szCs w:val="20"/>
        </w:rPr>
        <w:t xml:space="preserve">, </w:t>
      </w:r>
      <w:r w:rsidRPr="00B72DA4">
        <w:rPr>
          <w:rFonts w:ascii="Arial" w:eastAsia="Arial" w:hAnsi="Arial" w:cs="Arial"/>
          <w:i/>
          <w:sz w:val="20"/>
          <w:szCs w:val="20"/>
        </w:rPr>
        <w:t>96</w:t>
      </w:r>
      <w:r w:rsidRPr="00B72DA4">
        <w:rPr>
          <w:rFonts w:ascii="Arial" w:eastAsia="Arial" w:hAnsi="Arial" w:cs="Arial"/>
          <w:sz w:val="20"/>
          <w:szCs w:val="20"/>
        </w:rPr>
        <w:t xml:space="preserve">(1), 193–212. </w:t>
      </w:r>
      <w:hyperlink r:id="rId15">
        <w:r w:rsidR="002B57B9" w:rsidRPr="00B72DA4">
          <w:rPr>
            <w:rFonts w:ascii="Arial" w:eastAsia="Arial" w:hAnsi="Arial" w:cs="Arial"/>
            <w:color w:val="000000"/>
            <w:sz w:val="20"/>
            <w:szCs w:val="20"/>
          </w:rPr>
          <w:t xml:space="preserve">https://doi.org/10.1093/ajae/aat063 </w:t>
        </w:r>
      </w:hyperlink>
    </w:p>
    <w:p w14:paraId="4A46102A" w14:textId="77777777" w:rsidR="002B57B9" w:rsidRPr="00B72DA4" w:rsidRDefault="00193F43">
      <w:pPr>
        <w:spacing w:line="240" w:lineRule="auto"/>
        <w:ind w:left="720" w:hanging="720"/>
        <w:jc w:val="both"/>
        <w:rPr>
          <w:rFonts w:ascii="Arial" w:eastAsia="Arial" w:hAnsi="Arial" w:cs="Arial"/>
          <w:sz w:val="20"/>
          <w:szCs w:val="20"/>
        </w:rPr>
      </w:pPr>
      <w:r w:rsidRPr="00B72DA4">
        <w:rPr>
          <w:rFonts w:ascii="Arial" w:eastAsia="Arial" w:hAnsi="Arial" w:cs="Arial"/>
          <w:sz w:val="20"/>
          <w:szCs w:val="20"/>
        </w:rPr>
        <w:t xml:space="preserve">Australian Bureau of Statistics. (2021). </w:t>
      </w:r>
      <w:proofErr w:type="spellStart"/>
      <w:r w:rsidRPr="00B72DA4">
        <w:rPr>
          <w:rFonts w:ascii="Arial" w:eastAsia="Arial" w:hAnsi="Arial" w:cs="Arial"/>
          <w:sz w:val="20"/>
          <w:szCs w:val="20"/>
        </w:rPr>
        <w:t>Labour</w:t>
      </w:r>
      <w:proofErr w:type="spellEnd"/>
      <w:r w:rsidRPr="00B72DA4">
        <w:rPr>
          <w:rFonts w:ascii="Arial" w:eastAsia="Arial" w:hAnsi="Arial" w:cs="Arial"/>
          <w:sz w:val="20"/>
          <w:szCs w:val="20"/>
        </w:rPr>
        <w:t xml:space="preserve"> Force, Australia, Detailed, November 2021. ABS. </w:t>
      </w:r>
      <w:hyperlink r:id="rId16">
        <w:r w:rsidR="002B57B9" w:rsidRPr="00B72DA4">
          <w:rPr>
            <w:rFonts w:ascii="Arial" w:eastAsia="Arial" w:hAnsi="Arial" w:cs="Arial"/>
            <w:color w:val="000000"/>
            <w:sz w:val="20"/>
            <w:szCs w:val="20"/>
          </w:rPr>
          <w:t xml:space="preserve">https://www.abs.gov.au/statistics/labour/employment-andunemployment/labour-force-australia-detailed/latest-release </w:t>
        </w:r>
      </w:hyperlink>
    </w:p>
    <w:p w14:paraId="7CE70893" w14:textId="77777777" w:rsidR="002B57B9" w:rsidRPr="00B72DA4" w:rsidRDefault="00193F43">
      <w:pPr>
        <w:spacing w:line="240" w:lineRule="auto"/>
        <w:ind w:left="720" w:hanging="720"/>
        <w:jc w:val="both"/>
        <w:rPr>
          <w:rFonts w:ascii="Arial" w:eastAsia="Arial" w:hAnsi="Arial" w:cs="Arial"/>
          <w:sz w:val="20"/>
          <w:szCs w:val="20"/>
        </w:rPr>
      </w:pPr>
      <w:proofErr w:type="spellStart"/>
      <w:r w:rsidRPr="00B72DA4">
        <w:rPr>
          <w:rFonts w:ascii="Arial" w:eastAsia="Arial" w:hAnsi="Arial" w:cs="Arial"/>
          <w:sz w:val="20"/>
          <w:szCs w:val="20"/>
        </w:rPr>
        <w:t>Autentico</w:t>
      </w:r>
      <w:proofErr w:type="spellEnd"/>
      <w:r w:rsidRPr="00B72DA4">
        <w:rPr>
          <w:rFonts w:ascii="Arial" w:eastAsia="Arial" w:hAnsi="Arial" w:cs="Arial"/>
          <w:sz w:val="20"/>
          <w:szCs w:val="20"/>
        </w:rPr>
        <w:t>, J. M</w:t>
      </w:r>
      <w:r w:rsidRPr="00B72DA4">
        <w:rPr>
          <w:rFonts w:ascii="Arial" w:eastAsia="Arial" w:hAnsi="Arial" w:cs="Arial"/>
          <w:sz w:val="20"/>
          <w:szCs w:val="20"/>
        </w:rPr>
        <w:t xml:space="preserve">., &amp; </w:t>
      </w:r>
      <w:proofErr w:type="spellStart"/>
      <w:r w:rsidRPr="00B72DA4">
        <w:rPr>
          <w:rFonts w:ascii="Arial" w:eastAsia="Arial" w:hAnsi="Arial" w:cs="Arial"/>
          <w:sz w:val="20"/>
          <w:szCs w:val="20"/>
        </w:rPr>
        <w:t>Alerta</w:t>
      </w:r>
      <w:proofErr w:type="spellEnd"/>
      <w:r w:rsidRPr="00B72DA4">
        <w:rPr>
          <w:rFonts w:ascii="Arial" w:eastAsia="Arial" w:hAnsi="Arial" w:cs="Arial"/>
          <w:sz w:val="20"/>
          <w:szCs w:val="20"/>
        </w:rPr>
        <w:t xml:space="preserve">, G. (2020). Incidence of job mismatch among </w:t>
      </w:r>
      <w:proofErr w:type="spellStart"/>
      <w:r w:rsidRPr="00B72DA4">
        <w:rPr>
          <w:rFonts w:ascii="Arial" w:eastAsia="Arial" w:hAnsi="Arial" w:cs="Arial"/>
          <w:sz w:val="20"/>
          <w:szCs w:val="20"/>
        </w:rPr>
        <w:t>tvl</w:t>
      </w:r>
      <w:proofErr w:type="spellEnd"/>
      <w:r w:rsidRPr="00B72DA4">
        <w:rPr>
          <w:rFonts w:ascii="Arial" w:eastAsia="Arial" w:hAnsi="Arial" w:cs="Arial"/>
          <w:sz w:val="20"/>
          <w:szCs w:val="20"/>
        </w:rPr>
        <w:t xml:space="preserve"> graduates in </w:t>
      </w:r>
      <w:proofErr w:type="spellStart"/>
      <w:r w:rsidRPr="00B72DA4">
        <w:rPr>
          <w:rFonts w:ascii="Arial" w:eastAsia="Arial" w:hAnsi="Arial" w:cs="Arial"/>
          <w:sz w:val="20"/>
          <w:szCs w:val="20"/>
        </w:rPr>
        <w:t>butuan</w:t>
      </w:r>
      <w:proofErr w:type="spellEnd"/>
      <w:r w:rsidRPr="00B72DA4">
        <w:rPr>
          <w:rFonts w:ascii="Arial" w:eastAsia="Arial" w:hAnsi="Arial" w:cs="Arial"/>
          <w:sz w:val="20"/>
          <w:szCs w:val="20"/>
        </w:rPr>
        <w:t xml:space="preserve"> city, </w:t>
      </w:r>
      <w:proofErr w:type="spellStart"/>
      <w:r w:rsidRPr="00B72DA4">
        <w:rPr>
          <w:rFonts w:ascii="Arial" w:eastAsia="Arial" w:hAnsi="Arial" w:cs="Arial"/>
          <w:sz w:val="20"/>
          <w:szCs w:val="20"/>
        </w:rPr>
        <w:t>philippines</w:t>
      </w:r>
      <w:proofErr w:type="spellEnd"/>
      <w:r w:rsidRPr="00B72DA4">
        <w:rPr>
          <w:rFonts w:ascii="Arial" w:eastAsia="Arial" w:hAnsi="Arial" w:cs="Arial"/>
          <w:sz w:val="20"/>
          <w:szCs w:val="20"/>
        </w:rPr>
        <w:t xml:space="preserve">. </w:t>
      </w:r>
      <w:proofErr w:type="gramStart"/>
      <w:r w:rsidRPr="00B72DA4">
        <w:rPr>
          <w:rFonts w:ascii="Arial" w:eastAsia="Arial" w:hAnsi="Arial" w:cs="Arial"/>
          <w:sz w:val="20"/>
          <w:szCs w:val="20"/>
        </w:rPr>
        <w:t>People :</w:t>
      </w:r>
      <w:proofErr w:type="gramEnd"/>
      <w:r w:rsidRPr="00B72DA4">
        <w:rPr>
          <w:rFonts w:ascii="Arial" w:eastAsia="Arial" w:hAnsi="Arial" w:cs="Arial"/>
          <w:sz w:val="20"/>
          <w:szCs w:val="20"/>
        </w:rPr>
        <w:t xml:space="preserve"> International Journal of Social Sciences, 6(2), 164–176. </w:t>
      </w:r>
      <w:hyperlink r:id="rId17">
        <w:r w:rsidR="002B57B9" w:rsidRPr="00B72DA4">
          <w:rPr>
            <w:rFonts w:ascii="Arial" w:eastAsia="Arial" w:hAnsi="Arial" w:cs="Arial"/>
            <w:color w:val="000000"/>
            <w:sz w:val="20"/>
            <w:szCs w:val="20"/>
          </w:rPr>
          <w:t xml:space="preserve">https://doi.org/10.20319/pijss.2020.62.164176 </w:t>
        </w:r>
      </w:hyperlink>
    </w:p>
    <w:p w14:paraId="250706D5" w14:textId="77777777" w:rsidR="002B57B9" w:rsidRPr="00B72DA4" w:rsidRDefault="00193F43">
      <w:pPr>
        <w:spacing w:line="240" w:lineRule="auto"/>
        <w:ind w:left="720" w:hanging="720"/>
        <w:jc w:val="both"/>
        <w:rPr>
          <w:rFonts w:ascii="Arial" w:eastAsia="Arial" w:hAnsi="Arial" w:cs="Arial"/>
          <w:sz w:val="20"/>
          <w:szCs w:val="20"/>
        </w:rPr>
      </w:pPr>
      <w:proofErr w:type="spellStart"/>
      <w:r w:rsidRPr="00B72DA4">
        <w:rPr>
          <w:rFonts w:ascii="Arial" w:eastAsia="Arial" w:hAnsi="Arial" w:cs="Arial"/>
          <w:sz w:val="20"/>
          <w:szCs w:val="20"/>
        </w:rPr>
        <w:t>Baylen</w:t>
      </w:r>
      <w:proofErr w:type="spellEnd"/>
      <w:r w:rsidRPr="00B72DA4">
        <w:rPr>
          <w:rFonts w:ascii="Arial" w:eastAsia="Arial" w:hAnsi="Arial" w:cs="Arial"/>
          <w:sz w:val="20"/>
          <w:szCs w:val="20"/>
        </w:rPr>
        <w:t xml:space="preserve">, R. C., </w:t>
      </w:r>
      <w:proofErr w:type="spellStart"/>
      <w:r w:rsidRPr="00B72DA4">
        <w:rPr>
          <w:rFonts w:ascii="Arial" w:eastAsia="Arial" w:hAnsi="Arial" w:cs="Arial"/>
          <w:sz w:val="20"/>
          <w:szCs w:val="20"/>
        </w:rPr>
        <w:t>Bayron</w:t>
      </w:r>
      <w:proofErr w:type="spellEnd"/>
      <w:r w:rsidRPr="00B72DA4">
        <w:rPr>
          <w:rFonts w:ascii="Arial" w:eastAsia="Arial" w:hAnsi="Arial" w:cs="Arial"/>
          <w:sz w:val="20"/>
          <w:szCs w:val="20"/>
        </w:rPr>
        <w:t xml:space="preserve">, C. J. B., </w:t>
      </w:r>
      <w:proofErr w:type="spellStart"/>
      <w:r w:rsidRPr="00B72DA4">
        <w:rPr>
          <w:rFonts w:ascii="Arial" w:eastAsia="Arial" w:hAnsi="Arial" w:cs="Arial"/>
          <w:sz w:val="20"/>
          <w:szCs w:val="20"/>
        </w:rPr>
        <w:t>Blasco</w:t>
      </w:r>
      <w:proofErr w:type="spellEnd"/>
      <w:r w:rsidRPr="00B72DA4">
        <w:rPr>
          <w:rFonts w:ascii="Arial" w:eastAsia="Arial" w:hAnsi="Arial" w:cs="Arial"/>
          <w:sz w:val="20"/>
          <w:szCs w:val="20"/>
        </w:rPr>
        <w:t xml:space="preserve">, R. R., </w:t>
      </w:r>
      <w:proofErr w:type="spellStart"/>
      <w:r w:rsidRPr="00B72DA4">
        <w:rPr>
          <w:rFonts w:ascii="Arial" w:eastAsia="Arial" w:hAnsi="Arial" w:cs="Arial"/>
          <w:sz w:val="20"/>
          <w:szCs w:val="20"/>
        </w:rPr>
        <w:t>Cabasag</w:t>
      </w:r>
      <w:proofErr w:type="spellEnd"/>
      <w:r w:rsidRPr="00B72DA4">
        <w:rPr>
          <w:rFonts w:ascii="Arial" w:eastAsia="Arial" w:hAnsi="Arial" w:cs="Arial"/>
          <w:sz w:val="20"/>
          <w:szCs w:val="20"/>
        </w:rPr>
        <w:t xml:space="preserve">, K. P., &amp; Buenaventura, M. V. S. (2022). </w:t>
      </w:r>
      <w:r w:rsidRPr="00B72DA4">
        <w:rPr>
          <w:rFonts w:ascii="Arial" w:eastAsia="Arial" w:hAnsi="Arial" w:cs="Arial"/>
          <w:i/>
          <w:sz w:val="20"/>
          <w:szCs w:val="20"/>
        </w:rPr>
        <w:t xml:space="preserve">Student Perception of On-The-Job Training for Hospitality Management at </w:t>
      </w:r>
      <w:proofErr w:type="spellStart"/>
      <w:r w:rsidRPr="00B72DA4">
        <w:rPr>
          <w:rFonts w:ascii="Arial" w:eastAsia="Arial" w:hAnsi="Arial" w:cs="Arial"/>
          <w:i/>
          <w:sz w:val="20"/>
          <w:szCs w:val="20"/>
        </w:rPr>
        <w:t>BestLink</w:t>
      </w:r>
      <w:proofErr w:type="spellEnd"/>
      <w:r w:rsidRPr="00B72DA4">
        <w:rPr>
          <w:rFonts w:ascii="Arial" w:eastAsia="Arial" w:hAnsi="Arial" w:cs="Arial"/>
          <w:i/>
          <w:sz w:val="20"/>
          <w:szCs w:val="20"/>
        </w:rPr>
        <w:t xml:space="preserve"> College of the Philippines: Vol.3, No.1B</w:t>
      </w:r>
      <w:r w:rsidRPr="00B72DA4">
        <w:rPr>
          <w:rFonts w:ascii="Arial" w:eastAsia="Arial" w:hAnsi="Arial" w:cs="Arial"/>
          <w:sz w:val="20"/>
          <w:szCs w:val="20"/>
        </w:rPr>
        <w:t xml:space="preserve">. </w:t>
      </w:r>
      <w:hyperlink r:id="rId18">
        <w:r w:rsidR="002B57B9" w:rsidRPr="00B72DA4">
          <w:rPr>
            <w:rFonts w:ascii="Arial" w:eastAsia="Arial" w:hAnsi="Arial" w:cs="Arial"/>
            <w:color w:val="000000"/>
            <w:sz w:val="20"/>
            <w:szCs w:val="20"/>
          </w:rPr>
          <w:t xml:space="preserve">https://ojs.aaresearchindex.com/index.php/aasgbcpjmra/article/view/12867 </w:t>
        </w:r>
      </w:hyperlink>
    </w:p>
    <w:p w14:paraId="199DCD3B" w14:textId="77777777" w:rsidR="002B57B9" w:rsidRPr="00B72DA4" w:rsidRDefault="00193F43">
      <w:pPr>
        <w:spacing w:line="240" w:lineRule="auto"/>
        <w:ind w:left="720" w:hanging="720"/>
        <w:jc w:val="both"/>
        <w:rPr>
          <w:rFonts w:ascii="Arial" w:eastAsia="Arial" w:hAnsi="Arial" w:cs="Arial"/>
          <w:sz w:val="20"/>
          <w:szCs w:val="20"/>
        </w:rPr>
      </w:pPr>
      <w:proofErr w:type="spellStart"/>
      <w:r w:rsidRPr="00B72DA4">
        <w:rPr>
          <w:rFonts w:ascii="Arial" w:eastAsia="Arial" w:hAnsi="Arial" w:cs="Arial"/>
          <w:sz w:val="20"/>
          <w:szCs w:val="20"/>
        </w:rPr>
        <w:t>Blagorazumnaia</w:t>
      </w:r>
      <w:proofErr w:type="spellEnd"/>
      <w:r w:rsidRPr="00B72DA4">
        <w:rPr>
          <w:rFonts w:ascii="Arial" w:eastAsia="Arial" w:hAnsi="Arial" w:cs="Arial"/>
          <w:sz w:val="20"/>
          <w:szCs w:val="20"/>
        </w:rPr>
        <w:t xml:space="preserve">, O., &amp; </w:t>
      </w:r>
      <w:proofErr w:type="spellStart"/>
      <w:r w:rsidRPr="00B72DA4">
        <w:rPr>
          <w:rFonts w:ascii="Arial" w:eastAsia="Arial" w:hAnsi="Arial" w:cs="Arial"/>
          <w:sz w:val="20"/>
          <w:szCs w:val="20"/>
        </w:rPr>
        <w:t>Trifonova</w:t>
      </w:r>
      <w:proofErr w:type="spellEnd"/>
      <w:r w:rsidRPr="00B72DA4">
        <w:rPr>
          <w:rFonts w:ascii="Arial" w:eastAsia="Arial" w:hAnsi="Arial" w:cs="Arial"/>
          <w:sz w:val="20"/>
          <w:szCs w:val="20"/>
        </w:rPr>
        <w:t xml:space="preserve">, L. (2024). Developing critical skills and design thinking via practical </w:t>
      </w:r>
      <w:r w:rsidRPr="00B72DA4">
        <w:rPr>
          <w:rFonts w:ascii="Arial" w:eastAsia="Arial" w:hAnsi="Arial" w:cs="Arial"/>
          <w:sz w:val="20"/>
          <w:szCs w:val="20"/>
        </w:rPr>
        <w:t xml:space="preserve">classes in higher education. </w:t>
      </w:r>
      <w:r w:rsidRPr="00B72DA4">
        <w:rPr>
          <w:rFonts w:ascii="Arial" w:eastAsia="Arial" w:hAnsi="Arial" w:cs="Arial"/>
          <w:i/>
          <w:sz w:val="20"/>
          <w:szCs w:val="20"/>
        </w:rPr>
        <w:t>Intertext</w:t>
      </w:r>
      <w:r w:rsidRPr="00B72DA4">
        <w:rPr>
          <w:rFonts w:ascii="Arial" w:eastAsia="Arial" w:hAnsi="Arial" w:cs="Arial"/>
          <w:sz w:val="20"/>
          <w:szCs w:val="20"/>
        </w:rPr>
        <w:t xml:space="preserve">, </w:t>
      </w:r>
      <w:r w:rsidRPr="00B72DA4">
        <w:rPr>
          <w:rFonts w:ascii="Arial" w:eastAsia="Arial" w:hAnsi="Arial" w:cs="Arial"/>
          <w:i/>
          <w:sz w:val="20"/>
          <w:szCs w:val="20"/>
        </w:rPr>
        <w:t>2(62)</w:t>
      </w:r>
      <w:r w:rsidRPr="00B72DA4">
        <w:rPr>
          <w:rFonts w:ascii="Arial" w:eastAsia="Arial" w:hAnsi="Arial" w:cs="Arial"/>
          <w:sz w:val="20"/>
          <w:szCs w:val="20"/>
        </w:rPr>
        <w:t xml:space="preserve">, 75–86. </w:t>
      </w:r>
      <w:hyperlink r:id="rId19">
        <w:r w:rsidR="002B57B9" w:rsidRPr="00B72DA4">
          <w:rPr>
            <w:rFonts w:ascii="Arial" w:eastAsia="Arial" w:hAnsi="Arial" w:cs="Arial"/>
            <w:color w:val="000000"/>
            <w:sz w:val="20"/>
            <w:szCs w:val="20"/>
          </w:rPr>
          <w:t xml:space="preserve">https://doi.org/10.54481/intertext.2023.2.08 </w:t>
        </w:r>
      </w:hyperlink>
    </w:p>
    <w:p w14:paraId="38BD2547" w14:textId="77777777" w:rsidR="002B57B9" w:rsidRPr="00B72DA4" w:rsidRDefault="00193F43">
      <w:pPr>
        <w:spacing w:line="240" w:lineRule="auto"/>
        <w:ind w:left="720" w:hanging="720"/>
        <w:jc w:val="both"/>
        <w:rPr>
          <w:rFonts w:ascii="Arial" w:eastAsia="Arial" w:hAnsi="Arial" w:cs="Arial"/>
          <w:sz w:val="20"/>
          <w:szCs w:val="20"/>
        </w:rPr>
      </w:pPr>
      <w:r w:rsidRPr="00B72DA4">
        <w:rPr>
          <w:rFonts w:ascii="Arial" w:eastAsia="Arial" w:hAnsi="Arial" w:cs="Arial"/>
          <w:sz w:val="20"/>
          <w:szCs w:val="20"/>
        </w:rPr>
        <w:t>Briones, R.M. (2017). The Fertilizer Industry and Philippine Agriculture: Policies, Problems</w:t>
      </w:r>
      <w:r w:rsidRPr="00B72DA4">
        <w:rPr>
          <w:rFonts w:ascii="Arial" w:eastAsia="Arial" w:hAnsi="Arial" w:cs="Arial"/>
          <w:sz w:val="20"/>
          <w:szCs w:val="20"/>
        </w:rPr>
        <w:t xml:space="preserve">, and Priorities. </w:t>
      </w:r>
      <w:r w:rsidRPr="00B72DA4">
        <w:rPr>
          <w:rFonts w:ascii="Arial" w:eastAsia="Arial" w:hAnsi="Arial" w:cs="Arial"/>
          <w:i/>
          <w:sz w:val="20"/>
          <w:szCs w:val="20"/>
        </w:rPr>
        <w:t>Philippine Journal of Development</w:t>
      </w:r>
      <w:r w:rsidRPr="00B72DA4">
        <w:rPr>
          <w:rFonts w:ascii="Arial" w:eastAsia="Arial" w:hAnsi="Arial" w:cs="Arial"/>
          <w:sz w:val="20"/>
          <w:szCs w:val="20"/>
        </w:rPr>
        <w:t xml:space="preserve">. </w:t>
      </w:r>
    </w:p>
    <w:p w14:paraId="4B4BE4E4" w14:textId="77777777" w:rsidR="002B57B9" w:rsidRPr="00B72DA4" w:rsidRDefault="00193F43">
      <w:pPr>
        <w:spacing w:line="240" w:lineRule="auto"/>
        <w:ind w:left="720" w:hanging="720"/>
        <w:jc w:val="both"/>
        <w:rPr>
          <w:rFonts w:ascii="Arial" w:eastAsia="Arial" w:hAnsi="Arial" w:cs="Arial"/>
          <w:sz w:val="20"/>
          <w:szCs w:val="20"/>
        </w:rPr>
      </w:pPr>
      <w:proofErr w:type="spellStart"/>
      <w:r w:rsidRPr="00B72DA4">
        <w:rPr>
          <w:rFonts w:ascii="Arial" w:eastAsia="Arial" w:hAnsi="Arial" w:cs="Arial"/>
          <w:sz w:val="20"/>
          <w:szCs w:val="20"/>
        </w:rPr>
        <w:t>Bucăţa</w:t>
      </w:r>
      <w:proofErr w:type="spellEnd"/>
      <w:r w:rsidRPr="00B72DA4">
        <w:rPr>
          <w:rFonts w:ascii="Arial" w:eastAsia="Arial" w:hAnsi="Arial" w:cs="Arial"/>
          <w:sz w:val="20"/>
          <w:szCs w:val="20"/>
        </w:rPr>
        <w:t xml:space="preserve">, G., &amp; </w:t>
      </w:r>
      <w:proofErr w:type="spellStart"/>
      <w:r w:rsidRPr="00B72DA4">
        <w:rPr>
          <w:rFonts w:ascii="Arial" w:eastAsia="Arial" w:hAnsi="Arial" w:cs="Arial"/>
          <w:sz w:val="20"/>
          <w:szCs w:val="20"/>
        </w:rPr>
        <w:t>Rizescu</w:t>
      </w:r>
      <w:proofErr w:type="spellEnd"/>
      <w:r w:rsidRPr="00B72DA4">
        <w:rPr>
          <w:rFonts w:ascii="Arial" w:eastAsia="Arial" w:hAnsi="Arial" w:cs="Arial"/>
          <w:sz w:val="20"/>
          <w:szCs w:val="20"/>
        </w:rPr>
        <w:t xml:space="preserve">, A. M. (2017). The role of communication in enhancing work effectiveness of an organization. </w:t>
      </w:r>
      <w:proofErr w:type="spellStart"/>
      <w:r w:rsidRPr="00B72DA4">
        <w:rPr>
          <w:rFonts w:ascii="Arial" w:eastAsia="Arial" w:hAnsi="Arial" w:cs="Arial"/>
          <w:i/>
          <w:sz w:val="20"/>
          <w:szCs w:val="20"/>
        </w:rPr>
        <w:t>Revista</w:t>
      </w:r>
      <w:proofErr w:type="spellEnd"/>
      <w:r w:rsidRPr="00B72DA4">
        <w:rPr>
          <w:rFonts w:ascii="Arial" w:eastAsia="Arial" w:hAnsi="Arial" w:cs="Arial"/>
          <w:i/>
          <w:sz w:val="20"/>
          <w:szCs w:val="20"/>
        </w:rPr>
        <w:t xml:space="preserve"> </w:t>
      </w:r>
      <w:proofErr w:type="spellStart"/>
      <w:r w:rsidRPr="00B72DA4">
        <w:rPr>
          <w:rFonts w:ascii="Arial" w:eastAsia="Arial" w:hAnsi="Arial" w:cs="Arial"/>
          <w:i/>
          <w:sz w:val="20"/>
          <w:szCs w:val="20"/>
        </w:rPr>
        <w:t>Academiei</w:t>
      </w:r>
      <w:proofErr w:type="spellEnd"/>
      <w:r w:rsidRPr="00B72DA4">
        <w:rPr>
          <w:rFonts w:ascii="Arial" w:eastAsia="Arial" w:hAnsi="Arial" w:cs="Arial"/>
          <w:i/>
          <w:sz w:val="20"/>
          <w:szCs w:val="20"/>
        </w:rPr>
        <w:t xml:space="preserve"> </w:t>
      </w:r>
      <w:proofErr w:type="spellStart"/>
      <w:r w:rsidRPr="00B72DA4">
        <w:rPr>
          <w:rFonts w:ascii="Arial" w:eastAsia="Arial" w:hAnsi="Arial" w:cs="Arial"/>
          <w:i/>
          <w:sz w:val="20"/>
          <w:szCs w:val="20"/>
        </w:rPr>
        <w:t>Forţelor</w:t>
      </w:r>
      <w:proofErr w:type="spellEnd"/>
      <w:r w:rsidRPr="00B72DA4">
        <w:rPr>
          <w:rFonts w:ascii="Arial" w:eastAsia="Arial" w:hAnsi="Arial" w:cs="Arial"/>
          <w:i/>
          <w:sz w:val="20"/>
          <w:szCs w:val="20"/>
        </w:rPr>
        <w:t xml:space="preserve"> </w:t>
      </w:r>
      <w:proofErr w:type="spellStart"/>
      <w:r w:rsidRPr="00B72DA4">
        <w:rPr>
          <w:rFonts w:ascii="Arial" w:eastAsia="Arial" w:hAnsi="Arial" w:cs="Arial"/>
          <w:i/>
          <w:sz w:val="20"/>
          <w:szCs w:val="20"/>
        </w:rPr>
        <w:t>Terestre</w:t>
      </w:r>
      <w:proofErr w:type="spellEnd"/>
      <w:r w:rsidRPr="00B72DA4">
        <w:rPr>
          <w:rFonts w:ascii="Arial" w:eastAsia="Arial" w:hAnsi="Arial" w:cs="Arial"/>
          <w:sz w:val="20"/>
          <w:szCs w:val="20"/>
        </w:rPr>
        <w:t xml:space="preserve">, </w:t>
      </w:r>
      <w:r w:rsidRPr="00B72DA4">
        <w:rPr>
          <w:rFonts w:ascii="Arial" w:eastAsia="Arial" w:hAnsi="Arial" w:cs="Arial"/>
          <w:i/>
          <w:sz w:val="20"/>
          <w:szCs w:val="20"/>
        </w:rPr>
        <w:t>22</w:t>
      </w:r>
      <w:r w:rsidRPr="00B72DA4">
        <w:rPr>
          <w:rFonts w:ascii="Arial" w:eastAsia="Arial" w:hAnsi="Arial" w:cs="Arial"/>
          <w:sz w:val="20"/>
          <w:szCs w:val="20"/>
        </w:rPr>
        <w:t xml:space="preserve">(1), 49–57. https://doi.org/10.1515/raft-2017-0008 </w:t>
      </w:r>
    </w:p>
    <w:p w14:paraId="3998DF56" w14:textId="77777777" w:rsidR="002B57B9" w:rsidRPr="00B72DA4" w:rsidRDefault="00193F43">
      <w:pPr>
        <w:spacing w:line="240" w:lineRule="auto"/>
        <w:ind w:left="720" w:hanging="720"/>
        <w:jc w:val="both"/>
        <w:rPr>
          <w:rFonts w:ascii="Arial" w:eastAsia="Arial" w:hAnsi="Arial" w:cs="Arial"/>
          <w:sz w:val="20"/>
          <w:szCs w:val="20"/>
        </w:rPr>
      </w:pPr>
      <w:r w:rsidRPr="00B72DA4">
        <w:rPr>
          <w:rFonts w:ascii="Arial" w:eastAsia="Arial" w:hAnsi="Arial" w:cs="Arial"/>
          <w:sz w:val="20"/>
          <w:szCs w:val="20"/>
        </w:rPr>
        <w:t xml:space="preserve">Butler, W. M., &amp; Reid, K. (2020). Introducing engineering students to industry. AIAA SCITECH 2022 Forum. </w:t>
      </w:r>
      <w:hyperlink r:id="rId20">
        <w:r w:rsidR="002B57B9" w:rsidRPr="00B72DA4">
          <w:rPr>
            <w:rFonts w:ascii="Arial" w:eastAsia="Arial" w:hAnsi="Arial" w:cs="Arial"/>
            <w:color w:val="000000"/>
            <w:sz w:val="20"/>
            <w:szCs w:val="20"/>
          </w:rPr>
          <w:t xml:space="preserve">https://doi.org/10.2514/6.2020-1772 </w:t>
        </w:r>
      </w:hyperlink>
    </w:p>
    <w:p w14:paraId="38BCBE49" w14:textId="77777777" w:rsidR="002B57B9" w:rsidRPr="00B72DA4" w:rsidRDefault="00193F43">
      <w:pPr>
        <w:spacing w:line="240" w:lineRule="auto"/>
        <w:ind w:left="720" w:hanging="720"/>
        <w:jc w:val="both"/>
        <w:rPr>
          <w:rFonts w:ascii="Arial" w:eastAsia="Arial" w:hAnsi="Arial" w:cs="Arial"/>
          <w:sz w:val="20"/>
          <w:szCs w:val="20"/>
        </w:rPr>
      </w:pPr>
      <w:proofErr w:type="spellStart"/>
      <w:r w:rsidRPr="00B72DA4">
        <w:rPr>
          <w:rFonts w:ascii="Arial" w:eastAsia="Arial" w:hAnsi="Arial" w:cs="Arial"/>
          <w:sz w:val="20"/>
          <w:szCs w:val="20"/>
        </w:rPr>
        <w:t>Carada</w:t>
      </w:r>
      <w:proofErr w:type="spellEnd"/>
      <w:r w:rsidRPr="00B72DA4">
        <w:rPr>
          <w:rFonts w:ascii="Arial" w:eastAsia="Arial" w:hAnsi="Arial" w:cs="Arial"/>
          <w:sz w:val="20"/>
          <w:szCs w:val="20"/>
        </w:rPr>
        <w:t>,</w:t>
      </w:r>
      <w:r w:rsidRPr="00B72DA4">
        <w:rPr>
          <w:rFonts w:ascii="Arial" w:eastAsia="Arial" w:hAnsi="Arial" w:cs="Arial"/>
          <w:sz w:val="20"/>
          <w:szCs w:val="20"/>
        </w:rPr>
        <w:t xml:space="preserve"> I., </w:t>
      </w:r>
      <w:proofErr w:type="spellStart"/>
      <w:r w:rsidRPr="00B72DA4">
        <w:rPr>
          <w:rFonts w:ascii="Arial" w:eastAsia="Arial" w:hAnsi="Arial" w:cs="Arial"/>
          <w:sz w:val="20"/>
          <w:szCs w:val="20"/>
        </w:rPr>
        <w:t>Aliazas</w:t>
      </w:r>
      <w:proofErr w:type="spellEnd"/>
      <w:r w:rsidRPr="00B72DA4">
        <w:rPr>
          <w:rFonts w:ascii="Arial" w:eastAsia="Arial" w:hAnsi="Arial" w:cs="Arial"/>
          <w:sz w:val="20"/>
          <w:szCs w:val="20"/>
        </w:rPr>
        <w:t xml:space="preserve">, J. V., Palacio, L., &amp; Palacio, C. M. A. (2022). Perceived Skills and Employability of Senior High School Graduates: Basis for Youth </w:t>
      </w:r>
    </w:p>
    <w:p w14:paraId="49C161FC" w14:textId="77777777" w:rsidR="002B57B9" w:rsidRPr="00B72DA4" w:rsidRDefault="00193F43">
      <w:pPr>
        <w:spacing w:line="240" w:lineRule="auto"/>
        <w:ind w:left="720" w:hanging="720"/>
        <w:jc w:val="both"/>
        <w:rPr>
          <w:rFonts w:ascii="Arial" w:eastAsia="Arial" w:hAnsi="Arial" w:cs="Arial"/>
          <w:sz w:val="20"/>
          <w:szCs w:val="20"/>
        </w:rPr>
      </w:pPr>
      <w:r w:rsidRPr="00B72DA4">
        <w:rPr>
          <w:rFonts w:ascii="Arial" w:eastAsia="Arial" w:hAnsi="Arial" w:cs="Arial"/>
          <w:sz w:val="20"/>
          <w:szCs w:val="20"/>
        </w:rPr>
        <w:t xml:space="preserve">Cielo, J. S., &amp; </w:t>
      </w:r>
      <w:proofErr w:type="spellStart"/>
      <w:r w:rsidRPr="00B72DA4">
        <w:rPr>
          <w:rFonts w:ascii="Arial" w:eastAsia="Arial" w:hAnsi="Arial" w:cs="Arial"/>
          <w:sz w:val="20"/>
          <w:szCs w:val="20"/>
        </w:rPr>
        <w:t>Niez</w:t>
      </w:r>
      <w:proofErr w:type="spellEnd"/>
      <w:r w:rsidRPr="00B72DA4">
        <w:rPr>
          <w:rFonts w:ascii="Arial" w:eastAsia="Arial" w:hAnsi="Arial" w:cs="Arial"/>
          <w:sz w:val="20"/>
          <w:szCs w:val="20"/>
        </w:rPr>
        <w:t xml:space="preserve">, R. A. (2023). Personality Traits </w:t>
      </w:r>
      <w:proofErr w:type="gramStart"/>
      <w:r w:rsidRPr="00B72DA4">
        <w:rPr>
          <w:rFonts w:ascii="Arial" w:eastAsia="Arial" w:hAnsi="Arial" w:cs="Arial"/>
          <w:sz w:val="20"/>
          <w:szCs w:val="20"/>
        </w:rPr>
        <w:t>And</w:t>
      </w:r>
      <w:proofErr w:type="gramEnd"/>
      <w:r w:rsidRPr="00B72DA4">
        <w:rPr>
          <w:rFonts w:ascii="Arial" w:eastAsia="Arial" w:hAnsi="Arial" w:cs="Arial"/>
          <w:sz w:val="20"/>
          <w:szCs w:val="20"/>
        </w:rPr>
        <w:t xml:space="preserve"> Employability Skills Of Grade 12 Student Interns: </w:t>
      </w:r>
      <w:r w:rsidRPr="00B72DA4">
        <w:rPr>
          <w:rFonts w:ascii="Arial" w:eastAsia="Arial" w:hAnsi="Arial" w:cs="Arial"/>
          <w:sz w:val="20"/>
          <w:szCs w:val="20"/>
        </w:rPr>
        <w:t xml:space="preserve">Basis For Enhanced School Immersion Program. </w:t>
      </w:r>
      <w:proofErr w:type="spellStart"/>
      <w:r w:rsidRPr="00B72DA4">
        <w:rPr>
          <w:rFonts w:ascii="Arial" w:eastAsia="Arial" w:hAnsi="Arial" w:cs="Arial"/>
          <w:sz w:val="20"/>
          <w:szCs w:val="20"/>
        </w:rPr>
        <w:t>OPSearch</w:t>
      </w:r>
      <w:proofErr w:type="spellEnd"/>
      <w:r w:rsidRPr="00B72DA4">
        <w:rPr>
          <w:rFonts w:ascii="Arial" w:eastAsia="Arial" w:hAnsi="Arial" w:cs="Arial"/>
          <w:sz w:val="20"/>
          <w:szCs w:val="20"/>
        </w:rPr>
        <w:t xml:space="preserve"> American Journal of Open Research, 2(8), 616–634. </w:t>
      </w:r>
      <w:hyperlink r:id="rId21">
        <w:r w:rsidR="002B57B9" w:rsidRPr="00B72DA4">
          <w:rPr>
            <w:rFonts w:ascii="Arial" w:eastAsia="Arial" w:hAnsi="Arial" w:cs="Arial"/>
            <w:color w:val="0563C1"/>
            <w:sz w:val="20"/>
            <w:szCs w:val="20"/>
            <w:u w:val="single"/>
          </w:rPr>
          <w:t>https://doi.org/10.58811/opsearch.v2i8.69</w:t>
        </w:r>
      </w:hyperlink>
      <w:hyperlink r:id="rId22">
        <w:r w:rsidR="002B57B9" w:rsidRPr="00B72DA4">
          <w:rPr>
            <w:rFonts w:ascii="Arial" w:eastAsia="Arial" w:hAnsi="Arial" w:cs="Arial"/>
            <w:color w:val="000000"/>
            <w:sz w:val="20"/>
            <w:szCs w:val="20"/>
          </w:rPr>
          <w:t xml:space="preserve"> </w:t>
        </w:r>
      </w:hyperlink>
    </w:p>
    <w:p w14:paraId="15606B86" w14:textId="77777777" w:rsidR="002B57B9" w:rsidRPr="00B72DA4" w:rsidRDefault="00193F43">
      <w:pPr>
        <w:spacing w:line="240" w:lineRule="auto"/>
        <w:ind w:left="720" w:hanging="720"/>
        <w:jc w:val="both"/>
        <w:rPr>
          <w:rFonts w:ascii="Arial" w:eastAsia="Arial" w:hAnsi="Arial" w:cs="Arial"/>
          <w:sz w:val="20"/>
          <w:szCs w:val="20"/>
        </w:rPr>
      </w:pPr>
      <w:r w:rsidRPr="00B72DA4">
        <w:rPr>
          <w:rFonts w:ascii="Arial" w:eastAsia="Arial" w:hAnsi="Arial" w:cs="Arial"/>
          <w:sz w:val="20"/>
          <w:szCs w:val="20"/>
        </w:rPr>
        <w:t xml:space="preserve">Cosby, A.; Manning, J.; Power, D.; </w:t>
      </w:r>
      <w:proofErr w:type="spellStart"/>
      <w:r w:rsidRPr="00B72DA4">
        <w:rPr>
          <w:rFonts w:ascii="Arial" w:eastAsia="Arial" w:hAnsi="Arial" w:cs="Arial"/>
          <w:sz w:val="20"/>
          <w:szCs w:val="20"/>
        </w:rPr>
        <w:t>Harreveld</w:t>
      </w:r>
      <w:proofErr w:type="spellEnd"/>
      <w:r w:rsidRPr="00B72DA4">
        <w:rPr>
          <w:rFonts w:ascii="Arial" w:eastAsia="Arial" w:hAnsi="Arial" w:cs="Arial"/>
          <w:sz w:val="20"/>
          <w:szCs w:val="20"/>
        </w:rPr>
        <w:t xml:space="preserve">, B. New Decade, Same Concerns: A Systematic Review of Agricultural Literacy of School Students. Educ. Sci. 2022, 12, 235. https://doi.org/10.3390/ educsci12040235  </w:t>
      </w:r>
    </w:p>
    <w:p w14:paraId="2F09AA4E" w14:textId="77777777" w:rsidR="002B57B9" w:rsidRPr="00B72DA4" w:rsidRDefault="00193F43">
      <w:pPr>
        <w:spacing w:line="240" w:lineRule="auto"/>
        <w:ind w:left="720" w:hanging="720"/>
        <w:jc w:val="both"/>
        <w:rPr>
          <w:rFonts w:ascii="Arial" w:eastAsia="Arial" w:hAnsi="Arial" w:cs="Arial"/>
          <w:sz w:val="20"/>
          <w:szCs w:val="20"/>
        </w:rPr>
      </w:pPr>
      <w:r w:rsidRPr="00B72DA4">
        <w:rPr>
          <w:rFonts w:ascii="Arial" w:eastAsia="Arial" w:hAnsi="Arial" w:cs="Arial"/>
          <w:sz w:val="20"/>
          <w:szCs w:val="20"/>
        </w:rPr>
        <w:t xml:space="preserve">Covey, S. R. (2020). </w:t>
      </w:r>
      <w:r w:rsidRPr="00B72DA4">
        <w:rPr>
          <w:rFonts w:ascii="Arial" w:eastAsia="Arial" w:hAnsi="Arial" w:cs="Arial"/>
          <w:i/>
          <w:sz w:val="20"/>
          <w:szCs w:val="20"/>
        </w:rPr>
        <w:t>The 7 habits</w:t>
      </w:r>
      <w:r w:rsidRPr="00B72DA4">
        <w:rPr>
          <w:rFonts w:ascii="Arial" w:eastAsia="Arial" w:hAnsi="Arial" w:cs="Arial"/>
          <w:i/>
          <w:sz w:val="20"/>
          <w:szCs w:val="20"/>
        </w:rPr>
        <w:t xml:space="preserve"> of highly effective people: 30th anniversary edition</w:t>
      </w:r>
      <w:r w:rsidRPr="00B72DA4">
        <w:rPr>
          <w:rFonts w:ascii="Arial" w:eastAsia="Arial" w:hAnsi="Arial" w:cs="Arial"/>
          <w:sz w:val="20"/>
          <w:szCs w:val="20"/>
        </w:rPr>
        <w:t xml:space="preserve">. </w:t>
      </w:r>
    </w:p>
    <w:p w14:paraId="20D735C6" w14:textId="77777777" w:rsidR="002B57B9" w:rsidRPr="00B72DA4" w:rsidRDefault="00193F43">
      <w:pPr>
        <w:spacing w:line="240" w:lineRule="auto"/>
        <w:ind w:left="720" w:hanging="720"/>
        <w:jc w:val="both"/>
        <w:rPr>
          <w:rFonts w:ascii="Arial" w:eastAsia="Arial" w:hAnsi="Arial" w:cs="Arial"/>
          <w:sz w:val="20"/>
          <w:szCs w:val="20"/>
        </w:rPr>
      </w:pPr>
      <w:r w:rsidRPr="00B72DA4">
        <w:rPr>
          <w:rFonts w:ascii="Arial" w:eastAsia="Arial" w:hAnsi="Arial" w:cs="Arial"/>
          <w:sz w:val="20"/>
          <w:szCs w:val="20"/>
        </w:rPr>
        <w:tab/>
      </w:r>
      <w:proofErr w:type="spellStart"/>
      <w:r w:rsidRPr="00B72DA4">
        <w:rPr>
          <w:rFonts w:ascii="Arial" w:eastAsia="Arial" w:hAnsi="Arial" w:cs="Arial"/>
          <w:sz w:val="20"/>
          <w:szCs w:val="20"/>
        </w:rPr>
        <w:t>FranklinCovey</w:t>
      </w:r>
      <w:proofErr w:type="spellEnd"/>
      <w:r w:rsidRPr="00B72DA4">
        <w:rPr>
          <w:rFonts w:ascii="Arial" w:eastAsia="Arial" w:hAnsi="Arial" w:cs="Arial"/>
          <w:sz w:val="20"/>
          <w:szCs w:val="20"/>
        </w:rPr>
        <w:t xml:space="preserve">. </w:t>
      </w:r>
      <w:r w:rsidRPr="00B72DA4">
        <w:rPr>
          <w:rFonts w:ascii="Arial" w:eastAsia="Arial" w:hAnsi="Arial" w:cs="Arial"/>
          <w:sz w:val="20"/>
          <w:szCs w:val="20"/>
        </w:rPr>
        <w:tab/>
        <w:t xml:space="preserve">Retrieved </w:t>
      </w:r>
      <w:r w:rsidRPr="00B72DA4">
        <w:rPr>
          <w:rFonts w:ascii="Arial" w:eastAsia="Arial" w:hAnsi="Arial" w:cs="Arial"/>
          <w:sz w:val="20"/>
          <w:szCs w:val="20"/>
        </w:rPr>
        <w:tab/>
        <w:t>from</w:t>
      </w:r>
      <w:hyperlink r:id="rId23">
        <w:r w:rsidR="002B57B9" w:rsidRPr="00B72DA4">
          <w:rPr>
            <w:rFonts w:ascii="Arial" w:eastAsia="Arial" w:hAnsi="Arial" w:cs="Arial"/>
            <w:color w:val="000000"/>
            <w:sz w:val="20"/>
            <w:szCs w:val="20"/>
          </w:rPr>
          <w:t xml:space="preserve"> </w:t>
        </w:r>
      </w:hyperlink>
      <w:hyperlink r:id="rId24">
        <w:r w:rsidR="002B57B9" w:rsidRPr="00B72DA4">
          <w:rPr>
            <w:rFonts w:ascii="Arial" w:eastAsia="Arial" w:hAnsi="Arial" w:cs="Arial"/>
            <w:color w:val="0563C1"/>
            <w:sz w:val="20"/>
            <w:szCs w:val="20"/>
            <w:u w:val="single"/>
          </w:rPr>
          <w:t>https://books.google.com.ph/books?hl=en&amp;lr=&amp;id=3K7eDwAAQBAJ</w:t>
        </w:r>
      </w:hyperlink>
      <w:hyperlink r:id="rId25">
        <w:r w:rsidR="002B57B9" w:rsidRPr="00B72DA4">
          <w:rPr>
            <w:rFonts w:ascii="Arial" w:eastAsia="Arial" w:hAnsi="Arial" w:cs="Arial"/>
            <w:color w:val="000000"/>
            <w:sz w:val="20"/>
            <w:szCs w:val="20"/>
          </w:rPr>
          <w:t xml:space="preserve"> </w:t>
        </w:r>
      </w:hyperlink>
    </w:p>
    <w:p w14:paraId="7B36B2AF" w14:textId="77777777" w:rsidR="002B57B9" w:rsidRPr="00B72DA4" w:rsidRDefault="00193F43">
      <w:pPr>
        <w:spacing w:line="240" w:lineRule="auto"/>
        <w:ind w:left="720" w:hanging="720"/>
        <w:jc w:val="both"/>
        <w:rPr>
          <w:rFonts w:ascii="Arial" w:eastAsia="Arial" w:hAnsi="Arial" w:cs="Arial"/>
          <w:sz w:val="20"/>
          <w:szCs w:val="20"/>
        </w:rPr>
      </w:pPr>
      <w:r w:rsidRPr="00B72DA4">
        <w:rPr>
          <w:rFonts w:ascii="Arial" w:eastAsia="Arial" w:hAnsi="Arial" w:cs="Arial"/>
          <w:sz w:val="20"/>
          <w:szCs w:val="20"/>
        </w:rPr>
        <w:t xml:space="preserve">Creswell, J. W. (2013). Qualitative Inquiry &amp; Research Design: Choosing Among Five Approaches. Sage Publications. </w:t>
      </w:r>
    </w:p>
    <w:p w14:paraId="4F499C5B" w14:textId="77777777" w:rsidR="002B57B9" w:rsidRPr="00B72DA4" w:rsidRDefault="00193F43">
      <w:pPr>
        <w:spacing w:line="240" w:lineRule="auto"/>
        <w:ind w:left="720" w:hanging="720"/>
        <w:jc w:val="both"/>
        <w:rPr>
          <w:rFonts w:ascii="Arial" w:eastAsia="Arial" w:hAnsi="Arial" w:cs="Arial"/>
          <w:sz w:val="20"/>
          <w:szCs w:val="20"/>
        </w:rPr>
      </w:pPr>
      <w:r w:rsidRPr="00B72DA4">
        <w:rPr>
          <w:rFonts w:ascii="Arial" w:eastAsia="Arial" w:hAnsi="Arial" w:cs="Arial"/>
          <w:sz w:val="20"/>
          <w:szCs w:val="20"/>
        </w:rPr>
        <w:lastRenderedPageBreak/>
        <w:t>Dilshad, R</w:t>
      </w:r>
      <w:r w:rsidRPr="00B72DA4">
        <w:rPr>
          <w:rFonts w:ascii="Arial" w:eastAsia="Arial" w:hAnsi="Arial" w:cs="Arial"/>
          <w:sz w:val="20"/>
          <w:szCs w:val="20"/>
        </w:rPr>
        <w:t xml:space="preserve">.M. and Ijaz Latif, M. (2013) Focus Group Interview as a Tool for Qualitative Research: An Analysis. Pakistan Journal of Social Sciences, 33, 191-198. </w:t>
      </w:r>
    </w:p>
    <w:p w14:paraId="56002FB7" w14:textId="77777777" w:rsidR="002B57B9" w:rsidRPr="00B72DA4" w:rsidRDefault="00193F43">
      <w:pPr>
        <w:spacing w:line="240" w:lineRule="auto"/>
        <w:ind w:left="720" w:hanging="720"/>
        <w:jc w:val="both"/>
        <w:rPr>
          <w:rFonts w:ascii="Arial" w:eastAsia="Arial" w:hAnsi="Arial" w:cs="Arial"/>
          <w:sz w:val="20"/>
          <w:szCs w:val="20"/>
        </w:rPr>
      </w:pPr>
      <w:proofErr w:type="spellStart"/>
      <w:r w:rsidRPr="00B72DA4">
        <w:rPr>
          <w:rFonts w:ascii="Arial" w:eastAsia="Arial" w:hAnsi="Arial" w:cs="Arial"/>
          <w:sz w:val="20"/>
          <w:szCs w:val="20"/>
        </w:rPr>
        <w:t>Dizon</w:t>
      </w:r>
      <w:proofErr w:type="spellEnd"/>
      <w:r w:rsidRPr="00B72DA4">
        <w:rPr>
          <w:rFonts w:ascii="Arial" w:eastAsia="Arial" w:hAnsi="Arial" w:cs="Arial"/>
          <w:sz w:val="20"/>
          <w:szCs w:val="20"/>
        </w:rPr>
        <w:t xml:space="preserve">, R. L., </w:t>
      </w:r>
      <w:proofErr w:type="spellStart"/>
      <w:r w:rsidRPr="00B72DA4">
        <w:rPr>
          <w:rFonts w:ascii="Arial" w:eastAsia="Arial" w:hAnsi="Arial" w:cs="Arial"/>
          <w:sz w:val="20"/>
          <w:szCs w:val="20"/>
        </w:rPr>
        <w:t>Calbi</w:t>
      </w:r>
      <w:proofErr w:type="spellEnd"/>
      <w:r w:rsidRPr="00B72DA4">
        <w:rPr>
          <w:rFonts w:ascii="Arial" w:eastAsia="Arial" w:hAnsi="Arial" w:cs="Arial"/>
          <w:sz w:val="20"/>
          <w:szCs w:val="20"/>
        </w:rPr>
        <w:t xml:space="preserve">, J. S., </w:t>
      </w:r>
      <w:proofErr w:type="spellStart"/>
      <w:r w:rsidRPr="00B72DA4">
        <w:rPr>
          <w:rFonts w:ascii="Arial" w:eastAsia="Arial" w:hAnsi="Arial" w:cs="Arial"/>
          <w:sz w:val="20"/>
          <w:szCs w:val="20"/>
        </w:rPr>
        <w:t>Cuyos</w:t>
      </w:r>
      <w:proofErr w:type="spellEnd"/>
      <w:r w:rsidRPr="00B72DA4">
        <w:rPr>
          <w:rFonts w:ascii="Arial" w:eastAsia="Arial" w:hAnsi="Arial" w:cs="Arial"/>
          <w:sz w:val="20"/>
          <w:szCs w:val="20"/>
        </w:rPr>
        <w:t>, J. S., &amp; Miranda, M. (2019). Perspectives on the Implementation of th</w:t>
      </w:r>
      <w:r w:rsidRPr="00B72DA4">
        <w:rPr>
          <w:rFonts w:ascii="Arial" w:eastAsia="Arial" w:hAnsi="Arial" w:cs="Arial"/>
          <w:sz w:val="20"/>
          <w:szCs w:val="20"/>
        </w:rPr>
        <w:t xml:space="preserve">e K to 12 Program in the Philippines: A Research Review. </w:t>
      </w:r>
      <w:hyperlink r:id="rId26">
        <w:r w:rsidR="002B57B9" w:rsidRPr="00B72DA4">
          <w:rPr>
            <w:rFonts w:ascii="Arial" w:eastAsia="Arial" w:hAnsi="Arial" w:cs="Arial"/>
            <w:color w:val="000000"/>
            <w:sz w:val="20"/>
            <w:szCs w:val="20"/>
          </w:rPr>
          <w:t xml:space="preserve">https://www.ijires.org/index.php/issues?view=publication&amp;task=show&amp;id=548 </w:t>
        </w:r>
      </w:hyperlink>
    </w:p>
    <w:p w14:paraId="4DD43A8B" w14:textId="77777777" w:rsidR="002B57B9" w:rsidRPr="00B72DA4" w:rsidRDefault="00193F43">
      <w:pPr>
        <w:spacing w:line="240" w:lineRule="auto"/>
        <w:ind w:left="720" w:hanging="720"/>
        <w:jc w:val="both"/>
        <w:rPr>
          <w:rFonts w:ascii="Arial" w:eastAsia="Arial" w:hAnsi="Arial" w:cs="Arial"/>
          <w:sz w:val="20"/>
          <w:szCs w:val="20"/>
        </w:rPr>
      </w:pPr>
      <w:proofErr w:type="spellStart"/>
      <w:r w:rsidRPr="00B72DA4">
        <w:rPr>
          <w:rFonts w:ascii="Arial" w:eastAsia="Arial" w:hAnsi="Arial" w:cs="Arial"/>
          <w:sz w:val="20"/>
          <w:szCs w:val="20"/>
        </w:rPr>
        <w:t>Edziwa</w:t>
      </w:r>
      <w:proofErr w:type="spellEnd"/>
      <w:r w:rsidRPr="00B72DA4">
        <w:rPr>
          <w:rFonts w:ascii="Arial" w:eastAsia="Arial" w:hAnsi="Arial" w:cs="Arial"/>
          <w:sz w:val="20"/>
          <w:szCs w:val="20"/>
        </w:rPr>
        <w:t xml:space="preserve">, X., &amp; </w:t>
      </w:r>
      <w:proofErr w:type="spellStart"/>
      <w:r w:rsidRPr="00B72DA4">
        <w:rPr>
          <w:rFonts w:ascii="Arial" w:eastAsia="Arial" w:hAnsi="Arial" w:cs="Arial"/>
          <w:sz w:val="20"/>
          <w:szCs w:val="20"/>
        </w:rPr>
        <w:t>Blignaut</w:t>
      </w:r>
      <w:proofErr w:type="spellEnd"/>
      <w:r w:rsidRPr="00B72DA4">
        <w:rPr>
          <w:rFonts w:ascii="Arial" w:eastAsia="Arial" w:hAnsi="Arial" w:cs="Arial"/>
          <w:sz w:val="20"/>
          <w:szCs w:val="20"/>
        </w:rPr>
        <w:t>, S. (202</w:t>
      </w:r>
      <w:r w:rsidRPr="00B72DA4">
        <w:rPr>
          <w:rFonts w:ascii="Arial" w:eastAsia="Arial" w:hAnsi="Arial" w:cs="Arial"/>
          <w:sz w:val="20"/>
          <w:szCs w:val="20"/>
        </w:rPr>
        <w:t xml:space="preserve">2). Graduate employability skills: The voice of Agricultural Technical Vocational Education and Training (ATVET) students in Zimbabwe. </w:t>
      </w:r>
      <w:r w:rsidRPr="00B72DA4">
        <w:rPr>
          <w:rFonts w:ascii="Arial" w:eastAsia="Arial" w:hAnsi="Arial" w:cs="Arial"/>
          <w:i/>
          <w:sz w:val="20"/>
          <w:szCs w:val="20"/>
        </w:rPr>
        <w:t>South African Journal of Higher Education</w:t>
      </w:r>
      <w:r w:rsidRPr="00B72DA4">
        <w:rPr>
          <w:rFonts w:ascii="Arial" w:eastAsia="Arial" w:hAnsi="Arial" w:cs="Arial"/>
          <w:sz w:val="20"/>
          <w:szCs w:val="20"/>
        </w:rPr>
        <w:t xml:space="preserve">, </w:t>
      </w:r>
      <w:r w:rsidRPr="00B72DA4">
        <w:rPr>
          <w:rFonts w:ascii="Arial" w:eastAsia="Arial" w:hAnsi="Arial" w:cs="Arial"/>
          <w:i/>
          <w:sz w:val="20"/>
          <w:szCs w:val="20"/>
        </w:rPr>
        <w:t>36</w:t>
      </w:r>
      <w:r w:rsidRPr="00B72DA4">
        <w:rPr>
          <w:rFonts w:ascii="Arial" w:eastAsia="Arial" w:hAnsi="Arial" w:cs="Arial"/>
          <w:sz w:val="20"/>
          <w:szCs w:val="20"/>
        </w:rPr>
        <w:t xml:space="preserve">(2). https://doi.org/10.20853/36-2-4501 </w:t>
      </w:r>
    </w:p>
    <w:p w14:paraId="61D6CB0C" w14:textId="77777777" w:rsidR="002B57B9" w:rsidRPr="00B72DA4" w:rsidRDefault="00193F43">
      <w:pPr>
        <w:spacing w:line="240" w:lineRule="auto"/>
        <w:ind w:left="720" w:hanging="720"/>
        <w:jc w:val="both"/>
        <w:rPr>
          <w:rFonts w:ascii="Arial" w:eastAsia="Arial" w:hAnsi="Arial" w:cs="Arial"/>
          <w:sz w:val="20"/>
          <w:szCs w:val="20"/>
        </w:rPr>
      </w:pPr>
      <w:r w:rsidRPr="00B72DA4">
        <w:rPr>
          <w:rFonts w:ascii="Arial" w:eastAsia="Arial" w:hAnsi="Arial" w:cs="Arial"/>
          <w:sz w:val="20"/>
          <w:szCs w:val="20"/>
        </w:rPr>
        <w:t xml:space="preserve">Erickson, B., </w:t>
      </w:r>
      <w:proofErr w:type="spellStart"/>
      <w:r w:rsidRPr="00B72DA4">
        <w:rPr>
          <w:rFonts w:ascii="Arial" w:eastAsia="Arial" w:hAnsi="Arial" w:cs="Arial"/>
          <w:sz w:val="20"/>
          <w:szCs w:val="20"/>
        </w:rPr>
        <w:t>Fausti</w:t>
      </w:r>
      <w:proofErr w:type="spellEnd"/>
      <w:r w:rsidRPr="00B72DA4">
        <w:rPr>
          <w:rFonts w:ascii="Arial" w:eastAsia="Arial" w:hAnsi="Arial" w:cs="Arial"/>
          <w:sz w:val="20"/>
          <w:szCs w:val="20"/>
        </w:rPr>
        <w:t xml:space="preserve">, S., Clay, D., &amp; Clay, S. (2018). Knowledge, Skills, and Abilities in the Precision Agriculture Workforce: An Industry survey. </w:t>
      </w:r>
      <w:r w:rsidRPr="00B72DA4">
        <w:rPr>
          <w:rFonts w:ascii="Arial" w:eastAsia="Arial" w:hAnsi="Arial" w:cs="Arial"/>
          <w:i/>
          <w:sz w:val="20"/>
          <w:szCs w:val="20"/>
        </w:rPr>
        <w:t>Natural Sciences Education</w:t>
      </w:r>
      <w:r w:rsidRPr="00B72DA4">
        <w:rPr>
          <w:rFonts w:ascii="Arial" w:eastAsia="Arial" w:hAnsi="Arial" w:cs="Arial"/>
          <w:sz w:val="20"/>
          <w:szCs w:val="20"/>
        </w:rPr>
        <w:t xml:space="preserve">, </w:t>
      </w:r>
      <w:r w:rsidRPr="00B72DA4">
        <w:rPr>
          <w:rFonts w:ascii="Arial" w:eastAsia="Arial" w:hAnsi="Arial" w:cs="Arial"/>
          <w:i/>
          <w:sz w:val="20"/>
          <w:szCs w:val="20"/>
        </w:rPr>
        <w:t>47</w:t>
      </w:r>
      <w:r w:rsidRPr="00B72DA4">
        <w:rPr>
          <w:rFonts w:ascii="Arial" w:eastAsia="Arial" w:hAnsi="Arial" w:cs="Arial"/>
          <w:sz w:val="20"/>
          <w:szCs w:val="20"/>
        </w:rPr>
        <w:t xml:space="preserve">(1), 1–11. </w:t>
      </w:r>
      <w:hyperlink r:id="rId27">
        <w:r w:rsidR="002B57B9" w:rsidRPr="00B72DA4">
          <w:rPr>
            <w:rFonts w:ascii="Arial" w:eastAsia="Arial" w:hAnsi="Arial" w:cs="Arial"/>
            <w:color w:val="000000"/>
            <w:sz w:val="20"/>
            <w:szCs w:val="20"/>
          </w:rPr>
          <w:t xml:space="preserve">https://doi.org/10.4195/nse2018.04.0010 </w:t>
        </w:r>
      </w:hyperlink>
    </w:p>
    <w:p w14:paraId="0838826D" w14:textId="77777777" w:rsidR="002B57B9" w:rsidRPr="00B72DA4" w:rsidRDefault="00193F43">
      <w:pPr>
        <w:spacing w:line="240" w:lineRule="auto"/>
        <w:ind w:left="720" w:hanging="720"/>
        <w:jc w:val="both"/>
        <w:rPr>
          <w:rFonts w:ascii="Arial" w:eastAsia="Arial" w:hAnsi="Arial" w:cs="Arial"/>
          <w:sz w:val="20"/>
          <w:szCs w:val="20"/>
        </w:rPr>
      </w:pPr>
      <w:proofErr w:type="spellStart"/>
      <w:r w:rsidRPr="00B72DA4">
        <w:rPr>
          <w:rFonts w:ascii="Arial" w:eastAsia="Arial" w:hAnsi="Arial" w:cs="Arial"/>
          <w:sz w:val="20"/>
          <w:szCs w:val="20"/>
        </w:rPr>
        <w:t>Fakunle</w:t>
      </w:r>
      <w:proofErr w:type="spellEnd"/>
      <w:r w:rsidRPr="00B72DA4">
        <w:rPr>
          <w:rFonts w:ascii="Arial" w:eastAsia="Arial" w:hAnsi="Arial" w:cs="Arial"/>
          <w:sz w:val="20"/>
          <w:szCs w:val="20"/>
        </w:rPr>
        <w:t xml:space="preserve">, S. O., Okunola, J. L., &amp; Ajani, B. K. (2022). Technological Advancement, Globalization, and Developing Countries. In </w:t>
      </w:r>
      <w:proofErr w:type="gramStart"/>
      <w:r w:rsidRPr="00B72DA4">
        <w:rPr>
          <w:rFonts w:ascii="Arial" w:eastAsia="Arial" w:hAnsi="Arial" w:cs="Arial"/>
          <w:sz w:val="20"/>
          <w:szCs w:val="20"/>
        </w:rPr>
        <w:t>The</w:t>
      </w:r>
      <w:proofErr w:type="gramEnd"/>
      <w:r w:rsidRPr="00B72DA4">
        <w:rPr>
          <w:rFonts w:ascii="Arial" w:eastAsia="Arial" w:hAnsi="Arial" w:cs="Arial"/>
          <w:sz w:val="20"/>
          <w:szCs w:val="20"/>
        </w:rPr>
        <w:t xml:space="preserve"> Palgrave Handbook of Global Social Change (pp. 1–17). Springer International Publishing. </w:t>
      </w:r>
      <w:hyperlink r:id="rId28">
        <w:r w:rsidR="002B57B9" w:rsidRPr="00B72DA4">
          <w:rPr>
            <w:rFonts w:ascii="Arial" w:eastAsia="Arial" w:hAnsi="Arial" w:cs="Arial"/>
            <w:color w:val="000000"/>
            <w:sz w:val="20"/>
            <w:szCs w:val="20"/>
          </w:rPr>
          <w:t xml:space="preserve">https://doi.org/10.1007/978-3-030-87624-1_160-1 </w:t>
        </w:r>
      </w:hyperlink>
    </w:p>
    <w:p w14:paraId="6C24FA46" w14:textId="77777777" w:rsidR="002B57B9" w:rsidRPr="00B72DA4" w:rsidRDefault="00193F43">
      <w:pPr>
        <w:spacing w:line="240" w:lineRule="auto"/>
        <w:ind w:left="720" w:hanging="720"/>
        <w:jc w:val="both"/>
        <w:rPr>
          <w:rFonts w:ascii="Arial" w:eastAsia="Arial" w:hAnsi="Arial" w:cs="Arial"/>
          <w:sz w:val="20"/>
          <w:szCs w:val="20"/>
        </w:rPr>
      </w:pPr>
      <w:proofErr w:type="spellStart"/>
      <w:r w:rsidRPr="00B72DA4">
        <w:rPr>
          <w:rFonts w:ascii="Arial" w:eastAsia="Arial" w:hAnsi="Arial" w:cs="Arial"/>
          <w:sz w:val="20"/>
          <w:szCs w:val="20"/>
        </w:rPr>
        <w:t>Gicana</w:t>
      </w:r>
      <w:proofErr w:type="spellEnd"/>
      <w:r w:rsidRPr="00B72DA4">
        <w:rPr>
          <w:rFonts w:ascii="Arial" w:eastAsia="Arial" w:hAnsi="Arial" w:cs="Arial"/>
          <w:sz w:val="20"/>
          <w:szCs w:val="20"/>
        </w:rPr>
        <w:t>, C. a. F. (2023). Enhancing science curriculum in technical Vocational Education: a study in the Philippines. International Journal of Sc</w:t>
      </w:r>
      <w:r w:rsidRPr="00B72DA4">
        <w:rPr>
          <w:rFonts w:ascii="Arial" w:eastAsia="Arial" w:hAnsi="Arial" w:cs="Arial"/>
          <w:sz w:val="20"/>
          <w:szCs w:val="20"/>
        </w:rPr>
        <w:t xml:space="preserve">ience and Research </w:t>
      </w:r>
      <w:r w:rsidRPr="00B72DA4">
        <w:rPr>
          <w:rFonts w:ascii="Arial" w:eastAsia="Arial" w:hAnsi="Arial" w:cs="Arial"/>
          <w:sz w:val="20"/>
          <w:szCs w:val="20"/>
        </w:rPr>
        <w:tab/>
        <w:t xml:space="preserve">(IJSR), </w:t>
      </w:r>
      <w:r w:rsidRPr="00B72DA4">
        <w:rPr>
          <w:rFonts w:ascii="Arial" w:eastAsia="Arial" w:hAnsi="Arial" w:cs="Arial"/>
          <w:sz w:val="20"/>
          <w:szCs w:val="20"/>
        </w:rPr>
        <w:tab/>
        <w:t xml:space="preserve">12(7), </w:t>
      </w:r>
      <w:r w:rsidRPr="00B72DA4">
        <w:rPr>
          <w:rFonts w:ascii="Arial" w:eastAsia="Arial" w:hAnsi="Arial" w:cs="Arial"/>
          <w:sz w:val="20"/>
          <w:szCs w:val="20"/>
        </w:rPr>
        <w:tab/>
        <w:t xml:space="preserve">1927–1932. </w:t>
      </w:r>
      <w:hyperlink r:id="rId29">
        <w:r w:rsidR="002B57B9" w:rsidRPr="00B72DA4">
          <w:rPr>
            <w:rFonts w:ascii="Arial" w:eastAsia="Arial" w:hAnsi="Arial" w:cs="Arial"/>
            <w:color w:val="0563C1"/>
            <w:sz w:val="20"/>
            <w:szCs w:val="20"/>
            <w:u w:val="single"/>
          </w:rPr>
          <w:t>https://doi.org/10.21275/sr23726135513</w:t>
        </w:r>
      </w:hyperlink>
      <w:hyperlink r:id="rId30">
        <w:r w:rsidR="002B57B9" w:rsidRPr="00B72DA4">
          <w:rPr>
            <w:rFonts w:ascii="Arial" w:eastAsia="Arial" w:hAnsi="Arial" w:cs="Arial"/>
            <w:color w:val="000000"/>
            <w:sz w:val="20"/>
            <w:szCs w:val="20"/>
          </w:rPr>
          <w:t xml:space="preserve"> </w:t>
        </w:r>
      </w:hyperlink>
    </w:p>
    <w:p w14:paraId="59A0507E" w14:textId="77777777" w:rsidR="002B57B9" w:rsidRPr="00B72DA4" w:rsidRDefault="00193F43">
      <w:pPr>
        <w:spacing w:line="240" w:lineRule="auto"/>
        <w:ind w:left="720" w:hanging="720"/>
        <w:jc w:val="both"/>
        <w:rPr>
          <w:rFonts w:ascii="Arial" w:eastAsia="Arial" w:hAnsi="Arial" w:cs="Arial"/>
          <w:sz w:val="20"/>
          <w:szCs w:val="20"/>
        </w:rPr>
      </w:pPr>
      <w:proofErr w:type="spellStart"/>
      <w:r w:rsidRPr="00B72DA4">
        <w:rPr>
          <w:rFonts w:ascii="Arial" w:eastAsia="Arial" w:hAnsi="Arial" w:cs="Arial"/>
          <w:sz w:val="20"/>
          <w:szCs w:val="20"/>
        </w:rPr>
        <w:t>Hormazábal</w:t>
      </w:r>
      <w:proofErr w:type="spellEnd"/>
      <w:r w:rsidRPr="00B72DA4">
        <w:rPr>
          <w:rFonts w:ascii="Arial" w:eastAsia="Arial" w:hAnsi="Arial" w:cs="Arial"/>
          <w:sz w:val="20"/>
          <w:szCs w:val="20"/>
        </w:rPr>
        <w:t>, Y., Millar, L., &amp; Cadena, R. (2024). Cha</w:t>
      </w:r>
      <w:r w:rsidRPr="00B72DA4">
        <w:rPr>
          <w:rFonts w:ascii="Arial" w:eastAsia="Arial" w:hAnsi="Arial" w:cs="Arial"/>
          <w:sz w:val="20"/>
          <w:szCs w:val="20"/>
        </w:rPr>
        <w:t xml:space="preserve">llenges and Opportunities for Sustainable Engineering: Products, Services, Technologies, and Social Inclusivity with a Gender Approach. </w:t>
      </w:r>
      <w:r w:rsidRPr="00B72DA4">
        <w:rPr>
          <w:rFonts w:ascii="Arial" w:eastAsia="Arial" w:hAnsi="Arial" w:cs="Arial"/>
          <w:i/>
          <w:sz w:val="20"/>
          <w:szCs w:val="20"/>
        </w:rPr>
        <w:t>Sustainability, 16</w:t>
      </w:r>
      <w:r w:rsidRPr="00B72DA4">
        <w:rPr>
          <w:rFonts w:ascii="Arial" w:eastAsia="Arial" w:hAnsi="Arial" w:cs="Arial"/>
          <w:sz w:val="20"/>
          <w:szCs w:val="20"/>
        </w:rPr>
        <w:t>(5), 1888.</w:t>
      </w:r>
      <w:hyperlink r:id="rId31">
        <w:r w:rsidR="002B57B9" w:rsidRPr="00B72DA4">
          <w:rPr>
            <w:rFonts w:ascii="Arial" w:eastAsia="Arial" w:hAnsi="Arial" w:cs="Arial"/>
            <w:color w:val="000000"/>
            <w:sz w:val="20"/>
            <w:szCs w:val="20"/>
          </w:rPr>
          <w:t xml:space="preserve"> </w:t>
        </w:r>
      </w:hyperlink>
      <w:hyperlink r:id="rId32">
        <w:r w:rsidR="002B57B9" w:rsidRPr="00B72DA4">
          <w:rPr>
            <w:rFonts w:ascii="Arial" w:eastAsia="Arial" w:hAnsi="Arial" w:cs="Arial"/>
            <w:color w:val="0563C1"/>
            <w:sz w:val="20"/>
            <w:szCs w:val="20"/>
            <w:u w:val="single"/>
          </w:rPr>
          <w:t>https://doi.org/10.3390/su16051888</w:t>
        </w:r>
      </w:hyperlink>
      <w:hyperlink r:id="rId33">
        <w:r w:rsidR="002B57B9" w:rsidRPr="00B72DA4">
          <w:rPr>
            <w:rFonts w:ascii="Arial" w:eastAsia="Arial" w:hAnsi="Arial" w:cs="Arial"/>
            <w:color w:val="000000"/>
            <w:sz w:val="20"/>
            <w:szCs w:val="20"/>
          </w:rPr>
          <w:t xml:space="preserve"> </w:t>
        </w:r>
      </w:hyperlink>
    </w:p>
    <w:p w14:paraId="1619CF2D" w14:textId="77777777" w:rsidR="002B57B9" w:rsidRPr="00B72DA4" w:rsidRDefault="00193F43">
      <w:pPr>
        <w:spacing w:line="240" w:lineRule="auto"/>
        <w:ind w:left="720" w:hanging="720"/>
        <w:jc w:val="both"/>
        <w:rPr>
          <w:rFonts w:ascii="Arial" w:eastAsia="Arial" w:hAnsi="Arial" w:cs="Arial"/>
          <w:sz w:val="20"/>
          <w:szCs w:val="20"/>
        </w:rPr>
      </w:pPr>
      <w:proofErr w:type="spellStart"/>
      <w:r w:rsidRPr="00B72DA4">
        <w:rPr>
          <w:rFonts w:ascii="Arial" w:eastAsia="Arial" w:hAnsi="Arial" w:cs="Arial"/>
          <w:sz w:val="20"/>
          <w:szCs w:val="20"/>
        </w:rPr>
        <w:t>Icban</w:t>
      </w:r>
      <w:proofErr w:type="spellEnd"/>
      <w:r w:rsidRPr="00B72DA4">
        <w:rPr>
          <w:rFonts w:ascii="Arial" w:eastAsia="Arial" w:hAnsi="Arial" w:cs="Arial"/>
          <w:sz w:val="20"/>
          <w:szCs w:val="20"/>
        </w:rPr>
        <w:t xml:space="preserve">, A. S. (2019). Fit or Misfit: Employability of the Technical Vocational Livelihood Students through their Work </w:t>
      </w:r>
      <w:r w:rsidRPr="00B72DA4">
        <w:rPr>
          <w:rFonts w:ascii="Arial" w:eastAsia="Arial" w:hAnsi="Arial" w:cs="Arial"/>
          <w:sz w:val="20"/>
          <w:szCs w:val="20"/>
        </w:rPr>
        <w:tab/>
      </w:r>
      <w:proofErr w:type="spellStart"/>
      <w:r w:rsidRPr="00B72DA4">
        <w:rPr>
          <w:rFonts w:ascii="Arial" w:eastAsia="Arial" w:hAnsi="Arial" w:cs="Arial"/>
          <w:sz w:val="20"/>
          <w:szCs w:val="20"/>
        </w:rPr>
        <w:t>Immersion.</w:t>
      </w:r>
      <w:hyperlink r:id="rId34">
        <w:r w:rsidR="002B57B9" w:rsidRPr="00B72DA4">
          <w:rPr>
            <w:rFonts w:ascii="Arial" w:eastAsia="Arial" w:hAnsi="Arial" w:cs="Arial"/>
            <w:color w:val="0563C1"/>
            <w:sz w:val="20"/>
            <w:szCs w:val="20"/>
            <w:u w:val="single"/>
          </w:rPr>
          <w:t>https</w:t>
        </w:r>
        <w:proofErr w:type="spellEnd"/>
        <w:r w:rsidR="002B57B9" w:rsidRPr="00B72DA4">
          <w:rPr>
            <w:rFonts w:ascii="Arial" w:eastAsia="Arial" w:hAnsi="Arial" w:cs="Arial"/>
            <w:color w:val="0563C1"/>
            <w:sz w:val="20"/>
            <w:szCs w:val="20"/>
            <w:u w:val="single"/>
          </w:rPr>
          <w:t>://ejournals.ph/</w:t>
        </w:r>
        <w:proofErr w:type="spellStart"/>
        <w:r w:rsidR="002B57B9" w:rsidRPr="00B72DA4">
          <w:rPr>
            <w:rFonts w:ascii="Arial" w:eastAsia="Arial" w:hAnsi="Arial" w:cs="Arial"/>
            <w:color w:val="0563C1"/>
            <w:sz w:val="20"/>
            <w:szCs w:val="20"/>
            <w:u w:val="single"/>
          </w:rPr>
          <w:t>article.php?id</w:t>
        </w:r>
        <w:proofErr w:type="spellEnd"/>
        <w:r w:rsidR="002B57B9" w:rsidRPr="00B72DA4">
          <w:rPr>
            <w:rFonts w:ascii="Arial" w:eastAsia="Arial" w:hAnsi="Arial" w:cs="Arial"/>
            <w:color w:val="0563C1"/>
            <w:sz w:val="20"/>
            <w:szCs w:val="20"/>
            <w:u w:val="single"/>
          </w:rPr>
          <w:t>=14886</w:t>
        </w:r>
      </w:hyperlink>
      <w:hyperlink r:id="rId35">
        <w:r w:rsidR="002B57B9" w:rsidRPr="00B72DA4">
          <w:rPr>
            <w:rFonts w:ascii="Arial" w:eastAsia="Arial" w:hAnsi="Arial" w:cs="Arial"/>
            <w:color w:val="000000"/>
            <w:sz w:val="20"/>
            <w:szCs w:val="20"/>
          </w:rPr>
          <w:t xml:space="preserve"> </w:t>
        </w:r>
      </w:hyperlink>
      <w:proofErr w:type="spellStart"/>
      <w:r w:rsidRPr="00B72DA4">
        <w:rPr>
          <w:rFonts w:ascii="Arial" w:eastAsia="Arial" w:hAnsi="Arial" w:cs="Arial"/>
          <w:sz w:val="20"/>
          <w:szCs w:val="20"/>
        </w:rPr>
        <w:t>incoln</w:t>
      </w:r>
      <w:proofErr w:type="spellEnd"/>
      <w:r w:rsidRPr="00B72DA4">
        <w:rPr>
          <w:rFonts w:ascii="Arial" w:eastAsia="Arial" w:hAnsi="Arial" w:cs="Arial"/>
          <w:sz w:val="20"/>
          <w:szCs w:val="20"/>
        </w:rPr>
        <w:t xml:space="preserve"> S. Y., Guba E. G. (1985). Naturalistic inquiry. Thousand Oaks, CA: Sage. </w:t>
      </w:r>
    </w:p>
    <w:p w14:paraId="772DA0ED" w14:textId="77777777" w:rsidR="002B57B9" w:rsidRPr="00B72DA4" w:rsidRDefault="00193F43">
      <w:pPr>
        <w:spacing w:line="240" w:lineRule="auto"/>
        <w:ind w:left="720" w:hanging="720"/>
        <w:jc w:val="both"/>
        <w:rPr>
          <w:rFonts w:ascii="Arial" w:eastAsia="Arial" w:hAnsi="Arial" w:cs="Arial"/>
          <w:sz w:val="20"/>
          <w:szCs w:val="20"/>
        </w:rPr>
      </w:pPr>
      <w:r w:rsidRPr="00B72DA4">
        <w:rPr>
          <w:rFonts w:ascii="Arial" w:eastAsia="Arial" w:hAnsi="Arial" w:cs="Arial"/>
          <w:sz w:val="20"/>
          <w:szCs w:val="20"/>
        </w:rPr>
        <w:t xml:space="preserve">J. </w:t>
      </w:r>
      <w:proofErr w:type="spellStart"/>
      <w:r w:rsidRPr="00B72DA4">
        <w:rPr>
          <w:rFonts w:ascii="Arial" w:eastAsia="Arial" w:hAnsi="Arial" w:cs="Arial"/>
          <w:sz w:val="20"/>
          <w:szCs w:val="20"/>
        </w:rPr>
        <w:t>Fallah</w:t>
      </w:r>
      <w:proofErr w:type="spellEnd"/>
      <w:r w:rsidRPr="00B72DA4">
        <w:rPr>
          <w:rFonts w:ascii="Arial" w:eastAsia="Arial" w:hAnsi="Arial" w:cs="Arial"/>
          <w:sz w:val="20"/>
          <w:szCs w:val="20"/>
        </w:rPr>
        <w:t xml:space="preserve">, K. (2017, March). </w:t>
      </w:r>
      <w:r w:rsidRPr="00B72DA4">
        <w:rPr>
          <w:rFonts w:ascii="Arial" w:eastAsia="Arial" w:hAnsi="Arial" w:cs="Arial"/>
          <w:i/>
          <w:sz w:val="20"/>
          <w:szCs w:val="20"/>
        </w:rPr>
        <w:t>The</w:t>
      </w:r>
      <w:r w:rsidRPr="00B72DA4">
        <w:rPr>
          <w:rFonts w:ascii="Arial" w:eastAsia="Arial" w:hAnsi="Arial" w:cs="Arial"/>
          <w:i/>
          <w:sz w:val="20"/>
          <w:szCs w:val="20"/>
        </w:rPr>
        <w:t xml:space="preserve"> importance of attitude in workplace</w:t>
      </w:r>
      <w:r w:rsidRPr="00B72DA4">
        <w:rPr>
          <w:rFonts w:ascii="Arial" w:eastAsia="Arial" w:hAnsi="Arial" w:cs="Arial"/>
          <w:sz w:val="20"/>
          <w:szCs w:val="20"/>
        </w:rPr>
        <w:t>. ResearchGate. Retrieved March 1, 2017,from</w:t>
      </w:r>
      <w:hyperlink r:id="rId36">
        <w:r w:rsidR="002B57B9" w:rsidRPr="00B72DA4">
          <w:rPr>
            <w:rFonts w:ascii="Arial" w:eastAsia="Arial" w:hAnsi="Arial" w:cs="Arial"/>
            <w:color w:val="0563C1"/>
            <w:sz w:val="20"/>
            <w:szCs w:val="20"/>
            <w:u w:val="single"/>
          </w:rPr>
          <w:t>https://www.researchgate.net/publication/343447135_The_Importance_of_</w:t>
        </w:r>
      </w:hyperlink>
      <w:hyperlink r:id="rId37">
        <w:r w:rsidR="002B57B9" w:rsidRPr="00B72DA4">
          <w:rPr>
            <w:rFonts w:ascii="Arial" w:eastAsia="Arial" w:hAnsi="Arial" w:cs="Arial"/>
            <w:color w:val="000000"/>
            <w:sz w:val="20"/>
            <w:szCs w:val="20"/>
          </w:rPr>
          <w:t xml:space="preserve">Attitude_in_Workplace </w:t>
        </w:r>
      </w:hyperlink>
    </w:p>
    <w:p w14:paraId="6544C0EB" w14:textId="77777777" w:rsidR="002B57B9" w:rsidRPr="00B72DA4" w:rsidRDefault="00193F43">
      <w:pPr>
        <w:spacing w:line="240" w:lineRule="auto"/>
        <w:ind w:left="720" w:hanging="720"/>
        <w:jc w:val="both"/>
        <w:rPr>
          <w:rFonts w:ascii="Arial" w:eastAsia="Arial" w:hAnsi="Arial" w:cs="Arial"/>
          <w:sz w:val="20"/>
          <w:szCs w:val="20"/>
        </w:rPr>
      </w:pPr>
      <w:r w:rsidRPr="00B72DA4">
        <w:rPr>
          <w:rFonts w:ascii="Arial" w:eastAsia="Arial" w:hAnsi="Arial" w:cs="Arial"/>
          <w:sz w:val="20"/>
          <w:szCs w:val="20"/>
        </w:rPr>
        <w:t xml:space="preserve"> Kaur, M., &amp; Anand, A. (2020). Gap Analysis of Higher Agricultural Education Competencies among the Students for Industrial a</w:t>
      </w:r>
      <w:r w:rsidRPr="00B72DA4">
        <w:rPr>
          <w:rFonts w:ascii="Arial" w:eastAsia="Arial" w:hAnsi="Arial" w:cs="Arial"/>
          <w:sz w:val="20"/>
          <w:szCs w:val="20"/>
        </w:rPr>
        <w:t xml:space="preserve">nd Farmers’ Needs. </w:t>
      </w:r>
      <w:r w:rsidRPr="00B72DA4">
        <w:rPr>
          <w:rFonts w:ascii="Arial" w:eastAsia="Arial" w:hAnsi="Arial" w:cs="Arial"/>
          <w:i/>
          <w:sz w:val="20"/>
          <w:szCs w:val="20"/>
        </w:rPr>
        <w:t>Asian Journal of Agricultural Extension Economics &amp; Sociology</w:t>
      </w:r>
      <w:r w:rsidRPr="00B72DA4">
        <w:rPr>
          <w:rFonts w:ascii="Arial" w:eastAsia="Arial" w:hAnsi="Arial" w:cs="Arial"/>
          <w:sz w:val="20"/>
          <w:szCs w:val="20"/>
        </w:rPr>
        <w:t xml:space="preserve">, 75–83. </w:t>
      </w:r>
      <w:hyperlink r:id="rId38">
        <w:r w:rsidR="002B57B9" w:rsidRPr="00B72DA4">
          <w:rPr>
            <w:rFonts w:ascii="Arial" w:eastAsia="Arial" w:hAnsi="Arial" w:cs="Arial"/>
            <w:color w:val="0563C1"/>
            <w:sz w:val="20"/>
            <w:szCs w:val="20"/>
            <w:u w:val="single"/>
          </w:rPr>
          <w:t>https://doi.org/10.9734/ajaees/2020/v38i730377</w:t>
        </w:r>
      </w:hyperlink>
      <w:hyperlink r:id="rId39">
        <w:r w:rsidR="002B57B9" w:rsidRPr="00B72DA4">
          <w:rPr>
            <w:rFonts w:ascii="Arial" w:eastAsia="Arial" w:hAnsi="Arial" w:cs="Arial"/>
            <w:color w:val="000000"/>
            <w:sz w:val="20"/>
            <w:szCs w:val="20"/>
          </w:rPr>
          <w:t xml:space="preserve"> </w:t>
        </w:r>
      </w:hyperlink>
    </w:p>
    <w:p w14:paraId="19A9D88E" w14:textId="77777777" w:rsidR="002B57B9" w:rsidRPr="00B72DA4" w:rsidRDefault="00193F43">
      <w:pPr>
        <w:spacing w:line="240" w:lineRule="auto"/>
        <w:ind w:left="720" w:hanging="720"/>
        <w:jc w:val="both"/>
        <w:rPr>
          <w:rFonts w:ascii="Arial" w:eastAsia="Arial" w:hAnsi="Arial" w:cs="Arial"/>
          <w:sz w:val="20"/>
          <w:szCs w:val="20"/>
        </w:rPr>
      </w:pPr>
      <w:r w:rsidRPr="00B72DA4">
        <w:rPr>
          <w:rFonts w:ascii="Arial" w:eastAsia="Arial" w:hAnsi="Arial" w:cs="Arial"/>
          <w:sz w:val="20"/>
          <w:szCs w:val="20"/>
        </w:rPr>
        <w:t xml:space="preserve">Kelly, J., </w:t>
      </w:r>
      <w:proofErr w:type="spellStart"/>
      <w:r w:rsidRPr="00B72DA4">
        <w:rPr>
          <w:rFonts w:ascii="Arial" w:eastAsia="Arial" w:hAnsi="Arial" w:cs="Arial"/>
          <w:sz w:val="20"/>
          <w:szCs w:val="20"/>
        </w:rPr>
        <w:t>Gielstra</w:t>
      </w:r>
      <w:proofErr w:type="spellEnd"/>
      <w:r w:rsidRPr="00B72DA4">
        <w:rPr>
          <w:rFonts w:ascii="Arial" w:eastAsia="Arial" w:hAnsi="Arial" w:cs="Arial"/>
          <w:sz w:val="20"/>
          <w:szCs w:val="20"/>
        </w:rPr>
        <w:t xml:space="preserve">, D., </w:t>
      </w:r>
      <w:proofErr w:type="spellStart"/>
      <w:r w:rsidRPr="00B72DA4">
        <w:rPr>
          <w:rFonts w:ascii="Arial" w:eastAsia="Arial" w:hAnsi="Arial" w:cs="Arial"/>
          <w:sz w:val="20"/>
          <w:szCs w:val="20"/>
        </w:rPr>
        <w:t>Oberding</w:t>
      </w:r>
      <w:proofErr w:type="spellEnd"/>
      <w:r w:rsidRPr="00B72DA4">
        <w:rPr>
          <w:rFonts w:ascii="Arial" w:eastAsia="Arial" w:hAnsi="Arial" w:cs="Arial"/>
          <w:sz w:val="20"/>
          <w:szCs w:val="20"/>
        </w:rPr>
        <w:t>, T. J., Bruno, J., &amp; Hadley, S. (2023). Uniting academia and industry to bridge the skills gap: Incorporating industry advisory councils in Curriculum-to-Careers Programmatic Mapping in undergraduate environme</w:t>
      </w:r>
      <w:r w:rsidRPr="00B72DA4">
        <w:rPr>
          <w:rFonts w:ascii="Arial" w:eastAsia="Arial" w:hAnsi="Arial" w:cs="Arial"/>
          <w:sz w:val="20"/>
          <w:szCs w:val="20"/>
        </w:rPr>
        <w:t xml:space="preserve">ntal science programs. Industry and Higher Education, 38(2), 112–123. </w:t>
      </w:r>
      <w:hyperlink r:id="rId40">
        <w:r w:rsidR="002B57B9" w:rsidRPr="00B72DA4">
          <w:rPr>
            <w:rFonts w:ascii="Arial" w:eastAsia="Arial" w:hAnsi="Arial" w:cs="Arial"/>
            <w:color w:val="000000"/>
            <w:sz w:val="20"/>
            <w:szCs w:val="20"/>
          </w:rPr>
          <w:t xml:space="preserve">https://doi.org/10.1177/09504222231175413 </w:t>
        </w:r>
      </w:hyperlink>
    </w:p>
    <w:p w14:paraId="37DD378F" w14:textId="77777777" w:rsidR="002B57B9" w:rsidRPr="00B72DA4" w:rsidRDefault="00193F43">
      <w:pPr>
        <w:spacing w:line="240" w:lineRule="auto"/>
        <w:ind w:left="720" w:hanging="720"/>
        <w:jc w:val="both"/>
        <w:rPr>
          <w:rFonts w:ascii="Arial" w:eastAsia="Arial" w:hAnsi="Arial" w:cs="Arial"/>
          <w:sz w:val="20"/>
          <w:szCs w:val="20"/>
        </w:rPr>
      </w:pPr>
      <w:r w:rsidRPr="00B72DA4">
        <w:rPr>
          <w:rFonts w:ascii="Arial" w:eastAsia="Arial" w:hAnsi="Arial" w:cs="Arial"/>
          <w:sz w:val="20"/>
          <w:szCs w:val="20"/>
        </w:rPr>
        <w:t xml:space="preserve">Khan, N. M., </w:t>
      </w:r>
      <w:proofErr w:type="spellStart"/>
      <w:r w:rsidRPr="00B72DA4">
        <w:rPr>
          <w:rFonts w:ascii="Arial" w:eastAsia="Arial" w:hAnsi="Arial" w:cs="Arial"/>
          <w:sz w:val="20"/>
          <w:szCs w:val="20"/>
        </w:rPr>
        <w:t>Kiani</w:t>
      </w:r>
      <w:proofErr w:type="spellEnd"/>
      <w:r w:rsidRPr="00B72DA4">
        <w:rPr>
          <w:rFonts w:ascii="Arial" w:eastAsia="Arial" w:hAnsi="Arial" w:cs="Arial"/>
          <w:sz w:val="20"/>
          <w:szCs w:val="20"/>
        </w:rPr>
        <w:t xml:space="preserve">, N. F. A., &amp; Ashraf, N. A. (2018). Skills, competitiveness and </w:t>
      </w:r>
      <w:r w:rsidRPr="00B72DA4">
        <w:rPr>
          <w:rFonts w:ascii="Arial" w:eastAsia="Arial" w:hAnsi="Arial" w:cs="Arial"/>
          <w:sz w:val="20"/>
          <w:szCs w:val="20"/>
        </w:rPr>
        <w:t xml:space="preserve">productivity. </w:t>
      </w:r>
      <w:r w:rsidRPr="00B72DA4">
        <w:rPr>
          <w:rFonts w:ascii="Arial" w:eastAsia="Arial" w:hAnsi="Arial" w:cs="Arial"/>
          <w:sz w:val="20"/>
          <w:szCs w:val="20"/>
        </w:rPr>
        <w:tab/>
      </w:r>
      <w:r w:rsidRPr="00B72DA4">
        <w:rPr>
          <w:rFonts w:ascii="Arial" w:eastAsia="Arial" w:hAnsi="Arial" w:cs="Arial"/>
          <w:i/>
          <w:sz w:val="20"/>
          <w:szCs w:val="20"/>
        </w:rPr>
        <w:t xml:space="preserve">The Pakistan </w:t>
      </w:r>
      <w:r w:rsidRPr="00B72DA4">
        <w:rPr>
          <w:rFonts w:ascii="Arial" w:eastAsia="Arial" w:hAnsi="Arial" w:cs="Arial"/>
          <w:i/>
          <w:sz w:val="20"/>
          <w:szCs w:val="20"/>
        </w:rPr>
        <w:tab/>
        <w:t xml:space="preserve">Development </w:t>
      </w:r>
      <w:r w:rsidRPr="00B72DA4">
        <w:rPr>
          <w:rFonts w:ascii="Arial" w:eastAsia="Arial" w:hAnsi="Arial" w:cs="Arial"/>
          <w:i/>
          <w:sz w:val="20"/>
          <w:szCs w:val="20"/>
        </w:rPr>
        <w:tab/>
        <w:t>Review</w:t>
      </w:r>
      <w:r w:rsidRPr="00B72DA4">
        <w:rPr>
          <w:rFonts w:ascii="Arial" w:eastAsia="Arial" w:hAnsi="Arial" w:cs="Arial"/>
          <w:sz w:val="20"/>
          <w:szCs w:val="20"/>
        </w:rPr>
        <w:t xml:space="preserve">, </w:t>
      </w:r>
      <w:r w:rsidRPr="00B72DA4">
        <w:rPr>
          <w:rFonts w:ascii="Arial" w:eastAsia="Arial" w:hAnsi="Arial" w:cs="Arial"/>
          <w:sz w:val="20"/>
          <w:szCs w:val="20"/>
        </w:rPr>
        <w:tab/>
        <w:t xml:space="preserve">473–486. https://doi.org/10.30541/v48i4iipp.473-486 </w:t>
      </w:r>
    </w:p>
    <w:p w14:paraId="3CA93587" w14:textId="77777777" w:rsidR="002B57B9" w:rsidRPr="00B72DA4" w:rsidRDefault="00193F43">
      <w:pPr>
        <w:spacing w:line="240" w:lineRule="auto"/>
        <w:ind w:left="720" w:hanging="720"/>
        <w:jc w:val="both"/>
        <w:rPr>
          <w:rFonts w:ascii="Arial" w:eastAsia="Arial" w:hAnsi="Arial" w:cs="Arial"/>
          <w:sz w:val="20"/>
          <w:szCs w:val="20"/>
        </w:rPr>
      </w:pPr>
      <w:r w:rsidRPr="00B72DA4">
        <w:rPr>
          <w:rFonts w:ascii="Arial" w:eastAsia="Arial" w:hAnsi="Arial" w:cs="Arial"/>
          <w:sz w:val="20"/>
          <w:szCs w:val="20"/>
        </w:rPr>
        <w:t>Kolb, A. Y., &amp; Kolb, D. A. (2022). Experiential Learning Theory as a guide for experiential Educators in Higher education. Experiential Learning and Tea</w:t>
      </w:r>
      <w:r w:rsidRPr="00B72DA4">
        <w:rPr>
          <w:rFonts w:ascii="Arial" w:eastAsia="Arial" w:hAnsi="Arial" w:cs="Arial"/>
          <w:sz w:val="20"/>
          <w:szCs w:val="20"/>
        </w:rPr>
        <w:t xml:space="preserve">ching </w:t>
      </w:r>
      <w:r w:rsidRPr="00B72DA4">
        <w:rPr>
          <w:rFonts w:ascii="Arial" w:eastAsia="Arial" w:hAnsi="Arial" w:cs="Arial"/>
          <w:sz w:val="20"/>
          <w:szCs w:val="20"/>
        </w:rPr>
        <w:tab/>
        <w:t xml:space="preserve">in </w:t>
      </w:r>
      <w:r w:rsidRPr="00B72DA4">
        <w:rPr>
          <w:rFonts w:ascii="Arial" w:eastAsia="Arial" w:hAnsi="Arial" w:cs="Arial"/>
          <w:sz w:val="20"/>
          <w:szCs w:val="20"/>
        </w:rPr>
        <w:tab/>
        <w:t xml:space="preserve">Higher </w:t>
      </w:r>
      <w:r w:rsidRPr="00B72DA4">
        <w:rPr>
          <w:rFonts w:ascii="Arial" w:eastAsia="Arial" w:hAnsi="Arial" w:cs="Arial"/>
          <w:sz w:val="20"/>
          <w:szCs w:val="20"/>
        </w:rPr>
        <w:tab/>
        <w:t xml:space="preserve">Education, </w:t>
      </w:r>
      <w:r w:rsidRPr="00B72DA4">
        <w:rPr>
          <w:rFonts w:ascii="Arial" w:eastAsia="Arial" w:hAnsi="Arial" w:cs="Arial"/>
          <w:sz w:val="20"/>
          <w:szCs w:val="20"/>
        </w:rPr>
        <w:tab/>
        <w:t xml:space="preserve">1(1), 38. https://doi.org/10.46787/elthe.v1i1.3362 </w:t>
      </w:r>
    </w:p>
    <w:p w14:paraId="1FD1A678" w14:textId="55E5334A" w:rsidR="0074509A" w:rsidRPr="00B72DA4" w:rsidRDefault="0074509A">
      <w:pPr>
        <w:spacing w:line="240" w:lineRule="auto"/>
        <w:ind w:left="720" w:hanging="720"/>
        <w:jc w:val="both"/>
        <w:rPr>
          <w:rFonts w:ascii="Arial" w:eastAsia="Arial" w:hAnsi="Arial" w:cs="Arial"/>
          <w:sz w:val="20"/>
          <w:szCs w:val="20"/>
        </w:rPr>
      </w:pPr>
      <w:r w:rsidRPr="00B72DA4">
        <w:rPr>
          <w:rFonts w:ascii="Arial" w:eastAsia="Arial" w:hAnsi="Arial" w:cs="Arial"/>
          <w:sz w:val="20"/>
          <w:szCs w:val="20"/>
        </w:rPr>
        <w:t>Krueger R. A. (1994). </w:t>
      </w:r>
      <w:r w:rsidRPr="00B72DA4">
        <w:rPr>
          <w:rFonts w:ascii="Arial" w:eastAsia="Arial" w:hAnsi="Arial" w:cs="Arial"/>
          <w:i/>
          <w:iCs/>
          <w:sz w:val="20"/>
          <w:szCs w:val="20"/>
        </w:rPr>
        <w:t>Focus groups: A practical guide for applied research</w:t>
      </w:r>
      <w:r w:rsidRPr="00B72DA4">
        <w:rPr>
          <w:rFonts w:ascii="Arial" w:eastAsia="Arial" w:hAnsi="Arial" w:cs="Arial"/>
          <w:sz w:val="20"/>
          <w:szCs w:val="20"/>
        </w:rPr>
        <w:t> (2nd ed.). Thousand Oaks, CA: Sage.</w:t>
      </w:r>
    </w:p>
    <w:p w14:paraId="44CA3A90" w14:textId="6BF9BAA1" w:rsidR="002B57B9" w:rsidRPr="00B72DA4" w:rsidRDefault="00193F43" w:rsidP="00C56226">
      <w:pPr>
        <w:spacing w:line="240" w:lineRule="auto"/>
        <w:ind w:left="720" w:hanging="720"/>
        <w:jc w:val="both"/>
        <w:rPr>
          <w:rFonts w:ascii="Arial" w:eastAsia="Arial" w:hAnsi="Arial" w:cs="Arial"/>
          <w:sz w:val="20"/>
          <w:szCs w:val="20"/>
        </w:rPr>
      </w:pPr>
      <w:r w:rsidRPr="00B72DA4">
        <w:rPr>
          <w:rFonts w:ascii="Arial" w:eastAsia="Arial" w:hAnsi="Arial" w:cs="Arial"/>
          <w:sz w:val="20"/>
          <w:szCs w:val="20"/>
        </w:rPr>
        <w:t>La Murray, T. (2009). Preparing students for a successful tran</w:t>
      </w:r>
      <w:r w:rsidRPr="00B72DA4">
        <w:rPr>
          <w:rFonts w:ascii="Arial" w:eastAsia="Arial" w:hAnsi="Arial" w:cs="Arial"/>
          <w:sz w:val="20"/>
          <w:szCs w:val="20"/>
        </w:rPr>
        <w:t xml:space="preserve">sition from academia: An industry perspective. In </w:t>
      </w:r>
      <w:r w:rsidRPr="00B72DA4">
        <w:rPr>
          <w:rFonts w:ascii="Arial" w:eastAsia="Arial" w:hAnsi="Arial" w:cs="Arial"/>
          <w:i/>
          <w:sz w:val="20"/>
          <w:szCs w:val="20"/>
        </w:rPr>
        <w:t>American Society for Engineering Education</w:t>
      </w:r>
      <w:r w:rsidRPr="00B72DA4">
        <w:rPr>
          <w:rFonts w:ascii="Arial" w:eastAsia="Arial" w:hAnsi="Arial" w:cs="Arial"/>
          <w:sz w:val="20"/>
          <w:szCs w:val="20"/>
        </w:rPr>
        <w:t xml:space="preserve">. American Society for Engineering Education. </w:t>
      </w:r>
    </w:p>
    <w:p w14:paraId="1D356F38" w14:textId="77777777" w:rsidR="002B57B9" w:rsidRPr="00B72DA4" w:rsidRDefault="00193F43">
      <w:pPr>
        <w:spacing w:line="240" w:lineRule="auto"/>
        <w:ind w:left="720" w:hanging="720"/>
        <w:jc w:val="both"/>
        <w:rPr>
          <w:rFonts w:ascii="Arial" w:eastAsia="Arial" w:hAnsi="Arial" w:cs="Arial"/>
          <w:sz w:val="20"/>
          <w:szCs w:val="20"/>
        </w:rPr>
      </w:pPr>
      <w:r w:rsidRPr="00B72DA4">
        <w:rPr>
          <w:rFonts w:ascii="Arial" w:eastAsia="Arial" w:hAnsi="Arial" w:cs="Arial"/>
          <w:sz w:val="20"/>
          <w:szCs w:val="20"/>
        </w:rPr>
        <w:t xml:space="preserve">Nayak, A. S., </w:t>
      </w:r>
      <w:proofErr w:type="spellStart"/>
      <w:r w:rsidRPr="00B72DA4">
        <w:rPr>
          <w:rFonts w:ascii="Arial" w:eastAsia="Arial" w:hAnsi="Arial" w:cs="Arial"/>
          <w:sz w:val="20"/>
          <w:szCs w:val="20"/>
        </w:rPr>
        <w:t>Hiremath</w:t>
      </w:r>
      <w:proofErr w:type="spellEnd"/>
      <w:r w:rsidRPr="00B72DA4">
        <w:rPr>
          <w:rFonts w:ascii="Arial" w:eastAsia="Arial" w:hAnsi="Arial" w:cs="Arial"/>
          <w:sz w:val="20"/>
          <w:szCs w:val="20"/>
        </w:rPr>
        <w:t xml:space="preserve">, N. D., FM, U., Patil, P. B., &amp; </w:t>
      </w:r>
      <w:proofErr w:type="spellStart"/>
      <w:r w:rsidRPr="00B72DA4">
        <w:rPr>
          <w:rFonts w:ascii="Arial" w:eastAsia="Arial" w:hAnsi="Arial" w:cs="Arial"/>
          <w:sz w:val="20"/>
          <w:szCs w:val="20"/>
        </w:rPr>
        <w:t>Chickerur</w:t>
      </w:r>
      <w:proofErr w:type="spellEnd"/>
      <w:r w:rsidRPr="00B72DA4">
        <w:rPr>
          <w:rFonts w:ascii="Arial" w:eastAsia="Arial" w:hAnsi="Arial" w:cs="Arial"/>
          <w:sz w:val="20"/>
          <w:szCs w:val="20"/>
        </w:rPr>
        <w:t>, S. (2024). Fostering higher cognitive skills throug</w:t>
      </w:r>
      <w:r w:rsidRPr="00B72DA4">
        <w:rPr>
          <w:rFonts w:ascii="Arial" w:eastAsia="Arial" w:hAnsi="Arial" w:cs="Arial"/>
          <w:sz w:val="20"/>
          <w:szCs w:val="20"/>
        </w:rPr>
        <w:t xml:space="preserve">h industry Collaboration: a </w:t>
      </w:r>
      <w:proofErr w:type="spellStart"/>
      <w:r w:rsidRPr="00B72DA4">
        <w:rPr>
          <w:rFonts w:ascii="Arial" w:eastAsia="Arial" w:hAnsi="Arial" w:cs="Arial"/>
          <w:sz w:val="20"/>
          <w:szCs w:val="20"/>
        </w:rPr>
        <w:t>MicrocontrollerBased</w:t>
      </w:r>
      <w:proofErr w:type="spellEnd"/>
      <w:r w:rsidRPr="00B72DA4">
        <w:rPr>
          <w:rFonts w:ascii="Arial" w:eastAsia="Arial" w:hAnsi="Arial" w:cs="Arial"/>
          <w:sz w:val="20"/>
          <w:szCs w:val="20"/>
        </w:rPr>
        <w:t xml:space="preserve"> Approach. Journal of Engineering </w:t>
      </w:r>
      <w:r w:rsidRPr="00B72DA4">
        <w:rPr>
          <w:rFonts w:ascii="Arial" w:eastAsia="Arial" w:hAnsi="Arial" w:cs="Arial"/>
          <w:sz w:val="20"/>
          <w:szCs w:val="20"/>
        </w:rPr>
        <w:lastRenderedPageBreak/>
        <w:t xml:space="preserve">Education/Journal of Engineering Education </w:t>
      </w:r>
      <w:r w:rsidRPr="00B72DA4">
        <w:rPr>
          <w:rFonts w:ascii="Arial" w:eastAsia="Arial" w:hAnsi="Arial" w:cs="Arial"/>
          <w:sz w:val="20"/>
          <w:szCs w:val="20"/>
        </w:rPr>
        <w:tab/>
        <w:t xml:space="preserve">Transformations/Journal </w:t>
      </w:r>
      <w:r w:rsidRPr="00B72DA4">
        <w:rPr>
          <w:rFonts w:ascii="Arial" w:eastAsia="Arial" w:hAnsi="Arial" w:cs="Arial"/>
          <w:sz w:val="20"/>
          <w:szCs w:val="20"/>
        </w:rPr>
        <w:tab/>
        <w:t xml:space="preserve">of Engineering Education Transformation, </w:t>
      </w:r>
      <w:r w:rsidRPr="00B72DA4">
        <w:rPr>
          <w:rFonts w:ascii="Arial" w:eastAsia="Arial" w:hAnsi="Arial" w:cs="Arial"/>
          <w:sz w:val="20"/>
          <w:szCs w:val="20"/>
        </w:rPr>
        <w:tab/>
        <w:t xml:space="preserve">37(IS2), </w:t>
      </w:r>
      <w:r w:rsidRPr="00B72DA4">
        <w:rPr>
          <w:rFonts w:ascii="Arial" w:eastAsia="Arial" w:hAnsi="Arial" w:cs="Arial"/>
          <w:sz w:val="20"/>
          <w:szCs w:val="20"/>
        </w:rPr>
        <w:tab/>
        <w:t xml:space="preserve">688–694. </w:t>
      </w:r>
      <w:hyperlink r:id="rId41">
        <w:r w:rsidR="002B57B9" w:rsidRPr="00B72DA4">
          <w:rPr>
            <w:rFonts w:ascii="Arial" w:eastAsia="Arial" w:hAnsi="Arial" w:cs="Arial"/>
            <w:color w:val="0563C1"/>
            <w:sz w:val="20"/>
            <w:szCs w:val="20"/>
            <w:u w:val="single"/>
          </w:rPr>
          <w:t>https://doi.org/10.16920/jeet/2024/v37is2/24107</w:t>
        </w:r>
      </w:hyperlink>
      <w:hyperlink r:id="rId42">
        <w:r w:rsidR="002B57B9" w:rsidRPr="00B72DA4">
          <w:rPr>
            <w:rFonts w:ascii="Arial" w:eastAsia="Arial" w:hAnsi="Arial" w:cs="Arial"/>
            <w:color w:val="000000"/>
            <w:sz w:val="20"/>
            <w:szCs w:val="20"/>
          </w:rPr>
          <w:t xml:space="preserve"> </w:t>
        </w:r>
      </w:hyperlink>
    </w:p>
    <w:p w14:paraId="4A627B34" w14:textId="77777777" w:rsidR="002B57B9" w:rsidRPr="00B72DA4" w:rsidRDefault="00193F43">
      <w:pPr>
        <w:spacing w:line="240" w:lineRule="auto"/>
        <w:ind w:left="720" w:hanging="720"/>
        <w:jc w:val="both"/>
        <w:rPr>
          <w:rFonts w:ascii="Arial" w:eastAsia="Arial" w:hAnsi="Arial" w:cs="Arial"/>
          <w:sz w:val="20"/>
          <w:szCs w:val="20"/>
        </w:rPr>
      </w:pPr>
      <w:r w:rsidRPr="00B72DA4">
        <w:rPr>
          <w:rFonts w:ascii="Arial" w:eastAsia="Arial" w:hAnsi="Arial" w:cs="Arial"/>
          <w:sz w:val="20"/>
          <w:szCs w:val="20"/>
        </w:rPr>
        <w:t xml:space="preserve">Nicolas, M. (2024). Improving work ethics and organizational citizenship behavior through positive cognitive and </w:t>
      </w:r>
      <w:r w:rsidRPr="00B72DA4">
        <w:rPr>
          <w:rFonts w:ascii="Arial" w:eastAsia="Arial" w:hAnsi="Arial" w:cs="Arial"/>
          <w:sz w:val="20"/>
          <w:szCs w:val="20"/>
        </w:rPr>
        <w:t>affective attitude toward work. Divine Word International Journal of Management and Humanities (DWIJMH) (ISSN 2980-4817), 3(2), 753–769.</w:t>
      </w:r>
      <w:hyperlink r:id="rId43">
        <w:r w:rsidR="002B57B9" w:rsidRPr="00B72DA4">
          <w:rPr>
            <w:rFonts w:ascii="Arial" w:eastAsia="Arial" w:hAnsi="Arial" w:cs="Arial"/>
            <w:color w:val="000000"/>
            <w:sz w:val="20"/>
            <w:szCs w:val="20"/>
          </w:rPr>
          <w:t xml:space="preserve"> https://doi.org/10.62025/dwijmh.v3i2.80 </w:t>
        </w:r>
      </w:hyperlink>
    </w:p>
    <w:p w14:paraId="3F1D6689" w14:textId="77777777" w:rsidR="002B57B9" w:rsidRPr="00B72DA4" w:rsidRDefault="00193F43">
      <w:pPr>
        <w:spacing w:line="240" w:lineRule="auto"/>
        <w:ind w:left="720" w:hanging="720"/>
        <w:jc w:val="both"/>
        <w:rPr>
          <w:rFonts w:ascii="Arial" w:eastAsia="Arial" w:hAnsi="Arial" w:cs="Arial"/>
          <w:sz w:val="20"/>
          <w:szCs w:val="20"/>
        </w:rPr>
      </w:pPr>
      <w:r w:rsidRPr="00B72DA4">
        <w:rPr>
          <w:rFonts w:ascii="Arial" w:eastAsia="Arial" w:hAnsi="Arial" w:cs="Arial"/>
          <w:sz w:val="20"/>
          <w:szCs w:val="20"/>
        </w:rPr>
        <w:t xml:space="preserve">Nicolette. (2023, October 30). What is the Main Purpose of Data Collection? </w:t>
      </w:r>
      <w:proofErr w:type="spellStart"/>
      <w:r w:rsidRPr="00B72DA4">
        <w:rPr>
          <w:rFonts w:ascii="Arial" w:eastAsia="Arial" w:hAnsi="Arial" w:cs="Arial"/>
          <w:sz w:val="20"/>
          <w:szCs w:val="20"/>
        </w:rPr>
        <w:t>Savanta</w:t>
      </w:r>
      <w:proofErr w:type="spellEnd"/>
      <w:r w:rsidRPr="00B72DA4">
        <w:rPr>
          <w:rFonts w:ascii="Arial" w:eastAsia="Arial" w:hAnsi="Arial" w:cs="Arial"/>
          <w:sz w:val="20"/>
          <w:szCs w:val="20"/>
        </w:rPr>
        <w:t xml:space="preserve"> US – </w:t>
      </w:r>
      <w:proofErr w:type="spellStart"/>
      <w:r w:rsidRPr="00B72DA4">
        <w:rPr>
          <w:rFonts w:ascii="Arial" w:eastAsia="Arial" w:hAnsi="Arial" w:cs="Arial"/>
          <w:sz w:val="20"/>
          <w:szCs w:val="20"/>
        </w:rPr>
        <w:t>Savanta</w:t>
      </w:r>
      <w:proofErr w:type="spellEnd"/>
      <w:r w:rsidRPr="00B72DA4">
        <w:rPr>
          <w:rFonts w:ascii="Arial" w:eastAsia="Arial" w:hAnsi="Arial" w:cs="Arial"/>
          <w:sz w:val="20"/>
          <w:szCs w:val="20"/>
        </w:rPr>
        <w:t>. https://savanta.com/us/knowledge-centre/view/whatis-the-main-purpose-of-data- collection/</w:t>
      </w:r>
      <w:proofErr w:type="gramStart"/>
      <w:r w:rsidRPr="00B72DA4">
        <w:rPr>
          <w:rFonts w:ascii="Arial" w:eastAsia="Arial" w:hAnsi="Arial" w:cs="Arial"/>
          <w:sz w:val="20"/>
          <w:szCs w:val="20"/>
        </w:rPr>
        <w:t>#:~</w:t>
      </w:r>
      <w:proofErr w:type="gramEnd"/>
      <w:r w:rsidRPr="00B72DA4">
        <w:rPr>
          <w:rFonts w:ascii="Arial" w:eastAsia="Arial" w:hAnsi="Arial" w:cs="Arial"/>
          <w:sz w:val="20"/>
          <w:szCs w:val="20"/>
        </w:rPr>
        <w:t>:text=for%20market%20research ,The%20main%20purpose%20of%20data%20</w:t>
      </w:r>
      <w:r w:rsidRPr="00B72DA4">
        <w:rPr>
          <w:rFonts w:ascii="Arial" w:eastAsia="Arial" w:hAnsi="Arial" w:cs="Arial"/>
          <w:sz w:val="20"/>
          <w:szCs w:val="20"/>
        </w:rPr>
        <w:t xml:space="preserve">collection%20is%20to%20ga ther%20relevant, the%20existing%20body%20of%20knowledge </w:t>
      </w:r>
    </w:p>
    <w:p w14:paraId="508910FC" w14:textId="77777777" w:rsidR="002B57B9" w:rsidRPr="00B72DA4" w:rsidRDefault="00193F43">
      <w:pPr>
        <w:spacing w:line="240" w:lineRule="auto"/>
        <w:ind w:left="720" w:hanging="720"/>
        <w:jc w:val="both"/>
        <w:rPr>
          <w:rFonts w:ascii="Arial" w:eastAsia="Arial" w:hAnsi="Arial" w:cs="Arial"/>
          <w:sz w:val="20"/>
          <w:szCs w:val="20"/>
        </w:rPr>
      </w:pPr>
      <w:r w:rsidRPr="00B72DA4">
        <w:rPr>
          <w:rFonts w:ascii="Arial" w:eastAsia="Arial" w:hAnsi="Arial" w:cs="Arial"/>
          <w:sz w:val="20"/>
          <w:szCs w:val="20"/>
        </w:rPr>
        <w:t xml:space="preserve">Okoye, K. R., &amp; </w:t>
      </w:r>
      <w:proofErr w:type="spellStart"/>
      <w:r w:rsidRPr="00B72DA4">
        <w:rPr>
          <w:rFonts w:ascii="Arial" w:eastAsia="Arial" w:hAnsi="Arial" w:cs="Arial"/>
          <w:sz w:val="20"/>
          <w:szCs w:val="20"/>
        </w:rPr>
        <w:t>Edokpolor</w:t>
      </w:r>
      <w:proofErr w:type="spellEnd"/>
      <w:r w:rsidRPr="00B72DA4">
        <w:rPr>
          <w:rFonts w:ascii="Arial" w:eastAsia="Arial" w:hAnsi="Arial" w:cs="Arial"/>
          <w:sz w:val="20"/>
          <w:szCs w:val="20"/>
        </w:rPr>
        <w:t>, J. E. (2021). Effect of industrial work experience in developing Technical and Vocational Education undergraduates’ employability skills. Asian Jo</w:t>
      </w:r>
      <w:r w:rsidRPr="00B72DA4">
        <w:rPr>
          <w:rFonts w:ascii="Arial" w:eastAsia="Arial" w:hAnsi="Arial" w:cs="Arial"/>
          <w:sz w:val="20"/>
          <w:szCs w:val="20"/>
        </w:rPr>
        <w:t xml:space="preserve">urnal of Assessment in Teaching and Learning, 11(1), 1–12. </w:t>
      </w:r>
      <w:hyperlink r:id="rId44">
        <w:r w:rsidR="002B57B9" w:rsidRPr="00B72DA4">
          <w:rPr>
            <w:rFonts w:ascii="Arial" w:eastAsia="Arial" w:hAnsi="Arial" w:cs="Arial"/>
            <w:color w:val="000000"/>
            <w:sz w:val="20"/>
            <w:szCs w:val="20"/>
          </w:rPr>
          <w:t xml:space="preserve">https://doi.org/10.37134/ajatel.vol11.1.1.2021 </w:t>
        </w:r>
      </w:hyperlink>
      <w:r w:rsidRPr="00B72DA4">
        <w:rPr>
          <w:rFonts w:ascii="Arial" w:eastAsia="Arial" w:hAnsi="Arial" w:cs="Arial"/>
          <w:sz w:val="20"/>
          <w:szCs w:val="20"/>
        </w:rPr>
        <w:t xml:space="preserve"> </w:t>
      </w:r>
    </w:p>
    <w:p w14:paraId="599A203A" w14:textId="77777777" w:rsidR="002B57B9" w:rsidRPr="00B72DA4" w:rsidRDefault="00193F43">
      <w:pPr>
        <w:spacing w:line="240" w:lineRule="auto"/>
        <w:ind w:left="720" w:hanging="720"/>
        <w:jc w:val="both"/>
        <w:rPr>
          <w:rFonts w:ascii="Arial" w:eastAsia="Arial" w:hAnsi="Arial" w:cs="Arial"/>
          <w:sz w:val="20"/>
          <w:szCs w:val="20"/>
        </w:rPr>
      </w:pPr>
      <w:proofErr w:type="spellStart"/>
      <w:r w:rsidRPr="00B72DA4">
        <w:rPr>
          <w:rFonts w:ascii="Arial" w:eastAsia="Arial" w:hAnsi="Arial" w:cs="Arial"/>
          <w:sz w:val="20"/>
          <w:szCs w:val="20"/>
        </w:rPr>
        <w:t>Orbeta</w:t>
      </w:r>
      <w:proofErr w:type="spellEnd"/>
      <w:r w:rsidRPr="00B72DA4">
        <w:rPr>
          <w:rFonts w:ascii="Arial" w:eastAsia="Arial" w:hAnsi="Arial" w:cs="Arial"/>
          <w:sz w:val="20"/>
          <w:szCs w:val="20"/>
        </w:rPr>
        <w:t xml:space="preserve">, </w:t>
      </w:r>
      <w:proofErr w:type="spellStart"/>
      <w:r w:rsidRPr="00B72DA4">
        <w:rPr>
          <w:rFonts w:ascii="Arial" w:eastAsia="Arial" w:hAnsi="Arial" w:cs="Arial"/>
          <w:sz w:val="20"/>
          <w:szCs w:val="20"/>
        </w:rPr>
        <w:t>A.and</w:t>
      </w:r>
      <w:proofErr w:type="spellEnd"/>
      <w:r w:rsidRPr="00B72DA4">
        <w:rPr>
          <w:rFonts w:ascii="Arial" w:eastAsia="Arial" w:hAnsi="Arial" w:cs="Arial"/>
          <w:sz w:val="20"/>
          <w:szCs w:val="20"/>
        </w:rPr>
        <w:t xml:space="preserve"> </w:t>
      </w:r>
      <w:proofErr w:type="spellStart"/>
      <w:r w:rsidRPr="00B72DA4">
        <w:rPr>
          <w:rFonts w:ascii="Arial" w:eastAsia="Arial" w:hAnsi="Arial" w:cs="Arial"/>
          <w:sz w:val="20"/>
          <w:szCs w:val="20"/>
        </w:rPr>
        <w:t>Potestad</w:t>
      </w:r>
      <w:proofErr w:type="spellEnd"/>
      <w:r w:rsidRPr="00B72DA4">
        <w:rPr>
          <w:rFonts w:ascii="Arial" w:eastAsia="Arial" w:hAnsi="Arial" w:cs="Arial"/>
          <w:sz w:val="20"/>
          <w:szCs w:val="20"/>
        </w:rPr>
        <w:t xml:space="preserve"> M. (2020). On the Employability of the Senior High School </w:t>
      </w:r>
    </w:p>
    <w:p w14:paraId="08D324B2" w14:textId="77777777" w:rsidR="002B57B9" w:rsidRPr="00B72DA4" w:rsidRDefault="00193F43">
      <w:pPr>
        <w:spacing w:line="240" w:lineRule="auto"/>
        <w:ind w:left="720" w:hanging="720"/>
        <w:jc w:val="both"/>
        <w:rPr>
          <w:rFonts w:ascii="Arial" w:eastAsia="Arial" w:hAnsi="Arial" w:cs="Arial"/>
          <w:sz w:val="20"/>
          <w:szCs w:val="20"/>
        </w:rPr>
      </w:pPr>
      <w:r w:rsidRPr="00B72DA4">
        <w:rPr>
          <w:rFonts w:ascii="Arial" w:eastAsia="Arial" w:hAnsi="Arial" w:cs="Arial"/>
          <w:sz w:val="20"/>
          <w:szCs w:val="20"/>
        </w:rPr>
        <w:tab/>
        <w:t xml:space="preserve">Graduates: Evidence </w:t>
      </w:r>
      <w:r w:rsidRPr="00B72DA4">
        <w:rPr>
          <w:rFonts w:ascii="Arial" w:eastAsia="Arial" w:hAnsi="Arial" w:cs="Arial"/>
          <w:sz w:val="20"/>
          <w:szCs w:val="20"/>
        </w:rPr>
        <w:tab/>
        <w:t xml:space="preserve">from the Labor Force Survey. </w:t>
      </w:r>
      <w:hyperlink r:id="rId45">
        <w:r w:rsidR="002B57B9" w:rsidRPr="00B72DA4">
          <w:rPr>
            <w:rFonts w:ascii="Arial" w:eastAsia="Arial" w:hAnsi="Arial" w:cs="Arial"/>
            <w:color w:val="0563C1"/>
            <w:sz w:val="20"/>
            <w:szCs w:val="20"/>
            <w:u w:val="single"/>
          </w:rPr>
          <w:t>https://pidswebs.pids.gov.ph/CDN/PUBLICATIONS/pidsdps2040.pdf</w:t>
        </w:r>
      </w:hyperlink>
      <w:hyperlink r:id="rId46">
        <w:r w:rsidR="002B57B9" w:rsidRPr="00B72DA4">
          <w:rPr>
            <w:rFonts w:ascii="Arial" w:eastAsia="Arial" w:hAnsi="Arial" w:cs="Arial"/>
            <w:color w:val="000000"/>
            <w:sz w:val="20"/>
            <w:szCs w:val="20"/>
          </w:rPr>
          <w:t>.</w:t>
        </w:r>
      </w:hyperlink>
      <w:r w:rsidRPr="00B72DA4">
        <w:rPr>
          <w:rFonts w:ascii="Arial" w:eastAsia="Arial" w:hAnsi="Arial" w:cs="Arial"/>
          <w:sz w:val="20"/>
          <w:szCs w:val="20"/>
        </w:rPr>
        <w:t xml:space="preserve"> </w:t>
      </w:r>
    </w:p>
    <w:p w14:paraId="2733690D" w14:textId="77777777" w:rsidR="002B57B9" w:rsidRPr="00B72DA4" w:rsidRDefault="00193F43">
      <w:pPr>
        <w:spacing w:line="240" w:lineRule="auto"/>
        <w:ind w:left="720" w:hanging="720"/>
        <w:jc w:val="both"/>
        <w:rPr>
          <w:rFonts w:ascii="Arial" w:eastAsia="Arial" w:hAnsi="Arial" w:cs="Arial"/>
          <w:sz w:val="20"/>
          <w:szCs w:val="20"/>
        </w:rPr>
      </w:pPr>
      <w:proofErr w:type="spellStart"/>
      <w:r w:rsidRPr="00B72DA4">
        <w:rPr>
          <w:rFonts w:ascii="Arial" w:eastAsia="Arial" w:hAnsi="Arial" w:cs="Arial"/>
          <w:sz w:val="20"/>
          <w:szCs w:val="20"/>
        </w:rPr>
        <w:t>Orbeta</w:t>
      </w:r>
      <w:proofErr w:type="spellEnd"/>
      <w:r w:rsidRPr="00B72DA4">
        <w:rPr>
          <w:rFonts w:ascii="Arial" w:eastAsia="Arial" w:hAnsi="Arial" w:cs="Arial"/>
          <w:sz w:val="20"/>
          <w:szCs w:val="20"/>
        </w:rPr>
        <w:t xml:space="preserve">, A.J., &amp; Esguerra, E.F. (2016). The National System of Technical Vocational Education and Training in the Philippines: Review and Reform Ideas. </w:t>
      </w:r>
    </w:p>
    <w:p w14:paraId="34201953" w14:textId="77777777" w:rsidR="002B57B9" w:rsidRPr="00B72DA4" w:rsidRDefault="00193F43">
      <w:pPr>
        <w:spacing w:line="240" w:lineRule="auto"/>
        <w:ind w:left="720" w:hanging="720"/>
        <w:jc w:val="both"/>
        <w:rPr>
          <w:rFonts w:ascii="Arial" w:eastAsia="Arial" w:hAnsi="Arial" w:cs="Arial"/>
          <w:sz w:val="20"/>
          <w:szCs w:val="20"/>
        </w:rPr>
      </w:pPr>
      <w:proofErr w:type="spellStart"/>
      <w:r w:rsidRPr="00B72DA4">
        <w:rPr>
          <w:rFonts w:ascii="Arial" w:eastAsia="Arial" w:hAnsi="Arial" w:cs="Arial"/>
          <w:sz w:val="20"/>
          <w:szCs w:val="20"/>
        </w:rPr>
        <w:t>Pajares</w:t>
      </w:r>
      <w:proofErr w:type="spellEnd"/>
      <w:r w:rsidRPr="00B72DA4">
        <w:rPr>
          <w:rFonts w:ascii="Arial" w:eastAsia="Arial" w:hAnsi="Arial" w:cs="Arial"/>
          <w:sz w:val="20"/>
          <w:szCs w:val="20"/>
        </w:rPr>
        <w:t xml:space="preserve">, G. G., </w:t>
      </w:r>
      <w:proofErr w:type="spellStart"/>
      <w:r w:rsidRPr="00B72DA4">
        <w:rPr>
          <w:rFonts w:ascii="Arial" w:eastAsia="Arial" w:hAnsi="Arial" w:cs="Arial"/>
          <w:sz w:val="20"/>
          <w:szCs w:val="20"/>
        </w:rPr>
        <w:t>Bongcales</w:t>
      </w:r>
      <w:proofErr w:type="spellEnd"/>
      <w:r w:rsidRPr="00B72DA4">
        <w:rPr>
          <w:rFonts w:ascii="Arial" w:eastAsia="Arial" w:hAnsi="Arial" w:cs="Arial"/>
          <w:sz w:val="20"/>
          <w:szCs w:val="20"/>
        </w:rPr>
        <w:t xml:space="preserve">, M., </w:t>
      </w:r>
      <w:proofErr w:type="spellStart"/>
      <w:r w:rsidRPr="00B72DA4">
        <w:rPr>
          <w:rFonts w:ascii="Arial" w:eastAsia="Arial" w:hAnsi="Arial" w:cs="Arial"/>
          <w:sz w:val="20"/>
          <w:szCs w:val="20"/>
        </w:rPr>
        <w:t>Roda</w:t>
      </w:r>
      <w:proofErr w:type="spellEnd"/>
      <w:r w:rsidRPr="00B72DA4">
        <w:rPr>
          <w:rFonts w:ascii="Arial" w:eastAsia="Arial" w:hAnsi="Arial" w:cs="Arial"/>
          <w:sz w:val="20"/>
          <w:szCs w:val="20"/>
        </w:rPr>
        <w:t xml:space="preserve">, L., </w:t>
      </w:r>
      <w:proofErr w:type="spellStart"/>
      <w:r w:rsidRPr="00B72DA4">
        <w:rPr>
          <w:rFonts w:ascii="Arial" w:eastAsia="Arial" w:hAnsi="Arial" w:cs="Arial"/>
          <w:sz w:val="20"/>
          <w:szCs w:val="20"/>
        </w:rPr>
        <w:t>Villeta</w:t>
      </w:r>
      <w:proofErr w:type="spellEnd"/>
      <w:r w:rsidRPr="00B72DA4">
        <w:rPr>
          <w:rFonts w:ascii="Arial" w:eastAsia="Arial" w:hAnsi="Arial" w:cs="Arial"/>
          <w:sz w:val="20"/>
          <w:szCs w:val="20"/>
        </w:rPr>
        <w:t xml:space="preserve">, R. B., Yadao, M., </w:t>
      </w:r>
      <w:proofErr w:type="spellStart"/>
      <w:r w:rsidRPr="00B72DA4">
        <w:rPr>
          <w:rFonts w:ascii="Arial" w:eastAsia="Arial" w:hAnsi="Arial" w:cs="Arial"/>
          <w:sz w:val="20"/>
          <w:szCs w:val="20"/>
        </w:rPr>
        <w:t>Avenido</w:t>
      </w:r>
      <w:proofErr w:type="spellEnd"/>
      <w:r w:rsidRPr="00B72DA4">
        <w:rPr>
          <w:rFonts w:ascii="Arial" w:eastAsia="Arial" w:hAnsi="Arial" w:cs="Arial"/>
          <w:sz w:val="20"/>
          <w:szCs w:val="20"/>
        </w:rPr>
        <w:t>, J. M.,</w:t>
      </w:r>
      <w:r w:rsidRPr="00B72DA4">
        <w:rPr>
          <w:rFonts w:ascii="Arial" w:eastAsia="Arial" w:hAnsi="Arial" w:cs="Arial"/>
          <w:sz w:val="20"/>
          <w:szCs w:val="20"/>
        </w:rPr>
        <w:t xml:space="preserve"> Foronda, J., &amp; </w:t>
      </w:r>
      <w:proofErr w:type="spellStart"/>
      <w:r w:rsidRPr="00B72DA4">
        <w:rPr>
          <w:rFonts w:ascii="Arial" w:eastAsia="Arial" w:hAnsi="Arial" w:cs="Arial"/>
          <w:sz w:val="20"/>
          <w:szCs w:val="20"/>
        </w:rPr>
        <w:t>Susada</w:t>
      </w:r>
      <w:proofErr w:type="spellEnd"/>
      <w:r w:rsidRPr="00B72DA4">
        <w:rPr>
          <w:rFonts w:ascii="Arial" w:eastAsia="Arial" w:hAnsi="Arial" w:cs="Arial"/>
          <w:sz w:val="20"/>
          <w:szCs w:val="20"/>
        </w:rPr>
        <w:t xml:space="preserve">, J. (2018). The Sectoral and Skills Mismatch between the Senior High School Program and the Top In-Demand Jobs and Projected In-demand Jobs in the Province of Cebu &amp; Philippines. Researchers World, </w:t>
      </w:r>
      <w:proofErr w:type="gramStart"/>
      <w:r w:rsidRPr="00B72DA4">
        <w:rPr>
          <w:rFonts w:ascii="Arial" w:eastAsia="Arial" w:hAnsi="Arial" w:cs="Arial"/>
          <w:sz w:val="20"/>
          <w:szCs w:val="20"/>
        </w:rPr>
        <w:t>IX(</w:t>
      </w:r>
      <w:proofErr w:type="gramEnd"/>
      <w:r w:rsidRPr="00B72DA4">
        <w:rPr>
          <w:rFonts w:ascii="Arial" w:eastAsia="Arial" w:hAnsi="Arial" w:cs="Arial"/>
          <w:sz w:val="20"/>
          <w:szCs w:val="20"/>
        </w:rPr>
        <w:t xml:space="preserve">2), 187. </w:t>
      </w:r>
      <w:hyperlink r:id="rId47">
        <w:r w:rsidR="002B57B9" w:rsidRPr="00B72DA4">
          <w:rPr>
            <w:rFonts w:ascii="Arial" w:eastAsia="Arial" w:hAnsi="Arial" w:cs="Arial"/>
            <w:color w:val="000000"/>
            <w:sz w:val="20"/>
            <w:szCs w:val="20"/>
          </w:rPr>
          <w:t xml:space="preserve">https://doi.org/10.18843/rwjasc/v9i2/24 </w:t>
        </w:r>
      </w:hyperlink>
    </w:p>
    <w:p w14:paraId="4E78425E" w14:textId="57249AE7" w:rsidR="002B57B9" w:rsidRPr="00B72DA4" w:rsidRDefault="00193F43">
      <w:pPr>
        <w:spacing w:line="240" w:lineRule="auto"/>
        <w:ind w:left="720" w:hanging="720"/>
        <w:jc w:val="both"/>
        <w:rPr>
          <w:rFonts w:ascii="Arial" w:eastAsia="Arial" w:hAnsi="Arial" w:cs="Arial"/>
          <w:sz w:val="20"/>
          <w:szCs w:val="20"/>
        </w:rPr>
      </w:pPr>
      <w:proofErr w:type="spellStart"/>
      <w:r w:rsidRPr="00B72DA4">
        <w:rPr>
          <w:rFonts w:ascii="Arial" w:eastAsia="Arial" w:hAnsi="Arial" w:cs="Arial"/>
          <w:sz w:val="20"/>
          <w:szCs w:val="20"/>
        </w:rPr>
        <w:t>Paladio</w:t>
      </w:r>
      <w:proofErr w:type="spellEnd"/>
      <w:r w:rsidRPr="00B72DA4">
        <w:rPr>
          <w:rFonts w:ascii="Arial" w:eastAsia="Arial" w:hAnsi="Arial" w:cs="Arial"/>
          <w:sz w:val="20"/>
          <w:szCs w:val="20"/>
        </w:rPr>
        <w:t xml:space="preserve">, C. M. And </w:t>
      </w:r>
      <w:proofErr w:type="spellStart"/>
      <w:r w:rsidRPr="00B72DA4">
        <w:rPr>
          <w:rFonts w:ascii="Arial" w:eastAsia="Arial" w:hAnsi="Arial" w:cs="Arial"/>
          <w:sz w:val="20"/>
          <w:szCs w:val="20"/>
        </w:rPr>
        <w:t>Buayan</w:t>
      </w:r>
      <w:proofErr w:type="spellEnd"/>
      <w:r w:rsidRPr="00B72DA4">
        <w:rPr>
          <w:rFonts w:ascii="Arial" w:eastAsia="Arial" w:hAnsi="Arial" w:cs="Arial"/>
          <w:sz w:val="20"/>
          <w:szCs w:val="20"/>
        </w:rPr>
        <w:t xml:space="preserve">, M. (2023), Graduates of the K-12 Curriculum Under TVL Strands </w:t>
      </w:r>
      <w:proofErr w:type="gramStart"/>
      <w:r w:rsidRPr="00B72DA4">
        <w:rPr>
          <w:rFonts w:ascii="Arial" w:eastAsia="Arial" w:hAnsi="Arial" w:cs="Arial"/>
          <w:sz w:val="20"/>
          <w:szCs w:val="20"/>
        </w:rPr>
        <w:t>In</w:t>
      </w:r>
      <w:proofErr w:type="gramEnd"/>
      <w:r w:rsidRPr="00B72DA4">
        <w:rPr>
          <w:rFonts w:ascii="Arial" w:eastAsia="Arial" w:hAnsi="Arial" w:cs="Arial"/>
          <w:sz w:val="20"/>
          <w:szCs w:val="20"/>
        </w:rPr>
        <w:t xml:space="preserve"> The Division of Masbate City. Psychology And Education: A Multidisciplinary </w:t>
      </w:r>
      <w:r w:rsidRPr="00B72DA4">
        <w:rPr>
          <w:rFonts w:ascii="Arial" w:eastAsia="Arial" w:hAnsi="Arial" w:cs="Arial"/>
          <w:sz w:val="20"/>
          <w:szCs w:val="20"/>
        </w:rPr>
        <w:tab/>
        <w:t xml:space="preserve">Journal, </w:t>
      </w:r>
      <w:r w:rsidRPr="00B72DA4">
        <w:rPr>
          <w:rFonts w:ascii="Arial" w:eastAsia="Arial" w:hAnsi="Arial" w:cs="Arial"/>
          <w:sz w:val="20"/>
          <w:szCs w:val="20"/>
        </w:rPr>
        <w:tab/>
      </w:r>
      <w:r w:rsidRPr="00B72DA4">
        <w:rPr>
          <w:rFonts w:ascii="Arial" w:eastAsia="Arial" w:hAnsi="Arial" w:cs="Arial"/>
          <w:sz w:val="20"/>
          <w:szCs w:val="20"/>
        </w:rPr>
        <w:t xml:space="preserve">(11), </w:t>
      </w:r>
      <w:r w:rsidRPr="00B72DA4">
        <w:rPr>
          <w:rFonts w:ascii="Arial" w:eastAsia="Arial" w:hAnsi="Arial" w:cs="Arial"/>
          <w:sz w:val="20"/>
          <w:szCs w:val="20"/>
        </w:rPr>
        <w:tab/>
        <w:t xml:space="preserve">311-321, </w:t>
      </w:r>
      <w:hyperlink r:id="rId48">
        <w:r w:rsidR="002B57B9" w:rsidRPr="00B72DA4">
          <w:rPr>
            <w:rFonts w:ascii="Arial" w:eastAsia="Arial" w:hAnsi="Arial" w:cs="Arial"/>
            <w:color w:val="0563C1"/>
            <w:sz w:val="20"/>
            <w:szCs w:val="20"/>
            <w:u w:val="single"/>
          </w:rPr>
          <w:t>https://scimatic.org/storage/journals/11/pdfs/1689.pdf</w:t>
        </w:r>
      </w:hyperlink>
      <w:hyperlink r:id="rId49">
        <w:r w:rsidR="002B57B9" w:rsidRPr="00B72DA4">
          <w:rPr>
            <w:rFonts w:ascii="Arial" w:eastAsia="Arial" w:hAnsi="Arial" w:cs="Arial"/>
            <w:color w:val="000000"/>
            <w:sz w:val="20"/>
            <w:szCs w:val="20"/>
          </w:rPr>
          <w:t xml:space="preserve"> </w:t>
        </w:r>
      </w:hyperlink>
      <w:proofErr w:type="spellStart"/>
      <w:r w:rsidR="001634E5" w:rsidRPr="00B72DA4">
        <w:t>carad</w:t>
      </w:r>
      <w:proofErr w:type="spellEnd"/>
    </w:p>
    <w:p w14:paraId="3037D92E" w14:textId="77777777" w:rsidR="002B57B9" w:rsidRPr="00B72DA4" w:rsidRDefault="00193F43">
      <w:pPr>
        <w:spacing w:line="240" w:lineRule="auto"/>
        <w:ind w:left="720" w:hanging="720"/>
        <w:jc w:val="both"/>
        <w:rPr>
          <w:rFonts w:ascii="Arial" w:eastAsia="Arial" w:hAnsi="Arial" w:cs="Arial"/>
          <w:sz w:val="20"/>
          <w:szCs w:val="20"/>
        </w:rPr>
      </w:pPr>
      <w:proofErr w:type="spellStart"/>
      <w:r w:rsidRPr="00B72DA4">
        <w:rPr>
          <w:rFonts w:ascii="Arial" w:eastAsia="Arial" w:hAnsi="Arial" w:cs="Arial"/>
          <w:sz w:val="20"/>
          <w:szCs w:val="20"/>
        </w:rPr>
        <w:t>Perlow</w:t>
      </w:r>
      <w:proofErr w:type="spellEnd"/>
      <w:r w:rsidRPr="00B72DA4">
        <w:rPr>
          <w:rFonts w:ascii="Arial" w:eastAsia="Arial" w:hAnsi="Arial" w:cs="Arial"/>
          <w:sz w:val="20"/>
          <w:szCs w:val="20"/>
        </w:rPr>
        <w:t xml:space="preserve">, </w:t>
      </w:r>
      <w:r w:rsidRPr="00B72DA4">
        <w:rPr>
          <w:rFonts w:ascii="Arial" w:eastAsia="Arial" w:hAnsi="Arial" w:cs="Arial"/>
          <w:sz w:val="20"/>
          <w:szCs w:val="20"/>
        </w:rPr>
        <w:tab/>
        <w:t xml:space="preserve">L. </w:t>
      </w:r>
      <w:r w:rsidRPr="00B72DA4">
        <w:rPr>
          <w:rFonts w:ascii="Arial" w:eastAsia="Arial" w:hAnsi="Arial" w:cs="Arial"/>
          <w:sz w:val="20"/>
          <w:szCs w:val="20"/>
        </w:rPr>
        <w:tab/>
        <w:t xml:space="preserve">(2014). </w:t>
      </w:r>
      <w:r w:rsidRPr="00B72DA4">
        <w:rPr>
          <w:rFonts w:ascii="Arial" w:eastAsia="Arial" w:hAnsi="Arial" w:cs="Arial"/>
          <w:sz w:val="20"/>
          <w:szCs w:val="20"/>
        </w:rPr>
        <w:tab/>
        <w:t xml:space="preserve">Manage </w:t>
      </w:r>
      <w:r w:rsidRPr="00B72DA4">
        <w:rPr>
          <w:rFonts w:ascii="Arial" w:eastAsia="Arial" w:hAnsi="Arial" w:cs="Arial"/>
          <w:sz w:val="20"/>
          <w:szCs w:val="20"/>
        </w:rPr>
        <w:tab/>
        <w:t>y</w:t>
      </w:r>
      <w:r w:rsidRPr="00B72DA4">
        <w:rPr>
          <w:rFonts w:ascii="Arial" w:eastAsia="Arial" w:hAnsi="Arial" w:cs="Arial"/>
          <w:sz w:val="20"/>
          <w:szCs w:val="20"/>
        </w:rPr>
        <w:t xml:space="preserve">our </w:t>
      </w:r>
      <w:r w:rsidRPr="00B72DA4">
        <w:rPr>
          <w:rFonts w:ascii="Arial" w:eastAsia="Arial" w:hAnsi="Arial" w:cs="Arial"/>
          <w:sz w:val="20"/>
          <w:szCs w:val="20"/>
        </w:rPr>
        <w:tab/>
        <w:t xml:space="preserve">team’s </w:t>
      </w:r>
      <w:r w:rsidRPr="00B72DA4">
        <w:rPr>
          <w:rFonts w:ascii="Arial" w:eastAsia="Arial" w:hAnsi="Arial" w:cs="Arial"/>
          <w:sz w:val="20"/>
          <w:szCs w:val="20"/>
        </w:rPr>
        <w:tab/>
        <w:t xml:space="preserve">collective </w:t>
      </w:r>
      <w:r w:rsidRPr="00B72DA4">
        <w:rPr>
          <w:rFonts w:ascii="Arial" w:eastAsia="Arial" w:hAnsi="Arial" w:cs="Arial"/>
          <w:sz w:val="20"/>
          <w:szCs w:val="20"/>
        </w:rPr>
        <w:tab/>
        <w:t xml:space="preserve">time. </w:t>
      </w:r>
      <w:hyperlink r:id="rId50">
        <w:r w:rsidR="002B57B9" w:rsidRPr="00B72DA4">
          <w:rPr>
            <w:rFonts w:ascii="Arial" w:eastAsia="Arial" w:hAnsi="Arial" w:cs="Arial"/>
            <w:color w:val="0563C1"/>
            <w:sz w:val="20"/>
            <w:szCs w:val="20"/>
            <w:u w:val="single"/>
          </w:rPr>
          <w:t>https://www.semanticscholar.org/paper/Manage</w:t>
        </w:r>
      </w:hyperlink>
      <w:hyperlink r:id="rId51">
        <w:r w:rsidR="002B57B9" w:rsidRPr="00B72DA4">
          <w:rPr>
            <w:rFonts w:ascii="Arial" w:eastAsia="Arial" w:hAnsi="Arial" w:cs="Arial"/>
            <w:color w:val="000000"/>
            <w:sz w:val="20"/>
            <w:szCs w:val="20"/>
          </w:rPr>
          <w:t xml:space="preserve">-your-team's-collectivetime.-Perlow/577ce97c7973d63943e4188a81d7debc3a261b07?fbclid=IwZXh0bgNhZW0CMTEAAR3wbktJB39DFa94KjMN3DV52t19m9qtm9SnFC186OFEGJA7xFyfOfYx-Is_aem_Vg81X1o3tz6YehgQYMc1ug </w:t>
        </w:r>
      </w:hyperlink>
    </w:p>
    <w:p w14:paraId="215D28FD" w14:textId="77777777" w:rsidR="002B57B9" w:rsidRPr="00B72DA4" w:rsidRDefault="00193F43">
      <w:pPr>
        <w:spacing w:line="240" w:lineRule="auto"/>
        <w:ind w:left="720" w:hanging="720"/>
        <w:jc w:val="both"/>
        <w:rPr>
          <w:rFonts w:ascii="Arial" w:eastAsia="Arial" w:hAnsi="Arial" w:cs="Arial"/>
          <w:sz w:val="20"/>
          <w:szCs w:val="20"/>
        </w:rPr>
      </w:pPr>
      <w:r w:rsidRPr="00B72DA4">
        <w:rPr>
          <w:rFonts w:ascii="Arial" w:eastAsia="Arial" w:hAnsi="Arial" w:cs="Arial"/>
          <w:sz w:val="20"/>
          <w:szCs w:val="20"/>
        </w:rPr>
        <w:t xml:space="preserve">Rangel, C., De Palma, M. A., </w:t>
      </w:r>
      <w:proofErr w:type="spellStart"/>
      <w:r w:rsidRPr="00B72DA4">
        <w:rPr>
          <w:rFonts w:ascii="Arial" w:eastAsia="Arial" w:hAnsi="Arial" w:cs="Arial"/>
          <w:sz w:val="20"/>
          <w:szCs w:val="20"/>
        </w:rPr>
        <w:t>Malana</w:t>
      </w:r>
      <w:proofErr w:type="spellEnd"/>
      <w:r w:rsidRPr="00B72DA4">
        <w:rPr>
          <w:rFonts w:ascii="Arial" w:eastAsia="Arial" w:hAnsi="Arial" w:cs="Arial"/>
          <w:sz w:val="20"/>
          <w:szCs w:val="20"/>
        </w:rPr>
        <w:t xml:space="preserve">, M. L., Oliveros, V. V., &amp; Hirokawa, R. (2024). Contribution of On-The-Job Training Program to the Employability Skills for Career Readiness: Towards a Guide: Vol. 5, No. 1. </w:t>
      </w:r>
      <w:proofErr w:type="spellStart"/>
      <w:r w:rsidRPr="00B72DA4">
        <w:rPr>
          <w:rFonts w:ascii="Arial" w:eastAsia="Arial" w:hAnsi="Arial" w:cs="Arial"/>
          <w:i/>
          <w:sz w:val="20"/>
          <w:szCs w:val="20"/>
        </w:rPr>
        <w:t>Ascendens</w:t>
      </w:r>
      <w:proofErr w:type="spellEnd"/>
      <w:r w:rsidRPr="00B72DA4">
        <w:rPr>
          <w:rFonts w:ascii="Arial" w:eastAsia="Arial" w:hAnsi="Arial" w:cs="Arial"/>
          <w:i/>
          <w:sz w:val="20"/>
          <w:szCs w:val="20"/>
        </w:rPr>
        <w:t xml:space="preserve"> Asia Singapore – </w:t>
      </w:r>
      <w:proofErr w:type="spellStart"/>
      <w:r w:rsidRPr="00B72DA4">
        <w:rPr>
          <w:rFonts w:ascii="Arial" w:eastAsia="Arial" w:hAnsi="Arial" w:cs="Arial"/>
          <w:i/>
          <w:sz w:val="20"/>
          <w:szCs w:val="20"/>
        </w:rPr>
        <w:t>Bestlink</w:t>
      </w:r>
      <w:proofErr w:type="spellEnd"/>
      <w:r w:rsidRPr="00B72DA4">
        <w:rPr>
          <w:rFonts w:ascii="Arial" w:eastAsia="Arial" w:hAnsi="Arial" w:cs="Arial"/>
          <w:i/>
          <w:sz w:val="20"/>
          <w:szCs w:val="20"/>
        </w:rPr>
        <w:t xml:space="preserve"> College of</w:t>
      </w:r>
      <w:r w:rsidRPr="00B72DA4">
        <w:rPr>
          <w:rFonts w:ascii="Arial" w:eastAsia="Arial" w:hAnsi="Arial" w:cs="Arial"/>
          <w:i/>
          <w:sz w:val="20"/>
          <w:szCs w:val="20"/>
        </w:rPr>
        <w:t xml:space="preserve"> the Philippines Journal of Multidisciplinary Research</w:t>
      </w:r>
      <w:r w:rsidRPr="00B72DA4">
        <w:rPr>
          <w:rFonts w:ascii="Arial" w:eastAsia="Arial" w:hAnsi="Arial" w:cs="Arial"/>
          <w:sz w:val="20"/>
          <w:szCs w:val="20"/>
        </w:rPr>
        <w:t xml:space="preserve">, </w:t>
      </w:r>
      <w:r w:rsidRPr="00B72DA4">
        <w:rPr>
          <w:rFonts w:ascii="Arial" w:eastAsia="Arial" w:hAnsi="Arial" w:cs="Arial"/>
          <w:sz w:val="20"/>
          <w:szCs w:val="20"/>
        </w:rPr>
        <w:tab/>
      </w:r>
      <w:r w:rsidRPr="00B72DA4">
        <w:rPr>
          <w:rFonts w:ascii="Arial" w:eastAsia="Arial" w:hAnsi="Arial" w:cs="Arial"/>
          <w:i/>
          <w:sz w:val="20"/>
          <w:szCs w:val="20"/>
        </w:rPr>
        <w:t>5</w:t>
      </w:r>
      <w:r w:rsidRPr="00B72DA4">
        <w:rPr>
          <w:rFonts w:ascii="Arial" w:eastAsia="Arial" w:hAnsi="Arial" w:cs="Arial"/>
          <w:sz w:val="20"/>
          <w:szCs w:val="20"/>
        </w:rPr>
        <w:t xml:space="preserve">(1). </w:t>
      </w:r>
      <w:r w:rsidRPr="00B72DA4">
        <w:rPr>
          <w:rFonts w:ascii="Arial" w:eastAsia="Arial" w:hAnsi="Arial" w:cs="Arial"/>
          <w:sz w:val="20"/>
          <w:szCs w:val="20"/>
        </w:rPr>
        <w:tab/>
        <w:t xml:space="preserve">Retrieved </w:t>
      </w:r>
      <w:r w:rsidRPr="00B72DA4">
        <w:rPr>
          <w:rFonts w:ascii="Arial" w:eastAsia="Arial" w:hAnsi="Arial" w:cs="Arial"/>
          <w:sz w:val="20"/>
          <w:szCs w:val="20"/>
        </w:rPr>
        <w:tab/>
        <w:t xml:space="preserve">from </w:t>
      </w:r>
      <w:hyperlink r:id="rId52">
        <w:r w:rsidR="002B57B9" w:rsidRPr="00B72DA4">
          <w:rPr>
            <w:rFonts w:ascii="Arial" w:eastAsia="Arial" w:hAnsi="Arial" w:cs="Arial"/>
            <w:color w:val="0563C1"/>
            <w:sz w:val="20"/>
            <w:szCs w:val="20"/>
            <w:u w:val="single"/>
          </w:rPr>
          <w:t>https://ojs.aaresearchindex.com/index.php/aasgbcpjmra/article/view/14351</w:t>
        </w:r>
      </w:hyperlink>
      <w:hyperlink r:id="rId53">
        <w:r w:rsidR="002B57B9" w:rsidRPr="00B72DA4">
          <w:rPr>
            <w:rFonts w:ascii="Arial" w:eastAsia="Arial" w:hAnsi="Arial" w:cs="Arial"/>
            <w:color w:val="000000"/>
            <w:sz w:val="20"/>
            <w:szCs w:val="20"/>
          </w:rPr>
          <w:t xml:space="preserve"> </w:t>
        </w:r>
      </w:hyperlink>
    </w:p>
    <w:p w14:paraId="51CF293F" w14:textId="3E128AE4" w:rsidR="002B57B9" w:rsidRPr="00B72DA4" w:rsidRDefault="00193F43" w:rsidP="00C56226">
      <w:pPr>
        <w:spacing w:line="240" w:lineRule="auto"/>
        <w:ind w:left="720" w:hanging="720"/>
        <w:jc w:val="both"/>
        <w:rPr>
          <w:rFonts w:ascii="Arial" w:eastAsia="Arial" w:hAnsi="Arial" w:cs="Arial"/>
          <w:sz w:val="20"/>
          <w:szCs w:val="20"/>
        </w:rPr>
      </w:pPr>
      <w:proofErr w:type="spellStart"/>
      <w:r w:rsidRPr="00B72DA4">
        <w:rPr>
          <w:rFonts w:ascii="Arial" w:eastAsia="Arial" w:hAnsi="Arial" w:cs="Arial"/>
          <w:sz w:val="20"/>
          <w:szCs w:val="20"/>
        </w:rPr>
        <w:t>Ratnata</w:t>
      </w:r>
      <w:proofErr w:type="spellEnd"/>
      <w:r w:rsidRPr="00B72DA4">
        <w:rPr>
          <w:rFonts w:ascii="Arial" w:eastAsia="Arial" w:hAnsi="Arial" w:cs="Arial"/>
          <w:sz w:val="20"/>
          <w:szCs w:val="20"/>
        </w:rPr>
        <w:t xml:space="preserve">, I. W. (2013). </w:t>
      </w:r>
      <w:r w:rsidRPr="00B72DA4">
        <w:rPr>
          <w:rFonts w:ascii="Arial" w:eastAsia="Arial" w:hAnsi="Arial" w:cs="Arial"/>
          <w:i/>
          <w:sz w:val="20"/>
          <w:szCs w:val="20"/>
        </w:rPr>
        <w:t>Enhancing the image and attractiveness of TVET</w:t>
      </w:r>
      <w:r w:rsidRPr="00B72DA4">
        <w:rPr>
          <w:rFonts w:ascii="Arial" w:eastAsia="Arial" w:hAnsi="Arial" w:cs="Arial"/>
          <w:sz w:val="20"/>
          <w:szCs w:val="20"/>
        </w:rPr>
        <w:t xml:space="preserve">. </w:t>
      </w:r>
      <w:hyperlink r:id="rId54">
        <w:r w:rsidR="002B57B9" w:rsidRPr="00B72DA4">
          <w:rPr>
            <w:rFonts w:ascii="Arial" w:eastAsia="Arial" w:hAnsi="Arial" w:cs="Arial"/>
            <w:color w:val="0563C1"/>
            <w:sz w:val="20"/>
            <w:szCs w:val="20"/>
            <w:u w:val="single"/>
          </w:rPr>
          <w:t>https://www.semanticscholar.org/paper/Enhancing</w:t>
        </w:r>
      </w:hyperlink>
      <w:hyperlink r:id="rId55">
        <w:r w:rsidR="002B57B9" w:rsidRPr="00B72DA4">
          <w:rPr>
            <w:rFonts w:ascii="Arial" w:eastAsia="Arial" w:hAnsi="Arial" w:cs="Arial"/>
            <w:color w:val="000000"/>
            <w:sz w:val="20"/>
            <w:szCs w:val="20"/>
          </w:rPr>
          <w:t xml:space="preserve">-the-image-andattractiveness-of-TVET-Ratnata/f7497b6b969f116de0fa972514438c263d764dad </w:t>
        </w:r>
      </w:hyperlink>
      <w:r w:rsidRPr="00B72DA4">
        <w:rPr>
          <w:rFonts w:ascii="Arial" w:eastAsia="Arial" w:hAnsi="Arial" w:cs="Arial"/>
          <w:sz w:val="20"/>
          <w:szCs w:val="20"/>
        </w:rPr>
        <w:t xml:space="preserve"> </w:t>
      </w:r>
    </w:p>
    <w:p w14:paraId="136E3799" w14:textId="77777777" w:rsidR="002B57B9" w:rsidRPr="00B72DA4" w:rsidRDefault="00193F43">
      <w:pPr>
        <w:spacing w:line="240" w:lineRule="auto"/>
        <w:ind w:left="720" w:hanging="720"/>
        <w:jc w:val="both"/>
        <w:rPr>
          <w:rFonts w:ascii="Arial" w:eastAsia="Arial" w:hAnsi="Arial" w:cs="Arial"/>
          <w:sz w:val="20"/>
          <w:szCs w:val="20"/>
        </w:rPr>
      </w:pPr>
      <w:r w:rsidRPr="00B72DA4">
        <w:rPr>
          <w:rFonts w:ascii="Arial" w:eastAsia="Arial" w:hAnsi="Arial" w:cs="Arial"/>
          <w:sz w:val="20"/>
          <w:szCs w:val="20"/>
        </w:rPr>
        <w:t>Rios</w:t>
      </w:r>
      <w:r w:rsidRPr="00B72DA4">
        <w:rPr>
          <w:rFonts w:ascii="Arial" w:eastAsia="Arial" w:hAnsi="Arial" w:cs="Arial"/>
          <w:sz w:val="20"/>
          <w:szCs w:val="20"/>
        </w:rPr>
        <w:t xml:space="preserve">, J. A., Ling, G., Pugh, R., Becker, D., &amp; Bacall, A. (2020). Identifying Critical 21st-Century skills for workplace Success: A content analysis of job advertisements. </w:t>
      </w:r>
      <w:r w:rsidRPr="00B72DA4">
        <w:rPr>
          <w:rFonts w:ascii="Arial" w:eastAsia="Arial" w:hAnsi="Arial" w:cs="Arial"/>
          <w:sz w:val="20"/>
          <w:szCs w:val="20"/>
        </w:rPr>
        <w:tab/>
      </w:r>
      <w:r w:rsidRPr="00B72DA4">
        <w:rPr>
          <w:rFonts w:ascii="Arial" w:eastAsia="Arial" w:hAnsi="Arial" w:cs="Arial"/>
          <w:i/>
          <w:sz w:val="20"/>
          <w:szCs w:val="20"/>
        </w:rPr>
        <w:t xml:space="preserve">Educational </w:t>
      </w:r>
      <w:r w:rsidRPr="00B72DA4">
        <w:rPr>
          <w:rFonts w:ascii="Arial" w:eastAsia="Arial" w:hAnsi="Arial" w:cs="Arial"/>
          <w:i/>
          <w:sz w:val="20"/>
          <w:szCs w:val="20"/>
        </w:rPr>
        <w:tab/>
        <w:t>Researcher</w:t>
      </w:r>
      <w:r w:rsidRPr="00B72DA4">
        <w:rPr>
          <w:rFonts w:ascii="Arial" w:eastAsia="Arial" w:hAnsi="Arial" w:cs="Arial"/>
          <w:sz w:val="20"/>
          <w:szCs w:val="20"/>
        </w:rPr>
        <w:t xml:space="preserve">, </w:t>
      </w:r>
      <w:r w:rsidRPr="00B72DA4">
        <w:rPr>
          <w:rFonts w:ascii="Arial" w:eastAsia="Arial" w:hAnsi="Arial" w:cs="Arial"/>
          <w:i/>
          <w:sz w:val="20"/>
          <w:szCs w:val="20"/>
        </w:rPr>
        <w:t>49</w:t>
      </w:r>
      <w:r w:rsidRPr="00B72DA4">
        <w:rPr>
          <w:rFonts w:ascii="Arial" w:eastAsia="Arial" w:hAnsi="Arial" w:cs="Arial"/>
          <w:sz w:val="20"/>
          <w:szCs w:val="20"/>
        </w:rPr>
        <w:t xml:space="preserve">(2), </w:t>
      </w:r>
      <w:r w:rsidRPr="00B72DA4">
        <w:rPr>
          <w:rFonts w:ascii="Arial" w:eastAsia="Arial" w:hAnsi="Arial" w:cs="Arial"/>
          <w:sz w:val="20"/>
          <w:szCs w:val="20"/>
        </w:rPr>
        <w:tab/>
        <w:t xml:space="preserve">80–89. https://doi.org/10.3102/0013189x19890600 </w:t>
      </w:r>
    </w:p>
    <w:p w14:paraId="065796AB" w14:textId="77777777" w:rsidR="002B57B9" w:rsidRPr="00B72DA4" w:rsidRDefault="00193F43">
      <w:pPr>
        <w:spacing w:line="240" w:lineRule="auto"/>
        <w:ind w:left="720" w:hanging="720"/>
        <w:jc w:val="both"/>
        <w:rPr>
          <w:rFonts w:ascii="Arial" w:eastAsia="Arial" w:hAnsi="Arial" w:cs="Arial"/>
          <w:sz w:val="20"/>
          <w:szCs w:val="20"/>
        </w:rPr>
      </w:pPr>
      <w:r w:rsidRPr="00B72DA4">
        <w:rPr>
          <w:rFonts w:ascii="Arial" w:eastAsia="Arial" w:hAnsi="Arial" w:cs="Arial"/>
          <w:sz w:val="20"/>
          <w:szCs w:val="20"/>
        </w:rPr>
        <w:t>Romer</w:t>
      </w:r>
      <w:r w:rsidRPr="00B72DA4">
        <w:rPr>
          <w:rFonts w:ascii="Arial" w:eastAsia="Arial" w:hAnsi="Arial" w:cs="Arial"/>
          <w:sz w:val="20"/>
          <w:szCs w:val="20"/>
        </w:rPr>
        <w:t xml:space="preserve">o, J. D., </w:t>
      </w:r>
      <w:proofErr w:type="spellStart"/>
      <w:r w:rsidRPr="00B72DA4">
        <w:rPr>
          <w:rFonts w:ascii="Arial" w:eastAsia="Arial" w:hAnsi="Arial" w:cs="Arial"/>
          <w:sz w:val="20"/>
          <w:szCs w:val="20"/>
        </w:rPr>
        <w:t>Sanche</w:t>
      </w:r>
      <w:proofErr w:type="spellEnd"/>
      <w:r w:rsidRPr="00B72DA4">
        <w:rPr>
          <w:rFonts w:ascii="Arial" w:eastAsia="Arial" w:hAnsi="Arial" w:cs="Arial"/>
          <w:sz w:val="20"/>
          <w:szCs w:val="20"/>
        </w:rPr>
        <w:t xml:space="preserve">, L. C., &amp; </w:t>
      </w:r>
      <w:proofErr w:type="spellStart"/>
      <w:r w:rsidRPr="00B72DA4">
        <w:rPr>
          <w:rFonts w:ascii="Arial" w:eastAsia="Arial" w:hAnsi="Arial" w:cs="Arial"/>
          <w:sz w:val="20"/>
          <w:szCs w:val="20"/>
        </w:rPr>
        <w:t>Akiapat</w:t>
      </w:r>
      <w:proofErr w:type="spellEnd"/>
      <w:r w:rsidRPr="00B72DA4">
        <w:rPr>
          <w:rFonts w:ascii="Arial" w:eastAsia="Arial" w:hAnsi="Arial" w:cs="Arial"/>
          <w:sz w:val="20"/>
          <w:szCs w:val="20"/>
        </w:rPr>
        <w:t xml:space="preserve">, G. D. (2024b). Assessing career readiness among technical vocational home economics graduates: a literature review. Cognizance </w:t>
      </w:r>
      <w:r w:rsidRPr="00B72DA4">
        <w:rPr>
          <w:rFonts w:ascii="Arial" w:eastAsia="Arial" w:hAnsi="Arial" w:cs="Arial"/>
          <w:sz w:val="20"/>
          <w:szCs w:val="20"/>
        </w:rPr>
        <w:tab/>
        <w:t xml:space="preserve">Journal, </w:t>
      </w:r>
      <w:r w:rsidRPr="00B72DA4">
        <w:rPr>
          <w:rFonts w:ascii="Arial" w:eastAsia="Arial" w:hAnsi="Arial" w:cs="Arial"/>
          <w:sz w:val="20"/>
          <w:szCs w:val="20"/>
        </w:rPr>
        <w:tab/>
        <w:t xml:space="preserve">4(3), 195–205. </w:t>
      </w:r>
      <w:hyperlink r:id="rId56">
        <w:r w:rsidR="002B57B9" w:rsidRPr="00B72DA4">
          <w:rPr>
            <w:rFonts w:ascii="Arial" w:eastAsia="Arial" w:hAnsi="Arial" w:cs="Arial"/>
            <w:color w:val="0563C1"/>
            <w:sz w:val="20"/>
            <w:szCs w:val="20"/>
            <w:u w:val="single"/>
          </w:rPr>
          <w:t>https://doi.org/10.47760/cognizance.2024.v04i03.017</w:t>
        </w:r>
      </w:hyperlink>
      <w:hyperlink r:id="rId57">
        <w:r w:rsidR="002B57B9" w:rsidRPr="00B72DA4">
          <w:rPr>
            <w:rFonts w:ascii="Arial" w:eastAsia="Arial" w:hAnsi="Arial" w:cs="Arial"/>
            <w:color w:val="000000"/>
            <w:sz w:val="20"/>
            <w:szCs w:val="20"/>
          </w:rPr>
          <w:t xml:space="preserve"> </w:t>
        </w:r>
      </w:hyperlink>
    </w:p>
    <w:p w14:paraId="57FAF157" w14:textId="696E0B9B" w:rsidR="0074509A" w:rsidRPr="00B72DA4" w:rsidRDefault="0074509A" w:rsidP="0074509A">
      <w:pPr>
        <w:spacing w:line="240" w:lineRule="auto"/>
        <w:ind w:left="720" w:hanging="720"/>
        <w:jc w:val="both"/>
        <w:rPr>
          <w:rFonts w:ascii="Arial" w:eastAsia="Arial" w:hAnsi="Arial" w:cs="Arial"/>
          <w:sz w:val="20"/>
          <w:szCs w:val="20"/>
        </w:rPr>
      </w:pPr>
      <w:proofErr w:type="spellStart"/>
      <w:r w:rsidRPr="0074509A">
        <w:rPr>
          <w:rFonts w:ascii="Arial" w:eastAsia="Arial" w:hAnsi="Arial" w:cs="Arial"/>
          <w:sz w:val="20"/>
          <w:szCs w:val="20"/>
        </w:rPr>
        <w:lastRenderedPageBreak/>
        <w:t>Sargeant</w:t>
      </w:r>
      <w:proofErr w:type="spellEnd"/>
      <w:r w:rsidRPr="0074509A">
        <w:rPr>
          <w:rFonts w:ascii="Arial" w:eastAsia="Arial" w:hAnsi="Arial" w:cs="Arial"/>
          <w:sz w:val="20"/>
          <w:szCs w:val="20"/>
        </w:rPr>
        <w:t xml:space="preserve">, J. (2012). Qualitative Research Part II: participants, analysis, and quality assurance. </w:t>
      </w:r>
      <w:r w:rsidRPr="0074509A">
        <w:rPr>
          <w:rFonts w:ascii="Arial" w:eastAsia="Arial" w:hAnsi="Arial" w:cs="Arial"/>
          <w:i/>
          <w:iCs/>
          <w:sz w:val="20"/>
          <w:szCs w:val="20"/>
        </w:rPr>
        <w:t>Journal of Graduate Medical Education</w:t>
      </w:r>
      <w:r w:rsidRPr="0074509A">
        <w:rPr>
          <w:rFonts w:ascii="Arial" w:eastAsia="Arial" w:hAnsi="Arial" w:cs="Arial"/>
          <w:sz w:val="20"/>
          <w:szCs w:val="20"/>
        </w:rPr>
        <w:t xml:space="preserve">, </w:t>
      </w:r>
      <w:r w:rsidRPr="0074509A">
        <w:rPr>
          <w:rFonts w:ascii="Arial" w:eastAsia="Arial" w:hAnsi="Arial" w:cs="Arial"/>
          <w:i/>
          <w:iCs/>
          <w:sz w:val="20"/>
          <w:szCs w:val="20"/>
        </w:rPr>
        <w:t>4</w:t>
      </w:r>
      <w:r w:rsidRPr="0074509A">
        <w:rPr>
          <w:rFonts w:ascii="Arial" w:eastAsia="Arial" w:hAnsi="Arial" w:cs="Arial"/>
          <w:sz w:val="20"/>
          <w:szCs w:val="20"/>
        </w:rPr>
        <w:t>(1), 1–3. https://doi.org/10.4300/jgme-d-11-00307.1</w:t>
      </w:r>
    </w:p>
    <w:p w14:paraId="3A5FF92C" w14:textId="77777777" w:rsidR="002B57B9" w:rsidRPr="00B72DA4" w:rsidRDefault="00193F43">
      <w:pPr>
        <w:spacing w:line="240" w:lineRule="auto"/>
        <w:ind w:left="720" w:hanging="720"/>
        <w:jc w:val="both"/>
        <w:rPr>
          <w:rFonts w:ascii="Arial" w:eastAsia="Arial" w:hAnsi="Arial" w:cs="Arial"/>
          <w:sz w:val="20"/>
          <w:szCs w:val="20"/>
        </w:rPr>
      </w:pPr>
      <w:r w:rsidRPr="00B72DA4">
        <w:rPr>
          <w:rFonts w:ascii="Arial" w:eastAsia="Arial" w:hAnsi="Arial" w:cs="Arial"/>
          <w:sz w:val="20"/>
          <w:szCs w:val="20"/>
        </w:rPr>
        <w:t xml:space="preserve">Singh, V. (2024). An overview of chemical fertilizers and their use in crops! </w:t>
      </w:r>
      <w:r w:rsidRPr="00B72DA4">
        <w:rPr>
          <w:rFonts w:ascii="Arial" w:eastAsia="Arial" w:hAnsi="Arial" w:cs="Arial"/>
          <w:i/>
          <w:sz w:val="20"/>
          <w:szCs w:val="20"/>
        </w:rPr>
        <w:t xml:space="preserve">Farming and </w:t>
      </w:r>
      <w:r w:rsidRPr="00B72DA4">
        <w:rPr>
          <w:rFonts w:ascii="Arial" w:eastAsia="Arial" w:hAnsi="Arial" w:cs="Arial"/>
          <w:i/>
          <w:sz w:val="20"/>
          <w:szCs w:val="20"/>
        </w:rPr>
        <w:tab/>
        <w:t>Management</w:t>
      </w:r>
      <w:r w:rsidRPr="00B72DA4">
        <w:rPr>
          <w:rFonts w:ascii="Arial" w:eastAsia="Arial" w:hAnsi="Arial" w:cs="Arial"/>
          <w:sz w:val="20"/>
          <w:szCs w:val="20"/>
        </w:rPr>
        <w:t xml:space="preserve">, </w:t>
      </w:r>
      <w:r w:rsidRPr="00B72DA4">
        <w:rPr>
          <w:rFonts w:ascii="Arial" w:eastAsia="Arial" w:hAnsi="Arial" w:cs="Arial"/>
          <w:i/>
          <w:sz w:val="20"/>
          <w:szCs w:val="20"/>
        </w:rPr>
        <w:t xml:space="preserve">VOLUME </w:t>
      </w:r>
      <w:r w:rsidRPr="00B72DA4">
        <w:rPr>
          <w:rFonts w:ascii="Arial" w:eastAsia="Arial" w:hAnsi="Arial" w:cs="Arial"/>
          <w:i/>
          <w:sz w:val="20"/>
          <w:szCs w:val="20"/>
        </w:rPr>
        <w:tab/>
        <w:t>9</w:t>
      </w:r>
      <w:r w:rsidRPr="00B72DA4">
        <w:rPr>
          <w:rFonts w:ascii="Arial" w:eastAsia="Arial" w:hAnsi="Arial" w:cs="Arial"/>
          <w:sz w:val="20"/>
          <w:szCs w:val="20"/>
        </w:rPr>
        <w:t xml:space="preserve">(ISSUE </w:t>
      </w:r>
      <w:r w:rsidRPr="00B72DA4">
        <w:rPr>
          <w:rFonts w:ascii="Arial" w:eastAsia="Arial" w:hAnsi="Arial" w:cs="Arial"/>
          <w:sz w:val="20"/>
          <w:szCs w:val="20"/>
        </w:rPr>
        <w:tab/>
        <w:t xml:space="preserve">1 </w:t>
      </w:r>
      <w:r w:rsidRPr="00B72DA4">
        <w:rPr>
          <w:rFonts w:ascii="Arial" w:eastAsia="Arial" w:hAnsi="Arial" w:cs="Arial"/>
          <w:sz w:val="20"/>
          <w:szCs w:val="20"/>
        </w:rPr>
        <w:tab/>
        <w:t xml:space="preserve">(JUNE) </w:t>
      </w:r>
      <w:r w:rsidRPr="00B72DA4">
        <w:rPr>
          <w:rFonts w:ascii="Arial" w:eastAsia="Arial" w:hAnsi="Arial" w:cs="Arial"/>
          <w:sz w:val="20"/>
          <w:szCs w:val="20"/>
        </w:rPr>
        <w:tab/>
        <w:t xml:space="preserve">2024). https://doi.org/10.31830/2456-8724.2024.fm-140 </w:t>
      </w:r>
    </w:p>
    <w:p w14:paraId="0EE6F06B" w14:textId="77777777" w:rsidR="002B57B9" w:rsidRPr="00B72DA4" w:rsidRDefault="00193F43">
      <w:pPr>
        <w:spacing w:line="240" w:lineRule="auto"/>
        <w:ind w:left="720" w:hanging="720"/>
        <w:jc w:val="both"/>
        <w:rPr>
          <w:rFonts w:ascii="Arial" w:eastAsia="Arial" w:hAnsi="Arial" w:cs="Arial"/>
          <w:sz w:val="20"/>
          <w:szCs w:val="20"/>
        </w:rPr>
      </w:pPr>
      <w:proofErr w:type="spellStart"/>
      <w:r w:rsidRPr="00B72DA4">
        <w:rPr>
          <w:rFonts w:ascii="Arial" w:eastAsia="Arial" w:hAnsi="Arial" w:cs="Arial"/>
          <w:sz w:val="20"/>
          <w:szCs w:val="20"/>
        </w:rPr>
        <w:t>Sirisi</w:t>
      </w:r>
      <w:r w:rsidRPr="00B72DA4">
        <w:rPr>
          <w:rFonts w:ascii="Arial" w:eastAsia="Arial" w:hAnsi="Arial" w:cs="Arial"/>
          <w:sz w:val="20"/>
          <w:szCs w:val="20"/>
        </w:rPr>
        <w:t>lla</w:t>
      </w:r>
      <w:proofErr w:type="spellEnd"/>
      <w:r w:rsidRPr="00B72DA4">
        <w:rPr>
          <w:rFonts w:ascii="Arial" w:eastAsia="Arial" w:hAnsi="Arial" w:cs="Arial"/>
          <w:sz w:val="20"/>
          <w:szCs w:val="20"/>
        </w:rPr>
        <w:t xml:space="preserve">, S., &amp; </w:t>
      </w:r>
      <w:proofErr w:type="spellStart"/>
      <w:r w:rsidRPr="00B72DA4">
        <w:rPr>
          <w:rFonts w:ascii="Arial" w:eastAsia="Arial" w:hAnsi="Arial" w:cs="Arial"/>
          <w:sz w:val="20"/>
          <w:szCs w:val="20"/>
        </w:rPr>
        <w:t>Sirisilla</w:t>
      </w:r>
      <w:proofErr w:type="spellEnd"/>
      <w:r w:rsidRPr="00B72DA4">
        <w:rPr>
          <w:rFonts w:ascii="Arial" w:eastAsia="Arial" w:hAnsi="Arial" w:cs="Arial"/>
          <w:sz w:val="20"/>
          <w:szCs w:val="20"/>
        </w:rPr>
        <w:t xml:space="preserve">, S. (2023, July 21). How to Develop a Good Research Question? — Types &amp; Examples. </w:t>
      </w:r>
      <w:proofErr w:type="spellStart"/>
      <w:r w:rsidRPr="00B72DA4">
        <w:rPr>
          <w:rFonts w:ascii="Arial" w:eastAsia="Arial" w:hAnsi="Arial" w:cs="Arial"/>
          <w:sz w:val="20"/>
          <w:szCs w:val="20"/>
        </w:rPr>
        <w:t>Enago</w:t>
      </w:r>
      <w:proofErr w:type="spellEnd"/>
      <w:r w:rsidRPr="00B72DA4">
        <w:rPr>
          <w:rFonts w:ascii="Arial" w:eastAsia="Arial" w:hAnsi="Arial" w:cs="Arial"/>
          <w:sz w:val="20"/>
          <w:szCs w:val="20"/>
        </w:rPr>
        <w:t xml:space="preserve"> Academy. https://www.enago.com/academy/how-to-develop-good- research-questiontypesexamples/</w:t>
      </w:r>
      <w:proofErr w:type="gramStart"/>
      <w:r w:rsidRPr="00B72DA4">
        <w:rPr>
          <w:rFonts w:ascii="Arial" w:eastAsia="Arial" w:hAnsi="Arial" w:cs="Arial"/>
          <w:sz w:val="20"/>
          <w:szCs w:val="20"/>
        </w:rPr>
        <w:t>#:~</w:t>
      </w:r>
      <w:proofErr w:type="gramEnd"/>
      <w:r w:rsidRPr="00B72DA4">
        <w:rPr>
          <w:rFonts w:ascii="Arial" w:eastAsia="Arial" w:hAnsi="Arial" w:cs="Arial"/>
          <w:sz w:val="20"/>
          <w:szCs w:val="20"/>
        </w:rPr>
        <w:t>:text=Why%20Is%20a%20Research%20Question,research%20f</w:t>
      </w:r>
      <w:r w:rsidRPr="00B72DA4">
        <w:rPr>
          <w:rFonts w:ascii="Arial" w:eastAsia="Arial" w:hAnsi="Arial" w:cs="Arial"/>
          <w:sz w:val="20"/>
          <w:szCs w:val="20"/>
        </w:rPr>
        <w:t xml:space="preserve">or%20individu als%20to%20learn </w:t>
      </w:r>
    </w:p>
    <w:p w14:paraId="192CFC0D" w14:textId="3C4E6ED4" w:rsidR="00135D1E" w:rsidRPr="00B72DA4" w:rsidRDefault="00135D1E" w:rsidP="00135D1E">
      <w:pPr>
        <w:spacing w:line="240" w:lineRule="auto"/>
        <w:ind w:left="720" w:hanging="720"/>
        <w:jc w:val="both"/>
        <w:rPr>
          <w:rFonts w:ascii="Arial" w:eastAsia="Arial" w:hAnsi="Arial" w:cs="Arial"/>
          <w:sz w:val="20"/>
          <w:szCs w:val="20"/>
        </w:rPr>
      </w:pPr>
      <w:proofErr w:type="spellStart"/>
      <w:r w:rsidRPr="00135D1E">
        <w:rPr>
          <w:rFonts w:ascii="Arial" w:eastAsia="Arial" w:hAnsi="Arial" w:cs="Arial"/>
          <w:sz w:val="20"/>
          <w:szCs w:val="20"/>
        </w:rPr>
        <w:t>Sonnenschein</w:t>
      </w:r>
      <w:proofErr w:type="spellEnd"/>
      <w:r w:rsidRPr="00135D1E">
        <w:rPr>
          <w:rFonts w:ascii="Arial" w:eastAsia="Arial" w:hAnsi="Arial" w:cs="Arial"/>
          <w:sz w:val="20"/>
          <w:szCs w:val="20"/>
        </w:rPr>
        <w:t xml:space="preserve">, K., &amp; Ferguson, J. (2020). Developing professional communication skills: Perceptions and reflections of domestic and international graduates. Journal of University Teaching and Learning Practice, 17(3), 53–69. </w:t>
      </w:r>
      <w:hyperlink r:id="rId58" w:history="1">
        <w:r w:rsidRPr="00135D1E">
          <w:rPr>
            <w:rStyle w:val="Hyperlink"/>
            <w:rFonts w:ascii="Arial" w:eastAsia="Arial" w:hAnsi="Arial" w:cs="Arial"/>
            <w:b/>
            <w:bCs/>
            <w:sz w:val="20"/>
            <w:szCs w:val="20"/>
          </w:rPr>
          <w:t>https://doi.org/10.53761/1.17.3.5</w:t>
        </w:r>
      </w:hyperlink>
    </w:p>
    <w:p w14:paraId="7B2B818B" w14:textId="77777777" w:rsidR="002B57B9" w:rsidRPr="00B72DA4" w:rsidRDefault="00193F43">
      <w:pPr>
        <w:spacing w:line="240" w:lineRule="auto"/>
        <w:ind w:left="720" w:hanging="720"/>
        <w:jc w:val="both"/>
        <w:rPr>
          <w:rFonts w:ascii="Arial" w:eastAsia="Arial" w:hAnsi="Arial" w:cs="Arial"/>
          <w:sz w:val="20"/>
          <w:szCs w:val="20"/>
        </w:rPr>
      </w:pPr>
      <w:proofErr w:type="spellStart"/>
      <w:r w:rsidRPr="00B72DA4">
        <w:rPr>
          <w:rFonts w:ascii="Arial" w:eastAsia="Arial" w:hAnsi="Arial" w:cs="Arial"/>
          <w:sz w:val="20"/>
          <w:szCs w:val="20"/>
        </w:rPr>
        <w:t>Subburayan</w:t>
      </w:r>
      <w:proofErr w:type="spellEnd"/>
      <w:r w:rsidRPr="00B72DA4">
        <w:rPr>
          <w:rFonts w:ascii="Arial" w:eastAsia="Arial" w:hAnsi="Arial" w:cs="Arial"/>
          <w:sz w:val="20"/>
          <w:szCs w:val="20"/>
        </w:rPr>
        <w:t xml:space="preserve">, B. (2023). The importance of technical skills in today’s job market. </w:t>
      </w:r>
      <w:r w:rsidRPr="00B72DA4">
        <w:rPr>
          <w:rFonts w:ascii="Arial" w:eastAsia="Arial" w:hAnsi="Arial" w:cs="Arial"/>
          <w:i/>
          <w:sz w:val="20"/>
          <w:szCs w:val="20"/>
        </w:rPr>
        <w:t>SSRN Electronic Journal</w:t>
      </w:r>
      <w:r w:rsidRPr="00B72DA4">
        <w:rPr>
          <w:rFonts w:ascii="Arial" w:eastAsia="Arial" w:hAnsi="Arial" w:cs="Arial"/>
          <w:sz w:val="20"/>
          <w:szCs w:val="20"/>
        </w:rPr>
        <w:t xml:space="preserve">. </w:t>
      </w:r>
      <w:hyperlink r:id="rId59">
        <w:r w:rsidR="002B57B9" w:rsidRPr="00B72DA4">
          <w:rPr>
            <w:rFonts w:ascii="Arial" w:eastAsia="Arial" w:hAnsi="Arial" w:cs="Arial"/>
            <w:color w:val="000000"/>
            <w:sz w:val="20"/>
            <w:szCs w:val="20"/>
          </w:rPr>
          <w:t xml:space="preserve">https://doi.org/10.2139/ssrn.4343683 </w:t>
        </w:r>
      </w:hyperlink>
    </w:p>
    <w:p w14:paraId="4F15AFAD" w14:textId="77777777" w:rsidR="002B57B9" w:rsidRPr="00B72DA4" w:rsidRDefault="00193F43">
      <w:pPr>
        <w:spacing w:line="240" w:lineRule="auto"/>
        <w:ind w:left="720" w:hanging="720"/>
        <w:jc w:val="both"/>
        <w:rPr>
          <w:rFonts w:ascii="Arial" w:eastAsia="Arial" w:hAnsi="Arial" w:cs="Arial"/>
          <w:sz w:val="20"/>
          <w:szCs w:val="20"/>
        </w:rPr>
      </w:pPr>
      <w:r w:rsidRPr="00B72DA4">
        <w:rPr>
          <w:rFonts w:ascii="Arial" w:eastAsia="Arial" w:hAnsi="Arial" w:cs="Arial"/>
          <w:sz w:val="20"/>
          <w:szCs w:val="20"/>
        </w:rPr>
        <w:t xml:space="preserve">Tavares, N. J., Chu, S. K., Siu, F., &amp; Chu, D. (2010, January). </w:t>
      </w:r>
      <w:r w:rsidRPr="00B72DA4">
        <w:rPr>
          <w:rFonts w:ascii="Arial" w:eastAsia="Arial" w:hAnsi="Arial" w:cs="Arial"/>
          <w:i/>
          <w:sz w:val="20"/>
          <w:szCs w:val="20"/>
        </w:rPr>
        <w:t xml:space="preserve">Developing upper primary students’ 21st century skills: inquiry learning through collaborative teaching </w:t>
      </w:r>
      <w:r w:rsidRPr="00B72DA4">
        <w:rPr>
          <w:rFonts w:ascii="Arial" w:eastAsia="Arial" w:hAnsi="Arial" w:cs="Arial"/>
          <w:i/>
          <w:sz w:val="20"/>
          <w:szCs w:val="20"/>
        </w:rPr>
        <w:tab/>
        <w:t xml:space="preserve">and </w:t>
      </w:r>
      <w:r w:rsidRPr="00B72DA4">
        <w:rPr>
          <w:rFonts w:ascii="Arial" w:eastAsia="Arial" w:hAnsi="Arial" w:cs="Arial"/>
          <w:i/>
          <w:sz w:val="20"/>
          <w:szCs w:val="20"/>
        </w:rPr>
        <w:tab/>
        <w:t xml:space="preserve">web </w:t>
      </w:r>
      <w:r w:rsidRPr="00B72DA4">
        <w:rPr>
          <w:rFonts w:ascii="Arial" w:eastAsia="Arial" w:hAnsi="Arial" w:cs="Arial"/>
          <w:i/>
          <w:sz w:val="20"/>
          <w:szCs w:val="20"/>
        </w:rPr>
        <w:tab/>
        <w:t>2.0 technology</w:t>
      </w:r>
      <w:r w:rsidRPr="00B72DA4">
        <w:rPr>
          <w:rFonts w:ascii="Arial" w:eastAsia="Arial" w:hAnsi="Arial" w:cs="Arial"/>
          <w:sz w:val="20"/>
          <w:szCs w:val="20"/>
        </w:rPr>
        <w:t xml:space="preserve">. ResearchGate. </w:t>
      </w:r>
      <w:hyperlink r:id="rId60">
        <w:r w:rsidR="002B57B9" w:rsidRPr="00B72DA4">
          <w:rPr>
            <w:rFonts w:ascii="Arial" w:eastAsia="Arial" w:hAnsi="Arial" w:cs="Arial"/>
            <w:color w:val="0563C1"/>
            <w:sz w:val="20"/>
            <w:szCs w:val="20"/>
            <w:u w:val="single"/>
          </w:rPr>
          <w:t xml:space="preserve">https://www.researchgate.net/publication/293695540_Developing_upper_pri </w:t>
        </w:r>
      </w:hyperlink>
      <w:hyperlink r:id="rId61">
        <w:r w:rsidR="002B57B9" w:rsidRPr="00B72DA4">
          <w:rPr>
            <w:rFonts w:ascii="Arial" w:eastAsia="Arial" w:hAnsi="Arial" w:cs="Arial"/>
            <w:color w:val="000000"/>
            <w:sz w:val="20"/>
            <w:szCs w:val="20"/>
          </w:rPr>
          <w:t xml:space="preserve">mary_students'_21st_century_skills_Inquiry_learning_through_collaborative_teaching_and_Web_20_technology </w:t>
        </w:r>
      </w:hyperlink>
    </w:p>
    <w:p w14:paraId="55EA169F" w14:textId="77777777" w:rsidR="002B57B9" w:rsidRPr="00B72DA4" w:rsidRDefault="00193F43">
      <w:pPr>
        <w:spacing w:line="240" w:lineRule="auto"/>
        <w:ind w:left="720" w:hanging="720"/>
        <w:jc w:val="both"/>
        <w:rPr>
          <w:rFonts w:ascii="Arial" w:eastAsia="Arial" w:hAnsi="Arial" w:cs="Arial"/>
          <w:sz w:val="20"/>
          <w:szCs w:val="20"/>
        </w:rPr>
      </w:pPr>
      <w:proofErr w:type="spellStart"/>
      <w:r w:rsidRPr="00B72DA4">
        <w:rPr>
          <w:rFonts w:ascii="Arial" w:eastAsia="Arial" w:hAnsi="Arial" w:cs="Arial"/>
          <w:sz w:val="20"/>
          <w:szCs w:val="20"/>
        </w:rPr>
        <w:t>Tulsi</w:t>
      </w:r>
      <w:proofErr w:type="spellEnd"/>
      <w:r w:rsidRPr="00B72DA4">
        <w:rPr>
          <w:rFonts w:ascii="Arial" w:eastAsia="Arial" w:hAnsi="Arial" w:cs="Arial"/>
          <w:sz w:val="20"/>
          <w:szCs w:val="20"/>
        </w:rPr>
        <w:t xml:space="preserve">, P. K., &amp; </w:t>
      </w:r>
      <w:proofErr w:type="spellStart"/>
      <w:r w:rsidRPr="00B72DA4">
        <w:rPr>
          <w:rFonts w:ascii="Arial" w:eastAsia="Arial" w:hAnsi="Arial" w:cs="Arial"/>
          <w:sz w:val="20"/>
          <w:szCs w:val="20"/>
        </w:rPr>
        <w:t>Poonia</w:t>
      </w:r>
      <w:proofErr w:type="spellEnd"/>
      <w:r w:rsidRPr="00B72DA4">
        <w:rPr>
          <w:rFonts w:ascii="Arial" w:eastAsia="Arial" w:hAnsi="Arial" w:cs="Arial"/>
          <w:sz w:val="20"/>
          <w:szCs w:val="20"/>
        </w:rPr>
        <w:t>, M. P. (2015). Expectati</w:t>
      </w:r>
      <w:r w:rsidRPr="00B72DA4">
        <w:rPr>
          <w:rFonts w:ascii="Arial" w:eastAsia="Arial" w:hAnsi="Arial" w:cs="Arial"/>
          <w:sz w:val="20"/>
          <w:szCs w:val="20"/>
        </w:rPr>
        <w:t xml:space="preserve">ons of Industry from Technical Graduates: Implications for Curriculum and Instructional Processes. </w:t>
      </w:r>
      <w:r w:rsidRPr="00B72DA4">
        <w:rPr>
          <w:rFonts w:ascii="Arial" w:eastAsia="Arial" w:hAnsi="Arial" w:cs="Arial"/>
          <w:i/>
          <w:sz w:val="20"/>
          <w:szCs w:val="20"/>
        </w:rPr>
        <w:t>Journal of Engineering Education/Journal of Engineering Education Transformations/Journal of Engineering Education Transformation</w:t>
      </w:r>
      <w:r w:rsidRPr="00B72DA4">
        <w:rPr>
          <w:rFonts w:ascii="Arial" w:eastAsia="Arial" w:hAnsi="Arial" w:cs="Arial"/>
          <w:sz w:val="20"/>
          <w:szCs w:val="20"/>
        </w:rPr>
        <w:t xml:space="preserve">, </w:t>
      </w:r>
      <w:r w:rsidRPr="00B72DA4">
        <w:rPr>
          <w:rFonts w:ascii="Arial" w:eastAsia="Arial" w:hAnsi="Arial" w:cs="Arial"/>
          <w:i/>
          <w:sz w:val="20"/>
          <w:szCs w:val="20"/>
        </w:rPr>
        <w:t>28</w:t>
      </w:r>
      <w:r w:rsidRPr="00B72DA4">
        <w:rPr>
          <w:rFonts w:ascii="Arial" w:eastAsia="Arial" w:hAnsi="Arial" w:cs="Arial"/>
          <w:sz w:val="20"/>
          <w:szCs w:val="20"/>
        </w:rPr>
        <w:t xml:space="preserve">(4), 42. </w:t>
      </w:r>
      <w:hyperlink r:id="rId62">
        <w:r w:rsidR="002B57B9" w:rsidRPr="00B72DA4">
          <w:rPr>
            <w:rFonts w:ascii="Arial" w:eastAsia="Arial" w:hAnsi="Arial" w:cs="Arial"/>
            <w:color w:val="000000"/>
            <w:sz w:val="20"/>
            <w:szCs w:val="20"/>
          </w:rPr>
          <w:t xml:space="preserve">https://doi.org/10.16920/jeet/2015/v28i4/70393 </w:t>
        </w:r>
      </w:hyperlink>
    </w:p>
    <w:p w14:paraId="1072AFE0" w14:textId="77777777" w:rsidR="002B57B9" w:rsidRPr="00B72DA4" w:rsidRDefault="00193F43">
      <w:pPr>
        <w:spacing w:line="240" w:lineRule="auto"/>
        <w:ind w:left="720" w:hanging="720"/>
        <w:jc w:val="both"/>
        <w:rPr>
          <w:rFonts w:ascii="Arial" w:eastAsia="Arial" w:hAnsi="Arial" w:cs="Arial"/>
          <w:sz w:val="20"/>
          <w:szCs w:val="20"/>
        </w:rPr>
      </w:pPr>
      <w:proofErr w:type="spellStart"/>
      <w:r w:rsidRPr="00B72DA4">
        <w:rPr>
          <w:rFonts w:ascii="Arial" w:eastAsia="Arial" w:hAnsi="Arial" w:cs="Arial"/>
          <w:sz w:val="20"/>
          <w:szCs w:val="20"/>
        </w:rPr>
        <w:t>Vallesteros</w:t>
      </w:r>
      <w:proofErr w:type="spellEnd"/>
      <w:r w:rsidRPr="00B72DA4">
        <w:rPr>
          <w:rFonts w:ascii="Arial" w:eastAsia="Arial" w:hAnsi="Arial" w:cs="Arial"/>
          <w:sz w:val="20"/>
          <w:szCs w:val="20"/>
        </w:rPr>
        <w:t xml:space="preserve">, M.F. (2022). School Learning Environment and the Employability Scheme for Grade 12 Technical Vocational Livelihood </w:t>
      </w:r>
      <w:proofErr w:type="gramStart"/>
      <w:r w:rsidRPr="00B72DA4">
        <w:rPr>
          <w:rFonts w:ascii="Arial" w:eastAsia="Arial" w:hAnsi="Arial" w:cs="Arial"/>
          <w:sz w:val="20"/>
          <w:szCs w:val="20"/>
        </w:rPr>
        <w:t>( TVL</w:t>
      </w:r>
      <w:proofErr w:type="gramEnd"/>
      <w:r w:rsidRPr="00B72DA4">
        <w:rPr>
          <w:rFonts w:ascii="Arial" w:eastAsia="Arial" w:hAnsi="Arial" w:cs="Arial"/>
          <w:sz w:val="20"/>
          <w:szCs w:val="20"/>
        </w:rPr>
        <w:t>) Students,, pp. 99 – 10</w:t>
      </w:r>
      <w:r w:rsidRPr="00B72DA4">
        <w:rPr>
          <w:rFonts w:ascii="Arial" w:eastAsia="Arial" w:hAnsi="Arial" w:cs="Arial"/>
          <w:sz w:val="20"/>
          <w:szCs w:val="20"/>
        </w:rPr>
        <w:t xml:space="preserve">6 </w:t>
      </w:r>
    </w:p>
    <w:p w14:paraId="5B0D5175" w14:textId="77777777" w:rsidR="002B57B9" w:rsidRPr="00B72DA4" w:rsidRDefault="00193F43">
      <w:pPr>
        <w:spacing w:line="240" w:lineRule="auto"/>
        <w:ind w:left="720" w:hanging="720"/>
        <w:jc w:val="both"/>
        <w:rPr>
          <w:rFonts w:ascii="Arial" w:eastAsia="Arial" w:hAnsi="Arial" w:cs="Arial"/>
          <w:sz w:val="20"/>
          <w:szCs w:val="20"/>
        </w:rPr>
      </w:pPr>
      <w:proofErr w:type="spellStart"/>
      <w:r w:rsidRPr="00B72DA4">
        <w:rPr>
          <w:rFonts w:ascii="Arial" w:eastAsia="Arial" w:hAnsi="Arial" w:cs="Arial"/>
          <w:sz w:val="20"/>
          <w:szCs w:val="20"/>
        </w:rPr>
        <w:t>Villarroel</w:t>
      </w:r>
      <w:proofErr w:type="spellEnd"/>
      <w:r w:rsidRPr="00B72DA4">
        <w:rPr>
          <w:rFonts w:ascii="Arial" w:eastAsia="Arial" w:hAnsi="Arial" w:cs="Arial"/>
          <w:sz w:val="20"/>
          <w:szCs w:val="20"/>
        </w:rPr>
        <w:t xml:space="preserve">, V., </w:t>
      </w:r>
      <w:proofErr w:type="spellStart"/>
      <w:r w:rsidRPr="00B72DA4">
        <w:rPr>
          <w:rFonts w:ascii="Arial" w:eastAsia="Arial" w:hAnsi="Arial" w:cs="Arial"/>
          <w:sz w:val="20"/>
          <w:szCs w:val="20"/>
        </w:rPr>
        <w:t>Benavente</w:t>
      </w:r>
      <w:proofErr w:type="spellEnd"/>
      <w:r w:rsidRPr="00B72DA4">
        <w:rPr>
          <w:rFonts w:ascii="Arial" w:eastAsia="Arial" w:hAnsi="Arial" w:cs="Arial"/>
          <w:sz w:val="20"/>
          <w:szCs w:val="20"/>
        </w:rPr>
        <w:t xml:space="preserve">, M., </w:t>
      </w:r>
      <w:proofErr w:type="spellStart"/>
      <w:r w:rsidRPr="00B72DA4">
        <w:rPr>
          <w:rFonts w:ascii="Arial" w:eastAsia="Arial" w:hAnsi="Arial" w:cs="Arial"/>
          <w:sz w:val="20"/>
          <w:szCs w:val="20"/>
        </w:rPr>
        <w:t>Chuecas</w:t>
      </w:r>
      <w:proofErr w:type="spellEnd"/>
      <w:r w:rsidRPr="00B72DA4">
        <w:rPr>
          <w:rFonts w:ascii="Arial" w:eastAsia="Arial" w:hAnsi="Arial" w:cs="Arial"/>
          <w:sz w:val="20"/>
          <w:szCs w:val="20"/>
        </w:rPr>
        <w:t>, M. J., &amp; Bruna, D. (2020). Experiential learning in higher education. A student-centered teaching method that improves perceived learning. Journal of University Teaching and Learning Practice, 17(5). https://doi.o</w:t>
      </w:r>
      <w:r w:rsidRPr="00B72DA4">
        <w:rPr>
          <w:rFonts w:ascii="Arial" w:eastAsia="Arial" w:hAnsi="Arial" w:cs="Arial"/>
          <w:sz w:val="20"/>
          <w:szCs w:val="20"/>
        </w:rPr>
        <w:t xml:space="preserve">rg/10.53761/1.17.5.8 </w:t>
      </w:r>
    </w:p>
    <w:p w14:paraId="28FADEA1" w14:textId="77777777" w:rsidR="002B57B9" w:rsidRDefault="00193F43">
      <w:pPr>
        <w:spacing w:line="240" w:lineRule="auto"/>
        <w:ind w:left="720" w:hanging="720"/>
        <w:jc w:val="both"/>
        <w:rPr>
          <w:rFonts w:ascii="Arial" w:eastAsia="Arial" w:hAnsi="Arial" w:cs="Arial"/>
          <w:sz w:val="20"/>
          <w:szCs w:val="20"/>
        </w:rPr>
      </w:pPr>
      <w:r w:rsidRPr="00B72DA4">
        <w:rPr>
          <w:rFonts w:ascii="Arial" w:eastAsia="Arial" w:hAnsi="Arial" w:cs="Arial"/>
          <w:sz w:val="20"/>
          <w:szCs w:val="20"/>
        </w:rPr>
        <w:t xml:space="preserve">Wangchuk, P. (2023). Examining the Influence of On Job Training (OJT) on Student Learning: A Study Focusing on the 6th Cohort of the </w:t>
      </w:r>
      <w:proofErr w:type="gramStart"/>
      <w:r w:rsidRPr="00B72DA4">
        <w:rPr>
          <w:rFonts w:ascii="Arial" w:eastAsia="Arial" w:hAnsi="Arial" w:cs="Arial"/>
          <w:sz w:val="20"/>
          <w:szCs w:val="20"/>
        </w:rPr>
        <w:t>Diploma  in</w:t>
      </w:r>
      <w:proofErr w:type="gramEnd"/>
      <w:r w:rsidRPr="00B72DA4">
        <w:rPr>
          <w:rFonts w:ascii="Arial" w:eastAsia="Arial" w:hAnsi="Arial" w:cs="Arial"/>
          <w:sz w:val="20"/>
          <w:szCs w:val="20"/>
        </w:rPr>
        <w:t xml:space="preserve"> Materials and Procurement Management Program at Jigme </w:t>
      </w:r>
      <w:proofErr w:type="spellStart"/>
      <w:r w:rsidRPr="00B72DA4">
        <w:rPr>
          <w:rFonts w:ascii="Arial" w:eastAsia="Arial" w:hAnsi="Arial" w:cs="Arial"/>
          <w:sz w:val="20"/>
          <w:szCs w:val="20"/>
        </w:rPr>
        <w:t>Namgyel</w:t>
      </w:r>
      <w:proofErr w:type="spellEnd"/>
      <w:r w:rsidRPr="00B72DA4">
        <w:rPr>
          <w:rFonts w:ascii="Arial" w:eastAsia="Arial" w:hAnsi="Arial" w:cs="Arial"/>
          <w:sz w:val="20"/>
          <w:szCs w:val="20"/>
        </w:rPr>
        <w:t xml:space="preserve"> Engineering College in </w:t>
      </w:r>
      <w:proofErr w:type="spellStart"/>
      <w:r w:rsidRPr="00B72DA4">
        <w:rPr>
          <w:rFonts w:ascii="Arial" w:eastAsia="Arial" w:hAnsi="Arial" w:cs="Arial"/>
          <w:sz w:val="20"/>
          <w:szCs w:val="20"/>
        </w:rPr>
        <w:t>Dewathang</w:t>
      </w:r>
      <w:proofErr w:type="spellEnd"/>
      <w:r w:rsidRPr="00B72DA4">
        <w:rPr>
          <w:rFonts w:ascii="Arial" w:eastAsia="Arial" w:hAnsi="Arial" w:cs="Arial"/>
          <w:sz w:val="20"/>
          <w:szCs w:val="20"/>
        </w:rPr>
        <w:t>. Journal of Appl</w:t>
      </w:r>
      <w:r w:rsidRPr="00B72DA4">
        <w:rPr>
          <w:rFonts w:ascii="Arial" w:eastAsia="Arial" w:hAnsi="Arial" w:cs="Arial"/>
          <w:sz w:val="20"/>
          <w:szCs w:val="20"/>
        </w:rPr>
        <w:t xml:space="preserve">ied Engineering Technology and Management, 3(1), 23–31. </w:t>
      </w:r>
      <w:hyperlink r:id="rId63">
        <w:r w:rsidR="002B57B9" w:rsidRPr="00B72DA4">
          <w:rPr>
            <w:rFonts w:ascii="Arial" w:eastAsia="Arial" w:hAnsi="Arial" w:cs="Arial"/>
            <w:color w:val="000000"/>
            <w:sz w:val="20"/>
            <w:szCs w:val="20"/>
          </w:rPr>
          <w:t xml:space="preserve">https://doi.org/10.54417/jaetm.v3i1.100 </w:t>
        </w:r>
      </w:hyperlink>
    </w:p>
    <w:p w14:paraId="3B67F1AF" w14:textId="77777777" w:rsidR="002B57B9" w:rsidRDefault="002B57B9">
      <w:pPr>
        <w:spacing w:line="240" w:lineRule="auto"/>
        <w:ind w:left="720" w:hanging="720"/>
        <w:jc w:val="both"/>
        <w:rPr>
          <w:rFonts w:ascii="Arial" w:eastAsia="Arial" w:hAnsi="Arial" w:cs="Arial"/>
          <w:sz w:val="20"/>
          <w:szCs w:val="20"/>
        </w:rPr>
      </w:pPr>
    </w:p>
    <w:p w14:paraId="1DAF9CD2" w14:textId="77777777" w:rsidR="002B57B9" w:rsidRDefault="002B57B9">
      <w:pPr>
        <w:spacing w:line="240" w:lineRule="auto"/>
        <w:ind w:left="720" w:hanging="720"/>
        <w:jc w:val="both"/>
        <w:rPr>
          <w:rFonts w:ascii="Arial" w:eastAsia="Arial" w:hAnsi="Arial" w:cs="Arial"/>
          <w:sz w:val="20"/>
          <w:szCs w:val="20"/>
        </w:rPr>
      </w:pPr>
    </w:p>
    <w:p w14:paraId="751FDA62" w14:textId="77777777" w:rsidR="002B57B9" w:rsidRDefault="002B57B9">
      <w:pPr>
        <w:spacing w:line="240" w:lineRule="auto"/>
        <w:ind w:left="720" w:hanging="720"/>
        <w:jc w:val="both"/>
        <w:rPr>
          <w:rFonts w:ascii="Arial" w:eastAsia="Arial" w:hAnsi="Arial" w:cs="Arial"/>
          <w:sz w:val="20"/>
          <w:szCs w:val="20"/>
        </w:rPr>
      </w:pPr>
    </w:p>
    <w:p w14:paraId="6209E759" w14:textId="77777777" w:rsidR="002B57B9" w:rsidRDefault="002B57B9">
      <w:pPr>
        <w:spacing w:line="240" w:lineRule="auto"/>
        <w:ind w:left="720" w:hanging="720"/>
        <w:jc w:val="both"/>
        <w:rPr>
          <w:rFonts w:ascii="Arial" w:eastAsia="Arial" w:hAnsi="Arial" w:cs="Arial"/>
          <w:sz w:val="20"/>
          <w:szCs w:val="20"/>
        </w:rPr>
      </w:pPr>
    </w:p>
    <w:p w14:paraId="30FD2404" w14:textId="77777777" w:rsidR="002B57B9" w:rsidRDefault="002B57B9">
      <w:pPr>
        <w:spacing w:line="240" w:lineRule="auto"/>
        <w:ind w:left="720" w:hanging="720"/>
        <w:jc w:val="both"/>
        <w:rPr>
          <w:rFonts w:ascii="Arial" w:eastAsia="Arial" w:hAnsi="Arial" w:cs="Arial"/>
          <w:sz w:val="20"/>
          <w:szCs w:val="20"/>
        </w:rPr>
      </w:pPr>
    </w:p>
    <w:p w14:paraId="7A5B6964" w14:textId="77777777" w:rsidR="002B57B9" w:rsidRDefault="002B57B9">
      <w:pPr>
        <w:spacing w:line="240" w:lineRule="auto"/>
        <w:ind w:left="720" w:hanging="720"/>
        <w:jc w:val="both"/>
        <w:rPr>
          <w:rFonts w:ascii="Arial" w:eastAsia="Arial" w:hAnsi="Arial" w:cs="Arial"/>
          <w:sz w:val="20"/>
          <w:szCs w:val="20"/>
        </w:rPr>
      </w:pPr>
    </w:p>
    <w:p w14:paraId="1FE72D85" w14:textId="77777777" w:rsidR="002B57B9" w:rsidRDefault="002B57B9">
      <w:pPr>
        <w:spacing w:line="240" w:lineRule="auto"/>
        <w:jc w:val="both"/>
        <w:rPr>
          <w:rFonts w:ascii="Arial" w:eastAsia="Arial" w:hAnsi="Arial" w:cs="Arial"/>
          <w:sz w:val="20"/>
          <w:szCs w:val="20"/>
        </w:rPr>
      </w:pPr>
    </w:p>
    <w:sectPr w:rsidR="002B57B9">
      <w:headerReference w:type="even" r:id="rId64"/>
      <w:headerReference w:type="default" r:id="rId65"/>
      <w:footerReference w:type="even" r:id="rId66"/>
      <w:footerReference w:type="default" r:id="rId67"/>
      <w:headerReference w:type="first" r:id="rId68"/>
      <w:footerReference w:type="first" r:id="rId69"/>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3D4F35" w14:textId="77777777" w:rsidR="00193F43" w:rsidRDefault="00193F43" w:rsidP="00B87D9D">
      <w:pPr>
        <w:spacing w:after="0" w:line="240" w:lineRule="auto"/>
      </w:pPr>
      <w:r>
        <w:separator/>
      </w:r>
    </w:p>
  </w:endnote>
  <w:endnote w:type="continuationSeparator" w:id="0">
    <w:p w14:paraId="0A254831" w14:textId="77777777" w:rsidR="00193F43" w:rsidRDefault="00193F43" w:rsidP="00B87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E0142" w14:textId="77777777" w:rsidR="00B87D9D" w:rsidRDefault="00B87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77155" w14:textId="77777777" w:rsidR="00B87D9D" w:rsidRDefault="00B87D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CC447" w14:textId="77777777" w:rsidR="00B87D9D" w:rsidRDefault="00B87D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BF91D" w14:textId="77777777" w:rsidR="00193F43" w:rsidRDefault="00193F43" w:rsidP="00B87D9D">
      <w:pPr>
        <w:spacing w:after="0" w:line="240" w:lineRule="auto"/>
      </w:pPr>
      <w:r>
        <w:separator/>
      </w:r>
    </w:p>
  </w:footnote>
  <w:footnote w:type="continuationSeparator" w:id="0">
    <w:p w14:paraId="6C4DC073" w14:textId="77777777" w:rsidR="00193F43" w:rsidRDefault="00193F43" w:rsidP="00B87D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7B50F" w14:textId="3107DFF3" w:rsidR="00B87D9D" w:rsidRDefault="00B87D9D">
    <w:pPr>
      <w:pStyle w:val="Header"/>
    </w:pPr>
    <w:r>
      <w:rPr>
        <w:noProof/>
      </w:rPr>
      <w:pict w14:anchorId="7928E5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63831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84C37" w14:textId="017D68B3" w:rsidR="00B87D9D" w:rsidRDefault="00B87D9D">
    <w:pPr>
      <w:pStyle w:val="Header"/>
    </w:pPr>
    <w:r>
      <w:rPr>
        <w:noProof/>
      </w:rPr>
      <w:pict w14:anchorId="3100A9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63831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96060" w14:textId="0B1DAA00" w:rsidR="00B87D9D" w:rsidRDefault="00B87D9D">
    <w:pPr>
      <w:pStyle w:val="Header"/>
    </w:pPr>
    <w:r>
      <w:rPr>
        <w:noProof/>
      </w:rPr>
      <w:pict w14:anchorId="504BE8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63831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7B9"/>
    <w:rsid w:val="00033B9E"/>
    <w:rsid w:val="000673FF"/>
    <w:rsid w:val="000729F5"/>
    <w:rsid w:val="00135D1E"/>
    <w:rsid w:val="001634E5"/>
    <w:rsid w:val="00193F43"/>
    <w:rsid w:val="00204E01"/>
    <w:rsid w:val="00205FBB"/>
    <w:rsid w:val="00244961"/>
    <w:rsid w:val="00262ABA"/>
    <w:rsid w:val="00264C2A"/>
    <w:rsid w:val="0029419B"/>
    <w:rsid w:val="002B57B9"/>
    <w:rsid w:val="002E09D6"/>
    <w:rsid w:val="00397F2E"/>
    <w:rsid w:val="00435028"/>
    <w:rsid w:val="004D468E"/>
    <w:rsid w:val="004F1FEC"/>
    <w:rsid w:val="005F46AC"/>
    <w:rsid w:val="006557AE"/>
    <w:rsid w:val="00682685"/>
    <w:rsid w:val="0069151B"/>
    <w:rsid w:val="006C7245"/>
    <w:rsid w:val="006D1EF9"/>
    <w:rsid w:val="006D2D2A"/>
    <w:rsid w:val="006E607E"/>
    <w:rsid w:val="007112A5"/>
    <w:rsid w:val="0074509A"/>
    <w:rsid w:val="00781CE1"/>
    <w:rsid w:val="007B00C8"/>
    <w:rsid w:val="00811BA7"/>
    <w:rsid w:val="008964FC"/>
    <w:rsid w:val="008D2E7B"/>
    <w:rsid w:val="008D64EF"/>
    <w:rsid w:val="008E4E53"/>
    <w:rsid w:val="008F1291"/>
    <w:rsid w:val="009517D4"/>
    <w:rsid w:val="0095506C"/>
    <w:rsid w:val="00987AF6"/>
    <w:rsid w:val="009B1DEA"/>
    <w:rsid w:val="00A07706"/>
    <w:rsid w:val="00A14195"/>
    <w:rsid w:val="00A53F9C"/>
    <w:rsid w:val="00AB14EE"/>
    <w:rsid w:val="00B513D3"/>
    <w:rsid w:val="00B559CB"/>
    <w:rsid w:val="00B63E65"/>
    <w:rsid w:val="00B72DA4"/>
    <w:rsid w:val="00B74BA6"/>
    <w:rsid w:val="00B85808"/>
    <w:rsid w:val="00B87D9D"/>
    <w:rsid w:val="00B97A50"/>
    <w:rsid w:val="00BB71BE"/>
    <w:rsid w:val="00BF1C8A"/>
    <w:rsid w:val="00C158FE"/>
    <w:rsid w:val="00C23CE3"/>
    <w:rsid w:val="00C56226"/>
    <w:rsid w:val="00C91CA6"/>
    <w:rsid w:val="00D11FE7"/>
    <w:rsid w:val="00D2511A"/>
    <w:rsid w:val="00DA613A"/>
    <w:rsid w:val="00DA64E6"/>
    <w:rsid w:val="00E10562"/>
    <w:rsid w:val="00EE0DA3"/>
    <w:rsid w:val="00EE7206"/>
    <w:rsid w:val="00F13D1D"/>
    <w:rsid w:val="00F2189D"/>
    <w:rsid w:val="00F538F1"/>
    <w:rsid w:val="00F62B3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8A6382F"/>
  <w15:docId w15:val="{0FE8F080-6726-44EA-8FCE-A5619069A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PH" w:eastAsia="en-P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1A16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16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16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pPr>
      <w:spacing w:after="80" w:line="240" w:lineRule="auto"/>
    </w:pPr>
    <w:rPr>
      <w:sz w:val="56"/>
      <w:szCs w:val="56"/>
    </w:rPr>
  </w:style>
  <w:style w:type="character" w:customStyle="1" w:styleId="Heading1Char">
    <w:name w:val="Heading 1 Char"/>
    <w:basedOn w:val="DefaultParagraphFont"/>
    <w:link w:val="Heading1"/>
    <w:uiPriority w:val="9"/>
    <w:rsid w:val="001A16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16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16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16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16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16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16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16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163F"/>
    <w:rPr>
      <w:rFonts w:eastAsiaTheme="majorEastAsia" w:cstheme="majorBidi"/>
      <w:color w:val="272727" w:themeColor="text1" w:themeTint="D8"/>
    </w:rPr>
  </w:style>
  <w:style w:type="character" w:customStyle="1" w:styleId="TitleChar">
    <w:name w:val="Title Char"/>
    <w:basedOn w:val="DefaultParagraphFont"/>
    <w:link w:val="Title"/>
    <w:uiPriority w:val="10"/>
    <w:rsid w:val="001A163F"/>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1A16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163F"/>
    <w:pPr>
      <w:spacing w:before="160"/>
      <w:jc w:val="center"/>
    </w:pPr>
    <w:rPr>
      <w:i/>
      <w:iCs/>
      <w:color w:val="404040" w:themeColor="text1" w:themeTint="BF"/>
    </w:rPr>
  </w:style>
  <w:style w:type="character" w:customStyle="1" w:styleId="QuoteChar">
    <w:name w:val="Quote Char"/>
    <w:basedOn w:val="DefaultParagraphFont"/>
    <w:link w:val="Quote"/>
    <w:uiPriority w:val="29"/>
    <w:rsid w:val="001A163F"/>
    <w:rPr>
      <w:i/>
      <w:iCs/>
      <w:color w:val="404040" w:themeColor="text1" w:themeTint="BF"/>
    </w:rPr>
  </w:style>
  <w:style w:type="paragraph" w:styleId="ListParagraph">
    <w:name w:val="List Paragraph"/>
    <w:basedOn w:val="Normal"/>
    <w:uiPriority w:val="34"/>
    <w:qFormat/>
    <w:rsid w:val="001A163F"/>
    <w:pPr>
      <w:ind w:left="720"/>
      <w:contextualSpacing/>
    </w:pPr>
  </w:style>
  <w:style w:type="character" w:styleId="IntenseEmphasis">
    <w:name w:val="Intense Emphasis"/>
    <w:basedOn w:val="DefaultParagraphFont"/>
    <w:uiPriority w:val="21"/>
    <w:qFormat/>
    <w:rsid w:val="001A163F"/>
    <w:rPr>
      <w:i/>
      <w:iCs/>
      <w:color w:val="2F5496" w:themeColor="accent1" w:themeShade="BF"/>
    </w:rPr>
  </w:style>
  <w:style w:type="paragraph" w:styleId="IntenseQuote">
    <w:name w:val="Intense Quote"/>
    <w:basedOn w:val="Normal"/>
    <w:next w:val="Normal"/>
    <w:link w:val="IntenseQuoteChar"/>
    <w:uiPriority w:val="30"/>
    <w:qFormat/>
    <w:rsid w:val="001A16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163F"/>
    <w:rPr>
      <w:i/>
      <w:iCs/>
      <w:color w:val="2F5496" w:themeColor="accent1" w:themeShade="BF"/>
    </w:rPr>
  </w:style>
  <w:style w:type="character" w:styleId="IntenseReference">
    <w:name w:val="Intense Reference"/>
    <w:basedOn w:val="DefaultParagraphFont"/>
    <w:uiPriority w:val="32"/>
    <w:qFormat/>
    <w:rsid w:val="001A163F"/>
    <w:rPr>
      <w:b/>
      <w:bCs/>
      <w:smallCaps/>
      <w:color w:val="2F5496" w:themeColor="accent1" w:themeShade="BF"/>
      <w:spacing w:val="5"/>
    </w:rPr>
  </w:style>
  <w:style w:type="table" w:styleId="TableGrid">
    <w:name w:val="Table Grid"/>
    <w:basedOn w:val="TableNormal"/>
    <w:uiPriority w:val="39"/>
    <w:rsid w:val="001A16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3707"/>
    <w:rPr>
      <w:color w:val="0563C1" w:themeColor="hyperlink"/>
      <w:u w:val="single"/>
    </w:rPr>
  </w:style>
  <w:style w:type="character" w:customStyle="1" w:styleId="UnresolvedMention1">
    <w:name w:val="Unresolved Mention1"/>
    <w:basedOn w:val="DefaultParagraphFont"/>
    <w:uiPriority w:val="99"/>
    <w:semiHidden/>
    <w:unhideWhenUsed/>
    <w:rsid w:val="00233707"/>
    <w:rPr>
      <w:color w:val="605E5C"/>
      <w:shd w:val="clear" w:color="auto" w:fill="E1DFDD"/>
    </w:rPr>
  </w:style>
  <w:style w:type="paragraph" w:customStyle="1" w:styleId="msonormal0">
    <w:name w:val="msonormal"/>
    <w:basedOn w:val="Normal"/>
    <w:rsid w:val="008E647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0">
    <w:name w:val="TableGrid"/>
    <w:rsid w:val="008E6475"/>
    <w:pPr>
      <w:spacing w:after="0" w:line="240" w:lineRule="auto"/>
    </w:pPr>
    <w:rPr>
      <w:rFonts w:eastAsiaTheme="minorEastAsia"/>
      <w:sz w:val="24"/>
      <w:szCs w:val="24"/>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8E6475"/>
    <w:rPr>
      <w:color w:val="800080"/>
      <w:u w:val="single"/>
    </w:rPr>
  </w:style>
  <w:style w:type="paragraph" w:styleId="NormalWeb">
    <w:name w:val="Normal (Web)"/>
    <w:basedOn w:val="Normal"/>
    <w:uiPriority w:val="99"/>
    <w:unhideWhenUsed/>
    <w:rsid w:val="00DA7B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2D93"/>
    <w:rPr>
      <w:b/>
      <w:bCs/>
    </w:rPr>
  </w:style>
  <w:style w:type="paragraph" w:styleId="BalloonText">
    <w:name w:val="Balloon Text"/>
    <w:basedOn w:val="Normal"/>
    <w:link w:val="BalloonTextChar"/>
    <w:uiPriority w:val="99"/>
    <w:semiHidden/>
    <w:unhideWhenUsed/>
    <w:rsid w:val="00A43D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DB7"/>
    <w:rPr>
      <w:rFonts w:ascii="Tahoma" w:hAnsi="Tahoma" w:cs="Tahoma"/>
      <w:sz w:val="16"/>
      <w:szCs w:val="16"/>
    </w:rPr>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135D1E"/>
    <w:rPr>
      <w:color w:val="605E5C"/>
      <w:shd w:val="clear" w:color="auto" w:fill="E1DFDD"/>
    </w:rPr>
  </w:style>
  <w:style w:type="table" w:customStyle="1" w:styleId="TableGrid1">
    <w:name w:val="Table Grid1"/>
    <w:basedOn w:val="TableNormal"/>
    <w:next w:val="TableGrid"/>
    <w:uiPriority w:val="59"/>
    <w:unhideWhenUsed/>
    <w:rsid w:val="00A07706"/>
    <w:pPr>
      <w:spacing w:after="0" w:line="240" w:lineRule="auto"/>
    </w:pPr>
    <w:rPr>
      <w:rFonts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7D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7D9D"/>
  </w:style>
  <w:style w:type="paragraph" w:styleId="Footer">
    <w:name w:val="footer"/>
    <w:basedOn w:val="Normal"/>
    <w:link w:val="FooterChar"/>
    <w:uiPriority w:val="99"/>
    <w:unhideWhenUsed/>
    <w:rsid w:val="00B87D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7D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386719">
      <w:bodyDiv w:val="1"/>
      <w:marLeft w:val="0"/>
      <w:marRight w:val="0"/>
      <w:marTop w:val="0"/>
      <w:marBottom w:val="0"/>
      <w:divBdr>
        <w:top w:val="none" w:sz="0" w:space="0" w:color="auto"/>
        <w:left w:val="none" w:sz="0" w:space="0" w:color="auto"/>
        <w:bottom w:val="none" w:sz="0" w:space="0" w:color="auto"/>
        <w:right w:val="none" w:sz="0" w:space="0" w:color="auto"/>
      </w:divBdr>
      <w:divsChild>
        <w:div w:id="1698432941">
          <w:marLeft w:val="0"/>
          <w:marRight w:val="0"/>
          <w:marTop w:val="0"/>
          <w:marBottom w:val="0"/>
          <w:divBdr>
            <w:top w:val="none" w:sz="0" w:space="0" w:color="auto"/>
            <w:left w:val="none" w:sz="0" w:space="0" w:color="auto"/>
            <w:bottom w:val="none" w:sz="0" w:space="0" w:color="auto"/>
            <w:right w:val="none" w:sz="0" w:space="0" w:color="auto"/>
          </w:divBdr>
        </w:div>
      </w:divsChild>
    </w:div>
    <w:div w:id="871918757">
      <w:bodyDiv w:val="1"/>
      <w:marLeft w:val="0"/>
      <w:marRight w:val="0"/>
      <w:marTop w:val="0"/>
      <w:marBottom w:val="0"/>
      <w:divBdr>
        <w:top w:val="none" w:sz="0" w:space="0" w:color="auto"/>
        <w:left w:val="none" w:sz="0" w:space="0" w:color="auto"/>
        <w:bottom w:val="none" w:sz="0" w:space="0" w:color="auto"/>
        <w:right w:val="none" w:sz="0" w:space="0" w:color="auto"/>
      </w:divBdr>
      <w:divsChild>
        <w:div w:id="1183469281">
          <w:marLeft w:val="0"/>
          <w:marRight w:val="0"/>
          <w:marTop w:val="0"/>
          <w:marBottom w:val="0"/>
          <w:divBdr>
            <w:top w:val="none" w:sz="0" w:space="0" w:color="auto"/>
            <w:left w:val="none" w:sz="0" w:space="0" w:color="auto"/>
            <w:bottom w:val="none" w:sz="0" w:space="0" w:color="auto"/>
            <w:right w:val="none" w:sz="0" w:space="0" w:color="auto"/>
          </w:divBdr>
        </w:div>
      </w:divsChild>
    </w:div>
    <w:div w:id="1329746206">
      <w:bodyDiv w:val="1"/>
      <w:marLeft w:val="0"/>
      <w:marRight w:val="0"/>
      <w:marTop w:val="0"/>
      <w:marBottom w:val="0"/>
      <w:divBdr>
        <w:top w:val="none" w:sz="0" w:space="0" w:color="auto"/>
        <w:left w:val="none" w:sz="0" w:space="0" w:color="auto"/>
        <w:bottom w:val="none" w:sz="0" w:space="0" w:color="auto"/>
        <w:right w:val="none" w:sz="0" w:space="0" w:color="auto"/>
      </w:divBdr>
      <w:divsChild>
        <w:div w:id="584923219">
          <w:marLeft w:val="-720"/>
          <w:marRight w:val="0"/>
          <w:marTop w:val="0"/>
          <w:marBottom w:val="0"/>
          <w:divBdr>
            <w:top w:val="none" w:sz="0" w:space="0" w:color="auto"/>
            <w:left w:val="none" w:sz="0" w:space="0" w:color="auto"/>
            <w:bottom w:val="none" w:sz="0" w:space="0" w:color="auto"/>
            <w:right w:val="none" w:sz="0" w:space="0" w:color="auto"/>
          </w:divBdr>
        </w:div>
      </w:divsChild>
    </w:div>
    <w:div w:id="1665817904">
      <w:bodyDiv w:val="1"/>
      <w:marLeft w:val="0"/>
      <w:marRight w:val="0"/>
      <w:marTop w:val="0"/>
      <w:marBottom w:val="0"/>
      <w:divBdr>
        <w:top w:val="none" w:sz="0" w:space="0" w:color="auto"/>
        <w:left w:val="none" w:sz="0" w:space="0" w:color="auto"/>
        <w:bottom w:val="none" w:sz="0" w:space="0" w:color="auto"/>
        <w:right w:val="none" w:sz="0" w:space="0" w:color="auto"/>
      </w:divBdr>
      <w:divsChild>
        <w:div w:id="921908630">
          <w:marLeft w:val="-72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jires.org/index.php/issues?view=publication&amp;task=show&amp;id=548" TargetMode="External"/><Relationship Id="rId21" Type="http://schemas.openxmlformats.org/officeDocument/2006/relationships/hyperlink" Target="https://doi.org/10.58811/opsearch.v2i8.69" TargetMode="External"/><Relationship Id="rId42" Type="http://schemas.openxmlformats.org/officeDocument/2006/relationships/hyperlink" Target="https://doi.org/10.16920/jeet/2024/v37is2/24107" TargetMode="External"/><Relationship Id="rId47" Type="http://schemas.openxmlformats.org/officeDocument/2006/relationships/hyperlink" Target="https://doi.org/10.18843/rwjasc/v9i2/24" TargetMode="External"/><Relationship Id="rId63" Type="http://schemas.openxmlformats.org/officeDocument/2006/relationships/hyperlink" Target="https://doi.org/10.54417/jaetm.v3i1.100" TargetMode="External"/><Relationship Id="rId68" Type="http://schemas.openxmlformats.org/officeDocument/2006/relationships/header" Target="header3.xml"/><Relationship Id="rId7" Type="http://schemas.openxmlformats.org/officeDocument/2006/relationships/image" Target="media/image1.png"/><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abs.gov.au/statistics/labour/employment-and-unemployment/labour-force-australia-detailed/latest-release" TargetMode="External"/><Relationship Id="rId29" Type="http://schemas.openxmlformats.org/officeDocument/2006/relationships/hyperlink" Target="https://doi.org/10.21275/sr23726135513" TargetMode="External"/><Relationship Id="rId11" Type="http://schemas.openxmlformats.org/officeDocument/2006/relationships/image" Target="media/image5.png"/><Relationship Id="rId24" Type="http://schemas.openxmlformats.org/officeDocument/2006/relationships/hyperlink" Target="https://books.google.com.ph/books?hl=en&amp;lr=&amp;id=3K7eDwAAQBAJ" TargetMode="External"/><Relationship Id="rId32" Type="http://schemas.openxmlformats.org/officeDocument/2006/relationships/hyperlink" Target="https://doi.org/10.3390/su16051888" TargetMode="External"/><Relationship Id="rId37" Type="http://schemas.openxmlformats.org/officeDocument/2006/relationships/hyperlink" Target="https://www.researchgate.net/publication/343447135_The_Importance_of_Attitude_in_Workplace" TargetMode="External"/><Relationship Id="rId40" Type="http://schemas.openxmlformats.org/officeDocument/2006/relationships/hyperlink" Target="https://doi.org/10.1177/09504222231175413" TargetMode="External"/><Relationship Id="rId45" Type="http://schemas.openxmlformats.org/officeDocument/2006/relationships/hyperlink" Target="https://pidswebs.pids.gov.ph/CDN/PUBLICATIONS/pidsdps2040.pdf" TargetMode="External"/><Relationship Id="rId53" Type="http://schemas.openxmlformats.org/officeDocument/2006/relationships/hyperlink" Target="https://ojs.aaresearchindex.com/index.php/aasgbcpjmra/article/view/14351" TargetMode="External"/><Relationship Id="rId58" Type="http://schemas.openxmlformats.org/officeDocument/2006/relationships/hyperlink" Target="https://doi.org/10.53761/1.17.3.5" TargetMode="External"/><Relationship Id="rId66"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www.researchgate.net/publication/293695540_Developing_upper_primary_students'_21st_century_skills_Inquiry_learning_through_collaborative_teaching_and_Web_20_technology" TargetMode="External"/><Relationship Id="rId19" Type="http://schemas.openxmlformats.org/officeDocument/2006/relationships/hyperlink" Target="https://doi.org/10.54481/intertext.2023.2.08" TargetMode="External"/><Relationship Id="rId14" Type="http://schemas.openxmlformats.org/officeDocument/2006/relationships/hyperlink" Target="https://www.semanticscholar.org/paper/READINESS-OF-TECHNICAL-VOCATIONAL-AND-LIVELIHOOD-OF-Alejandro-Bucad/3a65289ae8de7f5133f85bda7d5d46b8ebfa08f9" TargetMode="External"/><Relationship Id="rId22" Type="http://schemas.openxmlformats.org/officeDocument/2006/relationships/hyperlink" Target="https://doi.org/10.58811/opsearch.v2i8.69" TargetMode="External"/><Relationship Id="rId27" Type="http://schemas.openxmlformats.org/officeDocument/2006/relationships/hyperlink" Target="https://doi.org/10.4195/nse2018.04.0010" TargetMode="External"/><Relationship Id="rId30" Type="http://schemas.openxmlformats.org/officeDocument/2006/relationships/hyperlink" Target="https://doi.org/10.21275/sr23726135513" TargetMode="External"/><Relationship Id="rId35" Type="http://schemas.openxmlformats.org/officeDocument/2006/relationships/hyperlink" Target="https://ejournals.ph/article.php?id=14886" TargetMode="External"/><Relationship Id="rId43" Type="http://schemas.openxmlformats.org/officeDocument/2006/relationships/hyperlink" Target="https://doi.org/10.62025/dwijmh.v3i2.80" TargetMode="External"/><Relationship Id="rId48" Type="http://schemas.openxmlformats.org/officeDocument/2006/relationships/hyperlink" Target="https://scimatic.org/storage/journals/11/pdfs/1689.pdf" TargetMode="External"/><Relationship Id="rId56" Type="http://schemas.openxmlformats.org/officeDocument/2006/relationships/hyperlink" Target="https://doi.org/10.47760/cognizance.2024.v04i03.017" TargetMode="External"/><Relationship Id="rId64" Type="http://schemas.openxmlformats.org/officeDocument/2006/relationships/header" Target="header1.xml"/><Relationship Id="rId69" Type="http://schemas.openxmlformats.org/officeDocument/2006/relationships/footer" Target="footer3.xml"/><Relationship Id="rId8" Type="http://schemas.openxmlformats.org/officeDocument/2006/relationships/image" Target="media/image2.png"/><Relationship Id="rId51" Type="http://schemas.openxmlformats.org/officeDocument/2006/relationships/hyperlink" Target="https://www.semanticscholar.org/paper/Manage-your-team's-collective-time.-Perlow/577ce97c7973d63943e4188a81d7debc3a261b07?fbclid=IwZXh0bgNhZW0CMTEAAR3wbktJB39DFa94KjMN3DV52t19m9qtm9SnFC186OFEGJA7xFyfOfYx-Is_aem_Vg81X1o3tz6YehgQYMc1ug" TargetMode="External"/><Relationship Id="rId3" Type="http://schemas.openxmlformats.org/officeDocument/2006/relationships/settings" Target="settings.xml"/><Relationship Id="rId12" Type="http://schemas.openxmlformats.org/officeDocument/2006/relationships/hyperlink" Target="https://doi.org/10.20525/ijrbs.v10i7.1459" TargetMode="External"/><Relationship Id="rId17" Type="http://schemas.openxmlformats.org/officeDocument/2006/relationships/hyperlink" Target="https://doi.org/10.20319/pijss.2020.62.164176" TargetMode="External"/><Relationship Id="rId25" Type="http://schemas.openxmlformats.org/officeDocument/2006/relationships/hyperlink" Target="https://books.google.com.ph/books?hl=en&amp;lr=&amp;id=3K7eDwAAQBAJ" TargetMode="External"/><Relationship Id="rId33" Type="http://schemas.openxmlformats.org/officeDocument/2006/relationships/hyperlink" Target="https://doi.org/10.3390/su16051888" TargetMode="External"/><Relationship Id="rId38" Type="http://schemas.openxmlformats.org/officeDocument/2006/relationships/hyperlink" Target="https://doi.org/10.9734/ajaees/2020/v38i730377" TargetMode="External"/><Relationship Id="rId46" Type="http://schemas.openxmlformats.org/officeDocument/2006/relationships/hyperlink" Target="https://pidswebs.pids.gov.ph/CDN/PUBLICATIONS/pidsdps2040.pdf" TargetMode="External"/><Relationship Id="rId59" Type="http://schemas.openxmlformats.org/officeDocument/2006/relationships/hyperlink" Target="https://doi.org/10.2139/ssrn.4343683" TargetMode="External"/><Relationship Id="rId67" Type="http://schemas.openxmlformats.org/officeDocument/2006/relationships/footer" Target="footer2.xml"/><Relationship Id="rId20" Type="http://schemas.openxmlformats.org/officeDocument/2006/relationships/hyperlink" Target="https://doi.org/10.2514/6.2020-1772" TargetMode="External"/><Relationship Id="rId41" Type="http://schemas.openxmlformats.org/officeDocument/2006/relationships/hyperlink" Target="https://doi.org/10.16920/jeet/2024/v37is2/24107" TargetMode="External"/><Relationship Id="rId54" Type="http://schemas.openxmlformats.org/officeDocument/2006/relationships/hyperlink" Target="https://www.semanticscholar.org/paper/Enhancing" TargetMode="External"/><Relationship Id="rId62" Type="http://schemas.openxmlformats.org/officeDocument/2006/relationships/hyperlink" Target="https://doi.org/10.16920/jeet/2015/v28i4/70393"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doi.org/10.1093/ajae/aat063" TargetMode="External"/><Relationship Id="rId23" Type="http://schemas.openxmlformats.org/officeDocument/2006/relationships/hyperlink" Target="https://books.google.com.ph/books?hl=en&amp;lr=&amp;id=3K7eDwAAQBAJ" TargetMode="External"/><Relationship Id="rId28" Type="http://schemas.openxmlformats.org/officeDocument/2006/relationships/hyperlink" Target="https://doi.org/10.1007/978-3-030-87624-1_160-1" TargetMode="External"/><Relationship Id="rId36" Type="http://schemas.openxmlformats.org/officeDocument/2006/relationships/hyperlink" Target="https://www.researchgate.net/publication/343447135_The_Importance_of_" TargetMode="External"/><Relationship Id="rId49" Type="http://schemas.openxmlformats.org/officeDocument/2006/relationships/hyperlink" Target="https://scimatic.org/storage/journals/11/pdfs/1689.pdf" TargetMode="External"/><Relationship Id="rId57" Type="http://schemas.openxmlformats.org/officeDocument/2006/relationships/hyperlink" Target="https://doi.org/10.47760/cognizance.2024.v04i03.017" TargetMode="External"/><Relationship Id="rId10" Type="http://schemas.openxmlformats.org/officeDocument/2006/relationships/image" Target="media/image4.png"/><Relationship Id="rId31" Type="http://schemas.openxmlformats.org/officeDocument/2006/relationships/hyperlink" Target="https://doi.org/10.3390/su16051888" TargetMode="External"/><Relationship Id="rId44" Type="http://schemas.openxmlformats.org/officeDocument/2006/relationships/hyperlink" Target="https://doi.org/10.37134/ajatel.vol11.1.1.2021" TargetMode="External"/><Relationship Id="rId52" Type="http://schemas.openxmlformats.org/officeDocument/2006/relationships/hyperlink" Target="https://ojs.aaresearchindex.com/index.php/aasgbcpjmra/article/view/14351" TargetMode="External"/><Relationship Id="rId60" Type="http://schemas.openxmlformats.org/officeDocument/2006/relationships/hyperlink" Target="https://www.researchgate.net/publication/293695540_Developing_upper_pri%20" TargetMode="External"/><Relationship Id="rId65"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hyperlink" Target="https://www.semanticscholar.org/paper/READINESS" TargetMode="External"/><Relationship Id="rId18" Type="http://schemas.openxmlformats.org/officeDocument/2006/relationships/hyperlink" Target="https://ojs.aaresearchindex.com/index.php/aasgbcpjmra/article/view/12867" TargetMode="External"/><Relationship Id="rId39" Type="http://schemas.openxmlformats.org/officeDocument/2006/relationships/hyperlink" Target="https://doi.org/10.9734/ajaees/2020/v38i730377" TargetMode="External"/><Relationship Id="rId34" Type="http://schemas.openxmlformats.org/officeDocument/2006/relationships/hyperlink" Target="https://ejournals.ph/article.php?id=14886" TargetMode="External"/><Relationship Id="rId50" Type="http://schemas.openxmlformats.org/officeDocument/2006/relationships/hyperlink" Target="https://www.semanticscholar.org/paper/Manage" TargetMode="External"/><Relationship Id="rId55" Type="http://schemas.openxmlformats.org/officeDocument/2006/relationships/hyperlink" Target="https://www.semanticscholar.org/paper/Enhancing-the-image-and-attractiveness-of-TVET-Ratnata/f7497b6b969f116de0fa972514438c263d764d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fE9ipvk3nICFEIsrTbt9gNQVlQ==">CgMxLjA4AHIhMXNxbnY2WHdyNWlicXB0YmpkNEhoQ0Jsb0ZxMWNxM1Jx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20</Pages>
  <Words>9189</Words>
  <Characters>52380</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DIMPAL Gerald M.</dc:creator>
  <cp:lastModifiedBy>SDI 1084</cp:lastModifiedBy>
  <cp:revision>24</cp:revision>
  <dcterms:created xsi:type="dcterms:W3CDTF">2025-07-11T09:26:00Z</dcterms:created>
  <dcterms:modified xsi:type="dcterms:W3CDTF">2025-07-24T13:57:00Z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a75da92f-5340-4254-afd0-a0883c76294d</vt:lpwstr>
  </property>
</Properties>
</file>