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635B5" w14:textId="60EAC740" w:rsidR="00452272" w:rsidRDefault="00DF7AF7" w:rsidP="00DF7AF7">
      <w:pPr>
        <w:pStyle w:val="Heading1"/>
        <w:spacing w:before="315"/>
        <w:ind w:left="46"/>
        <w:jc w:val="center"/>
        <w:rPr>
          <w:rFonts w:ascii="Times New Roman" w:hAnsi="Times New Roman" w:cs="Times New Roman"/>
          <w:sz w:val="28"/>
          <w:szCs w:val="28"/>
        </w:rPr>
      </w:pPr>
      <w:r w:rsidRPr="00DF7AF7">
        <w:rPr>
          <w:rFonts w:ascii="Times New Roman" w:hAnsi="Times New Roman" w:cs="Times New Roman"/>
          <w:sz w:val="28"/>
          <w:szCs w:val="28"/>
        </w:rPr>
        <w:t>AMELIORATIVE EFFECTS OF JIGSIMUR ON PARAQUAT-INDUCED NEPHROTOXICITY IN WISTAR R</w:t>
      </w:r>
      <w:r w:rsidR="003B001F">
        <w:rPr>
          <w:rFonts w:ascii="Times New Roman" w:hAnsi="Times New Roman" w:cs="Times New Roman"/>
          <w:sz w:val="28"/>
          <w:szCs w:val="28"/>
        </w:rPr>
        <w:t>ATS</w:t>
      </w:r>
    </w:p>
    <w:p w14:paraId="2407741D" w14:textId="4CFE3867" w:rsidR="00DF7AF7" w:rsidRDefault="00DF7AF7" w:rsidP="00DF7AF7">
      <w:pPr>
        <w:pStyle w:val="Heading1"/>
        <w:spacing w:before="315"/>
        <w:ind w:left="46"/>
        <w:rPr>
          <w:rFonts w:ascii="Times New Roman" w:hAnsi="Times New Roman" w:cs="Times New Roman"/>
          <w:sz w:val="28"/>
          <w:szCs w:val="28"/>
        </w:rPr>
      </w:pPr>
    </w:p>
    <w:p w14:paraId="71ABD057" w14:textId="2302F6D1" w:rsidR="00C641B4" w:rsidRPr="00B01EF8" w:rsidRDefault="00452272" w:rsidP="00B01EF8">
      <w:pPr>
        <w:spacing w:before="120" w:line="480" w:lineRule="auto"/>
        <w:ind w:left="196"/>
        <w:rPr>
          <w:rFonts w:ascii="Times New Roman" w:hAnsi="Times New Roman" w:cs="Times New Roman"/>
          <w:b/>
          <w:sz w:val="24"/>
          <w:szCs w:val="24"/>
        </w:rPr>
      </w:pPr>
      <w:r w:rsidRPr="00EC783D">
        <w:rPr>
          <w:rFonts w:ascii="Times New Roman" w:hAnsi="Times New Roman" w:cs="Times New Roman"/>
          <w:b/>
          <w:spacing w:val="-2"/>
          <w:sz w:val="24"/>
          <w:szCs w:val="24"/>
        </w:rPr>
        <w:t>Abstract</w:t>
      </w:r>
    </w:p>
    <w:p w14:paraId="4485426C" w14:textId="58A2F62F" w:rsidR="00D64E49" w:rsidRPr="00EC783D" w:rsidRDefault="00D64E49" w:rsidP="00EC783D">
      <w:pPr>
        <w:spacing w:before="15" w:line="480" w:lineRule="auto"/>
        <w:ind w:left="192"/>
        <w:jc w:val="both"/>
        <w:rPr>
          <w:rFonts w:ascii="Times New Roman" w:hAnsi="Times New Roman" w:cs="Times New Roman"/>
          <w:sz w:val="24"/>
          <w:szCs w:val="24"/>
        </w:rPr>
      </w:pPr>
      <w:r w:rsidRPr="00EC783D">
        <w:rPr>
          <w:rFonts w:ascii="Times New Roman" w:hAnsi="Times New Roman" w:cs="Times New Roman"/>
          <w:b/>
          <w:sz w:val="24"/>
          <w:szCs w:val="24"/>
        </w:rPr>
        <w:t>Introduction</w:t>
      </w:r>
      <w:r w:rsidRPr="00EC783D">
        <w:rPr>
          <w:rFonts w:ascii="Times New Roman" w:hAnsi="Times New Roman" w:cs="Times New Roman"/>
          <w:sz w:val="24"/>
          <w:szCs w:val="24"/>
        </w:rPr>
        <w:t xml:space="preserve">: </w:t>
      </w:r>
      <w:r w:rsidR="00C641B4" w:rsidRPr="00EC783D">
        <w:rPr>
          <w:rFonts w:ascii="Times New Roman" w:hAnsi="Times New Roman" w:cs="Times New Roman"/>
          <w:sz w:val="24"/>
          <w:szCs w:val="24"/>
        </w:rPr>
        <w:t xml:space="preserve">Paraquat, a widely used herbicide, induces nephrotoxicity primarily through oxidative stress and inflammation. This study evaluated the </w:t>
      </w:r>
      <w:proofErr w:type="spellStart"/>
      <w:r w:rsidR="00C641B4" w:rsidRPr="00EC783D">
        <w:rPr>
          <w:rFonts w:ascii="Times New Roman" w:hAnsi="Times New Roman" w:cs="Times New Roman"/>
          <w:sz w:val="24"/>
          <w:szCs w:val="24"/>
        </w:rPr>
        <w:t>renoameliorative</w:t>
      </w:r>
      <w:proofErr w:type="spellEnd"/>
      <w:r w:rsidR="00C641B4" w:rsidRPr="00EC783D">
        <w:rPr>
          <w:rFonts w:ascii="Times New Roman" w:hAnsi="Times New Roman" w:cs="Times New Roman"/>
          <w:sz w:val="24"/>
          <w:szCs w:val="24"/>
        </w:rPr>
        <w:t xml:space="preserve"> effects of </w:t>
      </w:r>
      <w:proofErr w:type="spellStart"/>
      <w:r w:rsidR="00C641B4" w:rsidRPr="00EC783D">
        <w:rPr>
          <w:rFonts w:ascii="Times New Roman" w:hAnsi="Times New Roman" w:cs="Times New Roman"/>
          <w:sz w:val="24"/>
          <w:szCs w:val="24"/>
        </w:rPr>
        <w:t>Jigsimur</w:t>
      </w:r>
      <w:proofErr w:type="spellEnd"/>
      <w:r w:rsidR="00C641B4" w:rsidRPr="00EC783D">
        <w:rPr>
          <w:rFonts w:ascii="Times New Roman" w:hAnsi="Times New Roman" w:cs="Times New Roman"/>
          <w:sz w:val="24"/>
          <w:szCs w:val="24"/>
        </w:rPr>
        <w:t xml:space="preserve"> (</w:t>
      </w:r>
      <w:proofErr w:type="gramStart"/>
      <w:r w:rsidR="00C641B4" w:rsidRPr="00EC783D">
        <w:rPr>
          <w:rFonts w:ascii="Times New Roman" w:hAnsi="Times New Roman" w:cs="Times New Roman"/>
          <w:sz w:val="24"/>
          <w:szCs w:val="24"/>
        </w:rPr>
        <w:t>a</w:t>
      </w:r>
      <w:proofErr w:type="gramEnd"/>
      <w:r w:rsidR="00C641B4" w:rsidRPr="00EC783D">
        <w:rPr>
          <w:rFonts w:ascii="Times New Roman" w:hAnsi="Times New Roman" w:cs="Times New Roman"/>
          <w:sz w:val="24"/>
          <w:szCs w:val="24"/>
        </w:rPr>
        <w:t xml:space="preserve"> herbal drink made from </w:t>
      </w:r>
      <w:r w:rsidR="00C641B4" w:rsidRPr="00EC783D">
        <w:rPr>
          <w:rFonts w:ascii="Times New Roman" w:hAnsi="Times New Roman" w:cs="Times New Roman"/>
          <w:i/>
          <w:sz w:val="24"/>
          <w:szCs w:val="24"/>
        </w:rPr>
        <w:t>Aloe ferox</w:t>
      </w:r>
      <w:r w:rsidR="00C641B4" w:rsidRPr="00EC783D">
        <w:rPr>
          <w:rFonts w:ascii="Times New Roman" w:hAnsi="Times New Roman" w:cs="Times New Roman"/>
          <w:sz w:val="24"/>
          <w:szCs w:val="24"/>
        </w:rPr>
        <w:t xml:space="preserve"> sap), in paraquat-induced nephrotoxicity in rats. </w:t>
      </w:r>
    </w:p>
    <w:p w14:paraId="3610F238" w14:textId="1294A62D" w:rsidR="00D64E49" w:rsidRPr="00EC783D" w:rsidRDefault="00D64E49" w:rsidP="00EC783D">
      <w:pPr>
        <w:spacing w:before="15" w:line="480" w:lineRule="auto"/>
        <w:ind w:left="192"/>
        <w:jc w:val="both"/>
        <w:rPr>
          <w:rFonts w:ascii="Times New Roman" w:hAnsi="Times New Roman" w:cs="Times New Roman"/>
          <w:sz w:val="24"/>
          <w:szCs w:val="24"/>
        </w:rPr>
      </w:pPr>
      <w:r w:rsidRPr="00EC783D">
        <w:rPr>
          <w:rFonts w:ascii="Times New Roman" w:hAnsi="Times New Roman" w:cs="Times New Roman"/>
          <w:b/>
          <w:sz w:val="24"/>
          <w:szCs w:val="24"/>
        </w:rPr>
        <w:t>Methodology</w:t>
      </w:r>
      <w:r w:rsidRPr="00EC783D">
        <w:rPr>
          <w:rFonts w:ascii="Times New Roman" w:hAnsi="Times New Roman" w:cs="Times New Roman"/>
          <w:sz w:val="24"/>
          <w:szCs w:val="24"/>
        </w:rPr>
        <w:t xml:space="preserve">: </w:t>
      </w:r>
      <w:r w:rsidR="00C641B4" w:rsidRPr="00EC783D">
        <w:rPr>
          <w:rFonts w:ascii="Times New Roman" w:hAnsi="Times New Roman" w:cs="Times New Roman"/>
          <w:sz w:val="24"/>
          <w:szCs w:val="24"/>
        </w:rPr>
        <w:t>Thirty adult Wistar rats (100–130 g) were divided into five</w:t>
      </w:r>
      <w:r w:rsidR="008163B6" w:rsidRPr="00EC783D">
        <w:rPr>
          <w:rFonts w:ascii="Times New Roman" w:hAnsi="Times New Roman" w:cs="Times New Roman"/>
          <w:sz w:val="24"/>
          <w:szCs w:val="24"/>
        </w:rPr>
        <w:t xml:space="preserve"> groups (n=6). Group A</w:t>
      </w:r>
      <w:r w:rsidR="00D6552F" w:rsidRPr="00EC783D">
        <w:rPr>
          <w:rFonts w:ascii="Times New Roman" w:hAnsi="Times New Roman" w:cs="Times New Roman"/>
          <w:sz w:val="24"/>
          <w:szCs w:val="24"/>
        </w:rPr>
        <w:t xml:space="preserve"> (negative</w:t>
      </w:r>
      <w:r w:rsidR="00C641B4" w:rsidRPr="00EC783D">
        <w:rPr>
          <w:rFonts w:ascii="Times New Roman" w:hAnsi="Times New Roman" w:cs="Times New Roman"/>
          <w:sz w:val="24"/>
          <w:szCs w:val="24"/>
        </w:rPr>
        <w:t xml:space="preserve"> control) received food and water only, wh</w:t>
      </w:r>
      <w:r w:rsidR="008163B6" w:rsidRPr="00EC783D">
        <w:rPr>
          <w:rFonts w:ascii="Times New Roman" w:hAnsi="Times New Roman" w:cs="Times New Roman"/>
          <w:sz w:val="24"/>
          <w:szCs w:val="24"/>
        </w:rPr>
        <w:t>ile Group B</w:t>
      </w:r>
      <w:r w:rsidR="00D6552F" w:rsidRPr="00EC783D">
        <w:rPr>
          <w:rFonts w:ascii="Times New Roman" w:hAnsi="Times New Roman" w:cs="Times New Roman"/>
          <w:sz w:val="24"/>
          <w:szCs w:val="24"/>
        </w:rPr>
        <w:t xml:space="preserve"> (positive</w:t>
      </w:r>
      <w:r w:rsidR="00C641B4" w:rsidRPr="00EC783D">
        <w:rPr>
          <w:rFonts w:ascii="Times New Roman" w:hAnsi="Times New Roman" w:cs="Times New Roman"/>
          <w:sz w:val="24"/>
          <w:szCs w:val="24"/>
        </w:rPr>
        <w:t xml:space="preserve"> control) was administered </w:t>
      </w:r>
      <w:r w:rsidR="00D6552F" w:rsidRPr="00EC783D">
        <w:rPr>
          <w:rFonts w:ascii="Times New Roman" w:hAnsi="Times New Roman" w:cs="Times New Roman"/>
          <w:sz w:val="24"/>
          <w:szCs w:val="24"/>
        </w:rPr>
        <w:t xml:space="preserve">20 mg/kg of </w:t>
      </w:r>
      <w:r w:rsidR="00C641B4" w:rsidRPr="00EC783D">
        <w:rPr>
          <w:rFonts w:ascii="Times New Roman" w:hAnsi="Times New Roman" w:cs="Times New Roman"/>
          <w:sz w:val="24"/>
          <w:szCs w:val="24"/>
        </w:rPr>
        <w:t>para</w:t>
      </w:r>
      <w:r w:rsidR="008163B6" w:rsidRPr="00EC783D">
        <w:rPr>
          <w:rFonts w:ascii="Times New Roman" w:hAnsi="Times New Roman" w:cs="Times New Roman"/>
          <w:sz w:val="24"/>
          <w:szCs w:val="24"/>
        </w:rPr>
        <w:t>quat without treatment. Groups C</w:t>
      </w:r>
      <w:r w:rsidR="00152E2A">
        <w:rPr>
          <w:rFonts w:ascii="Times New Roman" w:hAnsi="Times New Roman" w:cs="Times New Roman"/>
          <w:sz w:val="24"/>
          <w:szCs w:val="24"/>
        </w:rPr>
        <w:t xml:space="preserve"> received 200 mg/kg of </w:t>
      </w:r>
      <w:proofErr w:type="spellStart"/>
      <w:r w:rsidR="00152E2A">
        <w:rPr>
          <w:rFonts w:ascii="Times New Roman" w:hAnsi="Times New Roman" w:cs="Times New Roman"/>
          <w:sz w:val="24"/>
          <w:szCs w:val="24"/>
        </w:rPr>
        <w:t>Jigsimur</w:t>
      </w:r>
      <w:proofErr w:type="spellEnd"/>
      <w:r w:rsidR="00152E2A">
        <w:rPr>
          <w:rFonts w:ascii="Times New Roman" w:hAnsi="Times New Roman" w:cs="Times New Roman"/>
          <w:sz w:val="24"/>
          <w:szCs w:val="24"/>
        </w:rPr>
        <w:t xml:space="preserve"> while groups D and</w:t>
      </w:r>
      <w:r w:rsidR="008163B6" w:rsidRPr="00EC783D">
        <w:rPr>
          <w:rFonts w:ascii="Times New Roman" w:hAnsi="Times New Roman" w:cs="Times New Roman"/>
          <w:sz w:val="24"/>
          <w:szCs w:val="24"/>
        </w:rPr>
        <w:t xml:space="preserve"> E</w:t>
      </w:r>
      <w:r w:rsidR="00C641B4" w:rsidRPr="00EC783D">
        <w:rPr>
          <w:rFonts w:ascii="Times New Roman" w:hAnsi="Times New Roman" w:cs="Times New Roman"/>
          <w:sz w:val="24"/>
          <w:szCs w:val="24"/>
        </w:rPr>
        <w:t xml:space="preserve"> were induced with 20 mg/kg paraquat and subsequently tre</w:t>
      </w:r>
      <w:r w:rsidR="00152E2A">
        <w:rPr>
          <w:rFonts w:ascii="Times New Roman" w:hAnsi="Times New Roman" w:cs="Times New Roman"/>
          <w:sz w:val="24"/>
          <w:szCs w:val="24"/>
        </w:rPr>
        <w:t xml:space="preserve">ated with </w:t>
      </w:r>
      <w:proofErr w:type="spellStart"/>
      <w:r w:rsidR="00152E2A">
        <w:rPr>
          <w:rFonts w:ascii="Times New Roman" w:hAnsi="Times New Roman" w:cs="Times New Roman"/>
          <w:sz w:val="24"/>
          <w:szCs w:val="24"/>
        </w:rPr>
        <w:t>Jigsimur</w:t>
      </w:r>
      <w:proofErr w:type="spellEnd"/>
      <w:r w:rsidR="00152E2A">
        <w:rPr>
          <w:rFonts w:ascii="Times New Roman" w:hAnsi="Times New Roman" w:cs="Times New Roman"/>
          <w:sz w:val="24"/>
          <w:szCs w:val="24"/>
        </w:rPr>
        <w:t xml:space="preserve"> at 200 mg/kg and 400 mg/kg </w:t>
      </w:r>
      <w:r w:rsidR="00D6552F" w:rsidRPr="00EC783D">
        <w:rPr>
          <w:rFonts w:ascii="Times New Roman" w:hAnsi="Times New Roman" w:cs="Times New Roman"/>
          <w:sz w:val="24"/>
          <w:szCs w:val="24"/>
        </w:rPr>
        <w:t>respectively.</w:t>
      </w:r>
      <w:r w:rsidR="00C641B4" w:rsidRPr="00EC783D">
        <w:rPr>
          <w:rFonts w:ascii="Times New Roman" w:hAnsi="Times New Roman" w:cs="Times New Roman"/>
          <w:sz w:val="24"/>
          <w:szCs w:val="24"/>
        </w:rPr>
        <w:t xml:space="preserve"> </w:t>
      </w:r>
      <w:r w:rsidR="00D6552F" w:rsidRPr="00EC783D">
        <w:rPr>
          <w:rFonts w:ascii="Times New Roman" w:hAnsi="Times New Roman" w:cs="Times New Roman"/>
          <w:sz w:val="24"/>
          <w:szCs w:val="24"/>
        </w:rPr>
        <w:t xml:space="preserve">Paraquat administration was ones a day for two weeks while extract administration lasted for four weeks via oral gavage. </w:t>
      </w:r>
      <w:r w:rsidR="00C641B4" w:rsidRPr="00EC783D">
        <w:rPr>
          <w:rFonts w:ascii="Times New Roman" w:hAnsi="Times New Roman" w:cs="Times New Roman"/>
          <w:sz w:val="24"/>
          <w:szCs w:val="24"/>
        </w:rPr>
        <w:t xml:space="preserve">Following the treatment period, blood was collected via ocular puncture for biochemical </w:t>
      </w:r>
      <w:r w:rsidRPr="00EC783D">
        <w:rPr>
          <w:rFonts w:ascii="Times New Roman" w:hAnsi="Times New Roman" w:cs="Times New Roman"/>
          <w:sz w:val="24"/>
          <w:szCs w:val="24"/>
        </w:rPr>
        <w:t xml:space="preserve">(serum urea, uric acid, and creatinine) </w:t>
      </w:r>
      <w:r w:rsidR="00C641B4" w:rsidRPr="00EC783D">
        <w:rPr>
          <w:rFonts w:ascii="Times New Roman" w:hAnsi="Times New Roman" w:cs="Times New Roman"/>
          <w:sz w:val="24"/>
          <w:szCs w:val="24"/>
        </w:rPr>
        <w:t xml:space="preserve">analysis, and kidneys were harvested and fixed in 10% formal saline for histological evaluation. </w:t>
      </w:r>
    </w:p>
    <w:p w14:paraId="683B81AC" w14:textId="6E5D40A7" w:rsidR="00D64E49" w:rsidRPr="00EC783D" w:rsidRDefault="00D64E49" w:rsidP="00EC783D">
      <w:pPr>
        <w:spacing w:before="15" w:line="480" w:lineRule="auto"/>
        <w:ind w:left="192"/>
        <w:jc w:val="both"/>
        <w:rPr>
          <w:rFonts w:ascii="Times New Roman" w:hAnsi="Times New Roman" w:cs="Times New Roman"/>
          <w:sz w:val="24"/>
          <w:szCs w:val="24"/>
        </w:rPr>
      </w:pPr>
      <w:r w:rsidRPr="00EC783D">
        <w:rPr>
          <w:rFonts w:ascii="Times New Roman" w:hAnsi="Times New Roman" w:cs="Times New Roman"/>
          <w:b/>
          <w:sz w:val="24"/>
          <w:szCs w:val="24"/>
        </w:rPr>
        <w:t>Results</w:t>
      </w:r>
      <w:r w:rsidRPr="00EC783D">
        <w:rPr>
          <w:rFonts w:ascii="Times New Roman" w:hAnsi="Times New Roman" w:cs="Times New Roman"/>
          <w:sz w:val="24"/>
          <w:szCs w:val="24"/>
        </w:rPr>
        <w:t xml:space="preserve">: </w:t>
      </w:r>
      <w:r w:rsidR="00C641B4" w:rsidRPr="00EC783D">
        <w:rPr>
          <w:rFonts w:ascii="Times New Roman" w:hAnsi="Times New Roman" w:cs="Times New Roman"/>
          <w:sz w:val="24"/>
          <w:szCs w:val="24"/>
        </w:rPr>
        <w:t xml:space="preserve">Paraquat exposure significantly increased serum urea, uric acid, and creatinine levels, indicating renal impairment. Treatment with </w:t>
      </w:r>
      <w:proofErr w:type="spellStart"/>
      <w:r w:rsidR="00C641B4" w:rsidRPr="00EC783D">
        <w:rPr>
          <w:rFonts w:ascii="Times New Roman" w:hAnsi="Times New Roman" w:cs="Times New Roman"/>
          <w:sz w:val="24"/>
          <w:szCs w:val="24"/>
        </w:rPr>
        <w:t>Jigsimur</w:t>
      </w:r>
      <w:proofErr w:type="spellEnd"/>
      <w:r w:rsidR="00C641B4" w:rsidRPr="00EC783D">
        <w:rPr>
          <w:rFonts w:ascii="Times New Roman" w:hAnsi="Times New Roman" w:cs="Times New Roman"/>
          <w:sz w:val="24"/>
          <w:szCs w:val="24"/>
        </w:rPr>
        <w:t xml:space="preserve"> attenuated these elevations, with notable reductions in uric acid</w:t>
      </w:r>
      <w:r w:rsidR="00152E2A">
        <w:rPr>
          <w:rFonts w:ascii="Times New Roman" w:hAnsi="Times New Roman" w:cs="Times New Roman"/>
          <w:sz w:val="24"/>
          <w:szCs w:val="24"/>
        </w:rPr>
        <w:t>, urea</w:t>
      </w:r>
      <w:r w:rsidR="00C641B4" w:rsidRPr="00EC783D">
        <w:rPr>
          <w:rFonts w:ascii="Times New Roman" w:hAnsi="Times New Roman" w:cs="Times New Roman"/>
          <w:sz w:val="24"/>
          <w:szCs w:val="24"/>
        </w:rPr>
        <w:t xml:space="preserve"> and creatinine levels</w:t>
      </w:r>
      <w:r w:rsidR="00152E2A">
        <w:rPr>
          <w:rFonts w:ascii="Times New Roman" w:hAnsi="Times New Roman" w:cs="Times New Roman"/>
          <w:sz w:val="24"/>
          <w:szCs w:val="24"/>
        </w:rPr>
        <w:t xml:space="preserve"> (p &lt; 0.05)</w:t>
      </w:r>
      <w:r w:rsidR="00C641B4" w:rsidRPr="00EC783D">
        <w:rPr>
          <w:rFonts w:ascii="Times New Roman" w:hAnsi="Times New Roman" w:cs="Times New Roman"/>
          <w:sz w:val="24"/>
          <w:szCs w:val="24"/>
        </w:rPr>
        <w:t xml:space="preserve">. Histological analysis showed severe renal degeneration in paraquat-only rats, while </w:t>
      </w:r>
      <w:proofErr w:type="spellStart"/>
      <w:r w:rsidR="00C641B4" w:rsidRPr="00EC783D">
        <w:rPr>
          <w:rFonts w:ascii="Times New Roman" w:hAnsi="Times New Roman" w:cs="Times New Roman"/>
          <w:sz w:val="24"/>
          <w:szCs w:val="24"/>
        </w:rPr>
        <w:t>Jigsimur</w:t>
      </w:r>
      <w:proofErr w:type="spellEnd"/>
      <w:r w:rsidR="00C641B4" w:rsidRPr="00EC783D">
        <w:rPr>
          <w:rFonts w:ascii="Times New Roman" w:hAnsi="Times New Roman" w:cs="Times New Roman"/>
          <w:sz w:val="24"/>
          <w:szCs w:val="24"/>
        </w:rPr>
        <w:t xml:space="preserve">-treated groups exhibited milder changes, supporting its </w:t>
      </w:r>
      <w:proofErr w:type="spellStart"/>
      <w:r w:rsidR="00C641B4" w:rsidRPr="00EC783D">
        <w:rPr>
          <w:rFonts w:ascii="Times New Roman" w:hAnsi="Times New Roman" w:cs="Times New Roman"/>
          <w:sz w:val="24"/>
          <w:szCs w:val="24"/>
        </w:rPr>
        <w:t>renoprotective</w:t>
      </w:r>
      <w:proofErr w:type="spellEnd"/>
      <w:r w:rsidR="00C641B4" w:rsidRPr="00EC783D">
        <w:rPr>
          <w:rFonts w:ascii="Times New Roman" w:hAnsi="Times New Roman" w:cs="Times New Roman"/>
          <w:sz w:val="24"/>
          <w:szCs w:val="24"/>
        </w:rPr>
        <w:t xml:space="preserve"> effect. Additionally, treated groups showed improved body weight compared to the untreated paraquat group. </w:t>
      </w:r>
    </w:p>
    <w:p w14:paraId="15069EA5" w14:textId="2C499B1D" w:rsidR="00C641B4" w:rsidRPr="00EC783D" w:rsidRDefault="00D64E49" w:rsidP="00EC783D">
      <w:pPr>
        <w:spacing w:before="15" w:line="480" w:lineRule="auto"/>
        <w:ind w:left="192"/>
        <w:jc w:val="both"/>
        <w:rPr>
          <w:rFonts w:ascii="Times New Roman" w:hAnsi="Times New Roman" w:cs="Times New Roman"/>
          <w:sz w:val="24"/>
          <w:szCs w:val="24"/>
        </w:rPr>
      </w:pPr>
      <w:r w:rsidRPr="00EC783D">
        <w:rPr>
          <w:rFonts w:ascii="Times New Roman" w:hAnsi="Times New Roman" w:cs="Times New Roman"/>
          <w:b/>
          <w:sz w:val="24"/>
          <w:szCs w:val="24"/>
        </w:rPr>
        <w:t>Conclusion</w:t>
      </w:r>
      <w:r w:rsidRPr="00EC783D">
        <w:rPr>
          <w:rFonts w:ascii="Times New Roman" w:hAnsi="Times New Roman" w:cs="Times New Roman"/>
          <w:sz w:val="24"/>
          <w:szCs w:val="24"/>
        </w:rPr>
        <w:t xml:space="preserve">: </w:t>
      </w:r>
      <w:r w:rsidR="00C641B4" w:rsidRPr="00EC783D">
        <w:rPr>
          <w:rFonts w:ascii="Times New Roman" w:hAnsi="Times New Roman" w:cs="Times New Roman"/>
          <w:sz w:val="24"/>
          <w:szCs w:val="24"/>
        </w:rPr>
        <w:t xml:space="preserve">These findings suggest that </w:t>
      </w:r>
      <w:proofErr w:type="spellStart"/>
      <w:r w:rsidR="00C641B4" w:rsidRPr="00EC783D">
        <w:rPr>
          <w:rFonts w:ascii="Times New Roman" w:hAnsi="Times New Roman" w:cs="Times New Roman"/>
          <w:sz w:val="24"/>
          <w:szCs w:val="24"/>
        </w:rPr>
        <w:t>Jigsimur</w:t>
      </w:r>
      <w:proofErr w:type="spellEnd"/>
      <w:r w:rsidR="00C641B4" w:rsidRPr="00EC783D">
        <w:rPr>
          <w:rFonts w:ascii="Times New Roman" w:hAnsi="Times New Roman" w:cs="Times New Roman"/>
          <w:sz w:val="24"/>
          <w:szCs w:val="24"/>
        </w:rPr>
        <w:t xml:space="preserve"> herbal mixture has potential as a natural therapeutic agent against pesticide-induced nephrotoxicity by mitigating biochemical and histopathological renal damage.</w:t>
      </w:r>
    </w:p>
    <w:p w14:paraId="20BA5FBD" w14:textId="77777777" w:rsidR="00C641B4" w:rsidRPr="00EC783D" w:rsidRDefault="00C641B4" w:rsidP="00EC783D">
      <w:pPr>
        <w:spacing w:before="15" w:line="480" w:lineRule="auto"/>
        <w:ind w:left="192"/>
        <w:jc w:val="both"/>
        <w:rPr>
          <w:rFonts w:ascii="Times New Roman" w:hAnsi="Times New Roman" w:cs="Times New Roman"/>
          <w:sz w:val="24"/>
          <w:szCs w:val="24"/>
        </w:rPr>
      </w:pPr>
    </w:p>
    <w:p w14:paraId="7604C336" w14:textId="6A81F11B" w:rsidR="00D6552F" w:rsidRDefault="00452272" w:rsidP="00EC783D">
      <w:pPr>
        <w:spacing w:before="15" w:line="480" w:lineRule="auto"/>
        <w:ind w:left="192"/>
        <w:jc w:val="both"/>
        <w:rPr>
          <w:rFonts w:ascii="Times New Roman" w:hAnsi="Times New Roman" w:cs="Times New Roman"/>
          <w:sz w:val="24"/>
          <w:szCs w:val="24"/>
        </w:rPr>
      </w:pPr>
      <w:r w:rsidRPr="00EC783D">
        <w:rPr>
          <w:rFonts w:ascii="Times New Roman" w:hAnsi="Times New Roman" w:cs="Times New Roman"/>
          <w:sz w:val="24"/>
          <w:szCs w:val="24"/>
        </w:rPr>
        <w:lastRenderedPageBreak/>
        <w:t xml:space="preserve">Keywords: Paraquat, nephrotoxicity, </w:t>
      </w:r>
      <w:proofErr w:type="spellStart"/>
      <w:r w:rsidRPr="00EC783D">
        <w:rPr>
          <w:rFonts w:ascii="Times New Roman" w:hAnsi="Times New Roman" w:cs="Times New Roman"/>
          <w:sz w:val="24"/>
          <w:szCs w:val="24"/>
        </w:rPr>
        <w:t>Jigsimu</w:t>
      </w:r>
      <w:r w:rsidR="00D6552F" w:rsidRPr="00EC783D">
        <w:rPr>
          <w:rFonts w:ascii="Times New Roman" w:hAnsi="Times New Roman" w:cs="Times New Roman"/>
          <w:sz w:val="24"/>
          <w:szCs w:val="24"/>
        </w:rPr>
        <w:t>r</w:t>
      </w:r>
      <w:proofErr w:type="spellEnd"/>
      <w:r w:rsidR="00D6552F" w:rsidRPr="00EC783D">
        <w:rPr>
          <w:rFonts w:ascii="Times New Roman" w:hAnsi="Times New Roman" w:cs="Times New Roman"/>
          <w:sz w:val="24"/>
          <w:szCs w:val="24"/>
        </w:rPr>
        <w:t xml:space="preserve"> herbal mixture, </w:t>
      </w:r>
      <w:proofErr w:type="spellStart"/>
      <w:r w:rsidR="00D6552F" w:rsidRPr="00EC783D">
        <w:rPr>
          <w:rFonts w:ascii="Times New Roman" w:hAnsi="Times New Roman" w:cs="Times New Roman"/>
          <w:sz w:val="24"/>
          <w:szCs w:val="24"/>
        </w:rPr>
        <w:t>renoameliorative</w:t>
      </w:r>
      <w:proofErr w:type="spellEnd"/>
      <w:r w:rsidRPr="00EC783D">
        <w:rPr>
          <w:rFonts w:ascii="Times New Roman" w:hAnsi="Times New Roman" w:cs="Times New Roman"/>
          <w:sz w:val="24"/>
          <w:szCs w:val="24"/>
        </w:rPr>
        <w:t>, oxidative stress</w:t>
      </w:r>
    </w:p>
    <w:p w14:paraId="160B8B7D" w14:textId="53F30124" w:rsidR="00530197" w:rsidRDefault="00530197" w:rsidP="00EC783D">
      <w:pPr>
        <w:spacing w:before="15" w:line="480" w:lineRule="auto"/>
        <w:ind w:left="192"/>
        <w:jc w:val="both"/>
        <w:rPr>
          <w:rFonts w:ascii="Times New Roman" w:hAnsi="Times New Roman" w:cs="Times New Roman"/>
          <w:i/>
          <w:sz w:val="24"/>
          <w:szCs w:val="24"/>
        </w:rPr>
      </w:pPr>
    </w:p>
    <w:p w14:paraId="2C7FADE7" w14:textId="77777777" w:rsidR="00530197" w:rsidRPr="00EC783D" w:rsidRDefault="00530197" w:rsidP="00EC783D">
      <w:pPr>
        <w:spacing w:before="15" w:line="480" w:lineRule="auto"/>
        <w:ind w:left="192"/>
        <w:jc w:val="both"/>
        <w:rPr>
          <w:rFonts w:ascii="Times New Roman" w:hAnsi="Times New Roman" w:cs="Times New Roman"/>
          <w:i/>
          <w:sz w:val="24"/>
          <w:szCs w:val="24"/>
        </w:rPr>
      </w:pPr>
    </w:p>
    <w:p w14:paraId="3983CFB0" w14:textId="5E4C38FC" w:rsidR="0088528E" w:rsidRPr="00EC783D" w:rsidRDefault="00EC783D" w:rsidP="00B01EF8">
      <w:pPr>
        <w:pStyle w:val="Heading1"/>
        <w:spacing w:line="480" w:lineRule="auto"/>
        <w:ind w:left="0"/>
        <w:rPr>
          <w:rFonts w:ascii="Times New Roman" w:hAnsi="Times New Roman" w:cs="Times New Roman"/>
          <w:sz w:val="24"/>
          <w:szCs w:val="24"/>
        </w:rPr>
      </w:pPr>
      <w:r>
        <w:rPr>
          <w:rFonts w:ascii="Times New Roman" w:hAnsi="Times New Roman" w:cs="Times New Roman"/>
          <w:spacing w:val="-2"/>
          <w:sz w:val="24"/>
          <w:szCs w:val="24"/>
        </w:rPr>
        <w:t xml:space="preserve">1.0 </w:t>
      </w:r>
      <w:r w:rsidR="0002474F" w:rsidRPr="00EC783D">
        <w:rPr>
          <w:rFonts w:ascii="Times New Roman" w:hAnsi="Times New Roman" w:cs="Times New Roman"/>
          <w:spacing w:val="-2"/>
          <w:sz w:val="24"/>
          <w:szCs w:val="24"/>
        </w:rPr>
        <w:t>INTRODUCTION</w:t>
      </w:r>
    </w:p>
    <w:p w14:paraId="0E74298E" w14:textId="7DEE6ECD" w:rsidR="00611DC6" w:rsidRPr="00EC783D" w:rsidRDefault="00611DC6" w:rsidP="00EC783D">
      <w:pPr>
        <w:spacing w:before="240"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The kidneys are vital organs essential for maintaining homeostasis in the human body. They perform critical physiological roles including blood filtration, waste excretion, electrolyte regulation, acid-base balance, and blood pressure control (Tortora &amp; Derrickson, 2017). On a daily basis, the kidneys filter approximately 120 to 150 quarts of blood, forming urine that facilitates the removal of metabolic waste and toxins from the body </w:t>
      </w:r>
      <w:r w:rsidR="00AD0320" w:rsidRPr="00EC783D">
        <w:rPr>
          <w:rFonts w:ascii="Times New Roman" w:hAnsi="Times New Roman" w:cs="Times New Roman"/>
          <w:sz w:val="24"/>
          <w:szCs w:val="24"/>
        </w:rPr>
        <w:t>(</w:t>
      </w:r>
      <w:r w:rsidRPr="00EC783D">
        <w:rPr>
          <w:rFonts w:ascii="Times New Roman" w:hAnsi="Times New Roman" w:cs="Times New Roman"/>
          <w:sz w:val="24"/>
          <w:szCs w:val="24"/>
        </w:rPr>
        <w:t>Hall, 2020). Due to their constant exposure to blood-borne substances, the kidneys are particularly vulnerable to toxic insults. When toxic agents—such as drugs, chemicals, or pesticides—cause structural or functional damage to the kidneys, the condition is referred to as nephrotoxicity, which can manifest as acute kidney injury (AKI) or progress to chronic kidney disease (</w:t>
      </w:r>
      <w:proofErr w:type="spellStart"/>
      <w:r w:rsidRPr="00EC783D">
        <w:rPr>
          <w:rFonts w:ascii="Times New Roman" w:hAnsi="Times New Roman" w:cs="Times New Roman"/>
          <w:sz w:val="24"/>
          <w:szCs w:val="24"/>
        </w:rPr>
        <w:t>Perazella</w:t>
      </w:r>
      <w:proofErr w:type="spellEnd"/>
      <w:r w:rsidRPr="00EC783D">
        <w:rPr>
          <w:rFonts w:ascii="Times New Roman" w:hAnsi="Times New Roman" w:cs="Times New Roman"/>
          <w:sz w:val="24"/>
          <w:szCs w:val="24"/>
        </w:rPr>
        <w:t>, 2019</w:t>
      </w:r>
      <w:r w:rsidR="00F10874" w:rsidRPr="00EC783D">
        <w:rPr>
          <w:rFonts w:ascii="Times New Roman" w:hAnsi="Times New Roman" w:cs="Times New Roman"/>
          <w:sz w:val="24"/>
          <w:szCs w:val="24"/>
        </w:rPr>
        <w:t xml:space="preserve">; Naughton, 2008; </w:t>
      </w:r>
      <w:proofErr w:type="spellStart"/>
      <w:r w:rsidR="00F10874" w:rsidRPr="00EC783D">
        <w:rPr>
          <w:rFonts w:ascii="Times New Roman" w:hAnsi="Times New Roman" w:cs="Times New Roman"/>
          <w:sz w:val="24"/>
          <w:szCs w:val="24"/>
        </w:rPr>
        <w:t>Tervaert</w:t>
      </w:r>
      <w:proofErr w:type="spellEnd"/>
      <w:r w:rsidR="00F10874" w:rsidRPr="00EC783D">
        <w:rPr>
          <w:rFonts w:ascii="Times New Roman" w:hAnsi="Times New Roman" w:cs="Times New Roman"/>
          <w:sz w:val="24"/>
          <w:szCs w:val="24"/>
        </w:rPr>
        <w:t xml:space="preserve"> et al., 2010</w:t>
      </w:r>
      <w:r w:rsidRPr="00EC783D">
        <w:rPr>
          <w:rFonts w:ascii="Times New Roman" w:hAnsi="Times New Roman" w:cs="Times New Roman"/>
          <w:sz w:val="24"/>
          <w:szCs w:val="24"/>
        </w:rPr>
        <w:t>).</w:t>
      </w:r>
    </w:p>
    <w:p w14:paraId="196ADFFD" w14:textId="66AFC03B" w:rsidR="00611DC6" w:rsidRPr="00EC783D" w:rsidRDefault="00742AF9" w:rsidP="00EC783D">
      <w:pPr>
        <w:spacing w:before="240"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Paraquat (1,1’-Dimethyl-4,4’-bipyridinium dichloride) is a widely used, non-selective herbicide known for its potent cytotoxic and oxidative properties (Kamel, 2013; Senthil Kumar et al., 2021; Dinis-Oliveira et al., 2008). </w:t>
      </w:r>
      <w:r w:rsidR="00611DC6" w:rsidRPr="00EC783D">
        <w:rPr>
          <w:rFonts w:ascii="Times New Roman" w:hAnsi="Times New Roman" w:cs="Times New Roman"/>
          <w:sz w:val="24"/>
          <w:szCs w:val="24"/>
        </w:rPr>
        <w:t>It is known to exert its toxic effects primarily through the generation of reactive oxygen species (ROS)</w:t>
      </w:r>
      <w:r w:rsidR="003D6F44" w:rsidRPr="00EC783D">
        <w:rPr>
          <w:rFonts w:ascii="Times New Roman" w:hAnsi="Times New Roman" w:cs="Times New Roman"/>
          <w:sz w:val="24"/>
          <w:szCs w:val="24"/>
        </w:rPr>
        <w:t xml:space="preserve"> (</w:t>
      </w:r>
      <w:proofErr w:type="spellStart"/>
      <w:r w:rsidR="003D6F44" w:rsidRPr="00EC783D">
        <w:rPr>
          <w:rFonts w:ascii="Times New Roman" w:hAnsi="Times New Roman" w:cs="Times New Roman"/>
          <w:sz w:val="24"/>
          <w:szCs w:val="24"/>
        </w:rPr>
        <w:t>Ofoego</w:t>
      </w:r>
      <w:proofErr w:type="spellEnd"/>
      <w:r w:rsidR="003D6F44" w:rsidRPr="00EC783D">
        <w:rPr>
          <w:rFonts w:ascii="Times New Roman" w:hAnsi="Times New Roman" w:cs="Times New Roman"/>
          <w:sz w:val="24"/>
          <w:szCs w:val="24"/>
        </w:rPr>
        <w:t xml:space="preserve"> et al., 2021)</w:t>
      </w:r>
      <w:r w:rsidR="00611DC6" w:rsidRPr="00EC783D">
        <w:rPr>
          <w:rFonts w:ascii="Times New Roman" w:hAnsi="Times New Roman" w:cs="Times New Roman"/>
          <w:sz w:val="24"/>
          <w:szCs w:val="24"/>
        </w:rPr>
        <w:t xml:space="preserve">. </w:t>
      </w:r>
      <w:r w:rsidRPr="00EC783D">
        <w:rPr>
          <w:rFonts w:ascii="Times New Roman" w:hAnsi="Times New Roman" w:cs="Times New Roman"/>
          <w:sz w:val="24"/>
          <w:szCs w:val="24"/>
        </w:rPr>
        <w:t>Once paraquat enters the body—most commonly through ingestion—it is rapidly absorbed and distributed to highly perfused organs, particularly the lungs and kidneys. Inside cells, paraquat undergoes a process known as redox cycling, whereby it is reduced by NADPH-dependent reductases to form an unstable paraquat radical. This radical then reacts with molecular oxygen to regenerate the parent compound while simultaneously producing reactive oxygen species (ROS), including superoxide anions (O₂⁻), hydrogen peroxide (H₂O₂), and hydroxyl radicals (•OH). These ROS lead to oxidative damage of cellular components such as lipids, proteins, and DNA, contributing to cellular dysfunction and death (Dinis-Oliveira et al., 2008; Sies, 2017).</w:t>
      </w:r>
      <w:r w:rsidR="00611DC6" w:rsidRPr="00EC783D">
        <w:rPr>
          <w:rFonts w:ascii="Times New Roman" w:hAnsi="Times New Roman" w:cs="Times New Roman"/>
          <w:sz w:val="24"/>
          <w:szCs w:val="24"/>
        </w:rPr>
        <w:t xml:space="preserve"> </w:t>
      </w:r>
      <w:r w:rsidR="00DF6BC1" w:rsidRPr="00EC783D">
        <w:rPr>
          <w:rFonts w:ascii="Times New Roman" w:hAnsi="Times New Roman" w:cs="Times New Roman"/>
          <w:sz w:val="24"/>
          <w:szCs w:val="24"/>
        </w:rPr>
        <w:t xml:space="preserve">In the kidneys, paraquat is actively transported into proximal tubular epithelial cells via organic </w:t>
      </w:r>
      <w:r w:rsidR="00DF6BC1" w:rsidRPr="00EC783D">
        <w:rPr>
          <w:rFonts w:ascii="Times New Roman" w:hAnsi="Times New Roman" w:cs="Times New Roman"/>
          <w:sz w:val="24"/>
          <w:szCs w:val="24"/>
        </w:rPr>
        <w:lastRenderedPageBreak/>
        <w:t xml:space="preserve">cation transporters (OCTs), where it promotes the accumulation of reactive oxygen species (ROS). This leads to lipid peroxidation, protein oxidation, DNA fragmentation, mitochondrial dysfunction, and ultimately cellular apoptosis (Dinis-Oliveira et al., 2008; </w:t>
      </w:r>
      <w:proofErr w:type="spellStart"/>
      <w:r w:rsidR="00DF6BC1" w:rsidRPr="00EC783D">
        <w:rPr>
          <w:rFonts w:ascii="Times New Roman" w:hAnsi="Times New Roman" w:cs="Times New Roman"/>
          <w:sz w:val="24"/>
          <w:szCs w:val="24"/>
        </w:rPr>
        <w:t>Hirooka</w:t>
      </w:r>
      <w:proofErr w:type="spellEnd"/>
      <w:r w:rsidR="00DF6BC1" w:rsidRPr="00EC783D">
        <w:rPr>
          <w:rFonts w:ascii="Times New Roman" w:hAnsi="Times New Roman" w:cs="Times New Roman"/>
          <w:sz w:val="24"/>
          <w:szCs w:val="24"/>
        </w:rPr>
        <w:t xml:space="preserve"> et al., 2010; Sies, 2017).</w:t>
      </w:r>
    </w:p>
    <w:p w14:paraId="3B9E8E47" w14:textId="39F12F8C" w:rsidR="00DF6BC1" w:rsidRPr="00EC783D" w:rsidRDefault="00DF6BC1" w:rsidP="00EC783D">
      <w:pPr>
        <w:spacing w:before="240" w:line="480" w:lineRule="auto"/>
        <w:jc w:val="both"/>
        <w:rPr>
          <w:rFonts w:ascii="Times New Roman" w:hAnsi="Times New Roman" w:cs="Times New Roman"/>
          <w:sz w:val="24"/>
          <w:szCs w:val="24"/>
        </w:rPr>
      </w:pP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is derived from the sap of Aloe ferox, a succulent native to South Africa. Registered with Nigeria’s NAFDAC, it is marketed for health benefits including immune enhancement, detoxification, anti-inflammatory action, and organ support, particularly for the liver and kidneys. Phytochemical analysis of A. ferox reveals a rich profile of flavonoids, phenolics, anthraquinones, tannins, alkaloids, saponins, and sterols, compounds widely recognized for their antioxidant and anti-inflammatory activities (Johnson &amp; Dike, 2024; </w:t>
      </w:r>
      <w:proofErr w:type="spellStart"/>
      <w:r w:rsidRPr="00EC783D">
        <w:rPr>
          <w:rFonts w:ascii="Times New Roman" w:hAnsi="Times New Roman" w:cs="Times New Roman"/>
          <w:sz w:val="24"/>
          <w:szCs w:val="24"/>
        </w:rPr>
        <w:t>Nalimu</w:t>
      </w:r>
      <w:proofErr w:type="spellEnd"/>
      <w:r w:rsidRPr="00EC783D">
        <w:rPr>
          <w:rFonts w:ascii="Times New Roman" w:hAnsi="Times New Roman" w:cs="Times New Roman"/>
          <w:sz w:val="24"/>
          <w:szCs w:val="24"/>
        </w:rPr>
        <w:t xml:space="preserve"> et al., 2021; Loots, van der Westhuizen &amp; Botes, 2007). Moreover, leaf gel extracts of A. ferox have demonstrated strong free radical scavenging activity, as demonstrated by DPPH, ABTS, and FRAP assays (Loots et al., 2007). Nonetheless, despite in vitro evidence, there is still limited in vivo or clinical data supporting </w:t>
      </w:r>
      <w:proofErr w:type="spellStart"/>
      <w:r w:rsidRPr="00EC783D">
        <w:rPr>
          <w:rFonts w:ascii="Times New Roman" w:hAnsi="Times New Roman" w:cs="Times New Roman"/>
          <w:sz w:val="24"/>
          <w:szCs w:val="24"/>
        </w:rPr>
        <w:t>Jigsimur’s</w:t>
      </w:r>
      <w:proofErr w:type="spellEnd"/>
      <w:r w:rsidRPr="00EC783D">
        <w:rPr>
          <w:rFonts w:ascii="Times New Roman" w:hAnsi="Times New Roman" w:cs="Times New Roman"/>
          <w:sz w:val="24"/>
          <w:szCs w:val="24"/>
        </w:rPr>
        <w:t xml:space="preserve"> efficacy in conditions such as renal disease.</w:t>
      </w:r>
    </w:p>
    <w:p w14:paraId="72E901E4" w14:textId="2B17269F" w:rsidR="005E50F4" w:rsidRPr="00EC783D" w:rsidRDefault="005E50F4" w:rsidP="00EC783D">
      <w:pPr>
        <w:pStyle w:val="BodyText"/>
        <w:tabs>
          <w:tab w:val="left" w:pos="8360"/>
        </w:tabs>
        <w:spacing w:line="480" w:lineRule="auto"/>
        <w:rPr>
          <w:rFonts w:ascii="Times New Roman" w:hAnsi="Times New Roman" w:cs="Times New Roman"/>
          <w:sz w:val="24"/>
          <w:szCs w:val="24"/>
        </w:rPr>
      </w:pPr>
    </w:p>
    <w:p w14:paraId="43D82DF0" w14:textId="1D3ADBDA" w:rsidR="0088528E" w:rsidRPr="00EC783D" w:rsidRDefault="00EC783D" w:rsidP="00EC783D">
      <w:pPr>
        <w:pStyle w:val="Heading1"/>
        <w:spacing w:line="480" w:lineRule="auto"/>
        <w:jc w:val="both"/>
        <w:rPr>
          <w:rFonts w:ascii="Times New Roman" w:hAnsi="Times New Roman" w:cs="Times New Roman"/>
          <w:sz w:val="24"/>
          <w:szCs w:val="24"/>
        </w:rPr>
      </w:pPr>
      <w:r>
        <w:rPr>
          <w:rFonts w:ascii="Times New Roman" w:hAnsi="Times New Roman" w:cs="Times New Roman"/>
          <w:spacing w:val="-2"/>
          <w:sz w:val="24"/>
          <w:szCs w:val="24"/>
        </w:rPr>
        <w:t xml:space="preserve">2.0 </w:t>
      </w:r>
      <w:r w:rsidR="0002474F">
        <w:rPr>
          <w:rFonts w:ascii="Times New Roman" w:hAnsi="Times New Roman" w:cs="Times New Roman"/>
          <w:spacing w:val="-2"/>
          <w:sz w:val="24"/>
          <w:szCs w:val="24"/>
        </w:rPr>
        <w:t>METHODOLOGY</w:t>
      </w:r>
    </w:p>
    <w:p w14:paraId="083001D1" w14:textId="265939DD" w:rsidR="0088528E" w:rsidRPr="00EC783D" w:rsidRDefault="00EC783D" w:rsidP="00EC783D">
      <w:pPr>
        <w:pStyle w:val="Heading2"/>
        <w:spacing w:before="202" w:line="480" w:lineRule="auto"/>
        <w:ind w:left="67"/>
        <w:jc w:val="both"/>
        <w:rPr>
          <w:rFonts w:ascii="Times New Roman" w:hAnsi="Times New Roman" w:cs="Times New Roman"/>
          <w:sz w:val="24"/>
          <w:szCs w:val="24"/>
        </w:rPr>
      </w:pPr>
      <w:r>
        <w:rPr>
          <w:rFonts w:ascii="Times New Roman" w:hAnsi="Times New Roman" w:cs="Times New Roman"/>
          <w:sz w:val="24"/>
          <w:szCs w:val="24"/>
        </w:rPr>
        <w:t xml:space="preserve">2.1 </w:t>
      </w:r>
      <w:r w:rsidR="000A17FE" w:rsidRPr="00EC783D">
        <w:rPr>
          <w:rFonts w:ascii="Times New Roman" w:hAnsi="Times New Roman" w:cs="Times New Roman"/>
          <w:sz w:val="24"/>
          <w:szCs w:val="24"/>
        </w:rPr>
        <w:t>Ethical</w:t>
      </w:r>
      <w:r w:rsidR="000A17FE" w:rsidRPr="00EC783D">
        <w:rPr>
          <w:rFonts w:ascii="Times New Roman" w:hAnsi="Times New Roman" w:cs="Times New Roman"/>
          <w:spacing w:val="-7"/>
          <w:sz w:val="24"/>
          <w:szCs w:val="24"/>
        </w:rPr>
        <w:t xml:space="preserve"> </w:t>
      </w:r>
      <w:r w:rsidR="000A17FE" w:rsidRPr="00EC783D">
        <w:rPr>
          <w:rFonts w:ascii="Times New Roman" w:hAnsi="Times New Roman" w:cs="Times New Roman"/>
          <w:spacing w:val="-2"/>
          <w:sz w:val="24"/>
          <w:szCs w:val="24"/>
        </w:rPr>
        <w:t>approval</w:t>
      </w:r>
      <w:r w:rsidR="00CD14F4" w:rsidRPr="00EC783D">
        <w:rPr>
          <w:rFonts w:ascii="Times New Roman" w:hAnsi="Times New Roman" w:cs="Times New Roman"/>
          <w:spacing w:val="-2"/>
          <w:sz w:val="24"/>
          <w:szCs w:val="24"/>
        </w:rPr>
        <w:t xml:space="preserve"> and Animal handling</w:t>
      </w:r>
    </w:p>
    <w:p w14:paraId="29A956D3" w14:textId="7B231332" w:rsidR="0056417A" w:rsidRPr="00EC783D" w:rsidRDefault="00E52D9E" w:rsidP="00EC783D">
      <w:pPr>
        <w:pStyle w:val="BodyText"/>
        <w:spacing w:before="240" w:line="480" w:lineRule="auto"/>
        <w:ind w:left="47" w:right="47"/>
        <w:jc w:val="both"/>
        <w:rPr>
          <w:rFonts w:ascii="Times New Roman" w:hAnsi="Times New Roman" w:cs="Times New Roman"/>
          <w:sz w:val="24"/>
          <w:szCs w:val="24"/>
        </w:rPr>
      </w:pPr>
      <w:r w:rsidRPr="00EC783D">
        <w:rPr>
          <w:rFonts w:ascii="Times New Roman" w:hAnsi="Times New Roman" w:cs="Times New Roman"/>
          <w:sz w:val="24"/>
          <w:szCs w:val="24"/>
        </w:rPr>
        <w:t xml:space="preserve">Ethical approval </w:t>
      </w:r>
      <w:r w:rsidR="00CD14F4" w:rsidRPr="00EC783D">
        <w:rPr>
          <w:rFonts w:ascii="Times New Roman" w:hAnsi="Times New Roman" w:cs="Times New Roman"/>
          <w:sz w:val="24"/>
          <w:szCs w:val="24"/>
        </w:rPr>
        <w:t>for this research was obtained from the Ethics Committee of Nnamdi Azikiwe University</w:t>
      </w:r>
      <w:r w:rsidR="001A1EA2" w:rsidRPr="00EC783D">
        <w:rPr>
          <w:rFonts w:ascii="Times New Roman" w:hAnsi="Times New Roman" w:cs="Times New Roman"/>
          <w:sz w:val="24"/>
          <w:szCs w:val="24"/>
        </w:rPr>
        <w:t xml:space="preserve"> (NAU/AREC/2024/0111)</w:t>
      </w:r>
      <w:r w:rsidR="00CD14F4" w:rsidRPr="00EC783D">
        <w:rPr>
          <w:rFonts w:ascii="Times New Roman" w:hAnsi="Times New Roman" w:cs="Times New Roman"/>
          <w:sz w:val="24"/>
          <w:szCs w:val="24"/>
        </w:rPr>
        <w:t xml:space="preserve">. </w:t>
      </w:r>
      <w:r w:rsidR="0056417A" w:rsidRPr="00EC783D">
        <w:rPr>
          <w:rFonts w:ascii="Times New Roman" w:hAnsi="Times New Roman" w:cs="Times New Roman"/>
          <w:sz w:val="24"/>
          <w:szCs w:val="24"/>
        </w:rPr>
        <w:t>Forty-five adult male Wistar rats weighing between 113grams and 189grams for both toxicity test and main research were acquired from the Animal House of the College of Health Sciences and Technology, Nnamdi Azikiwe University. The animals were housed in standard plastic cages with access to clean drinking water and commercial pellet feed. They were maintained under a 12-hour light/dark cycle in a controlled environment and acclimatized for 14 days before the start of the experiment. Animal care and experimental procedures complied with the guidelines provided by the National Research Council (2011).</w:t>
      </w:r>
    </w:p>
    <w:p w14:paraId="5178DC7C" w14:textId="77777777" w:rsidR="002E33A1" w:rsidRPr="00EC783D" w:rsidRDefault="002E33A1" w:rsidP="00EC783D">
      <w:pPr>
        <w:pStyle w:val="Heading2"/>
        <w:spacing w:before="89" w:line="480" w:lineRule="auto"/>
        <w:ind w:left="70"/>
        <w:jc w:val="both"/>
        <w:rPr>
          <w:rFonts w:ascii="Times New Roman" w:hAnsi="Times New Roman" w:cs="Times New Roman"/>
          <w:sz w:val="24"/>
          <w:szCs w:val="24"/>
        </w:rPr>
      </w:pPr>
    </w:p>
    <w:p w14:paraId="01AD3941" w14:textId="3A408F6B" w:rsidR="00460665" w:rsidRPr="00EC783D" w:rsidRDefault="00EC783D" w:rsidP="00EC783D">
      <w:pPr>
        <w:pStyle w:val="Heading2"/>
        <w:spacing w:before="89" w:line="480" w:lineRule="auto"/>
        <w:ind w:left="70"/>
        <w:jc w:val="both"/>
        <w:rPr>
          <w:rFonts w:ascii="Times New Roman" w:hAnsi="Times New Roman" w:cs="Times New Roman"/>
          <w:sz w:val="24"/>
          <w:szCs w:val="24"/>
        </w:rPr>
      </w:pPr>
      <w:r>
        <w:rPr>
          <w:rFonts w:ascii="Times New Roman" w:hAnsi="Times New Roman" w:cs="Times New Roman"/>
          <w:sz w:val="24"/>
          <w:szCs w:val="24"/>
        </w:rPr>
        <w:t xml:space="preserve">2.2 </w:t>
      </w:r>
      <w:r w:rsidR="00460665" w:rsidRPr="00EC783D">
        <w:rPr>
          <w:rFonts w:ascii="Times New Roman" w:hAnsi="Times New Roman" w:cs="Times New Roman"/>
          <w:sz w:val="24"/>
          <w:szCs w:val="24"/>
        </w:rPr>
        <w:t>Procurement of Chemicals</w:t>
      </w:r>
      <w:r w:rsidR="008163B6" w:rsidRPr="00EC783D">
        <w:rPr>
          <w:rFonts w:ascii="Times New Roman" w:hAnsi="Times New Roman" w:cs="Times New Roman"/>
          <w:sz w:val="24"/>
          <w:szCs w:val="24"/>
        </w:rPr>
        <w:t xml:space="preserve"> and Preparation of Stock solution</w:t>
      </w:r>
    </w:p>
    <w:p w14:paraId="5C15556E" w14:textId="092D5138" w:rsidR="008163B6" w:rsidRDefault="00460665" w:rsidP="00EC783D">
      <w:pPr>
        <w:pStyle w:val="BodyText"/>
        <w:spacing w:before="129" w:line="480" w:lineRule="auto"/>
        <w:ind w:left="49" w:right="45"/>
        <w:jc w:val="both"/>
        <w:rPr>
          <w:rFonts w:ascii="Times New Roman" w:hAnsi="Times New Roman" w:cs="Times New Roman"/>
          <w:spacing w:val="-4"/>
          <w:sz w:val="24"/>
          <w:szCs w:val="24"/>
        </w:rPr>
      </w:pPr>
      <w:r w:rsidRPr="00EC783D">
        <w:rPr>
          <w:rFonts w:ascii="Times New Roman" w:hAnsi="Times New Roman" w:cs="Times New Roman"/>
          <w:spacing w:val="-4"/>
          <w:sz w:val="24"/>
          <w:szCs w:val="24"/>
        </w:rPr>
        <w:t xml:space="preserve">Paraquat in the form of Paraquat Dichloride (276g/1) solution was procured from an </w:t>
      </w:r>
      <w:proofErr w:type="spellStart"/>
      <w:r w:rsidRPr="00EC783D">
        <w:rPr>
          <w:rFonts w:ascii="Times New Roman" w:hAnsi="Times New Roman" w:cs="Times New Roman"/>
          <w:spacing w:val="-4"/>
          <w:sz w:val="24"/>
          <w:szCs w:val="24"/>
        </w:rPr>
        <w:t>Agro</w:t>
      </w:r>
      <w:proofErr w:type="spellEnd"/>
      <w:r w:rsidRPr="00EC783D">
        <w:rPr>
          <w:rFonts w:ascii="Times New Roman" w:hAnsi="Times New Roman" w:cs="Times New Roman"/>
          <w:spacing w:val="-4"/>
          <w:sz w:val="24"/>
          <w:szCs w:val="24"/>
        </w:rPr>
        <w:t>-allied division of New Market Owerri, Imo State, Nigeria.</w:t>
      </w:r>
      <w:r w:rsidR="008163B6" w:rsidRPr="00EC783D">
        <w:rPr>
          <w:rFonts w:ascii="Times New Roman" w:hAnsi="Times New Roman" w:cs="Times New Roman"/>
          <w:spacing w:val="-4"/>
          <w:sz w:val="24"/>
          <w:szCs w:val="24"/>
        </w:rPr>
        <w:t xml:space="preserve"> </w:t>
      </w:r>
      <w:r w:rsidR="008163B6" w:rsidRPr="00EC783D">
        <w:rPr>
          <w:rFonts w:ascii="Times New Roman" w:hAnsi="Times New Roman" w:cs="Times New Roman"/>
          <w:sz w:val="24"/>
          <w:szCs w:val="24"/>
        </w:rPr>
        <w:t xml:space="preserve">Two liters of </w:t>
      </w:r>
      <w:proofErr w:type="spellStart"/>
      <w:r w:rsidR="008163B6" w:rsidRPr="00EC783D">
        <w:rPr>
          <w:rFonts w:ascii="Times New Roman" w:hAnsi="Times New Roman" w:cs="Times New Roman"/>
          <w:sz w:val="24"/>
          <w:szCs w:val="24"/>
        </w:rPr>
        <w:t>Jigsimur</w:t>
      </w:r>
      <w:proofErr w:type="spellEnd"/>
      <w:r w:rsidR="008163B6" w:rsidRPr="00EC783D">
        <w:rPr>
          <w:rFonts w:ascii="Times New Roman" w:hAnsi="Times New Roman" w:cs="Times New Roman"/>
          <w:sz w:val="24"/>
          <w:szCs w:val="24"/>
        </w:rPr>
        <w:t xml:space="preserve"> was purchased from a government </w:t>
      </w:r>
      <w:proofErr w:type="spellStart"/>
      <w:r w:rsidR="008163B6" w:rsidRPr="00EC783D">
        <w:rPr>
          <w:rFonts w:ascii="Times New Roman" w:hAnsi="Times New Roman" w:cs="Times New Roman"/>
          <w:sz w:val="24"/>
          <w:szCs w:val="24"/>
        </w:rPr>
        <w:t>aproved</w:t>
      </w:r>
      <w:proofErr w:type="spellEnd"/>
      <w:r w:rsidR="008163B6" w:rsidRPr="00EC783D">
        <w:rPr>
          <w:rFonts w:ascii="Times New Roman" w:hAnsi="Times New Roman" w:cs="Times New Roman"/>
          <w:sz w:val="24"/>
          <w:szCs w:val="24"/>
        </w:rPr>
        <w:t xml:space="preserve"> herbal store at </w:t>
      </w:r>
      <w:proofErr w:type="spellStart"/>
      <w:r w:rsidR="008163B6" w:rsidRPr="00EC783D">
        <w:rPr>
          <w:rFonts w:ascii="Times New Roman" w:hAnsi="Times New Roman" w:cs="Times New Roman"/>
          <w:sz w:val="24"/>
          <w:szCs w:val="24"/>
        </w:rPr>
        <w:t>Oguta</w:t>
      </w:r>
      <w:proofErr w:type="spellEnd"/>
      <w:r w:rsidR="008163B6" w:rsidRPr="00EC783D">
        <w:rPr>
          <w:rFonts w:ascii="Times New Roman" w:hAnsi="Times New Roman" w:cs="Times New Roman"/>
          <w:sz w:val="24"/>
          <w:szCs w:val="24"/>
        </w:rPr>
        <w:t xml:space="preserve"> Road City Centre in Onitsha, Onitsha North Local Government Area, Anambra State.</w:t>
      </w:r>
      <w:r w:rsidR="002E33A1" w:rsidRPr="00EC783D">
        <w:rPr>
          <w:rFonts w:ascii="Times New Roman" w:hAnsi="Times New Roman" w:cs="Times New Roman"/>
          <w:sz w:val="24"/>
          <w:szCs w:val="24"/>
        </w:rPr>
        <w:t xml:space="preserve"> </w:t>
      </w:r>
      <w:r w:rsidR="008163B6" w:rsidRPr="00EC783D">
        <w:rPr>
          <w:rFonts w:ascii="Times New Roman" w:hAnsi="Times New Roman" w:cs="Times New Roman"/>
          <w:sz w:val="24"/>
          <w:szCs w:val="24"/>
        </w:rPr>
        <w:t xml:space="preserve">A stock solution of </w:t>
      </w:r>
      <w:proofErr w:type="spellStart"/>
      <w:r w:rsidR="008163B6" w:rsidRPr="00EC783D">
        <w:rPr>
          <w:rFonts w:ascii="Times New Roman" w:hAnsi="Times New Roman" w:cs="Times New Roman"/>
          <w:sz w:val="24"/>
          <w:szCs w:val="24"/>
        </w:rPr>
        <w:t>Jigsimur</w:t>
      </w:r>
      <w:proofErr w:type="spellEnd"/>
      <w:r w:rsidR="008163B6" w:rsidRPr="00EC783D">
        <w:rPr>
          <w:rFonts w:ascii="Times New Roman" w:hAnsi="Times New Roman" w:cs="Times New Roman"/>
          <w:sz w:val="24"/>
          <w:szCs w:val="24"/>
        </w:rPr>
        <w:t xml:space="preserve"> was prepared by drying 1 ml of the herbal concoction using a thermostatic oven, yielding 0.0040 g (4.0 mg) of dry residue. This corresponds to a concentration of 40 mg/ml, indicating that each milliliter of solution procured contained 40 mg of solid extract.</w:t>
      </w:r>
    </w:p>
    <w:p w14:paraId="2A917443" w14:textId="77777777" w:rsidR="00EC783D" w:rsidRPr="00EC783D" w:rsidRDefault="00EC783D" w:rsidP="00EC783D">
      <w:pPr>
        <w:pStyle w:val="BodyText"/>
        <w:spacing w:before="129" w:line="480" w:lineRule="auto"/>
        <w:ind w:left="49" w:right="45"/>
        <w:jc w:val="both"/>
        <w:rPr>
          <w:rFonts w:ascii="Times New Roman" w:hAnsi="Times New Roman" w:cs="Times New Roman"/>
          <w:spacing w:val="-4"/>
          <w:sz w:val="24"/>
          <w:szCs w:val="24"/>
        </w:rPr>
      </w:pPr>
    </w:p>
    <w:p w14:paraId="2C88465B" w14:textId="14C8458A" w:rsidR="009A4C0B" w:rsidRPr="00EC783D" w:rsidRDefault="00EC783D" w:rsidP="00EC783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9A4C0B" w:rsidRPr="00EC783D">
        <w:rPr>
          <w:rFonts w:ascii="Times New Roman" w:hAnsi="Times New Roman" w:cs="Times New Roman"/>
          <w:b/>
          <w:sz w:val="24"/>
          <w:szCs w:val="24"/>
        </w:rPr>
        <w:t>Acute Toxicity Assessment</w:t>
      </w:r>
    </w:p>
    <w:p w14:paraId="02FFCB0F" w14:textId="77777777" w:rsidR="009A4C0B" w:rsidRPr="00EC783D" w:rsidRDefault="009A4C0B"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The acute oral toxicity of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herbal extract and paraquat was evaluated using the method described by </w:t>
      </w:r>
      <w:proofErr w:type="spellStart"/>
      <w:r w:rsidRPr="00EC783D">
        <w:rPr>
          <w:rFonts w:ascii="Times New Roman" w:hAnsi="Times New Roman" w:cs="Times New Roman"/>
          <w:sz w:val="24"/>
          <w:szCs w:val="24"/>
        </w:rPr>
        <w:t>Lorke</w:t>
      </w:r>
      <w:proofErr w:type="spellEnd"/>
      <w:r w:rsidRPr="00EC783D">
        <w:rPr>
          <w:rFonts w:ascii="Times New Roman" w:hAnsi="Times New Roman" w:cs="Times New Roman"/>
          <w:sz w:val="24"/>
          <w:szCs w:val="24"/>
        </w:rPr>
        <w:t xml:space="preserve"> (1983). The experimental protocol involved administering single graded doses of the substances to groups of Wistar rats, followed by a 24-hour observation period for signs of toxicity and mortality, and continued monitoring for 14 days.</w:t>
      </w:r>
    </w:p>
    <w:p w14:paraId="2A1DA231" w14:textId="77777777" w:rsidR="009A4C0B" w:rsidRPr="00EC783D" w:rsidRDefault="009A4C0B"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For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no signs of behavioral abnormalities, toxicity, or mortality were observed in any of the test animals, even at the highest dose of 5000 mg/kg body weight. This indicates that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has an oral LD₅₀ greater than 5000 mg/kg, suggesting that it is practically non-toxic, in line with the Globally Harmonized System (GHS) of Classification and Labelling of Chemicals, which classifies substances with LD₅₀ &gt; 5000 mg/kg as Category 5 (lowest toxicity) or unclassified for acute toxicity (United Nations, 2019).</w:t>
      </w:r>
    </w:p>
    <w:p w14:paraId="4DE3FDEE" w14:textId="05A0F4B4" w:rsidR="009A4C0B" w:rsidRPr="00EC783D" w:rsidRDefault="009A4C0B"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In contrast, paraquat administration resulted in toxicity signs and mortality at significantly lower doses. The estimated oral LD₅₀ for paraquat was found to be approximately 122 mg/kg, classifying it under GHS Category 2 for acute oral toxicity, which includes substances with LD₅₀ values between 50 and 300 mg/kg body weight (United Nations, 2019). </w:t>
      </w:r>
    </w:p>
    <w:p w14:paraId="4C3C4362" w14:textId="28441F14" w:rsidR="00DF71F9" w:rsidRPr="00EC783D" w:rsidRDefault="00DF71F9" w:rsidP="00EC783D">
      <w:pPr>
        <w:pStyle w:val="Heading2"/>
        <w:spacing w:line="480" w:lineRule="auto"/>
        <w:ind w:left="0"/>
        <w:rPr>
          <w:rFonts w:ascii="Times New Roman" w:hAnsi="Times New Roman" w:cs="Times New Roman"/>
          <w:spacing w:val="-2"/>
          <w:sz w:val="24"/>
          <w:szCs w:val="24"/>
        </w:rPr>
      </w:pPr>
    </w:p>
    <w:p w14:paraId="55802E2B" w14:textId="67F84F98" w:rsidR="00557F29" w:rsidRPr="00EC783D" w:rsidRDefault="00EC783D" w:rsidP="00EC783D">
      <w:pPr>
        <w:pStyle w:val="Heading2"/>
        <w:spacing w:line="480" w:lineRule="auto"/>
        <w:ind w:left="69"/>
        <w:rPr>
          <w:rFonts w:ascii="Times New Roman" w:hAnsi="Times New Roman" w:cs="Times New Roman"/>
          <w:sz w:val="24"/>
          <w:szCs w:val="24"/>
        </w:rPr>
      </w:pPr>
      <w:r>
        <w:rPr>
          <w:rFonts w:ascii="Times New Roman" w:hAnsi="Times New Roman" w:cs="Times New Roman"/>
          <w:spacing w:val="-2"/>
          <w:sz w:val="24"/>
          <w:szCs w:val="24"/>
        </w:rPr>
        <w:t xml:space="preserve">2.4 </w:t>
      </w:r>
      <w:r w:rsidR="00557F29" w:rsidRPr="00EC783D">
        <w:rPr>
          <w:rFonts w:ascii="Times New Roman" w:hAnsi="Times New Roman" w:cs="Times New Roman"/>
          <w:spacing w:val="-2"/>
          <w:sz w:val="24"/>
          <w:szCs w:val="24"/>
        </w:rPr>
        <w:t>Experimental</w:t>
      </w:r>
      <w:r w:rsidR="00557F29" w:rsidRPr="00EC783D">
        <w:rPr>
          <w:rFonts w:ascii="Times New Roman" w:hAnsi="Times New Roman" w:cs="Times New Roman"/>
          <w:spacing w:val="4"/>
          <w:sz w:val="24"/>
          <w:szCs w:val="24"/>
        </w:rPr>
        <w:t xml:space="preserve"> </w:t>
      </w:r>
      <w:r w:rsidR="00557F29" w:rsidRPr="00EC783D">
        <w:rPr>
          <w:rFonts w:ascii="Times New Roman" w:hAnsi="Times New Roman" w:cs="Times New Roman"/>
          <w:spacing w:val="-2"/>
          <w:sz w:val="24"/>
          <w:szCs w:val="24"/>
        </w:rPr>
        <w:t>protocol</w:t>
      </w:r>
      <w:r w:rsidR="00557F29" w:rsidRPr="00EC783D">
        <w:rPr>
          <w:rFonts w:ascii="Times New Roman" w:hAnsi="Times New Roman" w:cs="Times New Roman"/>
          <w:spacing w:val="4"/>
          <w:sz w:val="24"/>
          <w:szCs w:val="24"/>
        </w:rPr>
        <w:t xml:space="preserve"> </w:t>
      </w:r>
      <w:r w:rsidR="00557F29" w:rsidRPr="00EC783D">
        <w:rPr>
          <w:rFonts w:ascii="Times New Roman" w:hAnsi="Times New Roman" w:cs="Times New Roman"/>
          <w:spacing w:val="-2"/>
          <w:sz w:val="24"/>
          <w:szCs w:val="24"/>
        </w:rPr>
        <w:t>and</w:t>
      </w:r>
      <w:r w:rsidR="00557F29" w:rsidRPr="00EC783D">
        <w:rPr>
          <w:rFonts w:ascii="Times New Roman" w:hAnsi="Times New Roman" w:cs="Times New Roman"/>
          <w:spacing w:val="4"/>
          <w:sz w:val="24"/>
          <w:szCs w:val="24"/>
        </w:rPr>
        <w:t xml:space="preserve"> </w:t>
      </w:r>
      <w:r w:rsidR="00557F29" w:rsidRPr="00EC783D">
        <w:rPr>
          <w:rFonts w:ascii="Times New Roman" w:hAnsi="Times New Roman" w:cs="Times New Roman"/>
          <w:spacing w:val="-2"/>
          <w:sz w:val="24"/>
          <w:szCs w:val="24"/>
        </w:rPr>
        <w:t>animal</w:t>
      </w:r>
      <w:r w:rsidR="00557F29" w:rsidRPr="00EC783D">
        <w:rPr>
          <w:rFonts w:ascii="Times New Roman" w:hAnsi="Times New Roman" w:cs="Times New Roman"/>
          <w:spacing w:val="5"/>
          <w:sz w:val="24"/>
          <w:szCs w:val="24"/>
        </w:rPr>
        <w:t xml:space="preserve"> </w:t>
      </w:r>
      <w:r w:rsidR="00557F29" w:rsidRPr="00EC783D">
        <w:rPr>
          <w:rFonts w:ascii="Times New Roman" w:hAnsi="Times New Roman" w:cs="Times New Roman"/>
          <w:spacing w:val="-2"/>
          <w:sz w:val="24"/>
          <w:szCs w:val="24"/>
        </w:rPr>
        <w:t>grouping</w:t>
      </w:r>
    </w:p>
    <w:p w14:paraId="30CFE141" w14:textId="01B6651A" w:rsidR="001A1EA2" w:rsidRPr="00EC783D" w:rsidRDefault="001A1EA2" w:rsidP="00EC783D">
      <w:pPr>
        <w:pStyle w:val="BodyText"/>
        <w:spacing w:before="149" w:line="480" w:lineRule="auto"/>
        <w:ind w:left="66" w:right="27"/>
        <w:jc w:val="both"/>
        <w:rPr>
          <w:rFonts w:ascii="Times New Roman" w:hAnsi="Times New Roman" w:cs="Times New Roman"/>
          <w:sz w:val="24"/>
          <w:szCs w:val="24"/>
        </w:rPr>
      </w:pPr>
      <w:r w:rsidRPr="00EC783D">
        <w:rPr>
          <w:rFonts w:ascii="Times New Roman" w:hAnsi="Times New Roman" w:cs="Times New Roman"/>
          <w:sz w:val="24"/>
          <w:szCs w:val="24"/>
        </w:rPr>
        <w:t xml:space="preserve">After two weeks of acclimatization and completion of toxicity tests for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the animals were randomly divided into five groups: A, B, C, D, and E, with five rats in each group (n = 5). Group A served as the normal control and received only standard feed and distilled water throughout the experiment. Group B acted as the positive control and was administered 20 mg</w:t>
      </w:r>
      <w:r w:rsidR="00C97239" w:rsidRPr="00EC783D">
        <w:rPr>
          <w:rFonts w:ascii="Times New Roman" w:hAnsi="Times New Roman" w:cs="Times New Roman"/>
          <w:sz w:val="24"/>
          <w:szCs w:val="24"/>
        </w:rPr>
        <w:t>/kg</w:t>
      </w:r>
      <w:r w:rsidRPr="00EC783D">
        <w:rPr>
          <w:rFonts w:ascii="Times New Roman" w:hAnsi="Times New Roman" w:cs="Times New Roman"/>
          <w:sz w:val="24"/>
          <w:szCs w:val="24"/>
        </w:rPr>
        <w:t xml:space="preserve"> of paraquat daily for two weeks without any subsequent treatment. Groups C</w:t>
      </w:r>
      <w:r w:rsidR="008222E7">
        <w:rPr>
          <w:rFonts w:ascii="Times New Roman" w:hAnsi="Times New Roman" w:cs="Times New Roman"/>
          <w:sz w:val="24"/>
          <w:szCs w:val="24"/>
        </w:rPr>
        <w:t xml:space="preserve"> received 200 mg/kg of </w:t>
      </w:r>
      <w:proofErr w:type="spellStart"/>
      <w:r w:rsidR="008222E7">
        <w:rPr>
          <w:rFonts w:ascii="Times New Roman" w:hAnsi="Times New Roman" w:cs="Times New Roman"/>
          <w:sz w:val="24"/>
          <w:szCs w:val="24"/>
        </w:rPr>
        <w:t>Jigsimur</w:t>
      </w:r>
      <w:proofErr w:type="spellEnd"/>
      <w:r w:rsidR="008222E7">
        <w:rPr>
          <w:rFonts w:ascii="Times New Roman" w:hAnsi="Times New Roman" w:cs="Times New Roman"/>
          <w:sz w:val="24"/>
          <w:szCs w:val="24"/>
        </w:rPr>
        <w:t xml:space="preserve"> daily for four weeks while</w:t>
      </w:r>
      <w:r w:rsidRPr="00EC783D">
        <w:rPr>
          <w:rFonts w:ascii="Times New Roman" w:hAnsi="Times New Roman" w:cs="Times New Roman"/>
          <w:sz w:val="24"/>
          <w:szCs w:val="24"/>
        </w:rPr>
        <w:t xml:space="preserve"> D, and </w:t>
      </w:r>
      <w:proofErr w:type="spellStart"/>
      <w:r w:rsidRPr="00EC783D">
        <w:rPr>
          <w:rFonts w:ascii="Times New Roman" w:hAnsi="Times New Roman" w:cs="Times New Roman"/>
          <w:sz w:val="24"/>
          <w:szCs w:val="24"/>
        </w:rPr>
        <w:t>E</w:t>
      </w:r>
      <w:proofErr w:type="spellEnd"/>
      <w:r w:rsidRPr="00EC783D">
        <w:rPr>
          <w:rFonts w:ascii="Times New Roman" w:hAnsi="Times New Roman" w:cs="Times New Roman"/>
          <w:sz w:val="24"/>
          <w:szCs w:val="24"/>
        </w:rPr>
        <w:t xml:space="preserve"> were the treatment groups, all initially exposed to 20 mg</w:t>
      </w:r>
      <w:r w:rsidR="00DF71F9" w:rsidRPr="00EC783D">
        <w:rPr>
          <w:rFonts w:ascii="Times New Roman" w:hAnsi="Times New Roman" w:cs="Times New Roman"/>
          <w:sz w:val="24"/>
          <w:szCs w:val="24"/>
        </w:rPr>
        <w:t>/kg</w:t>
      </w:r>
      <w:r w:rsidRPr="00EC783D">
        <w:rPr>
          <w:rFonts w:ascii="Times New Roman" w:hAnsi="Times New Roman" w:cs="Times New Roman"/>
          <w:sz w:val="24"/>
          <w:szCs w:val="24"/>
        </w:rPr>
        <w:t xml:space="preserve"> of paraquat daily for two weeks to induce nephrotoxicity. Following thi</w:t>
      </w:r>
      <w:r w:rsidR="008222E7">
        <w:rPr>
          <w:rFonts w:ascii="Times New Roman" w:hAnsi="Times New Roman" w:cs="Times New Roman"/>
          <w:sz w:val="24"/>
          <w:szCs w:val="24"/>
        </w:rPr>
        <w:t>s, Group D received 2</w:t>
      </w:r>
      <w:r w:rsidRPr="00EC783D">
        <w:rPr>
          <w:rFonts w:ascii="Times New Roman" w:hAnsi="Times New Roman" w:cs="Times New Roman"/>
          <w:sz w:val="24"/>
          <w:szCs w:val="24"/>
        </w:rPr>
        <w:t xml:space="preserve">00 mg/kg of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daily for fo</w:t>
      </w:r>
      <w:r w:rsidR="008222E7">
        <w:rPr>
          <w:rFonts w:ascii="Times New Roman" w:hAnsi="Times New Roman" w:cs="Times New Roman"/>
          <w:sz w:val="24"/>
          <w:szCs w:val="24"/>
        </w:rPr>
        <w:t>ur weeks, and Group E received 4</w:t>
      </w:r>
      <w:r w:rsidRPr="00EC783D">
        <w:rPr>
          <w:rFonts w:ascii="Times New Roman" w:hAnsi="Times New Roman" w:cs="Times New Roman"/>
          <w:sz w:val="24"/>
          <w:szCs w:val="24"/>
        </w:rPr>
        <w:t xml:space="preserve">00 mg/kg of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daily for the same duration. </w:t>
      </w:r>
    </w:p>
    <w:p w14:paraId="5F6CC259" w14:textId="77777777" w:rsidR="00557F29" w:rsidRPr="00EC783D" w:rsidRDefault="00557F29" w:rsidP="00EC783D">
      <w:pPr>
        <w:pStyle w:val="BodyText"/>
        <w:spacing w:before="70" w:line="480" w:lineRule="auto"/>
        <w:rPr>
          <w:rFonts w:ascii="Times New Roman" w:hAnsi="Times New Roman" w:cs="Times New Roman"/>
          <w:sz w:val="24"/>
          <w:szCs w:val="24"/>
        </w:rPr>
      </w:pPr>
    </w:p>
    <w:p w14:paraId="6A68ABF8" w14:textId="0E701B2E" w:rsidR="00557F29" w:rsidRPr="00EC783D" w:rsidRDefault="00EC783D" w:rsidP="00EC783D">
      <w:pPr>
        <w:pStyle w:val="Heading2"/>
        <w:spacing w:line="480" w:lineRule="auto"/>
        <w:ind w:left="71"/>
        <w:jc w:val="both"/>
        <w:rPr>
          <w:rFonts w:ascii="Times New Roman" w:hAnsi="Times New Roman" w:cs="Times New Roman"/>
          <w:sz w:val="24"/>
          <w:szCs w:val="24"/>
        </w:rPr>
      </w:pPr>
      <w:r>
        <w:rPr>
          <w:rFonts w:ascii="Times New Roman" w:hAnsi="Times New Roman" w:cs="Times New Roman"/>
          <w:sz w:val="24"/>
          <w:szCs w:val="24"/>
        </w:rPr>
        <w:t xml:space="preserve">2.5 </w:t>
      </w:r>
      <w:r w:rsidR="00557F29" w:rsidRPr="00EC783D">
        <w:rPr>
          <w:rFonts w:ascii="Times New Roman" w:hAnsi="Times New Roman" w:cs="Times New Roman"/>
          <w:sz w:val="24"/>
          <w:szCs w:val="24"/>
        </w:rPr>
        <w:t>Animal</w:t>
      </w:r>
      <w:r w:rsidR="00557F29" w:rsidRPr="00EC783D">
        <w:rPr>
          <w:rFonts w:ascii="Times New Roman" w:hAnsi="Times New Roman" w:cs="Times New Roman"/>
          <w:spacing w:val="-5"/>
          <w:sz w:val="24"/>
          <w:szCs w:val="24"/>
        </w:rPr>
        <w:t xml:space="preserve"> </w:t>
      </w:r>
      <w:r w:rsidR="00557F29" w:rsidRPr="00EC783D">
        <w:rPr>
          <w:rFonts w:ascii="Times New Roman" w:hAnsi="Times New Roman" w:cs="Times New Roman"/>
          <w:sz w:val="24"/>
          <w:szCs w:val="24"/>
        </w:rPr>
        <w:t>sacrifice,</w:t>
      </w:r>
      <w:r w:rsidR="00557F29" w:rsidRPr="00EC783D">
        <w:rPr>
          <w:rFonts w:ascii="Times New Roman" w:hAnsi="Times New Roman" w:cs="Times New Roman"/>
          <w:spacing w:val="-4"/>
          <w:sz w:val="24"/>
          <w:szCs w:val="24"/>
        </w:rPr>
        <w:t xml:space="preserve"> </w:t>
      </w:r>
      <w:r w:rsidR="00557F29" w:rsidRPr="00EC783D">
        <w:rPr>
          <w:rFonts w:ascii="Times New Roman" w:hAnsi="Times New Roman" w:cs="Times New Roman"/>
          <w:sz w:val="24"/>
          <w:szCs w:val="24"/>
        </w:rPr>
        <w:t>organ</w:t>
      </w:r>
      <w:r w:rsidR="00557F29" w:rsidRPr="00EC783D">
        <w:rPr>
          <w:rFonts w:ascii="Times New Roman" w:hAnsi="Times New Roman" w:cs="Times New Roman"/>
          <w:spacing w:val="-4"/>
          <w:sz w:val="24"/>
          <w:szCs w:val="24"/>
        </w:rPr>
        <w:t xml:space="preserve"> </w:t>
      </w:r>
      <w:r w:rsidR="00557F29" w:rsidRPr="00EC783D">
        <w:rPr>
          <w:rFonts w:ascii="Times New Roman" w:hAnsi="Times New Roman" w:cs="Times New Roman"/>
          <w:sz w:val="24"/>
          <w:szCs w:val="24"/>
        </w:rPr>
        <w:t>harvesting</w:t>
      </w:r>
      <w:r w:rsidR="00557F29" w:rsidRPr="00EC783D">
        <w:rPr>
          <w:rFonts w:ascii="Times New Roman" w:hAnsi="Times New Roman" w:cs="Times New Roman"/>
          <w:spacing w:val="-4"/>
          <w:sz w:val="24"/>
          <w:szCs w:val="24"/>
        </w:rPr>
        <w:t xml:space="preserve"> </w:t>
      </w:r>
      <w:r w:rsidR="00557F29" w:rsidRPr="00EC783D">
        <w:rPr>
          <w:rFonts w:ascii="Times New Roman" w:hAnsi="Times New Roman" w:cs="Times New Roman"/>
          <w:sz w:val="24"/>
          <w:szCs w:val="24"/>
        </w:rPr>
        <w:t>and</w:t>
      </w:r>
      <w:r w:rsidR="00557F29" w:rsidRPr="00EC783D">
        <w:rPr>
          <w:rFonts w:ascii="Times New Roman" w:hAnsi="Times New Roman" w:cs="Times New Roman"/>
          <w:spacing w:val="-5"/>
          <w:sz w:val="24"/>
          <w:szCs w:val="24"/>
        </w:rPr>
        <w:t xml:space="preserve"> </w:t>
      </w:r>
      <w:r w:rsidR="00557F29" w:rsidRPr="00EC783D">
        <w:rPr>
          <w:rFonts w:ascii="Times New Roman" w:hAnsi="Times New Roman" w:cs="Times New Roman"/>
          <w:sz w:val="24"/>
          <w:szCs w:val="24"/>
        </w:rPr>
        <w:t>collection</w:t>
      </w:r>
      <w:r w:rsidR="00557F29" w:rsidRPr="00EC783D">
        <w:rPr>
          <w:rFonts w:ascii="Times New Roman" w:hAnsi="Times New Roman" w:cs="Times New Roman"/>
          <w:spacing w:val="-4"/>
          <w:sz w:val="24"/>
          <w:szCs w:val="24"/>
        </w:rPr>
        <w:t xml:space="preserve"> </w:t>
      </w:r>
      <w:r w:rsidR="00557F29" w:rsidRPr="00EC783D">
        <w:rPr>
          <w:rFonts w:ascii="Times New Roman" w:hAnsi="Times New Roman" w:cs="Times New Roman"/>
          <w:sz w:val="24"/>
          <w:szCs w:val="24"/>
        </w:rPr>
        <w:t>of</w:t>
      </w:r>
      <w:r w:rsidR="00557F29" w:rsidRPr="00EC783D">
        <w:rPr>
          <w:rFonts w:ascii="Times New Roman" w:hAnsi="Times New Roman" w:cs="Times New Roman"/>
          <w:spacing w:val="-4"/>
          <w:sz w:val="24"/>
          <w:szCs w:val="24"/>
        </w:rPr>
        <w:t xml:space="preserve"> </w:t>
      </w:r>
      <w:r w:rsidR="00557F29" w:rsidRPr="00EC783D">
        <w:rPr>
          <w:rFonts w:ascii="Times New Roman" w:hAnsi="Times New Roman" w:cs="Times New Roman"/>
          <w:sz w:val="24"/>
          <w:szCs w:val="24"/>
        </w:rPr>
        <w:t>blood</w:t>
      </w:r>
      <w:r w:rsidR="00557F29" w:rsidRPr="00EC783D">
        <w:rPr>
          <w:rFonts w:ascii="Times New Roman" w:hAnsi="Times New Roman" w:cs="Times New Roman"/>
          <w:spacing w:val="-4"/>
          <w:sz w:val="24"/>
          <w:szCs w:val="24"/>
        </w:rPr>
        <w:t xml:space="preserve"> </w:t>
      </w:r>
      <w:r w:rsidR="00557F29" w:rsidRPr="00EC783D">
        <w:rPr>
          <w:rFonts w:ascii="Times New Roman" w:hAnsi="Times New Roman" w:cs="Times New Roman"/>
          <w:spacing w:val="-2"/>
          <w:sz w:val="24"/>
          <w:szCs w:val="24"/>
        </w:rPr>
        <w:t>samples</w:t>
      </w:r>
    </w:p>
    <w:p w14:paraId="0D8FA4C4" w14:textId="1AA145B1" w:rsidR="0088528E" w:rsidRPr="00EC783D" w:rsidRDefault="00557F29" w:rsidP="00EC783D">
      <w:pPr>
        <w:pStyle w:val="BodyText"/>
        <w:spacing w:before="129" w:line="480" w:lineRule="auto"/>
        <w:ind w:left="47" w:right="46"/>
        <w:jc w:val="both"/>
        <w:rPr>
          <w:rFonts w:ascii="Times New Roman" w:hAnsi="Times New Roman" w:cs="Times New Roman"/>
          <w:sz w:val="24"/>
          <w:szCs w:val="24"/>
        </w:rPr>
      </w:pPr>
      <w:r w:rsidRPr="00EC783D">
        <w:rPr>
          <w:rFonts w:ascii="Times New Roman" w:hAnsi="Times New Roman" w:cs="Times New Roman"/>
          <w:sz w:val="24"/>
          <w:szCs w:val="24"/>
        </w:rPr>
        <w:t>Twenty- four hours after the last administration, the rats were</w:t>
      </w:r>
      <w:r w:rsidR="00661C94" w:rsidRPr="00EC783D">
        <w:rPr>
          <w:rFonts w:ascii="Times New Roman" w:hAnsi="Times New Roman" w:cs="Times New Roman"/>
          <w:sz w:val="24"/>
          <w:szCs w:val="24"/>
        </w:rPr>
        <w:t xml:space="preserve"> euthanized with Ketamine doses after which blood samples were collected via ocular puncture for biochemical</w:t>
      </w:r>
      <w:r w:rsidR="00BD6FC3" w:rsidRPr="00EC783D">
        <w:rPr>
          <w:rFonts w:ascii="Times New Roman" w:hAnsi="Times New Roman" w:cs="Times New Roman"/>
          <w:sz w:val="24"/>
          <w:szCs w:val="24"/>
        </w:rPr>
        <w:t xml:space="preserve"> (urea and uric acid)</w:t>
      </w:r>
      <w:r w:rsidR="00661C94" w:rsidRPr="00EC783D">
        <w:rPr>
          <w:rFonts w:ascii="Times New Roman" w:hAnsi="Times New Roman" w:cs="Times New Roman"/>
          <w:sz w:val="24"/>
          <w:szCs w:val="24"/>
        </w:rPr>
        <w:t xml:space="preserve"> analysis and </w:t>
      </w:r>
      <w:r w:rsidRPr="00EC783D">
        <w:rPr>
          <w:rFonts w:ascii="Times New Roman" w:hAnsi="Times New Roman" w:cs="Times New Roman"/>
          <w:sz w:val="24"/>
          <w:szCs w:val="24"/>
        </w:rPr>
        <w:t>the</w:t>
      </w:r>
      <w:r w:rsidRPr="00EC783D">
        <w:rPr>
          <w:rFonts w:ascii="Times New Roman" w:hAnsi="Times New Roman" w:cs="Times New Roman"/>
          <w:spacing w:val="-5"/>
          <w:sz w:val="24"/>
          <w:szCs w:val="24"/>
        </w:rPr>
        <w:t xml:space="preserve"> </w:t>
      </w:r>
      <w:r w:rsidR="00661C94" w:rsidRPr="00EC783D">
        <w:rPr>
          <w:rFonts w:ascii="Times New Roman" w:hAnsi="Times New Roman" w:cs="Times New Roman"/>
          <w:sz w:val="24"/>
          <w:szCs w:val="24"/>
        </w:rPr>
        <w:t>kidneys harvested and</w:t>
      </w:r>
      <w:r w:rsidRPr="00EC783D">
        <w:rPr>
          <w:rFonts w:ascii="Times New Roman" w:hAnsi="Times New Roman" w:cs="Times New Roman"/>
          <w:spacing w:val="40"/>
          <w:sz w:val="24"/>
          <w:szCs w:val="24"/>
        </w:rPr>
        <w:t xml:space="preserve"> </w:t>
      </w:r>
      <w:r w:rsidRPr="00EC783D">
        <w:rPr>
          <w:rFonts w:ascii="Times New Roman" w:hAnsi="Times New Roman" w:cs="Times New Roman"/>
          <w:sz w:val="24"/>
          <w:szCs w:val="24"/>
        </w:rPr>
        <w:t>immediately</w:t>
      </w:r>
      <w:r w:rsidRPr="00EC783D">
        <w:rPr>
          <w:rFonts w:ascii="Times New Roman" w:hAnsi="Times New Roman" w:cs="Times New Roman"/>
          <w:spacing w:val="-2"/>
          <w:sz w:val="24"/>
          <w:szCs w:val="24"/>
        </w:rPr>
        <w:t xml:space="preserve"> </w:t>
      </w:r>
      <w:r w:rsidRPr="00EC783D">
        <w:rPr>
          <w:rFonts w:ascii="Times New Roman" w:hAnsi="Times New Roman" w:cs="Times New Roman"/>
          <w:sz w:val="24"/>
          <w:szCs w:val="24"/>
        </w:rPr>
        <w:t>weighed</w:t>
      </w:r>
      <w:r w:rsidRPr="00EC783D">
        <w:rPr>
          <w:rFonts w:ascii="Times New Roman" w:hAnsi="Times New Roman" w:cs="Times New Roman"/>
          <w:spacing w:val="-1"/>
          <w:sz w:val="24"/>
          <w:szCs w:val="24"/>
        </w:rPr>
        <w:t xml:space="preserve"> </w:t>
      </w:r>
      <w:r w:rsidRPr="00EC783D">
        <w:rPr>
          <w:rFonts w:ascii="Times New Roman" w:hAnsi="Times New Roman" w:cs="Times New Roman"/>
          <w:sz w:val="24"/>
          <w:szCs w:val="24"/>
        </w:rPr>
        <w:t>before</w:t>
      </w:r>
      <w:r w:rsidRPr="00EC783D">
        <w:rPr>
          <w:rFonts w:ascii="Times New Roman" w:hAnsi="Times New Roman" w:cs="Times New Roman"/>
          <w:spacing w:val="-1"/>
          <w:sz w:val="24"/>
          <w:szCs w:val="24"/>
        </w:rPr>
        <w:t xml:space="preserve"> </w:t>
      </w:r>
      <w:r w:rsidRPr="00EC783D">
        <w:rPr>
          <w:rFonts w:ascii="Times New Roman" w:hAnsi="Times New Roman" w:cs="Times New Roman"/>
          <w:sz w:val="24"/>
          <w:szCs w:val="24"/>
        </w:rPr>
        <w:t>transferring</w:t>
      </w:r>
      <w:r w:rsidRPr="00EC783D">
        <w:rPr>
          <w:rFonts w:ascii="Times New Roman" w:hAnsi="Times New Roman" w:cs="Times New Roman"/>
          <w:spacing w:val="-2"/>
          <w:sz w:val="24"/>
          <w:szCs w:val="24"/>
        </w:rPr>
        <w:t xml:space="preserve"> </w:t>
      </w:r>
      <w:r w:rsidRPr="00EC783D">
        <w:rPr>
          <w:rFonts w:ascii="Times New Roman" w:hAnsi="Times New Roman" w:cs="Times New Roman"/>
          <w:sz w:val="24"/>
          <w:szCs w:val="24"/>
        </w:rPr>
        <w:t>into</w:t>
      </w:r>
      <w:r w:rsidRPr="00EC783D">
        <w:rPr>
          <w:rFonts w:ascii="Times New Roman" w:hAnsi="Times New Roman" w:cs="Times New Roman"/>
          <w:spacing w:val="-1"/>
          <w:sz w:val="24"/>
          <w:szCs w:val="24"/>
        </w:rPr>
        <w:t xml:space="preserve"> </w:t>
      </w:r>
      <w:r w:rsidRPr="00EC783D">
        <w:rPr>
          <w:rFonts w:ascii="Times New Roman" w:hAnsi="Times New Roman" w:cs="Times New Roman"/>
          <w:sz w:val="24"/>
          <w:szCs w:val="24"/>
        </w:rPr>
        <w:t>10%</w:t>
      </w:r>
      <w:r w:rsidRPr="00EC783D">
        <w:rPr>
          <w:rFonts w:ascii="Times New Roman" w:hAnsi="Times New Roman" w:cs="Times New Roman"/>
          <w:spacing w:val="-1"/>
          <w:sz w:val="24"/>
          <w:szCs w:val="24"/>
        </w:rPr>
        <w:t xml:space="preserve"> </w:t>
      </w:r>
      <w:r w:rsidRPr="00EC783D">
        <w:rPr>
          <w:rFonts w:ascii="Times New Roman" w:hAnsi="Times New Roman" w:cs="Times New Roman"/>
          <w:sz w:val="24"/>
          <w:szCs w:val="24"/>
        </w:rPr>
        <w:t>formal</w:t>
      </w:r>
      <w:r w:rsidRPr="00EC783D">
        <w:rPr>
          <w:rFonts w:ascii="Times New Roman" w:hAnsi="Times New Roman" w:cs="Times New Roman"/>
          <w:spacing w:val="-2"/>
          <w:sz w:val="24"/>
          <w:szCs w:val="24"/>
        </w:rPr>
        <w:t xml:space="preserve"> </w:t>
      </w:r>
      <w:r w:rsidRPr="00EC783D">
        <w:rPr>
          <w:rFonts w:ascii="Times New Roman" w:hAnsi="Times New Roman" w:cs="Times New Roman"/>
          <w:sz w:val="24"/>
          <w:szCs w:val="24"/>
        </w:rPr>
        <w:t>saline</w:t>
      </w:r>
      <w:r w:rsidRPr="00EC783D">
        <w:rPr>
          <w:rFonts w:ascii="Times New Roman" w:hAnsi="Times New Roman" w:cs="Times New Roman"/>
          <w:spacing w:val="-1"/>
          <w:sz w:val="24"/>
          <w:szCs w:val="24"/>
        </w:rPr>
        <w:t xml:space="preserve"> </w:t>
      </w:r>
      <w:r w:rsidRPr="00EC783D">
        <w:rPr>
          <w:rFonts w:ascii="Times New Roman" w:hAnsi="Times New Roman" w:cs="Times New Roman"/>
          <w:sz w:val="24"/>
          <w:szCs w:val="24"/>
        </w:rPr>
        <w:t>for</w:t>
      </w:r>
      <w:r w:rsidRPr="00EC783D">
        <w:rPr>
          <w:rFonts w:ascii="Times New Roman" w:hAnsi="Times New Roman" w:cs="Times New Roman"/>
          <w:spacing w:val="-1"/>
          <w:sz w:val="24"/>
          <w:szCs w:val="24"/>
        </w:rPr>
        <w:t xml:space="preserve"> </w:t>
      </w:r>
      <w:r w:rsidRPr="00EC783D">
        <w:rPr>
          <w:rFonts w:ascii="Times New Roman" w:hAnsi="Times New Roman" w:cs="Times New Roman"/>
          <w:sz w:val="24"/>
          <w:szCs w:val="24"/>
        </w:rPr>
        <w:t>proper</w:t>
      </w:r>
      <w:r w:rsidRPr="00EC783D">
        <w:rPr>
          <w:rFonts w:ascii="Times New Roman" w:hAnsi="Times New Roman" w:cs="Times New Roman"/>
          <w:spacing w:val="-1"/>
          <w:sz w:val="24"/>
          <w:szCs w:val="24"/>
        </w:rPr>
        <w:t xml:space="preserve"> </w:t>
      </w:r>
      <w:r w:rsidRPr="00EC783D">
        <w:rPr>
          <w:rFonts w:ascii="Times New Roman" w:hAnsi="Times New Roman" w:cs="Times New Roman"/>
          <w:sz w:val="24"/>
          <w:szCs w:val="24"/>
        </w:rPr>
        <w:t>fixing</w:t>
      </w:r>
      <w:r w:rsidRPr="00EC783D">
        <w:rPr>
          <w:rFonts w:ascii="Times New Roman" w:hAnsi="Times New Roman" w:cs="Times New Roman"/>
          <w:spacing w:val="-2"/>
          <w:sz w:val="24"/>
          <w:szCs w:val="24"/>
        </w:rPr>
        <w:t xml:space="preserve"> </w:t>
      </w:r>
      <w:r w:rsidRPr="00EC783D">
        <w:rPr>
          <w:rFonts w:ascii="Times New Roman" w:hAnsi="Times New Roman" w:cs="Times New Roman"/>
          <w:sz w:val="24"/>
          <w:szCs w:val="24"/>
        </w:rPr>
        <w:t>for</w:t>
      </w:r>
      <w:r w:rsidRPr="00EC783D">
        <w:rPr>
          <w:rFonts w:ascii="Times New Roman" w:hAnsi="Times New Roman" w:cs="Times New Roman"/>
          <w:spacing w:val="-1"/>
          <w:sz w:val="24"/>
          <w:szCs w:val="24"/>
        </w:rPr>
        <w:t xml:space="preserve"> </w:t>
      </w:r>
      <w:r w:rsidRPr="00EC783D">
        <w:rPr>
          <w:rFonts w:ascii="Times New Roman" w:hAnsi="Times New Roman" w:cs="Times New Roman"/>
          <w:sz w:val="24"/>
          <w:szCs w:val="24"/>
        </w:rPr>
        <w:t>histological</w:t>
      </w:r>
      <w:r w:rsidRPr="00EC783D">
        <w:rPr>
          <w:rFonts w:ascii="Times New Roman" w:hAnsi="Times New Roman" w:cs="Times New Roman"/>
          <w:spacing w:val="-2"/>
          <w:sz w:val="24"/>
          <w:szCs w:val="24"/>
        </w:rPr>
        <w:t xml:space="preserve"> </w:t>
      </w:r>
      <w:r w:rsidR="00661C94" w:rsidRPr="00EC783D">
        <w:rPr>
          <w:rFonts w:ascii="Times New Roman" w:hAnsi="Times New Roman" w:cs="Times New Roman"/>
          <w:sz w:val="24"/>
          <w:szCs w:val="24"/>
        </w:rPr>
        <w:t xml:space="preserve">processing and histopathological </w:t>
      </w:r>
      <w:r w:rsidRPr="00EC783D">
        <w:rPr>
          <w:rFonts w:ascii="Times New Roman" w:hAnsi="Times New Roman" w:cs="Times New Roman"/>
          <w:sz w:val="24"/>
          <w:szCs w:val="24"/>
        </w:rPr>
        <w:t xml:space="preserve">analysis. </w:t>
      </w:r>
    </w:p>
    <w:p w14:paraId="37FB5784" w14:textId="69279C67" w:rsidR="00A53193" w:rsidRPr="00EC783D" w:rsidRDefault="00EC783D" w:rsidP="00EC783D">
      <w:pPr>
        <w:pStyle w:val="BodyText"/>
        <w:spacing w:before="129" w:line="480" w:lineRule="auto"/>
        <w:ind w:left="47" w:right="46"/>
        <w:jc w:val="both"/>
        <w:rPr>
          <w:rFonts w:ascii="Times New Roman" w:hAnsi="Times New Roman" w:cs="Times New Roman"/>
          <w:b/>
          <w:sz w:val="24"/>
          <w:szCs w:val="24"/>
        </w:rPr>
      </w:pPr>
      <w:r>
        <w:rPr>
          <w:rFonts w:ascii="Times New Roman" w:hAnsi="Times New Roman" w:cs="Times New Roman"/>
          <w:b/>
          <w:sz w:val="24"/>
          <w:szCs w:val="24"/>
        </w:rPr>
        <w:t xml:space="preserve">2.6 </w:t>
      </w:r>
      <w:r w:rsidR="009A4C0B" w:rsidRPr="00EC783D">
        <w:rPr>
          <w:rFonts w:ascii="Times New Roman" w:hAnsi="Times New Roman" w:cs="Times New Roman"/>
          <w:b/>
          <w:sz w:val="24"/>
          <w:szCs w:val="24"/>
        </w:rPr>
        <w:t xml:space="preserve">Estimation of Serum Urea, </w:t>
      </w:r>
      <w:r w:rsidR="00A53193" w:rsidRPr="00EC783D">
        <w:rPr>
          <w:rFonts w:ascii="Times New Roman" w:hAnsi="Times New Roman" w:cs="Times New Roman"/>
          <w:b/>
          <w:sz w:val="24"/>
          <w:szCs w:val="24"/>
        </w:rPr>
        <w:t>Uric Acid</w:t>
      </w:r>
      <w:r w:rsidR="009A4C0B" w:rsidRPr="00EC783D">
        <w:rPr>
          <w:rFonts w:ascii="Times New Roman" w:hAnsi="Times New Roman" w:cs="Times New Roman"/>
          <w:b/>
          <w:sz w:val="24"/>
          <w:szCs w:val="24"/>
        </w:rPr>
        <w:t xml:space="preserve"> and Creatinine</w:t>
      </w:r>
    </w:p>
    <w:p w14:paraId="6B993029" w14:textId="766D8342" w:rsidR="000B4E8B" w:rsidRPr="00EC783D" w:rsidRDefault="00A53193" w:rsidP="00EC783D">
      <w:pPr>
        <w:pStyle w:val="BodyText"/>
        <w:spacing w:before="26" w:after="240"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Serum Urea concentration was determined using urease-Berthelot colorimetric method as described in the Randox kit manual. In this method, urease enzyme </w:t>
      </w:r>
      <w:r w:rsidR="000B4E8B" w:rsidRPr="00EC783D">
        <w:rPr>
          <w:rFonts w:ascii="Times New Roman" w:hAnsi="Times New Roman" w:cs="Times New Roman"/>
          <w:sz w:val="24"/>
          <w:szCs w:val="24"/>
        </w:rPr>
        <w:t>hydrolyzes urea to produce ammonia and carbon dioxide. The ammonia released reacts with hypochlorite and phenol in the presence of a catalyst to form a blue-</w:t>
      </w:r>
      <w:proofErr w:type="spellStart"/>
      <w:r w:rsidR="000B4E8B" w:rsidRPr="00EC783D">
        <w:rPr>
          <w:rFonts w:ascii="Times New Roman" w:hAnsi="Times New Roman" w:cs="Times New Roman"/>
          <w:sz w:val="24"/>
          <w:szCs w:val="24"/>
        </w:rPr>
        <w:t>coloured</w:t>
      </w:r>
      <w:proofErr w:type="spellEnd"/>
      <w:r w:rsidR="000B4E8B" w:rsidRPr="00EC783D">
        <w:rPr>
          <w:rFonts w:ascii="Times New Roman" w:hAnsi="Times New Roman" w:cs="Times New Roman"/>
          <w:sz w:val="24"/>
          <w:szCs w:val="24"/>
        </w:rPr>
        <w:t xml:space="preserve"> indophenol complex, which is measured spectrophotometrically at 578 nm. The intensity of the </w:t>
      </w:r>
      <w:proofErr w:type="spellStart"/>
      <w:r w:rsidR="000B4E8B" w:rsidRPr="00EC783D">
        <w:rPr>
          <w:rFonts w:ascii="Times New Roman" w:hAnsi="Times New Roman" w:cs="Times New Roman"/>
          <w:sz w:val="24"/>
          <w:szCs w:val="24"/>
        </w:rPr>
        <w:t>colour</w:t>
      </w:r>
      <w:proofErr w:type="spellEnd"/>
      <w:r w:rsidR="000B4E8B" w:rsidRPr="00EC783D">
        <w:rPr>
          <w:rFonts w:ascii="Times New Roman" w:hAnsi="Times New Roman" w:cs="Times New Roman"/>
          <w:sz w:val="24"/>
          <w:szCs w:val="24"/>
        </w:rPr>
        <w:t xml:space="preserve"> is directly proportional to the urea concentration in the serum sample (Randox Laboratories, 2017). </w:t>
      </w:r>
    </w:p>
    <w:p w14:paraId="43F2D46A" w14:textId="3994D485" w:rsidR="00F8617F" w:rsidRPr="00EC783D" w:rsidRDefault="00ED5C55"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lastRenderedPageBreak/>
        <w:t xml:space="preserve">Serum uric acid levels were estimated using the uricase–peroxidase (uricase–POD) colorimetric method according to the instructions provided in the Randox kit manual. In this procedure, uricase enzyme oxidizes uric acid to allantoin and hydrogen peroxide (H₂O₂). The generated hydrogen peroxide then reacts with 4-aminophenazone and phenol under the catalytic action of peroxidase to produce a red-colored </w:t>
      </w:r>
      <w:proofErr w:type="spellStart"/>
      <w:r w:rsidRPr="00EC783D">
        <w:rPr>
          <w:rFonts w:ascii="Times New Roman" w:hAnsi="Times New Roman" w:cs="Times New Roman"/>
          <w:sz w:val="24"/>
          <w:szCs w:val="24"/>
        </w:rPr>
        <w:t>quinoneimine</w:t>
      </w:r>
      <w:proofErr w:type="spellEnd"/>
      <w:r w:rsidRPr="00EC783D">
        <w:rPr>
          <w:rFonts w:ascii="Times New Roman" w:hAnsi="Times New Roman" w:cs="Times New Roman"/>
          <w:sz w:val="24"/>
          <w:szCs w:val="24"/>
        </w:rPr>
        <w:t xml:space="preserve"> dye, which is measured spectrophotometrically at 520 nm. The color intensity is directly proportional to the uric acid concentration in the sample (</w:t>
      </w:r>
      <w:r w:rsidRPr="00EC783D">
        <w:rPr>
          <w:rFonts w:ascii="Times New Roman" w:hAnsi="Times New Roman" w:cs="Times New Roman"/>
        </w:rPr>
        <w:t>Randox Laboratories, 2019)</w:t>
      </w:r>
      <w:r w:rsidRPr="00EC783D">
        <w:rPr>
          <w:rFonts w:ascii="Times New Roman" w:hAnsi="Times New Roman" w:cs="Times New Roman"/>
          <w:sz w:val="24"/>
          <w:szCs w:val="24"/>
        </w:rPr>
        <w:t>.</w:t>
      </w:r>
    </w:p>
    <w:p w14:paraId="027420F8" w14:textId="244F6597" w:rsidR="00F8617F" w:rsidRPr="00EC783D" w:rsidRDefault="00F8617F" w:rsidP="00EC783D">
      <w:pPr>
        <w:spacing w:before="240" w:line="480" w:lineRule="auto"/>
        <w:jc w:val="both"/>
        <w:rPr>
          <w:rFonts w:ascii="Times New Roman" w:hAnsi="Times New Roman" w:cs="Times New Roman"/>
          <w:sz w:val="24"/>
          <w:szCs w:val="24"/>
        </w:rPr>
      </w:pPr>
      <w:r w:rsidRPr="00EC783D">
        <w:rPr>
          <w:rFonts w:ascii="Times New Roman" w:hAnsi="Times New Roman" w:cs="Times New Roman"/>
          <w:sz w:val="24"/>
          <w:szCs w:val="24"/>
        </w:rPr>
        <w:t>Serum creatinine concentration was estimated using the Jaffe colorimetric method, following the protocol provided in the Randox commercial kit. This method is based on the reaction between creatinine and picric acid in an alkaline medium, resulting in the formation of a red-orange colored complex (creatinine–picrate complex). The intensity of the color formed is measured spectrophotometrically at 510 nm, and is directly proportional to the concentration of creatinine in the serum sample (Randox Laboratories, 2016).</w:t>
      </w:r>
    </w:p>
    <w:p w14:paraId="1C8CE9E2" w14:textId="77777777" w:rsidR="00ED5C55" w:rsidRPr="00EC783D" w:rsidRDefault="00ED5C55" w:rsidP="00EC783D">
      <w:pPr>
        <w:spacing w:before="240" w:line="480" w:lineRule="auto"/>
        <w:jc w:val="both"/>
        <w:rPr>
          <w:rFonts w:ascii="Times New Roman" w:hAnsi="Times New Roman" w:cs="Times New Roman"/>
          <w:sz w:val="24"/>
          <w:szCs w:val="24"/>
        </w:rPr>
      </w:pPr>
      <w:r w:rsidRPr="00EC783D">
        <w:rPr>
          <w:rFonts w:ascii="Times New Roman" w:hAnsi="Times New Roman" w:cs="Times New Roman"/>
          <w:sz w:val="24"/>
          <w:szCs w:val="24"/>
        </w:rPr>
        <w:t>All assays were performed using a visible range spectrophotometer, and results were recorded in mg/dL. The procedures were conducted in accordance with the manufacturer’s protocols.</w:t>
      </w:r>
    </w:p>
    <w:p w14:paraId="2BD2CB47" w14:textId="1B8218F5" w:rsidR="000B4E8B" w:rsidRPr="00EC783D" w:rsidRDefault="000B4E8B" w:rsidP="00EC783D">
      <w:pPr>
        <w:pStyle w:val="BodyText"/>
        <w:spacing w:before="26" w:line="480" w:lineRule="auto"/>
        <w:jc w:val="both"/>
        <w:rPr>
          <w:rFonts w:ascii="Times New Roman" w:hAnsi="Times New Roman" w:cs="Times New Roman"/>
          <w:sz w:val="24"/>
          <w:szCs w:val="24"/>
        </w:rPr>
      </w:pPr>
    </w:p>
    <w:p w14:paraId="38B7A751" w14:textId="170FCB63" w:rsidR="00D0261B" w:rsidRPr="00EC783D" w:rsidRDefault="00EC783D" w:rsidP="00EC783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2.7 </w:t>
      </w:r>
      <w:r w:rsidR="00D0261B" w:rsidRPr="00EC783D">
        <w:rPr>
          <w:rFonts w:ascii="Times New Roman" w:hAnsi="Times New Roman" w:cs="Times New Roman"/>
          <w:b/>
          <w:sz w:val="24"/>
          <w:szCs w:val="24"/>
        </w:rPr>
        <w:t>Histopathological Analysis of Kidney Tissue</w:t>
      </w:r>
    </w:p>
    <w:p w14:paraId="789A9887" w14:textId="4023B808" w:rsidR="00D0261B" w:rsidRPr="00EC783D" w:rsidRDefault="00D0261B"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The fixed Kidney tissues went through various histological processes. They were dehydrated through ascending grades of ethanol, cleared in xylene, and embedded in paraffin wax. Using a rotary microtome, tissue sections of approximately 5 </w:t>
      </w:r>
      <w:proofErr w:type="spellStart"/>
      <w:r w:rsidRPr="00EC783D">
        <w:rPr>
          <w:rFonts w:ascii="Times New Roman" w:hAnsi="Times New Roman" w:cs="Times New Roman"/>
          <w:sz w:val="24"/>
          <w:szCs w:val="24"/>
        </w:rPr>
        <w:t>μm</w:t>
      </w:r>
      <w:proofErr w:type="spellEnd"/>
      <w:r w:rsidRPr="00EC783D">
        <w:rPr>
          <w:rFonts w:ascii="Times New Roman" w:hAnsi="Times New Roman" w:cs="Times New Roman"/>
          <w:sz w:val="24"/>
          <w:szCs w:val="24"/>
        </w:rPr>
        <w:t xml:space="preserve"> thickness were obtained and mounted on clean glass slides. The sections were stained with hematoxylin and eosin (H&amp;E) for general histological evaluation.</w:t>
      </w:r>
    </w:p>
    <w:p w14:paraId="5DDA6588" w14:textId="77777777" w:rsidR="00D0261B" w:rsidRPr="00EC783D" w:rsidRDefault="00D0261B"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Microscopic examination was conducted under light microscopy to assess renal architecture and detect pathological changes. Parameters evaluated included glomerular morphology, Bowman’s space integrity, tubular epithelial cell degeneration, inflammatory cell infiltration, and interstitial fibrosis. Photomicrographs of representative fields were captured for documentation and comparison across experimental groups.</w:t>
      </w:r>
    </w:p>
    <w:p w14:paraId="690429BF" w14:textId="735C7FB3" w:rsidR="00ED5C55" w:rsidRPr="00EC783D" w:rsidRDefault="00ED5C55" w:rsidP="00EC783D">
      <w:pPr>
        <w:pStyle w:val="BodyText"/>
        <w:spacing w:before="26" w:line="480" w:lineRule="auto"/>
        <w:jc w:val="both"/>
        <w:rPr>
          <w:rFonts w:ascii="Times New Roman" w:hAnsi="Times New Roman" w:cs="Times New Roman"/>
          <w:sz w:val="24"/>
          <w:szCs w:val="24"/>
        </w:rPr>
      </w:pPr>
    </w:p>
    <w:p w14:paraId="3E9BE944" w14:textId="77777777" w:rsidR="00D0261B" w:rsidRPr="00EC783D" w:rsidRDefault="00D0261B" w:rsidP="00EC783D">
      <w:pPr>
        <w:pStyle w:val="BodyText"/>
        <w:spacing w:before="26" w:line="480" w:lineRule="auto"/>
        <w:jc w:val="both"/>
        <w:rPr>
          <w:rFonts w:ascii="Times New Roman" w:hAnsi="Times New Roman" w:cs="Times New Roman"/>
          <w:sz w:val="24"/>
          <w:szCs w:val="24"/>
        </w:rPr>
      </w:pPr>
    </w:p>
    <w:p w14:paraId="4921CE6A" w14:textId="5EE443AB" w:rsidR="0088528E" w:rsidRPr="00EC783D" w:rsidRDefault="00EC783D" w:rsidP="00EC783D">
      <w:pPr>
        <w:pStyle w:val="Heading2"/>
        <w:spacing w:line="480" w:lineRule="auto"/>
        <w:ind w:left="70"/>
        <w:rPr>
          <w:rFonts w:ascii="Times New Roman" w:hAnsi="Times New Roman" w:cs="Times New Roman"/>
          <w:sz w:val="24"/>
          <w:szCs w:val="24"/>
        </w:rPr>
      </w:pPr>
      <w:r>
        <w:rPr>
          <w:rFonts w:ascii="Times New Roman" w:hAnsi="Times New Roman" w:cs="Times New Roman"/>
          <w:spacing w:val="-2"/>
          <w:sz w:val="24"/>
          <w:szCs w:val="24"/>
        </w:rPr>
        <w:t xml:space="preserve">2.8 </w:t>
      </w:r>
      <w:r w:rsidR="000A17FE" w:rsidRPr="00EC783D">
        <w:rPr>
          <w:rFonts w:ascii="Times New Roman" w:hAnsi="Times New Roman" w:cs="Times New Roman"/>
          <w:spacing w:val="-2"/>
          <w:sz w:val="24"/>
          <w:szCs w:val="24"/>
        </w:rPr>
        <w:t>Statistical</w:t>
      </w:r>
      <w:r w:rsidR="000A17FE" w:rsidRPr="00EC783D">
        <w:rPr>
          <w:rFonts w:ascii="Times New Roman" w:hAnsi="Times New Roman" w:cs="Times New Roman"/>
          <w:spacing w:val="11"/>
          <w:sz w:val="24"/>
          <w:szCs w:val="24"/>
        </w:rPr>
        <w:t xml:space="preserve"> </w:t>
      </w:r>
      <w:r w:rsidR="000A17FE" w:rsidRPr="00EC783D">
        <w:rPr>
          <w:rFonts w:ascii="Times New Roman" w:hAnsi="Times New Roman" w:cs="Times New Roman"/>
          <w:spacing w:val="-2"/>
          <w:sz w:val="24"/>
          <w:szCs w:val="24"/>
        </w:rPr>
        <w:t>Analysis</w:t>
      </w:r>
    </w:p>
    <w:p w14:paraId="6A2C8F89" w14:textId="6090F88C" w:rsidR="00FB5B56" w:rsidRPr="00EC783D" w:rsidRDefault="00FB5B56" w:rsidP="00EC783D">
      <w:pPr>
        <w:pStyle w:val="BodyText"/>
        <w:spacing w:before="130" w:line="480" w:lineRule="auto"/>
        <w:ind w:left="46" w:right="47"/>
        <w:jc w:val="both"/>
        <w:rPr>
          <w:rFonts w:ascii="Times New Roman" w:hAnsi="Times New Roman" w:cs="Times New Roman"/>
          <w:sz w:val="24"/>
          <w:szCs w:val="24"/>
        </w:rPr>
      </w:pPr>
      <w:r w:rsidRPr="00EC783D">
        <w:rPr>
          <w:rFonts w:ascii="Times New Roman" w:hAnsi="Times New Roman" w:cs="Times New Roman"/>
          <w:sz w:val="24"/>
          <w:szCs w:val="24"/>
        </w:rPr>
        <w:t xml:space="preserve">Data of weekly Animal body weights, kidney weights (relative) and biochemical parameters was analyzed using the statistical package of social sciences (SPSS) software version 21.0 (SPSS) Inc. Chicago and Microsoft. Statistical analysis of variance was carried out using student T-test and one way ANOVA (SPSS 21.0). Values obtained was recorded in mean+ standard deviation. A value of p&lt; 0.05 was used as the level of significance. </w:t>
      </w:r>
    </w:p>
    <w:p w14:paraId="349C0AE5" w14:textId="77777777" w:rsidR="00BD6FC3" w:rsidRPr="00EC783D" w:rsidRDefault="00BD6FC3" w:rsidP="00EC783D">
      <w:pPr>
        <w:pStyle w:val="BodyText"/>
        <w:spacing w:before="130" w:line="480" w:lineRule="auto"/>
        <w:ind w:left="46" w:right="47"/>
        <w:jc w:val="both"/>
        <w:rPr>
          <w:rFonts w:ascii="Times New Roman" w:hAnsi="Times New Roman" w:cs="Times New Roman"/>
          <w:sz w:val="24"/>
          <w:szCs w:val="24"/>
        </w:rPr>
      </w:pPr>
    </w:p>
    <w:p w14:paraId="487814AC" w14:textId="71F5303C" w:rsidR="00BD6FC3" w:rsidRPr="00EC783D" w:rsidRDefault="00EC783D" w:rsidP="00EC783D">
      <w:pPr>
        <w:pStyle w:val="Heading1"/>
        <w:spacing w:before="142" w:line="480" w:lineRule="auto"/>
        <w:ind w:left="65"/>
        <w:rPr>
          <w:rFonts w:ascii="Times New Roman" w:hAnsi="Times New Roman" w:cs="Times New Roman"/>
          <w:spacing w:val="-2"/>
          <w:sz w:val="24"/>
          <w:szCs w:val="24"/>
        </w:rPr>
      </w:pPr>
      <w:r>
        <w:rPr>
          <w:rFonts w:ascii="Times New Roman" w:hAnsi="Times New Roman" w:cs="Times New Roman"/>
          <w:spacing w:val="-2"/>
          <w:sz w:val="24"/>
          <w:szCs w:val="24"/>
        </w:rPr>
        <w:t xml:space="preserve">3.0 </w:t>
      </w:r>
      <w:r w:rsidR="000A17FE" w:rsidRPr="00EC783D">
        <w:rPr>
          <w:rFonts w:ascii="Times New Roman" w:hAnsi="Times New Roman" w:cs="Times New Roman"/>
          <w:spacing w:val="-2"/>
          <w:sz w:val="24"/>
          <w:szCs w:val="24"/>
        </w:rPr>
        <w:t>R</w:t>
      </w:r>
      <w:r w:rsidR="0002474F" w:rsidRPr="00EC783D">
        <w:rPr>
          <w:rFonts w:ascii="Times New Roman" w:hAnsi="Times New Roman" w:cs="Times New Roman"/>
          <w:spacing w:val="-2"/>
          <w:sz w:val="24"/>
          <w:szCs w:val="24"/>
        </w:rPr>
        <w:t>ESULTS</w:t>
      </w:r>
    </w:p>
    <w:p w14:paraId="2FBBB57E" w14:textId="1B7D91FF" w:rsidR="00BD6FC3" w:rsidRPr="00EC783D" w:rsidRDefault="00EC783D" w:rsidP="00EC783D">
      <w:pPr>
        <w:pStyle w:val="Heading1"/>
        <w:spacing w:before="142" w:line="480" w:lineRule="auto"/>
        <w:ind w:left="65"/>
        <w:rPr>
          <w:rFonts w:ascii="Times New Roman" w:hAnsi="Times New Roman" w:cs="Times New Roman"/>
          <w:spacing w:val="-2"/>
          <w:sz w:val="24"/>
          <w:szCs w:val="24"/>
        </w:rPr>
      </w:pPr>
      <w:r>
        <w:rPr>
          <w:rFonts w:ascii="Times New Roman" w:hAnsi="Times New Roman" w:cs="Times New Roman"/>
          <w:spacing w:val="-2"/>
          <w:sz w:val="24"/>
          <w:szCs w:val="24"/>
        </w:rPr>
        <w:t xml:space="preserve">3.1 </w:t>
      </w:r>
      <w:r w:rsidR="00BD6FC3" w:rsidRPr="00EC783D">
        <w:rPr>
          <w:rFonts w:ascii="Times New Roman" w:hAnsi="Times New Roman" w:cs="Times New Roman"/>
          <w:spacing w:val="-2"/>
          <w:sz w:val="24"/>
          <w:szCs w:val="24"/>
        </w:rPr>
        <w:t>Body weight Observations</w:t>
      </w:r>
    </w:p>
    <w:p w14:paraId="333E1571" w14:textId="1ABCBADA" w:rsidR="00D46E86" w:rsidRPr="00EC783D" w:rsidRDefault="00BD6FC3" w:rsidP="00EC783D">
      <w:pPr>
        <w:pStyle w:val="BodyText"/>
        <w:spacing w:line="480" w:lineRule="auto"/>
        <w:ind w:left="50" w:right="44"/>
        <w:jc w:val="both"/>
        <w:rPr>
          <w:rFonts w:ascii="Times New Roman" w:hAnsi="Times New Roman" w:cs="Times New Roman"/>
          <w:sz w:val="24"/>
          <w:szCs w:val="24"/>
        </w:rPr>
      </w:pPr>
      <w:r w:rsidRPr="00EC783D">
        <w:rPr>
          <w:rFonts w:ascii="Times New Roman" w:hAnsi="Times New Roman" w:cs="Times New Roman"/>
          <w:sz w:val="24"/>
          <w:szCs w:val="24"/>
        </w:rPr>
        <w:t>Table 1.</w:t>
      </w:r>
      <w:r w:rsidR="00D46E86" w:rsidRPr="00EC783D">
        <w:rPr>
          <w:rFonts w:ascii="Times New Roman" w:hAnsi="Times New Roman" w:cs="Times New Roman"/>
          <w:sz w:val="24"/>
          <w:szCs w:val="24"/>
        </w:rPr>
        <w:t>0 shows</w:t>
      </w:r>
      <w:r w:rsidRPr="00EC783D">
        <w:rPr>
          <w:rFonts w:ascii="Times New Roman" w:hAnsi="Times New Roman" w:cs="Times New Roman"/>
          <w:sz w:val="24"/>
          <w:szCs w:val="24"/>
        </w:rPr>
        <w:t xml:space="preserve"> </w:t>
      </w:r>
      <w:r w:rsidR="00D46E86" w:rsidRPr="00EC783D">
        <w:rPr>
          <w:rFonts w:ascii="Times New Roman" w:hAnsi="Times New Roman" w:cs="Times New Roman"/>
          <w:sz w:val="24"/>
          <w:szCs w:val="24"/>
        </w:rPr>
        <w:t xml:space="preserve">body weight data </w:t>
      </w:r>
      <w:r w:rsidRPr="00EC783D">
        <w:rPr>
          <w:rFonts w:ascii="Times New Roman" w:hAnsi="Times New Roman" w:cs="Times New Roman"/>
          <w:sz w:val="24"/>
          <w:szCs w:val="24"/>
        </w:rPr>
        <w:t>analyzed using Student dependent T-test</w:t>
      </w:r>
      <w:r w:rsidR="00D46E86" w:rsidRPr="00EC783D">
        <w:rPr>
          <w:rFonts w:ascii="Times New Roman" w:hAnsi="Times New Roman" w:cs="Times New Roman"/>
          <w:sz w:val="24"/>
          <w:szCs w:val="24"/>
        </w:rPr>
        <w:t>.</w:t>
      </w:r>
      <w:r w:rsidRPr="00EC783D">
        <w:rPr>
          <w:rFonts w:ascii="Times New Roman" w:hAnsi="Times New Roman" w:cs="Times New Roman"/>
          <w:sz w:val="24"/>
          <w:szCs w:val="24"/>
        </w:rPr>
        <w:t xml:space="preserve"> Result shows </w:t>
      </w:r>
      <w:r w:rsidR="00D46E86" w:rsidRPr="00EC783D">
        <w:rPr>
          <w:rFonts w:ascii="Times New Roman" w:hAnsi="Times New Roman" w:cs="Times New Roman"/>
          <w:sz w:val="24"/>
          <w:szCs w:val="24"/>
        </w:rPr>
        <w:t>that all experimental animals gained weight when their initial weight was compared to their final weight.</w:t>
      </w:r>
    </w:p>
    <w:p w14:paraId="462924D7" w14:textId="165F0434" w:rsidR="00BD6FC3" w:rsidRPr="00EC783D" w:rsidRDefault="00BD6FC3" w:rsidP="008222E7">
      <w:pPr>
        <w:pStyle w:val="Heading1"/>
        <w:spacing w:before="142" w:line="480" w:lineRule="auto"/>
        <w:ind w:left="0"/>
        <w:rPr>
          <w:rFonts w:ascii="Times New Roman" w:hAnsi="Times New Roman" w:cs="Times New Roman"/>
          <w:b w:val="0"/>
          <w:sz w:val="24"/>
          <w:szCs w:val="24"/>
        </w:rPr>
      </w:pPr>
      <w:r w:rsidRPr="00EC783D">
        <w:rPr>
          <w:rFonts w:ascii="Times New Roman" w:hAnsi="Times New Roman" w:cs="Times New Roman"/>
          <w:b w:val="0"/>
          <w:sz w:val="24"/>
          <w:szCs w:val="24"/>
        </w:rPr>
        <w:t>Table 1.0 Body weight changes</w:t>
      </w:r>
    </w:p>
    <w:p w14:paraId="0789A2D0" w14:textId="77777777" w:rsidR="0088528E" w:rsidRPr="00EC783D" w:rsidRDefault="0088528E" w:rsidP="00EC783D">
      <w:pPr>
        <w:pStyle w:val="BodyText"/>
        <w:spacing w:before="5" w:line="480" w:lineRule="auto"/>
        <w:rPr>
          <w:rFonts w:ascii="Times New Roman" w:hAnsi="Times New Roman" w:cs="Times New Roman"/>
          <w:b/>
          <w:sz w:val="24"/>
          <w:szCs w:val="24"/>
        </w:rPr>
      </w:pPr>
    </w:p>
    <w:tbl>
      <w:tblPr>
        <w:tblW w:w="9882"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610"/>
        <w:gridCol w:w="1667"/>
        <w:gridCol w:w="1170"/>
        <w:gridCol w:w="1015"/>
        <w:gridCol w:w="990"/>
        <w:gridCol w:w="1170"/>
        <w:gridCol w:w="1260"/>
      </w:tblGrid>
      <w:tr w:rsidR="00C641B4" w:rsidRPr="00EC783D" w14:paraId="46ED31AF" w14:textId="77777777" w:rsidTr="00034575">
        <w:trPr>
          <w:cantSplit/>
          <w:trHeight w:val="351"/>
          <w:jc w:val="center"/>
        </w:trPr>
        <w:tc>
          <w:tcPr>
            <w:tcW w:w="4277" w:type="dxa"/>
            <w:gridSpan w:val="2"/>
            <w:tcBorders>
              <w:bottom w:val="single" w:sz="4" w:space="0" w:color="auto"/>
            </w:tcBorders>
            <w:shd w:val="clear" w:color="FFFFFF" w:fill="auto"/>
            <w:tcMar>
              <w:top w:w="0" w:type="dxa"/>
              <w:left w:w="0" w:type="dxa"/>
              <w:bottom w:w="0" w:type="dxa"/>
              <w:right w:w="0" w:type="dxa"/>
            </w:tcMar>
            <w:vAlign w:val="bottom"/>
          </w:tcPr>
          <w:p w14:paraId="12714B1D" w14:textId="77777777" w:rsidR="00A955A1" w:rsidRPr="00EC783D" w:rsidRDefault="00A955A1" w:rsidP="00EC783D">
            <w:pPr>
              <w:spacing w:line="480" w:lineRule="auto"/>
              <w:rPr>
                <w:rFonts w:ascii="Times New Roman" w:hAnsi="Times New Roman" w:cs="Times New Roman"/>
                <w:sz w:val="24"/>
                <w:szCs w:val="24"/>
              </w:rPr>
            </w:pPr>
          </w:p>
        </w:tc>
        <w:tc>
          <w:tcPr>
            <w:tcW w:w="1170" w:type="dxa"/>
            <w:tcBorders>
              <w:bottom w:val="single" w:sz="4" w:space="0" w:color="auto"/>
            </w:tcBorders>
            <w:shd w:val="clear" w:color="FFFFFF" w:fill="auto"/>
            <w:tcMar>
              <w:top w:w="0" w:type="dxa"/>
              <w:left w:w="0" w:type="dxa"/>
              <w:bottom w:w="0" w:type="dxa"/>
              <w:right w:w="0" w:type="dxa"/>
            </w:tcMar>
            <w:vAlign w:val="bottom"/>
          </w:tcPr>
          <w:p w14:paraId="1F5B5581"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MEAN</w:t>
            </w:r>
          </w:p>
        </w:tc>
        <w:tc>
          <w:tcPr>
            <w:tcW w:w="1015" w:type="dxa"/>
            <w:tcBorders>
              <w:bottom w:val="single" w:sz="4" w:space="0" w:color="auto"/>
            </w:tcBorders>
            <w:shd w:val="clear" w:color="FFFFFF" w:fill="auto"/>
            <w:tcMar>
              <w:top w:w="0" w:type="dxa"/>
              <w:left w:w="0" w:type="dxa"/>
              <w:bottom w:w="0" w:type="dxa"/>
              <w:right w:w="0" w:type="dxa"/>
            </w:tcMar>
            <w:vAlign w:val="bottom"/>
          </w:tcPr>
          <w:p w14:paraId="0DEBF1A9" w14:textId="4EDA32A7" w:rsidR="00A955A1" w:rsidRPr="00EC783D" w:rsidRDefault="00A955A1" w:rsidP="00EC783D">
            <w:pPr>
              <w:spacing w:line="480" w:lineRule="auto"/>
              <w:rPr>
                <w:rFonts w:ascii="Times New Roman" w:hAnsi="Times New Roman" w:cs="Times New Roman"/>
                <w:sz w:val="24"/>
                <w:szCs w:val="24"/>
              </w:rPr>
            </w:pPr>
            <w:r w:rsidRPr="00EC783D">
              <w:rPr>
                <w:rFonts w:ascii="Times New Roman" w:hAnsi="Times New Roman" w:cs="Times New Roman"/>
                <w:b/>
                <w:bCs/>
                <w:sz w:val="24"/>
                <w:szCs w:val="24"/>
              </w:rPr>
              <w:t xml:space="preserve"> </w:t>
            </w: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SEM</w:t>
            </w:r>
          </w:p>
        </w:tc>
        <w:tc>
          <w:tcPr>
            <w:tcW w:w="990" w:type="dxa"/>
            <w:tcBorders>
              <w:bottom w:val="single" w:sz="4" w:space="0" w:color="auto"/>
            </w:tcBorders>
            <w:shd w:val="clear" w:color="FFFFFF" w:fill="auto"/>
            <w:tcMar>
              <w:top w:w="0" w:type="dxa"/>
              <w:left w:w="0" w:type="dxa"/>
              <w:bottom w:w="0" w:type="dxa"/>
              <w:right w:w="0" w:type="dxa"/>
            </w:tcMar>
          </w:tcPr>
          <w:p w14:paraId="2FA291EC" w14:textId="77777777" w:rsidR="00A955A1" w:rsidRPr="00EC783D" w:rsidRDefault="00A955A1" w:rsidP="00EC783D">
            <w:pPr>
              <w:spacing w:line="480" w:lineRule="auto"/>
              <w:ind w:right="60"/>
              <w:jc w:val="center"/>
              <w:rPr>
                <w:rFonts w:ascii="Times New Roman" w:hAnsi="Times New Roman" w:cs="Times New Roman"/>
                <w:sz w:val="24"/>
                <w:szCs w:val="24"/>
              </w:rPr>
            </w:pPr>
            <w:r w:rsidRPr="00EC783D">
              <w:rPr>
                <w:rFonts w:ascii="Times New Roman" w:hAnsi="Times New Roman" w:cs="Times New Roman"/>
                <w:sz w:val="24"/>
                <w:szCs w:val="24"/>
              </w:rPr>
              <w:t>WD</w:t>
            </w:r>
          </w:p>
        </w:tc>
        <w:tc>
          <w:tcPr>
            <w:tcW w:w="1170" w:type="dxa"/>
            <w:tcBorders>
              <w:bottom w:val="single" w:sz="4" w:space="0" w:color="auto"/>
            </w:tcBorders>
            <w:shd w:val="clear" w:color="FFFFFF" w:fill="auto"/>
            <w:tcMar>
              <w:top w:w="0" w:type="dxa"/>
              <w:left w:w="0" w:type="dxa"/>
              <w:bottom w:w="0" w:type="dxa"/>
              <w:right w:w="0" w:type="dxa"/>
            </w:tcMar>
            <w:vAlign w:val="bottom"/>
          </w:tcPr>
          <w:p w14:paraId="0AC4E70D"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P-value</w:t>
            </w:r>
          </w:p>
        </w:tc>
        <w:tc>
          <w:tcPr>
            <w:tcW w:w="1260" w:type="dxa"/>
            <w:tcBorders>
              <w:bottom w:val="single" w:sz="4" w:space="0" w:color="auto"/>
            </w:tcBorders>
            <w:shd w:val="clear" w:color="FFFFFF" w:fill="auto"/>
            <w:tcMar>
              <w:top w:w="0" w:type="dxa"/>
              <w:left w:w="0" w:type="dxa"/>
              <w:bottom w:w="0" w:type="dxa"/>
              <w:right w:w="0" w:type="dxa"/>
            </w:tcMar>
            <w:vAlign w:val="bottom"/>
          </w:tcPr>
          <w:p w14:paraId="3EE088CF"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T-Value</w:t>
            </w:r>
          </w:p>
        </w:tc>
      </w:tr>
      <w:tr w:rsidR="00C641B4" w:rsidRPr="00EC783D" w14:paraId="7B222603" w14:textId="77777777" w:rsidTr="00034575">
        <w:trPr>
          <w:cantSplit/>
          <w:trHeight w:val="251"/>
          <w:jc w:val="center"/>
        </w:trPr>
        <w:tc>
          <w:tcPr>
            <w:tcW w:w="2610" w:type="dxa"/>
            <w:vMerge w:val="restart"/>
            <w:tcBorders>
              <w:bottom w:val="nil"/>
            </w:tcBorders>
            <w:shd w:val="clear" w:color="FFFFFF" w:fill="auto"/>
            <w:tcMar>
              <w:top w:w="0" w:type="dxa"/>
              <w:left w:w="0" w:type="dxa"/>
              <w:bottom w:w="0" w:type="dxa"/>
              <w:right w:w="0" w:type="dxa"/>
            </w:tcMar>
          </w:tcPr>
          <w:p w14:paraId="1497E12A" w14:textId="2030A5CC" w:rsidR="00A955A1" w:rsidRPr="00EC783D" w:rsidRDefault="00D46E86"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Group A</w:t>
            </w:r>
            <w:r w:rsidR="00A955A1" w:rsidRPr="00EC783D">
              <w:rPr>
                <w:rFonts w:ascii="Times New Roman" w:hAnsi="Times New Roman" w:cs="Times New Roman"/>
                <w:bCs/>
                <w:sz w:val="24"/>
                <w:szCs w:val="24"/>
              </w:rPr>
              <w:t xml:space="preserve"> (Control)</w:t>
            </w:r>
          </w:p>
        </w:tc>
        <w:tc>
          <w:tcPr>
            <w:tcW w:w="1667" w:type="dxa"/>
            <w:tcBorders>
              <w:bottom w:val="nil"/>
            </w:tcBorders>
            <w:shd w:val="clear" w:color="FFFFFF" w:fill="auto"/>
            <w:tcMar>
              <w:top w:w="0" w:type="dxa"/>
              <w:left w:w="0" w:type="dxa"/>
              <w:bottom w:w="0" w:type="dxa"/>
              <w:right w:w="0" w:type="dxa"/>
            </w:tcMar>
          </w:tcPr>
          <w:p w14:paraId="21A5D2E3"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Initial weight (g)</w:t>
            </w:r>
          </w:p>
        </w:tc>
        <w:tc>
          <w:tcPr>
            <w:tcW w:w="1170" w:type="dxa"/>
            <w:tcBorders>
              <w:bottom w:val="nil"/>
            </w:tcBorders>
            <w:shd w:val="clear" w:color="FFFFFF" w:fill="auto"/>
            <w:tcMar>
              <w:top w:w="0" w:type="dxa"/>
              <w:left w:w="0" w:type="dxa"/>
              <w:bottom w:w="0" w:type="dxa"/>
              <w:right w:w="0" w:type="dxa"/>
            </w:tcMar>
          </w:tcPr>
          <w:p w14:paraId="71982501" w14:textId="23D5FF6B"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113.60</w:t>
            </w:r>
          </w:p>
        </w:tc>
        <w:tc>
          <w:tcPr>
            <w:tcW w:w="1015" w:type="dxa"/>
            <w:tcBorders>
              <w:bottom w:val="nil"/>
            </w:tcBorders>
            <w:shd w:val="clear" w:color="FFFFFF" w:fill="auto"/>
            <w:tcMar>
              <w:top w:w="0" w:type="dxa"/>
              <w:left w:w="0" w:type="dxa"/>
              <w:bottom w:w="0" w:type="dxa"/>
              <w:right w:w="0" w:type="dxa"/>
            </w:tcMar>
          </w:tcPr>
          <w:p w14:paraId="74D08FB2"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4.00</w:t>
            </w:r>
          </w:p>
        </w:tc>
        <w:tc>
          <w:tcPr>
            <w:tcW w:w="990" w:type="dxa"/>
            <w:tcBorders>
              <w:bottom w:val="nil"/>
            </w:tcBorders>
            <w:shd w:val="clear" w:color="FFFFFF" w:fill="auto"/>
            <w:tcMar>
              <w:top w:w="0" w:type="dxa"/>
              <w:left w:w="0" w:type="dxa"/>
              <w:bottom w:w="0" w:type="dxa"/>
              <w:right w:w="0" w:type="dxa"/>
            </w:tcMar>
          </w:tcPr>
          <w:p w14:paraId="00259515" w14:textId="77777777" w:rsidR="00A955A1" w:rsidRPr="00EC783D" w:rsidRDefault="00A955A1" w:rsidP="00EC783D">
            <w:pPr>
              <w:spacing w:line="480" w:lineRule="auto"/>
              <w:ind w:right="60"/>
              <w:jc w:val="center"/>
              <w:rPr>
                <w:rFonts w:ascii="Times New Roman" w:hAnsi="Times New Roman" w:cs="Times New Roman"/>
                <w:sz w:val="24"/>
                <w:szCs w:val="24"/>
              </w:rPr>
            </w:pPr>
            <w:r w:rsidRPr="00EC783D">
              <w:rPr>
                <w:rFonts w:ascii="Times New Roman" w:hAnsi="Times New Roman" w:cs="Times New Roman"/>
                <w:sz w:val="24"/>
                <w:szCs w:val="24"/>
              </w:rPr>
              <w:t>52.40</w:t>
            </w:r>
          </w:p>
        </w:tc>
        <w:tc>
          <w:tcPr>
            <w:tcW w:w="1170" w:type="dxa"/>
            <w:tcBorders>
              <w:bottom w:val="nil"/>
            </w:tcBorders>
            <w:shd w:val="clear" w:color="FFFFFF" w:fill="auto"/>
            <w:tcMar>
              <w:top w:w="0" w:type="dxa"/>
              <w:left w:w="0" w:type="dxa"/>
              <w:bottom w:w="0" w:type="dxa"/>
              <w:right w:w="0" w:type="dxa"/>
            </w:tcMar>
          </w:tcPr>
          <w:p w14:paraId="3CD4EC05"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0.033*</w:t>
            </w:r>
          </w:p>
        </w:tc>
        <w:tc>
          <w:tcPr>
            <w:tcW w:w="1260" w:type="dxa"/>
            <w:tcBorders>
              <w:bottom w:val="nil"/>
            </w:tcBorders>
            <w:shd w:val="clear" w:color="FFFFFF" w:fill="auto"/>
            <w:tcMar>
              <w:top w:w="0" w:type="dxa"/>
              <w:left w:w="0" w:type="dxa"/>
              <w:bottom w:w="0" w:type="dxa"/>
              <w:right w:w="0" w:type="dxa"/>
            </w:tcMar>
          </w:tcPr>
          <w:p w14:paraId="4F6F47CB"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-3.19</w:t>
            </w:r>
          </w:p>
        </w:tc>
      </w:tr>
      <w:tr w:rsidR="00C641B4" w:rsidRPr="00EC783D" w14:paraId="42647CF0" w14:textId="77777777" w:rsidTr="00034575">
        <w:trPr>
          <w:cantSplit/>
          <w:trHeight w:val="445"/>
          <w:jc w:val="center"/>
        </w:trPr>
        <w:tc>
          <w:tcPr>
            <w:tcW w:w="2610" w:type="dxa"/>
            <w:vMerge/>
            <w:tcBorders>
              <w:top w:val="nil"/>
              <w:bottom w:val="nil"/>
            </w:tcBorders>
            <w:shd w:val="clear" w:color="FFFFFF" w:fill="auto"/>
          </w:tcPr>
          <w:p w14:paraId="6819372D"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c>
          <w:tcPr>
            <w:tcW w:w="1667" w:type="dxa"/>
            <w:tcBorders>
              <w:top w:val="nil"/>
              <w:bottom w:val="nil"/>
            </w:tcBorders>
            <w:shd w:val="clear" w:color="FFFFFF" w:fill="auto"/>
            <w:tcMar>
              <w:top w:w="0" w:type="dxa"/>
              <w:left w:w="0" w:type="dxa"/>
              <w:bottom w:w="0" w:type="dxa"/>
              <w:right w:w="0" w:type="dxa"/>
            </w:tcMar>
          </w:tcPr>
          <w:p w14:paraId="2A669D61"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Final weight (g)</w:t>
            </w:r>
          </w:p>
        </w:tc>
        <w:tc>
          <w:tcPr>
            <w:tcW w:w="1170" w:type="dxa"/>
            <w:tcBorders>
              <w:top w:val="nil"/>
              <w:bottom w:val="nil"/>
            </w:tcBorders>
            <w:shd w:val="clear" w:color="FFFFFF" w:fill="auto"/>
            <w:tcMar>
              <w:top w:w="0" w:type="dxa"/>
              <w:left w:w="0" w:type="dxa"/>
              <w:bottom w:w="0" w:type="dxa"/>
              <w:right w:w="0" w:type="dxa"/>
            </w:tcMar>
          </w:tcPr>
          <w:p w14:paraId="3DB05886"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166.00</w:t>
            </w:r>
          </w:p>
        </w:tc>
        <w:tc>
          <w:tcPr>
            <w:tcW w:w="1015" w:type="dxa"/>
            <w:tcBorders>
              <w:top w:val="nil"/>
              <w:bottom w:val="nil"/>
            </w:tcBorders>
            <w:shd w:val="clear" w:color="FFFFFF" w:fill="auto"/>
            <w:tcMar>
              <w:top w:w="0" w:type="dxa"/>
              <w:left w:w="0" w:type="dxa"/>
              <w:bottom w:w="0" w:type="dxa"/>
              <w:right w:w="0" w:type="dxa"/>
            </w:tcMar>
          </w:tcPr>
          <w:p w14:paraId="3140CEB1"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2.90</w:t>
            </w:r>
          </w:p>
        </w:tc>
        <w:tc>
          <w:tcPr>
            <w:tcW w:w="990" w:type="dxa"/>
            <w:tcBorders>
              <w:top w:val="nil"/>
              <w:bottom w:val="nil"/>
            </w:tcBorders>
            <w:shd w:val="clear" w:color="FFFFFF" w:fill="auto"/>
            <w:tcMar>
              <w:top w:w="0" w:type="dxa"/>
              <w:left w:w="0" w:type="dxa"/>
              <w:bottom w:w="0" w:type="dxa"/>
              <w:right w:w="0" w:type="dxa"/>
            </w:tcMar>
          </w:tcPr>
          <w:p w14:paraId="1E46371E" w14:textId="77777777" w:rsidR="00A955A1" w:rsidRPr="00EC783D" w:rsidRDefault="00A955A1" w:rsidP="00EC783D">
            <w:pPr>
              <w:spacing w:line="480" w:lineRule="auto"/>
              <w:ind w:right="60"/>
              <w:jc w:val="center"/>
              <w:rPr>
                <w:rFonts w:ascii="Times New Roman" w:hAnsi="Times New Roman" w:cs="Times New Roman"/>
                <w:sz w:val="24"/>
                <w:szCs w:val="24"/>
              </w:rPr>
            </w:pPr>
          </w:p>
        </w:tc>
        <w:tc>
          <w:tcPr>
            <w:tcW w:w="1170" w:type="dxa"/>
            <w:tcBorders>
              <w:top w:val="nil"/>
              <w:bottom w:val="nil"/>
            </w:tcBorders>
            <w:shd w:val="clear" w:color="FFFFFF" w:fill="auto"/>
            <w:tcMar>
              <w:top w:w="0" w:type="dxa"/>
              <w:left w:w="0" w:type="dxa"/>
              <w:bottom w:w="0" w:type="dxa"/>
              <w:right w:w="0" w:type="dxa"/>
            </w:tcMar>
          </w:tcPr>
          <w:p w14:paraId="06BD3313"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c>
          <w:tcPr>
            <w:tcW w:w="1260" w:type="dxa"/>
            <w:tcBorders>
              <w:top w:val="nil"/>
              <w:bottom w:val="nil"/>
            </w:tcBorders>
            <w:shd w:val="clear" w:color="FFFFFF" w:fill="auto"/>
            <w:tcMar>
              <w:top w:w="0" w:type="dxa"/>
              <w:left w:w="0" w:type="dxa"/>
              <w:bottom w:w="0" w:type="dxa"/>
              <w:right w:w="0" w:type="dxa"/>
            </w:tcMar>
          </w:tcPr>
          <w:p w14:paraId="235D03B8"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r>
      <w:tr w:rsidR="00C641B4" w:rsidRPr="00EC783D" w14:paraId="668B73D3" w14:textId="77777777" w:rsidTr="00034575">
        <w:trPr>
          <w:cantSplit/>
          <w:trHeight w:val="342"/>
          <w:jc w:val="center"/>
        </w:trPr>
        <w:tc>
          <w:tcPr>
            <w:tcW w:w="2610" w:type="dxa"/>
            <w:vMerge w:val="restart"/>
            <w:tcBorders>
              <w:top w:val="nil"/>
              <w:bottom w:val="nil"/>
            </w:tcBorders>
            <w:shd w:val="clear" w:color="FFFFFF" w:fill="auto"/>
            <w:tcMar>
              <w:top w:w="0" w:type="dxa"/>
              <w:left w:w="0" w:type="dxa"/>
              <w:bottom w:w="0" w:type="dxa"/>
              <w:right w:w="0" w:type="dxa"/>
            </w:tcMar>
          </w:tcPr>
          <w:p w14:paraId="2419EDE3" w14:textId="63E06110" w:rsidR="00A955A1" w:rsidRPr="00EC783D" w:rsidRDefault="00D46E86"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Group B</w:t>
            </w:r>
            <w:r w:rsidR="00A955A1" w:rsidRPr="00EC783D">
              <w:rPr>
                <w:rFonts w:ascii="Times New Roman" w:hAnsi="Times New Roman" w:cs="Times New Roman"/>
                <w:bCs/>
                <w:sz w:val="24"/>
                <w:szCs w:val="24"/>
              </w:rPr>
              <w:t xml:space="preserve"> (20mg/kg of paraquat only)</w:t>
            </w:r>
          </w:p>
        </w:tc>
        <w:tc>
          <w:tcPr>
            <w:tcW w:w="1667" w:type="dxa"/>
            <w:tcBorders>
              <w:top w:val="nil"/>
              <w:bottom w:val="nil"/>
            </w:tcBorders>
            <w:shd w:val="clear" w:color="FFFFFF" w:fill="auto"/>
            <w:tcMar>
              <w:top w:w="0" w:type="dxa"/>
              <w:left w:w="0" w:type="dxa"/>
              <w:bottom w:w="0" w:type="dxa"/>
              <w:right w:w="0" w:type="dxa"/>
            </w:tcMar>
          </w:tcPr>
          <w:p w14:paraId="11C7EA1F"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Initial weight (g)</w:t>
            </w:r>
          </w:p>
        </w:tc>
        <w:tc>
          <w:tcPr>
            <w:tcW w:w="1170" w:type="dxa"/>
            <w:tcBorders>
              <w:top w:val="nil"/>
              <w:bottom w:val="nil"/>
            </w:tcBorders>
            <w:shd w:val="clear" w:color="FFFFFF" w:fill="auto"/>
            <w:tcMar>
              <w:top w:w="0" w:type="dxa"/>
              <w:left w:w="0" w:type="dxa"/>
              <w:bottom w:w="0" w:type="dxa"/>
              <w:right w:w="0" w:type="dxa"/>
            </w:tcMar>
          </w:tcPr>
          <w:p w14:paraId="3D6D53C5"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128.20</w:t>
            </w:r>
          </w:p>
        </w:tc>
        <w:tc>
          <w:tcPr>
            <w:tcW w:w="1015" w:type="dxa"/>
            <w:tcBorders>
              <w:top w:val="nil"/>
              <w:bottom w:val="nil"/>
            </w:tcBorders>
            <w:shd w:val="clear" w:color="FFFFFF" w:fill="auto"/>
            <w:tcMar>
              <w:top w:w="0" w:type="dxa"/>
              <w:left w:w="0" w:type="dxa"/>
              <w:bottom w:w="0" w:type="dxa"/>
              <w:right w:w="0" w:type="dxa"/>
            </w:tcMar>
          </w:tcPr>
          <w:p w14:paraId="2633825C"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3.22</w:t>
            </w:r>
          </w:p>
        </w:tc>
        <w:tc>
          <w:tcPr>
            <w:tcW w:w="990" w:type="dxa"/>
            <w:tcBorders>
              <w:top w:val="nil"/>
              <w:bottom w:val="nil"/>
            </w:tcBorders>
            <w:shd w:val="clear" w:color="FFFFFF" w:fill="auto"/>
            <w:tcMar>
              <w:top w:w="0" w:type="dxa"/>
              <w:left w:w="0" w:type="dxa"/>
              <w:bottom w:w="0" w:type="dxa"/>
              <w:right w:w="0" w:type="dxa"/>
            </w:tcMar>
          </w:tcPr>
          <w:p w14:paraId="211CDC70" w14:textId="77777777" w:rsidR="00A955A1" w:rsidRPr="00EC783D" w:rsidRDefault="00A955A1" w:rsidP="00EC783D">
            <w:pPr>
              <w:spacing w:line="480" w:lineRule="auto"/>
              <w:ind w:right="60"/>
              <w:jc w:val="center"/>
              <w:rPr>
                <w:rFonts w:ascii="Times New Roman" w:hAnsi="Times New Roman" w:cs="Times New Roman"/>
                <w:sz w:val="24"/>
                <w:szCs w:val="24"/>
              </w:rPr>
            </w:pPr>
            <w:r w:rsidRPr="00EC783D">
              <w:rPr>
                <w:rFonts w:ascii="Times New Roman" w:hAnsi="Times New Roman" w:cs="Times New Roman"/>
                <w:sz w:val="24"/>
                <w:szCs w:val="24"/>
              </w:rPr>
              <w:t>40.80</w:t>
            </w:r>
          </w:p>
        </w:tc>
        <w:tc>
          <w:tcPr>
            <w:tcW w:w="1170" w:type="dxa"/>
            <w:tcBorders>
              <w:top w:val="nil"/>
              <w:bottom w:val="nil"/>
            </w:tcBorders>
            <w:shd w:val="clear" w:color="FFFFFF" w:fill="auto"/>
            <w:tcMar>
              <w:top w:w="0" w:type="dxa"/>
              <w:left w:w="0" w:type="dxa"/>
              <w:bottom w:w="0" w:type="dxa"/>
              <w:right w:w="0" w:type="dxa"/>
            </w:tcMar>
          </w:tcPr>
          <w:p w14:paraId="6B41866F"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0.477</w:t>
            </w:r>
          </w:p>
        </w:tc>
        <w:tc>
          <w:tcPr>
            <w:tcW w:w="1260" w:type="dxa"/>
            <w:tcBorders>
              <w:top w:val="nil"/>
              <w:bottom w:val="nil"/>
            </w:tcBorders>
            <w:shd w:val="clear" w:color="FFFFFF" w:fill="auto"/>
            <w:tcMar>
              <w:top w:w="0" w:type="dxa"/>
              <w:left w:w="0" w:type="dxa"/>
              <w:bottom w:w="0" w:type="dxa"/>
              <w:right w:w="0" w:type="dxa"/>
            </w:tcMar>
          </w:tcPr>
          <w:p w14:paraId="4BCF30AE"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0.84</w:t>
            </w:r>
          </w:p>
        </w:tc>
      </w:tr>
      <w:tr w:rsidR="00C641B4" w:rsidRPr="00EC783D" w14:paraId="60557457" w14:textId="77777777" w:rsidTr="00034575">
        <w:trPr>
          <w:cantSplit/>
          <w:trHeight w:val="430"/>
          <w:jc w:val="center"/>
        </w:trPr>
        <w:tc>
          <w:tcPr>
            <w:tcW w:w="2610" w:type="dxa"/>
            <w:vMerge/>
            <w:tcBorders>
              <w:top w:val="nil"/>
              <w:bottom w:val="nil"/>
            </w:tcBorders>
            <w:shd w:val="clear" w:color="FFFFFF" w:fill="auto"/>
          </w:tcPr>
          <w:p w14:paraId="0EE76615"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c>
          <w:tcPr>
            <w:tcW w:w="1667" w:type="dxa"/>
            <w:tcBorders>
              <w:top w:val="nil"/>
              <w:bottom w:val="nil"/>
            </w:tcBorders>
            <w:shd w:val="clear" w:color="FFFFFF" w:fill="auto"/>
            <w:tcMar>
              <w:top w:w="0" w:type="dxa"/>
              <w:left w:w="0" w:type="dxa"/>
              <w:bottom w:w="0" w:type="dxa"/>
              <w:right w:w="0" w:type="dxa"/>
            </w:tcMar>
          </w:tcPr>
          <w:p w14:paraId="5E43F3D7"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Final weight (g)</w:t>
            </w:r>
          </w:p>
        </w:tc>
        <w:tc>
          <w:tcPr>
            <w:tcW w:w="1170" w:type="dxa"/>
            <w:tcBorders>
              <w:top w:val="nil"/>
              <w:bottom w:val="nil"/>
            </w:tcBorders>
            <w:shd w:val="clear" w:color="FFFFFF" w:fill="auto"/>
            <w:tcMar>
              <w:top w:w="0" w:type="dxa"/>
              <w:left w:w="0" w:type="dxa"/>
              <w:bottom w:w="0" w:type="dxa"/>
              <w:right w:w="0" w:type="dxa"/>
            </w:tcMar>
          </w:tcPr>
          <w:p w14:paraId="6FEE727E"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169.00</w:t>
            </w:r>
          </w:p>
        </w:tc>
        <w:tc>
          <w:tcPr>
            <w:tcW w:w="1015" w:type="dxa"/>
            <w:tcBorders>
              <w:top w:val="nil"/>
              <w:bottom w:val="nil"/>
            </w:tcBorders>
            <w:shd w:val="clear" w:color="FFFFFF" w:fill="auto"/>
            <w:tcMar>
              <w:top w:w="0" w:type="dxa"/>
              <w:left w:w="0" w:type="dxa"/>
              <w:bottom w:w="0" w:type="dxa"/>
              <w:right w:w="0" w:type="dxa"/>
            </w:tcMar>
          </w:tcPr>
          <w:p w14:paraId="29AB417D"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9.22</w:t>
            </w:r>
          </w:p>
        </w:tc>
        <w:tc>
          <w:tcPr>
            <w:tcW w:w="990" w:type="dxa"/>
            <w:tcBorders>
              <w:top w:val="nil"/>
              <w:bottom w:val="nil"/>
            </w:tcBorders>
            <w:shd w:val="clear" w:color="FFFFFF" w:fill="auto"/>
            <w:tcMar>
              <w:top w:w="0" w:type="dxa"/>
              <w:left w:w="0" w:type="dxa"/>
              <w:bottom w:w="0" w:type="dxa"/>
              <w:right w:w="0" w:type="dxa"/>
            </w:tcMar>
          </w:tcPr>
          <w:p w14:paraId="29FC19AD" w14:textId="77777777" w:rsidR="00A955A1" w:rsidRPr="00EC783D" w:rsidRDefault="00A955A1" w:rsidP="00EC783D">
            <w:pPr>
              <w:spacing w:line="480" w:lineRule="auto"/>
              <w:ind w:right="60"/>
              <w:jc w:val="center"/>
              <w:rPr>
                <w:rFonts w:ascii="Times New Roman" w:hAnsi="Times New Roman" w:cs="Times New Roman"/>
                <w:sz w:val="24"/>
                <w:szCs w:val="24"/>
              </w:rPr>
            </w:pPr>
          </w:p>
        </w:tc>
        <w:tc>
          <w:tcPr>
            <w:tcW w:w="1170" w:type="dxa"/>
            <w:tcBorders>
              <w:top w:val="nil"/>
              <w:bottom w:val="nil"/>
            </w:tcBorders>
            <w:shd w:val="clear" w:color="FFFFFF" w:fill="auto"/>
            <w:tcMar>
              <w:top w:w="0" w:type="dxa"/>
              <w:left w:w="0" w:type="dxa"/>
              <w:bottom w:w="0" w:type="dxa"/>
              <w:right w:w="0" w:type="dxa"/>
            </w:tcMar>
          </w:tcPr>
          <w:p w14:paraId="4771BD57"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c>
          <w:tcPr>
            <w:tcW w:w="1260" w:type="dxa"/>
            <w:tcBorders>
              <w:top w:val="nil"/>
              <w:bottom w:val="nil"/>
            </w:tcBorders>
            <w:shd w:val="clear" w:color="FFFFFF" w:fill="auto"/>
            <w:tcMar>
              <w:top w:w="0" w:type="dxa"/>
              <w:left w:w="0" w:type="dxa"/>
              <w:bottom w:w="0" w:type="dxa"/>
              <w:right w:w="0" w:type="dxa"/>
            </w:tcMar>
          </w:tcPr>
          <w:p w14:paraId="717994FC"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r>
      <w:tr w:rsidR="00C641B4" w:rsidRPr="00EC783D" w14:paraId="7A22A689" w14:textId="77777777" w:rsidTr="00034575">
        <w:trPr>
          <w:cantSplit/>
          <w:trHeight w:val="297"/>
          <w:jc w:val="center"/>
        </w:trPr>
        <w:tc>
          <w:tcPr>
            <w:tcW w:w="2610" w:type="dxa"/>
            <w:vMerge w:val="restart"/>
            <w:tcBorders>
              <w:top w:val="nil"/>
              <w:bottom w:val="nil"/>
            </w:tcBorders>
            <w:shd w:val="clear" w:color="FFFFFF" w:fill="auto"/>
            <w:tcMar>
              <w:top w:w="0" w:type="dxa"/>
              <w:left w:w="0" w:type="dxa"/>
              <w:bottom w:w="0" w:type="dxa"/>
              <w:right w:w="0" w:type="dxa"/>
            </w:tcMar>
          </w:tcPr>
          <w:p w14:paraId="495D23EB" w14:textId="1CF65E4D" w:rsidR="00A955A1" w:rsidRPr="00EC783D" w:rsidRDefault="00D46E86"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Group C</w:t>
            </w:r>
            <w:r w:rsidR="008222E7">
              <w:rPr>
                <w:rFonts w:ascii="Times New Roman" w:hAnsi="Times New Roman" w:cs="Times New Roman"/>
                <w:bCs/>
                <w:sz w:val="24"/>
                <w:szCs w:val="24"/>
              </w:rPr>
              <w:t xml:space="preserve"> (</w:t>
            </w:r>
            <w:r w:rsidR="00A955A1" w:rsidRPr="00EC783D">
              <w:rPr>
                <w:rFonts w:ascii="Times New Roman" w:hAnsi="Times New Roman" w:cs="Times New Roman"/>
                <w:bCs/>
                <w:sz w:val="24"/>
                <w:szCs w:val="24"/>
              </w:rPr>
              <w:t xml:space="preserve">200mg/kg </w:t>
            </w:r>
            <w:proofErr w:type="spellStart"/>
            <w:r w:rsidR="00A955A1" w:rsidRPr="00EC783D">
              <w:rPr>
                <w:rFonts w:ascii="Times New Roman" w:hAnsi="Times New Roman" w:cs="Times New Roman"/>
                <w:bCs/>
                <w:sz w:val="24"/>
                <w:szCs w:val="24"/>
              </w:rPr>
              <w:t>Jigsimur</w:t>
            </w:r>
            <w:proofErr w:type="spellEnd"/>
            <w:r w:rsidR="00A955A1" w:rsidRPr="00EC783D">
              <w:rPr>
                <w:rFonts w:ascii="Times New Roman" w:hAnsi="Times New Roman" w:cs="Times New Roman"/>
                <w:bCs/>
                <w:sz w:val="24"/>
                <w:szCs w:val="24"/>
              </w:rPr>
              <w:t>)</w:t>
            </w:r>
          </w:p>
        </w:tc>
        <w:tc>
          <w:tcPr>
            <w:tcW w:w="1667" w:type="dxa"/>
            <w:tcBorders>
              <w:top w:val="nil"/>
              <w:bottom w:val="nil"/>
            </w:tcBorders>
            <w:shd w:val="clear" w:color="FFFFFF" w:fill="auto"/>
            <w:tcMar>
              <w:top w:w="0" w:type="dxa"/>
              <w:left w:w="0" w:type="dxa"/>
              <w:bottom w:w="0" w:type="dxa"/>
              <w:right w:w="0" w:type="dxa"/>
            </w:tcMar>
          </w:tcPr>
          <w:p w14:paraId="1537C0F2"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Initial weight (g)</w:t>
            </w:r>
          </w:p>
        </w:tc>
        <w:tc>
          <w:tcPr>
            <w:tcW w:w="1170" w:type="dxa"/>
            <w:tcBorders>
              <w:top w:val="nil"/>
              <w:bottom w:val="nil"/>
            </w:tcBorders>
            <w:shd w:val="clear" w:color="FFFFFF" w:fill="auto"/>
            <w:tcMar>
              <w:top w:w="0" w:type="dxa"/>
              <w:left w:w="0" w:type="dxa"/>
              <w:bottom w:w="0" w:type="dxa"/>
              <w:right w:w="0" w:type="dxa"/>
            </w:tcMar>
          </w:tcPr>
          <w:p w14:paraId="16F1BDD6"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135.40</w:t>
            </w:r>
          </w:p>
        </w:tc>
        <w:tc>
          <w:tcPr>
            <w:tcW w:w="1015" w:type="dxa"/>
            <w:tcBorders>
              <w:top w:val="nil"/>
              <w:bottom w:val="nil"/>
            </w:tcBorders>
            <w:shd w:val="clear" w:color="FFFFFF" w:fill="auto"/>
            <w:tcMar>
              <w:top w:w="0" w:type="dxa"/>
              <w:left w:w="0" w:type="dxa"/>
              <w:bottom w:w="0" w:type="dxa"/>
              <w:right w:w="0" w:type="dxa"/>
            </w:tcMar>
          </w:tcPr>
          <w:p w14:paraId="530C7DE1"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1.75</w:t>
            </w:r>
          </w:p>
        </w:tc>
        <w:tc>
          <w:tcPr>
            <w:tcW w:w="990" w:type="dxa"/>
            <w:tcBorders>
              <w:top w:val="nil"/>
              <w:bottom w:val="nil"/>
            </w:tcBorders>
            <w:shd w:val="clear" w:color="FFFFFF" w:fill="auto"/>
            <w:tcMar>
              <w:top w:w="0" w:type="dxa"/>
              <w:left w:w="0" w:type="dxa"/>
              <w:bottom w:w="0" w:type="dxa"/>
              <w:right w:w="0" w:type="dxa"/>
            </w:tcMar>
          </w:tcPr>
          <w:p w14:paraId="2145F0FD" w14:textId="77777777" w:rsidR="00A955A1" w:rsidRPr="00EC783D" w:rsidRDefault="00A955A1" w:rsidP="00EC783D">
            <w:pPr>
              <w:spacing w:line="480" w:lineRule="auto"/>
              <w:ind w:right="60"/>
              <w:jc w:val="center"/>
              <w:rPr>
                <w:rFonts w:ascii="Times New Roman" w:hAnsi="Times New Roman" w:cs="Times New Roman"/>
                <w:sz w:val="24"/>
                <w:szCs w:val="24"/>
              </w:rPr>
            </w:pPr>
            <w:r w:rsidRPr="00EC783D">
              <w:rPr>
                <w:rFonts w:ascii="Times New Roman" w:hAnsi="Times New Roman" w:cs="Times New Roman"/>
                <w:sz w:val="24"/>
                <w:szCs w:val="24"/>
              </w:rPr>
              <w:t>43.60</w:t>
            </w:r>
          </w:p>
        </w:tc>
        <w:tc>
          <w:tcPr>
            <w:tcW w:w="1170" w:type="dxa"/>
            <w:tcBorders>
              <w:top w:val="nil"/>
              <w:bottom w:val="nil"/>
            </w:tcBorders>
            <w:shd w:val="clear" w:color="FFFFFF" w:fill="auto"/>
            <w:tcMar>
              <w:top w:w="0" w:type="dxa"/>
              <w:left w:w="0" w:type="dxa"/>
              <w:bottom w:w="0" w:type="dxa"/>
              <w:right w:w="0" w:type="dxa"/>
            </w:tcMar>
          </w:tcPr>
          <w:p w14:paraId="133AE1FF"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0.016*</w:t>
            </w:r>
          </w:p>
        </w:tc>
        <w:tc>
          <w:tcPr>
            <w:tcW w:w="1260" w:type="dxa"/>
            <w:tcBorders>
              <w:top w:val="nil"/>
              <w:bottom w:val="nil"/>
            </w:tcBorders>
            <w:shd w:val="clear" w:color="FFFFFF" w:fill="auto"/>
            <w:tcMar>
              <w:top w:w="0" w:type="dxa"/>
              <w:left w:w="0" w:type="dxa"/>
              <w:bottom w:w="0" w:type="dxa"/>
              <w:right w:w="0" w:type="dxa"/>
            </w:tcMar>
          </w:tcPr>
          <w:p w14:paraId="54FC9D12"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-3.99</w:t>
            </w:r>
          </w:p>
        </w:tc>
      </w:tr>
      <w:tr w:rsidR="00C641B4" w:rsidRPr="00EC783D" w14:paraId="5FBBDE49" w14:textId="77777777" w:rsidTr="00034575">
        <w:trPr>
          <w:cantSplit/>
          <w:trHeight w:val="445"/>
          <w:jc w:val="center"/>
        </w:trPr>
        <w:tc>
          <w:tcPr>
            <w:tcW w:w="2610" w:type="dxa"/>
            <w:vMerge/>
            <w:tcBorders>
              <w:top w:val="nil"/>
              <w:bottom w:val="nil"/>
            </w:tcBorders>
            <w:shd w:val="clear" w:color="FFFFFF" w:fill="auto"/>
          </w:tcPr>
          <w:p w14:paraId="1E5BBE4C"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c>
          <w:tcPr>
            <w:tcW w:w="1667" w:type="dxa"/>
            <w:tcBorders>
              <w:top w:val="nil"/>
              <w:bottom w:val="nil"/>
            </w:tcBorders>
            <w:shd w:val="clear" w:color="FFFFFF" w:fill="auto"/>
            <w:tcMar>
              <w:top w:w="0" w:type="dxa"/>
              <w:left w:w="0" w:type="dxa"/>
              <w:bottom w:w="0" w:type="dxa"/>
              <w:right w:w="0" w:type="dxa"/>
            </w:tcMar>
          </w:tcPr>
          <w:p w14:paraId="40A02C12"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Final weight (g)</w:t>
            </w:r>
          </w:p>
        </w:tc>
        <w:tc>
          <w:tcPr>
            <w:tcW w:w="1170" w:type="dxa"/>
            <w:tcBorders>
              <w:top w:val="nil"/>
              <w:bottom w:val="nil"/>
            </w:tcBorders>
            <w:shd w:val="clear" w:color="FFFFFF" w:fill="auto"/>
            <w:tcMar>
              <w:top w:w="0" w:type="dxa"/>
              <w:left w:w="0" w:type="dxa"/>
              <w:bottom w:w="0" w:type="dxa"/>
              <w:right w:w="0" w:type="dxa"/>
            </w:tcMar>
          </w:tcPr>
          <w:p w14:paraId="5BC78CCC"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179.00</w:t>
            </w:r>
          </w:p>
        </w:tc>
        <w:tc>
          <w:tcPr>
            <w:tcW w:w="1015" w:type="dxa"/>
            <w:tcBorders>
              <w:top w:val="nil"/>
              <w:bottom w:val="nil"/>
            </w:tcBorders>
            <w:shd w:val="clear" w:color="FFFFFF" w:fill="auto"/>
            <w:tcMar>
              <w:top w:w="0" w:type="dxa"/>
              <w:left w:w="0" w:type="dxa"/>
              <w:bottom w:w="0" w:type="dxa"/>
              <w:right w:w="0" w:type="dxa"/>
            </w:tcMar>
          </w:tcPr>
          <w:p w14:paraId="11715B48"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6.87</w:t>
            </w:r>
          </w:p>
        </w:tc>
        <w:tc>
          <w:tcPr>
            <w:tcW w:w="990" w:type="dxa"/>
            <w:tcBorders>
              <w:top w:val="nil"/>
              <w:bottom w:val="nil"/>
            </w:tcBorders>
            <w:shd w:val="clear" w:color="FFFFFF" w:fill="auto"/>
            <w:tcMar>
              <w:top w:w="0" w:type="dxa"/>
              <w:left w:w="0" w:type="dxa"/>
              <w:bottom w:w="0" w:type="dxa"/>
              <w:right w:w="0" w:type="dxa"/>
            </w:tcMar>
          </w:tcPr>
          <w:p w14:paraId="44C7A595" w14:textId="77777777" w:rsidR="00A955A1" w:rsidRPr="00EC783D" w:rsidRDefault="00A955A1" w:rsidP="00EC783D">
            <w:pPr>
              <w:spacing w:line="480" w:lineRule="auto"/>
              <w:ind w:right="60"/>
              <w:jc w:val="center"/>
              <w:rPr>
                <w:rFonts w:ascii="Times New Roman" w:hAnsi="Times New Roman" w:cs="Times New Roman"/>
                <w:sz w:val="24"/>
                <w:szCs w:val="24"/>
              </w:rPr>
            </w:pPr>
          </w:p>
        </w:tc>
        <w:tc>
          <w:tcPr>
            <w:tcW w:w="1170" w:type="dxa"/>
            <w:tcBorders>
              <w:top w:val="nil"/>
              <w:bottom w:val="nil"/>
            </w:tcBorders>
            <w:shd w:val="clear" w:color="FFFFFF" w:fill="auto"/>
            <w:tcMar>
              <w:top w:w="0" w:type="dxa"/>
              <w:left w:w="0" w:type="dxa"/>
              <w:bottom w:w="0" w:type="dxa"/>
              <w:right w:w="0" w:type="dxa"/>
            </w:tcMar>
          </w:tcPr>
          <w:p w14:paraId="3A282975"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c>
          <w:tcPr>
            <w:tcW w:w="1260" w:type="dxa"/>
            <w:tcBorders>
              <w:top w:val="nil"/>
              <w:bottom w:val="nil"/>
            </w:tcBorders>
            <w:shd w:val="clear" w:color="FFFFFF" w:fill="auto"/>
            <w:tcMar>
              <w:top w:w="0" w:type="dxa"/>
              <w:left w:w="0" w:type="dxa"/>
              <w:bottom w:w="0" w:type="dxa"/>
              <w:right w:w="0" w:type="dxa"/>
            </w:tcMar>
          </w:tcPr>
          <w:p w14:paraId="31CB4FA9"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r>
      <w:tr w:rsidR="00C641B4" w:rsidRPr="00EC783D" w14:paraId="51A095EF" w14:textId="77777777" w:rsidTr="00034575">
        <w:trPr>
          <w:cantSplit/>
          <w:trHeight w:val="324"/>
          <w:jc w:val="center"/>
        </w:trPr>
        <w:tc>
          <w:tcPr>
            <w:tcW w:w="2610" w:type="dxa"/>
            <w:vMerge w:val="restart"/>
            <w:tcBorders>
              <w:top w:val="nil"/>
              <w:bottom w:val="nil"/>
            </w:tcBorders>
            <w:shd w:val="clear" w:color="FFFFFF" w:fill="auto"/>
            <w:tcMar>
              <w:top w:w="0" w:type="dxa"/>
              <w:left w:w="0" w:type="dxa"/>
              <w:bottom w:w="0" w:type="dxa"/>
              <w:right w:w="0" w:type="dxa"/>
            </w:tcMar>
          </w:tcPr>
          <w:p w14:paraId="454B72D5" w14:textId="7120C6BA" w:rsidR="00A955A1" w:rsidRPr="00EC783D" w:rsidRDefault="00D46E86" w:rsidP="00EC783D">
            <w:pPr>
              <w:spacing w:line="480" w:lineRule="auto"/>
              <w:jc w:val="center"/>
              <w:rPr>
                <w:rFonts w:ascii="Times New Roman" w:hAnsi="Times New Roman" w:cs="Times New Roman"/>
                <w:sz w:val="24"/>
                <w:szCs w:val="24"/>
              </w:rPr>
            </w:pPr>
            <w:r w:rsidRPr="00EC783D">
              <w:rPr>
                <w:rFonts w:ascii="Times New Roman" w:hAnsi="Times New Roman" w:cs="Times New Roman"/>
                <w:bCs/>
                <w:sz w:val="24"/>
                <w:szCs w:val="24"/>
              </w:rPr>
              <w:t>Group D</w:t>
            </w:r>
            <w:r w:rsidR="008222E7">
              <w:rPr>
                <w:rFonts w:ascii="Times New Roman" w:hAnsi="Times New Roman" w:cs="Times New Roman"/>
                <w:bCs/>
                <w:sz w:val="24"/>
                <w:szCs w:val="24"/>
              </w:rPr>
              <w:t xml:space="preserve"> (20mg of paraquat + 2</w:t>
            </w:r>
            <w:r w:rsidR="00A955A1" w:rsidRPr="00EC783D">
              <w:rPr>
                <w:rFonts w:ascii="Times New Roman" w:hAnsi="Times New Roman" w:cs="Times New Roman"/>
                <w:bCs/>
                <w:sz w:val="24"/>
                <w:szCs w:val="24"/>
              </w:rPr>
              <w:t xml:space="preserve">00mg of </w:t>
            </w:r>
            <w:proofErr w:type="spellStart"/>
            <w:r w:rsidR="00A955A1" w:rsidRPr="00EC783D">
              <w:rPr>
                <w:rFonts w:ascii="Times New Roman" w:hAnsi="Times New Roman" w:cs="Times New Roman"/>
                <w:bCs/>
                <w:sz w:val="24"/>
                <w:szCs w:val="24"/>
              </w:rPr>
              <w:t>Jigsimur</w:t>
            </w:r>
            <w:proofErr w:type="spellEnd"/>
          </w:p>
        </w:tc>
        <w:tc>
          <w:tcPr>
            <w:tcW w:w="1667" w:type="dxa"/>
            <w:tcBorders>
              <w:top w:val="nil"/>
              <w:bottom w:val="nil"/>
            </w:tcBorders>
            <w:shd w:val="clear" w:color="FFFFFF" w:fill="auto"/>
            <w:tcMar>
              <w:top w:w="0" w:type="dxa"/>
              <w:left w:w="0" w:type="dxa"/>
              <w:bottom w:w="0" w:type="dxa"/>
              <w:right w:w="0" w:type="dxa"/>
            </w:tcMar>
          </w:tcPr>
          <w:p w14:paraId="7A8126D3"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Initial weight (g)</w:t>
            </w:r>
          </w:p>
        </w:tc>
        <w:tc>
          <w:tcPr>
            <w:tcW w:w="1170" w:type="dxa"/>
            <w:tcBorders>
              <w:top w:val="nil"/>
              <w:bottom w:val="nil"/>
            </w:tcBorders>
            <w:shd w:val="clear" w:color="FFFFFF" w:fill="auto"/>
            <w:tcMar>
              <w:top w:w="0" w:type="dxa"/>
              <w:left w:w="0" w:type="dxa"/>
              <w:bottom w:w="0" w:type="dxa"/>
              <w:right w:w="0" w:type="dxa"/>
            </w:tcMar>
          </w:tcPr>
          <w:p w14:paraId="47BB5780"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144.00</w:t>
            </w:r>
          </w:p>
        </w:tc>
        <w:tc>
          <w:tcPr>
            <w:tcW w:w="1015" w:type="dxa"/>
            <w:tcBorders>
              <w:top w:val="nil"/>
              <w:bottom w:val="nil"/>
            </w:tcBorders>
            <w:shd w:val="clear" w:color="FFFFFF" w:fill="auto"/>
            <w:tcMar>
              <w:top w:w="0" w:type="dxa"/>
              <w:left w:w="0" w:type="dxa"/>
              <w:bottom w:w="0" w:type="dxa"/>
              <w:right w:w="0" w:type="dxa"/>
            </w:tcMar>
          </w:tcPr>
          <w:p w14:paraId="7918A43C"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1.30</w:t>
            </w:r>
          </w:p>
        </w:tc>
        <w:tc>
          <w:tcPr>
            <w:tcW w:w="990" w:type="dxa"/>
            <w:tcBorders>
              <w:top w:val="nil"/>
              <w:bottom w:val="nil"/>
            </w:tcBorders>
            <w:shd w:val="clear" w:color="FFFFFF" w:fill="auto"/>
            <w:tcMar>
              <w:top w:w="0" w:type="dxa"/>
              <w:left w:w="0" w:type="dxa"/>
              <w:bottom w:w="0" w:type="dxa"/>
              <w:right w:w="0" w:type="dxa"/>
            </w:tcMar>
          </w:tcPr>
          <w:p w14:paraId="416190BA" w14:textId="77777777" w:rsidR="00A955A1" w:rsidRPr="00EC783D" w:rsidRDefault="00A955A1" w:rsidP="00EC783D">
            <w:pPr>
              <w:spacing w:line="480" w:lineRule="auto"/>
              <w:ind w:right="60"/>
              <w:jc w:val="center"/>
              <w:rPr>
                <w:rFonts w:ascii="Times New Roman" w:hAnsi="Times New Roman" w:cs="Times New Roman"/>
                <w:sz w:val="24"/>
                <w:szCs w:val="24"/>
              </w:rPr>
            </w:pPr>
            <w:r w:rsidRPr="00EC783D">
              <w:rPr>
                <w:rFonts w:ascii="Times New Roman" w:hAnsi="Times New Roman" w:cs="Times New Roman"/>
                <w:sz w:val="24"/>
                <w:szCs w:val="24"/>
              </w:rPr>
              <w:t>40.75</w:t>
            </w:r>
          </w:p>
        </w:tc>
        <w:tc>
          <w:tcPr>
            <w:tcW w:w="1170" w:type="dxa"/>
            <w:tcBorders>
              <w:top w:val="nil"/>
              <w:bottom w:val="nil"/>
            </w:tcBorders>
            <w:shd w:val="clear" w:color="FFFFFF" w:fill="auto"/>
            <w:tcMar>
              <w:top w:w="0" w:type="dxa"/>
              <w:left w:w="0" w:type="dxa"/>
              <w:bottom w:w="0" w:type="dxa"/>
              <w:right w:w="0" w:type="dxa"/>
            </w:tcMar>
          </w:tcPr>
          <w:p w14:paraId="56F9FE05"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0.003*</w:t>
            </w:r>
          </w:p>
        </w:tc>
        <w:tc>
          <w:tcPr>
            <w:tcW w:w="1260" w:type="dxa"/>
            <w:tcBorders>
              <w:top w:val="nil"/>
              <w:bottom w:val="nil"/>
            </w:tcBorders>
            <w:shd w:val="clear" w:color="FFFFFF" w:fill="auto"/>
            <w:tcMar>
              <w:top w:w="0" w:type="dxa"/>
              <w:left w:w="0" w:type="dxa"/>
              <w:bottom w:w="0" w:type="dxa"/>
              <w:right w:w="0" w:type="dxa"/>
            </w:tcMar>
          </w:tcPr>
          <w:p w14:paraId="4F92E679"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-6.74</w:t>
            </w:r>
          </w:p>
        </w:tc>
      </w:tr>
      <w:tr w:rsidR="00C641B4" w:rsidRPr="00EC783D" w14:paraId="3EFAF8F8" w14:textId="77777777" w:rsidTr="00034575">
        <w:trPr>
          <w:cantSplit/>
          <w:trHeight w:val="445"/>
          <w:jc w:val="center"/>
        </w:trPr>
        <w:tc>
          <w:tcPr>
            <w:tcW w:w="2610" w:type="dxa"/>
            <w:vMerge/>
            <w:tcBorders>
              <w:top w:val="nil"/>
              <w:bottom w:val="nil"/>
            </w:tcBorders>
            <w:shd w:val="clear" w:color="FFFFFF" w:fill="auto"/>
          </w:tcPr>
          <w:p w14:paraId="18A4D3D5" w14:textId="77777777" w:rsidR="00A955A1" w:rsidRPr="00EC783D" w:rsidRDefault="00A955A1" w:rsidP="00EC783D">
            <w:pPr>
              <w:spacing w:line="480" w:lineRule="auto"/>
              <w:jc w:val="center"/>
              <w:rPr>
                <w:rFonts w:ascii="Times New Roman" w:hAnsi="Times New Roman" w:cs="Times New Roman"/>
                <w:sz w:val="24"/>
                <w:szCs w:val="24"/>
              </w:rPr>
            </w:pPr>
          </w:p>
        </w:tc>
        <w:tc>
          <w:tcPr>
            <w:tcW w:w="1667" w:type="dxa"/>
            <w:tcBorders>
              <w:top w:val="nil"/>
              <w:bottom w:val="nil"/>
            </w:tcBorders>
            <w:shd w:val="clear" w:color="FFFFFF" w:fill="auto"/>
            <w:tcMar>
              <w:top w:w="0" w:type="dxa"/>
              <w:left w:w="0" w:type="dxa"/>
              <w:bottom w:w="0" w:type="dxa"/>
              <w:right w:w="0" w:type="dxa"/>
            </w:tcMar>
          </w:tcPr>
          <w:p w14:paraId="065F5C56"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Final weight (g)</w:t>
            </w:r>
          </w:p>
        </w:tc>
        <w:tc>
          <w:tcPr>
            <w:tcW w:w="1170" w:type="dxa"/>
            <w:tcBorders>
              <w:top w:val="nil"/>
              <w:bottom w:val="nil"/>
            </w:tcBorders>
            <w:shd w:val="clear" w:color="FFFFFF" w:fill="auto"/>
            <w:tcMar>
              <w:top w:w="0" w:type="dxa"/>
              <w:left w:w="0" w:type="dxa"/>
              <w:bottom w:w="0" w:type="dxa"/>
              <w:right w:w="0" w:type="dxa"/>
            </w:tcMar>
          </w:tcPr>
          <w:p w14:paraId="13660D70"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184.75</w:t>
            </w:r>
          </w:p>
        </w:tc>
        <w:tc>
          <w:tcPr>
            <w:tcW w:w="1015" w:type="dxa"/>
            <w:tcBorders>
              <w:top w:val="nil"/>
              <w:bottom w:val="nil"/>
            </w:tcBorders>
            <w:shd w:val="clear" w:color="FFFFFF" w:fill="auto"/>
            <w:tcMar>
              <w:top w:w="0" w:type="dxa"/>
              <w:left w:w="0" w:type="dxa"/>
              <w:bottom w:w="0" w:type="dxa"/>
              <w:right w:w="0" w:type="dxa"/>
            </w:tcMar>
          </w:tcPr>
          <w:p w14:paraId="4D1E2C06"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12.41</w:t>
            </w:r>
          </w:p>
        </w:tc>
        <w:tc>
          <w:tcPr>
            <w:tcW w:w="990" w:type="dxa"/>
            <w:tcBorders>
              <w:top w:val="nil"/>
              <w:bottom w:val="nil"/>
            </w:tcBorders>
            <w:shd w:val="clear" w:color="FFFFFF" w:fill="auto"/>
            <w:tcMar>
              <w:top w:w="0" w:type="dxa"/>
              <w:left w:w="0" w:type="dxa"/>
              <w:bottom w:w="0" w:type="dxa"/>
              <w:right w:w="0" w:type="dxa"/>
            </w:tcMar>
          </w:tcPr>
          <w:p w14:paraId="198BADB6" w14:textId="77777777" w:rsidR="00A955A1" w:rsidRPr="00EC783D" w:rsidRDefault="00A955A1" w:rsidP="00EC783D">
            <w:pPr>
              <w:spacing w:line="480" w:lineRule="auto"/>
              <w:ind w:right="60"/>
              <w:jc w:val="center"/>
              <w:rPr>
                <w:rFonts w:ascii="Times New Roman" w:hAnsi="Times New Roman" w:cs="Times New Roman"/>
                <w:sz w:val="24"/>
                <w:szCs w:val="24"/>
              </w:rPr>
            </w:pPr>
          </w:p>
        </w:tc>
        <w:tc>
          <w:tcPr>
            <w:tcW w:w="1170" w:type="dxa"/>
            <w:tcBorders>
              <w:top w:val="nil"/>
              <w:bottom w:val="nil"/>
            </w:tcBorders>
            <w:shd w:val="clear" w:color="FFFFFF" w:fill="auto"/>
            <w:tcMar>
              <w:top w:w="0" w:type="dxa"/>
              <w:left w:w="0" w:type="dxa"/>
              <w:bottom w:w="0" w:type="dxa"/>
              <w:right w:w="0" w:type="dxa"/>
            </w:tcMar>
          </w:tcPr>
          <w:p w14:paraId="1E93D631"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c>
          <w:tcPr>
            <w:tcW w:w="1260" w:type="dxa"/>
            <w:tcBorders>
              <w:top w:val="nil"/>
              <w:bottom w:val="nil"/>
            </w:tcBorders>
            <w:shd w:val="clear" w:color="FFFFFF" w:fill="auto"/>
            <w:tcMar>
              <w:top w:w="0" w:type="dxa"/>
              <w:left w:w="0" w:type="dxa"/>
              <w:bottom w:w="0" w:type="dxa"/>
              <w:right w:w="0" w:type="dxa"/>
            </w:tcMar>
          </w:tcPr>
          <w:p w14:paraId="288CDCAF"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r>
      <w:tr w:rsidR="00C641B4" w:rsidRPr="00EC783D" w14:paraId="440BA37A" w14:textId="77777777" w:rsidTr="00034575">
        <w:trPr>
          <w:cantSplit/>
          <w:trHeight w:val="243"/>
          <w:jc w:val="center"/>
        </w:trPr>
        <w:tc>
          <w:tcPr>
            <w:tcW w:w="2610" w:type="dxa"/>
            <w:vMerge w:val="restart"/>
            <w:tcBorders>
              <w:top w:val="nil"/>
              <w:bottom w:val="nil"/>
            </w:tcBorders>
            <w:shd w:val="clear" w:color="FFFFFF" w:fill="auto"/>
            <w:tcMar>
              <w:top w:w="0" w:type="dxa"/>
              <w:left w:w="0" w:type="dxa"/>
              <w:bottom w:w="0" w:type="dxa"/>
              <w:right w:w="0" w:type="dxa"/>
            </w:tcMar>
          </w:tcPr>
          <w:p w14:paraId="3D2E224D" w14:textId="567F21E4" w:rsidR="00A955A1" w:rsidRPr="00EC783D" w:rsidRDefault="00D46E86" w:rsidP="00EC783D">
            <w:pPr>
              <w:spacing w:line="480" w:lineRule="auto"/>
              <w:jc w:val="center"/>
              <w:rPr>
                <w:rFonts w:ascii="Times New Roman" w:hAnsi="Times New Roman" w:cs="Times New Roman"/>
                <w:sz w:val="24"/>
                <w:szCs w:val="24"/>
              </w:rPr>
            </w:pPr>
            <w:r w:rsidRPr="00EC783D">
              <w:rPr>
                <w:rFonts w:ascii="Times New Roman" w:hAnsi="Times New Roman" w:cs="Times New Roman"/>
                <w:bCs/>
                <w:sz w:val="24"/>
                <w:szCs w:val="24"/>
              </w:rPr>
              <w:t>Group E</w:t>
            </w:r>
            <w:r w:rsidR="008222E7">
              <w:rPr>
                <w:rFonts w:ascii="Times New Roman" w:hAnsi="Times New Roman" w:cs="Times New Roman"/>
                <w:bCs/>
                <w:sz w:val="24"/>
                <w:szCs w:val="24"/>
              </w:rPr>
              <w:t xml:space="preserve"> (20mg of paraquat + 4</w:t>
            </w:r>
            <w:r w:rsidR="00A955A1" w:rsidRPr="00EC783D">
              <w:rPr>
                <w:rFonts w:ascii="Times New Roman" w:hAnsi="Times New Roman" w:cs="Times New Roman"/>
                <w:bCs/>
                <w:sz w:val="24"/>
                <w:szCs w:val="24"/>
              </w:rPr>
              <w:t xml:space="preserve">00mg of </w:t>
            </w:r>
            <w:proofErr w:type="spellStart"/>
            <w:r w:rsidR="00A955A1" w:rsidRPr="00EC783D">
              <w:rPr>
                <w:rFonts w:ascii="Times New Roman" w:hAnsi="Times New Roman" w:cs="Times New Roman"/>
                <w:bCs/>
                <w:sz w:val="24"/>
                <w:szCs w:val="24"/>
              </w:rPr>
              <w:t>Jigsimur</w:t>
            </w:r>
            <w:proofErr w:type="spellEnd"/>
            <w:r w:rsidR="00A955A1" w:rsidRPr="00EC783D">
              <w:rPr>
                <w:rFonts w:ascii="Times New Roman" w:hAnsi="Times New Roman" w:cs="Times New Roman"/>
                <w:bCs/>
                <w:sz w:val="24"/>
                <w:szCs w:val="24"/>
              </w:rPr>
              <w:t>)</w:t>
            </w:r>
          </w:p>
        </w:tc>
        <w:tc>
          <w:tcPr>
            <w:tcW w:w="1667" w:type="dxa"/>
            <w:tcBorders>
              <w:top w:val="nil"/>
              <w:bottom w:val="nil"/>
            </w:tcBorders>
            <w:shd w:val="clear" w:color="FFFFFF" w:fill="auto"/>
            <w:tcMar>
              <w:top w:w="0" w:type="dxa"/>
              <w:left w:w="0" w:type="dxa"/>
              <w:bottom w:w="0" w:type="dxa"/>
              <w:right w:w="0" w:type="dxa"/>
            </w:tcMar>
          </w:tcPr>
          <w:p w14:paraId="2DE6C681"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Initial weight (g)</w:t>
            </w:r>
          </w:p>
        </w:tc>
        <w:tc>
          <w:tcPr>
            <w:tcW w:w="1170" w:type="dxa"/>
            <w:tcBorders>
              <w:top w:val="nil"/>
              <w:bottom w:val="nil"/>
            </w:tcBorders>
            <w:shd w:val="clear" w:color="FFFFFF" w:fill="auto"/>
            <w:tcMar>
              <w:top w:w="0" w:type="dxa"/>
              <w:left w:w="0" w:type="dxa"/>
              <w:bottom w:w="0" w:type="dxa"/>
              <w:right w:w="0" w:type="dxa"/>
            </w:tcMar>
          </w:tcPr>
          <w:p w14:paraId="095A173C"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150.20</w:t>
            </w:r>
          </w:p>
        </w:tc>
        <w:tc>
          <w:tcPr>
            <w:tcW w:w="1015" w:type="dxa"/>
            <w:tcBorders>
              <w:top w:val="nil"/>
              <w:bottom w:val="nil"/>
            </w:tcBorders>
            <w:shd w:val="clear" w:color="FFFFFF" w:fill="auto"/>
            <w:tcMar>
              <w:top w:w="0" w:type="dxa"/>
              <w:left w:w="0" w:type="dxa"/>
              <w:bottom w:w="0" w:type="dxa"/>
              <w:right w:w="0" w:type="dxa"/>
            </w:tcMar>
          </w:tcPr>
          <w:p w14:paraId="603A2080"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1.91</w:t>
            </w:r>
          </w:p>
        </w:tc>
        <w:tc>
          <w:tcPr>
            <w:tcW w:w="990" w:type="dxa"/>
            <w:tcBorders>
              <w:top w:val="nil"/>
              <w:bottom w:val="nil"/>
            </w:tcBorders>
            <w:shd w:val="clear" w:color="FFFFFF" w:fill="auto"/>
            <w:tcMar>
              <w:top w:w="0" w:type="dxa"/>
              <w:left w:w="0" w:type="dxa"/>
              <w:bottom w:w="0" w:type="dxa"/>
              <w:right w:w="0" w:type="dxa"/>
            </w:tcMar>
          </w:tcPr>
          <w:p w14:paraId="30FDC82F" w14:textId="77777777" w:rsidR="00A955A1" w:rsidRPr="00EC783D" w:rsidRDefault="00A955A1" w:rsidP="00EC783D">
            <w:pPr>
              <w:spacing w:line="480" w:lineRule="auto"/>
              <w:ind w:right="60"/>
              <w:jc w:val="center"/>
              <w:rPr>
                <w:rFonts w:ascii="Times New Roman" w:hAnsi="Times New Roman" w:cs="Times New Roman"/>
                <w:sz w:val="24"/>
                <w:szCs w:val="24"/>
              </w:rPr>
            </w:pPr>
            <w:r w:rsidRPr="00EC783D">
              <w:rPr>
                <w:rFonts w:ascii="Times New Roman" w:hAnsi="Times New Roman" w:cs="Times New Roman"/>
                <w:sz w:val="24"/>
                <w:szCs w:val="24"/>
              </w:rPr>
              <w:t>38.80</w:t>
            </w:r>
          </w:p>
        </w:tc>
        <w:tc>
          <w:tcPr>
            <w:tcW w:w="1170" w:type="dxa"/>
            <w:tcBorders>
              <w:top w:val="nil"/>
              <w:bottom w:val="nil"/>
            </w:tcBorders>
            <w:shd w:val="clear" w:color="FFFFFF" w:fill="auto"/>
            <w:tcMar>
              <w:top w:w="0" w:type="dxa"/>
              <w:left w:w="0" w:type="dxa"/>
              <w:bottom w:w="0" w:type="dxa"/>
              <w:right w:w="0" w:type="dxa"/>
            </w:tcMar>
          </w:tcPr>
          <w:p w14:paraId="12F58C51"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0.008*</w:t>
            </w:r>
          </w:p>
        </w:tc>
        <w:tc>
          <w:tcPr>
            <w:tcW w:w="1260" w:type="dxa"/>
            <w:tcBorders>
              <w:top w:val="nil"/>
              <w:bottom w:val="nil"/>
            </w:tcBorders>
            <w:shd w:val="clear" w:color="FFFFFF" w:fill="auto"/>
            <w:tcMar>
              <w:top w:w="0" w:type="dxa"/>
              <w:left w:w="0" w:type="dxa"/>
              <w:bottom w:w="0" w:type="dxa"/>
              <w:right w:w="0" w:type="dxa"/>
            </w:tcMar>
          </w:tcPr>
          <w:p w14:paraId="7114BFB6"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sz w:val="24"/>
                <w:szCs w:val="24"/>
              </w:rPr>
              <w:t>-4.86</w:t>
            </w:r>
          </w:p>
        </w:tc>
      </w:tr>
      <w:tr w:rsidR="00C641B4" w:rsidRPr="00EC783D" w14:paraId="3A8119B0" w14:textId="77777777" w:rsidTr="00034575">
        <w:trPr>
          <w:cantSplit/>
          <w:trHeight w:val="324"/>
          <w:jc w:val="center"/>
        </w:trPr>
        <w:tc>
          <w:tcPr>
            <w:tcW w:w="2610" w:type="dxa"/>
            <w:vMerge/>
            <w:tcBorders>
              <w:top w:val="nil"/>
            </w:tcBorders>
            <w:shd w:val="clear" w:color="FFFFFF" w:fill="auto"/>
          </w:tcPr>
          <w:p w14:paraId="0D8B4AA0" w14:textId="77777777" w:rsidR="00A955A1" w:rsidRPr="00EC783D" w:rsidRDefault="00A955A1" w:rsidP="00EC783D">
            <w:pPr>
              <w:spacing w:line="480" w:lineRule="auto"/>
              <w:jc w:val="center"/>
              <w:rPr>
                <w:rFonts w:ascii="Times New Roman" w:hAnsi="Times New Roman" w:cs="Times New Roman"/>
                <w:sz w:val="24"/>
                <w:szCs w:val="24"/>
              </w:rPr>
            </w:pPr>
          </w:p>
        </w:tc>
        <w:tc>
          <w:tcPr>
            <w:tcW w:w="1667" w:type="dxa"/>
            <w:tcBorders>
              <w:top w:val="nil"/>
            </w:tcBorders>
            <w:shd w:val="clear" w:color="FFFFFF" w:fill="auto"/>
            <w:tcMar>
              <w:top w:w="0" w:type="dxa"/>
              <w:left w:w="0" w:type="dxa"/>
              <w:bottom w:w="0" w:type="dxa"/>
              <w:right w:w="0" w:type="dxa"/>
            </w:tcMar>
          </w:tcPr>
          <w:p w14:paraId="33BAA4A8" w14:textId="77777777" w:rsidR="00A955A1" w:rsidRPr="00EC783D" w:rsidRDefault="00A955A1" w:rsidP="00EC783D">
            <w:pPr>
              <w:spacing w:line="480" w:lineRule="auto"/>
              <w:ind w:left="60" w:right="60"/>
              <w:jc w:val="center"/>
              <w:rPr>
                <w:rFonts w:ascii="Times New Roman" w:hAnsi="Times New Roman" w:cs="Times New Roman"/>
                <w:sz w:val="24"/>
                <w:szCs w:val="24"/>
              </w:rPr>
            </w:pPr>
            <w:r w:rsidRPr="00EC783D">
              <w:rPr>
                <w:rFonts w:ascii="Times New Roman" w:hAnsi="Times New Roman" w:cs="Times New Roman"/>
                <w:bCs/>
                <w:sz w:val="24"/>
                <w:szCs w:val="24"/>
              </w:rPr>
              <w:t>Final weight (g)</w:t>
            </w:r>
          </w:p>
        </w:tc>
        <w:tc>
          <w:tcPr>
            <w:tcW w:w="1170" w:type="dxa"/>
            <w:tcBorders>
              <w:top w:val="nil"/>
            </w:tcBorders>
            <w:shd w:val="clear" w:color="FFFFFF" w:fill="auto"/>
            <w:tcMar>
              <w:top w:w="0" w:type="dxa"/>
              <w:left w:w="0" w:type="dxa"/>
              <w:bottom w:w="0" w:type="dxa"/>
              <w:right w:w="0" w:type="dxa"/>
            </w:tcMar>
          </w:tcPr>
          <w:p w14:paraId="1A4B9447" w14:textId="77777777" w:rsidR="00A955A1" w:rsidRPr="00EC783D" w:rsidRDefault="00A955A1" w:rsidP="00EC783D">
            <w:pPr>
              <w:spacing w:line="480" w:lineRule="auto"/>
              <w:ind w:left="60"/>
              <w:jc w:val="center"/>
              <w:rPr>
                <w:rFonts w:ascii="Times New Roman" w:hAnsi="Times New Roman" w:cs="Times New Roman"/>
                <w:sz w:val="24"/>
                <w:szCs w:val="24"/>
              </w:rPr>
            </w:pPr>
            <w:r w:rsidRPr="00EC783D">
              <w:rPr>
                <w:rFonts w:ascii="Times New Roman" w:hAnsi="Times New Roman" w:cs="Times New Roman"/>
                <w:sz w:val="24"/>
                <w:szCs w:val="24"/>
              </w:rPr>
              <w:t>189.00</w:t>
            </w:r>
          </w:p>
        </w:tc>
        <w:tc>
          <w:tcPr>
            <w:tcW w:w="1015" w:type="dxa"/>
            <w:tcBorders>
              <w:top w:val="nil"/>
            </w:tcBorders>
            <w:shd w:val="clear" w:color="FFFFFF" w:fill="auto"/>
            <w:tcMar>
              <w:top w:w="0" w:type="dxa"/>
              <w:left w:w="0" w:type="dxa"/>
              <w:bottom w:w="0" w:type="dxa"/>
              <w:right w:w="0" w:type="dxa"/>
            </w:tcMar>
          </w:tcPr>
          <w:p w14:paraId="60843A10" w14:textId="77777777" w:rsidR="00A955A1" w:rsidRPr="00EC783D" w:rsidRDefault="00A955A1" w:rsidP="00EC783D">
            <w:pPr>
              <w:spacing w:line="480" w:lineRule="auto"/>
              <w:jc w:val="center"/>
              <w:rPr>
                <w:rFonts w:ascii="Times New Roman" w:hAnsi="Times New Roman" w:cs="Times New Roman"/>
                <w:sz w:val="24"/>
                <w:szCs w:val="24"/>
              </w:rPr>
            </w:pPr>
            <w:r w:rsidRPr="00EC783D">
              <w:rPr>
                <w:rFonts w:ascii="Times New Roman" w:hAnsi="Times New Roman" w:cs="Times New Roman"/>
                <w:b/>
                <w:bCs/>
                <w:sz w:val="24"/>
                <w:szCs w:val="24"/>
              </w:rPr>
              <w:sym w:font="Symbol" w:char="F0B1"/>
            </w:r>
            <w:r w:rsidRPr="00EC783D">
              <w:rPr>
                <w:rFonts w:ascii="Times New Roman" w:hAnsi="Times New Roman" w:cs="Times New Roman"/>
                <w:sz w:val="24"/>
                <w:szCs w:val="24"/>
              </w:rPr>
              <w:t>00</w:t>
            </w:r>
          </w:p>
        </w:tc>
        <w:tc>
          <w:tcPr>
            <w:tcW w:w="990" w:type="dxa"/>
            <w:tcBorders>
              <w:top w:val="nil"/>
            </w:tcBorders>
            <w:shd w:val="clear" w:color="FFFFFF" w:fill="auto"/>
            <w:tcMar>
              <w:top w:w="0" w:type="dxa"/>
              <w:left w:w="0" w:type="dxa"/>
              <w:bottom w:w="0" w:type="dxa"/>
              <w:right w:w="0" w:type="dxa"/>
            </w:tcMar>
          </w:tcPr>
          <w:p w14:paraId="4BB46296" w14:textId="77777777" w:rsidR="00A955A1" w:rsidRPr="00EC783D" w:rsidRDefault="00A955A1" w:rsidP="00EC783D">
            <w:pPr>
              <w:spacing w:line="480" w:lineRule="auto"/>
              <w:ind w:right="60"/>
              <w:jc w:val="center"/>
              <w:rPr>
                <w:rFonts w:ascii="Times New Roman" w:hAnsi="Times New Roman" w:cs="Times New Roman"/>
                <w:sz w:val="24"/>
                <w:szCs w:val="24"/>
              </w:rPr>
            </w:pPr>
          </w:p>
        </w:tc>
        <w:tc>
          <w:tcPr>
            <w:tcW w:w="1170" w:type="dxa"/>
            <w:tcBorders>
              <w:top w:val="nil"/>
            </w:tcBorders>
            <w:shd w:val="clear" w:color="FFFFFF" w:fill="auto"/>
            <w:tcMar>
              <w:top w:w="0" w:type="dxa"/>
              <w:left w:w="0" w:type="dxa"/>
              <w:bottom w:w="0" w:type="dxa"/>
              <w:right w:w="0" w:type="dxa"/>
            </w:tcMar>
          </w:tcPr>
          <w:p w14:paraId="6236E81C"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c>
          <w:tcPr>
            <w:tcW w:w="1260" w:type="dxa"/>
            <w:tcBorders>
              <w:top w:val="nil"/>
            </w:tcBorders>
            <w:shd w:val="clear" w:color="FFFFFF" w:fill="auto"/>
            <w:tcMar>
              <w:top w:w="0" w:type="dxa"/>
              <w:left w:w="0" w:type="dxa"/>
              <w:bottom w:w="0" w:type="dxa"/>
              <w:right w:w="0" w:type="dxa"/>
            </w:tcMar>
          </w:tcPr>
          <w:p w14:paraId="6F736F48" w14:textId="77777777" w:rsidR="00A955A1" w:rsidRPr="00EC783D" w:rsidRDefault="00A955A1" w:rsidP="00EC783D">
            <w:pPr>
              <w:spacing w:line="480" w:lineRule="auto"/>
              <w:ind w:left="60" w:right="60"/>
              <w:jc w:val="center"/>
              <w:rPr>
                <w:rFonts w:ascii="Times New Roman" w:hAnsi="Times New Roman" w:cs="Times New Roman"/>
                <w:sz w:val="24"/>
                <w:szCs w:val="24"/>
              </w:rPr>
            </w:pPr>
          </w:p>
        </w:tc>
      </w:tr>
    </w:tbl>
    <w:p w14:paraId="368953F0" w14:textId="37277805" w:rsidR="00D46E86" w:rsidRPr="00EC783D" w:rsidRDefault="00D46E86"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Data was analyzed using T-test, and values considered significant at </w:t>
      </w:r>
      <w:r w:rsidRPr="00EC783D">
        <w:rPr>
          <w:rFonts w:ascii="Times New Roman" w:hAnsi="Times New Roman" w:cs="Times New Roman"/>
          <w:i/>
          <w:sz w:val="24"/>
          <w:szCs w:val="24"/>
        </w:rPr>
        <w:t>p&lt;0.05</w:t>
      </w:r>
      <w:r w:rsidRPr="00EC783D">
        <w:rPr>
          <w:rFonts w:ascii="Times New Roman" w:hAnsi="Times New Roman" w:cs="Times New Roman"/>
          <w:sz w:val="24"/>
          <w:szCs w:val="24"/>
        </w:rPr>
        <w:t>. SEM: Standard error of mean. WD: Weight difference</w:t>
      </w:r>
      <w:r w:rsidRPr="00EC783D">
        <w:rPr>
          <w:rFonts w:ascii="Times New Roman" w:hAnsi="Times New Roman" w:cs="Times New Roman"/>
          <w:i/>
          <w:sz w:val="24"/>
          <w:szCs w:val="24"/>
        </w:rPr>
        <w:t xml:space="preserve"> </w:t>
      </w:r>
      <w:r w:rsidRPr="00EC783D">
        <w:rPr>
          <w:rFonts w:ascii="Times New Roman" w:hAnsi="Times New Roman" w:cs="Times New Roman"/>
          <w:sz w:val="24"/>
          <w:szCs w:val="24"/>
        </w:rPr>
        <w:t>(* = significant when initial weight was compared with final weight).</w:t>
      </w:r>
    </w:p>
    <w:p w14:paraId="2F825DD5" w14:textId="77777777" w:rsidR="0088528E" w:rsidRPr="00EC783D" w:rsidRDefault="0088528E" w:rsidP="00EC783D">
      <w:pPr>
        <w:pStyle w:val="BodyText"/>
        <w:spacing w:before="48" w:line="480" w:lineRule="auto"/>
        <w:rPr>
          <w:rFonts w:ascii="Times New Roman" w:hAnsi="Times New Roman" w:cs="Times New Roman"/>
          <w:sz w:val="24"/>
          <w:szCs w:val="24"/>
        </w:rPr>
      </w:pPr>
    </w:p>
    <w:p w14:paraId="64D934B1" w14:textId="74A65C9D" w:rsidR="00640CF0" w:rsidRPr="00EC783D" w:rsidRDefault="00EC783D" w:rsidP="00EC783D">
      <w:pPr>
        <w:pStyle w:val="Heading1"/>
        <w:spacing w:before="142" w:line="480" w:lineRule="auto"/>
        <w:ind w:left="65"/>
        <w:rPr>
          <w:rFonts w:ascii="Times New Roman" w:hAnsi="Times New Roman" w:cs="Times New Roman"/>
          <w:spacing w:val="-2"/>
          <w:sz w:val="24"/>
          <w:szCs w:val="24"/>
        </w:rPr>
      </w:pPr>
      <w:r>
        <w:rPr>
          <w:rFonts w:ascii="Times New Roman" w:hAnsi="Times New Roman" w:cs="Times New Roman"/>
          <w:spacing w:val="-2"/>
          <w:sz w:val="24"/>
          <w:szCs w:val="24"/>
        </w:rPr>
        <w:t xml:space="preserve">3.2 </w:t>
      </w:r>
      <w:r w:rsidR="00D3794F" w:rsidRPr="00EC783D">
        <w:rPr>
          <w:rFonts w:ascii="Times New Roman" w:hAnsi="Times New Roman" w:cs="Times New Roman"/>
          <w:spacing w:val="-2"/>
          <w:sz w:val="24"/>
          <w:szCs w:val="24"/>
        </w:rPr>
        <w:t xml:space="preserve">Effects </w:t>
      </w:r>
      <w:r w:rsidR="00D94C0D" w:rsidRPr="00EC783D">
        <w:rPr>
          <w:rFonts w:ascii="Times New Roman" w:hAnsi="Times New Roman" w:cs="Times New Roman"/>
          <w:spacing w:val="-2"/>
          <w:sz w:val="24"/>
          <w:szCs w:val="24"/>
        </w:rPr>
        <w:t xml:space="preserve">of </w:t>
      </w:r>
      <w:r w:rsidR="00D94C0D" w:rsidRPr="00EC783D">
        <w:rPr>
          <w:rFonts w:ascii="Times New Roman" w:hAnsi="Times New Roman" w:cs="Times New Roman"/>
          <w:sz w:val="24"/>
          <w:szCs w:val="24"/>
        </w:rPr>
        <w:t>paraquat and</w:t>
      </w:r>
      <w:r w:rsidR="00D94C0D" w:rsidRPr="00EC783D">
        <w:rPr>
          <w:rFonts w:ascii="Times New Roman" w:hAnsi="Times New Roman" w:cs="Times New Roman"/>
          <w:b w:val="0"/>
          <w:sz w:val="24"/>
          <w:szCs w:val="24"/>
        </w:rPr>
        <w:t xml:space="preserve"> </w:t>
      </w:r>
      <w:proofErr w:type="spellStart"/>
      <w:r w:rsidR="00D94C0D" w:rsidRPr="00EC783D">
        <w:rPr>
          <w:rFonts w:ascii="Times New Roman" w:hAnsi="Times New Roman" w:cs="Times New Roman"/>
          <w:sz w:val="24"/>
          <w:szCs w:val="24"/>
        </w:rPr>
        <w:t>Jigsimur</w:t>
      </w:r>
      <w:proofErr w:type="spellEnd"/>
      <w:r w:rsidR="00D94C0D" w:rsidRPr="00EC783D">
        <w:rPr>
          <w:rFonts w:ascii="Times New Roman" w:hAnsi="Times New Roman" w:cs="Times New Roman"/>
          <w:spacing w:val="-2"/>
          <w:sz w:val="24"/>
          <w:szCs w:val="24"/>
        </w:rPr>
        <w:t xml:space="preserve"> </w:t>
      </w:r>
      <w:r w:rsidR="00D3794F" w:rsidRPr="00EC783D">
        <w:rPr>
          <w:rFonts w:ascii="Times New Roman" w:hAnsi="Times New Roman" w:cs="Times New Roman"/>
          <w:spacing w:val="-2"/>
          <w:sz w:val="24"/>
          <w:szCs w:val="24"/>
        </w:rPr>
        <w:t xml:space="preserve">on </w:t>
      </w:r>
      <w:r w:rsidR="00D94C0D" w:rsidRPr="00EC783D">
        <w:rPr>
          <w:rFonts w:ascii="Times New Roman" w:hAnsi="Times New Roman" w:cs="Times New Roman"/>
          <w:spacing w:val="-2"/>
          <w:sz w:val="24"/>
          <w:szCs w:val="24"/>
        </w:rPr>
        <w:t>Uric acid levels</w:t>
      </w:r>
    </w:p>
    <w:p w14:paraId="73673E5A" w14:textId="1700D9DC" w:rsidR="00BD6FC3" w:rsidRPr="00EC783D" w:rsidRDefault="00D94C0D" w:rsidP="00EC783D">
      <w:pPr>
        <w:pStyle w:val="BodyText"/>
        <w:spacing w:line="480" w:lineRule="auto"/>
        <w:ind w:left="50" w:right="44"/>
        <w:jc w:val="both"/>
        <w:rPr>
          <w:rFonts w:ascii="Times New Roman" w:hAnsi="Times New Roman" w:cs="Times New Roman"/>
          <w:sz w:val="24"/>
          <w:szCs w:val="24"/>
        </w:rPr>
      </w:pPr>
      <w:r w:rsidRPr="00EC783D">
        <w:rPr>
          <w:rFonts w:ascii="Times New Roman" w:hAnsi="Times New Roman" w:cs="Times New Roman"/>
          <w:sz w:val="24"/>
          <w:szCs w:val="24"/>
        </w:rPr>
        <w:t>Fig 1.0 is the chart showing</w:t>
      </w:r>
      <w:r w:rsidR="00D3794F" w:rsidRPr="00EC783D">
        <w:rPr>
          <w:rFonts w:ascii="Times New Roman" w:hAnsi="Times New Roman" w:cs="Times New Roman"/>
          <w:sz w:val="24"/>
          <w:szCs w:val="24"/>
        </w:rPr>
        <w:t xml:space="preserve"> the mean serum uric acid levels across </w:t>
      </w:r>
      <w:r w:rsidRPr="00EC783D">
        <w:rPr>
          <w:rFonts w:ascii="Times New Roman" w:hAnsi="Times New Roman" w:cs="Times New Roman"/>
          <w:sz w:val="24"/>
          <w:szCs w:val="24"/>
        </w:rPr>
        <w:t>the experimental groups. There wa</w:t>
      </w:r>
      <w:r w:rsidR="00D3794F" w:rsidRPr="00EC783D">
        <w:rPr>
          <w:rFonts w:ascii="Times New Roman" w:hAnsi="Times New Roman" w:cs="Times New Roman"/>
          <w:sz w:val="24"/>
          <w:szCs w:val="24"/>
        </w:rPr>
        <w:t>s a significant increase in Group B compared to Group A (co</w:t>
      </w:r>
      <w:r w:rsidRPr="00EC783D">
        <w:rPr>
          <w:rFonts w:ascii="Times New Roman" w:hAnsi="Times New Roman" w:cs="Times New Roman"/>
          <w:sz w:val="24"/>
          <w:szCs w:val="24"/>
        </w:rPr>
        <w:t>ntrol). A significant decrease wa</w:t>
      </w:r>
      <w:r w:rsidR="00D3794F" w:rsidRPr="00EC783D">
        <w:rPr>
          <w:rFonts w:ascii="Times New Roman" w:hAnsi="Times New Roman" w:cs="Times New Roman"/>
          <w:sz w:val="24"/>
          <w:szCs w:val="24"/>
        </w:rPr>
        <w:t>s observed in Group</w:t>
      </w:r>
      <w:r w:rsidR="008222E7">
        <w:rPr>
          <w:rFonts w:ascii="Times New Roman" w:hAnsi="Times New Roman" w:cs="Times New Roman"/>
          <w:sz w:val="24"/>
          <w:szCs w:val="24"/>
        </w:rPr>
        <w:t>s C and</w:t>
      </w:r>
      <w:r w:rsidR="00D3794F" w:rsidRPr="00EC783D">
        <w:rPr>
          <w:rFonts w:ascii="Times New Roman" w:hAnsi="Times New Roman" w:cs="Times New Roman"/>
          <w:sz w:val="24"/>
          <w:szCs w:val="24"/>
        </w:rPr>
        <w:t xml:space="preserve"> D compared to Group B (p &lt; 0.05).</w:t>
      </w:r>
    </w:p>
    <w:p w14:paraId="45E1658B" w14:textId="24CF278E" w:rsidR="0088528E" w:rsidRPr="00EC783D" w:rsidRDefault="0088528E" w:rsidP="00EC783D">
      <w:pPr>
        <w:pStyle w:val="BodyText"/>
        <w:spacing w:line="480" w:lineRule="auto"/>
        <w:rPr>
          <w:rFonts w:ascii="Times New Roman" w:hAnsi="Times New Roman" w:cs="Times New Roman"/>
          <w:sz w:val="24"/>
          <w:szCs w:val="24"/>
        </w:rPr>
      </w:pPr>
    </w:p>
    <w:p w14:paraId="7301543E" w14:textId="411480C5" w:rsidR="0088528E" w:rsidRPr="00EC783D" w:rsidRDefault="00557932" w:rsidP="00EC783D">
      <w:pPr>
        <w:pStyle w:val="BodyText"/>
        <w:spacing w:before="10" w:line="480" w:lineRule="auto"/>
        <w:rPr>
          <w:rFonts w:ascii="Times New Roman" w:hAnsi="Times New Roman" w:cs="Times New Roman"/>
          <w:sz w:val="24"/>
          <w:szCs w:val="24"/>
        </w:rPr>
      </w:pPr>
      <w:r w:rsidRPr="00557932">
        <w:rPr>
          <w:rFonts w:ascii="Times New Roman" w:hAnsi="Times New Roman" w:cs="Times New Roman"/>
          <w:noProof/>
          <w:sz w:val="24"/>
          <w:szCs w:val="24"/>
        </w:rPr>
        <w:lastRenderedPageBreak/>
        <w:drawing>
          <wp:inline distT="0" distB="0" distL="0" distR="0" wp14:anchorId="4A9CE6C0" wp14:editId="4F405C91">
            <wp:extent cx="4815840" cy="37261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875" r="40250" b="13778"/>
                    <a:stretch/>
                  </pic:blipFill>
                  <pic:spPr bwMode="auto">
                    <a:xfrm>
                      <a:off x="0" y="0"/>
                      <a:ext cx="4816515" cy="3726702"/>
                    </a:xfrm>
                    <a:prstGeom prst="rect">
                      <a:avLst/>
                    </a:prstGeom>
                    <a:ln>
                      <a:noFill/>
                    </a:ln>
                    <a:extLst>
                      <a:ext uri="{53640926-AAD7-44D8-BBD7-CCE9431645EC}">
                        <a14:shadowObscured xmlns:a14="http://schemas.microsoft.com/office/drawing/2010/main"/>
                      </a:ext>
                    </a:extLst>
                  </pic:spPr>
                </pic:pic>
              </a:graphicData>
            </a:graphic>
          </wp:inline>
        </w:drawing>
      </w:r>
    </w:p>
    <w:p w14:paraId="07CBB1EA" w14:textId="2D75E216" w:rsidR="00C16BD2" w:rsidRPr="00EC783D" w:rsidRDefault="00D94C0D" w:rsidP="00557932">
      <w:pPr>
        <w:spacing w:before="182" w:line="480" w:lineRule="auto"/>
        <w:ind w:right="174"/>
        <w:rPr>
          <w:rFonts w:ascii="Times New Roman" w:hAnsi="Times New Roman" w:cs="Times New Roman"/>
          <w:b/>
          <w:sz w:val="24"/>
          <w:szCs w:val="24"/>
        </w:rPr>
      </w:pPr>
      <w:r w:rsidRPr="00EC783D">
        <w:rPr>
          <w:rFonts w:ascii="Times New Roman" w:hAnsi="Times New Roman" w:cs="Times New Roman"/>
          <w:sz w:val="24"/>
          <w:szCs w:val="24"/>
        </w:rPr>
        <w:t>Fig 1.0 Effects of paraquat and</w:t>
      </w:r>
      <w:r w:rsidRPr="00EC783D">
        <w:rPr>
          <w:rFonts w:ascii="Times New Roman" w:hAnsi="Times New Roman" w:cs="Times New Roman"/>
          <w:b/>
          <w:sz w:val="24"/>
          <w:szCs w:val="24"/>
        </w:rPr>
        <w:t xml:space="preserve"> </w:t>
      </w:r>
      <w:proofErr w:type="spellStart"/>
      <w:r w:rsidRPr="00EC783D">
        <w:rPr>
          <w:rFonts w:ascii="Times New Roman" w:hAnsi="Times New Roman" w:cs="Times New Roman"/>
          <w:bCs/>
          <w:sz w:val="24"/>
          <w:szCs w:val="24"/>
        </w:rPr>
        <w:t>Jigsimur</w:t>
      </w:r>
      <w:proofErr w:type="spellEnd"/>
      <w:r w:rsidRPr="00EC783D">
        <w:rPr>
          <w:rFonts w:ascii="Times New Roman" w:hAnsi="Times New Roman" w:cs="Times New Roman"/>
          <w:bCs/>
          <w:sz w:val="24"/>
          <w:szCs w:val="24"/>
        </w:rPr>
        <w:t xml:space="preserve"> on Uric acid levels</w:t>
      </w:r>
    </w:p>
    <w:p w14:paraId="4958E966" w14:textId="1F0D894D" w:rsidR="00D3794F" w:rsidRPr="00B01EF8" w:rsidRDefault="00C16BD2" w:rsidP="00B01EF8">
      <w:pPr>
        <w:spacing w:before="182" w:line="480" w:lineRule="auto"/>
        <w:ind w:right="174"/>
        <w:rPr>
          <w:rFonts w:ascii="Times New Roman" w:hAnsi="Times New Roman" w:cs="Times New Roman"/>
          <w:b/>
          <w:i/>
          <w:sz w:val="24"/>
          <w:szCs w:val="24"/>
        </w:rPr>
      </w:pPr>
      <w:r w:rsidRPr="00EC783D">
        <w:rPr>
          <w:rFonts w:ascii="Times New Roman" w:hAnsi="Times New Roman" w:cs="Times New Roman"/>
          <w:b/>
          <w:i/>
          <w:sz w:val="24"/>
          <w:szCs w:val="24"/>
        </w:rPr>
        <w:t xml:space="preserve"> </w:t>
      </w:r>
    </w:p>
    <w:p w14:paraId="2889DD1E" w14:textId="3786DCB6" w:rsidR="00D94C0D" w:rsidRPr="00EC783D" w:rsidRDefault="0002474F" w:rsidP="00EC783D">
      <w:pPr>
        <w:spacing w:after="160" w:line="480" w:lineRule="auto"/>
        <w:rPr>
          <w:rFonts w:ascii="Times New Roman" w:hAnsi="Times New Roman" w:cs="Times New Roman"/>
          <w:b/>
        </w:rPr>
      </w:pPr>
      <w:r>
        <w:rPr>
          <w:rFonts w:ascii="Times New Roman" w:hAnsi="Times New Roman" w:cs="Times New Roman"/>
          <w:b/>
          <w:spacing w:val="-2"/>
          <w:sz w:val="24"/>
          <w:szCs w:val="24"/>
        </w:rPr>
        <w:t xml:space="preserve">3.3 </w:t>
      </w:r>
      <w:r w:rsidR="00D94C0D" w:rsidRPr="00EC783D">
        <w:rPr>
          <w:rFonts w:ascii="Times New Roman" w:hAnsi="Times New Roman" w:cs="Times New Roman"/>
          <w:b/>
          <w:spacing w:val="-2"/>
          <w:sz w:val="24"/>
          <w:szCs w:val="24"/>
        </w:rPr>
        <w:t xml:space="preserve">Effects of </w:t>
      </w:r>
      <w:r w:rsidR="00D94C0D" w:rsidRPr="00EC783D">
        <w:rPr>
          <w:rFonts w:ascii="Times New Roman" w:hAnsi="Times New Roman" w:cs="Times New Roman"/>
          <w:b/>
          <w:sz w:val="24"/>
          <w:szCs w:val="24"/>
        </w:rPr>
        <w:t xml:space="preserve">paraquat and </w:t>
      </w:r>
      <w:proofErr w:type="spellStart"/>
      <w:r w:rsidR="00D94C0D" w:rsidRPr="00EC783D">
        <w:rPr>
          <w:rFonts w:ascii="Times New Roman" w:hAnsi="Times New Roman" w:cs="Times New Roman"/>
          <w:b/>
          <w:bCs/>
          <w:sz w:val="24"/>
          <w:szCs w:val="24"/>
        </w:rPr>
        <w:t>Jigsimur</w:t>
      </w:r>
      <w:proofErr w:type="spellEnd"/>
      <w:r w:rsidR="00D94C0D" w:rsidRPr="00EC783D">
        <w:rPr>
          <w:rFonts w:ascii="Times New Roman" w:hAnsi="Times New Roman" w:cs="Times New Roman"/>
          <w:b/>
          <w:spacing w:val="-2"/>
          <w:sz w:val="24"/>
          <w:szCs w:val="24"/>
        </w:rPr>
        <w:t xml:space="preserve"> on Urea levels</w:t>
      </w:r>
      <w:r w:rsidR="00D94C0D" w:rsidRPr="00EC783D">
        <w:rPr>
          <w:rFonts w:ascii="Times New Roman" w:hAnsi="Times New Roman" w:cs="Times New Roman"/>
          <w:b/>
        </w:rPr>
        <w:t xml:space="preserve"> </w:t>
      </w:r>
    </w:p>
    <w:p w14:paraId="02A8CC36" w14:textId="0060A50C" w:rsidR="0002474F" w:rsidRDefault="00D94C0D" w:rsidP="0002474F">
      <w:pPr>
        <w:spacing w:after="160" w:line="480" w:lineRule="auto"/>
        <w:jc w:val="both"/>
        <w:rPr>
          <w:rFonts w:ascii="Times New Roman" w:hAnsi="Times New Roman" w:cs="Times New Roman"/>
          <w:b/>
          <w:bCs/>
          <w:sz w:val="24"/>
          <w:szCs w:val="24"/>
          <w:lang w:eastAsia="en-GB"/>
        </w:rPr>
      </w:pPr>
      <w:r w:rsidRPr="00EC783D">
        <w:rPr>
          <w:rFonts w:ascii="Times New Roman" w:hAnsi="Times New Roman" w:cs="Times New Roman"/>
          <w:sz w:val="24"/>
          <w:szCs w:val="24"/>
        </w:rPr>
        <w:t>Figure 2.0</w:t>
      </w:r>
      <w:r w:rsidR="00D3794F" w:rsidRPr="00EC783D">
        <w:rPr>
          <w:rFonts w:ascii="Times New Roman" w:hAnsi="Times New Roman" w:cs="Times New Roman"/>
          <w:sz w:val="24"/>
          <w:szCs w:val="24"/>
        </w:rPr>
        <w:t xml:space="preserve"> displays the mean serum urea levels across the five experimental groups. Group B shows a significant increase in urea concentration compared to Group A (control). Gro</w:t>
      </w:r>
      <w:r w:rsidR="008222E7">
        <w:rPr>
          <w:rFonts w:ascii="Times New Roman" w:hAnsi="Times New Roman" w:cs="Times New Roman"/>
          <w:sz w:val="24"/>
          <w:szCs w:val="24"/>
        </w:rPr>
        <w:t>up C also shows a significant de</w:t>
      </w:r>
      <w:r w:rsidR="00D3794F" w:rsidRPr="00EC783D">
        <w:rPr>
          <w:rFonts w:ascii="Times New Roman" w:hAnsi="Times New Roman" w:cs="Times New Roman"/>
          <w:sz w:val="24"/>
          <w:szCs w:val="24"/>
        </w:rPr>
        <w:t>crease compared to Group B. However, Group E shows a significant decrease in urea levels compared to Group C (p &lt; 0.05).</w:t>
      </w:r>
    </w:p>
    <w:p w14:paraId="68FA1611" w14:textId="30F2810F" w:rsidR="00AB34A8" w:rsidRDefault="00AB34A8" w:rsidP="00EC783D">
      <w:pPr>
        <w:spacing w:after="160" w:line="480" w:lineRule="auto"/>
        <w:rPr>
          <w:rFonts w:ascii="Times New Roman" w:hAnsi="Times New Roman" w:cs="Times New Roman"/>
          <w:b/>
          <w:bCs/>
          <w:sz w:val="24"/>
          <w:szCs w:val="24"/>
          <w:lang w:eastAsia="en-GB"/>
        </w:rPr>
      </w:pPr>
    </w:p>
    <w:p w14:paraId="6C3D06F3" w14:textId="77777777" w:rsidR="008F7197" w:rsidRDefault="008F7197" w:rsidP="008F7197">
      <w:pPr>
        <w:spacing w:after="160" w:line="480" w:lineRule="auto"/>
        <w:rPr>
          <w:rFonts w:ascii="Times New Roman" w:hAnsi="Times New Roman" w:cs="Times New Roman"/>
          <w:b/>
          <w:bCs/>
          <w:sz w:val="24"/>
          <w:szCs w:val="24"/>
          <w:lang w:eastAsia="en-GB"/>
        </w:rPr>
      </w:pPr>
    </w:p>
    <w:p w14:paraId="5435034B" w14:textId="77777777" w:rsidR="008F7197" w:rsidRDefault="008F7197" w:rsidP="008F7197">
      <w:pPr>
        <w:spacing w:after="160" w:line="480" w:lineRule="auto"/>
        <w:rPr>
          <w:rFonts w:ascii="Times New Roman" w:hAnsi="Times New Roman" w:cs="Times New Roman"/>
          <w:b/>
          <w:bCs/>
          <w:sz w:val="24"/>
          <w:szCs w:val="24"/>
          <w:lang w:eastAsia="en-GB"/>
        </w:rPr>
      </w:pPr>
    </w:p>
    <w:p w14:paraId="053046BC" w14:textId="77777777" w:rsidR="008F7197" w:rsidRDefault="00AB34A8" w:rsidP="008F7197">
      <w:pPr>
        <w:spacing w:after="160" w:line="480" w:lineRule="auto"/>
        <w:rPr>
          <w:rFonts w:ascii="Times New Roman" w:hAnsi="Times New Roman" w:cs="Times New Roman"/>
          <w:sz w:val="24"/>
          <w:szCs w:val="24"/>
        </w:rPr>
      </w:pPr>
      <w:r w:rsidRPr="00AB34A8">
        <w:rPr>
          <w:rFonts w:ascii="Times New Roman" w:hAnsi="Times New Roman" w:cs="Times New Roman"/>
          <w:b/>
          <w:bCs/>
          <w:noProof/>
          <w:sz w:val="24"/>
          <w:szCs w:val="24"/>
        </w:rPr>
        <w:lastRenderedPageBreak/>
        <w:drawing>
          <wp:inline distT="0" distB="0" distL="0" distR="0" wp14:anchorId="6B368A86" wp14:editId="1B76803C">
            <wp:extent cx="5288280" cy="36118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097" t="4889" r="28125" b="38445"/>
                    <a:stretch/>
                  </pic:blipFill>
                  <pic:spPr bwMode="auto">
                    <a:xfrm>
                      <a:off x="0" y="0"/>
                      <a:ext cx="5289040" cy="3612399"/>
                    </a:xfrm>
                    <a:prstGeom prst="rect">
                      <a:avLst/>
                    </a:prstGeom>
                    <a:ln>
                      <a:noFill/>
                    </a:ln>
                    <a:extLst>
                      <a:ext uri="{53640926-AAD7-44D8-BBD7-CCE9431645EC}">
                        <a14:shadowObscured xmlns:a14="http://schemas.microsoft.com/office/drawing/2010/main"/>
                      </a:ext>
                    </a:extLst>
                  </pic:spPr>
                </pic:pic>
              </a:graphicData>
            </a:graphic>
          </wp:inline>
        </w:drawing>
      </w:r>
    </w:p>
    <w:p w14:paraId="04A58B1D" w14:textId="10CC3595" w:rsidR="00D94C0D" w:rsidRPr="008F7197" w:rsidRDefault="00D94C0D" w:rsidP="008F7197">
      <w:pPr>
        <w:spacing w:after="160" w:line="480" w:lineRule="auto"/>
        <w:rPr>
          <w:rFonts w:ascii="Times New Roman" w:hAnsi="Times New Roman" w:cs="Times New Roman"/>
          <w:b/>
          <w:bCs/>
          <w:sz w:val="24"/>
          <w:szCs w:val="24"/>
          <w:lang w:eastAsia="en-GB"/>
        </w:rPr>
      </w:pPr>
      <w:r w:rsidRPr="00EC783D">
        <w:rPr>
          <w:rFonts w:ascii="Times New Roman" w:hAnsi="Times New Roman" w:cs="Times New Roman"/>
          <w:sz w:val="24"/>
          <w:szCs w:val="24"/>
        </w:rPr>
        <w:t>Fig 2.0 Effects of paraquat and</w:t>
      </w:r>
      <w:r w:rsidRPr="00EC783D">
        <w:rPr>
          <w:rFonts w:ascii="Times New Roman" w:hAnsi="Times New Roman" w:cs="Times New Roman"/>
          <w:b/>
          <w:sz w:val="24"/>
          <w:szCs w:val="24"/>
        </w:rPr>
        <w:t xml:space="preserve"> </w:t>
      </w:r>
      <w:proofErr w:type="spellStart"/>
      <w:r w:rsidRPr="00EC783D">
        <w:rPr>
          <w:rFonts w:ascii="Times New Roman" w:hAnsi="Times New Roman" w:cs="Times New Roman"/>
          <w:bCs/>
          <w:sz w:val="24"/>
          <w:szCs w:val="24"/>
        </w:rPr>
        <w:t>Jigsimur</w:t>
      </w:r>
      <w:proofErr w:type="spellEnd"/>
      <w:r w:rsidRPr="00EC783D">
        <w:rPr>
          <w:rFonts w:ascii="Times New Roman" w:hAnsi="Times New Roman" w:cs="Times New Roman"/>
          <w:bCs/>
          <w:sz w:val="24"/>
          <w:szCs w:val="24"/>
        </w:rPr>
        <w:t xml:space="preserve"> on Urea levels</w:t>
      </w:r>
    </w:p>
    <w:p w14:paraId="1B8CE647" w14:textId="62BFC1B3" w:rsidR="001A4083" w:rsidRPr="00E25B7B" w:rsidRDefault="001A4083" w:rsidP="00382E57">
      <w:pPr>
        <w:spacing w:before="182" w:line="480" w:lineRule="auto"/>
        <w:ind w:left="215" w:right="174"/>
        <w:rPr>
          <w:rFonts w:ascii="Times New Roman" w:hAnsi="Times New Roman" w:cs="Times New Roman"/>
          <w:sz w:val="24"/>
          <w:szCs w:val="24"/>
        </w:rPr>
      </w:pPr>
    </w:p>
    <w:p w14:paraId="36C9C1EE" w14:textId="15A0042F" w:rsidR="00E25B7B" w:rsidRPr="00EC783D" w:rsidRDefault="00E25B7B" w:rsidP="00E25B7B">
      <w:pPr>
        <w:spacing w:after="160" w:line="480" w:lineRule="auto"/>
        <w:rPr>
          <w:rFonts w:ascii="Times New Roman" w:hAnsi="Times New Roman" w:cs="Times New Roman"/>
          <w:b/>
        </w:rPr>
      </w:pPr>
      <w:r>
        <w:rPr>
          <w:rFonts w:ascii="Times New Roman" w:hAnsi="Times New Roman" w:cs="Times New Roman"/>
          <w:b/>
          <w:spacing w:val="-2"/>
          <w:sz w:val="24"/>
          <w:szCs w:val="24"/>
        </w:rPr>
        <w:t xml:space="preserve">3.4 </w:t>
      </w:r>
      <w:r w:rsidRPr="00EC783D">
        <w:rPr>
          <w:rFonts w:ascii="Times New Roman" w:hAnsi="Times New Roman" w:cs="Times New Roman"/>
          <w:b/>
          <w:spacing w:val="-2"/>
          <w:sz w:val="24"/>
          <w:szCs w:val="24"/>
        </w:rPr>
        <w:t xml:space="preserve">Effects of </w:t>
      </w:r>
      <w:r w:rsidRPr="00EC783D">
        <w:rPr>
          <w:rFonts w:ascii="Times New Roman" w:hAnsi="Times New Roman" w:cs="Times New Roman"/>
          <w:b/>
          <w:sz w:val="24"/>
          <w:szCs w:val="24"/>
        </w:rPr>
        <w:t xml:space="preserve">paraquat and </w:t>
      </w:r>
      <w:proofErr w:type="spellStart"/>
      <w:r w:rsidRPr="00EC783D">
        <w:rPr>
          <w:rFonts w:ascii="Times New Roman" w:hAnsi="Times New Roman" w:cs="Times New Roman"/>
          <w:b/>
          <w:bCs/>
          <w:sz w:val="24"/>
          <w:szCs w:val="24"/>
        </w:rPr>
        <w:t>Jigsimur</w:t>
      </w:r>
      <w:proofErr w:type="spellEnd"/>
      <w:r>
        <w:rPr>
          <w:rFonts w:ascii="Times New Roman" w:hAnsi="Times New Roman" w:cs="Times New Roman"/>
          <w:b/>
          <w:spacing w:val="-2"/>
          <w:sz w:val="24"/>
          <w:szCs w:val="24"/>
        </w:rPr>
        <w:t xml:space="preserve"> on Creatinine</w:t>
      </w:r>
      <w:r w:rsidRPr="00EC783D">
        <w:rPr>
          <w:rFonts w:ascii="Times New Roman" w:hAnsi="Times New Roman" w:cs="Times New Roman"/>
          <w:b/>
          <w:spacing w:val="-2"/>
          <w:sz w:val="24"/>
          <w:szCs w:val="24"/>
        </w:rPr>
        <w:t xml:space="preserve"> levels</w:t>
      </w:r>
      <w:r w:rsidRPr="00EC783D">
        <w:rPr>
          <w:rFonts w:ascii="Times New Roman" w:hAnsi="Times New Roman" w:cs="Times New Roman"/>
          <w:b/>
        </w:rPr>
        <w:t xml:space="preserve"> </w:t>
      </w:r>
    </w:p>
    <w:p w14:paraId="7176D51A" w14:textId="45331AA6" w:rsidR="00382E57" w:rsidRPr="00B96CCB" w:rsidRDefault="00E25B7B" w:rsidP="00B96CCB">
      <w:pPr>
        <w:spacing w:before="182" w:line="480" w:lineRule="auto"/>
        <w:ind w:left="215" w:right="174"/>
        <w:jc w:val="both"/>
        <w:rPr>
          <w:rFonts w:ascii="Times New Roman" w:hAnsi="Times New Roman" w:cs="Times New Roman"/>
          <w:sz w:val="24"/>
          <w:szCs w:val="24"/>
        </w:rPr>
      </w:pPr>
      <w:r w:rsidRPr="00B96CCB">
        <w:rPr>
          <w:rFonts w:ascii="Times New Roman" w:hAnsi="Times New Roman" w:cs="Times New Roman"/>
          <w:sz w:val="24"/>
          <w:szCs w:val="24"/>
        </w:rPr>
        <w:t>Group B (paraquat-only) showed elevated creatinine (0.50 mg/</w:t>
      </w:r>
      <w:proofErr w:type="spellStart"/>
      <w:r w:rsidRPr="00B96CCB">
        <w:rPr>
          <w:rFonts w:ascii="Times New Roman" w:hAnsi="Times New Roman" w:cs="Times New Roman"/>
          <w:sz w:val="24"/>
          <w:szCs w:val="24"/>
        </w:rPr>
        <w:t>gL</w:t>
      </w:r>
      <w:proofErr w:type="spellEnd"/>
      <w:r w:rsidRPr="00B96CCB">
        <w:rPr>
          <w:rFonts w:ascii="Times New Roman" w:hAnsi="Times New Roman" w:cs="Times New Roman"/>
          <w:sz w:val="24"/>
          <w:szCs w:val="24"/>
        </w:rPr>
        <w:t>) compared to the negati</w:t>
      </w:r>
      <w:r w:rsidR="00D6064B">
        <w:rPr>
          <w:rFonts w:ascii="Times New Roman" w:hAnsi="Times New Roman" w:cs="Times New Roman"/>
          <w:sz w:val="24"/>
          <w:szCs w:val="24"/>
        </w:rPr>
        <w:t>ve control Group A (0.30 mg/</w:t>
      </w:r>
      <w:proofErr w:type="spellStart"/>
      <w:r w:rsidR="00D6064B">
        <w:rPr>
          <w:rFonts w:ascii="Times New Roman" w:hAnsi="Times New Roman" w:cs="Times New Roman"/>
          <w:sz w:val="24"/>
          <w:szCs w:val="24"/>
        </w:rPr>
        <w:t>gL</w:t>
      </w:r>
      <w:proofErr w:type="spellEnd"/>
      <w:r w:rsidR="00D6064B">
        <w:rPr>
          <w:rFonts w:ascii="Times New Roman" w:hAnsi="Times New Roman" w:cs="Times New Roman"/>
          <w:sz w:val="24"/>
          <w:szCs w:val="24"/>
        </w:rPr>
        <w:t>)</w:t>
      </w:r>
      <w:r w:rsidRPr="00B96CCB">
        <w:rPr>
          <w:rFonts w:ascii="Times New Roman" w:hAnsi="Times New Roman" w:cs="Times New Roman"/>
          <w:sz w:val="24"/>
          <w:szCs w:val="24"/>
        </w:rPr>
        <w:t xml:space="preserve"> </w:t>
      </w:r>
      <w:r w:rsidR="008222E7">
        <w:rPr>
          <w:rFonts w:ascii="Times New Roman" w:hAnsi="Times New Roman" w:cs="Times New Roman"/>
          <w:sz w:val="24"/>
          <w:szCs w:val="24"/>
        </w:rPr>
        <w:t xml:space="preserve">and Group C </w:t>
      </w:r>
      <w:r w:rsidR="00D6064B" w:rsidRPr="00B96CCB">
        <w:rPr>
          <w:rFonts w:ascii="Times New Roman" w:hAnsi="Times New Roman" w:cs="Times New Roman"/>
          <w:sz w:val="24"/>
          <w:szCs w:val="24"/>
        </w:rPr>
        <w:t>(0.35</w:t>
      </w:r>
      <w:r w:rsidR="00D6064B">
        <w:rPr>
          <w:rFonts w:ascii="Times New Roman" w:hAnsi="Times New Roman" w:cs="Times New Roman"/>
          <w:sz w:val="24"/>
          <w:szCs w:val="24"/>
        </w:rPr>
        <w:t xml:space="preserve"> mg/</w:t>
      </w:r>
      <w:proofErr w:type="spellStart"/>
      <w:r w:rsidR="00D6064B">
        <w:rPr>
          <w:rFonts w:ascii="Times New Roman" w:hAnsi="Times New Roman" w:cs="Times New Roman"/>
          <w:sz w:val="24"/>
          <w:szCs w:val="24"/>
        </w:rPr>
        <w:t>gL</w:t>
      </w:r>
      <w:proofErr w:type="spellEnd"/>
      <w:r w:rsidR="00D6064B">
        <w:rPr>
          <w:rFonts w:ascii="Times New Roman" w:hAnsi="Times New Roman" w:cs="Times New Roman"/>
          <w:sz w:val="24"/>
          <w:szCs w:val="24"/>
        </w:rPr>
        <w:t xml:space="preserve">) </w:t>
      </w:r>
      <w:r w:rsidR="008222E7">
        <w:rPr>
          <w:rFonts w:ascii="Times New Roman" w:hAnsi="Times New Roman" w:cs="Times New Roman"/>
          <w:sz w:val="24"/>
          <w:szCs w:val="24"/>
        </w:rPr>
        <w:t xml:space="preserve">(that received only </w:t>
      </w:r>
      <w:proofErr w:type="spellStart"/>
      <w:r w:rsidR="008222E7">
        <w:rPr>
          <w:rFonts w:ascii="Times New Roman" w:hAnsi="Times New Roman" w:cs="Times New Roman"/>
          <w:sz w:val="24"/>
          <w:szCs w:val="24"/>
        </w:rPr>
        <w:t>Jigsimur</w:t>
      </w:r>
      <w:proofErr w:type="spellEnd"/>
      <w:r w:rsidR="008222E7">
        <w:rPr>
          <w:rFonts w:ascii="Times New Roman" w:hAnsi="Times New Roman" w:cs="Times New Roman"/>
          <w:sz w:val="24"/>
          <w:szCs w:val="24"/>
        </w:rPr>
        <w:t>)</w:t>
      </w:r>
      <w:r w:rsidR="00D6064B">
        <w:rPr>
          <w:rFonts w:ascii="Times New Roman" w:hAnsi="Times New Roman" w:cs="Times New Roman"/>
          <w:sz w:val="24"/>
          <w:szCs w:val="24"/>
        </w:rPr>
        <w:t xml:space="preserve"> </w:t>
      </w:r>
      <w:r w:rsidRPr="00B96CCB">
        <w:rPr>
          <w:rFonts w:ascii="Times New Roman" w:hAnsi="Times New Roman" w:cs="Times New Roman"/>
          <w:sz w:val="24"/>
          <w:szCs w:val="24"/>
        </w:rPr>
        <w:t>indicating renal</w:t>
      </w:r>
      <w:r w:rsidR="008222E7">
        <w:rPr>
          <w:rFonts w:ascii="Times New Roman" w:hAnsi="Times New Roman" w:cs="Times New Roman"/>
          <w:sz w:val="24"/>
          <w:szCs w:val="24"/>
        </w:rPr>
        <w:t xml:space="preserve"> impairment. However, Groups </w:t>
      </w:r>
      <w:r w:rsidRPr="00B96CCB">
        <w:rPr>
          <w:rFonts w:ascii="Times New Roman" w:hAnsi="Times New Roman" w:cs="Times New Roman"/>
          <w:sz w:val="24"/>
          <w:szCs w:val="24"/>
        </w:rPr>
        <w:t xml:space="preserve">D, and E (treated with </w:t>
      </w:r>
      <w:proofErr w:type="spellStart"/>
      <w:r w:rsidRPr="00B96CCB">
        <w:rPr>
          <w:rFonts w:ascii="Times New Roman" w:hAnsi="Times New Roman" w:cs="Times New Roman"/>
          <w:sz w:val="24"/>
          <w:szCs w:val="24"/>
        </w:rPr>
        <w:t>Jigsimu</w:t>
      </w:r>
      <w:r w:rsidR="00D6064B">
        <w:rPr>
          <w:rFonts w:ascii="Times New Roman" w:hAnsi="Times New Roman" w:cs="Times New Roman"/>
          <w:sz w:val="24"/>
          <w:szCs w:val="24"/>
        </w:rPr>
        <w:t>r</w:t>
      </w:r>
      <w:proofErr w:type="spellEnd"/>
      <w:r w:rsidR="00D6064B">
        <w:rPr>
          <w:rFonts w:ascii="Times New Roman" w:hAnsi="Times New Roman" w:cs="Times New Roman"/>
          <w:sz w:val="24"/>
          <w:szCs w:val="24"/>
        </w:rPr>
        <w:t>) showed reduced levels (</w:t>
      </w:r>
      <w:r w:rsidRPr="00B96CCB">
        <w:rPr>
          <w:rFonts w:ascii="Times New Roman" w:hAnsi="Times New Roman" w:cs="Times New Roman"/>
          <w:sz w:val="24"/>
          <w:szCs w:val="24"/>
        </w:rPr>
        <w:t>0.33, and 0.32 mg/</w:t>
      </w:r>
      <w:proofErr w:type="spellStart"/>
      <w:r w:rsidRPr="00B96CCB">
        <w:rPr>
          <w:rFonts w:ascii="Times New Roman" w:hAnsi="Times New Roman" w:cs="Times New Roman"/>
          <w:sz w:val="24"/>
          <w:szCs w:val="24"/>
        </w:rPr>
        <w:t>gL</w:t>
      </w:r>
      <w:proofErr w:type="spellEnd"/>
      <w:r w:rsidRPr="00B96CCB">
        <w:rPr>
          <w:rFonts w:ascii="Times New Roman" w:hAnsi="Times New Roman" w:cs="Times New Roman"/>
          <w:sz w:val="24"/>
          <w:szCs w:val="24"/>
        </w:rPr>
        <w:t xml:space="preserve"> respectively), suggesting a dose-dependent </w:t>
      </w:r>
      <w:proofErr w:type="spellStart"/>
      <w:r w:rsidRPr="00B96CCB">
        <w:rPr>
          <w:rFonts w:ascii="Times New Roman" w:hAnsi="Times New Roman" w:cs="Times New Roman"/>
          <w:sz w:val="24"/>
          <w:szCs w:val="24"/>
        </w:rPr>
        <w:t>renoprotective</w:t>
      </w:r>
      <w:proofErr w:type="spellEnd"/>
      <w:r w:rsidRPr="00B96CCB">
        <w:rPr>
          <w:rFonts w:ascii="Times New Roman" w:hAnsi="Times New Roman" w:cs="Times New Roman"/>
          <w:sz w:val="24"/>
          <w:szCs w:val="24"/>
        </w:rPr>
        <w:t xml:space="preserve"> effect of </w:t>
      </w:r>
      <w:proofErr w:type="spellStart"/>
      <w:r w:rsidRPr="00B96CCB">
        <w:rPr>
          <w:rFonts w:ascii="Times New Roman" w:hAnsi="Times New Roman" w:cs="Times New Roman"/>
          <w:sz w:val="24"/>
          <w:szCs w:val="24"/>
        </w:rPr>
        <w:t>Jigsimur</w:t>
      </w:r>
      <w:proofErr w:type="spellEnd"/>
      <w:r w:rsidR="00B96CCB">
        <w:rPr>
          <w:rFonts w:ascii="Times New Roman" w:hAnsi="Times New Roman" w:cs="Times New Roman"/>
          <w:sz w:val="24"/>
          <w:szCs w:val="24"/>
        </w:rPr>
        <w:t xml:space="preserve"> as shown in fig 3.0</w:t>
      </w:r>
      <w:r w:rsidRPr="00B96CCB">
        <w:rPr>
          <w:rFonts w:ascii="Times New Roman" w:hAnsi="Times New Roman" w:cs="Times New Roman"/>
          <w:sz w:val="24"/>
          <w:szCs w:val="24"/>
        </w:rPr>
        <w:t>.</w:t>
      </w:r>
    </w:p>
    <w:p w14:paraId="2D45FE95" w14:textId="77777777" w:rsidR="001A4083" w:rsidRPr="00E25B7B" w:rsidRDefault="001A4083" w:rsidP="00EC783D">
      <w:pPr>
        <w:spacing w:before="182" w:line="480" w:lineRule="auto"/>
        <w:ind w:left="215" w:right="174"/>
        <w:jc w:val="center"/>
        <w:rPr>
          <w:rFonts w:ascii="Times New Roman" w:hAnsi="Times New Roman" w:cs="Times New Roman"/>
          <w:sz w:val="24"/>
          <w:szCs w:val="24"/>
        </w:rPr>
      </w:pPr>
    </w:p>
    <w:p w14:paraId="66DA6887" w14:textId="77777777" w:rsidR="001A4083" w:rsidRPr="00E25B7B" w:rsidRDefault="001A4083" w:rsidP="00EC783D">
      <w:pPr>
        <w:spacing w:before="182" w:line="480" w:lineRule="auto"/>
        <w:ind w:left="215" w:right="174"/>
        <w:jc w:val="center"/>
        <w:rPr>
          <w:rFonts w:ascii="Times New Roman" w:hAnsi="Times New Roman" w:cs="Times New Roman"/>
          <w:sz w:val="24"/>
          <w:szCs w:val="24"/>
        </w:rPr>
      </w:pPr>
    </w:p>
    <w:p w14:paraId="797F83F9" w14:textId="77777777" w:rsidR="001A4083" w:rsidRPr="00E25B7B" w:rsidRDefault="001A4083" w:rsidP="00EC783D">
      <w:pPr>
        <w:spacing w:before="182" w:line="480" w:lineRule="auto"/>
        <w:ind w:left="215" w:right="174"/>
        <w:jc w:val="center"/>
        <w:rPr>
          <w:rFonts w:ascii="Times New Roman" w:hAnsi="Times New Roman" w:cs="Times New Roman"/>
          <w:sz w:val="24"/>
          <w:szCs w:val="24"/>
        </w:rPr>
      </w:pPr>
    </w:p>
    <w:p w14:paraId="3B69C166" w14:textId="77777777" w:rsidR="001A4083" w:rsidRPr="00E25B7B" w:rsidRDefault="001A4083" w:rsidP="00EC783D">
      <w:pPr>
        <w:spacing w:before="182" w:line="480" w:lineRule="auto"/>
        <w:ind w:left="215" w:right="174"/>
        <w:jc w:val="center"/>
        <w:rPr>
          <w:rFonts w:ascii="Times New Roman" w:hAnsi="Times New Roman" w:cs="Times New Roman"/>
          <w:sz w:val="24"/>
          <w:szCs w:val="24"/>
        </w:rPr>
      </w:pPr>
    </w:p>
    <w:p w14:paraId="5988EAE8" w14:textId="1B1AD9B1" w:rsidR="001A4083" w:rsidRPr="00E25B7B" w:rsidRDefault="00E25B7B" w:rsidP="00E25B7B">
      <w:pPr>
        <w:spacing w:before="182" w:line="480" w:lineRule="auto"/>
        <w:ind w:left="215" w:right="174"/>
        <w:rPr>
          <w:rFonts w:ascii="Times New Roman" w:hAnsi="Times New Roman" w:cs="Times New Roman"/>
          <w:b/>
          <w:sz w:val="24"/>
          <w:szCs w:val="24"/>
        </w:rPr>
      </w:pPr>
      <w:r w:rsidRPr="00E25B7B">
        <w:rPr>
          <w:rFonts w:ascii="Times New Roman" w:hAnsi="Times New Roman" w:cs="Times New Roman"/>
          <w:noProof/>
          <w:sz w:val="24"/>
          <w:szCs w:val="24"/>
        </w:rPr>
        <mc:AlternateContent>
          <mc:Choice Requires="wps">
            <w:drawing>
              <wp:inline distT="0" distB="0" distL="0" distR="0" wp14:anchorId="37D3F6E1" wp14:editId="7E1DB714">
                <wp:extent cx="304800" cy="304800"/>
                <wp:effectExtent l="0" t="0" r="0" b="0"/>
                <wp:docPr id="9" name="Rectangle 9"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2D1D689" id="Rectangle 9"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mL+Sj&#10;wQIAAMwFAAAOAAAAAAAAAAAAAAAAAC4CAABkcnMvZTJvRG9jLnhtbFBLAQItABQABgAIAAAAIQBM&#10;oOks2AAAAAMBAAAPAAAAAAAAAAAAAAAAABsFAABkcnMvZG93bnJldi54bWxQSwUGAAAAAAQABADz&#10;AAAAIAYAAAAA&#10;" filled="f" stroked="f">
                <o:lock v:ext="edit" aspectratio="t"/>
                <w10:anchorlock/>
              </v:rect>
            </w:pict>
          </mc:Fallback>
        </mc:AlternateContent>
      </w:r>
      <w:r w:rsidRPr="00E25B7B">
        <w:rPr>
          <w:rFonts w:ascii="Times New Roman" w:hAnsi="Times New Roman" w:cs="Times New Roman"/>
          <w:b/>
          <w:noProof/>
          <w:sz w:val="24"/>
          <w:szCs w:val="24"/>
        </w:rPr>
        <w:drawing>
          <wp:inline distT="0" distB="0" distL="0" distR="0" wp14:anchorId="31536821" wp14:editId="7F9EE4AC">
            <wp:extent cx="6680200" cy="4175125"/>
            <wp:effectExtent l="0" t="0" r="6350" b="0"/>
            <wp:docPr id="10" name="Picture 10" descr="C:\Users\user\Downloads\creatinine_bar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creatinine_bar_char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0200" cy="4175125"/>
                    </a:xfrm>
                    <a:prstGeom prst="rect">
                      <a:avLst/>
                    </a:prstGeom>
                    <a:noFill/>
                    <a:ln>
                      <a:noFill/>
                    </a:ln>
                  </pic:spPr>
                </pic:pic>
              </a:graphicData>
            </a:graphic>
          </wp:inline>
        </w:drawing>
      </w:r>
    </w:p>
    <w:p w14:paraId="4955F55D" w14:textId="79D66E59" w:rsidR="00B96CCB" w:rsidRPr="00EC783D" w:rsidRDefault="00B96CCB" w:rsidP="00B96CCB">
      <w:pPr>
        <w:spacing w:before="182" w:line="480" w:lineRule="auto"/>
        <w:ind w:left="215" w:right="174"/>
        <w:rPr>
          <w:rFonts w:ascii="Times New Roman" w:hAnsi="Times New Roman" w:cs="Times New Roman"/>
          <w:b/>
          <w:sz w:val="24"/>
          <w:szCs w:val="24"/>
        </w:rPr>
      </w:pPr>
      <w:r>
        <w:rPr>
          <w:rFonts w:ascii="Times New Roman" w:hAnsi="Times New Roman" w:cs="Times New Roman"/>
          <w:sz w:val="24"/>
          <w:szCs w:val="24"/>
        </w:rPr>
        <w:t>Fig 3</w:t>
      </w:r>
      <w:r w:rsidRPr="00EC783D">
        <w:rPr>
          <w:rFonts w:ascii="Times New Roman" w:hAnsi="Times New Roman" w:cs="Times New Roman"/>
          <w:sz w:val="24"/>
          <w:szCs w:val="24"/>
        </w:rPr>
        <w:t>.0 Effects of paraquat and</w:t>
      </w:r>
      <w:r w:rsidRPr="00EC783D">
        <w:rPr>
          <w:rFonts w:ascii="Times New Roman" w:hAnsi="Times New Roman" w:cs="Times New Roman"/>
          <w:b/>
          <w:sz w:val="24"/>
          <w:szCs w:val="24"/>
        </w:rPr>
        <w:t xml:space="preserve"> </w:t>
      </w:r>
      <w:proofErr w:type="spellStart"/>
      <w:r w:rsidRPr="00EC783D">
        <w:rPr>
          <w:rFonts w:ascii="Times New Roman" w:hAnsi="Times New Roman" w:cs="Times New Roman"/>
          <w:bCs/>
          <w:sz w:val="24"/>
          <w:szCs w:val="24"/>
        </w:rPr>
        <w:t>Jigsimur</w:t>
      </w:r>
      <w:proofErr w:type="spellEnd"/>
      <w:r w:rsidRPr="00EC783D">
        <w:rPr>
          <w:rFonts w:ascii="Times New Roman" w:hAnsi="Times New Roman" w:cs="Times New Roman"/>
          <w:bCs/>
          <w:sz w:val="24"/>
          <w:szCs w:val="24"/>
        </w:rPr>
        <w:t xml:space="preserve"> on Urea levels</w:t>
      </w:r>
    </w:p>
    <w:p w14:paraId="05192B2B" w14:textId="77777777" w:rsidR="001A4083" w:rsidRPr="00B96CCB" w:rsidRDefault="001A4083" w:rsidP="00B96CCB">
      <w:pPr>
        <w:spacing w:before="182" w:line="480" w:lineRule="auto"/>
        <w:ind w:left="215" w:right="174"/>
        <w:rPr>
          <w:rFonts w:ascii="Times New Roman" w:hAnsi="Times New Roman" w:cs="Times New Roman"/>
          <w:b/>
          <w:sz w:val="24"/>
          <w:szCs w:val="24"/>
        </w:rPr>
      </w:pPr>
    </w:p>
    <w:p w14:paraId="772D73F9" w14:textId="6AC7A123" w:rsidR="0088528E" w:rsidRPr="00EC783D" w:rsidRDefault="004F4CF0" w:rsidP="00EC783D">
      <w:pPr>
        <w:pStyle w:val="BodyText"/>
        <w:tabs>
          <w:tab w:val="left" w:pos="2860"/>
        </w:tabs>
        <w:spacing w:before="26" w:line="480" w:lineRule="auto"/>
        <w:rPr>
          <w:rFonts w:ascii="Times New Roman" w:hAnsi="Times New Roman" w:cs="Times New Roman"/>
          <w:i/>
          <w:sz w:val="24"/>
          <w:szCs w:val="24"/>
        </w:rPr>
      </w:pPr>
      <w:r w:rsidRPr="00EC783D">
        <w:rPr>
          <w:rFonts w:ascii="Times New Roman" w:hAnsi="Times New Roman" w:cs="Times New Roman"/>
          <w:i/>
          <w:sz w:val="24"/>
          <w:szCs w:val="24"/>
        </w:rPr>
        <w:tab/>
      </w:r>
    </w:p>
    <w:p w14:paraId="25C7115E" w14:textId="77777777" w:rsidR="0088528E" w:rsidRPr="00EC783D" w:rsidRDefault="0088528E" w:rsidP="00EC783D">
      <w:pPr>
        <w:pStyle w:val="BodyText"/>
        <w:spacing w:before="20" w:line="480" w:lineRule="auto"/>
        <w:rPr>
          <w:rFonts w:ascii="Times New Roman" w:hAnsi="Times New Roman" w:cs="Times New Roman"/>
          <w:sz w:val="24"/>
          <w:szCs w:val="24"/>
        </w:rPr>
      </w:pPr>
    </w:p>
    <w:p w14:paraId="60F20B01" w14:textId="52BB33EF" w:rsidR="0088528E" w:rsidRPr="00EC783D" w:rsidRDefault="0002474F" w:rsidP="00EC783D">
      <w:pPr>
        <w:pStyle w:val="Heading2"/>
        <w:spacing w:line="480" w:lineRule="auto"/>
        <w:ind w:left="72"/>
        <w:rPr>
          <w:rFonts w:ascii="Times New Roman" w:hAnsi="Times New Roman" w:cs="Times New Roman"/>
          <w:spacing w:val="-2"/>
          <w:sz w:val="24"/>
          <w:szCs w:val="24"/>
        </w:rPr>
      </w:pPr>
      <w:r>
        <w:rPr>
          <w:rFonts w:ascii="Times New Roman" w:hAnsi="Times New Roman" w:cs="Times New Roman"/>
          <w:spacing w:val="-2"/>
          <w:sz w:val="24"/>
          <w:szCs w:val="24"/>
        </w:rPr>
        <w:t xml:space="preserve">3.5 </w:t>
      </w:r>
      <w:r w:rsidR="000A17FE" w:rsidRPr="00EC783D">
        <w:rPr>
          <w:rFonts w:ascii="Times New Roman" w:hAnsi="Times New Roman" w:cs="Times New Roman"/>
          <w:spacing w:val="-2"/>
          <w:sz w:val="24"/>
          <w:szCs w:val="24"/>
        </w:rPr>
        <w:t>Histological</w:t>
      </w:r>
      <w:r w:rsidR="000A17FE" w:rsidRPr="00EC783D">
        <w:rPr>
          <w:rFonts w:ascii="Times New Roman" w:hAnsi="Times New Roman" w:cs="Times New Roman"/>
          <w:spacing w:val="10"/>
          <w:sz w:val="24"/>
          <w:szCs w:val="24"/>
        </w:rPr>
        <w:t xml:space="preserve"> </w:t>
      </w:r>
      <w:r w:rsidR="000A17FE" w:rsidRPr="00EC783D">
        <w:rPr>
          <w:rFonts w:ascii="Times New Roman" w:hAnsi="Times New Roman" w:cs="Times New Roman"/>
          <w:spacing w:val="-2"/>
          <w:sz w:val="24"/>
          <w:szCs w:val="24"/>
        </w:rPr>
        <w:t>findings</w:t>
      </w:r>
    </w:p>
    <w:p w14:paraId="1FC6F1FD" w14:textId="2E3E33D4" w:rsidR="008536E5" w:rsidRPr="00E25B7B" w:rsidRDefault="008536E5" w:rsidP="00E25B7B"/>
    <w:p w14:paraId="42DA8CB5" w14:textId="06DAC5F8" w:rsidR="008536E5" w:rsidRPr="00EC783D" w:rsidRDefault="008536E5"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Extensive fatty degeneration (clear vacuolated spaces in renal tubules), inflammatory infiltration surrounding glomerulus and tubules, disturbed architecture (damaged tubules, possible tubular necrosis) were all </w:t>
      </w:r>
      <w:r w:rsidRPr="00EC783D">
        <w:rPr>
          <w:rFonts w:ascii="Times New Roman" w:hAnsi="Times New Roman" w:cs="Times New Roman"/>
          <w:sz w:val="24"/>
          <w:szCs w:val="24"/>
        </w:rPr>
        <w:lastRenderedPageBreak/>
        <w:t xml:space="preserve">observable in the paraquat-only group (Group B). However, in the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treated groups, fewer fatty changes (noted by vacuolated cytoplasm), less severe inflammatory infiltration, tubular arrangement (appears relatively better preserved) and lower density of necrotic features compared to the Group B, reflects partial renal recovery post-paraquat exposure as shown in plates 1 - 5.</w:t>
      </w:r>
    </w:p>
    <w:p w14:paraId="23571958" w14:textId="77777777" w:rsidR="008536E5" w:rsidRPr="00EC783D" w:rsidRDefault="008536E5" w:rsidP="00EC783D">
      <w:pPr>
        <w:pStyle w:val="Heading2"/>
        <w:spacing w:line="480" w:lineRule="auto"/>
        <w:ind w:left="72"/>
        <w:rPr>
          <w:rFonts w:ascii="Times New Roman" w:hAnsi="Times New Roman" w:cs="Times New Roman"/>
          <w:b w:val="0"/>
          <w:spacing w:val="-2"/>
          <w:sz w:val="24"/>
          <w:szCs w:val="24"/>
        </w:rPr>
      </w:pPr>
    </w:p>
    <w:p w14:paraId="0D86D507" w14:textId="6876827B" w:rsidR="0068420C" w:rsidRPr="00EC783D" w:rsidRDefault="0068420C" w:rsidP="00EC783D">
      <w:pPr>
        <w:pStyle w:val="Heading2"/>
        <w:spacing w:line="480" w:lineRule="auto"/>
        <w:ind w:left="0"/>
        <w:rPr>
          <w:rFonts w:ascii="Times New Roman" w:hAnsi="Times New Roman" w:cs="Times New Roman"/>
          <w:spacing w:val="-2"/>
          <w:sz w:val="24"/>
          <w:szCs w:val="24"/>
        </w:rPr>
      </w:pPr>
    </w:p>
    <w:p w14:paraId="1111B2D1" w14:textId="6F05AF66" w:rsidR="0068420C" w:rsidRPr="00EC783D" w:rsidRDefault="0068420C" w:rsidP="00EC783D">
      <w:pPr>
        <w:pStyle w:val="Heading2"/>
        <w:spacing w:line="480" w:lineRule="auto"/>
        <w:ind w:left="72"/>
        <w:rPr>
          <w:rFonts w:ascii="Times New Roman" w:hAnsi="Times New Roman" w:cs="Times New Roman"/>
          <w:spacing w:val="-2"/>
          <w:sz w:val="24"/>
          <w:szCs w:val="24"/>
        </w:rPr>
      </w:pPr>
    </w:p>
    <w:p w14:paraId="4826D417" w14:textId="7F746C40" w:rsidR="0068420C" w:rsidRPr="00EC783D" w:rsidRDefault="0068420C" w:rsidP="00EC783D">
      <w:pPr>
        <w:pStyle w:val="Heading2"/>
        <w:spacing w:line="480" w:lineRule="auto"/>
        <w:ind w:left="72"/>
        <w:rPr>
          <w:rFonts w:ascii="Times New Roman" w:hAnsi="Times New Roman" w:cs="Times New Roman"/>
          <w:spacing w:val="-2"/>
          <w:sz w:val="24"/>
          <w:szCs w:val="24"/>
        </w:rPr>
      </w:pPr>
      <w:r w:rsidRPr="00EC783D">
        <w:rPr>
          <w:rFonts w:ascii="Times New Roman" w:hAnsi="Times New Roman" w:cs="Times New Roman"/>
          <w:noProof/>
          <w:spacing w:val="-2"/>
          <w:sz w:val="24"/>
          <w:szCs w:val="24"/>
        </w:rPr>
        <w:drawing>
          <wp:inline distT="0" distB="0" distL="0" distR="0" wp14:anchorId="3069E0F1" wp14:editId="157B310E">
            <wp:extent cx="4983480" cy="33528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125" t="2222" r="7126"/>
                    <a:stretch/>
                  </pic:blipFill>
                  <pic:spPr bwMode="auto">
                    <a:xfrm>
                      <a:off x="0" y="0"/>
                      <a:ext cx="4984176" cy="3353268"/>
                    </a:xfrm>
                    <a:prstGeom prst="rect">
                      <a:avLst/>
                    </a:prstGeom>
                    <a:ln>
                      <a:noFill/>
                    </a:ln>
                    <a:extLst>
                      <a:ext uri="{53640926-AAD7-44D8-BBD7-CCE9431645EC}">
                        <a14:shadowObscured xmlns:a14="http://schemas.microsoft.com/office/drawing/2010/main"/>
                      </a:ext>
                    </a:extLst>
                  </pic:spPr>
                </pic:pic>
              </a:graphicData>
            </a:graphic>
          </wp:inline>
        </w:drawing>
      </w:r>
    </w:p>
    <w:p w14:paraId="583CE05A" w14:textId="3277C692" w:rsidR="0068420C" w:rsidRPr="00EC783D" w:rsidRDefault="0068420C" w:rsidP="00EC783D">
      <w:pPr>
        <w:pStyle w:val="Heading2"/>
        <w:spacing w:line="480" w:lineRule="auto"/>
        <w:ind w:left="72"/>
        <w:rPr>
          <w:rFonts w:ascii="Times New Roman" w:hAnsi="Times New Roman" w:cs="Times New Roman"/>
          <w:spacing w:val="-2"/>
          <w:sz w:val="24"/>
          <w:szCs w:val="24"/>
        </w:rPr>
      </w:pPr>
    </w:p>
    <w:p w14:paraId="38099BC4" w14:textId="63A9880A" w:rsidR="0068420C" w:rsidRPr="00EC783D" w:rsidRDefault="0068420C" w:rsidP="00EC783D">
      <w:pPr>
        <w:pStyle w:val="Heading2"/>
        <w:spacing w:line="480" w:lineRule="auto"/>
        <w:ind w:left="72"/>
        <w:rPr>
          <w:rFonts w:ascii="Times New Roman" w:hAnsi="Times New Roman" w:cs="Times New Roman"/>
          <w:spacing w:val="-2"/>
          <w:sz w:val="24"/>
          <w:szCs w:val="24"/>
        </w:rPr>
      </w:pPr>
    </w:p>
    <w:p w14:paraId="79D4DFAA" w14:textId="16D9718D" w:rsidR="0068420C" w:rsidRPr="00EC783D" w:rsidRDefault="001B703F" w:rsidP="00EC783D">
      <w:pPr>
        <w:pStyle w:val="Heading2"/>
        <w:spacing w:line="480" w:lineRule="auto"/>
        <w:ind w:left="72"/>
        <w:rPr>
          <w:rFonts w:ascii="Times New Roman" w:hAnsi="Times New Roman" w:cs="Times New Roman"/>
          <w:spacing w:val="-2"/>
          <w:sz w:val="24"/>
          <w:szCs w:val="24"/>
        </w:rPr>
      </w:pPr>
      <w:r w:rsidRPr="00EC783D">
        <w:rPr>
          <w:rFonts w:ascii="Times New Roman" w:hAnsi="Times New Roman" w:cs="Times New Roman"/>
          <w:noProof/>
          <w:spacing w:val="-2"/>
          <w:sz w:val="24"/>
          <w:szCs w:val="24"/>
        </w:rPr>
        <w:lastRenderedPageBreak/>
        <w:drawing>
          <wp:inline distT="0" distB="0" distL="0" distR="0" wp14:anchorId="2EE5F22F" wp14:editId="3DCD2A13">
            <wp:extent cx="5097780" cy="33451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750" t="2445" r="7625"/>
                    <a:stretch/>
                  </pic:blipFill>
                  <pic:spPr bwMode="auto">
                    <a:xfrm>
                      <a:off x="0" y="0"/>
                      <a:ext cx="5098492" cy="3345647"/>
                    </a:xfrm>
                    <a:prstGeom prst="rect">
                      <a:avLst/>
                    </a:prstGeom>
                    <a:ln>
                      <a:noFill/>
                    </a:ln>
                    <a:extLst>
                      <a:ext uri="{53640926-AAD7-44D8-BBD7-CCE9431645EC}">
                        <a14:shadowObscured xmlns:a14="http://schemas.microsoft.com/office/drawing/2010/main"/>
                      </a:ext>
                    </a:extLst>
                  </pic:spPr>
                </pic:pic>
              </a:graphicData>
            </a:graphic>
          </wp:inline>
        </w:drawing>
      </w:r>
    </w:p>
    <w:p w14:paraId="5FD67BE3" w14:textId="425BACA0" w:rsidR="0068420C" w:rsidRPr="00EC783D" w:rsidRDefault="0068420C" w:rsidP="00EC783D">
      <w:pPr>
        <w:pStyle w:val="Heading2"/>
        <w:spacing w:line="480" w:lineRule="auto"/>
        <w:ind w:left="72"/>
        <w:rPr>
          <w:rFonts w:ascii="Times New Roman" w:hAnsi="Times New Roman" w:cs="Times New Roman"/>
          <w:spacing w:val="-2"/>
          <w:sz w:val="24"/>
          <w:szCs w:val="24"/>
        </w:rPr>
      </w:pPr>
    </w:p>
    <w:p w14:paraId="51FA44F3" w14:textId="05D1A60B" w:rsidR="0068420C" w:rsidRPr="00EC783D" w:rsidRDefault="0068420C" w:rsidP="00EC783D">
      <w:pPr>
        <w:pStyle w:val="Heading2"/>
        <w:spacing w:line="480" w:lineRule="auto"/>
        <w:ind w:left="72"/>
        <w:rPr>
          <w:rFonts w:ascii="Times New Roman" w:hAnsi="Times New Roman" w:cs="Times New Roman"/>
          <w:spacing w:val="-2"/>
          <w:sz w:val="24"/>
          <w:szCs w:val="24"/>
        </w:rPr>
      </w:pPr>
    </w:p>
    <w:p w14:paraId="56DBB8DB" w14:textId="3077A913" w:rsidR="0016673E" w:rsidRPr="00EC783D" w:rsidRDefault="0016673E" w:rsidP="00EC783D">
      <w:pPr>
        <w:pStyle w:val="Heading2"/>
        <w:spacing w:line="480" w:lineRule="auto"/>
        <w:ind w:left="72"/>
        <w:rPr>
          <w:rFonts w:ascii="Times New Roman" w:hAnsi="Times New Roman" w:cs="Times New Roman"/>
          <w:spacing w:val="-2"/>
          <w:sz w:val="24"/>
          <w:szCs w:val="24"/>
        </w:rPr>
      </w:pPr>
    </w:p>
    <w:p w14:paraId="2A40E2E2" w14:textId="164CB59F" w:rsidR="0068420C" w:rsidRPr="00EC783D" w:rsidRDefault="0068420C" w:rsidP="00EC783D">
      <w:pPr>
        <w:pStyle w:val="Heading2"/>
        <w:spacing w:line="480" w:lineRule="auto"/>
        <w:ind w:left="72"/>
        <w:rPr>
          <w:rFonts w:ascii="Times New Roman" w:hAnsi="Times New Roman" w:cs="Times New Roman"/>
          <w:spacing w:val="-2"/>
          <w:sz w:val="24"/>
          <w:szCs w:val="24"/>
        </w:rPr>
      </w:pPr>
    </w:p>
    <w:p w14:paraId="17E04D1C" w14:textId="114EA62C" w:rsidR="0068420C" w:rsidRPr="00EC783D" w:rsidRDefault="000D049A" w:rsidP="00EC783D">
      <w:pPr>
        <w:pStyle w:val="Heading2"/>
        <w:spacing w:line="480" w:lineRule="auto"/>
        <w:ind w:left="72"/>
        <w:rPr>
          <w:rFonts w:ascii="Times New Roman" w:hAnsi="Times New Roman" w:cs="Times New Roman"/>
          <w:spacing w:val="-2"/>
          <w:sz w:val="24"/>
          <w:szCs w:val="24"/>
        </w:rPr>
      </w:pPr>
      <w:r w:rsidRPr="000D049A">
        <w:rPr>
          <w:rFonts w:ascii="Times New Roman" w:hAnsi="Times New Roman" w:cs="Times New Roman"/>
          <w:noProof/>
          <w:spacing w:val="-2"/>
          <w:sz w:val="24"/>
          <w:szCs w:val="24"/>
        </w:rPr>
        <w:lastRenderedPageBreak/>
        <w:drawing>
          <wp:inline distT="0" distB="0" distL="0" distR="0" wp14:anchorId="1149AAB2" wp14:editId="522637CB">
            <wp:extent cx="6096851"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851" cy="3429479"/>
                    </a:xfrm>
                    <a:prstGeom prst="rect">
                      <a:avLst/>
                    </a:prstGeom>
                  </pic:spPr>
                </pic:pic>
              </a:graphicData>
            </a:graphic>
          </wp:inline>
        </w:drawing>
      </w:r>
    </w:p>
    <w:p w14:paraId="196ACA5C" w14:textId="7AF54AE1" w:rsidR="000C18F6" w:rsidRPr="00EC783D" w:rsidRDefault="000C18F6" w:rsidP="00EC783D">
      <w:pPr>
        <w:pStyle w:val="Heading2"/>
        <w:spacing w:line="480" w:lineRule="auto"/>
        <w:ind w:left="72"/>
        <w:rPr>
          <w:rFonts w:ascii="Times New Roman" w:hAnsi="Times New Roman" w:cs="Times New Roman"/>
          <w:spacing w:val="-2"/>
          <w:sz w:val="24"/>
          <w:szCs w:val="24"/>
        </w:rPr>
      </w:pPr>
    </w:p>
    <w:p w14:paraId="2F469692" w14:textId="60983FF6" w:rsidR="000C18F6" w:rsidRPr="00EC783D" w:rsidRDefault="000C18F6" w:rsidP="00EC783D">
      <w:pPr>
        <w:pStyle w:val="Heading2"/>
        <w:spacing w:line="480" w:lineRule="auto"/>
        <w:ind w:left="72"/>
        <w:rPr>
          <w:rFonts w:ascii="Times New Roman" w:hAnsi="Times New Roman" w:cs="Times New Roman"/>
          <w:spacing w:val="-2"/>
          <w:sz w:val="24"/>
          <w:szCs w:val="24"/>
        </w:rPr>
      </w:pPr>
    </w:p>
    <w:p w14:paraId="4BDAB841" w14:textId="77777777" w:rsidR="000C18F6" w:rsidRPr="00EC783D" w:rsidRDefault="000C18F6" w:rsidP="00EC783D">
      <w:pPr>
        <w:pStyle w:val="Heading2"/>
        <w:spacing w:line="480" w:lineRule="auto"/>
        <w:ind w:left="72"/>
        <w:rPr>
          <w:rFonts w:ascii="Times New Roman" w:hAnsi="Times New Roman" w:cs="Times New Roman"/>
          <w:spacing w:val="-2"/>
          <w:sz w:val="24"/>
          <w:szCs w:val="24"/>
        </w:rPr>
      </w:pPr>
    </w:p>
    <w:p w14:paraId="40A630A9" w14:textId="02F851CE" w:rsidR="0068420C" w:rsidRPr="00EC783D" w:rsidRDefault="00D6064B" w:rsidP="00EC783D">
      <w:pPr>
        <w:pStyle w:val="Heading2"/>
        <w:spacing w:line="480" w:lineRule="auto"/>
        <w:ind w:left="72"/>
        <w:rPr>
          <w:rFonts w:ascii="Times New Roman" w:hAnsi="Times New Roman" w:cs="Times New Roman"/>
          <w:sz w:val="24"/>
          <w:szCs w:val="24"/>
        </w:rPr>
      </w:pPr>
      <w:r w:rsidRPr="00D6064B">
        <w:rPr>
          <w:rFonts w:ascii="Times New Roman" w:hAnsi="Times New Roman" w:cs="Times New Roman"/>
          <w:noProof/>
          <w:sz w:val="24"/>
          <w:szCs w:val="24"/>
        </w:rPr>
        <w:drawing>
          <wp:inline distT="0" distB="0" distL="0" distR="0" wp14:anchorId="0B66F307" wp14:editId="078606F3">
            <wp:extent cx="6096851"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851" cy="3429479"/>
                    </a:xfrm>
                    <a:prstGeom prst="rect">
                      <a:avLst/>
                    </a:prstGeom>
                  </pic:spPr>
                </pic:pic>
              </a:graphicData>
            </a:graphic>
          </wp:inline>
        </w:drawing>
      </w:r>
    </w:p>
    <w:p w14:paraId="1B279FA5" w14:textId="5A2447F1" w:rsidR="000C18F6" w:rsidRPr="00EC783D" w:rsidRDefault="000C18F6" w:rsidP="00EC783D">
      <w:pPr>
        <w:pStyle w:val="Heading2"/>
        <w:spacing w:line="480" w:lineRule="auto"/>
        <w:ind w:left="72"/>
        <w:rPr>
          <w:rFonts w:ascii="Times New Roman" w:hAnsi="Times New Roman" w:cs="Times New Roman"/>
          <w:sz w:val="24"/>
          <w:szCs w:val="24"/>
        </w:rPr>
      </w:pPr>
    </w:p>
    <w:p w14:paraId="3CE8E1EF" w14:textId="4D30718E" w:rsidR="000C18F6" w:rsidRPr="00EC783D" w:rsidRDefault="000C18F6" w:rsidP="00EC783D">
      <w:pPr>
        <w:pStyle w:val="Heading2"/>
        <w:spacing w:line="480" w:lineRule="auto"/>
        <w:ind w:left="72"/>
        <w:rPr>
          <w:rFonts w:ascii="Times New Roman" w:hAnsi="Times New Roman" w:cs="Times New Roman"/>
          <w:sz w:val="24"/>
          <w:szCs w:val="24"/>
        </w:rPr>
      </w:pPr>
    </w:p>
    <w:p w14:paraId="5681255C" w14:textId="6618B2FC" w:rsidR="000C18F6" w:rsidRPr="00EC783D" w:rsidRDefault="00D6064B" w:rsidP="00EC783D">
      <w:pPr>
        <w:pStyle w:val="Heading2"/>
        <w:spacing w:line="480" w:lineRule="auto"/>
        <w:ind w:left="72"/>
        <w:rPr>
          <w:rFonts w:ascii="Times New Roman" w:hAnsi="Times New Roman" w:cs="Times New Roman"/>
          <w:sz w:val="24"/>
          <w:szCs w:val="24"/>
        </w:rPr>
      </w:pPr>
      <w:r w:rsidRPr="00D6064B">
        <w:rPr>
          <w:rFonts w:ascii="Times New Roman" w:hAnsi="Times New Roman" w:cs="Times New Roman"/>
          <w:noProof/>
          <w:sz w:val="24"/>
          <w:szCs w:val="24"/>
        </w:rPr>
        <w:drawing>
          <wp:inline distT="0" distB="0" distL="0" distR="0" wp14:anchorId="5C975CBD" wp14:editId="35CDADC8">
            <wp:extent cx="6096851"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851" cy="3429479"/>
                    </a:xfrm>
                    <a:prstGeom prst="rect">
                      <a:avLst/>
                    </a:prstGeom>
                  </pic:spPr>
                </pic:pic>
              </a:graphicData>
            </a:graphic>
          </wp:inline>
        </w:drawing>
      </w:r>
    </w:p>
    <w:p w14:paraId="76148892" w14:textId="0CC83DC8" w:rsidR="00D94A5F" w:rsidRPr="00EC783D" w:rsidRDefault="00D94A5F" w:rsidP="00EC783D">
      <w:pPr>
        <w:spacing w:line="480" w:lineRule="auto"/>
        <w:jc w:val="both"/>
        <w:rPr>
          <w:rFonts w:ascii="Times New Roman" w:hAnsi="Times New Roman" w:cs="Times New Roman"/>
          <w:sz w:val="24"/>
          <w:szCs w:val="24"/>
        </w:rPr>
      </w:pPr>
    </w:p>
    <w:p w14:paraId="5EA48604" w14:textId="579A6CCE" w:rsidR="00D94A5F" w:rsidRPr="00EC783D" w:rsidRDefault="0002474F" w:rsidP="00EC783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4.0 </w:t>
      </w:r>
      <w:r w:rsidR="00B6592C" w:rsidRPr="00EC783D">
        <w:rPr>
          <w:rFonts w:ascii="Times New Roman" w:hAnsi="Times New Roman" w:cs="Times New Roman"/>
          <w:b/>
          <w:sz w:val="24"/>
          <w:szCs w:val="24"/>
        </w:rPr>
        <w:t>DISCUSSION</w:t>
      </w:r>
    </w:p>
    <w:p w14:paraId="59AE549E" w14:textId="158A97A4" w:rsidR="00432B14" w:rsidRPr="00EC783D" w:rsidRDefault="00432B14"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The evaluation of body weight changes in this study showing significantly reduced weight gain in the paraquat-only group is consistent with previous research indicating that paraquat exposure impairs weight gain and organ growth in experimental animals (Takenaka et al., 2002; Food Safety Commission of Japan, 2022; </w:t>
      </w:r>
      <w:proofErr w:type="spellStart"/>
      <w:r w:rsidRPr="00EC783D">
        <w:rPr>
          <w:rFonts w:ascii="Times New Roman" w:hAnsi="Times New Roman" w:cs="Times New Roman"/>
          <w:sz w:val="24"/>
          <w:szCs w:val="24"/>
        </w:rPr>
        <w:t>Ofoego</w:t>
      </w:r>
      <w:proofErr w:type="spellEnd"/>
      <w:r w:rsidRPr="00EC783D">
        <w:rPr>
          <w:rFonts w:ascii="Times New Roman" w:hAnsi="Times New Roman" w:cs="Times New Roman"/>
          <w:sz w:val="24"/>
          <w:szCs w:val="24"/>
        </w:rPr>
        <w:t xml:space="preserve"> et al., 2020). In contrast, Groups C</w:t>
      </w:r>
      <w:r w:rsidR="00D6064B">
        <w:rPr>
          <w:rFonts w:ascii="Times New Roman" w:hAnsi="Times New Roman" w:cs="Times New Roman"/>
          <w:sz w:val="24"/>
          <w:szCs w:val="24"/>
        </w:rPr>
        <w:t xml:space="preserve"> (that received only </w:t>
      </w:r>
      <w:proofErr w:type="spellStart"/>
      <w:r w:rsidR="00D6064B">
        <w:rPr>
          <w:rFonts w:ascii="Times New Roman" w:hAnsi="Times New Roman" w:cs="Times New Roman"/>
          <w:sz w:val="24"/>
          <w:szCs w:val="24"/>
        </w:rPr>
        <w:t>Jigsimur</w:t>
      </w:r>
      <w:proofErr w:type="spellEnd"/>
      <w:r w:rsidR="00D6064B">
        <w:rPr>
          <w:rFonts w:ascii="Times New Roman" w:hAnsi="Times New Roman" w:cs="Times New Roman"/>
          <w:sz w:val="24"/>
          <w:szCs w:val="24"/>
        </w:rPr>
        <w:t>)</w:t>
      </w:r>
      <w:r w:rsidRPr="00EC783D">
        <w:rPr>
          <w:rFonts w:ascii="Times New Roman" w:hAnsi="Times New Roman" w:cs="Times New Roman"/>
          <w:sz w:val="24"/>
          <w:szCs w:val="24"/>
        </w:rPr>
        <w:t>,</w:t>
      </w:r>
      <w:r w:rsidR="00D6064B">
        <w:rPr>
          <w:rFonts w:ascii="Times New Roman" w:hAnsi="Times New Roman" w:cs="Times New Roman"/>
          <w:sz w:val="24"/>
          <w:szCs w:val="24"/>
        </w:rPr>
        <w:t xml:space="preserve"> and Groups</w:t>
      </w:r>
      <w:r w:rsidRPr="00EC783D">
        <w:rPr>
          <w:rFonts w:ascii="Times New Roman" w:hAnsi="Times New Roman" w:cs="Times New Roman"/>
          <w:sz w:val="24"/>
          <w:szCs w:val="24"/>
        </w:rPr>
        <w:t xml:space="preserve"> D, and E, which received post-treatment with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showed significant increases in body weight compared to their initial values. This suggests a potential restorative effect of the herbal mixture, particularly at moderate and high doses, likely mediated by its nutrient-rich composition and systemic antioxidant activity (</w:t>
      </w:r>
      <w:proofErr w:type="spellStart"/>
      <w:r w:rsidRPr="00EC783D">
        <w:rPr>
          <w:rFonts w:ascii="Times New Roman" w:hAnsi="Times New Roman" w:cs="Times New Roman"/>
          <w:sz w:val="24"/>
          <w:szCs w:val="24"/>
        </w:rPr>
        <w:t>Nalimu</w:t>
      </w:r>
      <w:proofErr w:type="spellEnd"/>
      <w:r w:rsidRPr="00EC783D">
        <w:rPr>
          <w:rFonts w:ascii="Times New Roman" w:hAnsi="Times New Roman" w:cs="Times New Roman"/>
          <w:sz w:val="24"/>
          <w:szCs w:val="24"/>
        </w:rPr>
        <w:t xml:space="preserve"> et al., 2021; Loots et al., 2007).</w:t>
      </w:r>
    </w:p>
    <w:p w14:paraId="2E0F4BE9" w14:textId="77777777" w:rsidR="00432B14" w:rsidRPr="00EC783D" w:rsidRDefault="00432B14" w:rsidP="00EC783D">
      <w:pPr>
        <w:spacing w:line="480" w:lineRule="auto"/>
        <w:jc w:val="both"/>
        <w:rPr>
          <w:rFonts w:ascii="Times New Roman" w:hAnsi="Times New Roman" w:cs="Times New Roman"/>
          <w:sz w:val="24"/>
          <w:szCs w:val="24"/>
        </w:rPr>
      </w:pPr>
    </w:p>
    <w:p w14:paraId="2E0D9600" w14:textId="2FD50FB4" w:rsidR="00594C1E" w:rsidRPr="00EC783D" w:rsidRDefault="00594C1E"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lastRenderedPageBreak/>
        <w:t xml:space="preserve">Biochemically, serum analysis revealed that paraquat administration led to significant elevations in </w:t>
      </w:r>
      <w:r w:rsidRPr="00EC783D">
        <w:rPr>
          <w:rStyle w:val="Strong"/>
          <w:rFonts w:ascii="Times New Roman" w:hAnsi="Times New Roman" w:cs="Times New Roman"/>
          <w:b w:val="0"/>
          <w:sz w:val="24"/>
          <w:szCs w:val="24"/>
        </w:rPr>
        <w:t>uric acid</w:t>
      </w:r>
      <w:r w:rsidRPr="00EC783D">
        <w:rPr>
          <w:rFonts w:ascii="Times New Roman" w:hAnsi="Times New Roman" w:cs="Times New Roman"/>
          <w:sz w:val="24"/>
          <w:szCs w:val="24"/>
        </w:rPr>
        <w:t xml:space="preserve"> and </w:t>
      </w:r>
      <w:r w:rsidRPr="00EC783D">
        <w:rPr>
          <w:rStyle w:val="Strong"/>
          <w:rFonts w:ascii="Times New Roman" w:hAnsi="Times New Roman" w:cs="Times New Roman"/>
          <w:b w:val="0"/>
          <w:sz w:val="24"/>
          <w:szCs w:val="24"/>
        </w:rPr>
        <w:t>urea</w:t>
      </w:r>
      <w:r w:rsidRPr="00EC783D">
        <w:rPr>
          <w:rFonts w:ascii="Times New Roman" w:hAnsi="Times New Roman" w:cs="Times New Roman"/>
          <w:sz w:val="24"/>
          <w:szCs w:val="24"/>
        </w:rPr>
        <w:t xml:space="preserve"> levels in Group B, indicative of renal impairment. These elevations align with clinical observations where elevated uric acid is a predictor of Acute Kidney Injury (AKI) and mortality following paraquat intoxication (Kim et al., 2011) and with experimental studies showing paraquat causes increased plasma urea in rats due to renal tubular damage (</w:t>
      </w:r>
      <w:proofErr w:type="spellStart"/>
      <w:r w:rsidRPr="00EC783D">
        <w:rPr>
          <w:rFonts w:ascii="Times New Roman" w:hAnsi="Times New Roman" w:cs="Times New Roman"/>
          <w:sz w:val="24"/>
          <w:szCs w:val="24"/>
        </w:rPr>
        <w:t>Gawarammana</w:t>
      </w:r>
      <w:proofErr w:type="spellEnd"/>
      <w:r w:rsidRPr="00EC783D">
        <w:rPr>
          <w:rFonts w:ascii="Times New Roman" w:hAnsi="Times New Roman" w:cs="Times New Roman"/>
          <w:sz w:val="24"/>
          <w:szCs w:val="24"/>
        </w:rPr>
        <w:t xml:space="preserve"> &amp; Buckley, 2011). These results are consistent with known mechanisms of paraquat toxicity—which involve ROS generation through mitochondrial redox cycling and overwhelming of endogenous antioxidants—leading to oxidative injury in renal cells (Dinis-Oliveira et al., 2008; Sies, 2017).</w:t>
      </w:r>
    </w:p>
    <w:p w14:paraId="03F38A59" w14:textId="6A21BACC" w:rsidR="00594C1E" w:rsidRPr="00EC783D" w:rsidRDefault="00594C1E" w:rsidP="00EC783D">
      <w:pPr>
        <w:spacing w:line="480" w:lineRule="auto"/>
        <w:jc w:val="both"/>
        <w:rPr>
          <w:rFonts w:ascii="Times New Roman" w:hAnsi="Times New Roman" w:cs="Times New Roman"/>
          <w:sz w:val="24"/>
          <w:szCs w:val="24"/>
        </w:rPr>
      </w:pPr>
    </w:p>
    <w:p w14:paraId="52322B86" w14:textId="77392D04" w:rsidR="00594C1E" w:rsidRDefault="00594C1E"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In Group D, uric acid levels decreased significantly compared to Group B, while Group E showed a marked reduction in urea levels compared to Group C, suggesting a dose-dependent </w:t>
      </w:r>
      <w:proofErr w:type="spellStart"/>
      <w:r w:rsidRPr="00EC783D">
        <w:rPr>
          <w:rFonts w:ascii="Times New Roman" w:hAnsi="Times New Roman" w:cs="Times New Roman"/>
          <w:sz w:val="24"/>
          <w:szCs w:val="24"/>
        </w:rPr>
        <w:t>renoprotective</w:t>
      </w:r>
      <w:proofErr w:type="spellEnd"/>
      <w:r w:rsidRPr="00EC783D">
        <w:rPr>
          <w:rFonts w:ascii="Times New Roman" w:hAnsi="Times New Roman" w:cs="Times New Roman"/>
          <w:sz w:val="24"/>
          <w:szCs w:val="24"/>
        </w:rPr>
        <w:t xml:space="preserve"> effect of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This protective effect may be attributed to the rich antioxidant and polyphenolic content of </w:t>
      </w:r>
      <w:r w:rsidRPr="00EC783D">
        <w:rPr>
          <w:rStyle w:val="Emphasis"/>
          <w:rFonts w:ascii="Times New Roman" w:hAnsi="Times New Roman" w:cs="Times New Roman"/>
          <w:sz w:val="24"/>
          <w:szCs w:val="24"/>
        </w:rPr>
        <w:t>Aloe ferox</w:t>
      </w:r>
      <w:r w:rsidRPr="00EC783D">
        <w:rPr>
          <w:rFonts w:ascii="Times New Roman" w:hAnsi="Times New Roman" w:cs="Times New Roman"/>
          <w:sz w:val="24"/>
          <w:szCs w:val="24"/>
        </w:rPr>
        <w:t xml:space="preserve">, the main constituent of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which has been reported to enhance the activity of endogenous antioxidant enzymes such as superoxide dismutase (SOD), catalase (CAT), and reduced glutathione (GSH), thereby mitigating oxidative stress and preserving renal function (Saka et al., 2020; Loots et al., 2007).</w:t>
      </w:r>
    </w:p>
    <w:p w14:paraId="6780F50D" w14:textId="0892F299" w:rsidR="000D049A" w:rsidRPr="00F9011A" w:rsidRDefault="00F9011A" w:rsidP="00EC783D">
      <w:pPr>
        <w:spacing w:line="480" w:lineRule="auto"/>
        <w:jc w:val="both"/>
        <w:rPr>
          <w:rFonts w:ascii="Times New Roman" w:hAnsi="Times New Roman" w:cs="Times New Roman"/>
          <w:sz w:val="24"/>
          <w:szCs w:val="24"/>
        </w:rPr>
      </w:pPr>
      <w:r w:rsidRPr="00F9011A">
        <w:rPr>
          <w:rFonts w:ascii="Times New Roman" w:hAnsi="Times New Roman" w:cs="Times New Roman"/>
          <w:sz w:val="24"/>
          <w:szCs w:val="24"/>
        </w:rPr>
        <w:t>Serum creatinine is a key indicator of kidney function. Group A (negative control) showed normal levels (0.30 mg/dL), while Group B (paraquat-only) exhibited elevated creatinine (0.50 mg/dL), suggesting impaired renal filtration due to paraquat-induced oxidative damage (Kim et al., 2011; Dinis-Oliveira et al., 2008). This aligns with evidence that paraquat generates reactive oxygen species (ROS), leading to tubular injury (</w:t>
      </w:r>
      <w:proofErr w:type="spellStart"/>
      <w:r w:rsidRPr="00F9011A">
        <w:rPr>
          <w:rFonts w:ascii="Times New Roman" w:hAnsi="Times New Roman" w:cs="Times New Roman"/>
          <w:sz w:val="24"/>
          <w:szCs w:val="24"/>
        </w:rPr>
        <w:t>Gawarammana</w:t>
      </w:r>
      <w:proofErr w:type="spellEnd"/>
      <w:r w:rsidRPr="00F9011A">
        <w:rPr>
          <w:rFonts w:ascii="Times New Roman" w:hAnsi="Times New Roman" w:cs="Times New Roman"/>
          <w:sz w:val="24"/>
          <w:szCs w:val="24"/>
        </w:rPr>
        <w:t xml:space="preserve"> &amp; Buckley, 2011). Groups C </w:t>
      </w:r>
      <w:r>
        <w:rPr>
          <w:rFonts w:ascii="Times New Roman" w:hAnsi="Times New Roman" w:cs="Times New Roman"/>
          <w:sz w:val="24"/>
          <w:szCs w:val="24"/>
        </w:rPr>
        <w:t xml:space="preserve">that received only </w:t>
      </w:r>
      <w:proofErr w:type="spellStart"/>
      <w:r>
        <w:rPr>
          <w:rFonts w:ascii="Times New Roman" w:hAnsi="Times New Roman" w:cs="Times New Roman"/>
          <w:sz w:val="24"/>
          <w:szCs w:val="24"/>
        </w:rPr>
        <w:t>Jigsimur</w:t>
      </w:r>
      <w:proofErr w:type="spellEnd"/>
      <w:r>
        <w:rPr>
          <w:rFonts w:ascii="Times New Roman" w:hAnsi="Times New Roman" w:cs="Times New Roman"/>
          <w:sz w:val="24"/>
          <w:szCs w:val="24"/>
        </w:rPr>
        <w:t xml:space="preserve"> had lower creatinine value (p &lt; 0.05) when compared to Group B (0.35 mg/dL). </w:t>
      </w:r>
      <w:r w:rsidRPr="00F9011A">
        <w:rPr>
          <w:rFonts w:ascii="Times New Roman" w:hAnsi="Times New Roman" w:cs="Times New Roman"/>
          <w:sz w:val="24"/>
          <w:szCs w:val="24"/>
        </w:rPr>
        <w:t xml:space="preserve">Post-treatment with </w:t>
      </w:r>
      <w:proofErr w:type="spellStart"/>
      <w:r w:rsidRPr="00F9011A">
        <w:rPr>
          <w:rFonts w:ascii="Times New Roman" w:hAnsi="Times New Roman" w:cs="Times New Roman"/>
          <w:sz w:val="24"/>
          <w:szCs w:val="24"/>
        </w:rPr>
        <w:t>Jigsimur</w:t>
      </w:r>
      <w:proofErr w:type="spellEnd"/>
      <w:r w:rsidRPr="00F9011A">
        <w:rPr>
          <w:rFonts w:ascii="Times New Roman" w:hAnsi="Times New Roman" w:cs="Times New Roman"/>
          <w:sz w:val="24"/>
          <w:szCs w:val="24"/>
        </w:rPr>
        <w:t xml:space="preserve"> in D (0.33 mg/dL), and E (0.32 mg/dL) resulted in dose-dependent reductions, indicating </w:t>
      </w:r>
      <w:proofErr w:type="spellStart"/>
      <w:r w:rsidRPr="00F9011A">
        <w:rPr>
          <w:rFonts w:ascii="Times New Roman" w:hAnsi="Times New Roman" w:cs="Times New Roman"/>
          <w:sz w:val="24"/>
          <w:szCs w:val="24"/>
        </w:rPr>
        <w:t>renoprotective</w:t>
      </w:r>
      <w:proofErr w:type="spellEnd"/>
      <w:r w:rsidRPr="00F9011A">
        <w:rPr>
          <w:rFonts w:ascii="Times New Roman" w:hAnsi="Times New Roman" w:cs="Times New Roman"/>
          <w:sz w:val="24"/>
          <w:szCs w:val="24"/>
        </w:rPr>
        <w:t xml:space="preserve"> effects. </w:t>
      </w:r>
      <w:r w:rsidRPr="00F9011A">
        <w:rPr>
          <w:rStyle w:val="Emphasis"/>
          <w:rFonts w:ascii="Times New Roman" w:hAnsi="Times New Roman" w:cs="Times New Roman"/>
          <w:sz w:val="24"/>
          <w:szCs w:val="24"/>
        </w:rPr>
        <w:t>Aloe ferox</w:t>
      </w:r>
      <w:r w:rsidRPr="00F9011A">
        <w:rPr>
          <w:rFonts w:ascii="Times New Roman" w:hAnsi="Times New Roman" w:cs="Times New Roman"/>
          <w:sz w:val="24"/>
          <w:szCs w:val="24"/>
        </w:rPr>
        <w:t xml:space="preserve">, the key constituent of </w:t>
      </w:r>
      <w:proofErr w:type="spellStart"/>
      <w:r w:rsidRPr="00F9011A">
        <w:rPr>
          <w:rFonts w:ascii="Times New Roman" w:hAnsi="Times New Roman" w:cs="Times New Roman"/>
          <w:sz w:val="24"/>
          <w:szCs w:val="24"/>
        </w:rPr>
        <w:t>Jigsimur</w:t>
      </w:r>
      <w:proofErr w:type="spellEnd"/>
      <w:r w:rsidRPr="00F9011A">
        <w:rPr>
          <w:rFonts w:ascii="Times New Roman" w:hAnsi="Times New Roman" w:cs="Times New Roman"/>
          <w:sz w:val="24"/>
          <w:szCs w:val="24"/>
        </w:rPr>
        <w:t xml:space="preserve">, contains flavonoids and polyphenols known to combat ROS and support renal repair (Loots et al., </w:t>
      </w:r>
      <w:r w:rsidRPr="00F9011A">
        <w:rPr>
          <w:rFonts w:ascii="Times New Roman" w:hAnsi="Times New Roman" w:cs="Times New Roman"/>
          <w:sz w:val="24"/>
          <w:szCs w:val="24"/>
        </w:rPr>
        <w:lastRenderedPageBreak/>
        <w:t xml:space="preserve">2007; </w:t>
      </w:r>
      <w:proofErr w:type="spellStart"/>
      <w:r w:rsidRPr="00F9011A">
        <w:rPr>
          <w:rFonts w:ascii="Times New Roman" w:hAnsi="Times New Roman" w:cs="Times New Roman"/>
          <w:sz w:val="24"/>
          <w:szCs w:val="24"/>
        </w:rPr>
        <w:t>Nalimu</w:t>
      </w:r>
      <w:proofErr w:type="spellEnd"/>
      <w:r w:rsidRPr="00F9011A">
        <w:rPr>
          <w:rFonts w:ascii="Times New Roman" w:hAnsi="Times New Roman" w:cs="Times New Roman"/>
          <w:sz w:val="24"/>
          <w:szCs w:val="24"/>
        </w:rPr>
        <w:t xml:space="preserve"> et al., 2021). These results suggest </w:t>
      </w:r>
      <w:proofErr w:type="spellStart"/>
      <w:r w:rsidRPr="00F9011A">
        <w:rPr>
          <w:rFonts w:ascii="Times New Roman" w:hAnsi="Times New Roman" w:cs="Times New Roman"/>
          <w:sz w:val="24"/>
          <w:szCs w:val="24"/>
        </w:rPr>
        <w:t>Jigsimur</w:t>
      </w:r>
      <w:proofErr w:type="spellEnd"/>
      <w:r w:rsidRPr="00F9011A">
        <w:rPr>
          <w:rFonts w:ascii="Times New Roman" w:hAnsi="Times New Roman" w:cs="Times New Roman"/>
          <w:sz w:val="24"/>
          <w:szCs w:val="24"/>
        </w:rPr>
        <w:t xml:space="preserve"> can mitigate paraquat-induced nephrotoxicity, potentially by restoring antioxidant balance and cellular integrity (Josiah et al., 2020).</w:t>
      </w:r>
    </w:p>
    <w:p w14:paraId="123535E2" w14:textId="77777777" w:rsidR="00594C1E" w:rsidRPr="00EC783D" w:rsidRDefault="00594C1E" w:rsidP="00EC783D">
      <w:pPr>
        <w:spacing w:line="480" w:lineRule="auto"/>
        <w:jc w:val="both"/>
        <w:rPr>
          <w:rFonts w:ascii="Times New Roman" w:hAnsi="Times New Roman" w:cs="Times New Roman"/>
          <w:sz w:val="24"/>
          <w:szCs w:val="24"/>
        </w:rPr>
      </w:pPr>
    </w:p>
    <w:p w14:paraId="155FCD51" w14:textId="1B3CDF36" w:rsidR="00506465" w:rsidRPr="00EC783D" w:rsidRDefault="00506465"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Histological analysis provided further confirmation of biochemical findings. Kidneys from Group B exhibited severe tubular degeneration, fatty changes, and intense intra-renal inflammation—hallmarks of acute nephritis. These alterations reflect paraquat’s ability to generate oxidative stress, disrupt membrane integrity, activate inflammatory cascades via nuclear factor-kappa B (NF</w:t>
      </w:r>
      <w:r w:rsidRPr="00EC783D">
        <w:rPr>
          <w:rFonts w:ascii="Times New Roman" w:hAnsi="Times New Roman" w:cs="Times New Roman"/>
          <w:sz w:val="24"/>
          <w:szCs w:val="24"/>
        </w:rPr>
        <w:noBreakHyphen/>
      </w:r>
      <w:proofErr w:type="spellStart"/>
      <w:r w:rsidRPr="00EC783D">
        <w:rPr>
          <w:rFonts w:ascii="Times New Roman" w:hAnsi="Times New Roman" w:cs="Times New Roman"/>
          <w:sz w:val="24"/>
          <w:szCs w:val="24"/>
        </w:rPr>
        <w:t>κB</w:t>
      </w:r>
      <w:proofErr w:type="spellEnd"/>
      <w:r w:rsidRPr="00EC783D">
        <w:rPr>
          <w:rFonts w:ascii="Times New Roman" w:hAnsi="Times New Roman" w:cs="Times New Roman"/>
          <w:sz w:val="24"/>
          <w:szCs w:val="24"/>
        </w:rPr>
        <w:t xml:space="preserve">), and trigger apoptosis through mitochondrial cytochrome c release and caspase </w:t>
      </w:r>
      <w:r w:rsidR="00EC5B65" w:rsidRPr="00EC783D">
        <w:rPr>
          <w:rFonts w:ascii="Times New Roman" w:hAnsi="Times New Roman" w:cs="Times New Roman"/>
          <w:sz w:val="24"/>
          <w:szCs w:val="24"/>
        </w:rPr>
        <w:t>activation (</w:t>
      </w:r>
      <w:r w:rsidRPr="00EC783D">
        <w:rPr>
          <w:rFonts w:ascii="Times New Roman" w:hAnsi="Times New Roman" w:cs="Times New Roman"/>
          <w:sz w:val="24"/>
          <w:szCs w:val="24"/>
        </w:rPr>
        <w:t>Zheng et al., 2021</w:t>
      </w:r>
      <w:r w:rsidR="00EC5B65" w:rsidRPr="00EC783D">
        <w:rPr>
          <w:rFonts w:ascii="Times New Roman" w:hAnsi="Times New Roman" w:cs="Times New Roman"/>
          <w:sz w:val="24"/>
          <w:szCs w:val="24"/>
        </w:rPr>
        <w:t>; Jia et al., 2022</w:t>
      </w:r>
      <w:r w:rsidRPr="00EC783D">
        <w:rPr>
          <w:rFonts w:ascii="Times New Roman" w:hAnsi="Times New Roman" w:cs="Times New Roman"/>
          <w:sz w:val="24"/>
          <w:szCs w:val="24"/>
        </w:rPr>
        <w:t xml:space="preserve">). In contrast,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-treated groups (C–E) displayed progressive histological restoration: Grou</w:t>
      </w:r>
      <w:r w:rsidR="000D049A">
        <w:rPr>
          <w:rFonts w:ascii="Times New Roman" w:hAnsi="Times New Roman" w:cs="Times New Roman"/>
          <w:sz w:val="24"/>
          <w:szCs w:val="24"/>
        </w:rPr>
        <w:t>p C histology similar to that of normal/negative control (Group A)</w:t>
      </w:r>
      <w:r w:rsidRPr="00EC783D">
        <w:rPr>
          <w:rFonts w:ascii="Times New Roman" w:hAnsi="Times New Roman" w:cs="Times New Roman"/>
          <w:sz w:val="24"/>
          <w:szCs w:val="24"/>
        </w:rPr>
        <w:t xml:space="preserve">, while Groups D and E demonstrated active glomeruli and tubular cells with reduced fatty vacuolation and minimal inflammation, indicating effective tissue repair. This corresponds with studies showing flavonoids and anthraquinones from plant extracts confer </w:t>
      </w:r>
      <w:proofErr w:type="spellStart"/>
      <w:r w:rsidRPr="00EC783D">
        <w:rPr>
          <w:rFonts w:ascii="Times New Roman" w:hAnsi="Times New Roman" w:cs="Times New Roman"/>
          <w:sz w:val="24"/>
          <w:szCs w:val="24"/>
        </w:rPr>
        <w:t>cytoprotection</w:t>
      </w:r>
      <w:proofErr w:type="spellEnd"/>
      <w:r w:rsidRPr="00EC783D">
        <w:rPr>
          <w:rFonts w:ascii="Times New Roman" w:hAnsi="Times New Roman" w:cs="Times New Roman"/>
          <w:sz w:val="24"/>
          <w:szCs w:val="24"/>
        </w:rPr>
        <w:t xml:space="preserve"> and anti-inflammatory effects—attenuating renal damage via antioxidant enzyme induction and suppression of pro-inflammatory signaling (Frontiers, 2018; Josiah et al., 2020; </w:t>
      </w:r>
      <w:proofErr w:type="spellStart"/>
      <w:r w:rsidRPr="00EC783D">
        <w:rPr>
          <w:rFonts w:ascii="Times New Roman" w:hAnsi="Times New Roman" w:cs="Times New Roman"/>
          <w:sz w:val="24"/>
          <w:szCs w:val="24"/>
          <w:shd w:val="clear" w:color="auto" w:fill="FFFFFF"/>
        </w:rPr>
        <w:t>Ezeagu</w:t>
      </w:r>
      <w:proofErr w:type="spellEnd"/>
      <w:r w:rsidRPr="00EC783D">
        <w:rPr>
          <w:rFonts w:ascii="Times New Roman" w:hAnsi="Times New Roman" w:cs="Times New Roman"/>
          <w:sz w:val="24"/>
          <w:szCs w:val="24"/>
          <w:shd w:val="clear" w:color="auto" w:fill="FFFFFF"/>
        </w:rPr>
        <w:t xml:space="preserve"> and </w:t>
      </w:r>
      <w:proofErr w:type="spellStart"/>
      <w:r w:rsidRPr="00EC783D">
        <w:rPr>
          <w:rFonts w:ascii="Times New Roman" w:hAnsi="Times New Roman" w:cs="Times New Roman"/>
          <w:sz w:val="24"/>
          <w:szCs w:val="24"/>
          <w:shd w:val="clear" w:color="auto" w:fill="FFFFFF"/>
        </w:rPr>
        <w:t>Ofoego</w:t>
      </w:r>
      <w:proofErr w:type="spellEnd"/>
      <w:r w:rsidRPr="00EC783D">
        <w:rPr>
          <w:rFonts w:ascii="Times New Roman" w:hAnsi="Times New Roman" w:cs="Times New Roman"/>
          <w:sz w:val="24"/>
          <w:szCs w:val="24"/>
          <w:shd w:val="clear" w:color="auto" w:fill="FFFFFF"/>
        </w:rPr>
        <w:t xml:space="preserve">. 2025; </w:t>
      </w:r>
      <w:proofErr w:type="spellStart"/>
      <w:r w:rsidRPr="00EC783D">
        <w:rPr>
          <w:rFonts w:ascii="Times New Roman" w:hAnsi="Times New Roman" w:cs="Times New Roman"/>
          <w:sz w:val="24"/>
          <w:szCs w:val="24"/>
          <w:shd w:val="clear" w:color="auto" w:fill="FFFFFF"/>
        </w:rPr>
        <w:t>Ofoego</w:t>
      </w:r>
      <w:proofErr w:type="spellEnd"/>
      <w:r w:rsidRPr="00EC783D">
        <w:rPr>
          <w:rFonts w:ascii="Times New Roman" w:hAnsi="Times New Roman" w:cs="Times New Roman"/>
          <w:sz w:val="24"/>
          <w:szCs w:val="24"/>
          <w:shd w:val="clear" w:color="auto" w:fill="FFFFFF"/>
        </w:rPr>
        <w:t xml:space="preserve"> et al., 2025</w:t>
      </w:r>
      <w:r w:rsidRPr="00EC783D">
        <w:rPr>
          <w:rFonts w:ascii="Times New Roman" w:hAnsi="Times New Roman" w:cs="Times New Roman"/>
          <w:sz w:val="24"/>
          <w:szCs w:val="24"/>
        </w:rPr>
        <w:t>).</w:t>
      </w:r>
    </w:p>
    <w:p w14:paraId="2E32BBC0" w14:textId="77777777" w:rsidR="00506465" w:rsidRPr="00EC783D" w:rsidRDefault="00506465" w:rsidP="00EC783D">
      <w:pPr>
        <w:spacing w:line="480" w:lineRule="auto"/>
        <w:jc w:val="both"/>
        <w:rPr>
          <w:rFonts w:ascii="Times New Roman" w:hAnsi="Times New Roman" w:cs="Times New Roman"/>
          <w:sz w:val="24"/>
          <w:szCs w:val="24"/>
        </w:rPr>
      </w:pPr>
    </w:p>
    <w:p w14:paraId="31A6D9C1" w14:textId="791222D0" w:rsidR="00506465" w:rsidRPr="00EC783D" w:rsidRDefault="00734069"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 xml:space="preserve">Taken together, the improvements in physical appearance, body weight, serum biomarkers, and kidney tissue structure suggest that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may counteract paraquat-induced nephrotoxicity. This protective effect likely stems from its rich phytochemical profile particularly polyphenols, flavonoids, saponins, and essential minerals which are known to stabilize cell membranes, inhibit lipid peroxidation, and enhance antioxidant enzyme activity (Safe et al., 2021; </w:t>
      </w:r>
      <w:r w:rsidRPr="00EC783D">
        <w:rPr>
          <w:rFonts w:ascii="Times New Roman" w:hAnsi="Times New Roman" w:cs="Times New Roman"/>
          <w:sz w:val="24"/>
          <w:szCs w:val="24"/>
          <w:shd w:val="clear" w:color="auto" w:fill="FFFFFF"/>
        </w:rPr>
        <w:t>Khare, 2008</w:t>
      </w:r>
      <w:r w:rsidRPr="00EC783D">
        <w:rPr>
          <w:rFonts w:ascii="Times New Roman" w:hAnsi="Times New Roman" w:cs="Times New Roman"/>
          <w:sz w:val="24"/>
          <w:szCs w:val="24"/>
        </w:rPr>
        <w:t>).</w:t>
      </w:r>
    </w:p>
    <w:p w14:paraId="3E6C8D54" w14:textId="77777777" w:rsidR="00506465" w:rsidRPr="00EC783D" w:rsidRDefault="00506465" w:rsidP="00EC783D">
      <w:pPr>
        <w:spacing w:line="480" w:lineRule="auto"/>
        <w:jc w:val="both"/>
        <w:rPr>
          <w:rFonts w:ascii="Times New Roman" w:hAnsi="Times New Roman" w:cs="Times New Roman"/>
          <w:sz w:val="24"/>
          <w:szCs w:val="24"/>
        </w:rPr>
      </w:pPr>
    </w:p>
    <w:p w14:paraId="529A34AA" w14:textId="37AC9676" w:rsidR="00D94A5F" w:rsidRPr="00EC783D" w:rsidRDefault="00D94A5F" w:rsidP="00EC783D">
      <w:pPr>
        <w:spacing w:line="480" w:lineRule="auto"/>
        <w:jc w:val="both"/>
        <w:rPr>
          <w:rFonts w:ascii="Times New Roman" w:hAnsi="Times New Roman" w:cs="Times New Roman"/>
          <w:sz w:val="24"/>
          <w:szCs w:val="24"/>
        </w:rPr>
      </w:pPr>
    </w:p>
    <w:p w14:paraId="00E33055" w14:textId="3DEAE62B" w:rsidR="00D94A5F" w:rsidRPr="00EC783D" w:rsidRDefault="0002474F" w:rsidP="00EC783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00B6592C" w:rsidRPr="00EC783D">
        <w:rPr>
          <w:rFonts w:ascii="Times New Roman" w:hAnsi="Times New Roman" w:cs="Times New Roman"/>
          <w:b/>
          <w:sz w:val="24"/>
          <w:szCs w:val="24"/>
        </w:rPr>
        <w:t>CONCLUSION</w:t>
      </w:r>
    </w:p>
    <w:p w14:paraId="26C1E6CD" w14:textId="5DC204A6" w:rsidR="00D94A5F" w:rsidRPr="00EC783D" w:rsidRDefault="00D94A5F"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lastRenderedPageBreak/>
        <w:t>This study demonstrated that paraquat induces significant nephrotoxicity in rats, as evidenced by reduced weight gain, elevated serum urea and uric acid levels, and marked histological damage to renal tissues. Post-treatment with</w:t>
      </w:r>
      <w:r w:rsidR="000D049A">
        <w:rPr>
          <w:rFonts w:ascii="Times New Roman" w:hAnsi="Times New Roman" w:cs="Times New Roman"/>
          <w:sz w:val="24"/>
          <w:szCs w:val="24"/>
        </w:rPr>
        <w:t xml:space="preserve"> </w:t>
      </w:r>
      <w:proofErr w:type="spellStart"/>
      <w:r w:rsidR="000D049A">
        <w:rPr>
          <w:rFonts w:ascii="Times New Roman" w:hAnsi="Times New Roman" w:cs="Times New Roman"/>
          <w:sz w:val="24"/>
          <w:szCs w:val="24"/>
        </w:rPr>
        <w:t>Jigsimur</w:t>
      </w:r>
      <w:proofErr w:type="spellEnd"/>
      <w:r w:rsidR="000D049A">
        <w:rPr>
          <w:rFonts w:ascii="Times New Roman" w:hAnsi="Times New Roman" w:cs="Times New Roman"/>
          <w:sz w:val="24"/>
          <w:szCs w:val="24"/>
        </w:rPr>
        <w:t xml:space="preserve"> herbal mixture, at doses of 200 mg/kg and 4</w:t>
      </w:r>
      <w:r w:rsidRPr="00EC783D">
        <w:rPr>
          <w:rFonts w:ascii="Times New Roman" w:hAnsi="Times New Roman" w:cs="Times New Roman"/>
          <w:sz w:val="24"/>
          <w:szCs w:val="24"/>
        </w:rPr>
        <w:t xml:space="preserve">00 mg/kg, effectively attenuated these toxic effects. The observed improvements in biochemical markers, renal histology, and overall physical condition suggest that </w:t>
      </w:r>
      <w:proofErr w:type="spellStart"/>
      <w:r w:rsidRPr="00EC783D">
        <w:rPr>
          <w:rFonts w:ascii="Times New Roman" w:hAnsi="Times New Roman" w:cs="Times New Roman"/>
          <w:sz w:val="24"/>
          <w:szCs w:val="24"/>
        </w:rPr>
        <w:t>Jigsimur</w:t>
      </w:r>
      <w:proofErr w:type="spellEnd"/>
      <w:r w:rsidRPr="00EC783D">
        <w:rPr>
          <w:rFonts w:ascii="Times New Roman" w:hAnsi="Times New Roman" w:cs="Times New Roman"/>
          <w:sz w:val="24"/>
          <w:szCs w:val="24"/>
        </w:rPr>
        <w:t xml:space="preserve"> exhibits </w:t>
      </w:r>
      <w:proofErr w:type="spellStart"/>
      <w:r w:rsidRPr="00EC783D">
        <w:rPr>
          <w:rFonts w:ascii="Times New Roman" w:hAnsi="Times New Roman" w:cs="Times New Roman"/>
          <w:sz w:val="24"/>
          <w:szCs w:val="24"/>
        </w:rPr>
        <w:t>renoprotective</w:t>
      </w:r>
      <w:proofErr w:type="spellEnd"/>
      <w:r w:rsidRPr="00EC783D">
        <w:rPr>
          <w:rFonts w:ascii="Times New Roman" w:hAnsi="Times New Roman" w:cs="Times New Roman"/>
          <w:sz w:val="24"/>
          <w:szCs w:val="24"/>
        </w:rPr>
        <w:t xml:space="preserve"> properties likely mediated through its antioxidant, anti-inflammatory, and cytoprotective constituents. These findings validate the traditional claims of </w:t>
      </w:r>
      <w:proofErr w:type="spellStart"/>
      <w:r w:rsidRPr="00EC783D">
        <w:rPr>
          <w:rFonts w:ascii="Times New Roman" w:hAnsi="Times New Roman" w:cs="Times New Roman"/>
          <w:sz w:val="24"/>
          <w:szCs w:val="24"/>
        </w:rPr>
        <w:t>Jigsimur’s</w:t>
      </w:r>
      <w:proofErr w:type="spellEnd"/>
      <w:r w:rsidRPr="00EC783D">
        <w:rPr>
          <w:rFonts w:ascii="Times New Roman" w:hAnsi="Times New Roman" w:cs="Times New Roman"/>
          <w:sz w:val="24"/>
          <w:szCs w:val="24"/>
        </w:rPr>
        <w:t xml:space="preserve"> efficacy in supporting renal health and highlight its potential as a natural therapeutic agent in managing pesticide-induced kidney injury. However, further studies, including mechanistic analyses and controlled clinical trials, are recommended to fully establish its therapeutic efficacy and safety profile in humans.</w:t>
      </w:r>
    </w:p>
    <w:p w14:paraId="47080E1E" w14:textId="78841289" w:rsidR="00DA79C4" w:rsidRPr="00EC783D" w:rsidRDefault="00DA79C4" w:rsidP="00EC783D">
      <w:pPr>
        <w:pStyle w:val="BodyText"/>
        <w:spacing w:before="163" w:line="480" w:lineRule="auto"/>
        <w:ind w:right="43"/>
        <w:jc w:val="both"/>
        <w:rPr>
          <w:rFonts w:ascii="Times New Roman" w:hAnsi="Times New Roman" w:cs="Times New Roman"/>
          <w:b/>
          <w:sz w:val="24"/>
          <w:szCs w:val="24"/>
        </w:rPr>
      </w:pPr>
    </w:p>
    <w:p w14:paraId="7F036FF2" w14:textId="161BCE0D" w:rsidR="004E3318" w:rsidRPr="00EC783D" w:rsidRDefault="004E3318" w:rsidP="00EC783D">
      <w:pPr>
        <w:spacing w:line="480" w:lineRule="auto"/>
        <w:rPr>
          <w:rFonts w:ascii="Times New Roman" w:hAnsi="Times New Roman" w:cs="Times New Roman"/>
          <w:b/>
          <w:sz w:val="24"/>
          <w:szCs w:val="24"/>
        </w:rPr>
      </w:pPr>
      <w:bookmarkStart w:id="0" w:name="_GoBack"/>
      <w:bookmarkEnd w:id="0"/>
      <w:r w:rsidRPr="00EC783D">
        <w:rPr>
          <w:rFonts w:ascii="Times New Roman" w:hAnsi="Times New Roman" w:cs="Times New Roman"/>
          <w:b/>
          <w:sz w:val="24"/>
          <w:szCs w:val="24"/>
        </w:rPr>
        <w:t>Disclaimer (Artificial Intelligence)</w:t>
      </w:r>
    </w:p>
    <w:p w14:paraId="1A085332" w14:textId="48C26F91" w:rsidR="004E3318" w:rsidRPr="00EC783D" w:rsidRDefault="004E3318"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Author(s) hereby declare that NO generative AI technologies such as Large Language Models (</w:t>
      </w:r>
      <w:proofErr w:type="spellStart"/>
      <w:r w:rsidRPr="00EC783D">
        <w:rPr>
          <w:rFonts w:ascii="Times New Roman" w:hAnsi="Times New Roman" w:cs="Times New Roman"/>
          <w:sz w:val="24"/>
          <w:szCs w:val="24"/>
        </w:rPr>
        <w:t>ChatGPT</w:t>
      </w:r>
      <w:proofErr w:type="spellEnd"/>
      <w:r w:rsidRPr="00EC783D">
        <w:rPr>
          <w:rFonts w:ascii="Times New Roman" w:hAnsi="Times New Roman" w:cs="Times New Roman"/>
          <w:sz w:val="24"/>
          <w:szCs w:val="24"/>
        </w:rPr>
        <w:t xml:space="preserve">, COPILOT, </w:t>
      </w:r>
      <w:proofErr w:type="spellStart"/>
      <w:r w:rsidRPr="00EC783D">
        <w:rPr>
          <w:rFonts w:ascii="Times New Roman" w:hAnsi="Times New Roman" w:cs="Times New Roman"/>
          <w:sz w:val="24"/>
          <w:szCs w:val="24"/>
        </w:rPr>
        <w:t>etc</w:t>
      </w:r>
      <w:proofErr w:type="spellEnd"/>
      <w:r w:rsidRPr="00EC783D">
        <w:rPr>
          <w:rFonts w:ascii="Times New Roman" w:hAnsi="Times New Roman" w:cs="Times New Roman"/>
          <w:sz w:val="24"/>
          <w:szCs w:val="24"/>
        </w:rPr>
        <w:t>) and text-to-image generators have been used during writing or editing of this manuscript.</w:t>
      </w:r>
    </w:p>
    <w:p w14:paraId="13F45F45" w14:textId="77777777" w:rsidR="004E3318" w:rsidRPr="00EC783D" w:rsidRDefault="004E3318" w:rsidP="00EC783D">
      <w:pPr>
        <w:spacing w:line="480" w:lineRule="auto"/>
        <w:jc w:val="both"/>
        <w:rPr>
          <w:rFonts w:ascii="Times New Roman" w:hAnsi="Times New Roman" w:cs="Times New Roman"/>
          <w:sz w:val="24"/>
          <w:szCs w:val="24"/>
        </w:rPr>
      </w:pPr>
    </w:p>
    <w:p w14:paraId="340F3AC3" w14:textId="77777777" w:rsidR="004E3318" w:rsidRPr="00EC783D" w:rsidRDefault="004E3318" w:rsidP="00EC783D">
      <w:pPr>
        <w:spacing w:line="480" w:lineRule="auto"/>
        <w:jc w:val="both"/>
        <w:rPr>
          <w:rFonts w:ascii="Times New Roman" w:hAnsi="Times New Roman" w:cs="Times New Roman"/>
          <w:sz w:val="24"/>
          <w:szCs w:val="24"/>
        </w:rPr>
      </w:pPr>
    </w:p>
    <w:p w14:paraId="37A67BB5" w14:textId="5D1A1410" w:rsidR="004E3318" w:rsidRPr="00EC783D" w:rsidRDefault="004E3318" w:rsidP="00EC783D">
      <w:pPr>
        <w:spacing w:line="480" w:lineRule="auto"/>
        <w:jc w:val="both"/>
        <w:rPr>
          <w:rFonts w:ascii="Times New Roman" w:hAnsi="Times New Roman" w:cs="Times New Roman"/>
          <w:b/>
          <w:sz w:val="24"/>
          <w:szCs w:val="24"/>
        </w:rPr>
      </w:pPr>
      <w:r w:rsidRPr="00EC783D">
        <w:rPr>
          <w:rFonts w:ascii="Times New Roman" w:hAnsi="Times New Roman" w:cs="Times New Roman"/>
          <w:b/>
          <w:sz w:val="24"/>
          <w:szCs w:val="24"/>
        </w:rPr>
        <w:t>Competing Interests</w:t>
      </w:r>
    </w:p>
    <w:p w14:paraId="22DDEF90" w14:textId="4515CA73" w:rsidR="004E3318" w:rsidRDefault="007C6290" w:rsidP="00EC783D">
      <w:pPr>
        <w:spacing w:line="480" w:lineRule="auto"/>
        <w:jc w:val="both"/>
        <w:rPr>
          <w:rFonts w:ascii="Times New Roman" w:hAnsi="Times New Roman" w:cs="Times New Roman"/>
          <w:sz w:val="24"/>
          <w:szCs w:val="24"/>
        </w:rPr>
      </w:pPr>
      <w:r w:rsidRPr="00EC783D">
        <w:rPr>
          <w:rFonts w:ascii="Times New Roman" w:hAnsi="Times New Roman" w:cs="Times New Roman"/>
          <w:sz w:val="24"/>
          <w:szCs w:val="24"/>
        </w:rPr>
        <w:t>We (</w:t>
      </w:r>
      <w:r w:rsidR="004E3318" w:rsidRPr="00EC783D">
        <w:rPr>
          <w:rFonts w:ascii="Times New Roman" w:hAnsi="Times New Roman" w:cs="Times New Roman"/>
          <w:sz w:val="24"/>
          <w:szCs w:val="24"/>
        </w:rPr>
        <w:t>Authors</w:t>
      </w:r>
      <w:r w:rsidRPr="00EC783D">
        <w:rPr>
          <w:rFonts w:ascii="Times New Roman" w:hAnsi="Times New Roman" w:cs="Times New Roman"/>
          <w:sz w:val="24"/>
          <w:szCs w:val="24"/>
        </w:rPr>
        <w:t xml:space="preserve">) hereby declare </w:t>
      </w:r>
      <w:r w:rsidR="004E3318" w:rsidRPr="00EC783D">
        <w:rPr>
          <w:rFonts w:ascii="Times New Roman" w:hAnsi="Times New Roman" w:cs="Times New Roman"/>
          <w:sz w:val="24"/>
          <w:szCs w:val="24"/>
        </w:rPr>
        <w:t>no known competing finan</w:t>
      </w:r>
      <w:r w:rsidRPr="00EC783D">
        <w:rPr>
          <w:rFonts w:ascii="Times New Roman" w:hAnsi="Times New Roman" w:cs="Times New Roman"/>
          <w:sz w:val="24"/>
          <w:szCs w:val="24"/>
        </w:rPr>
        <w:t>cial interests,</w:t>
      </w:r>
      <w:r w:rsidR="004E3318" w:rsidRPr="00EC783D">
        <w:rPr>
          <w:rFonts w:ascii="Times New Roman" w:hAnsi="Times New Roman" w:cs="Times New Roman"/>
          <w:sz w:val="24"/>
          <w:szCs w:val="24"/>
        </w:rPr>
        <w:t xml:space="preserve"> non-financial </w:t>
      </w:r>
      <w:r w:rsidRPr="00EC783D">
        <w:rPr>
          <w:rFonts w:ascii="Times New Roman" w:hAnsi="Times New Roman" w:cs="Times New Roman"/>
          <w:sz w:val="24"/>
          <w:szCs w:val="24"/>
        </w:rPr>
        <w:t>interests, or</w:t>
      </w:r>
      <w:r w:rsidR="004E3318" w:rsidRPr="00EC783D">
        <w:rPr>
          <w:rFonts w:ascii="Times New Roman" w:hAnsi="Times New Roman" w:cs="Times New Roman"/>
          <w:sz w:val="24"/>
          <w:szCs w:val="24"/>
        </w:rPr>
        <w:t xml:space="preserve"> pe</w:t>
      </w:r>
      <w:r w:rsidRPr="00EC783D">
        <w:rPr>
          <w:rFonts w:ascii="Times New Roman" w:hAnsi="Times New Roman" w:cs="Times New Roman"/>
          <w:sz w:val="24"/>
          <w:szCs w:val="24"/>
        </w:rPr>
        <w:t>rsonal relationships that</w:t>
      </w:r>
      <w:r w:rsidR="004E3318" w:rsidRPr="00EC783D">
        <w:rPr>
          <w:rFonts w:ascii="Times New Roman" w:hAnsi="Times New Roman" w:cs="Times New Roman"/>
          <w:sz w:val="24"/>
          <w:szCs w:val="24"/>
        </w:rPr>
        <w:t xml:space="preserve"> influence</w:t>
      </w:r>
      <w:r w:rsidRPr="00EC783D">
        <w:rPr>
          <w:rFonts w:ascii="Times New Roman" w:hAnsi="Times New Roman" w:cs="Times New Roman"/>
          <w:sz w:val="24"/>
          <w:szCs w:val="24"/>
        </w:rPr>
        <w:t>d this work</w:t>
      </w:r>
      <w:r w:rsidR="004E3318" w:rsidRPr="00EC783D">
        <w:rPr>
          <w:rFonts w:ascii="Times New Roman" w:hAnsi="Times New Roman" w:cs="Times New Roman"/>
          <w:sz w:val="24"/>
          <w:szCs w:val="24"/>
        </w:rPr>
        <w:t>.</w:t>
      </w:r>
    </w:p>
    <w:p w14:paraId="3D0C5CE5" w14:textId="77777777" w:rsidR="009C6DAE" w:rsidRDefault="009C6DAE" w:rsidP="00EC783D">
      <w:pPr>
        <w:spacing w:line="480" w:lineRule="auto"/>
        <w:jc w:val="both"/>
        <w:rPr>
          <w:rFonts w:ascii="Times New Roman" w:hAnsi="Times New Roman" w:cs="Times New Roman"/>
          <w:sz w:val="24"/>
          <w:szCs w:val="24"/>
        </w:rPr>
      </w:pPr>
    </w:p>
    <w:p w14:paraId="55F39C46" w14:textId="77777777" w:rsidR="009C6DAE" w:rsidRPr="009C6DAE" w:rsidRDefault="009C6DAE" w:rsidP="009C6DAE">
      <w:pPr>
        <w:widowControl/>
        <w:autoSpaceDE/>
        <w:autoSpaceDN/>
        <w:spacing w:after="200" w:line="276" w:lineRule="auto"/>
        <w:jc w:val="both"/>
        <w:outlineLvl w:val="0"/>
        <w:rPr>
          <w:rFonts w:ascii="Arial" w:eastAsiaTheme="minorEastAsia" w:hAnsi="Arial" w:cs="Arial"/>
          <w:lang w:val="en-GB" w:eastAsia="en-GB"/>
        </w:rPr>
      </w:pPr>
      <w:r w:rsidRPr="009C6DAE">
        <w:rPr>
          <w:rFonts w:ascii="Arial" w:eastAsiaTheme="minorEastAsia" w:hAnsi="Arial" w:cs="Arial"/>
          <w:b/>
          <w:bCs/>
          <w:lang w:val="en-GB" w:eastAsia="en-GB"/>
        </w:rPr>
        <w:t>COMPETING INTERESTS DISCLAIMER:</w:t>
      </w:r>
    </w:p>
    <w:p w14:paraId="7DBEFC12" w14:textId="77777777" w:rsidR="009C6DAE" w:rsidRPr="009C6DAE" w:rsidRDefault="009C6DAE" w:rsidP="009C6DAE">
      <w:pPr>
        <w:widowControl/>
        <w:autoSpaceDE/>
        <w:autoSpaceDN/>
        <w:spacing w:after="200" w:line="276" w:lineRule="auto"/>
        <w:rPr>
          <w:rFonts w:asciiTheme="minorHAnsi" w:eastAsiaTheme="minorEastAsia" w:hAnsiTheme="minorHAnsi" w:cstheme="minorBidi"/>
          <w:lang w:val="en-GB" w:eastAsia="en-GB"/>
        </w:rPr>
      </w:pPr>
      <w:r w:rsidRPr="009C6DAE">
        <w:rPr>
          <w:rFonts w:asciiTheme="minorHAnsi" w:eastAsiaTheme="minorEastAsia" w:hAnsiTheme="minorHAnsi" w:cstheme="minorBidi"/>
          <w:lang w:val="en-GB" w:eastAsia="en-GB"/>
        </w:rPr>
        <w:t>Authors have declared that they have no known competing financial interests OR non-financial interests OR personal relationships that could have appeared to influence the work reported in this paper.</w:t>
      </w:r>
    </w:p>
    <w:p w14:paraId="22D94C28" w14:textId="77777777" w:rsidR="009C6DAE" w:rsidRPr="009C6DAE" w:rsidRDefault="009C6DAE" w:rsidP="009C6DAE">
      <w:pPr>
        <w:widowControl/>
        <w:autoSpaceDE/>
        <w:autoSpaceDN/>
        <w:spacing w:after="200" w:line="276" w:lineRule="auto"/>
        <w:rPr>
          <w:rFonts w:asciiTheme="minorHAnsi" w:eastAsiaTheme="minorEastAsia" w:hAnsiTheme="minorHAnsi" w:cstheme="minorBidi"/>
          <w:lang w:val="en-GB" w:eastAsia="en-GB"/>
        </w:rPr>
      </w:pPr>
    </w:p>
    <w:p w14:paraId="1A240ECE" w14:textId="77777777" w:rsidR="004E3318" w:rsidRPr="00EC783D" w:rsidRDefault="004E3318" w:rsidP="00EC783D">
      <w:pPr>
        <w:spacing w:before="240" w:line="480" w:lineRule="auto"/>
        <w:jc w:val="both"/>
        <w:rPr>
          <w:rFonts w:ascii="Times New Roman" w:hAnsi="Times New Roman" w:cs="Times New Roman"/>
          <w:b/>
          <w:sz w:val="24"/>
          <w:szCs w:val="24"/>
        </w:rPr>
      </w:pPr>
    </w:p>
    <w:p w14:paraId="78F6D521" w14:textId="1B126BD1" w:rsidR="00D94A5F" w:rsidRPr="00EC783D" w:rsidRDefault="00DA79C4" w:rsidP="00EC783D">
      <w:pPr>
        <w:pStyle w:val="BodyText"/>
        <w:spacing w:before="163" w:line="480" w:lineRule="auto"/>
        <w:ind w:left="50" w:right="43" w:firstLine="259"/>
        <w:jc w:val="both"/>
        <w:rPr>
          <w:rFonts w:ascii="Times New Roman" w:hAnsi="Times New Roman" w:cs="Times New Roman"/>
          <w:b/>
          <w:sz w:val="24"/>
          <w:szCs w:val="24"/>
        </w:rPr>
      </w:pPr>
      <w:r w:rsidRPr="00EC783D">
        <w:rPr>
          <w:rFonts w:ascii="Times New Roman" w:hAnsi="Times New Roman" w:cs="Times New Roman"/>
          <w:b/>
          <w:sz w:val="24"/>
          <w:szCs w:val="24"/>
        </w:rPr>
        <w:lastRenderedPageBreak/>
        <w:t>References</w:t>
      </w:r>
    </w:p>
    <w:p w14:paraId="12BAC61F" w14:textId="77777777" w:rsidR="00D00CA7" w:rsidRPr="00EC783D" w:rsidRDefault="00D00CA7" w:rsidP="00EC783D">
      <w:pPr>
        <w:pStyle w:val="NormalWeb"/>
        <w:numPr>
          <w:ilvl w:val="0"/>
          <w:numId w:val="9"/>
        </w:numPr>
        <w:spacing w:line="480" w:lineRule="auto"/>
        <w:jc w:val="both"/>
      </w:pPr>
      <w:r w:rsidRPr="00EC783D">
        <w:t xml:space="preserve">Chen, J., Su, Y., Lin, F., Iqbal, M., Mehmood, K., Zhang, H., &amp; Shi, D. (2021). Melatonin attenuates paraquat-induced nephrotoxicity through modulating oxidative stress, inflammation, and apoptosis in rats. </w:t>
      </w:r>
      <w:r w:rsidRPr="00EC783D">
        <w:rPr>
          <w:rStyle w:val="Emphasis"/>
        </w:rPr>
        <w:t>Ecotoxicology and Environmental Safety, 220</w:t>
      </w:r>
      <w:r w:rsidRPr="00EC783D">
        <w:t>, 112711. https://doi.org/10.1016/j.ecoenv.2021.112711</w:t>
      </w:r>
    </w:p>
    <w:p w14:paraId="224F4A7C" w14:textId="77777777" w:rsidR="00D00CA7" w:rsidRPr="00EC783D" w:rsidRDefault="00D00CA7" w:rsidP="00EC783D">
      <w:pPr>
        <w:pStyle w:val="NormalWeb"/>
        <w:numPr>
          <w:ilvl w:val="0"/>
          <w:numId w:val="9"/>
        </w:numPr>
        <w:spacing w:line="480" w:lineRule="auto"/>
        <w:jc w:val="both"/>
      </w:pPr>
      <w:r w:rsidRPr="00EC783D">
        <w:t xml:space="preserve">Dinis Oliveira, R. J., Duarte, J. A., Sánchez Navarro, A., </w:t>
      </w:r>
      <w:proofErr w:type="spellStart"/>
      <w:r w:rsidRPr="00EC783D">
        <w:t>Remião</w:t>
      </w:r>
      <w:proofErr w:type="spellEnd"/>
      <w:r w:rsidRPr="00EC783D">
        <w:t xml:space="preserve">, F., Bastos, M. L., &amp; Carvalho, F. (2008). Paraquat poisonings: Mechanisms of lung toxicity, clinical features, and treatment. </w:t>
      </w:r>
      <w:r w:rsidRPr="00EC783D">
        <w:rPr>
          <w:rStyle w:val="Emphasis"/>
        </w:rPr>
        <w:t>Critical Reviews in Toxicology, 38</w:t>
      </w:r>
      <w:r w:rsidRPr="00EC783D">
        <w:t>(1), 13–71. https://doi.org/10.1080/10408440701669959</w:t>
      </w:r>
    </w:p>
    <w:p w14:paraId="56E94BDD" w14:textId="77777777" w:rsidR="00D00CA7" w:rsidRPr="00EC783D" w:rsidRDefault="00D00CA7" w:rsidP="00EC783D">
      <w:pPr>
        <w:pStyle w:val="NormalWeb"/>
        <w:numPr>
          <w:ilvl w:val="0"/>
          <w:numId w:val="9"/>
        </w:numPr>
        <w:spacing w:line="480" w:lineRule="auto"/>
        <w:jc w:val="both"/>
      </w:pPr>
      <w:r w:rsidRPr="00EC783D">
        <w:t xml:space="preserve">Dinis Oliveira, R. J., Duarte, J. A., Sánchez Navarro, A., </w:t>
      </w:r>
      <w:proofErr w:type="spellStart"/>
      <w:r w:rsidRPr="00EC783D">
        <w:t>Remião</w:t>
      </w:r>
      <w:proofErr w:type="spellEnd"/>
      <w:r w:rsidRPr="00EC783D">
        <w:t xml:space="preserve">, F., Bastos, M. L., &amp; Carvalho, F. (2008). Paraquat poisonings: Mechanisms of lung toxicity, clinical features, and treatment. </w:t>
      </w:r>
      <w:r w:rsidRPr="00EC783D">
        <w:rPr>
          <w:rStyle w:val="Emphasis"/>
        </w:rPr>
        <w:t>Critical Reviews in Toxicology, 38</w:t>
      </w:r>
      <w:r w:rsidRPr="00EC783D">
        <w:t>(1), 13–71. https://doi.org/10.1080/10408440701669959</w:t>
      </w:r>
    </w:p>
    <w:p w14:paraId="4F104ECD" w14:textId="77777777" w:rsidR="00D00CA7" w:rsidRPr="00EC783D" w:rsidRDefault="00D00CA7" w:rsidP="00EC783D">
      <w:pPr>
        <w:pStyle w:val="NormalWeb"/>
        <w:numPr>
          <w:ilvl w:val="0"/>
          <w:numId w:val="9"/>
        </w:numPr>
        <w:spacing w:line="480" w:lineRule="auto"/>
        <w:jc w:val="both"/>
      </w:pPr>
      <w:r w:rsidRPr="00EC783D">
        <w:t xml:space="preserve">Dinis Oliveira, R. J., </w:t>
      </w:r>
      <w:proofErr w:type="spellStart"/>
      <w:r w:rsidRPr="00EC783D">
        <w:t>Remião</w:t>
      </w:r>
      <w:proofErr w:type="spellEnd"/>
      <w:r w:rsidRPr="00EC783D">
        <w:t xml:space="preserve">, F., Duarte, J. A., Ferreira, R., Sánchez Navarro, A., Bastos, M. L., &amp; Carvalho, F. (2006). P glycoprotein induction: An antidotal pathway for paraquat induced lung toxicity. </w:t>
      </w:r>
      <w:r w:rsidRPr="00EC783D">
        <w:rPr>
          <w:rStyle w:val="Emphasis"/>
        </w:rPr>
        <w:t>Free Radical Biology and Medicine, 41</w:t>
      </w:r>
      <w:r w:rsidRPr="00EC783D">
        <w:t>(8), 1213–1224. https://doi.org/10.1016/j.freeradbiomed.2006.06.012</w:t>
      </w:r>
    </w:p>
    <w:p w14:paraId="04486E1B" w14:textId="2BEDD608" w:rsidR="00A7405C" w:rsidRPr="00EC783D" w:rsidRDefault="00D00CA7" w:rsidP="00EC783D">
      <w:pPr>
        <w:pStyle w:val="NormalWeb"/>
        <w:numPr>
          <w:ilvl w:val="0"/>
          <w:numId w:val="9"/>
        </w:numPr>
        <w:spacing w:line="480" w:lineRule="auto"/>
        <w:jc w:val="both"/>
      </w:pPr>
      <w:proofErr w:type="spellStart"/>
      <w:r w:rsidRPr="00EC783D">
        <w:t>Ezeagu</w:t>
      </w:r>
      <w:proofErr w:type="spellEnd"/>
      <w:r w:rsidRPr="00EC783D">
        <w:t xml:space="preserve">, D. K., &amp; </w:t>
      </w:r>
      <w:proofErr w:type="spellStart"/>
      <w:r w:rsidRPr="00EC783D">
        <w:t>Ofoego</w:t>
      </w:r>
      <w:proofErr w:type="spellEnd"/>
      <w:r w:rsidRPr="00EC783D">
        <w:t xml:space="preserve">, U. C. (2025). Ripe banana peel extract: A natural protector of testicular health in experimental models. </w:t>
      </w:r>
      <w:r w:rsidRPr="00EC783D">
        <w:rPr>
          <w:rStyle w:val="Emphasis"/>
        </w:rPr>
        <w:t>International Journal of Reproduction, Contraception, Obstetrics and Gynecology, 14</w:t>
      </w:r>
      <w:r w:rsidRPr="00EC783D">
        <w:t>(7), 2074–2082.</w:t>
      </w:r>
      <w:r w:rsidR="00A7405C" w:rsidRPr="00EC783D">
        <w:t xml:space="preserve"> </w:t>
      </w:r>
      <w:hyperlink r:id="rId16" w:history="1">
        <w:r w:rsidR="00A7405C" w:rsidRPr="00EC783D">
          <w:rPr>
            <w:rStyle w:val="Hyperlink"/>
            <w:color w:val="auto"/>
            <w:u w:val="none"/>
          </w:rPr>
          <w:t>https://doi.org/10.18203/2320-1770.ijrcog20251951</w:t>
        </w:r>
      </w:hyperlink>
    </w:p>
    <w:p w14:paraId="420D2A73" w14:textId="77777777" w:rsidR="00D00CA7" w:rsidRPr="00EC783D" w:rsidRDefault="00D00CA7" w:rsidP="00EC783D">
      <w:pPr>
        <w:pStyle w:val="NormalWeb"/>
        <w:numPr>
          <w:ilvl w:val="0"/>
          <w:numId w:val="9"/>
        </w:numPr>
        <w:spacing w:line="480" w:lineRule="auto"/>
        <w:jc w:val="both"/>
      </w:pPr>
      <w:r w:rsidRPr="00EC783D">
        <w:t xml:space="preserve">Food Safety Commission of Japan. (2022). Paraquat (pesticides). </w:t>
      </w:r>
      <w:r w:rsidRPr="00EC783D">
        <w:rPr>
          <w:rStyle w:val="Emphasis"/>
        </w:rPr>
        <w:t>Food Safety, 10</w:t>
      </w:r>
      <w:r w:rsidRPr="00EC783D">
        <w:t>(4), 140–147. https://doi.org/10.14252/foodsafetyfscj.D-22-00012</w:t>
      </w:r>
    </w:p>
    <w:p w14:paraId="0E224F4D" w14:textId="77777777" w:rsidR="00D00CA7" w:rsidRPr="00EC783D" w:rsidRDefault="00D00CA7" w:rsidP="00EC783D">
      <w:pPr>
        <w:pStyle w:val="NormalWeb"/>
        <w:numPr>
          <w:ilvl w:val="0"/>
          <w:numId w:val="9"/>
        </w:numPr>
        <w:spacing w:line="480" w:lineRule="auto"/>
        <w:jc w:val="both"/>
      </w:pPr>
      <w:r w:rsidRPr="00EC783D">
        <w:t xml:space="preserve">Frontiers. (2018). Flavonoids in kidney health and disease. </w:t>
      </w:r>
      <w:r w:rsidRPr="00EC783D">
        <w:rPr>
          <w:rStyle w:val="Emphasis"/>
        </w:rPr>
        <w:t>Frontiers in Physiology, 9</w:t>
      </w:r>
      <w:r w:rsidRPr="00EC783D">
        <w:t>, 394. https://doi.org/10.3389/fphys.2018.00394</w:t>
      </w:r>
    </w:p>
    <w:p w14:paraId="5549086D" w14:textId="77777777" w:rsidR="00D00CA7" w:rsidRPr="00EC783D" w:rsidRDefault="00D00CA7" w:rsidP="00EC783D">
      <w:pPr>
        <w:pStyle w:val="NormalWeb"/>
        <w:numPr>
          <w:ilvl w:val="0"/>
          <w:numId w:val="9"/>
        </w:numPr>
        <w:spacing w:line="480" w:lineRule="auto"/>
        <w:jc w:val="both"/>
      </w:pPr>
      <w:proofErr w:type="spellStart"/>
      <w:r w:rsidRPr="00EC783D">
        <w:lastRenderedPageBreak/>
        <w:t>Gawarammana</w:t>
      </w:r>
      <w:proofErr w:type="spellEnd"/>
      <w:r w:rsidRPr="00EC783D">
        <w:t xml:space="preserve">, I. B., &amp; Buckley, N. A. (2011). Medical management of paraquat ingestion. </w:t>
      </w:r>
      <w:r w:rsidRPr="00EC783D">
        <w:rPr>
          <w:rStyle w:val="Emphasis"/>
        </w:rPr>
        <w:t>British Journal of Clinical Pharmacology, 72</w:t>
      </w:r>
      <w:r w:rsidRPr="00EC783D">
        <w:t>(5), 745–757. https://doi.org/10.1111/j.1365-2125.2011.03955.x</w:t>
      </w:r>
    </w:p>
    <w:p w14:paraId="6DD51410" w14:textId="77777777" w:rsidR="00D00CA7" w:rsidRPr="00EC783D" w:rsidRDefault="00D00CA7" w:rsidP="00EC783D">
      <w:pPr>
        <w:pStyle w:val="NormalWeb"/>
        <w:numPr>
          <w:ilvl w:val="0"/>
          <w:numId w:val="9"/>
        </w:numPr>
        <w:spacing w:line="480" w:lineRule="auto"/>
        <w:jc w:val="both"/>
      </w:pPr>
      <w:r w:rsidRPr="00EC783D">
        <w:t xml:space="preserve">Hall, J. E. (2020). </w:t>
      </w:r>
      <w:r w:rsidRPr="00EC783D">
        <w:rPr>
          <w:rStyle w:val="Emphasis"/>
        </w:rPr>
        <w:t>Guyton and Hall Textbook of Medical Physiology</w:t>
      </w:r>
      <w:r w:rsidRPr="00EC783D">
        <w:t xml:space="preserve"> (14th ed.). Elsevier.</w:t>
      </w:r>
    </w:p>
    <w:p w14:paraId="226F9B2E" w14:textId="77777777" w:rsidR="00D00CA7" w:rsidRPr="00EC783D" w:rsidRDefault="00D00CA7" w:rsidP="00EC783D">
      <w:pPr>
        <w:pStyle w:val="NormalWeb"/>
        <w:numPr>
          <w:ilvl w:val="0"/>
          <w:numId w:val="9"/>
        </w:numPr>
        <w:spacing w:line="480" w:lineRule="auto"/>
        <w:jc w:val="both"/>
      </w:pPr>
      <w:proofErr w:type="spellStart"/>
      <w:r w:rsidRPr="00EC783D">
        <w:t>Hirooka</w:t>
      </w:r>
      <w:proofErr w:type="spellEnd"/>
      <w:r w:rsidRPr="00EC783D">
        <w:t xml:space="preserve">, Y., Imaoka, T., Terashima, H., Murayama, T., Nakano, K., &amp; Kiyota, H. (2010). Involvement of organic cation transporter in paraquat-induced cytotoxicity in kidney cells. </w:t>
      </w:r>
      <w:r w:rsidRPr="00EC783D">
        <w:rPr>
          <w:rStyle w:val="Emphasis"/>
        </w:rPr>
        <w:t>Toxicology and Applied Pharmacology, 249</w:t>
      </w:r>
      <w:r w:rsidRPr="00EC783D">
        <w:t>(1), 21–31. https://doi.org/10.1016/j.taap.2010.08.015</w:t>
      </w:r>
    </w:p>
    <w:p w14:paraId="2EA106CF" w14:textId="77777777" w:rsidR="00D00CA7" w:rsidRPr="00EC783D" w:rsidRDefault="00D00CA7" w:rsidP="00EC783D">
      <w:pPr>
        <w:pStyle w:val="NormalWeb"/>
        <w:numPr>
          <w:ilvl w:val="0"/>
          <w:numId w:val="9"/>
        </w:numPr>
        <w:spacing w:line="480" w:lineRule="auto"/>
        <w:jc w:val="both"/>
      </w:pPr>
      <w:r w:rsidRPr="00EC783D">
        <w:t xml:space="preserve">Jia, C., Zhang, Z., Wang, J., &amp; Nie, Z. (2022). Silymarin protects the rats against paraquat-induced acute kidney injury via Nrf2. </w:t>
      </w:r>
      <w:r w:rsidRPr="00EC783D">
        <w:rPr>
          <w:rStyle w:val="Emphasis"/>
        </w:rPr>
        <w:t>Human &amp; Experimental Toxicology, 41</w:t>
      </w:r>
      <w:r w:rsidRPr="00EC783D">
        <w:t>(1), 1–8. https://doi.org/10.1177/09603271221074334</w:t>
      </w:r>
    </w:p>
    <w:p w14:paraId="728EF788" w14:textId="77777777" w:rsidR="00D00CA7" w:rsidRPr="00EC783D" w:rsidRDefault="00D00CA7" w:rsidP="00EC783D">
      <w:pPr>
        <w:pStyle w:val="NormalWeb"/>
        <w:numPr>
          <w:ilvl w:val="0"/>
          <w:numId w:val="9"/>
        </w:numPr>
        <w:spacing w:line="480" w:lineRule="auto"/>
        <w:jc w:val="both"/>
      </w:pPr>
      <w:r w:rsidRPr="00EC783D">
        <w:t xml:space="preserve">Johnson, J. T., &amp; Dike, P. (2024). Effect of </w:t>
      </w:r>
      <w:proofErr w:type="spellStart"/>
      <w:r w:rsidRPr="00EC783D">
        <w:t>Jigsimur</w:t>
      </w:r>
      <w:proofErr w:type="spellEnd"/>
      <w:r w:rsidRPr="00EC783D">
        <w:t xml:space="preserve"> on serum inflammatory markers and renal indices of Wistar rats with streptozotocin-induced diabetes mellitus. </w:t>
      </w:r>
      <w:r w:rsidRPr="00EC783D">
        <w:rPr>
          <w:rStyle w:val="Emphasis"/>
        </w:rPr>
        <w:t>International Journal of Advanced Biochemistry Research, 8</w:t>
      </w:r>
      <w:r w:rsidRPr="00EC783D">
        <w:t>(9), 690–695. https://doi.org/10.33545/26174693.2024.v8.i9i.2258</w:t>
      </w:r>
    </w:p>
    <w:p w14:paraId="71BB0F6B" w14:textId="77777777" w:rsidR="00D00CA7" w:rsidRPr="00EC783D" w:rsidRDefault="00D00CA7" w:rsidP="00EC783D">
      <w:pPr>
        <w:pStyle w:val="NormalWeb"/>
        <w:numPr>
          <w:ilvl w:val="0"/>
          <w:numId w:val="9"/>
        </w:numPr>
        <w:spacing w:line="480" w:lineRule="auto"/>
        <w:jc w:val="both"/>
      </w:pPr>
      <w:r w:rsidRPr="00EC783D">
        <w:t xml:space="preserve">Josiah, S. S., Crown, O. O., </w:t>
      </w:r>
      <w:proofErr w:type="spellStart"/>
      <w:r w:rsidRPr="00EC783D">
        <w:t>Akinmoladun</w:t>
      </w:r>
      <w:proofErr w:type="spellEnd"/>
      <w:r w:rsidRPr="00EC783D">
        <w:t xml:space="preserve">, A. C., &amp; Adegboye, O. A. (2020). </w:t>
      </w:r>
      <w:proofErr w:type="spellStart"/>
      <w:r w:rsidRPr="00EC783D">
        <w:t>Renoprotective</w:t>
      </w:r>
      <w:proofErr w:type="spellEnd"/>
      <w:r w:rsidRPr="00EC783D">
        <w:t xml:space="preserve"> property of the flavonoid-rich extract of </w:t>
      </w:r>
      <w:proofErr w:type="spellStart"/>
      <w:r w:rsidRPr="00EC783D">
        <w:rPr>
          <w:rStyle w:val="Emphasis"/>
        </w:rPr>
        <w:t>Kigelia</w:t>
      </w:r>
      <w:proofErr w:type="spellEnd"/>
      <w:r w:rsidRPr="00EC783D">
        <w:rPr>
          <w:rStyle w:val="Emphasis"/>
        </w:rPr>
        <w:t xml:space="preserve"> </w:t>
      </w:r>
      <w:proofErr w:type="spellStart"/>
      <w:r w:rsidRPr="00EC783D">
        <w:rPr>
          <w:rStyle w:val="Emphasis"/>
        </w:rPr>
        <w:t>africana</w:t>
      </w:r>
      <w:proofErr w:type="spellEnd"/>
      <w:r w:rsidRPr="00EC783D">
        <w:t xml:space="preserve"> fruits on gentamicin-induced nephrotoxicity in rats. </w:t>
      </w:r>
      <w:r w:rsidRPr="00EC783D">
        <w:rPr>
          <w:rStyle w:val="Emphasis"/>
        </w:rPr>
        <w:t>Comparative Clinical Pathology, 29</w:t>
      </w:r>
      <w:r w:rsidRPr="00EC783D">
        <w:t>(4), 815–828. https://doi.org/10.1007/s00580-020-03140-w</w:t>
      </w:r>
    </w:p>
    <w:p w14:paraId="304B752E" w14:textId="77777777" w:rsidR="00D00CA7" w:rsidRPr="00EC783D" w:rsidRDefault="00D00CA7" w:rsidP="00EC783D">
      <w:pPr>
        <w:pStyle w:val="NormalWeb"/>
        <w:numPr>
          <w:ilvl w:val="0"/>
          <w:numId w:val="9"/>
        </w:numPr>
        <w:spacing w:line="480" w:lineRule="auto"/>
        <w:jc w:val="both"/>
      </w:pPr>
      <w:r w:rsidRPr="00EC783D">
        <w:t xml:space="preserve">Kamel, F. (2013). Epidemiology. Paths from pesticides to Parkinson's. </w:t>
      </w:r>
      <w:r w:rsidRPr="00EC783D">
        <w:rPr>
          <w:rStyle w:val="Emphasis"/>
        </w:rPr>
        <w:t>Science, 341</w:t>
      </w:r>
      <w:r w:rsidRPr="00EC783D">
        <w:t>(6147), 722–723. https://doi.org/10.1126/science.1243619</w:t>
      </w:r>
    </w:p>
    <w:p w14:paraId="59DB428C" w14:textId="77777777" w:rsidR="00D00CA7" w:rsidRPr="00EC783D" w:rsidRDefault="00D00CA7" w:rsidP="00EC783D">
      <w:pPr>
        <w:pStyle w:val="NormalWeb"/>
        <w:numPr>
          <w:ilvl w:val="0"/>
          <w:numId w:val="9"/>
        </w:numPr>
        <w:spacing w:line="480" w:lineRule="auto"/>
        <w:jc w:val="both"/>
      </w:pPr>
      <w:r w:rsidRPr="00EC783D">
        <w:t xml:space="preserve">Khare, C. P. (2008). </w:t>
      </w:r>
      <w:r w:rsidRPr="00EC783D">
        <w:rPr>
          <w:rStyle w:val="Emphasis"/>
        </w:rPr>
        <w:t>Indian medicinal plants: An illustrated dictionary</w:t>
      </w:r>
      <w:r w:rsidRPr="00EC783D">
        <w:t>. Springer Science &amp; Business Media.</w:t>
      </w:r>
    </w:p>
    <w:p w14:paraId="4B94D0B9" w14:textId="77777777" w:rsidR="00D00CA7" w:rsidRPr="00EC783D" w:rsidRDefault="00D00CA7" w:rsidP="00EC783D">
      <w:pPr>
        <w:pStyle w:val="NormalWeb"/>
        <w:numPr>
          <w:ilvl w:val="0"/>
          <w:numId w:val="9"/>
        </w:numPr>
        <w:spacing w:line="480" w:lineRule="auto"/>
        <w:jc w:val="both"/>
      </w:pPr>
      <w:r w:rsidRPr="00EC783D">
        <w:lastRenderedPageBreak/>
        <w:t xml:space="preserve">Kim, J.-H., Gil, H.-W., Yang, J.-O., Lee, E.-Y., &amp; Hong, S.-Y. (2011). Serum uric acid level as a marker for mortality and acute kidney injury in patients with acute paraquat intoxication. </w:t>
      </w:r>
      <w:r w:rsidRPr="00EC783D">
        <w:rPr>
          <w:rStyle w:val="Emphasis"/>
        </w:rPr>
        <w:t>Nephrology Dialysis Transplantation, 26</w:t>
      </w:r>
      <w:r w:rsidRPr="00EC783D">
        <w:t>(6), 1846–1852. https://doi.org/10.1093/ndt/gfq632</w:t>
      </w:r>
    </w:p>
    <w:p w14:paraId="27181736" w14:textId="77777777" w:rsidR="00D00CA7" w:rsidRPr="00EC783D" w:rsidRDefault="00D00CA7" w:rsidP="00EC783D">
      <w:pPr>
        <w:pStyle w:val="NormalWeb"/>
        <w:numPr>
          <w:ilvl w:val="0"/>
          <w:numId w:val="9"/>
        </w:numPr>
        <w:spacing w:line="480" w:lineRule="auto"/>
        <w:jc w:val="both"/>
      </w:pPr>
      <w:r w:rsidRPr="00EC783D">
        <w:t xml:space="preserve">Loots, D. T., van der Westhuizen, F. H., &amp; Botes, L. (2007). </w:t>
      </w:r>
      <w:r w:rsidRPr="00EC783D">
        <w:rPr>
          <w:rStyle w:val="Emphasis"/>
        </w:rPr>
        <w:t>Aloe ferox</w:t>
      </w:r>
      <w:r w:rsidRPr="00EC783D">
        <w:t xml:space="preserve"> leaf gel phytochemical content, antioxidant capacity, and possible health benefits. </w:t>
      </w:r>
      <w:r w:rsidRPr="00EC783D">
        <w:rPr>
          <w:rStyle w:val="Emphasis"/>
        </w:rPr>
        <w:t>Journal of Agricultural and Food Chemistry, 55</w:t>
      </w:r>
      <w:r w:rsidRPr="00EC783D">
        <w:t>(17), 6891–6896. https://doi.org/10.1021/jf071110t</w:t>
      </w:r>
    </w:p>
    <w:p w14:paraId="623F2977" w14:textId="77777777" w:rsidR="00D00CA7" w:rsidRPr="00EC783D" w:rsidRDefault="00D00CA7" w:rsidP="00EC783D">
      <w:pPr>
        <w:pStyle w:val="NormalWeb"/>
        <w:numPr>
          <w:ilvl w:val="0"/>
          <w:numId w:val="9"/>
        </w:numPr>
        <w:spacing w:line="480" w:lineRule="auto"/>
        <w:jc w:val="both"/>
      </w:pPr>
      <w:r w:rsidRPr="00EC783D">
        <w:t xml:space="preserve">Loots, D. T., van der Westhuizen, F. H., &amp; Botes, L. (2007). </w:t>
      </w:r>
      <w:r w:rsidRPr="00EC783D">
        <w:rPr>
          <w:rStyle w:val="Emphasis"/>
        </w:rPr>
        <w:t>Aloe ferox</w:t>
      </w:r>
      <w:r w:rsidRPr="00EC783D">
        <w:t xml:space="preserve"> leaf gel phytochemical content, antioxidant capacity, and possible health benefits. </w:t>
      </w:r>
      <w:r w:rsidRPr="00EC783D">
        <w:rPr>
          <w:rStyle w:val="Emphasis"/>
        </w:rPr>
        <w:t>Journal of Agricultural and Food Chemistry, 55</w:t>
      </w:r>
      <w:r w:rsidRPr="00EC783D">
        <w:t>(17), 6891–6896. https://doi.org/10.1021/jf071110t</w:t>
      </w:r>
    </w:p>
    <w:p w14:paraId="2C269293" w14:textId="77777777" w:rsidR="00D00CA7" w:rsidRPr="00EC783D" w:rsidRDefault="00D00CA7" w:rsidP="00EC783D">
      <w:pPr>
        <w:pStyle w:val="NormalWeb"/>
        <w:numPr>
          <w:ilvl w:val="0"/>
          <w:numId w:val="9"/>
        </w:numPr>
        <w:spacing w:line="480" w:lineRule="auto"/>
        <w:jc w:val="both"/>
      </w:pPr>
      <w:proofErr w:type="spellStart"/>
      <w:r w:rsidRPr="00EC783D">
        <w:t>Lorke</w:t>
      </w:r>
      <w:proofErr w:type="spellEnd"/>
      <w:r w:rsidRPr="00EC783D">
        <w:t xml:space="preserve">, D. (1983). A new approach to practical acute toxicity testing. </w:t>
      </w:r>
      <w:r w:rsidRPr="00EC783D">
        <w:rPr>
          <w:rStyle w:val="Emphasis"/>
        </w:rPr>
        <w:t>Archives of Toxicology, 54</w:t>
      </w:r>
      <w:r w:rsidRPr="00EC783D">
        <w:t>(4), 275–287.</w:t>
      </w:r>
    </w:p>
    <w:p w14:paraId="5ED1CACC" w14:textId="77777777" w:rsidR="00D00CA7" w:rsidRPr="00EC783D" w:rsidRDefault="00D00CA7" w:rsidP="00EC783D">
      <w:pPr>
        <w:pStyle w:val="NormalWeb"/>
        <w:numPr>
          <w:ilvl w:val="0"/>
          <w:numId w:val="9"/>
        </w:numPr>
        <w:spacing w:line="480" w:lineRule="auto"/>
        <w:jc w:val="both"/>
      </w:pPr>
      <w:proofErr w:type="spellStart"/>
      <w:r w:rsidRPr="00EC783D">
        <w:t>Nalimu</w:t>
      </w:r>
      <w:proofErr w:type="spellEnd"/>
      <w:r w:rsidRPr="00EC783D">
        <w:t xml:space="preserve">, F., </w:t>
      </w:r>
      <w:proofErr w:type="spellStart"/>
      <w:r w:rsidRPr="00EC783D">
        <w:t>Oloro</w:t>
      </w:r>
      <w:proofErr w:type="spellEnd"/>
      <w:r w:rsidRPr="00EC783D">
        <w:t xml:space="preserve">, J., Kahwa, I., &amp; Ogwang, P. E. (2021). Review on the phytochemistry and toxicological profiles of </w:t>
      </w:r>
      <w:r w:rsidRPr="00EC783D">
        <w:rPr>
          <w:rStyle w:val="Emphasis"/>
        </w:rPr>
        <w:t>Aloe vera</w:t>
      </w:r>
      <w:r w:rsidRPr="00EC783D">
        <w:t xml:space="preserve"> and </w:t>
      </w:r>
      <w:r w:rsidRPr="00EC783D">
        <w:rPr>
          <w:rStyle w:val="Emphasis"/>
        </w:rPr>
        <w:t>Aloe ferox</w:t>
      </w:r>
      <w:r w:rsidRPr="00EC783D">
        <w:t xml:space="preserve">. </w:t>
      </w:r>
      <w:r w:rsidRPr="00EC783D">
        <w:rPr>
          <w:rStyle w:val="Emphasis"/>
        </w:rPr>
        <w:t>Future Journal of Pharmaceutical Sciences, 7</w:t>
      </w:r>
      <w:r w:rsidRPr="00EC783D">
        <w:t>(1), 145. https://doi.org/10.1186/s43094-021-00296-2</w:t>
      </w:r>
    </w:p>
    <w:p w14:paraId="315DD332" w14:textId="77777777" w:rsidR="00D00CA7" w:rsidRPr="00EC783D" w:rsidRDefault="00D00CA7" w:rsidP="00EC783D">
      <w:pPr>
        <w:pStyle w:val="NormalWeb"/>
        <w:numPr>
          <w:ilvl w:val="0"/>
          <w:numId w:val="9"/>
        </w:numPr>
        <w:spacing w:line="480" w:lineRule="auto"/>
        <w:jc w:val="both"/>
      </w:pPr>
      <w:r w:rsidRPr="00EC783D">
        <w:t xml:space="preserve">National Research Council. (2011). </w:t>
      </w:r>
      <w:r w:rsidRPr="00EC783D">
        <w:rPr>
          <w:rStyle w:val="Emphasis"/>
        </w:rPr>
        <w:t>Guide for the care and use of laboratory animals</w:t>
      </w:r>
      <w:r w:rsidRPr="00EC783D">
        <w:t xml:space="preserve"> (8th ed.). The National Academies Press.</w:t>
      </w:r>
    </w:p>
    <w:p w14:paraId="777BEBE5" w14:textId="77777777" w:rsidR="00D00CA7" w:rsidRPr="00EC783D" w:rsidRDefault="00D00CA7" w:rsidP="00EC783D">
      <w:pPr>
        <w:pStyle w:val="NormalWeb"/>
        <w:numPr>
          <w:ilvl w:val="0"/>
          <w:numId w:val="9"/>
        </w:numPr>
        <w:spacing w:line="480" w:lineRule="auto"/>
        <w:jc w:val="both"/>
      </w:pPr>
      <w:r w:rsidRPr="00EC783D">
        <w:t xml:space="preserve">Naughton, C. A. (2008). Drug-induced nephrotoxicity. </w:t>
      </w:r>
      <w:r w:rsidRPr="00EC783D">
        <w:rPr>
          <w:rStyle w:val="Emphasis"/>
        </w:rPr>
        <w:t>American Family Physician, 78</w:t>
      </w:r>
      <w:r w:rsidRPr="00EC783D">
        <w:t>(6), 743–750.</w:t>
      </w:r>
    </w:p>
    <w:p w14:paraId="68159C03" w14:textId="5FA4C304" w:rsidR="00D00CA7" w:rsidRPr="00EC783D" w:rsidRDefault="00D00CA7" w:rsidP="00EC783D">
      <w:pPr>
        <w:pStyle w:val="NormalWeb"/>
        <w:numPr>
          <w:ilvl w:val="0"/>
          <w:numId w:val="9"/>
        </w:numPr>
        <w:spacing w:line="480" w:lineRule="auto"/>
        <w:jc w:val="both"/>
      </w:pPr>
      <w:proofErr w:type="spellStart"/>
      <w:r w:rsidRPr="00EC783D">
        <w:t>Ofoego</w:t>
      </w:r>
      <w:proofErr w:type="spellEnd"/>
      <w:r w:rsidRPr="00EC783D">
        <w:t xml:space="preserve">, U. C., Eze, E. D., Nweke, E. O., Obiesie, I. J., Mbagwu, I. S., Okafor, E. C., &amp; Rabiu, M. (2021). </w:t>
      </w:r>
      <w:r w:rsidRPr="00EC783D">
        <w:rPr>
          <w:rStyle w:val="Emphasis"/>
        </w:rPr>
        <w:t>Allium cepa</w:t>
      </w:r>
      <w:r w:rsidRPr="00EC783D">
        <w:t xml:space="preserve"> (onion) extract enhances and protects testicular function and architecture against paraquat-induced oxidative damage. </w:t>
      </w:r>
      <w:r w:rsidRPr="00EC783D">
        <w:rPr>
          <w:rStyle w:val="Emphasis"/>
        </w:rPr>
        <w:t>International Journal of Life Science and Pharma Research, 11</w:t>
      </w:r>
      <w:r w:rsidRPr="00EC783D">
        <w:t>(1), 194–203.</w:t>
      </w:r>
      <w:r w:rsidR="006C49F0" w:rsidRPr="00EC783D">
        <w:t xml:space="preserve"> https://doi.org/10.22376/ijpbs/lpr.2021.11.1.L194-203</w:t>
      </w:r>
    </w:p>
    <w:p w14:paraId="200F079E" w14:textId="2E9FDF2C" w:rsidR="00D00CA7" w:rsidRPr="00EC783D" w:rsidRDefault="00D00CA7" w:rsidP="00EC783D">
      <w:pPr>
        <w:pStyle w:val="NormalWeb"/>
        <w:numPr>
          <w:ilvl w:val="0"/>
          <w:numId w:val="9"/>
        </w:numPr>
        <w:spacing w:line="480" w:lineRule="auto"/>
        <w:jc w:val="both"/>
      </w:pPr>
      <w:proofErr w:type="spellStart"/>
      <w:r w:rsidRPr="00EC783D">
        <w:lastRenderedPageBreak/>
        <w:t>Ofoego</w:t>
      </w:r>
      <w:proofErr w:type="spellEnd"/>
      <w:r w:rsidRPr="00EC783D">
        <w:t xml:space="preserve">, U. C., Nwachukwu, C. F., </w:t>
      </w:r>
      <w:proofErr w:type="spellStart"/>
      <w:r w:rsidRPr="00EC783D">
        <w:t>Obinwa</w:t>
      </w:r>
      <w:proofErr w:type="spellEnd"/>
      <w:r w:rsidRPr="00EC783D">
        <w:t xml:space="preserve">, B. N., </w:t>
      </w:r>
      <w:proofErr w:type="spellStart"/>
      <w:r w:rsidRPr="00EC783D">
        <w:t>Ekwujuru</w:t>
      </w:r>
      <w:proofErr w:type="spellEnd"/>
      <w:r w:rsidRPr="00EC783D">
        <w:t xml:space="preserve">, E. U., </w:t>
      </w:r>
      <w:proofErr w:type="spellStart"/>
      <w:r w:rsidRPr="00EC783D">
        <w:t>Ofoego</w:t>
      </w:r>
      <w:proofErr w:type="spellEnd"/>
      <w:r w:rsidRPr="00EC783D">
        <w:t xml:space="preserve">, A. N., &amp; </w:t>
      </w:r>
      <w:proofErr w:type="spellStart"/>
      <w:r w:rsidRPr="00EC783D">
        <w:t>Ezeagu</w:t>
      </w:r>
      <w:proofErr w:type="spellEnd"/>
      <w:r w:rsidRPr="00EC783D">
        <w:t xml:space="preserve">, D. K. (2025). Hepatoprotective effects of </w:t>
      </w:r>
      <w:r w:rsidRPr="00EC783D">
        <w:rPr>
          <w:rStyle w:val="Emphasis"/>
        </w:rPr>
        <w:t>Solanum macrocarpon</w:t>
      </w:r>
      <w:r w:rsidRPr="00EC783D">
        <w:t xml:space="preserve"> leaf extract against paraquat-induced liver toxicity in Wistar rats. </w:t>
      </w:r>
      <w:r w:rsidRPr="00EC783D">
        <w:rPr>
          <w:rStyle w:val="Emphasis"/>
        </w:rPr>
        <w:t>Journal of Advances in Medicine and Medical Research, 37</w:t>
      </w:r>
      <w:r w:rsidRPr="00EC783D">
        <w:t>(3), 268–277.</w:t>
      </w:r>
      <w:r w:rsidR="00DA79C4" w:rsidRPr="00EC783D">
        <w:t xml:space="preserve"> </w:t>
      </w:r>
      <w:r w:rsidR="00DA79C4" w:rsidRPr="00EC783D">
        <w:rPr>
          <w:shd w:val="clear" w:color="auto" w:fill="FFFFFF"/>
        </w:rPr>
        <w:t>https://doi.org/10.9734/jammr/2025/v37i35763.</w:t>
      </w:r>
    </w:p>
    <w:p w14:paraId="475B6C3E" w14:textId="77777777" w:rsidR="00A7405C" w:rsidRPr="00EC783D" w:rsidRDefault="00A7405C" w:rsidP="00EC783D">
      <w:pPr>
        <w:pStyle w:val="ListParagraph"/>
        <w:widowControl/>
        <w:numPr>
          <w:ilvl w:val="0"/>
          <w:numId w:val="9"/>
        </w:numPr>
        <w:autoSpaceDE/>
        <w:autoSpaceDN/>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EC783D">
        <w:rPr>
          <w:rFonts w:ascii="Times New Roman" w:eastAsia="Times New Roman" w:hAnsi="Times New Roman" w:cs="Times New Roman"/>
          <w:sz w:val="24"/>
          <w:szCs w:val="24"/>
        </w:rPr>
        <w:t>Ofoego</w:t>
      </w:r>
      <w:proofErr w:type="spellEnd"/>
      <w:r w:rsidRPr="00EC783D">
        <w:rPr>
          <w:rFonts w:ascii="Times New Roman" w:eastAsia="Times New Roman" w:hAnsi="Times New Roman" w:cs="Times New Roman"/>
          <w:sz w:val="24"/>
          <w:szCs w:val="24"/>
        </w:rPr>
        <w:t xml:space="preserve">, U. C., Mbagwu, S. I., </w:t>
      </w:r>
      <w:proofErr w:type="spellStart"/>
      <w:r w:rsidRPr="00EC783D">
        <w:rPr>
          <w:rFonts w:ascii="Times New Roman" w:eastAsia="Times New Roman" w:hAnsi="Times New Roman" w:cs="Times New Roman"/>
          <w:sz w:val="24"/>
          <w:szCs w:val="24"/>
        </w:rPr>
        <w:t>Ekwujuru</w:t>
      </w:r>
      <w:proofErr w:type="spellEnd"/>
      <w:r w:rsidRPr="00EC783D">
        <w:rPr>
          <w:rFonts w:ascii="Times New Roman" w:eastAsia="Times New Roman" w:hAnsi="Times New Roman" w:cs="Times New Roman"/>
          <w:sz w:val="24"/>
          <w:szCs w:val="24"/>
        </w:rPr>
        <w:t xml:space="preserve">, E. U., Obiesie, I. J., Madu, C. P., &amp; </w:t>
      </w:r>
      <w:proofErr w:type="spellStart"/>
      <w:r w:rsidRPr="00EC783D">
        <w:rPr>
          <w:rFonts w:ascii="Times New Roman" w:eastAsia="Times New Roman" w:hAnsi="Times New Roman" w:cs="Times New Roman"/>
          <w:sz w:val="24"/>
          <w:szCs w:val="24"/>
        </w:rPr>
        <w:t>Ofoego</w:t>
      </w:r>
      <w:proofErr w:type="spellEnd"/>
      <w:r w:rsidRPr="00EC783D">
        <w:rPr>
          <w:rFonts w:ascii="Times New Roman" w:eastAsia="Times New Roman" w:hAnsi="Times New Roman" w:cs="Times New Roman"/>
          <w:sz w:val="24"/>
          <w:szCs w:val="24"/>
        </w:rPr>
        <w:t xml:space="preserve">, A. N. (2020, August). Maydis Stigma (corn silk) extract protects the functionality and histoarchitecture of the testis against paraquat-induced toxicity. </w:t>
      </w:r>
      <w:r w:rsidRPr="00EC783D">
        <w:rPr>
          <w:rFonts w:ascii="Times New Roman" w:eastAsia="Times New Roman" w:hAnsi="Times New Roman" w:cs="Times New Roman"/>
          <w:i/>
          <w:iCs/>
          <w:sz w:val="24"/>
          <w:szCs w:val="24"/>
        </w:rPr>
        <w:t>International Journal of Agriculture and Biological Sciences, 15</w:t>
      </w:r>
      <w:r w:rsidRPr="00EC783D">
        <w:rPr>
          <w:rFonts w:ascii="Times New Roman" w:eastAsia="Times New Roman" w:hAnsi="Times New Roman" w:cs="Times New Roman"/>
          <w:sz w:val="24"/>
          <w:szCs w:val="24"/>
        </w:rPr>
        <w:t>(4), 111–122. https://doi.org/10.5281/zenodo.12549242</w:t>
      </w:r>
    </w:p>
    <w:p w14:paraId="5CD8C84F" w14:textId="77777777" w:rsidR="00D00CA7" w:rsidRPr="00EC783D" w:rsidRDefault="00D00CA7" w:rsidP="00EC783D">
      <w:pPr>
        <w:pStyle w:val="NormalWeb"/>
        <w:numPr>
          <w:ilvl w:val="0"/>
          <w:numId w:val="9"/>
        </w:numPr>
        <w:spacing w:line="480" w:lineRule="auto"/>
        <w:jc w:val="both"/>
      </w:pPr>
      <w:proofErr w:type="spellStart"/>
      <w:r w:rsidRPr="00EC783D">
        <w:t>Perazella</w:t>
      </w:r>
      <w:proofErr w:type="spellEnd"/>
      <w:r w:rsidRPr="00EC783D">
        <w:t xml:space="preserve">, M. A. (2019). Drug-induced acute kidney injury: Diverse mechanisms of tubular injury. </w:t>
      </w:r>
      <w:r w:rsidRPr="00EC783D">
        <w:rPr>
          <w:rStyle w:val="Emphasis"/>
        </w:rPr>
        <w:t>Current Opinion in Critical Care, 25</w:t>
      </w:r>
      <w:r w:rsidRPr="00EC783D">
        <w:t>(6), 550–557. https://doi.org/10.1097/MCC.0000000000000653</w:t>
      </w:r>
    </w:p>
    <w:p w14:paraId="03897012" w14:textId="77777777" w:rsidR="00D00CA7" w:rsidRPr="00EC783D" w:rsidRDefault="00D00CA7" w:rsidP="00EC783D">
      <w:pPr>
        <w:pStyle w:val="NormalWeb"/>
        <w:numPr>
          <w:ilvl w:val="0"/>
          <w:numId w:val="9"/>
        </w:numPr>
        <w:spacing w:line="480" w:lineRule="auto"/>
        <w:jc w:val="both"/>
      </w:pPr>
      <w:r w:rsidRPr="00EC783D">
        <w:t xml:space="preserve">Randox Laboratories. (2016). Creatinine (Jaffe) – colorimetric method. </w:t>
      </w:r>
      <w:r w:rsidRPr="00EC783D">
        <w:rPr>
          <w:rStyle w:val="Emphasis"/>
        </w:rPr>
        <w:t>Product Insert</w:t>
      </w:r>
      <w:r w:rsidRPr="00EC783D">
        <w:t>. Crumlin, UK: Randox Laboratories Ltd.</w:t>
      </w:r>
    </w:p>
    <w:p w14:paraId="4A9D0F32" w14:textId="77777777" w:rsidR="00D00CA7" w:rsidRPr="00EC783D" w:rsidRDefault="00D00CA7" w:rsidP="00EC783D">
      <w:pPr>
        <w:pStyle w:val="NormalWeb"/>
        <w:numPr>
          <w:ilvl w:val="0"/>
          <w:numId w:val="9"/>
        </w:numPr>
        <w:spacing w:line="480" w:lineRule="auto"/>
        <w:jc w:val="both"/>
      </w:pPr>
      <w:r w:rsidRPr="00EC783D">
        <w:t xml:space="preserve">Randox Laboratories. (2017). Urea (Berthelot) – colorimetric method. </w:t>
      </w:r>
      <w:r w:rsidRPr="00EC783D">
        <w:rPr>
          <w:rStyle w:val="Emphasis"/>
        </w:rPr>
        <w:t>Product Insert</w:t>
      </w:r>
      <w:r w:rsidRPr="00EC783D">
        <w:t>. Crumlin, UK: Randox Laboratories Ltd.</w:t>
      </w:r>
    </w:p>
    <w:p w14:paraId="065CD4E6" w14:textId="77777777" w:rsidR="00D00CA7" w:rsidRPr="00EC783D" w:rsidRDefault="00D00CA7" w:rsidP="00EC783D">
      <w:pPr>
        <w:pStyle w:val="NormalWeb"/>
        <w:numPr>
          <w:ilvl w:val="0"/>
          <w:numId w:val="9"/>
        </w:numPr>
        <w:spacing w:line="480" w:lineRule="auto"/>
        <w:jc w:val="both"/>
      </w:pPr>
      <w:r w:rsidRPr="00EC783D">
        <w:t xml:space="preserve">Randox Laboratories. (2019). Uric Acid (enzymatic) – colorimetric method. </w:t>
      </w:r>
      <w:r w:rsidRPr="00EC783D">
        <w:rPr>
          <w:rStyle w:val="Emphasis"/>
        </w:rPr>
        <w:t>Product Insert</w:t>
      </w:r>
      <w:r w:rsidRPr="00EC783D">
        <w:t>. Crumlin, UK: Randox Laboratories Ltd.</w:t>
      </w:r>
    </w:p>
    <w:p w14:paraId="326025F7" w14:textId="77777777" w:rsidR="00D00CA7" w:rsidRPr="00EC783D" w:rsidRDefault="00D00CA7" w:rsidP="00EC783D">
      <w:pPr>
        <w:pStyle w:val="NormalWeb"/>
        <w:numPr>
          <w:ilvl w:val="0"/>
          <w:numId w:val="9"/>
        </w:numPr>
        <w:spacing w:line="480" w:lineRule="auto"/>
        <w:jc w:val="both"/>
      </w:pPr>
      <w:r w:rsidRPr="00EC783D">
        <w:t xml:space="preserve">Safe, S., Jayaraman, A., </w:t>
      </w:r>
      <w:proofErr w:type="spellStart"/>
      <w:r w:rsidRPr="00EC783D">
        <w:t>Chapkin</w:t>
      </w:r>
      <w:proofErr w:type="spellEnd"/>
      <w:r w:rsidRPr="00EC783D">
        <w:t xml:space="preserve">, R. S., Howard, M., Mohankumar, K., &amp; Shrestha, R. (2021). Flavonoids: Structure-function and mechanisms of action and opportunities for drug development. </w:t>
      </w:r>
      <w:r w:rsidRPr="00EC783D">
        <w:rPr>
          <w:rStyle w:val="Emphasis"/>
        </w:rPr>
        <w:t>Toxicological Research, 37</w:t>
      </w:r>
      <w:r w:rsidRPr="00EC783D">
        <w:t>(2), 147–162. https://doi.org/10.1007/s43188-020-00080-z</w:t>
      </w:r>
    </w:p>
    <w:p w14:paraId="2D9D473A" w14:textId="77777777" w:rsidR="00D00CA7" w:rsidRPr="00EC783D" w:rsidRDefault="00D00CA7" w:rsidP="00EC783D">
      <w:pPr>
        <w:pStyle w:val="NormalWeb"/>
        <w:numPr>
          <w:ilvl w:val="0"/>
          <w:numId w:val="9"/>
        </w:numPr>
        <w:spacing w:line="480" w:lineRule="auto"/>
        <w:jc w:val="both"/>
      </w:pPr>
      <w:r w:rsidRPr="00EC783D">
        <w:t xml:space="preserve">Senthil Kumar, K. J., Gokila Vani, M., Wang, C. S., &amp; Chen, C. Y. (2021). Paraquat-induced oxidative stress and dysfunction in zebrafish embryos: A potential model for Parkinson’s disease. </w:t>
      </w:r>
      <w:r w:rsidRPr="00EC783D">
        <w:rPr>
          <w:rStyle w:val="Emphasis"/>
        </w:rPr>
        <w:t>Biomedicine &amp; Pharmacotherapy, 133</w:t>
      </w:r>
      <w:r w:rsidRPr="00EC783D">
        <w:t>, 110957. https://doi.org/10.1016/j.biopha.2020.110957</w:t>
      </w:r>
    </w:p>
    <w:p w14:paraId="05C25564" w14:textId="77777777" w:rsidR="00D00CA7" w:rsidRPr="00EC783D" w:rsidRDefault="00D00CA7" w:rsidP="00EC783D">
      <w:pPr>
        <w:pStyle w:val="NormalWeb"/>
        <w:numPr>
          <w:ilvl w:val="0"/>
          <w:numId w:val="9"/>
        </w:numPr>
        <w:spacing w:line="480" w:lineRule="auto"/>
        <w:jc w:val="both"/>
      </w:pPr>
      <w:r w:rsidRPr="00EC783D">
        <w:lastRenderedPageBreak/>
        <w:t xml:space="preserve">Sies, H. (2017). Hydrogen peroxide as a central redox signaling molecule in physiological oxidative stress: Oxidative eustress. </w:t>
      </w:r>
      <w:r w:rsidRPr="00EC783D">
        <w:rPr>
          <w:rStyle w:val="Emphasis"/>
        </w:rPr>
        <w:t>Redox Biology, 11</w:t>
      </w:r>
      <w:r w:rsidRPr="00EC783D">
        <w:t>, 613–619. https://doi.org/10.1016/j.redox.2016.12.035</w:t>
      </w:r>
    </w:p>
    <w:p w14:paraId="0B527E3A" w14:textId="77777777" w:rsidR="00D00CA7" w:rsidRPr="00EC783D" w:rsidRDefault="00D00CA7" w:rsidP="00EC783D">
      <w:pPr>
        <w:pStyle w:val="NormalWeb"/>
        <w:numPr>
          <w:ilvl w:val="0"/>
          <w:numId w:val="9"/>
        </w:numPr>
        <w:spacing w:line="480" w:lineRule="auto"/>
        <w:jc w:val="both"/>
      </w:pPr>
      <w:r w:rsidRPr="00EC783D">
        <w:t xml:space="preserve">Takenaka, A., Annaka, H., Kimura, Y., Aoki, H., &amp; Igarashi, K. (2002). Reduction of paraquat-induced oxidative stress in rats by dietary soy protein isolate. </w:t>
      </w:r>
      <w:r w:rsidRPr="00EC783D">
        <w:rPr>
          <w:rStyle w:val="Emphasis"/>
        </w:rPr>
        <w:t>Bioscience, Biotechnology, and Biochemistry, 67</w:t>
      </w:r>
      <w:r w:rsidRPr="00EC783D">
        <w:t>(2), 278–283. https://doi.org/10.1271/bbb.67.278</w:t>
      </w:r>
    </w:p>
    <w:p w14:paraId="76C12094" w14:textId="77777777" w:rsidR="00D00CA7" w:rsidRPr="00EC783D" w:rsidRDefault="00D00CA7" w:rsidP="00EC783D">
      <w:pPr>
        <w:pStyle w:val="NormalWeb"/>
        <w:numPr>
          <w:ilvl w:val="0"/>
          <w:numId w:val="9"/>
        </w:numPr>
        <w:spacing w:line="480" w:lineRule="auto"/>
        <w:jc w:val="both"/>
      </w:pPr>
      <w:proofErr w:type="spellStart"/>
      <w:r w:rsidRPr="00EC783D">
        <w:t>Tervaert</w:t>
      </w:r>
      <w:proofErr w:type="spellEnd"/>
      <w:r w:rsidRPr="00EC783D">
        <w:t xml:space="preserve">, T. W. C., </w:t>
      </w:r>
      <w:proofErr w:type="spellStart"/>
      <w:r w:rsidRPr="00EC783D">
        <w:t>Mooyaart</w:t>
      </w:r>
      <w:proofErr w:type="spellEnd"/>
      <w:r w:rsidRPr="00EC783D">
        <w:t xml:space="preserve">, A. L., Amann, K., Cohen, A. H., Cook, H. T., Drachenberg, C. B., ... &amp; Bajema, I. M. (2010). Pathologic classification of diabetic nephropathy. </w:t>
      </w:r>
      <w:r w:rsidRPr="00EC783D">
        <w:rPr>
          <w:rStyle w:val="Emphasis"/>
        </w:rPr>
        <w:t>Journal of the American Society of Nephrology, 21</w:t>
      </w:r>
      <w:r w:rsidRPr="00EC783D">
        <w:t>(4), 556–573. https://doi.org/10.1681/ASN.2010010010</w:t>
      </w:r>
    </w:p>
    <w:p w14:paraId="6A0BBFBB" w14:textId="77777777" w:rsidR="00D00CA7" w:rsidRPr="00EC783D" w:rsidRDefault="00D00CA7" w:rsidP="00EC783D">
      <w:pPr>
        <w:pStyle w:val="NormalWeb"/>
        <w:numPr>
          <w:ilvl w:val="0"/>
          <w:numId w:val="9"/>
        </w:numPr>
        <w:spacing w:line="480" w:lineRule="auto"/>
        <w:jc w:val="both"/>
      </w:pPr>
      <w:r w:rsidRPr="00EC783D">
        <w:t xml:space="preserve">Tortora, G. J., &amp; Derrickson, B. (2017). </w:t>
      </w:r>
      <w:r w:rsidRPr="00EC783D">
        <w:rPr>
          <w:rStyle w:val="Emphasis"/>
        </w:rPr>
        <w:t>Principles of anatomy &amp; physiology</w:t>
      </w:r>
      <w:r w:rsidRPr="00EC783D">
        <w:t xml:space="preserve"> (15th ed.). John Wiley &amp; Sons.</w:t>
      </w:r>
    </w:p>
    <w:p w14:paraId="5FC74D69" w14:textId="77777777" w:rsidR="00D00CA7" w:rsidRPr="00EC783D" w:rsidRDefault="00D00CA7" w:rsidP="00EC783D">
      <w:pPr>
        <w:pStyle w:val="NormalWeb"/>
        <w:numPr>
          <w:ilvl w:val="0"/>
          <w:numId w:val="9"/>
        </w:numPr>
        <w:spacing w:line="480" w:lineRule="auto"/>
        <w:jc w:val="both"/>
      </w:pPr>
      <w:r w:rsidRPr="00EC783D">
        <w:t xml:space="preserve">United Nations. (2019). </w:t>
      </w:r>
      <w:r w:rsidRPr="00EC783D">
        <w:rPr>
          <w:rStyle w:val="Emphasis"/>
        </w:rPr>
        <w:t>Globally Harmonized System of Classification and Labelling of Chemicals (GHS)</w:t>
      </w:r>
      <w:r w:rsidRPr="00EC783D">
        <w:t xml:space="preserve"> (8th revised ed.). United Nations Publications.</w:t>
      </w:r>
    </w:p>
    <w:p w14:paraId="3959FEB8" w14:textId="4C8DB501" w:rsidR="00D94A5F" w:rsidRPr="00EC783D" w:rsidRDefault="00D94A5F" w:rsidP="00EC783D">
      <w:pPr>
        <w:pStyle w:val="BodyText"/>
        <w:spacing w:before="163" w:line="480" w:lineRule="auto"/>
        <w:ind w:left="50" w:right="43" w:firstLine="259"/>
        <w:jc w:val="both"/>
        <w:rPr>
          <w:rFonts w:ascii="Times New Roman" w:hAnsi="Times New Roman" w:cs="Times New Roman"/>
          <w:sz w:val="24"/>
          <w:szCs w:val="24"/>
        </w:rPr>
      </w:pPr>
    </w:p>
    <w:p w14:paraId="7365D13C" w14:textId="2418DDE4" w:rsidR="00D94A5F" w:rsidRPr="00EC783D" w:rsidRDefault="00D94A5F" w:rsidP="00EC783D">
      <w:pPr>
        <w:pStyle w:val="BodyText"/>
        <w:spacing w:before="163" w:line="480" w:lineRule="auto"/>
        <w:ind w:left="50" w:right="43" w:firstLine="259"/>
        <w:jc w:val="both"/>
        <w:rPr>
          <w:rFonts w:ascii="Times New Roman" w:hAnsi="Times New Roman" w:cs="Times New Roman"/>
          <w:sz w:val="24"/>
          <w:szCs w:val="24"/>
        </w:rPr>
      </w:pPr>
    </w:p>
    <w:p w14:paraId="683120D2" w14:textId="49A69BD9" w:rsidR="005405BE" w:rsidRPr="00EC783D" w:rsidRDefault="005405BE" w:rsidP="00EC783D">
      <w:pPr>
        <w:tabs>
          <w:tab w:val="left" w:pos="460"/>
          <w:tab w:val="left" w:pos="6120"/>
          <w:tab w:val="left" w:pos="9190"/>
        </w:tabs>
        <w:spacing w:line="480" w:lineRule="auto"/>
        <w:rPr>
          <w:rFonts w:ascii="Times New Roman" w:hAnsi="Times New Roman" w:cs="Times New Roman"/>
          <w:sz w:val="24"/>
          <w:szCs w:val="24"/>
        </w:rPr>
      </w:pPr>
    </w:p>
    <w:sectPr w:rsidR="005405BE" w:rsidRPr="00EC783D" w:rsidSect="008F7197">
      <w:headerReference w:type="even" r:id="rId17"/>
      <w:headerReference w:type="default" r:id="rId18"/>
      <w:footerReference w:type="even" r:id="rId19"/>
      <w:footerReference w:type="default" r:id="rId20"/>
      <w:headerReference w:type="first" r:id="rId21"/>
      <w:footerReference w:type="first" r:id="rId22"/>
      <w:pgSz w:w="12220" w:h="15860"/>
      <w:pgMar w:top="810" w:right="850" w:bottom="1080" w:left="850" w:header="936" w:footer="1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0DBBA" w14:textId="77777777" w:rsidR="00C75064" w:rsidRDefault="00C75064">
      <w:r>
        <w:separator/>
      </w:r>
    </w:p>
  </w:endnote>
  <w:endnote w:type="continuationSeparator" w:id="0">
    <w:p w14:paraId="590AFE5A" w14:textId="77777777" w:rsidR="00C75064" w:rsidRDefault="00C75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A7AA" w14:textId="77777777" w:rsidR="00530197" w:rsidRDefault="005301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56392" w14:textId="77777777" w:rsidR="00530197" w:rsidRDefault="005301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0CF61" w14:textId="77777777" w:rsidR="00530197" w:rsidRDefault="005301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77AB6" w14:textId="77777777" w:rsidR="00C75064" w:rsidRDefault="00C75064">
      <w:r>
        <w:separator/>
      </w:r>
    </w:p>
  </w:footnote>
  <w:footnote w:type="continuationSeparator" w:id="0">
    <w:p w14:paraId="3B726B25" w14:textId="77777777" w:rsidR="00C75064" w:rsidRDefault="00C75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E55CB" w14:textId="35EA6000" w:rsidR="00530197" w:rsidRDefault="00530197">
    <w:pPr>
      <w:pStyle w:val="Header"/>
    </w:pPr>
    <w:r>
      <w:rPr>
        <w:noProof/>
      </w:rPr>
      <w:pict w14:anchorId="7D7614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741579" o:spid="_x0000_s2050" type="#_x0000_t136" style="position:absolute;margin-left:0;margin-top:0;width:659.15pt;height:82.3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9C622" w14:textId="778C6FC7" w:rsidR="00530197" w:rsidRDefault="00530197">
    <w:pPr>
      <w:pStyle w:val="Header"/>
    </w:pPr>
    <w:r>
      <w:rPr>
        <w:noProof/>
      </w:rPr>
      <w:pict w14:anchorId="4A569B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741580" o:spid="_x0000_s2051" type="#_x0000_t136" style="position:absolute;margin-left:0;margin-top:0;width:659.15pt;height:82.3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6F919" w14:textId="765193DE" w:rsidR="00EC5B65" w:rsidRDefault="00530197">
    <w:pPr>
      <w:pStyle w:val="Header"/>
    </w:pPr>
    <w:r>
      <w:rPr>
        <w:noProof/>
      </w:rPr>
      <w:pict w14:anchorId="39D68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741578" o:spid="_x0000_s2049" type="#_x0000_t136" style="position:absolute;margin-left:0;margin-top:0;width:659.15pt;height:82.3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6753A"/>
    <w:multiLevelType w:val="multilevel"/>
    <w:tmpl w:val="1C5A2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417B5A"/>
    <w:multiLevelType w:val="hybridMultilevel"/>
    <w:tmpl w:val="224655AC"/>
    <w:lvl w:ilvl="0" w:tplc="17F21E9A">
      <w:numFmt w:val="bullet"/>
      <w:lvlText w:val="•"/>
      <w:lvlJc w:val="left"/>
      <w:pPr>
        <w:ind w:left="735" w:hanging="461"/>
      </w:pPr>
      <w:rPr>
        <w:rFonts w:ascii="Cambria" w:eastAsia="Cambria" w:hAnsi="Cambria" w:cs="Cambria" w:hint="default"/>
        <w:b w:val="0"/>
        <w:bCs w:val="0"/>
        <w:i w:val="0"/>
        <w:iCs w:val="0"/>
        <w:spacing w:val="0"/>
        <w:w w:val="100"/>
        <w:sz w:val="18"/>
        <w:szCs w:val="18"/>
        <w:lang w:val="en-US" w:eastAsia="en-US" w:bidi="ar-SA"/>
      </w:rPr>
    </w:lvl>
    <w:lvl w:ilvl="1" w:tplc="74E4DE3E">
      <w:numFmt w:val="bullet"/>
      <w:lvlText w:val="•"/>
      <w:lvlJc w:val="left"/>
      <w:pPr>
        <w:ind w:left="1718" w:hanging="461"/>
      </w:pPr>
      <w:rPr>
        <w:rFonts w:hint="default"/>
        <w:lang w:val="en-US" w:eastAsia="en-US" w:bidi="ar-SA"/>
      </w:rPr>
    </w:lvl>
    <w:lvl w:ilvl="2" w:tplc="73F2A45C">
      <w:numFmt w:val="bullet"/>
      <w:lvlText w:val="•"/>
      <w:lvlJc w:val="left"/>
      <w:pPr>
        <w:ind w:left="2696" w:hanging="461"/>
      </w:pPr>
      <w:rPr>
        <w:rFonts w:hint="default"/>
        <w:lang w:val="en-US" w:eastAsia="en-US" w:bidi="ar-SA"/>
      </w:rPr>
    </w:lvl>
    <w:lvl w:ilvl="3" w:tplc="D30AA3E4">
      <w:numFmt w:val="bullet"/>
      <w:lvlText w:val="•"/>
      <w:lvlJc w:val="left"/>
      <w:pPr>
        <w:ind w:left="3674" w:hanging="461"/>
      </w:pPr>
      <w:rPr>
        <w:rFonts w:hint="default"/>
        <w:lang w:val="en-US" w:eastAsia="en-US" w:bidi="ar-SA"/>
      </w:rPr>
    </w:lvl>
    <w:lvl w:ilvl="4" w:tplc="D4EE3AE2">
      <w:numFmt w:val="bullet"/>
      <w:lvlText w:val="•"/>
      <w:lvlJc w:val="left"/>
      <w:pPr>
        <w:ind w:left="4652" w:hanging="461"/>
      </w:pPr>
      <w:rPr>
        <w:rFonts w:hint="default"/>
        <w:lang w:val="en-US" w:eastAsia="en-US" w:bidi="ar-SA"/>
      </w:rPr>
    </w:lvl>
    <w:lvl w:ilvl="5" w:tplc="70F62F8C">
      <w:numFmt w:val="bullet"/>
      <w:lvlText w:val="•"/>
      <w:lvlJc w:val="left"/>
      <w:pPr>
        <w:ind w:left="5630" w:hanging="461"/>
      </w:pPr>
      <w:rPr>
        <w:rFonts w:hint="default"/>
        <w:lang w:val="en-US" w:eastAsia="en-US" w:bidi="ar-SA"/>
      </w:rPr>
    </w:lvl>
    <w:lvl w:ilvl="6" w:tplc="7E1092C0">
      <w:numFmt w:val="bullet"/>
      <w:lvlText w:val="•"/>
      <w:lvlJc w:val="left"/>
      <w:pPr>
        <w:ind w:left="6608" w:hanging="461"/>
      </w:pPr>
      <w:rPr>
        <w:rFonts w:hint="default"/>
        <w:lang w:val="en-US" w:eastAsia="en-US" w:bidi="ar-SA"/>
      </w:rPr>
    </w:lvl>
    <w:lvl w:ilvl="7" w:tplc="38A45D06">
      <w:numFmt w:val="bullet"/>
      <w:lvlText w:val="•"/>
      <w:lvlJc w:val="left"/>
      <w:pPr>
        <w:ind w:left="7586" w:hanging="461"/>
      </w:pPr>
      <w:rPr>
        <w:rFonts w:hint="default"/>
        <w:lang w:val="en-US" w:eastAsia="en-US" w:bidi="ar-SA"/>
      </w:rPr>
    </w:lvl>
    <w:lvl w:ilvl="8" w:tplc="1B8AFE8C">
      <w:numFmt w:val="bullet"/>
      <w:lvlText w:val="•"/>
      <w:lvlJc w:val="left"/>
      <w:pPr>
        <w:ind w:left="8564" w:hanging="461"/>
      </w:pPr>
      <w:rPr>
        <w:rFonts w:hint="default"/>
        <w:lang w:val="en-US" w:eastAsia="en-US" w:bidi="ar-SA"/>
      </w:rPr>
    </w:lvl>
  </w:abstractNum>
  <w:abstractNum w:abstractNumId="2" w15:restartNumberingAfterBreak="0">
    <w:nsid w:val="1C3E3534"/>
    <w:multiLevelType w:val="hybridMultilevel"/>
    <w:tmpl w:val="A7DC1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1C6D20"/>
    <w:multiLevelType w:val="multilevel"/>
    <w:tmpl w:val="4E28C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914DDF"/>
    <w:multiLevelType w:val="hybridMultilevel"/>
    <w:tmpl w:val="495A807A"/>
    <w:lvl w:ilvl="0" w:tplc="710690DE">
      <w:start w:val="1"/>
      <w:numFmt w:val="decimal"/>
      <w:lvlText w:val="%1."/>
      <w:lvlJc w:val="left"/>
      <w:pPr>
        <w:ind w:left="410" w:hanging="360"/>
      </w:pPr>
      <w:rPr>
        <w:rFonts w:ascii="Cambria" w:eastAsia="Cambria" w:hAnsi="Cambria" w:cs="Cambria" w:hint="default"/>
        <w:b w:val="0"/>
        <w:bCs w:val="0"/>
        <w:i w:val="0"/>
        <w:iCs w:val="0"/>
        <w:spacing w:val="-1"/>
        <w:w w:val="100"/>
        <w:sz w:val="18"/>
        <w:szCs w:val="18"/>
        <w:lang w:val="en-US" w:eastAsia="en-US" w:bidi="ar-SA"/>
      </w:rPr>
    </w:lvl>
    <w:lvl w:ilvl="1" w:tplc="404C262C">
      <w:numFmt w:val="bullet"/>
      <w:lvlText w:val="•"/>
      <w:lvlJc w:val="left"/>
      <w:pPr>
        <w:ind w:left="1430" w:hanging="360"/>
      </w:pPr>
      <w:rPr>
        <w:rFonts w:hint="default"/>
        <w:lang w:val="en-US" w:eastAsia="en-US" w:bidi="ar-SA"/>
      </w:rPr>
    </w:lvl>
    <w:lvl w:ilvl="2" w:tplc="AAD640AE">
      <w:numFmt w:val="bullet"/>
      <w:lvlText w:val="•"/>
      <w:lvlJc w:val="left"/>
      <w:pPr>
        <w:ind w:left="2440" w:hanging="360"/>
      </w:pPr>
      <w:rPr>
        <w:rFonts w:hint="default"/>
        <w:lang w:val="en-US" w:eastAsia="en-US" w:bidi="ar-SA"/>
      </w:rPr>
    </w:lvl>
    <w:lvl w:ilvl="3" w:tplc="DBC83090">
      <w:numFmt w:val="bullet"/>
      <w:lvlText w:val="•"/>
      <w:lvlJc w:val="left"/>
      <w:pPr>
        <w:ind w:left="3450" w:hanging="360"/>
      </w:pPr>
      <w:rPr>
        <w:rFonts w:hint="default"/>
        <w:lang w:val="en-US" w:eastAsia="en-US" w:bidi="ar-SA"/>
      </w:rPr>
    </w:lvl>
    <w:lvl w:ilvl="4" w:tplc="6482252A">
      <w:numFmt w:val="bullet"/>
      <w:lvlText w:val="•"/>
      <w:lvlJc w:val="left"/>
      <w:pPr>
        <w:ind w:left="4460" w:hanging="360"/>
      </w:pPr>
      <w:rPr>
        <w:rFonts w:hint="default"/>
        <w:lang w:val="en-US" w:eastAsia="en-US" w:bidi="ar-SA"/>
      </w:rPr>
    </w:lvl>
    <w:lvl w:ilvl="5" w:tplc="3DD6B2BE">
      <w:numFmt w:val="bullet"/>
      <w:lvlText w:val="•"/>
      <w:lvlJc w:val="left"/>
      <w:pPr>
        <w:ind w:left="5470" w:hanging="360"/>
      </w:pPr>
      <w:rPr>
        <w:rFonts w:hint="default"/>
        <w:lang w:val="en-US" w:eastAsia="en-US" w:bidi="ar-SA"/>
      </w:rPr>
    </w:lvl>
    <w:lvl w:ilvl="6" w:tplc="95B47EDE">
      <w:numFmt w:val="bullet"/>
      <w:lvlText w:val="•"/>
      <w:lvlJc w:val="left"/>
      <w:pPr>
        <w:ind w:left="6480" w:hanging="360"/>
      </w:pPr>
      <w:rPr>
        <w:rFonts w:hint="default"/>
        <w:lang w:val="en-US" w:eastAsia="en-US" w:bidi="ar-SA"/>
      </w:rPr>
    </w:lvl>
    <w:lvl w:ilvl="7" w:tplc="B02062D0">
      <w:numFmt w:val="bullet"/>
      <w:lvlText w:val="•"/>
      <w:lvlJc w:val="left"/>
      <w:pPr>
        <w:ind w:left="7490" w:hanging="360"/>
      </w:pPr>
      <w:rPr>
        <w:rFonts w:hint="default"/>
        <w:lang w:val="en-US" w:eastAsia="en-US" w:bidi="ar-SA"/>
      </w:rPr>
    </w:lvl>
    <w:lvl w:ilvl="8" w:tplc="5DD423CE">
      <w:numFmt w:val="bullet"/>
      <w:lvlText w:val="•"/>
      <w:lvlJc w:val="left"/>
      <w:pPr>
        <w:ind w:left="8500" w:hanging="360"/>
      </w:pPr>
      <w:rPr>
        <w:rFonts w:hint="default"/>
        <w:lang w:val="en-US" w:eastAsia="en-US" w:bidi="ar-SA"/>
      </w:rPr>
    </w:lvl>
  </w:abstractNum>
  <w:abstractNum w:abstractNumId="5" w15:restartNumberingAfterBreak="0">
    <w:nsid w:val="5DAB2B08"/>
    <w:multiLevelType w:val="multilevel"/>
    <w:tmpl w:val="3F002D3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CE6C41"/>
    <w:multiLevelType w:val="hybridMultilevel"/>
    <w:tmpl w:val="74F07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2B68A8"/>
    <w:multiLevelType w:val="multilevel"/>
    <w:tmpl w:val="5FF4A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C96095"/>
    <w:multiLevelType w:val="multilevel"/>
    <w:tmpl w:val="DEEA4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3"/>
  </w:num>
  <w:num w:numId="4">
    <w:abstractNumId w:val="7"/>
  </w:num>
  <w:num w:numId="5">
    <w:abstractNumId w:val="0"/>
  </w:num>
  <w:num w:numId="6">
    <w:abstractNumId w:val="6"/>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28E"/>
    <w:rsid w:val="00007657"/>
    <w:rsid w:val="0002474F"/>
    <w:rsid w:val="00034575"/>
    <w:rsid w:val="00056C16"/>
    <w:rsid w:val="00075727"/>
    <w:rsid w:val="000A17FE"/>
    <w:rsid w:val="000B4E8B"/>
    <w:rsid w:val="000B5165"/>
    <w:rsid w:val="000C18F6"/>
    <w:rsid w:val="000D049A"/>
    <w:rsid w:val="000F7EE2"/>
    <w:rsid w:val="001064A5"/>
    <w:rsid w:val="00133BBF"/>
    <w:rsid w:val="001436F2"/>
    <w:rsid w:val="00152E2A"/>
    <w:rsid w:val="0016673E"/>
    <w:rsid w:val="0018598A"/>
    <w:rsid w:val="001929D1"/>
    <w:rsid w:val="001A1EA2"/>
    <w:rsid w:val="001A4083"/>
    <w:rsid w:val="001B09A8"/>
    <w:rsid w:val="001B235F"/>
    <w:rsid w:val="001B5966"/>
    <w:rsid w:val="001B703F"/>
    <w:rsid w:val="001D6F5B"/>
    <w:rsid w:val="001F2E40"/>
    <w:rsid w:val="00221D6B"/>
    <w:rsid w:val="002274C8"/>
    <w:rsid w:val="002722BB"/>
    <w:rsid w:val="002E33A1"/>
    <w:rsid w:val="0030216A"/>
    <w:rsid w:val="0033345D"/>
    <w:rsid w:val="00353276"/>
    <w:rsid w:val="003713E8"/>
    <w:rsid w:val="00382E57"/>
    <w:rsid w:val="003A7332"/>
    <w:rsid w:val="003B001F"/>
    <w:rsid w:val="003B4CF4"/>
    <w:rsid w:val="003D6F44"/>
    <w:rsid w:val="0040164F"/>
    <w:rsid w:val="00407FAD"/>
    <w:rsid w:val="00411705"/>
    <w:rsid w:val="00432B14"/>
    <w:rsid w:val="00452272"/>
    <w:rsid w:val="00460665"/>
    <w:rsid w:val="004810C3"/>
    <w:rsid w:val="004E1C90"/>
    <w:rsid w:val="004E3318"/>
    <w:rsid w:val="004F4CF0"/>
    <w:rsid w:val="00506465"/>
    <w:rsid w:val="00520664"/>
    <w:rsid w:val="00530197"/>
    <w:rsid w:val="005405BE"/>
    <w:rsid w:val="00542EA5"/>
    <w:rsid w:val="0055671B"/>
    <w:rsid w:val="00557932"/>
    <w:rsid w:val="00557F29"/>
    <w:rsid w:val="0056417A"/>
    <w:rsid w:val="00594C1E"/>
    <w:rsid w:val="005C25A1"/>
    <w:rsid w:val="005C478E"/>
    <w:rsid w:val="005D78C1"/>
    <w:rsid w:val="005E50F4"/>
    <w:rsid w:val="005E7AB1"/>
    <w:rsid w:val="00611DC6"/>
    <w:rsid w:val="00614EE9"/>
    <w:rsid w:val="006223E6"/>
    <w:rsid w:val="00640CF0"/>
    <w:rsid w:val="0064766D"/>
    <w:rsid w:val="006550B7"/>
    <w:rsid w:val="00661C94"/>
    <w:rsid w:val="0068420C"/>
    <w:rsid w:val="00692A46"/>
    <w:rsid w:val="006C49F0"/>
    <w:rsid w:val="006D2670"/>
    <w:rsid w:val="006E54DC"/>
    <w:rsid w:val="00734069"/>
    <w:rsid w:val="00734EC0"/>
    <w:rsid w:val="00742AF9"/>
    <w:rsid w:val="00747F6C"/>
    <w:rsid w:val="00770C7C"/>
    <w:rsid w:val="007839B7"/>
    <w:rsid w:val="00790C90"/>
    <w:rsid w:val="00793C9A"/>
    <w:rsid w:val="007B3A24"/>
    <w:rsid w:val="007B4CBE"/>
    <w:rsid w:val="007C6290"/>
    <w:rsid w:val="007D0901"/>
    <w:rsid w:val="007F7857"/>
    <w:rsid w:val="00814347"/>
    <w:rsid w:val="008163B6"/>
    <w:rsid w:val="008222E7"/>
    <w:rsid w:val="0083275C"/>
    <w:rsid w:val="008536E5"/>
    <w:rsid w:val="00877D41"/>
    <w:rsid w:val="0088528E"/>
    <w:rsid w:val="00886E24"/>
    <w:rsid w:val="008C4C8D"/>
    <w:rsid w:val="008F7197"/>
    <w:rsid w:val="00912C91"/>
    <w:rsid w:val="009206A2"/>
    <w:rsid w:val="00946F14"/>
    <w:rsid w:val="0096543E"/>
    <w:rsid w:val="00966C86"/>
    <w:rsid w:val="00976BEC"/>
    <w:rsid w:val="009A2291"/>
    <w:rsid w:val="009A2342"/>
    <w:rsid w:val="009A4C0B"/>
    <w:rsid w:val="009C095A"/>
    <w:rsid w:val="009C6DAE"/>
    <w:rsid w:val="009F0722"/>
    <w:rsid w:val="00A0330C"/>
    <w:rsid w:val="00A03864"/>
    <w:rsid w:val="00A42F83"/>
    <w:rsid w:val="00A53193"/>
    <w:rsid w:val="00A61BDE"/>
    <w:rsid w:val="00A7405C"/>
    <w:rsid w:val="00A955A1"/>
    <w:rsid w:val="00AB34A8"/>
    <w:rsid w:val="00AC7D3E"/>
    <w:rsid w:val="00AD0320"/>
    <w:rsid w:val="00AE7104"/>
    <w:rsid w:val="00B01EF8"/>
    <w:rsid w:val="00B6592C"/>
    <w:rsid w:val="00B9364E"/>
    <w:rsid w:val="00B96CCB"/>
    <w:rsid w:val="00BA22B6"/>
    <w:rsid w:val="00BB3D33"/>
    <w:rsid w:val="00BC04CD"/>
    <w:rsid w:val="00BC744B"/>
    <w:rsid w:val="00BD6FC3"/>
    <w:rsid w:val="00C042E8"/>
    <w:rsid w:val="00C16BD2"/>
    <w:rsid w:val="00C60C8C"/>
    <w:rsid w:val="00C62785"/>
    <w:rsid w:val="00C641B4"/>
    <w:rsid w:val="00C75064"/>
    <w:rsid w:val="00C97239"/>
    <w:rsid w:val="00CA7F52"/>
    <w:rsid w:val="00CB6D98"/>
    <w:rsid w:val="00CC0C1F"/>
    <w:rsid w:val="00CC21F1"/>
    <w:rsid w:val="00CD14F4"/>
    <w:rsid w:val="00D00CA7"/>
    <w:rsid w:val="00D0261B"/>
    <w:rsid w:val="00D05720"/>
    <w:rsid w:val="00D11F76"/>
    <w:rsid w:val="00D22A86"/>
    <w:rsid w:val="00D3794F"/>
    <w:rsid w:val="00D46E86"/>
    <w:rsid w:val="00D517CA"/>
    <w:rsid w:val="00D6064B"/>
    <w:rsid w:val="00D64E49"/>
    <w:rsid w:val="00D6552F"/>
    <w:rsid w:val="00D94A5F"/>
    <w:rsid w:val="00D94C0D"/>
    <w:rsid w:val="00DA1B45"/>
    <w:rsid w:val="00DA79C4"/>
    <w:rsid w:val="00DB10EF"/>
    <w:rsid w:val="00DC3A00"/>
    <w:rsid w:val="00DD4187"/>
    <w:rsid w:val="00DE1FCD"/>
    <w:rsid w:val="00DF6BC1"/>
    <w:rsid w:val="00DF71F9"/>
    <w:rsid w:val="00DF7AF7"/>
    <w:rsid w:val="00E25B7B"/>
    <w:rsid w:val="00E52D9E"/>
    <w:rsid w:val="00E656E3"/>
    <w:rsid w:val="00E7315B"/>
    <w:rsid w:val="00EC5B65"/>
    <w:rsid w:val="00EC783D"/>
    <w:rsid w:val="00ED5C55"/>
    <w:rsid w:val="00F10874"/>
    <w:rsid w:val="00F15070"/>
    <w:rsid w:val="00F74CB6"/>
    <w:rsid w:val="00F82D45"/>
    <w:rsid w:val="00F83C48"/>
    <w:rsid w:val="00F8617F"/>
    <w:rsid w:val="00F86AB0"/>
    <w:rsid w:val="00F9011A"/>
    <w:rsid w:val="00FA1B2E"/>
    <w:rsid w:val="00FB5B56"/>
    <w:rsid w:val="00FF7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6CE74F"/>
  <w15:docId w15:val="{DA1312EE-B845-44DC-A21A-F3DD3B797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50"/>
      <w:outlineLvl w:val="0"/>
    </w:pPr>
    <w:rPr>
      <w:b/>
      <w:bCs/>
      <w:sz w:val="20"/>
      <w:szCs w:val="20"/>
    </w:rPr>
  </w:style>
  <w:style w:type="paragraph" w:styleId="Heading2">
    <w:name w:val="heading 2"/>
    <w:basedOn w:val="Normal"/>
    <w:link w:val="Heading2Char"/>
    <w:uiPriority w:val="9"/>
    <w:unhideWhenUsed/>
    <w:qFormat/>
    <w:pPr>
      <w:ind w:left="20"/>
      <w:outlineLvl w:val="1"/>
    </w:pPr>
    <w:rPr>
      <w:b/>
      <w:bCs/>
      <w:sz w:val="18"/>
      <w:szCs w:val="18"/>
    </w:rPr>
  </w:style>
  <w:style w:type="paragraph" w:styleId="Heading3">
    <w:name w:val="heading 3"/>
    <w:basedOn w:val="Normal"/>
    <w:next w:val="Normal"/>
    <w:link w:val="Heading3Char"/>
    <w:uiPriority w:val="9"/>
    <w:semiHidden/>
    <w:unhideWhenUsed/>
    <w:qFormat/>
    <w:rsid w:val="00D94A5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536E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ind w:hanging="293"/>
    </w:pPr>
    <w:rPr>
      <w:b/>
      <w:bCs/>
      <w:sz w:val="28"/>
      <w:szCs w:val="28"/>
    </w:rPr>
  </w:style>
  <w:style w:type="paragraph" w:styleId="ListParagraph">
    <w:name w:val="List Paragraph"/>
    <w:basedOn w:val="Normal"/>
    <w:uiPriority w:val="1"/>
    <w:qFormat/>
    <w:pPr>
      <w:spacing w:before="200"/>
      <w:ind w:left="410" w:right="47" w:hanging="360"/>
    </w:pPr>
  </w:style>
  <w:style w:type="paragraph" w:customStyle="1" w:styleId="TableParagraph">
    <w:name w:val="Table Paragraph"/>
    <w:basedOn w:val="Normal"/>
    <w:uiPriority w:val="1"/>
    <w:qFormat/>
    <w:pPr>
      <w:spacing w:before="46"/>
      <w:ind w:left="6"/>
      <w:jc w:val="center"/>
    </w:pPr>
  </w:style>
  <w:style w:type="paragraph" w:styleId="Header">
    <w:name w:val="header"/>
    <w:basedOn w:val="Normal"/>
    <w:link w:val="HeaderChar"/>
    <w:uiPriority w:val="99"/>
    <w:unhideWhenUsed/>
    <w:rsid w:val="00FA1B2E"/>
    <w:pPr>
      <w:tabs>
        <w:tab w:val="center" w:pos="4680"/>
        <w:tab w:val="right" w:pos="9360"/>
      </w:tabs>
    </w:pPr>
  </w:style>
  <w:style w:type="character" w:customStyle="1" w:styleId="HeaderChar">
    <w:name w:val="Header Char"/>
    <w:basedOn w:val="DefaultParagraphFont"/>
    <w:link w:val="Header"/>
    <w:uiPriority w:val="99"/>
    <w:rsid w:val="00FA1B2E"/>
    <w:rPr>
      <w:rFonts w:ascii="Cambria" w:eastAsia="Cambria" w:hAnsi="Cambria" w:cs="Cambria"/>
    </w:rPr>
  </w:style>
  <w:style w:type="paragraph" w:styleId="Footer">
    <w:name w:val="footer"/>
    <w:basedOn w:val="Normal"/>
    <w:link w:val="FooterChar"/>
    <w:uiPriority w:val="99"/>
    <w:unhideWhenUsed/>
    <w:rsid w:val="00FA1B2E"/>
    <w:pPr>
      <w:tabs>
        <w:tab w:val="center" w:pos="4680"/>
        <w:tab w:val="right" w:pos="9360"/>
      </w:tabs>
    </w:pPr>
  </w:style>
  <w:style w:type="character" w:customStyle="1" w:styleId="FooterChar">
    <w:name w:val="Footer Char"/>
    <w:basedOn w:val="DefaultParagraphFont"/>
    <w:link w:val="Footer"/>
    <w:uiPriority w:val="99"/>
    <w:rsid w:val="00FA1B2E"/>
    <w:rPr>
      <w:rFonts w:ascii="Cambria" w:eastAsia="Cambria" w:hAnsi="Cambria" w:cs="Cambria"/>
    </w:rPr>
  </w:style>
  <w:style w:type="paragraph" w:styleId="NormalWeb">
    <w:name w:val="Normal (Web)"/>
    <w:basedOn w:val="Normal"/>
    <w:uiPriority w:val="99"/>
    <w:unhideWhenUsed/>
    <w:rsid w:val="0033345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3345D"/>
    <w:rPr>
      <w:b/>
      <w:bCs/>
    </w:rPr>
  </w:style>
  <w:style w:type="character" w:styleId="Emphasis">
    <w:name w:val="Emphasis"/>
    <w:basedOn w:val="DefaultParagraphFont"/>
    <w:uiPriority w:val="20"/>
    <w:qFormat/>
    <w:rsid w:val="0033345D"/>
    <w:rPr>
      <w:i/>
      <w:iCs/>
    </w:rPr>
  </w:style>
  <w:style w:type="character" w:customStyle="1" w:styleId="relative">
    <w:name w:val="relative"/>
    <w:basedOn w:val="DefaultParagraphFont"/>
    <w:rsid w:val="00611DC6"/>
  </w:style>
  <w:style w:type="character" w:customStyle="1" w:styleId="ms-1">
    <w:name w:val="ms-1"/>
    <w:basedOn w:val="DefaultParagraphFont"/>
    <w:rsid w:val="00611DC6"/>
  </w:style>
  <w:style w:type="character" w:customStyle="1" w:styleId="max-w-full">
    <w:name w:val="max-w-full"/>
    <w:basedOn w:val="DefaultParagraphFont"/>
    <w:rsid w:val="00611DC6"/>
  </w:style>
  <w:style w:type="character" w:customStyle="1" w:styleId="-me-1">
    <w:name w:val="-me-1"/>
    <w:basedOn w:val="DefaultParagraphFont"/>
    <w:rsid w:val="00611DC6"/>
  </w:style>
  <w:style w:type="character" w:customStyle="1" w:styleId="Heading3Char">
    <w:name w:val="Heading 3 Char"/>
    <w:basedOn w:val="DefaultParagraphFont"/>
    <w:link w:val="Heading3"/>
    <w:uiPriority w:val="9"/>
    <w:semiHidden/>
    <w:rsid w:val="00D94A5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8536E5"/>
    <w:rPr>
      <w:rFonts w:asciiTheme="majorHAnsi" w:eastAsiaTheme="majorEastAsia" w:hAnsiTheme="majorHAnsi" w:cstheme="majorBidi"/>
      <w:i/>
      <w:iCs/>
      <w:color w:val="365F91" w:themeColor="accent1" w:themeShade="BF"/>
    </w:rPr>
  </w:style>
  <w:style w:type="character" w:customStyle="1" w:styleId="sr-only">
    <w:name w:val="sr-only"/>
    <w:basedOn w:val="DefaultParagraphFont"/>
    <w:rsid w:val="008536E5"/>
  </w:style>
  <w:style w:type="character" w:styleId="Hyperlink">
    <w:name w:val="Hyperlink"/>
    <w:basedOn w:val="DefaultParagraphFont"/>
    <w:uiPriority w:val="99"/>
    <w:unhideWhenUsed/>
    <w:rsid w:val="00F10874"/>
    <w:rPr>
      <w:color w:val="0000FF" w:themeColor="hyperlink"/>
      <w:u w:val="single"/>
    </w:rPr>
  </w:style>
  <w:style w:type="character" w:customStyle="1" w:styleId="Heading2Char">
    <w:name w:val="Heading 2 Char"/>
    <w:basedOn w:val="DefaultParagraphFont"/>
    <w:link w:val="Heading2"/>
    <w:uiPriority w:val="9"/>
    <w:rsid w:val="00A7405C"/>
    <w:rPr>
      <w:rFonts w:ascii="Cambria" w:eastAsia="Cambria" w:hAnsi="Cambria" w:cs="Cambria"/>
      <w:b/>
      <w:bCs/>
      <w:sz w:val="18"/>
      <w:szCs w:val="18"/>
    </w:rPr>
  </w:style>
  <w:style w:type="character" w:customStyle="1" w:styleId="value">
    <w:name w:val="value"/>
    <w:basedOn w:val="DefaultParagraphFont"/>
    <w:rsid w:val="00A74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19">
      <w:bodyDiv w:val="1"/>
      <w:marLeft w:val="0"/>
      <w:marRight w:val="0"/>
      <w:marTop w:val="0"/>
      <w:marBottom w:val="0"/>
      <w:divBdr>
        <w:top w:val="none" w:sz="0" w:space="0" w:color="auto"/>
        <w:left w:val="none" w:sz="0" w:space="0" w:color="auto"/>
        <w:bottom w:val="none" w:sz="0" w:space="0" w:color="auto"/>
        <w:right w:val="none" w:sz="0" w:space="0" w:color="auto"/>
      </w:divBdr>
    </w:div>
    <w:div w:id="181475867">
      <w:bodyDiv w:val="1"/>
      <w:marLeft w:val="0"/>
      <w:marRight w:val="0"/>
      <w:marTop w:val="0"/>
      <w:marBottom w:val="0"/>
      <w:divBdr>
        <w:top w:val="none" w:sz="0" w:space="0" w:color="auto"/>
        <w:left w:val="none" w:sz="0" w:space="0" w:color="auto"/>
        <w:bottom w:val="none" w:sz="0" w:space="0" w:color="auto"/>
        <w:right w:val="none" w:sz="0" w:space="0" w:color="auto"/>
      </w:divBdr>
    </w:div>
    <w:div w:id="248513241">
      <w:bodyDiv w:val="1"/>
      <w:marLeft w:val="0"/>
      <w:marRight w:val="0"/>
      <w:marTop w:val="0"/>
      <w:marBottom w:val="0"/>
      <w:divBdr>
        <w:top w:val="none" w:sz="0" w:space="0" w:color="auto"/>
        <w:left w:val="none" w:sz="0" w:space="0" w:color="auto"/>
        <w:bottom w:val="none" w:sz="0" w:space="0" w:color="auto"/>
        <w:right w:val="none" w:sz="0" w:space="0" w:color="auto"/>
      </w:divBdr>
    </w:div>
    <w:div w:id="378209544">
      <w:bodyDiv w:val="1"/>
      <w:marLeft w:val="0"/>
      <w:marRight w:val="0"/>
      <w:marTop w:val="0"/>
      <w:marBottom w:val="0"/>
      <w:divBdr>
        <w:top w:val="none" w:sz="0" w:space="0" w:color="auto"/>
        <w:left w:val="none" w:sz="0" w:space="0" w:color="auto"/>
        <w:bottom w:val="none" w:sz="0" w:space="0" w:color="auto"/>
        <w:right w:val="none" w:sz="0" w:space="0" w:color="auto"/>
      </w:divBdr>
    </w:div>
    <w:div w:id="398745289">
      <w:bodyDiv w:val="1"/>
      <w:marLeft w:val="0"/>
      <w:marRight w:val="0"/>
      <w:marTop w:val="0"/>
      <w:marBottom w:val="0"/>
      <w:divBdr>
        <w:top w:val="none" w:sz="0" w:space="0" w:color="auto"/>
        <w:left w:val="none" w:sz="0" w:space="0" w:color="auto"/>
        <w:bottom w:val="none" w:sz="0" w:space="0" w:color="auto"/>
        <w:right w:val="none" w:sz="0" w:space="0" w:color="auto"/>
      </w:divBdr>
    </w:div>
    <w:div w:id="450900803">
      <w:bodyDiv w:val="1"/>
      <w:marLeft w:val="0"/>
      <w:marRight w:val="0"/>
      <w:marTop w:val="0"/>
      <w:marBottom w:val="0"/>
      <w:divBdr>
        <w:top w:val="none" w:sz="0" w:space="0" w:color="auto"/>
        <w:left w:val="none" w:sz="0" w:space="0" w:color="auto"/>
        <w:bottom w:val="none" w:sz="0" w:space="0" w:color="auto"/>
        <w:right w:val="none" w:sz="0" w:space="0" w:color="auto"/>
      </w:divBdr>
    </w:div>
    <w:div w:id="728919383">
      <w:bodyDiv w:val="1"/>
      <w:marLeft w:val="0"/>
      <w:marRight w:val="0"/>
      <w:marTop w:val="0"/>
      <w:marBottom w:val="0"/>
      <w:divBdr>
        <w:top w:val="none" w:sz="0" w:space="0" w:color="auto"/>
        <w:left w:val="none" w:sz="0" w:space="0" w:color="auto"/>
        <w:bottom w:val="none" w:sz="0" w:space="0" w:color="auto"/>
        <w:right w:val="none" w:sz="0" w:space="0" w:color="auto"/>
      </w:divBdr>
      <w:divsChild>
        <w:div w:id="1182939711">
          <w:marLeft w:val="0"/>
          <w:marRight w:val="0"/>
          <w:marTop w:val="0"/>
          <w:marBottom w:val="0"/>
          <w:divBdr>
            <w:top w:val="none" w:sz="0" w:space="0" w:color="auto"/>
            <w:left w:val="none" w:sz="0" w:space="0" w:color="auto"/>
            <w:bottom w:val="none" w:sz="0" w:space="0" w:color="auto"/>
            <w:right w:val="none" w:sz="0" w:space="0" w:color="auto"/>
          </w:divBdr>
          <w:divsChild>
            <w:div w:id="838929884">
              <w:marLeft w:val="0"/>
              <w:marRight w:val="0"/>
              <w:marTop w:val="0"/>
              <w:marBottom w:val="0"/>
              <w:divBdr>
                <w:top w:val="none" w:sz="0" w:space="0" w:color="auto"/>
                <w:left w:val="none" w:sz="0" w:space="0" w:color="auto"/>
                <w:bottom w:val="none" w:sz="0" w:space="0" w:color="auto"/>
                <w:right w:val="none" w:sz="0" w:space="0" w:color="auto"/>
              </w:divBdr>
              <w:divsChild>
                <w:div w:id="1039357302">
                  <w:marLeft w:val="0"/>
                  <w:marRight w:val="0"/>
                  <w:marTop w:val="0"/>
                  <w:marBottom w:val="0"/>
                  <w:divBdr>
                    <w:top w:val="none" w:sz="0" w:space="0" w:color="auto"/>
                    <w:left w:val="none" w:sz="0" w:space="0" w:color="auto"/>
                    <w:bottom w:val="none" w:sz="0" w:space="0" w:color="auto"/>
                    <w:right w:val="none" w:sz="0" w:space="0" w:color="auto"/>
                  </w:divBdr>
                  <w:divsChild>
                    <w:div w:id="181675790">
                      <w:marLeft w:val="0"/>
                      <w:marRight w:val="0"/>
                      <w:marTop w:val="0"/>
                      <w:marBottom w:val="0"/>
                      <w:divBdr>
                        <w:top w:val="none" w:sz="0" w:space="0" w:color="auto"/>
                        <w:left w:val="none" w:sz="0" w:space="0" w:color="auto"/>
                        <w:bottom w:val="none" w:sz="0" w:space="0" w:color="auto"/>
                        <w:right w:val="none" w:sz="0" w:space="0" w:color="auto"/>
                      </w:divBdr>
                      <w:divsChild>
                        <w:div w:id="1116680029">
                          <w:marLeft w:val="0"/>
                          <w:marRight w:val="0"/>
                          <w:marTop w:val="0"/>
                          <w:marBottom w:val="0"/>
                          <w:divBdr>
                            <w:top w:val="none" w:sz="0" w:space="0" w:color="auto"/>
                            <w:left w:val="none" w:sz="0" w:space="0" w:color="auto"/>
                            <w:bottom w:val="none" w:sz="0" w:space="0" w:color="auto"/>
                            <w:right w:val="none" w:sz="0" w:space="0" w:color="auto"/>
                          </w:divBdr>
                          <w:divsChild>
                            <w:div w:id="1969317460">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71716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16460">
                      <w:marLeft w:val="0"/>
                      <w:marRight w:val="0"/>
                      <w:marTop w:val="0"/>
                      <w:marBottom w:val="0"/>
                      <w:divBdr>
                        <w:top w:val="none" w:sz="0" w:space="0" w:color="auto"/>
                        <w:left w:val="none" w:sz="0" w:space="0" w:color="auto"/>
                        <w:bottom w:val="none" w:sz="0" w:space="0" w:color="auto"/>
                        <w:right w:val="none" w:sz="0" w:space="0" w:color="auto"/>
                      </w:divBdr>
                      <w:divsChild>
                        <w:div w:id="120482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505411">
      <w:bodyDiv w:val="1"/>
      <w:marLeft w:val="0"/>
      <w:marRight w:val="0"/>
      <w:marTop w:val="0"/>
      <w:marBottom w:val="0"/>
      <w:divBdr>
        <w:top w:val="none" w:sz="0" w:space="0" w:color="auto"/>
        <w:left w:val="none" w:sz="0" w:space="0" w:color="auto"/>
        <w:bottom w:val="none" w:sz="0" w:space="0" w:color="auto"/>
        <w:right w:val="none" w:sz="0" w:space="0" w:color="auto"/>
      </w:divBdr>
    </w:div>
    <w:div w:id="913125399">
      <w:bodyDiv w:val="1"/>
      <w:marLeft w:val="0"/>
      <w:marRight w:val="0"/>
      <w:marTop w:val="0"/>
      <w:marBottom w:val="0"/>
      <w:divBdr>
        <w:top w:val="none" w:sz="0" w:space="0" w:color="auto"/>
        <w:left w:val="none" w:sz="0" w:space="0" w:color="auto"/>
        <w:bottom w:val="none" w:sz="0" w:space="0" w:color="auto"/>
        <w:right w:val="none" w:sz="0" w:space="0" w:color="auto"/>
      </w:divBdr>
    </w:div>
    <w:div w:id="953899522">
      <w:bodyDiv w:val="1"/>
      <w:marLeft w:val="0"/>
      <w:marRight w:val="0"/>
      <w:marTop w:val="0"/>
      <w:marBottom w:val="0"/>
      <w:divBdr>
        <w:top w:val="none" w:sz="0" w:space="0" w:color="auto"/>
        <w:left w:val="none" w:sz="0" w:space="0" w:color="auto"/>
        <w:bottom w:val="none" w:sz="0" w:space="0" w:color="auto"/>
        <w:right w:val="none" w:sz="0" w:space="0" w:color="auto"/>
      </w:divBdr>
    </w:div>
    <w:div w:id="1002464099">
      <w:bodyDiv w:val="1"/>
      <w:marLeft w:val="0"/>
      <w:marRight w:val="0"/>
      <w:marTop w:val="0"/>
      <w:marBottom w:val="0"/>
      <w:divBdr>
        <w:top w:val="none" w:sz="0" w:space="0" w:color="auto"/>
        <w:left w:val="none" w:sz="0" w:space="0" w:color="auto"/>
        <w:bottom w:val="none" w:sz="0" w:space="0" w:color="auto"/>
        <w:right w:val="none" w:sz="0" w:space="0" w:color="auto"/>
      </w:divBdr>
    </w:div>
    <w:div w:id="1077048966">
      <w:bodyDiv w:val="1"/>
      <w:marLeft w:val="0"/>
      <w:marRight w:val="0"/>
      <w:marTop w:val="0"/>
      <w:marBottom w:val="0"/>
      <w:divBdr>
        <w:top w:val="none" w:sz="0" w:space="0" w:color="auto"/>
        <w:left w:val="none" w:sz="0" w:space="0" w:color="auto"/>
        <w:bottom w:val="none" w:sz="0" w:space="0" w:color="auto"/>
        <w:right w:val="none" w:sz="0" w:space="0" w:color="auto"/>
      </w:divBdr>
    </w:div>
    <w:div w:id="1368212131">
      <w:bodyDiv w:val="1"/>
      <w:marLeft w:val="0"/>
      <w:marRight w:val="0"/>
      <w:marTop w:val="0"/>
      <w:marBottom w:val="0"/>
      <w:divBdr>
        <w:top w:val="none" w:sz="0" w:space="0" w:color="auto"/>
        <w:left w:val="none" w:sz="0" w:space="0" w:color="auto"/>
        <w:bottom w:val="none" w:sz="0" w:space="0" w:color="auto"/>
        <w:right w:val="none" w:sz="0" w:space="0" w:color="auto"/>
      </w:divBdr>
    </w:div>
    <w:div w:id="1462073612">
      <w:bodyDiv w:val="1"/>
      <w:marLeft w:val="0"/>
      <w:marRight w:val="0"/>
      <w:marTop w:val="0"/>
      <w:marBottom w:val="0"/>
      <w:divBdr>
        <w:top w:val="none" w:sz="0" w:space="0" w:color="auto"/>
        <w:left w:val="none" w:sz="0" w:space="0" w:color="auto"/>
        <w:bottom w:val="none" w:sz="0" w:space="0" w:color="auto"/>
        <w:right w:val="none" w:sz="0" w:space="0" w:color="auto"/>
      </w:divBdr>
    </w:div>
    <w:div w:id="1599212299">
      <w:bodyDiv w:val="1"/>
      <w:marLeft w:val="0"/>
      <w:marRight w:val="0"/>
      <w:marTop w:val="0"/>
      <w:marBottom w:val="0"/>
      <w:divBdr>
        <w:top w:val="none" w:sz="0" w:space="0" w:color="auto"/>
        <w:left w:val="none" w:sz="0" w:space="0" w:color="auto"/>
        <w:bottom w:val="none" w:sz="0" w:space="0" w:color="auto"/>
        <w:right w:val="none" w:sz="0" w:space="0" w:color="auto"/>
      </w:divBdr>
    </w:div>
    <w:div w:id="1719938410">
      <w:bodyDiv w:val="1"/>
      <w:marLeft w:val="0"/>
      <w:marRight w:val="0"/>
      <w:marTop w:val="0"/>
      <w:marBottom w:val="0"/>
      <w:divBdr>
        <w:top w:val="none" w:sz="0" w:space="0" w:color="auto"/>
        <w:left w:val="none" w:sz="0" w:space="0" w:color="auto"/>
        <w:bottom w:val="none" w:sz="0" w:space="0" w:color="auto"/>
        <w:right w:val="none" w:sz="0" w:space="0" w:color="auto"/>
      </w:divBdr>
    </w:div>
    <w:div w:id="1959753369">
      <w:bodyDiv w:val="1"/>
      <w:marLeft w:val="0"/>
      <w:marRight w:val="0"/>
      <w:marTop w:val="0"/>
      <w:marBottom w:val="0"/>
      <w:divBdr>
        <w:top w:val="none" w:sz="0" w:space="0" w:color="auto"/>
        <w:left w:val="none" w:sz="0" w:space="0" w:color="auto"/>
        <w:bottom w:val="none" w:sz="0" w:space="0" w:color="auto"/>
        <w:right w:val="none" w:sz="0" w:space="0" w:color="auto"/>
      </w:divBdr>
    </w:div>
    <w:div w:id="2001031450">
      <w:bodyDiv w:val="1"/>
      <w:marLeft w:val="0"/>
      <w:marRight w:val="0"/>
      <w:marTop w:val="0"/>
      <w:marBottom w:val="0"/>
      <w:divBdr>
        <w:top w:val="none" w:sz="0" w:space="0" w:color="auto"/>
        <w:left w:val="none" w:sz="0" w:space="0" w:color="auto"/>
        <w:bottom w:val="none" w:sz="0" w:space="0" w:color="auto"/>
        <w:right w:val="none" w:sz="0" w:space="0" w:color="auto"/>
      </w:divBdr>
    </w:div>
    <w:div w:id="21248853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8203/2320-1770.ijrcog2025195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DE0F9-96BA-4E02-AD78-AE0B45FBA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3252</TotalTime>
  <Pages>23</Pages>
  <Words>4473</Words>
  <Characters>25500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1180</cp:lastModifiedBy>
  <cp:revision>25</cp:revision>
  <dcterms:created xsi:type="dcterms:W3CDTF">2025-07-15T12:04:00Z</dcterms:created>
  <dcterms:modified xsi:type="dcterms:W3CDTF">2025-07-21T08:24:00Z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2018-10-01T00:00:00Z</vt:filetime>
  </property>
  <property fmtid="{D5CDD505-2E9C-101B-9397-08002B2CF9AE}" pid="3" name="Creator">
    <vt:lpwstr>Adobe InDesign CC 13.1 (Windows)</vt:lpwstr>
  </property>
  <property fmtid="{D5CDD505-2E9C-101B-9397-08002B2CF9AE}" pid="4" name="LastSaved">
    <vt:filetime>2025-06-08T00:00:00Z</vt:filetime>
  </property>
  <property fmtid="{D5CDD505-2E9C-101B-9397-08002B2CF9AE}" pid="5" name="Producer">
    <vt:lpwstr>Adobe PDF Library 15.0</vt:lpwstr>
  </property>
</Properties>
</file>