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47C137" w14:textId="77777777" w:rsidR="00681AEA" w:rsidRPr="0085730F" w:rsidRDefault="00681AEA">
      <w:pPr>
        <w:pStyle w:val="Title"/>
        <w:spacing w:after="0"/>
        <w:jc w:val="both"/>
        <w:rPr>
          <w:rFonts w:ascii="Arial" w:hAnsi="Arial" w:cs="Arial"/>
        </w:rPr>
      </w:pPr>
    </w:p>
    <w:p w14:paraId="36CC1846" w14:textId="77777777" w:rsidR="00681AEA" w:rsidRPr="0085730F" w:rsidRDefault="00613667">
      <w:pPr>
        <w:pStyle w:val="Author"/>
        <w:spacing w:line="240" w:lineRule="auto"/>
        <w:jc w:val="both"/>
        <w:rPr>
          <w:rFonts w:ascii="Arial" w:hAnsi="Arial" w:cs="Arial"/>
          <w:bCs/>
          <w:sz w:val="36"/>
          <w:szCs w:val="36"/>
          <w:lang w:val="en-GB"/>
        </w:rPr>
      </w:pPr>
      <w:r w:rsidRPr="0085730F">
        <w:rPr>
          <w:rFonts w:ascii="Arial" w:hAnsi="Arial" w:cs="Arial"/>
          <w:bCs/>
          <w:sz w:val="36"/>
          <w:szCs w:val="36"/>
          <w:lang w:val="en-GB"/>
        </w:rPr>
        <w:t>Polyvinyl chloride exposure induces Liver injury: A biochemical and histological evaluation</w:t>
      </w:r>
    </w:p>
    <w:p w14:paraId="26725955" w14:textId="77777777" w:rsidR="00876636" w:rsidRPr="0085730F" w:rsidRDefault="00876636">
      <w:pPr>
        <w:pStyle w:val="Author"/>
        <w:spacing w:line="240" w:lineRule="auto"/>
        <w:jc w:val="both"/>
        <w:rPr>
          <w:rFonts w:ascii="Arial" w:hAnsi="Arial" w:cs="Arial"/>
          <w:sz w:val="36"/>
        </w:rPr>
      </w:pPr>
    </w:p>
    <w:p w14:paraId="07BD9712" w14:textId="7D18F7D2" w:rsidR="00681AEA" w:rsidRPr="0085730F" w:rsidRDefault="00583B94">
      <w:pPr>
        <w:pStyle w:val="Copyright"/>
        <w:spacing w:after="0" w:line="240" w:lineRule="auto"/>
        <w:jc w:val="both"/>
        <w:rPr>
          <w:rFonts w:ascii="Arial" w:hAnsi="Arial" w:cs="Arial"/>
        </w:rPr>
        <w:sectPr w:rsidR="00681AEA" w:rsidRPr="0085730F" w:rsidSect="001E1384">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sidRPr="0085730F">
        <w:rPr>
          <w:rFonts w:ascii="Arial" w:hAnsi="Arial" w:cs="Arial"/>
          <w:noProof/>
        </w:rPr>
        <mc:AlternateContent>
          <mc:Choice Requires="wps">
            <w:drawing>
              <wp:inline distT="0" distB="0" distL="0" distR="0" wp14:anchorId="16FD077B" wp14:editId="432EFFD2">
                <wp:extent cx="5303520" cy="635"/>
                <wp:effectExtent l="15240" t="17780" r="15240" b="10795"/>
                <wp:docPr id="187413507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B4271B7" id="_x0000_t32" coordsize="21600,21600" o:spt="32" o:oned="t" path="m,l21600,21600e" filled="f">
                <v:path arrowok="t" fillok="f" o:connecttype="none"/>
                <o:lock v:ext="edit" shapetype="t"/>
              </v:shapetype>
              <v:shape id="AutoShape 2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Pr="0085730F">
        <w:rPr>
          <w:rFonts w:ascii="Arial" w:hAnsi="Arial" w:cs="Arial"/>
        </w:rPr>
        <w:t>.</w:t>
      </w:r>
    </w:p>
    <w:p w14:paraId="0F594E35" w14:textId="77777777" w:rsidR="00681AEA" w:rsidRPr="0085730F" w:rsidRDefault="00613667">
      <w:pPr>
        <w:pStyle w:val="AbstHead"/>
        <w:spacing w:after="0"/>
        <w:jc w:val="both"/>
        <w:rPr>
          <w:rFonts w:ascii="Arial" w:hAnsi="Arial" w:cs="Arial"/>
        </w:rPr>
      </w:pPr>
      <w:r w:rsidRPr="0085730F">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85730F" w:rsidRPr="0085730F" w14:paraId="08087F23" w14:textId="77777777">
        <w:tc>
          <w:tcPr>
            <w:tcW w:w="9576" w:type="dxa"/>
            <w:shd w:val="clear" w:color="auto" w:fill="F2F2F2"/>
          </w:tcPr>
          <w:p w14:paraId="7019F15C" w14:textId="77777777" w:rsidR="00681AEA" w:rsidRPr="0085730F" w:rsidRDefault="00613667">
            <w:pPr>
              <w:jc w:val="both"/>
              <w:rPr>
                <w:rFonts w:ascii="Arial" w:hAnsi="Arial" w:cs="Arial"/>
                <w:sz w:val="24"/>
                <w:szCs w:val="24"/>
              </w:rPr>
            </w:pPr>
            <w:r w:rsidRPr="0085730F">
              <w:rPr>
                <w:rFonts w:ascii="Arial" w:hAnsi="Arial" w:cs="Arial"/>
                <w:b/>
                <w:bCs/>
                <w:sz w:val="24"/>
                <w:szCs w:val="24"/>
                <w:lang w:eastAsia="zh-CN" w:bidi="ar"/>
              </w:rPr>
              <w:t>Objective</w:t>
            </w:r>
            <w:r w:rsidRPr="0085730F">
              <w:rPr>
                <w:rFonts w:ascii="Arial" w:hAnsi="Arial" w:cs="Arial"/>
                <w:sz w:val="24"/>
                <w:szCs w:val="24"/>
                <w:lang w:eastAsia="zh-CN" w:bidi="ar"/>
              </w:rPr>
              <w:t xml:space="preserve">: Microplastics are ubiquitous in our environment, with evidence of its presence in various body tissues, however the extent of its toxicity at low dose from chronic </w:t>
            </w:r>
            <w:r w:rsidRPr="0085730F">
              <w:rPr>
                <w:rFonts w:ascii="Arial" w:hAnsi="Arial" w:cs="Arial"/>
                <w:sz w:val="24"/>
                <w:szCs w:val="24"/>
                <w:lang w:eastAsia="zh-CN" w:bidi="ar"/>
              </w:rPr>
              <w:t xml:space="preserve">administration and </w:t>
            </w:r>
            <w:proofErr w:type="spellStart"/>
            <w:r w:rsidRPr="0085730F">
              <w:rPr>
                <w:rFonts w:ascii="Arial" w:hAnsi="Arial" w:cs="Arial"/>
                <w:sz w:val="24"/>
                <w:szCs w:val="24"/>
                <w:lang w:eastAsia="zh-CN" w:bidi="ar"/>
              </w:rPr>
              <w:t>bioaccumaulation</w:t>
            </w:r>
            <w:proofErr w:type="spellEnd"/>
            <w:r w:rsidRPr="0085730F">
              <w:rPr>
                <w:rFonts w:ascii="Arial" w:hAnsi="Arial" w:cs="Arial"/>
                <w:sz w:val="24"/>
                <w:szCs w:val="24"/>
                <w:lang w:eastAsia="zh-CN" w:bidi="ar"/>
              </w:rPr>
              <w:t xml:space="preserve"> in humans remains unknown. This study aims at evaluating the toxicological impact of polyvinyl chloride on the liver.</w:t>
            </w:r>
          </w:p>
          <w:p w14:paraId="2E4D59C6" w14:textId="77777777" w:rsidR="00681AEA" w:rsidRPr="0085730F" w:rsidRDefault="00613667">
            <w:pPr>
              <w:jc w:val="both"/>
              <w:rPr>
                <w:rFonts w:ascii="Arial" w:hAnsi="Arial" w:cs="Arial"/>
                <w:sz w:val="24"/>
                <w:szCs w:val="24"/>
              </w:rPr>
            </w:pPr>
            <w:r w:rsidRPr="0085730F">
              <w:rPr>
                <w:rFonts w:ascii="Arial" w:hAnsi="Arial" w:cs="Arial"/>
                <w:b/>
                <w:bCs/>
                <w:sz w:val="24"/>
                <w:szCs w:val="24"/>
                <w:lang w:eastAsia="zh-CN" w:bidi="ar"/>
              </w:rPr>
              <w:t>Methods</w:t>
            </w:r>
            <w:r w:rsidRPr="0085730F">
              <w:rPr>
                <w:rFonts w:ascii="Arial" w:hAnsi="Arial" w:cs="Arial"/>
                <w:sz w:val="24"/>
                <w:szCs w:val="24"/>
                <w:lang w:eastAsia="zh-CN" w:bidi="ar"/>
              </w:rPr>
              <w:t xml:space="preserve">: 50 Male </w:t>
            </w:r>
            <w:proofErr w:type="spellStart"/>
            <w:r w:rsidRPr="0085730F">
              <w:rPr>
                <w:rFonts w:ascii="Arial" w:hAnsi="Arial" w:cs="Arial"/>
                <w:sz w:val="24"/>
                <w:szCs w:val="24"/>
                <w:lang w:eastAsia="zh-CN" w:bidi="ar"/>
              </w:rPr>
              <w:t>wistar</w:t>
            </w:r>
            <w:proofErr w:type="spellEnd"/>
            <w:r w:rsidRPr="0085730F">
              <w:rPr>
                <w:rFonts w:ascii="Arial" w:hAnsi="Arial" w:cs="Arial"/>
                <w:sz w:val="24"/>
                <w:szCs w:val="24"/>
                <w:lang w:eastAsia="zh-CN" w:bidi="ar"/>
              </w:rPr>
              <w:t xml:space="preserve"> rats were administered 10 ml/kg of </w:t>
            </w:r>
            <w:proofErr w:type="spellStart"/>
            <w:r w:rsidRPr="0085730F">
              <w:rPr>
                <w:rFonts w:ascii="Arial" w:hAnsi="Arial" w:cs="Arial"/>
                <w:sz w:val="24"/>
                <w:szCs w:val="24"/>
                <w:lang w:eastAsia="zh-CN" w:bidi="ar"/>
              </w:rPr>
              <w:t>deionised</w:t>
            </w:r>
            <w:proofErr w:type="spellEnd"/>
            <w:r w:rsidRPr="0085730F">
              <w:rPr>
                <w:rFonts w:ascii="Arial" w:hAnsi="Arial" w:cs="Arial"/>
                <w:sz w:val="24"/>
                <w:szCs w:val="24"/>
                <w:lang w:eastAsia="zh-CN" w:bidi="ar"/>
              </w:rPr>
              <w:t xml:space="preserve"> water (control), 0.1,0.2 and 0.3m</w:t>
            </w:r>
            <w:r w:rsidRPr="0085730F">
              <w:rPr>
                <w:rFonts w:ascii="Arial" w:hAnsi="Arial" w:cs="Arial"/>
                <w:sz w:val="24"/>
                <w:szCs w:val="24"/>
                <w:lang w:eastAsia="zh-CN" w:bidi="ar"/>
              </w:rPr>
              <w:t xml:space="preserve">g/kg daily of PVC orally administered, for 42 days using an </w:t>
            </w:r>
            <w:proofErr w:type="spellStart"/>
            <w:r w:rsidRPr="0085730F">
              <w:rPr>
                <w:rFonts w:ascii="Arial" w:hAnsi="Arial" w:cs="Arial"/>
                <w:sz w:val="24"/>
                <w:szCs w:val="24"/>
                <w:lang w:eastAsia="zh-CN" w:bidi="ar"/>
              </w:rPr>
              <w:t>oro</w:t>
            </w:r>
            <w:proofErr w:type="spellEnd"/>
            <w:r w:rsidRPr="0085730F">
              <w:rPr>
                <w:rFonts w:ascii="Arial" w:hAnsi="Arial" w:cs="Arial"/>
                <w:sz w:val="24"/>
                <w:szCs w:val="24"/>
                <w:lang w:eastAsia="zh-CN" w:bidi="ar"/>
              </w:rPr>
              <w:t>-gastric tube. We examined the liver enzymes, oxidative biomarkers and the histoarchitecture for distortion</w:t>
            </w:r>
          </w:p>
          <w:p w14:paraId="6879C470" w14:textId="77777777" w:rsidR="00681AEA" w:rsidRPr="0085730F" w:rsidRDefault="00613667">
            <w:pPr>
              <w:jc w:val="both"/>
              <w:rPr>
                <w:rFonts w:ascii="Arial" w:hAnsi="Arial" w:cs="Arial"/>
                <w:sz w:val="24"/>
                <w:szCs w:val="24"/>
              </w:rPr>
            </w:pPr>
            <w:r w:rsidRPr="0085730F">
              <w:rPr>
                <w:rFonts w:ascii="Arial" w:hAnsi="Arial" w:cs="Arial"/>
                <w:b/>
                <w:bCs/>
                <w:sz w:val="24"/>
                <w:szCs w:val="24"/>
                <w:lang w:eastAsia="zh-CN" w:bidi="ar"/>
              </w:rPr>
              <w:t xml:space="preserve">Results: </w:t>
            </w:r>
            <w:r w:rsidRPr="0085730F">
              <w:rPr>
                <w:rFonts w:ascii="Arial" w:hAnsi="Arial" w:cs="Arial"/>
                <w:sz w:val="24"/>
                <w:szCs w:val="24"/>
                <w:lang w:eastAsia="zh-CN" w:bidi="ar"/>
              </w:rPr>
              <w:t xml:space="preserve">showed there was an increase in </w:t>
            </w:r>
            <w:r w:rsidRPr="0085730F">
              <w:rPr>
                <w:rFonts w:ascii="Arial" w:hAnsi="Arial" w:cs="Arial"/>
                <w:sz w:val="24"/>
                <w:szCs w:val="24"/>
                <w:lang w:val="en-GB" w:eastAsia="zh-CN" w:bidi="ar"/>
              </w:rPr>
              <w:t>distortion</w:t>
            </w:r>
            <w:r w:rsidRPr="0085730F">
              <w:rPr>
                <w:rFonts w:ascii="Arial" w:hAnsi="Arial" w:cs="Arial"/>
                <w:sz w:val="24"/>
                <w:szCs w:val="24"/>
                <w:lang w:eastAsia="zh-CN" w:bidi="ar"/>
              </w:rPr>
              <w:t xml:space="preserve"> in liver enzymes, range suggestin</w:t>
            </w:r>
            <w:r w:rsidRPr="0085730F">
              <w:rPr>
                <w:rFonts w:ascii="Arial" w:hAnsi="Arial" w:cs="Arial"/>
                <w:sz w:val="24"/>
                <w:szCs w:val="24"/>
                <w:lang w:eastAsia="zh-CN" w:bidi="ar"/>
              </w:rPr>
              <w:t>g hepatic dysfunction, and histoarchitectural distortion with loss of radial symmetry.</w:t>
            </w:r>
          </w:p>
          <w:p w14:paraId="2271EFC8" w14:textId="77777777" w:rsidR="00681AEA" w:rsidRPr="0085730F" w:rsidRDefault="00613667">
            <w:pPr>
              <w:jc w:val="both"/>
              <w:rPr>
                <w:rFonts w:ascii="Arial" w:eastAsia="Calibri" w:hAnsi="Arial" w:cs="Arial"/>
                <w:szCs w:val="22"/>
              </w:rPr>
            </w:pPr>
            <w:r w:rsidRPr="0085730F">
              <w:rPr>
                <w:rFonts w:ascii="Arial" w:hAnsi="Arial" w:cs="Arial"/>
                <w:b/>
                <w:bCs/>
                <w:sz w:val="24"/>
                <w:szCs w:val="24"/>
                <w:lang w:eastAsia="zh-CN" w:bidi="ar"/>
              </w:rPr>
              <w:t>Conclusion:</w:t>
            </w:r>
            <w:r w:rsidRPr="0085730F">
              <w:rPr>
                <w:rFonts w:ascii="Arial" w:hAnsi="Arial" w:cs="Arial"/>
                <w:sz w:val="24"/>
                <w:szCs w:val="24"/>
                <w:lang w:eastAsia="zh-CN" w:bidi="ar"/>
              </w:rPr>
              <w:t xml:space="preserve"> this study suggested that PVC has hepatotoxic, with evident histoarchitectural </w:t>
            </w:r>
            <w:proofErr w:type="gramStart"/>
            <w:r w:rsidRPr="0085730F">
              <w:rPr>
                <w:rFonts w:ascii="Arial" w:hAnsi="Arial" w:cs="Arial"/>
                <w:sz w:val="24"/>
                <w:szCs w:val="24"/>
                <w:lang w:eastAsia="zh-CN" w:bidi="ar"/>
              </w:rPr>
              <w:t>distortion.</w:t>
            </w:r>
            <w:r w:rsidRPr="0085730F">
              <w:rPr>
                <w:rFonts w:ascii="Arial" w:eastAsia="Calibri" w:hAnsi="Arial" w:cs="Arial"/>
                <w:szCs w:val="22"/>
              </w:rPr>
              <w:t>.</w:t>
            </w:r>
            <w:proofErr w:type="gramEnd"/>
          </w:p>
        </w:tc>
      </w:tr>
    </w:tbl>
    <w:p w14:paraId="49020D06" w14:textId="77777777" w:rsidR="00681AEA" w:rsidRPr="0085730F" w:rsidRDefault="00681AEA">
      <w:pPr>
        <w:pStyle w:val="Body"/>
        <w:spacing w:after="0"/>
        <w:rPr>
          <w:rFonts w:ascii="Arial" w:hAnsi="Arial" w:cs="Arial"/>
          <w:i/>
        </w:rPr>
      </w:pPr>
    </w:p>
    <w:p w14:paraId="6EBA7891" w14:textId="77777777" w:rsidR="00681AEA" w:rsidRPr="0085730F" w:rsidRDefault="00613667">
      <w:pPr>
        <w:spacing w:after="240" w:line="360" w:lineRule="auto"/>
        <w:jc w:val="both"/>
        <w:rPr>
          <w:rFonts w:ascii="Arial" w:hAnsi="Arial" w:cs="Arial"/>
          <w:i/>
        </w:rPr>
      </w:pPr>
      <w:r w:rsidRPr="0085730F">
        <w:rPr>
          <w:rFonts w:ascii="Arial" w:hAnsi="Arial" w:cs="Arial"/>
          <w:i/>
        </w:rPr>
        <w:t xml:space="preserve">Keywords: </w:t>
      </w:r>
      <w:r w:rsidRPr="0085730F">
        <w:rPr>
          <w:rFonts w:ascii="Arial" w:hAnsi="Arial" w:cs="Arial"/>
          <w:i/>
          <w:lang w:eastAsia="zh-CN" w:bidi="ar"/>
        </w:rPr>
        <w:t xml:space="preserve">PVC, Bilirubin, </w:t>
      </w:r>
      <w:proofErr w:type="spellStart"/>
      <w:r w:rsidRPr="0085730F">
        <w:rPr>
          <w:rFonts w:ascii="Arial" w:hAnsi="Arial" w:cs="Arial"/>
          <w:i/>
          <w:lang w:eastAsia="zh-CN" w:bidi="ar"/>
        </w:rPr>
        <w:t>Bioxidative</w:t>
      </w:r>
      <w:proofErr w:type="spellEnd"/>
      <w:r w:rsidRPr="0085730F">
        <w:rPr>
          <w:rFonts w:ascii="Arial" w:hAnsi="Arial" w:cs="Arial"/>
          <w:i/>
          <w:lang w:eastAsia="zh-CN" w:bidi="ar"/>
        </w:rPr>
        <w:t xml:space="preserve"> markers, liver</w:t>
      </w:r>
    </w:p>
    <w:p w14:paraId="02B04745" w14:textId="5BB0816B" w:rsidR="00681AEA" w:rsidRPr="0085730F" w:rsidRDefault="00613667">
      <w:pPr>
        <w:pStyle w:val="AbstHead"/>
        <w:spacing w:after="0"/>
        <w:jc w:val="both"/>
        <w:rPr>
          <w:rFonts w:ascii="Arial" w:hAnsi="Arial" w:cs="Arial"/>
        </w:rPr>
      </w:pPr>
      <w:r w:rsidRPr="0085730F">
        <w:rPr>
          <w:rFonts w:ascii="Arial" w:hAnsi="Arial" w:cs="Arial"/>
        </w:rPr>
        <w:t xml:space="preserve">1. INTRODUCTION </w:t>
      </w:r>
    </w:p>
    <w:p w14:paraId="3FAAC775" w14:textId="77777777" w:rsidR="00681AEA" w:rsidRPr="0085730F" w:rsidRDefault="00681AEA">
      <w:pPr>
        <w:pStyle w:val="AbstHead"/>
        <w:spacing w:after="0"/>
        <w:jc w:val="both"/>
        <w:rPr>
          <w:rFonts w:ascii="Arial" w:hAnsi="Arial" w:cs="Arial"/>
        </w:rPr>
      </w:pPr>
    </w:p>
    <w:p w14:paraId="15B29F7D" w14:textId="77777777" w:rsidR="00681AEA" w:rsidRPr="0085730F" w:rsidRDefault="00613667">
      <w:pPr>
        <w:spacing w:line="360" w:lineRule="auto"/>
        <w:jc w:val="both"/>
        <w:rPr>
          <w:rFonts w:ascii="Arial" w:hAnsi="Arial" w:cs="Arial"/>
          <w:sz w:val="22"/>
          <w:szCs w:val="22"/>
          <w:lang w:val="en-GB"/>
        </w:rPr>
      </w:pPr>
      <w:r w:rsidRPr="0085730F">
        <w:rPr>
          <w:rFonts w:ascii="Arial" w:hAnsi="Arial" w:cs="Arial"/>
          <w:sz w:val="22"/>
          <w:szCs w:val="22"/>
          <w:lang w:val="en-GB"/>
        </w:rPr>
        <w:t>The global use of synthetic products such as plastics increased dramatically after World War II, particularly during the Second Industrial Revolution (</w:t>
      </w:r>
      <w:proofErr w:type="spellStart"/>
      <w:r w:rsidRPr="0085730F">
        <w:rPr>
          <w:rFonts w:ascii="Arial" w:hAnsi="Arial" w:cs="Arial"/>
          <w:sz w:val="22"/>
          <w:szCs w:val="22"/>
          <w:lang w:val="en-GB"/>
        </w:rPr>
        <w:t>Pilapitiya</w:t>
      </w:r>
      <w:proofErr w:type="spellEnd"/>
      <w:r w:rsidRPr="0085730F">
        <w:rPr>
          <w:rFonts w:ascii="Arial" w:hAnsi="Arial" w:cs="Arial"/>
          <w:sz w:val="22"/>
          <w:szCs w:val="22"/>
          <w:lang w:val="en-GB"/>
        </w:rPr>
        <w:t xml:space="preserve"> et al., 2024). Between 1950 and 2019, an estimated 9.2 billion tons of </w:t>
      </w:r>
      <w:r w:rsidRPr="0085730F">
        <w:rPr>
          <w:rFonts w:ascii="Arial" w:hAnsi="Arial" w:cs="Arial"/>
          <w:sz w:val="22"/>
          <w:szCs w:val="22"/>
          <w:lang w:val="en-GB"/>
        </w:rPr>
        <w:t>plastic were produced globally, significantly contributing to the growth of the global economy (Bashir et al., 2021; Williams &amp; Rangel-Buitrago, 2022; Li et al., 2023). The demand for this versatile substrate, which is used to manufacture a wide range of p</w:t>
      </w:r>
      <w:r w:rsidRPr="0085730F">
        <w:rPr>
          <w:rFonts w:ascii="Arial" w:hAnsi="Arial" w:cs="Arial"/>
          <w:sz w:val="22"/>
          <w:szCs w:val="22"/>
          <w:lang w:val="en-GB"/>
        </w:rPr>
        <w:t>roducts, remains high, with a projected global growth of over 245 million tons (Kumar et al., 2021; Chawla et al., 2022).</w:t>
      </w:r>
    </w:p>
    <w:p w14:paraId="009D2993" w14:textId="77777777" w:rsidR="00681AEA" w:rsidRPr="0085730F" w:rsidRDefault="00613667">
      <w:pPr>
        <w:spacing w:line="360" w:lineRule="auto"/>
        <w:jc w:val="both"/>
        <w:rPr>
          <w:rFonts w:ascii="Arial" w:hAnsi="Arial" w:cs="Arial"/>
          <w:sz w:val="22"/>
          <w:szCs w:val="22"/>
          <w:lang w:val="en-GB"/>
        </w:rPr>
      </w:pPr>
      <w:r w:rsidRPr="0085730F">
        <w:rPr>
          <w:rFonts w:ascii="Arial" w:hAnsi="Arial" w:cs="Arial"/>
          <w:sz w:val="22"/>
          <w:szCs w:val="22"/>
          <w:lang w:val="en-GB"/>
        </w:rPr>
        <w:t xml:space="preserve">Plastics possess several desirable properties, including light weight, resilience, durability, bio-inertness, resistance to corrosive </w:t>
      </w:r>
      <w:r w:rsidRPr="0085730F">
        <w:rPr>
          <w:rFonts w:ascii="Arial" w:hAnsi="Arial" w:cs="Arial"/>
          <w:sz w:val="22"/>
          <w:szCs w:val="22"/>
          <w:lang w:val="en-GB"/>
        </w:rPr>
        <w:t>agents like air and moisture, and cost-effectiveness. They serve as effective substitutes for traditional packaging materials such as glass and paper. The life cycle of plastics encompasses production, usage, and disposal, and at every stage of this cycle,</w:t>
      </w:r>
      <w:r w:rsidRPr="0085730F">
        <w:rPr>
          <w:rFonts w:ascii="Arial" w:hAnsi="Arial" w:cs="Arial"/>
          <w:sz w:val="22"/>
          <w:szCs w:val="22"/>
          <w:lang w:val="en-GB"/>
        </w:rPr>
        <w:t xml:space="preserve"> minute particles are released. These particles, known as microplastics and </w:t>
      </w:r>
      <w:proofErr w:type="spellStart"/>
      <w:r w:rsidRPr="0085730F">
        <w:rPr>
          <w:rFonts w:ascii="Arial" w:hAnsi="Arial" w:cs="Arial"/>
          <w:sz w:val="22"/>
          <w:szCs w:val="22"/>
          <w:lang w:val="en-GB"/>
        </w:rPr>
        <w:t>nanoplastics</w:t>
      </w:r>
      <w:proofErr w:type="spellEnd"/>
      <w:r w:rsidRPr="0085730F">
        <w:rPr>
          <w:rFonts w:ascii="Arial" w:hAnsi="Arial" w:cs="Arial"/>
          <w:sz w:val="22"/>
          <w:szCs w:val="22"/>
          <w:lang w:val="en-GB"/>
        </w:rPr>
        <w:t xml:space="preserve">, are typically </w:t>
      </w:r>
      <w:r w:rsidRPr="0085730F">
        <w:rPr>
          <w:rFonts w:ascii="Arial" w:hAnsi="Arial" w:cs="Arial"/>
          <w:sz w:val="22"/>
          <w:szCs w:val="22"/>
          <w:lang w:val="en-GB"/>
        </w:rPr>
        <w:lastRenderedPageBreak/>
        <w:t xml:space="preserve">less than 5 mm in size, with </w:t>
      </w:r>
      <w:proofErr w:type="spellStart"/>
      <w:r w:rsidRPr="0085730F">
        <w:rPr>
          <w:rFonts w:ascii="Arial" w:hAnsi="Arial" w:cs="Arial"/>
          <w:sz w:val="22"/>
          <w:szCs w:val="22"/>
          <w:lang w:val="en-GB"/>
        </w:rPr>
        <w:t>nanoplastics</w:t>
      </w:r>
      <w:proofErr w:type="spellEnd"/>
      <w:r w:rsidRPr="0085730F">
        <w:rPr>
          <w:rFonts w:ascii="Arial" w:hAnsi="Arial" w:cs="Arial"/>
          <w:sz w:val="22"/>
          <w:szCs w:val="22"/>
          <w:lang w:val="en-GB"/>
        </w:rPr>
        <w:t xml:space="preserve"> being smaller than 1 </w:t>
      </w:r>
      <w:proofErr w:type="spellStart"/>
      <w:r w:rsidRPr="0085730F">
        <w:rPr>
          <w:rFonts w:ascii="Arial" w:hAnsi="Arial" w:cs="Arial"/>
          <w:sz w:val="22"/>
          <w:szCs w:val="22"/>
          <w:lang w:val="en-GB"/>
        </w:rPr>
        <w:t>μm</w:t>
      </w:r>
      <w:proofErr w:type="spellEnd"/>
      <w:r w:rsidRPr="0085730F">
        <w:rPr>
          <w:rFonts w:ascii="Arial" w:hAnsi="Arial" w:cs="Arial"/>
          <w:sz w:val="22"/>
          <w:szCs w:val="22"/>
          <w:lang w:val="en-GB"/>
        </w:rPr>
        <w:t xml:space="preserve"> (Zhao et al., 2017; Zimmermann et al., 2021).</w:t>
      </w:r>
    </w:p>
    <w:p w14:paraId="2850917E" w14:textId="77777777" w:rsidR="00681AEA" w:rsidRPr="0085730F" w:rsidRDefault="00613667">
      <w:pPr>
        <w:spacing w:line="360" w:lineRule="auto"/>
        <w:jc w:val="both"/>
        <w:rPr>
          <w:rFonts w:ascii="Arial" w:hAnsi="Arial" w:cs="Arial"/>
          <w:sz w:val="22"/>
          <w:szCs w:val="22"/>
          <w:lang w:val="en-GB"/>
        </w:rPr>
      </w:pPr>
      <w:r w:rsidRPr="0085730F">
        <w:rPr>
          <w:rFonts w:ascii="Arial" w:hAnsi="Arial" w:cs="Arial"/>
          <w:sz w:val="22"/>
          <w:szCs w:val="22"/>
          <w:lang w:val="en-GB"/>
        </w:rPr>
        <w:t>Microplastics exist in two forms: primar</w:t>
      </w:r>
      <w:r w:rsidRPr="0085730F">
        <w:rPr>
          <w:rFonts w:ascii="Arial" w:hAnsi="Arial" w:cs="Arial"/>
          <w:sz w:val="22"/>
          <w:szCs w:val="22"/>
          <w:lang w:val="en-GB"/>
        </w:rPr>
        <w:t xml:space="preserve">y and secondary. Primary microplastics are intentionally manufactured for industrial use, such as resin pellets used in textile </w:t>
      </w:r>
      <w:proofErr w:type="spellStart"/>
      <w:r w:rsidRPr="0085730F">
        <w:rPr>
          <w:rFonts w:ascii="Arial" w:hAnsi="Arial" w:cs="Arial"/>
          <w:sz w:val="22"/>
          <w:szCs w:val="22"/>
          <w:lang w:val="en-GB"/>
        </w:rPr>
        <w:t>fibers</w:t>
      </w:r>
      <w:proofErr w:type="spellEnd"/>
      <w:r w:rsidRPr="0085730F">
        <w:rPr>
          <w:rFonts w:ascii="Arial" w:hAnsi="Arial" w:cs="Arial"/>
          <w:sz w:val="22"/>
          <w:szCs w:val="22"/>
          <w:lang w:val="en-GB"/>
        </w:rPr>
        <w:t>, toothpaste, plastic products, and cosmetic microbeads (Begum et al., 2020; Bashir et al., 2021; Lee et al., 2022). Secon</w:t>
      </w:r>
      <w:r w:rsidRPr="0085730F">
        <w:rPr>
          <w:rFonts w:ascii="Arial" w:hAnsi="Arial" w:cs="Arial"/>
          <w:sz w:val="22"/>
          <w:szCs w:val="22"/>
          <w:lang w:val="en-GB"/>
        </w:rPr>
        <w:t xml:space="preserve">dary microplastics are generated as </w:t>
      </w:r>
      <w:proofErr w:type="spellStart"/>
      <w:r w:rsidRPr="0085730F">
        <w:rPr>
          <w:rFonts w:ascii="Arial" w:hAnsi="Arial" w:cs="Arial"/>
          <w:sz w:val="22"/>
          <w:szCs w:val="22"/>
          <w:lang w:val="en-GB"/>
        </w:rPr>
        <w:t>byproducts</w:t>
      </w:r>
      <w:proofErr w:type="spellEnd"/>
      <w:r w:rsidRPr="0085730F">
        <w:rPr>
          <w:rFonts w:ascii="Arial" w:hAnsi="Arial" w:cs="Arial"/>
          <w:sz w:val="22"/>
          <w:szCs w:val="22"/>
          <w:lang w:val="en-GB"/>
        </w:rPr>
        <w:t xml:space="preserve"> from environmental degradation processes such as hydrolysis, photodegradation, thermo-oxidative degradation, and biodegradation (Sharma &amp; Chatterjee, 2017; </w:t>
      </w:r>
      <w:proofErr w:type="spellStart"/>
      <w:r w:rsidRPr="0085730F">
        <w:rPr>
          <w:rFonts w:ascii="Arial" w:hAnsi="Arial" w:cs="Arial"/>
          <w:sz w:val="22"/>
          <w:szCs w:val="22"/>
          <w:lang w:val="en-GB"/>
        </w:rPr>
        <w:t>Zarus</w:t>
      </w:r>
      <w:proofErr w:type="spellEnd"/>
      <w:r w:rsidRPr="0085730F">
        <w:rPr>
          <w:rFonts w:ascii="Arial" w:hAnsi="Arial" w:cs="Arial"/>
          <w:sz w:val="22"/>
          <w:szCs w:val="22"/>
          <w:lang w:val="en-GB"/>
        </w:rPr>
        <w:t xml:space="preserve"> et al., 2021; </w:t>
      </w:r>
      <w:proofErr w:type="spellStart"/>
      <w:r w:rsidRPr="0085730F">
        <w:rPr>
          <w:rFonts w:ascii="Arial" w:hAnsi="Arial" w:cs="Arial"/>
          <w:sz w:val="22"/>
          <w:szCs w:val="22"/>
          <w:lang w:val="en-GB"/>
        </w:rPr>
        <w:t>Ziani</w:t>
      </w:r>
      <w:proofErr w:type="spellEnd"/>
      <w:r w:rsidRPr="0085730F">
        <w:rPr>
          <w:rFonts w:ascii="Arial" w:hAnsi="Arial" w:cs="Arial"/>
          <w:sz w:val="22"/>
          <w:szCs w:val="22"/>
          <w:lang w:val="en-GB"/>
        </w:rPr>
        <w:t xml:space="preserve"> et al., 2023; Mathew et al.</w:t>
      </w:r>
      <w:r w:rsidRPr="0085730F">
        <w:rPr>
          <w:rFonts w:ascii="Arial" w:hAnsi="Arial" w:cs="Arial"/>
          <w:sz w:val="22"/>
          <w:szCs w:val="22"/>
          <w:lang w:val="en-GB"/>
        </w:rPr>
        <w:t>, 2024). These degradative processes, often induced by sunlight and oceanic activity, cause plastic debris to fragment into microparticles that are frequently carried by residential and commercial drainage systems, eventually contaminating wastewater strea</w:t>
      </w:r>
      <w:r w:rsidRPr="0085730F">
        <w:rPr>
          <w:rFonts w:ascii="Arial" w:hAnsi="Arial" w:cs="Arial"/>
          <w:sz w:val="22"/>
          <w:szCs w:val="22"/>
          <w:lang w:val="en-GB"/>
        </w:rPr>
        <w:t>ms (Zimmermann et al., 2021).</w:t>
      </w:r>
    </w:p>
    <w:p w14:paraId="35EA653E" w14:textId="77777777" w:rsidR="00681AEA" w:rsidRPr="0085730F" w:rsidRDefault="00613667">
      <w:pPr>
        <w:spacing w:line="360" w:lineRule="auto"/>
        <w:jc w:val="both"/>
        <w:rPr>
          <w:rFonts w:ascii="Arial" w:hAnsi="Arial" w:cs="Arial"/>
          <w:sz w:val="22"/>
          <w:szCs w:val="22"/>
          <w:lang w:val="en-GB"/>
        </w:rPr>
      </w:pPr>
      <w:r w:rsidRPr="0085730F">
        <w:rPr>
          <w:rFonts w:ascii="Arial" w:hAnsi="Arial" w:cs="Arial"/>
          <w:sz w:val="22"/>
          <w:szCs w:val="22"/>
          <w:lang w:val="en-GB"/>
        </w:rPr>
        <w:t>Although modern sewage treatment plants can filter out up to 99.9% of these particles, a significant proportion can still bypass these systems and enter freshwater bodies (</w:t>
      </w:r>
      <w:proofErr w:type="spellStart"/>
      <w:r w:rsidRPr="0085730F">
        <w:rPr>
          <w:rFonts w:ascii="Arial" w:hAnsi="Arial" w:cs="Arial"/>
          <w:sz w:val="22"/>
          <w:szCs w:val="22"/>
          <w:lang w:val="en-GB"/>
        </w:rPr>
        <w:t>Imhof</w:t>
      </w:r>
      <w:proofErr w:type="spellEnd"/>
      <w:r w:rsidRPr="0085730F">
        <w:rPr>
          <w:rFonts w:ascii="Arial" w:hAnsi="Arial" w:cs="Arial"/>
          <w:sz w:val="22"/>
          <w:szCs w:val="22"/>
          <w:lang w:val="en-GB"/>
        </w:rPr>
        <w:t xml:space="preserve"> et al., 2016; Horton et al., 2017; Li et al., 20</w:t>
      </w:r>
      <w:r w:rsidRPr="0085730F">
        <w:rPr>
          <w:rFonts w:ascii="Arial" w:hAnsi="Arial" w:cs="Arial"/>
          <w:sz w:val="22"/>
          <w:szCs w:val="22"/>
          <w:lang w:val="en-GB"/>
        </w:rPr>
        <w:t>20).</w:t>
      </w:r>
    </w:p>
    <w:p w14:paraId="7C3AD206" w14:textId="3C97881F" w:rsidR="00681AEA" w:rsidRPr="0085730F" w:rsidRDefault="00613667">
      <w:pPr>
        <w:spacing w:line="360" w:lineRule="auto"/>
        <w:jc w:val="both"/>
        <w:rPr>
          <w:rFonts w:ascii="Arial" w:hAnsi="Arial" w:cs="Arial"/>
          <w:sz w:val="22"/>
          <w:szCs w:val="22"/>
          <w:lang w:val="en-GB"/>
        </w:rPr>
      </w:pPr>
      <w:r w:rsidRPr="0085730F">
        <w:rPr>
          <w:rFonts w:ascii="Arial" w:hAnsi="Arial" w:cs="Arial"/>
          <w:sz w:val="22"/>
          <w:szCs w:val="22"/>
          <w:lang w:val="en-GB"/>
        </w:rPr>
        <w:t>According to Andrade (2011), microplastics can also be categorized based on their monomer composition, which includes polyethylene (PE), polypropylene (PP), polystyrene (PS), polyethylene terephthalate (PET), and polyvinyl chloride (PVC). Among these,</w:t>
      </w:r>
      <w:r w:rsidRPr="0085730F">
        <w:rPr>
          <w:rFonts w:ascii="Arial" w:hAnsi="Arial" w:cs="Arial"/>
          <w:sz w:val="22"/>
          <w:szCs w:val="22"/>
          <w:lang w:val="en-GB"/>
        </w:rPr>
        <w:t xml:space="preserve"> PVC is the most widely used globally (</w:t>
      </w:r>
      <w:proofErr w:type="spellStart"/>
      <w:r w:rsidRPr="0085730F">
        <w:rPr>
          <w:rFonts w:ascii="Arial" w:hAnsi="Arial" w:cs="Arial"/>
          <w:sz w:val="22"/>
          <w:szCs w:val="22"/>
          <w:lang w:val="en-GB"/>
        </w:rPr>
        <w:t>Amobonye</w:t>
      </w:r>
      <w:proofErr w:type="spellEnd"/>
      <w:r w:rsidRPr="0085730F">
        <w:rPr>
          <w:rFonts w:ascii="Arial" w:hAnsi="Arial" w:cs="Arial"/>
          <w:sz w:val="22"/>
          <w:szCs w:val="22"/>
          <w:lang w:val="en-GB"/>
        </w:rPr>
        <w:t xml:space="preserve"> et al., 2023) due to its industrial utility, cost efficiency, thermoplastic properties, and resistance to chemicals such as salts, alkalis, and polar solvents (Lewandowski &amp; </w:t>
      </w:r>
      <w:proofErr w:type="spellStart"/>
      <w:r w:rsidRPr="0085730F">
        <w:rPr>
          <w:rFonts w:ascii="Arial" w:hAnsi="Arial" w:cs="Arial"/>
          <w:sz w:val="22"/>
          <w:szCs w:val="22"/>
          <w:lang w:val="en-GB"/>
        </w:rPr>
        <w:t>Skórczewska</w:t>
      </w:r>
      <w:proofErr w:type="spellEnd"/>
      <w:r w:rsidRPr="0085730F">
        <w:rPr>
          <w:rFonts w:ascii="Arial" w:hAnsi="Arial" w:cs="Arial"/>
          <w:sz w:val="22"/>
          <w:szCs w:val="22"/>
          <w:lang w:val="en-GB"/>
        </w:rPr>
        <w:t>, 2022; Zhang et al., 2</w:t>
      </w:r>
      <w:r w:rsidRPr="0085730F">
        <w:rPr>
          <w:rFonts w:ascii="Arial" w:hAnsi="Arial" w:cs="Arial"/>
          <w:sz w:val="22"/>
          <w:szCs w:val="22"/>
          <w:lang w:val="en-GB"/>
        </w:rPr>
        <w:t xml:space="preserve">020; </w:t>
      </w:r>
      <w:proofErr w:type="spellStart"/>
      <w:r w:rsidRPr="0085730F">
        <w:rPr>
          <w:rFonts w:ascii="Arial" w:hAnsi="Arial" w:cs="Arial"/>
          <w:sz w:val="22"/>
          <w:szCs w:val="22"/>
          <w:lang w:val="en-GB"/>
        </w:rPr>
        <w:t>Xiu</w:t>
      </w:r>
      <w:proofErr w:type="spellEnd"/>
      <w:r w:rsidRPr="0085730F">
        <w:rPr>
          <w:rFonts w:ascii="Arial" w:hAnsi="Arial" w:cs="Arial"/>
          <w:sz w:val="22"/>
          <w:szCs w:val="22"/>
          <w:lang w:val="en-GB"/>
        </w:rPr>
        <w:t xml:space="preserve"> et al., 2024). PVC is employed in numerous sectors, including the production of </w:t>
      </w:r>
      <w:proofErr w:type="spellStart"/>
      <w:r w:rsidRPr="0085730F">
        <w:rPr>
          <w:rFonts w:ascii="Arial" w:hAnsi="Arial" w:cs="Arial"/>
          <w:sz w:val="22"/>
          <w:szCs w:val="22"/>
          <w:lang w:val="en-GB"/>
        </w:rPr>
        <w:t>fibers</w:t>
      </w:r>
      <w:proofErr w:type="spellEnd"/>
      <w:r w:rsidRPr="0085730F">
        <w:rPr>
          <w:rFonts w:ascii="Arial" w:hAnsi="Arial" w:cs="Arial"/>
          <w:sz w:val="22"/>
          <w:szCs w:val="22"/>
          <w:lang w:val="en-GB"/>
        </w:rPr>
        <w:t>, plumbing materials, water pipes, electric cable insulation, car interiors, and laminates (Chen et al., 2024). Its chlorine content also makes it suitable for p</w:t>
      </w:r>
      <w:r w:rsidRPr="0085730F">
        <w:rPr>
          <w:rFonts w:ascii="Arial" w:hAnsi="Arial" w:cs="Arial"/>
          <w:sz w:val="22"/>
          <w:szCs w:val="22"/>
          <w:lang w:val="en-GB"/>
        </w:rPr>
        <w:t>roducing fire-retardant materials (Makris et al., 2020).</w:t>
      </w:r>
    </w:p>
    <w:p w14:paraId="7798383F" w14:textId="77777777" w:rsidR="00681AEA" w:rsidRPr="0085730F" w:rsidRDefault="00613667">
      <w:pPr>
        <w:spacing w:line="360" w:lineRule="auto"/>
        <w:jc w:val="both"/>
        <w:rPr>
          <w:rFonts w:ascii="Arial" w:hAnsi="Arial" w:cs="Arial"/>
          <w:sz w:val="22"/>
          <w:szCs w:val="22"/>
          <w:lang w:val="en-GB"/>
        </w:rPr>
      </w:pPr>
      <w:r w:rsidRPr="0085730F">
        <w:rPr>
          <w:rFonts w:ascii="Arial" w:hAnsi="Arial" w:cs="Arial"/>
          <w:sz w:val="22"/>
          <w:szCs w:val="22"/>
          <w:lang w:val="en-GB"/>
        </w:rPr>
        <w:t>Plastic degradation products contaminate air, water, and soil, especially due to widespread usage in food packaging like for dairy products, meat, fish, and bottled beverages allowing transfer of mic</w:t>
      </w:r>
      <w:r w:rsidRPr="0085730F">
        <w:rPr>
          <w:rFonts w:ascii="Arial" w:hAnsi="Arial" w:cs="Arial"/>
          <w:sz w:val="22"/>
          <w:szCs w:val="22"/>
          <w:lang w:val="en-GB"/>
        </w:rPr>
        <w:t>roparticles into the food (Chen et al., 2022). These particles leach into soil, contaminate crops, and enter the food chain, posing health risks by altering nutritional quality and causing toxicity (</w:t>
      </w:r>
      <w:proofErr w:type="spellStart"/>
      <w:r w:rsidRPr="0085730F">
        <w:rPr>
          <w:rFonts w:ascii="Arial" w:hAnsi="Arial" w:cs="Arial"/>
          <w:sz w:val="22"/>
          <w:szCs w:val="22"/>
          <w:lang w:val="en-GB"/>
        </w:rPr>
        <w:t>Zarus</w:t>
      </w:r>
      <w:proofErr w:type="spellEnd"/>
      <w:r w:rsidRPr="0085730F">
        <w:rPr>
          <w:rFonts w:ascii="Arial" w:hAnsi="Arial" w:cs="Arial"/>
          <w:sz w:val="22"/>
          <w:szCs w:val="22"/>
          <w:lang w:val="en-GB"/>
        </w:rPr>
        <w:t xml:space="preserve"> et al., 2021; </w:t>
      </w:r>
      <w:proofErr w:type="spellStart"/>
      <w:r w:rsidRPr="0085730F">
        <w:rPr>
          <w:rFonts w:ascii="Arial" w:hAnsi="Arial" w:cs="Arial"/>
          <w:sz w:val="22"/>
          <w:szCs w:val="22"/>
          <w:lang w:val="en-GB"/>
        </w:rPr>
        <w:t>Ziani</w:t>
      </w:r>
      <w:proofErr w:type="spellEnd"/>
      <w:r w:rsidRPr="0085730F">
        <w:rPr>
          <w:rFonts w:ascii="Arial" w:hAnsi="Arial" w:cs="Arial"/>
          <w:sz w:val="22"/>
          <w:szCs w:val="22"/>
          <w:lang w:val="en-GB"/>
        </w:rPr>
        <w:t xml:space="preserve"> et al., 2023).</w:t>
      </w:r>
    </w:p>
    <w:p w14:paraId="25B2C3B2" w14:textId="299267DD" w:rsidR="00681AEA" w:rsidRPr="0085730F" w:rsidRDefault="00613667">
      <w:pPr>
        <w:spacing w:line="360" w:lineRule="auto"/>
        <w:jc w:val="both"/>
        <w:rPr>
          <w:rFonts w:ascii="Arial" w:hAnsi="Arial" w:cs="Arial"/>
          <w:sz w:val="22"/>
          <w:szCs w:val="22"/>
          <w:lang w:val="en-GB"/>
        </w:rPr>
      </w:pPr>
      <w:r w:rsidRPr="0085730F">
        <w:rPr>
          <w:rFonts w:ascii="Arial" w:hAnsi="Arial" w:cs="Arial"/>
          <w:sz w:val="22"/>
          <w:szCs w:val="22"/>
          <w:lang w:val="en-GB"/>
        </w:rPr>
        <w:t>Microplastic by-</w:t>
      </w:r>
      <w:r w:rsidRPr="0085730F">
        <w:rPr>
          <w:rFonts w:ascii="Arial" w:hAnsi="Arial" w:cs="Arial"/>
          <w:sz w:val="22"/>
          <w:szCs w:val="22"/>
          <w:lang w:val="en-GB"/>
        </w:rPr>
        <w:t>products have been detected in various environments including soil, surface water, coastal sediments, beach sands, and even deep-sea ecosystems. This is largely due to the mismatch between the volume of plastic waste generated and the efficiency of waste m</w:t>
      </w:r>
      <w:r w:rsidRPr="0085730F">
        <w:rPr>
          <w:rFonts w:ascii="Arial" w:hAnsi="Arial" w:cs="Arial"/>
          <w:sz w:val="22"/>
          <w:szCs w:val="22"/>
          <w:lang w:val="en-GB"/>
        </w:rPr>
        <w:t>anagement systems (</w:t>
      </w:r>
      <w:proofErr w:type="spellStart"/>
      <w:r w:rsidRPr="0085730F">
        <w:rPr>
          <w:rFonts w:ascii="Arial" w:hAnsi="Arial" w:cs="Arial"/>
          <w:sz w:val="22"/>
          <w:szCs w:val="22"/>
          <w:lang w:val="en-GB"/>
        </w:rPr>
        <w:t>Rajvanshi</w:t>
      </w:r>
      <w:proofErr w:type="spellEnd"/>
      <w:r w:rsidRPr="0085730F">
        <w:rPr>
          <w:rFonts w:ascii="Arial" w:hAnsi="Arial" w:cs="Arial"/>
          <w:sz w:val="22"/>
          <w:szCs w:val="22"/>
          <w:lang w:val="en-GB"/>
        </w:rPr>
        <w:t xml:space="preserve"> et al., 2024). The chemical structure of PVC, especially during its lifecycle (production, usage, degradation), is believed to pose neurological risks, including memory impairment and liver dysfunction (Tickner et al., 2001; </w:t>
      </w:r>
      <w:proofErr w:type="spellStart"/>
      <w:r w:rsidRPr="0085730F">
        <w:rPr>
          <w:rFonts w:ascii="Arial" w:hAnsi="Arial" w:cs="Arial"/>
          <w:sz w:val="22"/>
          <w:szCs w:val="22"/>
          <w:lang w:val="en-GB"/>
        </w:rPr>
        <w:t>Is</w:t>
      </w:r>
      <w:r w:rsidRPr="0085730F">
        <w:rPr>
          <w:rFonts w:ascii="Arial" w:hAnsi="Arial" w:cs="Arial"/>
          <w:sz w:val="22"/>
          <w:szCs w:val="22"/>
          <w:lang w:val="en-GB"/>
        </w:rPr>
        <w:t>obe</w:t>
      </w:r>
      <w:proofErr w:type="spellEnd"/>
      <w:r w:rsidRPr="0085730F">
        <w:rPr>
          <w:rFonts w:ascii="Arial" w:hAnsi="Arial" w:cs="Arial"/>
          <w:sz w:val="22"/>
          <w:szCs w:val="22"/>
          <w:lang w:val="en-GB"/>
        </w:rPr>
        <w:t xml:space="preserve"> et al., 2017; Banerjee et al., </w:t>
      </w:r>
      <w:r w:rsidRPr="0085730F">
        <w:rPr>
          <w:rFonts w:ascii="Arial" w:hAnsi="Arial" w:cs="Arial"/>
          <w:sz w:val="22"/>
          <w:szCs w:val="22"/>
          <w:lang w:val="en-GB"/>
        </w:rPr>
        <w:lastRenderedPageBreak/>
        <w:t xml:space="preserve">2021). Furthermore, biomagnification through the food chain may contribute to human health hazards (Tran-Lam et al., 2023; </w:t>
      </w:r>
      <w:proofErr w:type="spellStart"/>
      <w:r w:rsidRPr="0085730F">
        <w:rPr>
          <w:rFonts w:ascii="Arial" w:hAnsi="Arial" w:cs="Arial"/>
          <w:sz w:val="22"/>
          <w:szCs w:val="22"/>
          <w:lang w:val="en-GB"/>
        </w:rPr>
        <w:t>Saidon</w:t>
      </w:r>
      <w:proofErr w:type="spellEnd"/>
      <w:r w:rsidRPr="0085730F">
        <w:rPr>
          <w:rFonts w:ascii="Arial" w:hAnsi="Arial" w:cs="Arial"/>
          <w:sz w:val="22"/>
          <w:szCs w:val="22"/>
          <w:lang w:val="en-GB"/>
        </w:rPr>
        <w:t xml:space="preserve"> et al., 2024).</w:t>
      </w:r>
    </w:p>
    <w:p w14:paraId="560A526A" w14:textId="1215BFB7" w:rsidR="00681AEA" w:rsidRPr="0085730F" w:rsidRDefault="00613667">
      <w:pPr>
        <w:spacing w:line="360" w:lineRule="auto"/>
        <w:jc w:val="both"/>
        <w:rPr>
          <w:rFonts w:ascii="Arial" w:hAnsi="Arial" w:cs="Arial"/>
          <w:sz w:val="22"/>
          <w:szCs w:val="22"/>
          <w:lang w:val="en-GB"/>
        </w:rPr>
      </w:pPr>
      <w:r w:rsidRPr="0085730F">
        <w:rPr>
          <w:rFonts w:ascii="Arial" w:hAnsi="Arial" w:cs="Arial"/>
          <w:sz w:val="22"/>
          <w:szCs w:val="22"/>
          <w:lang w:val="en-GB"/>
        </w:rPr>
        <w:t>One key organ at risk is the liver, the body’s main metabolic hub and a cruc</w:t>
      </w:r>
      <w:r w:rsidRPr="0085730F">
        <w:rPr>
          <w:rFonts w:ascii="Arial" w:hAnsi="Arial" w:cs="Arial"/>
          <w:sz w:val="22"/>
          <w:szCs w:val="22"/>
          <w:lang w:val="en-GB"/>
        </w:rPr>
        <w:t>ial part of the reticuloendothelial (monocyte-phagocytic) system. It contains Kupffer cells (sinusoidal endothelial cells) which help remove foreign particles from the bloodstream (Zhao et al., 2023). However, via enterohepatic circulation, reabsorbed toxi</w:t>
      </w:r>
      <w:r w:rsidRPr="0085730F">
        <w:rPr>
          <w:rFonts w:ascii="Arial" w:hAnsi="Arial" w:cs="Arial"/>
          <w:sz w:val="22"/>
          <w:szCs w:val="22"/>
          <w:lang w:val="en-GB"/>
        </w:rPr>
        <w:t>ns from the intestines are transported to the liver through the portal vein, leading to potential hepatocellular accumulation (Wang et al., 2023;</w:t>
      </w:r>
      <w:r w:rsidR="009C4367" w:rsidRPr="0085730F">
        <w:rPr>
          <w:rFonts w:ascii="Arial" w:hAnsi="Arial" w:cs="Arial"/>
          <w:sz w:val="22"/>
          <w:szCs w:val="22"/>
          <w:lang w:val="en-GB"/>
        </w:rPr>
        <w:t xml:space="preserve"> Wang et al.,</w:t>
      </w:r>
      <w:r w:rsidRPr="0085730F">
        <w:rPr>
          <w:rFonts w:ascii="Arial" w:hAnsi="Arial" w:cs="Arial"/>
          <w:sz w:val="22"/>
          <w:szCs w:val="22"/>
          <w:lang w:val="en-GB"/>
        </w:rPr>
        <w:t xml:space="preserve"> 2024). Repeated microplastic exposure through this cycle can lead to oxidative stress, inflammati</w:t>
      </w:r>
      <w:r w:rsidRPr="0085730F">
        <w:rPr>
          <w:rFonts w:ascii="Arial" w:hAnsi="Arial" w:cs="Arial"/>
          <w:sz w:val="22"/>
          <w:szCs w:val="22"/>
          <w:lang w:val="en-GB"/>
        </w:rPr>
        <w:t>on, and metabolic disruption, causing damage to liver cells and potentially leading to insulin resistance and non-alcoholic fatty liver disease (NAFLD) (</w:t>
      </w:r>
      <w:proofErr w:type="spellStart"/>
      <w:r w:rsidRPr="0085730F">
        <w:rPr>
          <w:rFonts w:ascii="Arial" w:hAnsi="Arial" w:cs="Arial"/>
          <w:sz w:val="22"/>
          <w:szCs w:val="22"/>
          <w:lang w:val="en-GB"/>
        </w:rPr>
        <w:t>Muncke</w:t>
      </w:r>
      <w:proofErr w:type="spellEnd"/>
      <w:r w:rsidRPr="0085730F">
        <w:rPr>
          <w:rFonts w:ascii="Arial" w:hAnsi="Arial" w:cs="Arial"/>
          <w:sz w:val="22"/>
          <w:szCs w:val="22"/>
          <w:lang w:val="en-GB"/>
        </w:rPr>
        <w:t xml:space="preserve"> et al., 2020; Chiang et al., 2024).</w:t>
      </w:r>
    </w:p>
    <w:p w14:paraId="650882AC" w14:textId="77777777" w:rsidR="00681AEA" w:rsidRPr="0085730F" w:rsidRDefault="00613667">
      <w:pPr>
        <w:spacing w:line="360" w:lineRule="auto"/>
        <w:jc w:val="both"/>
        <w:rPr>
          <w:rFonts w:ascii="Arial" w:hAnsi="Arial" w:cs="Arial"/>
          <w:sz w:val="22"/>
          <w:szCs w:val="22"/>
          <w:lang w:val="en-GB"/>
        </w:rPr>
      </w:pPr>
      <w:r w:rsidRPr="0085730F">
        <w:rPr>
          <w:rFonts w:ascii="Arial" w:hAnsi="Arial" w:cs="Arial"/>
          <w:sz w:val="22"/>
          <w:szCs w:val="22"/>
          <w:lang w:val="en-GB"/>
        </w:rPr>
        <w:t>Liver failure to contain microplastics may allow their trans</w:t>
      </w:r>
      <w:r w:rsidRPr="0085730F">
        <w:rPr>
          <w:rFonts w:ascii="Arial" w:hAnsi="Arial" w:cs="Arial"/>
          <w:sz w:val="22"/>
          <w:szCs w:val="22"/>
          <w:lang w:val="en-GB"/>
        </w:rPr>
        <w:t>location into systemic circulation, reaching organs such as the brain and compromising neurological health (Li et al., 2022; Wang et al., 2022; Zhou et al., 2023). The study investigates the effects of sub-chronic exposure to microplastic polyvinyl chlorid</w:t>
      </w:r>
      <w:r w:rsidRPr="0085730F">
        <w:rPr>
          <w:rFonts w:ascii="Arial" w:hAnsi="Arial" w:cs="Arial"/>
          <w:sz w:val="22"/>
          <w:szCs w:val="22"/>
          <w:lang w:val="en-GB"/>
        </w:rPr>
        <w:t>e (PVC) on the liver and brain of male Wistar rats.</w:t>
      </w:r>
    </w:p>
    <w:p w14:paraId="1289FC58" w14:textId="77777777" w:rsidR="00681AEA" w:rsidRPr="0085730F" w:rsidRDefault="00613667">
      <w:pPr>
        <w:spacing w:line="360" w:lineRule="auto"/>
        <w:rPr>
          <w:rFonts w:ascii="Arial" w:hAnsi="Arial" w:cs="Arial"/>
          <w:sz w:val="22"/>
          <w:szCs w:val="22"/>
        </w:rPr>
      </w:pPr>
      <w:r w:rsidRPr="0085730F">
        <w:rPr>
          <w:rFonts w:ascii="Arial" w:hAnsi="Arial" w:cs="Arial"/>
          <w:b/>
          <w:sz w:val="22"/>
          <w:szCs w:val="22"/>
        </w:rPr>
        <w:t>2.0 MATERIALS AND METHODOLOGY</w:t>
      </w:r>
    </w:p>
    <w:p w14:paraId="52A2791C" w14:textId="77777777" w:rsidR="00681AEA" w:rsidRPr="0085730F" w:rsidRDefault="00613667">
      <w:pPr>
        <w:spacing w:line="360" w:lineRule="auto"/>
        <w:jc w:val="both"/>
        <w:rPr>
          <w:rFonts w:ascii="Arial" w:hAnsi="Arial" w:cs="Arial"/>
          <w:sz w:val="22"/>
          <w:szCs w:val="22"/>
        </w:rPr>
      </w:pPr>
      <w:r w:rsidRPr="0085730F">
        <w:rPr>
          <w:rFonts w:ascii="Arial" w:hAnsi="Arial" w:cs="Arial"/>
          <w:b/>
          <w:sz w:val="22"/>
          <w:szCs w:val="22"/>
        </w:rPr>
        <w:t>2.1 Experimental site</w:t>
      </w:r>
    </w:p>
    <w:p w14:paraId="3E0D0967" w14:textId="77777777" w:rsidR="00681AEA" w:rsidRPr="0085730F" w:rsidRDefault="00613667">
      <w:pPr>
        <w:spacing w:line="360" w:lineRule="auto"/>
        <w:jc w:val="both"/>
        <w:rPr>
          <w:rFonts w:ascii="Arial" w:hAnsi="Arial" w:cs="Arial"/>
          <w:sz w:val="22"/>
          <w:szCs w:val="22"/>
          <w:lang w:val="en-GB"/>
        </w:rPr>
      </w:pPr>
      <w:r w:rsidRPr="0085730F">
        <w:rPr>
          <w:rFonts w:ascii="Arial" w:hAnsi="Arial" w:cs="Arial"/>
          <w:sz w:val="22"/>
          <w:szCs w:val="22"/>
          <w:lang w:val="en-GB"/>
        </w:rPr>
        <w:t xml:space="preserve">This study was conducted at the Animal House of the Department of Pharmacology, Faculty of Basic Medical Sciences, Delta State University, </w:t>
      </w:r>
      <w:proofErr w:type="spellStart"/>
      <w:r w:rsidRPr="0085730F">
        <w:rPr>
          <w:rFonts w:ascii="Arial" w:hAnsi="Arial" w:cs="Arial"/>
          <w:sz w:val="22"/>
          <w:szCs w:val="22"/>
          <w:lang w:val="en-GB"/>
        </w:rPr>
        <w:t>Abraka</w:t>
      </w:r>
      <w:proofErr w:type="spellEnd"/>
      <w:r w:rsidRPr="0085730F">
        <w:rPr>
          <w:rFonts w:ascii="Arial" w:hAnsi="Arial" w:cs="Arial"/>
          <w:sz w:val="22"/>
          <w:szCs w:val="22"/>
          <w:lang w:val="en-GB"/>
        </w:rPr>
        <w:t>.</w:t>
      </w:r>
    </w:p>
    <w:p w14:paraId="152E9348" w14:textId="77777777" w:rsidR="00681AEA" w:rsidRPr="0085730F" w:rsidRDefault="00613667">
      <w:pPr>
        <w:spacing w:line="360" w:lineRule="auto"/>
        <w:jc w:val="both"/>
        <w:rPr>
          <w:rFonts w:ascii="Arial" w:hAnsi="Arial" w:cs="Arial"/>
          <w:sz w:val="22"/>
          <w:szCs w:val="22"/>
        </w:rPr>
      </w:pPr>
      <w:r w:rsidRPr="0085730F">
        <w:rPr>
          <w:rFonts w:ascii="Arial" w:hAnsi="Arial" w:cs="Arial"/>
          <w:b/>
          <w:sz w:val="22"/>
          <w:szCs w:val="22"/>
        </w:rPr>
        <w:t>2.1.1</w:t>
      </w:r>
      <w:r w:rsidRPr="0085730F">
        <w:rPr>
          <w:rFonts w:ascii="Arial" w:hAnsi="Arial" w:cs="Arial"/>
          <w:b/>
          <w:sz w:val="22"/>
          <w:szCs w:val="22"/>
        </w:rPr>
        <w:t xml:space="preserve"> Experimental Animals</w:t>
      </w:r>
    </w:p>
    <w:p w14:paraId="36D4E2FC" w14:textId="77777777" w:rsidR="00681AEA" w:rsidRPr="0085730F" w:rsidRDefault="00613667">
      <w:pPr>
        <w:spacing w:line="360" w:lineRule="auto"/>
        <w:jc w:val="both"/>
        <w:rPr>
          <w:rFonts w:ascii="Arial" w:hAnsi="Arial" w:cs="Arial"/>
          <w:sz w:val="22"/>
          <w:szCs w:val="22"/>
          <w:lang w:val="en-GB"/>
        </w:rPr>
      </w:pPr>
      <w:r w:rsidRPr="0085730F">
        <w:rPr>
          <w:rFonts w:ascii="Arial" w:hAnsi="Arial" w:cs="Arial"/>
          <w:sz w:val="22"/>
          <w:szCs w:val="22"/>
          <w:lang w:val="en-GB"/>
        </w:rPr>
        <w:t xml:space="preserve">Forty-two (50) adults male Wistar rats weighing between 90–140 g </w:t>
      </w:r>
      <w:proofErr w:type="gramStart"/>
      <w:r w:rsidRPr="0085730F">
        <w:rPr>
          <w:rFonts w:ascii="Arial" w:hAnsi="Arial" w:cs="Arial"/>
          <w:sz w:val="22"/>
          <w:szCs w:val="22"/>
          <w:lang w:val="en-GB"/>
        </w:rPr>
        <w:t>were</w:t>
      </w:r>
      <w:proofErr w:type="gramEnd"/>
      <w:r w:rsidRPr="0085730F">
        <w:rPr>
          <w:rFonts w:ascii="Arial" w:hAnsi="Arial" w:cs="Arial"/>
          <w:sz w:val="22"/>
          <w:szCs w:val="22"/>
          <w:lang w:val="en-GB"/>
        </w:rPr>
        <w:t xml:space="preserve"> procured from the Animal House Unit, Faculty of Basic Medical Sciences, Delta State University, </w:t>
      </w:r>
      <w:proofErr w:type="spellStart"/>
      <w:r w:rsidRPr="0085730F">
        <w:rPr>
          <w:rFonts w:ascii="Arial" w:hAnsi="Arial" w:cs="Arial"/>
          <w:sz w:val="22"/>
          <w:szCs w:val="22"/>
          <w:lang w:val="en-GB"/>
        </w:rPr>
        <w:t>Abraka</w:t>
      </w:r>
      <w:proofErr w:type="spellEnd"/>
      <w:r w:rsidRPr="0085730F">
        <w:rPr>
          <w:rFonts w:ascii="Arial" w:hAnsi="Arial" w:cs="Arial"/>
          <w:sz w:val="22"/>
          <w:szCs w:val="22"/>
          <w:lang w:val="en-GB"/>
        </w:rPr>
        <w:t>. The animals were acclimatized for two weeks under standard l</w:t>
      </w:r>
      <w:r w:rsidRPr="0085730F">
        <w:rPr>
          <w:rFonts w:ascii="Arial" w:hAnsi="Arial" w:cs="Arial"/>
          <w:sz w:val="22"/>
          <w:szCs w:val="22"/>
          <w:lang w:val="en-GB"/>
        </w:rPr>
        <w:t>aboratory conditions: a 12-hour light/dark cycle, temperature range of 20–31°C, with unrestricted access to standard rat feed and water. Ethical approval was obtained from the Delta State University Animal Care and Use Research Ethics Committee, in accorda</w:t>
      </w:r>
      <w:r w:rsidRPr="0085730F">
        <w:rPr>
          <w:rFonts w:ascii="Arial" w:hAnsi="Arial" w:cs="Arial"/>
          <w:sz w:val="22"/>
          <w:szCs w:val="22"/>
          <w:lang w:val="en-GB"/>
        </w:rPr>
        <w:t>nce with the National Institutes of Health Guide for the Care and Use of Laboratory Animals (NIH Publication No. 85-23, revised 1985).</w:t>
      </w:r>
    </w:p>
    <w:p w14:paraId="2014AF5F" w14:textId="77777777" w:rsidR="00681AEA" w:rsidRPr="0085730F" w:rsidRDefault="00613667">
      <w:pPr>
        <w:spacing w:line="360" w:lineRule="auto"/>
        <w:jc w:val="both"/>
        <w:rPr>
          <w:rFonts w:ascii="Arial" w:hAnsi="Arial" w:cs="Arial"/>
          <w:sz w:val="22"/>
          <w:szCs w:val="22"/>
        </w:rPr>
      </w:pPr>
      <w:r w:rsidRPr="0085730F">
        <w:rPr>
          <w:rFonts w:ascii="Arial" w:hAnsi="Arial" w:cs="Arial"/>
          <w:b/>
          <w:sz w:val="22"/>
          <w:szCs w:val="22"/>
        </w:rPr>
        <w:t>2.1.2 Apparatus/Equipment</w:t>
      </w:r>
    </w:p>
    <w:p w14:paraId="54989079" w14:textId="77777777" w:rsidR="00681AEA" w:rsidRPr="0085730F" w:rsidRDefault="00613667">
      <w:pPr>
        <w:spacing w:line="360" w:lineRule="auto"/>
        <w:jc w:val="both"/>
        <w:rPr>
          <w:rFonts w:ascii="Arial" w:hAnsi="Arial" w:cs="Arial"/>
          <w:sz w:val="22"/>
          <w:szCs w:val="22"/>
          <w:lang w:val="en-GB"/>
        </w:rPr>
      </w:pPr>
      <w:r w:rsidRPr="0085730F">
        <w:rPr>
          <w:rFonts w:ascii="Arial" w:hAnsi="Arial" w:cs="Arial"/>
          <w:sz w:val="22"/>
          <w:szCs w:val="22"/>
          <w:lang w:val="en-GB"/>
        </w:rPr>
        <w:t>The following equipment was used: plastic cages (42 × 30 × 27 cm), needles, syringes, oral cann</w:t>
      </w:r>
      <w:r w:rsidRPr="0085730F">
        <w:rPr>
          <w:rFonts w:ascii="Arial" w:hAnsi="Arial" w:cs="Arial"/>
          <w:sz w:val="22"/>
          <w:szCs w:val="22"/>
          <w:lang w:val="en-GB"/>
        </w:rPr>
        <w:t>ula, wash bottles, hand gloves, Y-maze, open-field apparatus, tissue homogenizer, refrigerated centrifuge, digital weighing balance (JA 2003), VIS spectrophotometer (722N), thermostatic water bath (DK 420), incubator (</w:t>
      </w:r>
      <w:proofErr w:type="spellStart"/>
      <w:r w:rsidRPr="0085730F">
        <w:rPr>
          <w:rFonts w:ascii="Arial" w:hAnsi="Arial" w:cs="Arial"/>
          <w:sz w:val="22"/>
          <w:szCs w:val="22"/>
          <w:lang w:val="en-GB"/>
        </w:rPr>
        <w:t>Techmel</w:t>
      </w:r>
      <w:proofErr w:type="spellEnd"/>
      <w:r w:rsidRPr="0085730F">
        <w:rPr>
          <w:rFonts w:ascii="Arial" w:hAnsi="Arial" w:cs="Arial"/>
          <w:sz w:val="22"/>
          <w:szCs w:val="22"/>
          <w:lang w:val="en-GB"/>
        </w:rPr>
        <w:t xml:space="preserve"> and </w:t>
      </w:r>
      <w:proofErr w:type="spellStart"/>
      <w:r w:rsidRPr="0085730F">
        <w:rPr>
          <w:rFonts w:ascii="Arial" w:hAnsi="Arial" w:cs="Arial"/>
          <w:sz w:val="22"/>
          <w:szCs w:val="22"/>
          <w:lang w:val="en-GB"/>
        </w:rPr>
        <w:t>Techmel</w:t>
      </w:r>
      <w:proofErr w:type="spellEnd"/>
      <w:r w:rsidRPr="0085730F">
        <w:rPr>
          <w:rFonts w:ascii="Arial" w:hAnsi="Arial" w:cs="Arial"/>
          <w:sz w:val="22"/>
          <w:szCs w:val="22"/>
          <w:lang w:val="en-GB"/>
        </w:rPr>
        <w:t xml:space="preserve"> USA), refrigerator</w:t>
      </w:r>
      <w:r w:rsidRPr="0085730F">
        <w:rPr>
          <w:rFonts w:ascii="Arial" w:hAnsi="Arial" w:cs="Arial"/>
          <w:sz w:val="22"/>
          <w:szCs w:val="22"/>
          <w:lang w:val="en-GB"/>
        </w:rPr>
        <w:t xml:space="preserve"> (Haier </w:t>
      </w:r>
      <w:proofErr w:type="spellStart"/>
      <w:r w:rsidRPr="0085730F">
        <w:rPr>
          <w:rFonts w:ascii="Arial" w:hAnsi="Arial" w:cs="Arial"/>
          <w:sz w:val="22"/>
          <w:szCs w:val="22"/>
          <w:lang w:val="en-GB"/>
        </w:rPr>
        <w:t>Thermocool</w:t>
      </w:r>
      <w:proofErr w:type="spellEnd"/>
      <w:r w:rsidRPr="0085730F">
        <w:rPr>
          <w:rFonts w:ascii="Arial" w:hAnsi="Arial" w:cs="Arial"/>
          <w:sz w:val="22"/>
          <w:szCs w:val="22"/>
          <w:lang w:val="en-GB"/>
        </w:rPr>
        <w:t xml:space="preserve">), micropipettes (REMI) 100–1000 µl, mortar and pestle, cotton filters, plastic </w:t>
      </w:r>
      <w:r w:rsidRPr="0085730F">
        <w:rPr>
          <w:rFonts w:ascii="Arial" w:hAnsi="Arial" w:cs="Arial"/>
          <w:sz w:val="22"/>
          <w:szCs w:val="22"/>
          <w:lang w:val="en-GB"/>
        </w:rPr>
        <w:lastRenderedPageBreak/>
        <w:t>containers, test tubes, racks, floating bath, microtome, tissue processor, cassettes, microscope slides, measuring cylinders, staining racks, cover slips, dis</w:t>
      </w:r>
      <w:r w:rsidRPr="0085730F">
        <w:rPr>
          <w:rFonts w:ascii="Arial" w:hAnsi="Arial" w:cs="Arial"/>
          <w:sz w:val="22"/>
          <w:szCs w:val="22"/>
          <w:lang w:val="en-GB"/>
        </w:rPr>
        <w:t>secting kit, and laboratory coats.</w:t>
      </w:r>
    </w:p>
    <w:p w14:paraId="7BEB5E4D" w14:textId="77777777" w:rsidR="00681AEA" w:rsidRPr="0085730F" w:rsidRDefault="00613667">
      <w:pPr>
        <w:spacing w:line="360" w:lineRule="auto"/>
        <w:rPr>
          <w:rFonts w:ascii="Arial" w:hAnsi="Arial" w:cs="Arial"/>
          <w:sz w:val="22"/>
          <w:szCs w:val="22"/>
        </w:rPr>
      </w:pPr>
      <w:r w:rsidRPr="0085730F">
        <w:rPr>
          <w:rFonts w:ascii="Arial" w:hAnsi="Arial" w:cs="Arial"/>
          <w:b/>
          <w:sz w:val="22"/>
          <w:szCs w:val="22"/>
        </w:rPr>
        <w:t>2.1.3 Chemicals/Reagents</w:t>
      </w:r>
    </w:p>
    <w:p w14:paraId="0F8DA2D7" w14:textId="77777777" w:rsidR="00681AEA" w:rsidRPr="0085730F" w:rsidRDefault="00613667">
      <w:pPr>
        <w:spacing w:line="360" w:lineRule="auto"/>
        <w:jc w:val="both"/>
        <w:rPr>
          <w:rFonts w:ascii="Arial" w:hAnsi="Arial" w:cs="Arial"/>
          <w:sz w:val="22"/>
          <w:szCs w:val="22"/>
          <w:lang w:val="en-GB"/>
        </w:rPr>
      </w:pPr>
      <w:r w:rsidRPr="0085730F">
        <w:rPr>
          <w:rFonts w:ascii="Arial" w:hAnsi="Arial" w:cs="Arial"/>
          <w:sz w:val="22"/>
          <w:szCs w:val="22"/>
          <w:lang w:val="en-GB"/>
        </w:rPr>
        <w:t xml:space="preserve">Analytical-grade reagents were used, including: Polyvinyl chloride (PVC), 5,5′-dithiobis (2-nitrobenzoic acid) (DTNB), trichloroacetic acid (TCA), </w:t>
      </w:r>
      <w:proofErr w:type="spellStart"/>
      <w:r w:rsidRPr="0085730F">
        <w:rPr>
          <w:rFonts w:ascii="Arial" w:hAnsi="Arial" w:cs="Arial"/>
          <w:sz w:val="22"/>
          <w:szCs w:val="22"/>
          <w:lang w:val="en-GB"/>
        </w:rPr>
        <w:t>thiobarbituric</w:t>
      </w:r>
      <w:proofErr w:type="spellEnd"/>
      <w:r w:rsidRPr="0085730F">
        <w:rPr>
          <w:rFonts w:ascii="Arial" w:hAnsi="Arial" w:cs="Arial"/>
          <w:sz w:val="22"/>
          <w:szCs w:val="22"/>
          <w:lang w:val="en-GB"/>
        </w:rPr>
        <w:t xml:space="preserve"> acid (TBA), Tris (hydroxymethyl)am</w:t>
      </w:r>
      <w:r w:rsidRPr="0085730F">
        <w:rPr>
          <w:rFonts w:ascii="Arial" w:hAnsi="Arial" w:cs="Arial"/>
          <w:sz w:val="22"/>
          <w:szCs w:val="22"/>
          <w:lang w:val="en-GB"/>
        </w:rPr>
        <w:t>inomethane (Tris buffer), acetic acid, sodium bicarbonate, sodium carbonate, disodium hydrogen phosphate monohydrate, sodium dihydrogen phosphate monohydrate, potassium dichromate, potassium chloride, and sodium hydroxide—all sourced from reputable supplie</w:t>
      </w:r>
      <w:r w:rsidRPr="0085730F">
        <w:rPr>
          <w:rFonts w:ascii="Arial" w:hAnsi="Arial" w:cs="Arial"/>
          <w:sz w:val="22"/>
          <w:szCs w:val="22"/>
          <w:lang w:val="en-GB"/>
        </w:rPr>
        <w:t>rs such as Aldrich, BDH, and Sigma-Aldrich.</w:t>
      </w:r>
    </w:p>
    <w:p w14:paraId="47ACD71D" w14:textId="77777777" w:rsidR="00681AEA" w:rsidRPr="0085730F" w:rsidRDefault="00613667">
      <w:pPr>
        <w:spacing w:line="360" w:lineRule="auto"/>
        <w:jc w:val="both"/>
        <w:rPr>
          <w:rFonts w:ascii="Arial" w:hAnsi="Arial" w:cs="Arial"/>
          <w:b/>
          <w:sz w:val="22"/>
          <w:szCs w:val="22"/>
        </w:rPr>
      </w:pPr>
      <w:r w:rsidRPr="0085730F">
        <w:rPr>
          <w:rFonts w:ascii="Arial" w:hAnsi="Arial" w:cs="Arial"/>
          <w:b/>
          <w:sz w:val="22"/>
          <w:szCs w:val="22"/>
        </w:rPr>
        <w:t>2.2.0 Experimental Design</w:t>
      </w:r>
    </w:p>
    <w:p w14:paraId="4CC5588A" w14:textId="77777777" w:rsidR="00681AEA" w:rsidRPr="0085730F" w:rsidRDefault="00613667">
      <w:pPr>
        <w:spacing w:line="360" w:lineRule="auto"/>
        <w:jc w:val="both"/>
        <w:rPr>
          <w:rFonts w:ascii="Arial" w:hAnsi="Arial" w:cs="Arial"/>
          <w:b/>
          <w:sz w:val="22"/>
          <w:szCs w:val="22"/>
          <w:lang w:val="en-GB"/>
        </w:rPr>
      </w:pPr>
      <w:r w:rsidRPr="0085730F">
        <w:rPr>
          <w:rFonts w:ascii="Arial" w:hAnsi="Arial" w:cs="Arial"/>
          <w:b/>
          <w:sz w:val="22"/>
          <w:szCs w:val="22"/>
          <w:lang w:val="en-GB"/>
        </w:rPr>
        <w:t>2.2.1 PVC and Cyclohexanone Stock Preparation</w:t>
      </w:r>
    </w:p>
    <w:p w14:paraId="49E27A47" w14:textId="77777777" w:rsidR="00681AEA" w:rsidRPr="0085730F" w:rsidRDefault="00613667">
      <w:pPr>
        <w:spacing w:line="360" w:lineRule="auto"/>
        <w:jc w:val="both"/>
        <w:rPr>
          <w:rFonts w:ascii="Arial" w:hAnsi="Arial" w:cs="Arial"/>
          <w:sz w:val="22"/>
          <w:szCs w:val="22"/>
          <w:lang w:val="en-GB"/>
        </w:rPr>
      </w:pPr>
      <w:r w:rsidRPr="0085730F">
        <w:rPr>
          <w:rFonts w:ascii="Arial" w:hAnsi="Arial" w:cs="Arial"/>
          <w:sz w:val="22"/>
          <w:szCs w:val="22"/>
          <w:lang w:val="en-GB"/>
        </w:rPr>
        <w:t xml:space="preserve">PVC stock was prepared by dissolving 0.01 g of PVC in 1 ml of cyclohexanone (modified from Finlayson &amp; Cooke, 1951), followed by the </w:t>
      </w:r>
      <w:r w:rsidRPr="0085730F">
        <w:rPr>
          <w:rFonts w:ascii="Arial" w:hAnsi="Arial" w:cs="Arial"/>
          <w:sz w:val="22"/>
          <w:szCs w:val="22"/>
          <w:lang w:val="en-GB"/>
        </w:rPr>
        <w:t>addition of 9 ml of absolute ethanol and 190 ml of distilled water to make a final volume of 200 ml (adapted from Herrera et al., 2018).</w:t>
      </w:r>
    </w:p>
    <w:p w14:paraId="1079CEF6" w14:textId="77777777" w:rsidR="00681AEA" w:rsidRPr="0085730F" w:rsidRDefault="00613667">
      <w:pPr>
        <w:spacing w:line="360" w:lineRule="auto"/>
        <w:jc w:val="both"/>
        <w:rPr>
          <w:rFonts w:ascii="Arial" w:hAnsi="Arial" w:cs="Arial"/>
          <w:b/>
          <w:sz w:val="22"/>
          <w:szCs w:val="22"/>
          <w:shd w:val="clear" w:color="auto" w:fill="FFFFFF"/>
          <w:lang w:val="en-GB"/>
        </w:rPr>
      </w:pPr>
      <w:r w:rsidRPr="0085730F">
        <w:rPr>
          <w:rFonts w:ascii="Arial" w:hAnsi="Arial" w:cs="Arial"/>
          <w:b/>
          <w:sz w:val="22"/>
          <w:szCs w:val="22"/>
        </w:rPr>
        <w:t>2.2.2 In vivo exposure</w:t>
      </w:r>
    </w:p>
    <w:p w14:paraId="2C056CB0" w14:textId="77777777" w:rsidR="00681AEA" w:rsidRPr="0085730F" w:rsidRDefault="00613667">
      <w:pPr>
        <w:spacing w:line="360" w:lineRule="auto"/>
        <w:jc w:val="both"/>
        <w:rPr>
          <w:rFonts w:ascii="Arial" w:hAnsi="Arial" w:cs="Arial"/>
          <w:sz w:val="22"/>
          <w:szCs w:val="22"/>
        </w:rPr>
      </w:pPr>
      <w:r w:rsidRPr="0085730F">
        <w:rPr>
          <w:rFonts w:ascii="Arial" w:hAnsi="Arial" w:cs="Arial"/>
          <w:sz w:val="22"/>
          <w:szCs w:val="22"/>
        </w:rPr>
        <w:t xml:space="preserve">The Fifty Adult Male Wistar rats, will be grouped into 4 main groups: A-E containing 10 animals </w:t>
      </w:r>
      <w:r w:rsidRPr="0085730F">
        <w:rPr>
          <w:rFonts w:ascii="Arial" w:hAnsi="Arial" w:cs="Arial"/>
          <w:sz w:val="22"/>
          <w:szCs w:val="22"/>
        </w:rPr>
        <w:t>each. Group A will serve as negative B (Positive control), C, D and E will serve as treatment groups respectively. Group A (negative control) will receive food and deionized water only, while B (positive control will receive 0.1mg/kg of cyclohexanone), whi</w:t>
      </w:r>
      <w:r w:rsidRPr="0085730F">
        <w:rPr>
          <w:rFonts w:ascii="Arial" w:hAnsi="Arial" w:cs="Arial"/>
          <w:sz w:val="22"/>
          <w:szCs w:val="22"/>
        </w:rPr>
        <w:t>le group C, D and E will receive 0.1mg/kg, 0.2mg/kg and 0.3mg/kg of PVC and cyclohexane, food and water. Treatment of animals will be administered daily and terminated on Day 42 following which animals will be euthanized after behavioral evaluation.</w:t>
      </w:r>
    </w:p>
    <w:p w14:paraId="6727740D" w14:textId="77777777" w:rsidR="00681AEA" w:rsidRPr="0085730F" w:rsidRDefault="00613667">
      <w:pPr>
        <w:spacing w:after="80" w:line="360" w:lineRule="auto"/>
        <w:jc w:val="both"/>
        <w:outlineLvl w:val="2"/>
        <w:rPr>
          <w:rFonts w:ascii="Arial" w:hAnsi="Arial" w:cs="Arial"/>
          <w:b/>
          <w:sz w:val="22"/>
          <w:szCs w:val="22"/>
        </w:rPr>
      </w:pPr>
      <w:r w:rsidRPr="0085730F">
        <w:rPr>
          <w:rFonts w:ascii="Arial" w:hAnsi="Arial" w:cs="Arial"/>
          <w:b/>
          <w:sz w:val="22"/>
          <w:szCs w:val="22"/>
        </w:rPr>
        <w:t xml:space="preserve">2.2.3 </w:t>
      </w:r>
      <w:r w:rsidRPr="0085730F">
        <w:rPr>
          <w:rFonts w:ascii="Arial" w:hAnsi="Arial" w:cs="Arial"/>
          <w:b/>
          <w:sz w:val="22"/>
          <w:szCs w:val="22"/>
        </w:rPr>
        <w:t>Dosage selection</w:t>
      </w:r>
    </w:p>
    <w:p w14:paraId="6F9C07F0" w14:textId="77777777" w:rsidR="00681AEA" w:rsidRPr="0085730F" w:rsidRDefault="00613667">
      <w:pPr>
        <w:spacing w:after="240" w:line="360" w:lineRule="auto"/>
        <w:ind w:firstLine="20"/>
        <w:jc w:val="both"/>
        <w:rPr>
          <w:rFonts w:ascii="Arial" w:hAnsi="Arial" w:cs="Arial"/>
          <w:sz w:val="22"/>
          <w:szCs w:val="22"/>
        </w:rPr>
      </w:pPr>
      <w:r w:rsidRPr="0085730F">
        <w:rPr>
          <w:rFonts w:ascii="Arial" w:hAnsi="Arial" w:cs="Arial"/>
          <w:sz w:val="22"/>
          <w:szCs w:val="22"/>
        </w:rPr>
        <w:t>The doses of PVC that will be utilized for this study are 0.1mg/kg, 0.2mg/kg and 0.3mg/kg; and these doses will be selected from a range based on previous conducted studies on microplastics (Deng et al., 2017) and duration of 4</w:t>
      </w:r>
      <w:r w:rsidRPr="0085730F">
        <w:rPr>
          <w:rFonts w:ascii="Arial" w:hAnsi="Arial" w:cs="Arial"/>
          <w:sz w:val="22"/>
          <w:szCs w:val="22"/>
          <w:lang w:val="en-GB"/>
        </w:rPr>
        <w:t>5</w:t>
      </w:r>
      <w:r w:rsidRPr="0085730F">
        <w:rPr>
          <w:rFonts w:ascii="Arial" w:hAnsi="Arial" w:cs="Arial"/>
          <w:sz w:val="22"/>
          <w:szCs w:val="22"/>
        </w:rPr>
        <w:t xml:space="preserve">days for sub-chronic </w:t>
      </w:r>
      <w:proofErr w:type="gramStart"/>
      <w:r w:rsidRPr="0085730F">
        <w:rPr>
          <w:rFonts w:ascii="Arial" w:hAnsi="Arial" w:cs="Arial"/>
          <w:sz w:val="22"/>
          <w:szCs w:val="22"/>
        </w:rPr>
        <w:t>toxicity  will</w:t>
      </w:r>
      <w:proofErr w:type="gramEnd"/>
      <w:r w:rsidRPr="0085730F">
        <w:rPr>
          <w:rFonts w:ascii="Arial" w:hAnsi="Arial" w:cs="Arial"/>
          <w:sz w:val="22"/>
          <w:szCs w:val="22"/>
        </w:rPr>
        <w:t xml:space="preserve"> be modelled based on the study by </w:t>
      </w:r>
      <w:r w:rsidRPr="0085730F">
        <w:rPr>
          <w:rFonts w:ascii="Arial" w:hAnsi="Arial" w:cs="Arial"/>
          <w:sz w:val="22"/>
          <w:szCs w:val="22"/>
          <w:shd w:val="clear" w:color="auto" w:fill="FFFFFF"/>
        </w:rPr>
        <w:t xml:space="preserve">Said, </w:t>
      </w:r>
      <w:r w:rsidRPr="0085730F">
        <w:rPr>
          <w:rFonts w:ascii="Arial" w:hAnsi="Arial" w:cs="Arial"/>
          <w:i/>
          <w:sz w:val="22"/>
          <w:szCs w:val="22"/>
          <w:shd w:val="clear" w:color="auto" w:fill="FFFFFF"/>
        </w:rPr>
        <w:t>et al</w:t>
      </w:r>
      <w:r w:rsidRPr="0085730F">
        <w:rPr>
          <w:rFonts w:ascii="Arial" w:hAnsi="Arial" w:cs="Arial"/>
          <w:sz w:val="22"/>
          <w:szCs w:val="22"/>
          <w:shd w:val="clear" w:color="auto" w:fill="FFFFFF"/>
        </w:rPr>
        <w:t>., (2023).</w:t>
      </w:r>
    </w:p>
    <w:p w14:paraId="4FE96DA2" w14:textId="77777777" w:rsidR="00681AEA" w:rsidRPr="0085730F" w:rsidRDefault="00613667">
      <w:pPr>
        <w:spacing w:line="360" w:lineRule="auto"/>
        <w:jc w:val="both"/>
        <w:rPr>
          <w:rFonts w:ascii="Arial" w:hAnsi="Arial" w:cs="Arial"/>
          <w:sz w:val="22"/>
          <w:szCs w:val="22"/>
        </w:rPr>
      </w:pPr>
      <w:r w:rsidRPr="0085730F">
        <w:rPr>
          <w:rFonts w:ascii="Arial" w:hAnsi="Arial" w:cs="Arial"/>
          <w:b/>
          <w:sz w:val="22"/>
          <w:szCs w:val="22"/>
        </w:rPr>
        <w:t>2.2.4 Protein estimation</w:t>
      </w:r>
    </w:p>
    <w:p w14:paraId="491FCBF9" w14:textId="77777777" w:rsidR="00681AEA" w:rsidRPr="0085730F" w:rsidRDefault="00613667">
      <w:pPr>
        <w:spacing w:line="360" w:lineRule="auto"/>
        <w:jc w:val="both"/>
        <w:rPr>
          <w:rFonts w:ascii="Arial" w:hAnsi="Arial" w:cs="Arial"/>
          <w:sz w:val="22"/>
          <w:szCs w:val="22"/>
          <w:lang w:val="en-GB"/>
        </w:rPr>
      </w:pPr>
      <w:r w:rsidRPr="0085730F">
        <w:rPr>
          <w:rFonts w:ascii="Arial" w:hAnsi="Arial" w:cs="Arial"/>
          <w:sz w:val="22"/>
          <w:szCs w:val="22"/>
          <w:lang w:val="en-GB"/>
        </w:rPr>
        <w:t xml:space="preserve">Total protein concentration was estimated using the biuret method. Briefly, 0.1 mL of sample was diluted with 0.9 mL distilled water and 3 </w:t>
      </w:r>
      <w:r w:rsidRPr="0085730F">
        <w:rPr>
          <w:rFonts w:ascii="Arial" w:hAnsi="Arial" w:cs="Arial"/>
          <w:sz w:val="22"/>
          <w:szCs w:val="22"/>
          <w:lang w:val="en-GB"/>
        </w:rPr>
        <w:t>mL of biuret reagent was added. The mixture was incubated at room temperature for 30 minutes and absorbance was measured at 540 nm. A bovine serum albumin standard (0.01–0.1 mg/mL) was used for calibration (</w:t>
      </w:r>
      <w:proofErr w:type="spellStart"/>
      <w:r w:rsidRPr="0085730F">
        <w:rPr>
          <w:rFonts w:ascii="Arial" w:hAnsi="Arial" w:cs="Arial"/>
          <w:sz w:val="22"/>
          <w:szCs w:val="22"/>
          <w:lang w:val="en-GB"/>
        </w:rPr>
        <w:t>Mahesha</w:t>
      </w:r>
      <w:proofErr w:type="spellEnd"/>
      <w:r w:rsidRPr="0085730F">
        <w:rPr>
          <w:rFonts w:ascii="Arial" w:hAnsi="Arial" w:cs="Arial"/>
          <w:sz w:val="22"/>
          <w:szCs w:val="22"/>
          <w:lang w:val="en-GB"/>
        </w:rPr>
        <w:t>, 2012).</w:t>
      </w:r>
    </w:p>
    <w:p w14:paraId="63E0ED6A" w14:textId="77777777" w:rsidR="00681AEA" w:rsidRPr="0085730F" w:rsidRDefault="00613667">
      <w:pPr>
        <w:spacing w:line="360" w:lineRule="auto"/>
        <w:jc w:val="both"/>
        <w:rPr>
          <w:rFonts w:ascii="Arial" w:hAnsi="Arial" w:cs="Arial"/>
          <w:sz w:val="22"/>
          <w:szCs w:val="22"/>
        </w:rPr>
      </w:pPr>
      <w:r w:rsidRPr="0085730F">
        <w:rPr>
          <w:rFonts w:ascii="Arial" w:hAnsi="Arial" w:cs="Arial"/>
          <w:b/>
          <w:sz w:val="22"/>
          <w:szCs w:val="22"/>
        </w:rPr>
        <w:t>2.2.5 Assessment of total bilirub</w:t>
      </w:r>
      <w:r w:rsidRPr="0085730F">
        <w:rPr>
          <w:rFonts w:ascii="Arial" w:hAnsi="Arial" w:cs="Arial"/>
          <w:b/>
          <w:sz w:val="22"/>
          <w:szCs w:val="22"/>
        </w:rPr>
        <w:t>in</w:t>
      </w:r>
    </w:p>
    <w:p w14:paraId="4700F32B" w14:textId="48E37FF3" w:rsidR="00681AEA" w:rsidRPr="0085730F" w:rsidRDefault="00613667">
      <w:pPr>
        <w:spacing w:line="360" w:lineRule="auto"/>
        <w:jc w:val="both"/>
        <w:rPr>
          <w:rFonts w:ascii="Arial" w:hAnsi="Arial" w:cs="Arial"/>
          <w:sz w:val="22"/>
          <w:szCs w:val="22"/>
        </w:rPr>
      </w:pPr>
      <w:r w:rsidRPr="0085730F">
        <w:rPr>
          <w:rFonts w:ascii="Arial" w:hAnsi="Arial" w:cs="Arial"/>
          <w:sz w:val="22"/>
          <w:szCs w:val="22"/>
        </w:rPr>
        <w:lastRenderedPageBreak/>
        <w:t>Total bilirubin level will be determined by colorimetric method using assay kit (</w:t>
      </w:r>
      <w:proofErr w:type="spellStart"/>
      <w:r w:rsidRPr="0085730F">
        <w:rPr>
          <w:rFonts w:ascii="Arial" w:hAnsi="Arial" w:cs="Arial"/>
          <w:sz w:val="22"/>
          <w:szCs w:val="22"/>
        </w:rPr>
        <w:t>Randox</w:t>
      </w:r>
      <w:proofErr w:type="spellEnd"/>
      <w:r w:rsidRPr="0085730F">
        <w:rPr>
          <w:rFonts w:ascii="Arial" w:hAnsi="Arial" w:cs="Arial"/>
          <w:sz w:val="22"/>
          <w:szCs w:val="22"/>
        </w:rPr>
        <w:t xml:space="preserve">, United Kingdom) according to the manufacturer’s protocol </w:t>
      </w:r>
      <w:proofErr w:type="spellStart"/>
      <w:r w:rsidRPr="0085730F">
        <w:rPr>
          <w:rFonts w:ascii="Arial" w:hAnsi="Arial" w:cs="Arial"/>
          <w:sz w:val="22"/>
          <w:szCs w:val="22"/>
        </w:rPr>
        <w:t>fol</w:t>
      </w:r>
      <w:proofErr w:type="spellEnd"/>
      <w:r w:rsidRPr="0085730F">
        <w:rPr>
          <w:rFonts w:ascii="Arial" w:hAnsi="Arial" w:cs="Arial"/>
          <w:sz w:val="22"/>
          <w:szCs w:val="22"/>
        </w:rPr>
        <w:t xml:space="preserve">-lowing the method earlier described by </w:t>
      </w:r>
      <w:proofErr w:type="spellStart"/>
      <w:r w:rsidRPr="0085730F">
        <w:rPr>
          <w:rFonts w:ascii="Arial" w:hAnsi="Arial" w:cs="Arial"/>
          <w:sz w:val="22"/>
          <w:szCs w:val="22"/>
        </w:rPr>
        <w:t>Jendrassik</w:t>
      </w:r>
      <w:proofErr w:type="spellEnd"/>
      <w:r w:rsidRPr="0085730F">
        <w:rPr>
          <w:rFonts w:ascii="Arial" w:hAnsi="Arial" w:cs="Arial"/>
          <w:sz w:val="22"/>
          <w:szCs w:val="22"/>
        </w:rPr>
        <w:t xml:space="preserve"> and </w:t>
      </w:r>
      <w:proofErr w:type="spellStart"/>
      <w:r w:rsidRPr="0085730F">
        <w:rPr>
          <w:rFonts w:ascii="Arial" w:hAnsi="Arial" w:cs="Arial"/>
          <w:sz w:val="22"/>
          <w:szCs w:val="22"/>
        </w:rPr>
        <w:t>Grof</w:t>
      </w:r>
      <w:proofErr w:type="spellEnd"/>
      <w:r w:rsidRPr="0085730F">
        <w:rPr>
          <w:rFonts w:ascii="Arial" w:hAnsi="Arial" w:cs="Arial"/>
          <w:sz w:val="22"/>
          <w:szCs w:val="22"/>
        </w:rPr>
        <w:t>, 1983. About 0.2 mL of sample was added to 3</w:t>
      </w:r>
      <w:r w:rsidRPr="0085730F">
        <w:rPr>
          <w:rFonts w:ascii="Arial" w:hAnsi="Arial" w:cs="Arial"/>
          <w:sz w:val="22"/>
          <w:szCs w:val="22"/>
        </w:rPr>
        <w:t xml:space="preserve">.0 mL of working solution (dilute hydrochloric acid; 0.7 mmol/L, pH 0.7: containing, 2.5 mmol of sodium nitrite, 10 mmol of </w:t>
      </w:r>
      <w:proofErr w:type="spellStart"/>
      <w:r w:rsidRPr="0085730F">
        <w:rPr>
          <w:rFonts w:ascii="Arial" w:hAnsi="Arial" w:cs="Arial"/>
          <w:sz w:val="22"/>
          <w:szCs w:val="22"/>
        </w:rPr>
        <w:t>sulfanilic</w:t>
      </w:r>
      <w:proofErr w:type="spellEnd"/>
      <w:r w:rsidRPr="0085730F">
        <w:rPr>
          <w:rFonts w:ascii="Arial" w:hAnsi="Arial" w:cs="Arial"/>
          <w:sz w:val="22"/>
          <w:szCs w:val="22"/>
        </w:rPr>
        <w:t xml:space="preserve"> acid, 1.0 mol of citric acid, 0.5 mol of caffeine, 3.0 mol of urea, and 0.5 g of surfactant) for the test and the sample </w:t>
      </w:r>
      <w:r w:rsidRPr="0085730F">
        <w:rPr>
          <w:rFonts w:ascii="Arial" w:hAnsi="Arial" w:cs="Arial"/>
          <w:sz w:val="22"/>
          <w:szCs w:val="22"/>
        </w:rPr>
        <w:t xml:space="preserve">blank, respectively. Thereafter, the mixture will be incubated at room temperature (25 </w:t>
      </w:r>
      <w:r w:rsidRPr="0085730F">
        <w:rPr>
          <w:rFonts w:ascii="Arial" w:hAnsi="Arial" w:cs="Arial"/>
          <w:sz w:val="22"/>
          <w:szCs w:val="22"/>
          <w:vertAlign w:val="superscript"/>
        </w:rPr>
        <w:t xml:space="preserve">o </w:t>
      </w:r>
      <w:r w:rsidRPr="0085730F">
        <w:rPr>
          <w:rFonts w:ascii="Arial" w:hAnsi="Arial" w:cs="Arial"/>
          <w:sz w:val="22"/>
          <w:szCs w:val="22"/>
        </w:rPr>
        <w:t xml:space="preserve">C) for 5 min and read at 578 nm vs the sample blank. </w:t>
      </w:r>
    </w:p>
    <w:p w14:paraId="0A7D9589" w14:textId="77777777" w:rsidR="00681AEA" w:rsidRPr="0085730F" w:rsidRDefault="00613667">
      <w:pPr>
        <w:spacing w:line="360" w:lineRule="auto"/>
        <w:jc w:val="both"/>
        <w:rPr>
          <w:rFonts w:ascii="Arial" w:hAnsi="Arial" w:cs="Arial"/>
          <w:sz w:val="22"/>
          <w:szCs w:val="22"/>
        </w:rPr>
      </w:pPr>
      <w:r w:rsidRPr="0085730F">
        <w:rPr>
          <w:rFonts w:ascii="Arial" w:hAnsi="Arial" w:cs="Arial"/>
          <w:b/>
          <w:sz w:val="22"/>
          <w:szCs w:val="22"/>
        </w:rPr>
        <w:t>2.2.6 Assessment of alanine aminotransferase</w:t>
      </w:r>
    </w:p>
    <w:p w14:paraId="0EDE653D" w14:textId="2BF6F41A" w:rsidR="00681AEA" w:rsidRPr="0085730F" w:rsidRDefault="00613667">
      <w:pPr>
        <w:spacing w:line="360" w:lineRule="auto"/>
        <w:jc w:val="both"/>
        <w:rPr>
          <w:rFonts w:ascii="Arial" w:hAnsi="Arial" w:cs="Arial"/>
          <w:sz w:val="22"/>
          <w:szCs w:val="22"/>
        </w:rPr>
      </w:pPr>
      <w:r w:rsidRPr="0085730F">
        <w:rPr>
          <w:rFonts w:ascii="Arial" w:hAnsi="Arial" w:cs="Arial"/>
          <w:sz w:val="22"/>
          <w:szCs w:val="22"/>
        </w:rPr>
        <w:t xml:space="preserve">Alanine aminotransferase (ALT) activity in serum will be determined </w:t>
      </w:r>
      <w:r w:rsidRPr="0085730F">
        <w:rPr>
          <w:rFonts w:ascii="Arial" w:hAnsi="Arial" w:cs="Arial"/>
          <w:sz w:val="22"/>
          <w:szCs w:val="22"/>
        </w:rPr>
        <w:t>spectrophotometrically. Blood will be collected from each mouse through ocular puncture with the aid of heparinized capillary tube into a lithium heparinized sample bottle and centrifuged at 10000 rpm for 15 min using cold centrifuge. The serum will be col</w:t>
      </w:r>
      <w:r w:rsidRPr="0085730F">
        <w:rPr>
          <w:rFonts w:ascii="Arial" w:hAnsi="Arial" w:cs="Arial"/>
          <w:sz w:val="22"/>
          <w:szCs w:val="22"/>
        </w:rPr>
        <w:t>lected separately for each animal and 0.1 mL of each sample and mixed with 0.5mL solution consisting of sodium phosphate buffer (100 mmol/L, pH 7.4), L-alanine (200 mmol/L), and α-oxoglutarate (2 mmol/L). Thereafter, the mixture will be incubated for exact</w:t>
      </w:r>
      <w:r w:rsidRPr="0085730F">
        <w:rPr>
          <w:rFonts w:ascii="Arial" w:hAnsi="Arial" w:cs="Arial"/>
          <w:sz w:val="22"/>
          <w:szCs w:val="22"/>
        </w:rPr>
        <w:t>ly 30 min at 37˚C. Then, 0.5 ml of 2, 4 dinitrophenylhydrazine (2 mmol/L) was added to the reaction mixture and allowed to stand for exactly 20 min at 25˚C. Thereafter, 5.0 ml of sodium hydroxide (0.4 mol/L) was added, and the absorbance will be read again</w:t>
      </w:r>
      <w:r w:rsidRPr="0085730F">
        <w:rPr>
          <w:rFonts w:ascii="Arial" w:hAnsi="Arial" w:cs="Arial"/>
          <w:sz w:val="22"/>
          <w:szCs w:val="22"/>
        </w:rPr>
        <w:t>st the reagent blank after 5 min at 546 nm. The units of ALT were expressed as U/L.</w:t>
      </w:r>
      <w:r w:rsidR="00CC5BEC" w:rsidRPr="0085730F">
        <w:rPr>
          <w:rFonts w:ascii="Arial" w:hAnsi="Arial" w:cs="Arial"/>
          <w:sz w:val="22"/>
          <w:szCs w:val="22"/>
        </w:rPr>
        <w:t xml:space="preserve"> (George et al., 2011).</w:t>
      </w:r>
    </w:p>
    <w:p w14:paraId="04DE9F0B" w14:textId="77777777" w:rsidR="00681AEA" w:rsidRPr="0085730F" w:rsidRDefault="00613667">
      <w:pPr>
        <w:spacing w:line="360" w:lineRule="auto"/>
        <w:jc w:val="both"/>
        <w:rPr>
          <w:rFonts w:ascii="Arial" w:hAnsi="Arial" w:cs="Arial"/>
          <w:sz w:val="22"/>
          <w:szCs w:val="22"/>
        </w:rPr>
      </w:pPr>
      <w:r w:rsidRPr="0085730F">
        <w:rPr>
          <w:rFonts w:ascii="Arial" w:hAnsi="Arial" w:cs="Arial"/>
          <w:b/>
          <w:sz w:val="22"/>
          <w:szCs w:val="22"/>
        </w:rPr>
        <w:t>2.2.7 Assessment of aspartate aminotransferase</w:t>
      </w:r>
    </w:p>
    <w:p w14:paraId="6B882037" w14:textId="1DD37626" w:rsidR="00681AEA" w:rsidRPr="0085730F" w:rsidRDefault="00613667">
      <w:pPr>
        <w:spacing w:line="360" w:lineRule="auto"/>
        <w:jc w:val="both"/>
        <w:rPr>
          <w:rFonts w:ascii="Arial" w:hAnsi="Arial" w:cs="Arial"/>
          <w:sz w:val="22"/>
          <w:szCs w:val="22"/>
        </w:rPr>
      </w:pPr>
      <w:r w:rsidRPr="0085730F">
        <w:rPr>
          <w:rFonts w:ascii="Arial" w:hAnsi="Arial" w:cs="Arial"/>
          <w:sz w:val="22"/>
          <w:szCs w:val="22"/>
        </w:rPr>
        <w:t>Aspartate aminotransferase (AST) activity in serum will be determined spectrophotometrically. Blood wa</w:t>
      </w:r>
      <w:r w:rsidRPr="0085730F">
        <w:rPr>
          <w:rFonts w:ascii="Arial" w:hAnsi="Arial" w:cs="Arial"/>
          <w:sz w:val="22"/>
          <w:szCs w:val="22"/>
        </w:rPr>
        <w:t>s collected from each mouse through ocular puncture with the aid of heparinized capillary tube into a lithium heparinized sample bottle and will be centrifuged at 10000 rpm for 15 min using cold centrifuge. The serum will be collected separately for each a</w:t>
      </w:r>
      <w:r w:rsidRPr="0085730F">
        <w:rPr>
          <w:rFonts w:ascii="Arial" w:hAnsi="Arial" w:cs="Arial"/>
          <w:sz w:val="22"/>
          <w:szCs w:val="22"/>
        </w:rPr>
        <w:t>nimal and 0.1 mL of each sample was mixed with 0.5mL solution consisting of sodium phosphate buffer (100 mmol/L, pH 7.4), L-aspartate (100 mmol/L), and α-oxoglutarate (2 mmol/L). Thereafter, the mixture will be incubated for exactly 30 min at 37˚C. Then, 0</w:t>
      </w:r>
      <w:r w:rsidRPr="0085730F">
        <w:rPr>
          <w:rFonts w:ascii="Arial" w:hAnsi="Arial" w:cs="Arial"/>
          <w:sz w:val="22"/>
          <w:szCs w:val="22"/>
        </w:rPr>
        <w:t>.5 ml of 2, 4 dinitrophenylhydrazine (2 mmol/L) will be added to the reaction mixture and allowed to stand for exactly 20 min at 25˚C. Thereafter, 5.0 ml of sodium hydroxide (0.4 mol/L) will be added, and the absorbance will be read against the reagent bla</w:t>
      </w:r>
      <w:r w:rsidRPr="0085730F">
        <w:rPr>
          <w:rFonts w:ascii="Arial" w:hAnsi="Arial" w:cs="Arial"/>
          <w:sz w:val="22"/>
          <w:szCs w:val="22"/>
        </w:rPr>
        <w:t>nk after 5 min at 546 nm. The units of AST will be expressed as U/L</w:t>
      </w:r>
      <w:r w:rsidR="00CC5BEC" w:rsidRPr="0085730F">
        <w:rPr>
          <w:rFonts w:ascii="Arial" w:hAnsi="Arial" w:cs="Arial"/>
          <w:sz w:val="22"/>
          <w:szCs w:val="22"/>
        </w:rPr>
        <w:t xml:space="preserve"> (George et al., 2011).</w:t>
      </w:r>
    </w:p>
    <w:p w14:paraId="6048D929" w14:textId="77777777" w:rsidR="00681AEA" w:rsidRPr="0085730F" w:rsidRDefault="00613667">
      <w:pPr>
        <w:spacing w:line="360" w:lineRule="auto"/>
        <w:jc w:val="both"/>
        <w:rPr>
          <w:rFonts w:ascii="Arial" w:hAnsi="Arial" w:cs="Arial"/>
          <w:sz w:val="22"/>
          <w:szCs w:val="22"/>
        </w:rPr>
      </w:pPr>
      <w:r w:rsidRPr="0085730F">
        <w:rPr>
          <w:rFonts w:ascii="Arial" w:hAnsi="Arial" w:cs="Arial"/>
          <w:b/>
          <w:sz w:val="22"/>
          <w:szCs w:val="22"/>
        </w:rPr>
        <w:t>2.2.8 Assessment of alkaline phosphatase</w:t>
      </w:r>
    </w:p>
    <w:p w14:paraId="65BFEB69" w14:textId="72807A0C" w:rsidR="00681AEA" w:rsidRPr="0085730F" w:rsidRDefault="00613667">
      <w:pPr>
        <w:spacing w:line="360" w:lineRule="auto"/>
        <w:ind w:firstLine="20"/>
        <w:jc w:val="both"/>
        <w:rPr>
          <w:rFonts w:ascii="Arial" w:hAnsi="Arial" w:cs="Arial"/>
          <w:sz w:val="22"/>
          <w:szCs w:val="22"/>
        </w:rPr>
      </w:pPr>
      <w:r w:rsidRPr="0085730F">
        <w:rPr>
          <w:rFonts w:ascii="Arial" w:hAnsi="Arial" w:cs="Arial"/>
          <w:sz w:val="22"/>
          <w:szCs w:val="22"/>
        </w:rPr>
        <w:t>Alkaline phosphatase (ALP) activity in serum will be determined spectrophotometrically. Blood will be collected from each mo</w:t>
      </w:r>
      <w:r w:rsidRPr="0085730F">
        <w:rPr>
          <w:rFonts w:ascii="Arial" w:hAnsi="Arial" w:cs="Arial"/>
          <w:sz w:val="22"/>
          <w:szCs w:val="22"/>
        </w:rPr>
        <w:t xml:space="preserve">use through ocular puncture with the aid of heparinized capillary tube into a lithium heparinized sample bottle and centrifuged at 10000 rpm for 15 min using cold </w:t>
      </w:r>
      <w:r w:rsidRPr="0085730F">
        <w:rPr>
          <w:rFonts w:ascii="Arial" w:hAnsi="Arial" w:cs="Arial"/>
          <w:sz w:val="22"/>
          <w:szCs w:val="22"/>
        </w:rPr>
        <w:lastRenderedPageBreak/>
        <w:t>centrifuge. The serum will be collected separately for each animal and 0.05 mL of each sample</w:t>
      </w:r>
      <w:r w:rsidRPr="0085730F">
        <w:rPr>
          <w:rFonts w:ascii="Arial" w:hAnsi="Arial" w:cs="Arial"/>
          <w:sz w:val="22"/>
          <w:szCs w:val="22"/>
        </w:rPr>
        <w:t xml:space="preserve"> will be mixed with a 0.5mL solution consisting of </w:t>
      </w:r>
      <w:proofErr w:type="spellStart"/>
      <w:r w:rsidRPr="0085730F">
        <w:rPr>
          <w:rFonts w:ascii="Arial" w:hAnsi="Arial" w:cs="Arial"/>
          <w:sz w:val="22"/>
          <w:szCs w:val="22"/>
        </w:rPr>
        <w:t>diethanolamine</w:t>
      </w:r>
      <w:proofErr w:type="spellEnd"/>
      <w:r w:rsidRPr="0085730F">
        <w:rPr>
          <w:rFonts w:ascii="Arial" w:hAnsi="Arial" w:cs="Arial"/>
          <w:sz w:val="22"/>
          <w:szCs w:val="22"/>
        </w:rPr>
        <w:t xml:space="preserve"> buffer (1 mol/L, pH 9.8) and Magnesium Chloride (0.5 mmol/L) in a test tube. Then, 3 ml of p-nitrophenyl phosphate (10 mmol/L) will be added to the reaction mixture and allowed to at 25˚C. T</w:t>
      </w:r>
      <w:r w:rsidRPr="0085730F">
        <w:rPr>
          <w:rFonts w:ascii="Arial" w:hAnsi="Arial" w:cs="Arial"/>
          <w:sz w:val="22"/>
          <w:szCs w:val="22"/>
        </w:rPr>
        <w:t>hereafter, absorbance will be read at time 0, 1, 2 and 3 min, respectively at 405 nm (Augustine 2019). The units of ALP were expressed as U/L</w:t>
      </w:r>
      <w:r w:rsidR="00CC5BEC" w:rsidRPr="0085730F">
        <w:rPr>
          <w:rFonts w:ascii="Arial" w:hAnsi="Arial" w:cs="Arial"/>
          <w:sz w:val="22"/>
          <w:szCs w:val="22"/>
        </w:rPr>
        <w:t xml:space="preserve"> (George et al., 2011).</w:t>
      </w:r>
    </w:p>
    <w:p w14:paraId="0EB6FC1B" w14:textId="77777777" w:rsidR="00681AEA" w:rsidRPr="0085730F" w:rsidRDefault="00613667">
      <w:pPr>
        <w:spacing w:line="360" w:lineRule="auto"/>
        <w:jc w:val="both"/>
        <w:rPr>
          <w:rFonts w:ascii="Arial" w:hAnsi="Arial" w:cs="Arial"/>
          <w:sz w:val="22"/>
          <w:szCs w:val="22"/>
        </w:rPr>
      </w:pPr>
      <w:r w:rsidRPr="0085730F">
        <w:rPr>
          <w:rFonts w:ascii="Arial" w:hAnsi="Arial" w:cs="Arial"/>
          <w:b/>
          <w:sz w:val="22"/>
          <w:szCs w:val="22"/>
        </w:rPr>
        <w:t>2.3.0 Determination of glutathione (GSH) concentration</w:t>
      </w:r>
    </w:p>
    <w:p w14:paraId="1CF24CEF" w14:textId="70152D00" w:rsidR="00681AEA" w:rsidRPr="0085730F" w:rsidRDefault="00613667">
      <w:pPr>
        <w:spacing w:line="360" w:lineRule="auto"/>
        <w:jc w:val="both"/>
        <w:rPr>
          <w:rFonts w:ascii="Arial" w:hAnsi="Arial" w:cs="Arial"/>
          <w:sz w:val="22"/>
          <w:szCs w:val="22"/>
          <w:lang w:val="en-GB"/>
        </w:rPr>
      </w:pPr>
      <w:r w:rsidRPr="0085730F">
        <w:rPr>
          <w:rFonts w:ascii="Arial" w:hAnsi="Arial" w:cs="Arial"/>
          <w:sz w:val="22"/>
          <w:szCs w:val="22"/>
        </w:rPr>
        <w:t>Aliquots of brain supernatant of ind</w:t>
      </w:r>
      <w:r w:rsidRPr="0085730F">
        <w:rPr>
          <w:rFonts w:ascii="Arial" w:hAnsi="Arial" w:cs="Arial"/>
          <w:sz w:val="22"/>
          <w:szCs w:val="22"/>
        </w:rPr>
        <w:t xml:space="preserve">ividual mice in the respective treatment groups will be taken and GSH concentration was determined using the method of Moron </w:t>
      </w:r>
      <w:r w:rsidRPr="0085730F">
        <w:rPr>
          <w:rFonts w:ascii="Arial" w:hAnsi="Arial" w:cs="Arial"/>
          <w:i/>
          <w:sz w:val="22"/>
          <w:szCs w:val="22"/>
        </w:rPr>
        <w:t>et al</w:t>
      </w:r>
      <w:r w:rsidRPr="0085730F">
        <w:rPr>
          <w:rFonts w:ascii="Arial" w:hAnsi="Arial" w:cs="Arial"/>
          <w:sz w:val="22"/>
          <w:szCs w:val="22"/>
        </w:rPr>
        <w:t>. (1979). Equal volume (0.4 ml) of brain homogenate and 20% TCA (0.4 ml) will be mixed and then centrifuged using a cold centr</w:t>
      </w:r>
      <w:r w:rsidRPr="0085730F">
        <w:rPr>
          <w:rFonts w:ascii="Arial" w:hAnsi="Arial" w:cs="Arial"/>
          <w:sz w:val="22"/>
          <w:szCs w:val="22"/>
        </w:rPr>
        <w:t>ifuge at 10,000 rpm at 4°C for 20 min. The supernatant (0.25ml) will be added to 2 ml of 0.6mM DTNB and the final volume was made up to 3 ml with phosphate buffer (0.2M, pH 8.0). The absorbance was then read at 412 nm against blank reagent using a spectrop</w:t>
      </w:r>
      <w:r w:rsidRPr="0085730F">
        <w:rPr>
          <w:rFonts w:ascii="Arial" w:hAnsi="Arial" w:cs="Arial"/>
          <w:sz w:val="22"/>
          <w:szCs w:val="22"/>
        </w:rPr>
        <w:t>hotometer. The concentrations of GSH in the brain tissues were expressed as micromoles per gram tissue (</w:t>
      </w:r>
      <w:proofErr w:type="spellStart"/>
      <w:r w:rsidRPr="0085730F">
        <w:rPr>
          <w:rFonts w:ascii="Arial" w:hAnsi="Arial" w:cs="Arial"/>
          <w:sz w:val="22"/>
          <w:szCs w:val="22"/>
        </w:rPr>
        <w:t>μmol</w:t>
      </w:r>
      <w:proofErr w:type="spellEnd"/>
      <w:r w:rsidRPr="0085730F">
        <w:rPr>
          <w:rFonts w:ascii="Arial" w:hAnsi="Arial" w:cs="Arial"/>
          <w:sz w:val="22"/>
          <w:szCs w:val="22"/>
        </w:rPr>
        <w:t>/g tissue).</w:t>
      </w:r>
      <w:r w:rsidR="00326160" w:rsidRPr="0085730F">
        <w:rPr>
          <w:rFonts w:ascii="Arial" w:hAnsi="Arial" w:cs="Arial"/>
          <w:sz w:val="22"/>
          <w:szCs w:val="22"/>
        </w:rPr>
        <w:t xml:space="preserve"> </w:t>
      </w:r>
      <w:r w:rsidR="00CC5BEC" w:rsidRPr="0085730F">
        <w:rPr>
          <w:rFonts w:ascii="Arial" w:hAnsi="Arial" w:cs="Arial"/>
          <w:sz w:val="22"/>
          <w:szCs w:val="22"/>
        </w:rPr>
        <w:t>(</w:t>
      </w:r>
      <w:proofErr w:type="spellStart"/>
      <w:r w:rsidR="00CC5BEC" w:rsidRPr="0085730F">
        <w:rPr>
          <w:rFonts w:ascii="Arial" w:hAnsi="Arial" w:cs="Arial"/>
          <w:sz w:val="22"/>
          <w:szCs w:val="22"/>
        </w:rPr>
        <w:t>Igben</w:t>
      </w:r>
      <w:proofErr w:type="spellEnd"/>
      <w:r w:rsidR="00CC5BEC" w:rsidRPr="0085730F">
        <w:rPr>
          <w:rFonts w:ascii="Arial" w:hAnsi="Arial" w:cs="Arial"/>
          <w:sz w:val="22"/>
          <w:szCs w:val="22"/>
        </w:rPr>
        <w:t xml:space="preserve"> et al., 2023)</w:t>
      </w:r>
      <w:r w:rsidR="00CC5BEC" w:rsidRPr="0085730F">
        <w:rPr>
          <w:rFonts w:ascii="Arial" w:hAnsi="Arial" w:cs="Arial"/>
          <w:sz w:val="22"/>
          <w:szCs w:val="22"/>
          <w:lang w:val="en-GB"/>
        </w:rPr>
        <w:t>.</w:t>
      </w:r>
    </w:p>
    <w:p w14:paraId="167E3E59" w14:textId="77777777" w:rsidR="00681AEA" w:rsidRPr="0085730F" w:rsidRDefault="00613667">
      <w:pPr>
        <w:spacing w:line="360" w:lineRule="auto"/>
        <w:jc w:val="both"/>
        <w:rPr>
          <w:rFonts w:ascii="Arial" w:hAnsi="Arial" w:cs="Arial"/>
          <w:sz w:val="22"/>
          <w:szCs w:val="22"/>
        </w:rPr>
      </w:pPr>
      <w:r w:rsidRPr="0085730F">
        <w:rPr>
          <w:rFonts w:ascii="Arial" w:hAnsi="Arial" w:cs="Arial"/>
          <w:b/>
          <w:sz w:val="22"/>
          <w:szCs w:val="22"/>
        </w:rPr>
        <w:t>2.3.1 Estimation of malondialdehyde level</w:t>
      </w:r>
    </w:p>
    <w:p w14:paraId="042AA7CA" w14:textId="478A38B5" w:rsidR="00681AEA" w:rsidRPr="0085730F" w:rsidRDefault="00613667">
      <w:pPr>
        <w:spacing w:line="360" w:lineRule="auto"/>
        <w:jc w:val="both"/>
        <w:rPr>
          <w:rFonts w:ascii="Arial" w:hAnsi="Arial" w:cs="Arial"/>
          <w:sz w:val="22"/>
          <w:szCs w:val="22"/>
        </w:rPr>
      </w:pPr>
      <w:r w:rsidRPr="0085730F">
        <w:rPr>
          <w:rFonts w:ascii="Arial" w:hAnsi="Arial" w:cs="Arial"/>
          <w:sz w:val="22"/>
          <w:szCs w:val="22"/>
        </w:rPr>
        <w:t>The liver level of MDA, a biomarker of lipid peroxidation, was estimated</w:t>
      </w:r>
      <w:r w:rsidRPr="0085730F">
        <w:rPr>
          <w:rFonts w:ascii="Arial" w:hAnsi="Arial" w:cs="Arial"/>
          <w:sz w:val="22"/>
          <w:szCs w:val="22"/>
        </w:rPr>
        <w:t xml:space="preserve"> according to the method of Adam-</w:t>
      </w:r>
      <w:proofErr w:type="spellStart"/>
      <w:r w:rsidRPr="0085730F">
        <w:rPr>
          <w:rFonts w:ascii="Arial" w:hAnsi="Arial" w:cs="Arial"/>
          <w:sz w:val="22"/>
          <w:szCs w:val="22"/>
        </w:rPr>
        <w:t>Vizi</w:t>
      </w:r>
      <w:proofErr w:type="spellEnd"/>
      <w:r w:rsidRPr="0085730F">
        <w:rPr>
          <w:rFonts w:ascii="Arial" w:hAnsi="Arial" w:cs="Arial"/>
          <w:sz w:val="22"/>
          <w:szCs w:val="22"/>
        </w:rPr>
        <w:t xml:space="preserve"> and </w:t>
      </w:r>
      <w:proofErr w:type="spellStart"/>
      <w:r w:rsidRPr="0085730F">
        <w:rPr>
          <w:rFonts w:ascii="Arial" w:hAnsi="Arial" w:cs="Arial"/>
          <w:sz w:val="22"/>
          <w:szCs w:val="22"/>
        </w:rPr>
        <w:t>Seregi</w:t>
      </w:r>
      <w:proofErr w:type="spellEnd"/>
      <w:r w:rsidRPr="0085730F">
        <w:rPr>
          <w:rFonts w:ascii="Arial" w:hAnsi="Arial" w:cs="Arial"/>
          <w:sz w:val="22"/>
          <w:szCs w:val="22"/>
        </w:rPr>
        <w:t xml:space="preserve"> (1982). An aliquot of 0.4 ml of the supernatant was mixed with 1.6 ml of Tris–</w:t>
      </w:r>
      <w:proofErr w:type="spellStart"/>
      <w:r w:rsidRPr="0085730F">
        <w:rPr>
          <w:rFonts w:ascii="Arial" w:hAnsi="Arial" w:cs="Arial"/>
          <w:sz w:val="22"/>
          <w:szCs w:val="22"/>
        </w:rPr>
        <w:t>KCl</w:t>
      </w:r>
      <w:proofErr w:type="spellEnd"/>
      <w:r w:rsidRPr="0085730F">
        <w:rPr>
          <w:rFonts w:ascii="Arial" w:hAnsi="Arial" w:cs="Arial"/>
          <w:sz w:val="22"/>
          <w:szCs w:val="22"/>
        </w:rPr>
        <w:t xml:space="preserve"> buffer to which 0.5 ml of 30% TCA was added. Then, 0.5 ml of 0.75% TBA was added and placed in a water bath for 45 min at 80°</w:t>
      </w:r>
      <w:r w:rsidRPr="0085730F">
        <w:rPr>
          <w:rFonts w:ascii="Arial" w:hAnsi="Arial" w:cs="Arial"/>
          <w:sz w:val="22"/>
          <w:szCs w:val="22"/>
        </w:rPr>
        <w:t xml:space="preserve">C. This was then cooled in ice and centrifuged at 3000 rpm for 15 min. The clear supernatant was collected and absorbance measured against a reference blank of distilled water at 532 nm using a spectrophotometer. The MDA concentration was calculated using </w:t>
      </w:r>
      <w:r w:rsidRPr="0085730F">
        <w:rPr>
          <w:rFonts w:ascii="Arial" w:hAnsi="Arial" w:cs="Arial"/>
          <w:sz w:val="22"/>
          <w:szCs w:val="22"/>
        </w:rPr>
        <w:t>a molar extinction coefficient of 1.56×10</w:t>
      </w:r>
      <w:r w:rsidRPr="0085730F">
        <w:rPr>
          <w:rFonts w:ascii="Arial" w:hAnsi="Arial" w:cs="Arial"/>
          <w:sz w:val="22"/>
          <w:szCs w:val="22"/>
          <w:vertAlign w:val="superscript"/>
        </w:rPr>
        <w:t>5</w:t>
      </w:r>
      <w:r w:rsidRPr="0085730F">
        <w:rPr>
          <w:rFonts w:ascii="Arial" w:hAnsi="Arial" w:cs="Arial"/>
          <w:sz w:val="22"/>
          <w:szCs w:val="22"/>
        </w:rPr>
        <w:t xml:space="preserve"> M</w:t>
      </w:r>
      <w:r w:rsidRPr="0085730F">
        <w:rPr>
          <w:rFonts w:ascii="Arial" w:hAnsi="Arial" w:cs="Arial"/>
          <w:sz w:val="22"/>
          <w:szCs w:val="22"/>
          <w:vertAlign w:val="superscript"/>
        </w:rPr>
        <w:t>-1</w:t>
      </w:r>
      <w:r w:rsidRPr="0085730F">
        <w:rPr>
          <w:rFonts w:ascii="Arial" w:hAnsi="Arial" w:cs="Arial"/>
          <w:sz w:val="22"/>
          <w:szCs w:val="22"/>
        </w:rPr>
        <w:t xml:space="preserve"> cm </w:t>
      </w:r>
      <w:r w:rsidRPr="0085730F">
        <w:rPr>
          <w:rFonts w:ascii="Arial" w:hAnsi="Arial" w:cs="Arial"/>
          <w:sz w:val="22"/>
          <w:szCs w:val="22"/>
          <w:vertAlign w:val="superscript"/>
        </w:rPr>
        <w:t>-1</w:t>
      </w:r>
      <w:r w:rsidRPr="0085730F">
        <w:rPr>
          <w:rFonts w:ascii="Arial" w:hAnsi="Arial" w:cs="Arial"/>
          <w:sz w:val="22"/>
          <w:szCs w:val="22"/>
        </w:rPr>
        <w:t xml:space="preserve"> and values were expressed as µmoles of MDA per gram tissue (</w:t>
      </w:r>
      <w:proofErr w:type="spellStart"/>
      <w:r w:rsidR="00326160" w:rsidRPr="0085730F">
        <w:rPr>
          <w:rFonts w:ascii="Arial" w:hAnsi="Arial" w:cs="Arial"/>
          <w:sz w:val="22"/>
          <w:szCs w:val="22"/>
          <w:shd w:val="clear" w:color="auto" w:fill="FFFFFF"/>
        </w:rPr>
        <w:t>Yilgor</w:t>
      </w:r>
      <w:proofErr w:type="spellEnd"/>
      <w:r w:rsidR="00326160" w:rsidRPr="0085730F">
        <w:rPr>
          <w:rFonts w:ascii="Arial" w:hAnsi="Arial" w:cs="Arial"/>
          <w:sz w:val="22"/>
          <w:szCs w:val="22"/>
          <w:shd w:val="clear" w:color="auto" w:fill="FFFFFF"/>
        </w:rPr>
        <w:t xml:space="preserve"> &amp; Demir, 2024</w:t>
      </w:r>
      <w:r w:rsidRPr="0085730F">
        <w:rPr>
          <w:rFonts w:ascii="Arial" w:hAnsi="Arial" w:cs="Arial"/>
          <w:sz w:val="22"/>
          <w:szCs w:val="22"/>
          <w:shd w:val="clear" w:color="auto" w:fill="FFFFFF"/>
        </w:rPr>
        <w:t>).</w:t>
      </w:r>
    </w:p>
    <w:p w14:paraId="7373A07C" w14:textId="77777777" w:rsidR="00681AEA" w:rsidRPr="0085730F" w:rsidRDefault="00613667">
      <w:pPr>
        <w:spacing w:line="360" w:lineRule="auto"/>
        <w:jc w:val="both"/>
        <w:rPr>
          <w:rFonts w:ascii="Arial" w:hAnsi="Arial" w:cs="Arial"/>
          <w:sz w:val="22"/>
          <w:szCs w:val="22"/>
        </w:rPr>
      </w:pPr>
      <w:r w:rsidRPr="0085730F">
        <w:rPr>
          <w:rFonts w:ascii="Arial" w:hAnsi="Arial" w:cs="Arial"/>
          <w:b/>
          <w:sz w:val="22"/>
          <w:szCs w:val="22"/>
        </w:rPr>
        <w:t>2.3.2 Determination of superoxide dismutase (SOD) activity</w:t>
      </w:r>
    </w:p>
    <w:p w14:paraId="35E0A66A" w14:textId="48673752" w:rsidR="00681AEA" w:rsidRPr="0085730F" w:rsidRDefault="00613667">
      <w:pPr>
        <w:spacing w:line="360" w:lineRule="auto"/>
        <w:jc w:val="both"/>
        <w:rPr>
          <w:rFonts w:ascii="Arial" w:hAnsi="Arial" w:cs="Arial"/>
          <w:sz w:val="22"/>
          <w:szCs w:val="22"/>
        </w:rPr>
      </w:pPr>
      <w:r w:rsidRPr="0085730F">
        <w:rPr>
          <w:rFonts w:ascii="Arial" w:hAnsi="Arial" w:cs="Arial"/>
          <w:sz w:val="22"/>
          <w:szCs w:val="22"/>
        </w:rPr>
        <w:t xml:space="preserve">The level of SOD activity was determined by the method of </w:t>
      </w:r>
      <w:proofErr w:type="spellStart"/>
      <w:r w:rsidRPr="0085730F">
        <w:rPr>
          <w:rFonts w:ascii="Arial" w:hAnsi="Arial" w:cs="Arial"/>
          <w:sz w:val="22"/>
          <w:szCs w:val="22"/>
        </w:rPr>
        <w:t>Mis</w:t>
      </w:r>
      <w:r w:rsidRPr="0085730F">
        <w:rPr>
          <w:rFonts w:ascii="Arial" w:hAnsi="Arial" w:cs="Arial"/>
          <w:sz w:val="22"/>
          <w:szCs w:val="22"/>
        </w:rPr>
        <w:t>ra</w:t>
      </w:r>
      <w:proofErr w:type="spellEnd"/>
      <w:r w:rsidRPr="0085730F">
        <w:rPr>
          <w:rFonts w:ascii="Arial" w:hAnsi="Arial" w:cs="Arial"/>
          <w:sz w:val="22"/>
          <w:szCs w:val="22"/>
        </w:rPr>
        <w:t xml:space="preserve"> and </w:t>
      </w:r>
      <w:proofErr w:type="spellStart"/>
      <w:r w:rsidRPr="0085730F">
        <w:rPr>
          <w:rFonts w:ascii="Arial" w:hAnsi="Arial" w:cs="Arial"/>
          <w:sz w:val="22"/>
          <w:szCs w:val="22"/>
        </w:rPr>
        <w:t>Fridovich</w:t>
      </w:r>
      <w:proofErr w:type="spellEnd"/>
      <w:r w:rsidRPr="0085730F">
        <w:rPr>
          <w:rFonts w:ascii="Arial" w:hAnsi="Arial" w:cs="Arial"/>
          <w:sz w:val="22"/>
          <w:szCs w:val="22"/>
        </w:rPr>
        <w:t xml:space="preserve">, (1972). Briefly, 0.1 ml of brain supernatant was added to 2.6 ml of 0.05 M carbonate buffer (pH 10.2) to equilibrate in the spectrophotometer and the reaction started by the addition of 0.3 ml of freshly prepared 0.3 mM adrenaline to the </w:t>
      </w:r>
      <w:r w:rsidRPr="0085730F">
        <w:rPr>
          <w:rFonts w:ascii="Arial" w:hAnsi="Arial" w:cs="Arial"/>
          <w:sz w:val="22"/>
          <w:szCs w:val="22"/>
        </w:rPr>
        <w:t>mixture, which quickly mixed by inversion. The reference cuvette contained 2.6 ml buffer, 0.3 ml of adrenaline and 0.1 ml of distilled water. Then, the increase in absorbance at 480 nm was monitored at 60 s intervals for 3 min. Superoxide dismutase (SOD) a</w:t>
      </w:r>
      <w:r w:rsidRPr="0085730F">
        <w:rPr>
          <w:rFonts w:ascii="Arial" w:hAnsi="Arial" w:cs="Arial"/>
          <w:sz w:val="22"/>
          <w:szCs w:val="22"/>
        </w:rPr>
        <w:t>ctivity was expressed as units of adrenaline consumed per minute per mg protein (</w:t>
      </w:r>
      <w:proofErr w:type="spellStart"/>
      <w:r w:rsidR="00F15057" w:rsidRPr="0085730F">
        <w:rPr>
          <w:rFonts w:ascii="Arial" w:hAnsi="Arial" w:cs="Arial"/>
          <w:sz w:val="22"/>
          <w:szCs w:val="22"/>
        </w:rPr>
        <w:t>igben</w:t>
      </w:r>
      <w:proofErr w:type="spellEnd"/>
      <w:r w:rsidR="00F15057" w:rsidRPr="0085730F">
        <w:rPr>
          <w:rFonts w:ascii="Arial" w:hAnsi="Arial" w:cs="Arial"/>
          <w:sz w:val="22"/>
          <w:szCs w:val="22"/>
        </w:rPr>
        <w:t xml:space="preserve"> et al., 2025</w:t>
      </w:r>
      <w:r w:rsidRPr="0085730F">
        <w:rPr>
          <w:rFonts w:ascii="Arial" w:hAnsi="Arial" w:cs="Arial"/>
          <w:sz w:val="22"/>
          <w:szCs w:val="22"/>
          <w:shd w:val="clear" w:color="auto" w:fill="FFFFFF"/>
        </w:rPr>
        <w:t>).</w:t>
      </w:r>
    </w:p>
    <w:p w14:paraId="065D039B" w14:textId="77777777" w:rsidR="00681AEA" w:rsidRPr="0085730F" w:rsidRDefault="00613667">
      <w:pPr>
        <w:spacing w:line="360" w:lineRule="auto"/>
        <w:jc w:val="both"/>
        <w:rPr>
          <w:rFonts w:ascii="Arial" w:hAnsi="Arial" w:cs="Arial"/>
          <w:sz w:val="22"/>
          <w:szCs w:val="22"/>
        </w:rPr>
      </w:pPr>
      <w:r w:rsidRPr="0085730F">
        <w:rPr>
          <w:rFonts w:ascii="Arial" w:hAnsi="Arial" w:cs="Arial"/>
          <w:b/>
          <w:sz w:val="22"/>
          <w:szCs w:val="22"/>
        </w:rPr>
        <w:t>2.3.3 Estimation of catalase activity</w:t>
      </w:r>
    </w:p>
    <w:p w14:paraId="396015A5" w14:textId="77777777" w:rsidR="00681AEA" w:rsidRPr="0085730F" w:rsidRDefault="00613667">
      <w:pPr>
        <w:spacing w:line="360" w:lineRule="auto"/>
        <w:jc w:val="both"/>
        <w:rPr>
          <w:rFonts w:ascii="Arial" w:hAnsi="Arial" w:cs="Arial"/>
          <w:sz w:val="22"/>
          <w:szCs w:val="22"/>
        </w:rPr>
      </w:pPr>
      <w:r w:rsidRPr="0085730F">
        <w:rPr>
          <w:rFonts w:ascii="Arial" w:hAnsi="Arial" w:cs="Arial"/>
          <w:sz w:val="22"/>
          <w:szCs w:val="22"/>
        </w:rPr>
        <w:lastRenderedPageBreak/>
        <w:t>Catalase activity determined according to the method previously described (Sinha, 1971). Aliquots of mouse brain sup</w:t>
      </w:r>
      <w:r w:rsidRPr="0085730F">
        <w:rPr>
          <w:rFonts w:ascii="Arial" w:hAnsi="Arial" w:cs="Arial"/>
          <w:sz w:val="22"/>
          <w:szCs w:val="22"/>
        </w:rPr>
        <w:t>ernatant (0.1 ml) will be added to 2 ml of sodium phosphate buffer (0.05 M; pH 7.4) and 0.9 ml of H</w:t>
      </w:r>
      <w:r w:rsidRPr="0085730F">
        <w:rPr>
          <w:rFonts w:ascii="Arial" w:hAnsi="Arial" w:cs="Arial"/>
          <w:sz w:val="22"/>
          <w:szCs w:val="22"/>
          <w:vertAlign w:val="subscript"/>
        </w:rPr>
        <w:t>2</w:t>
      </w:r>
      <w:r w:rsidRPr="0085730F">
        <w:rPr>
          <w:rFonts w:ascii="Arial" w:hAnsi="Arial" w:cs="Arial"/>
          <w:sz w:val="22"/>
          <w:szCs w:val="22"/>
        </w:rPr>
        <w:t>O</w:t>
      </w:r>
      <w:r w:rsidRPr="0085730F">
        <w:rPr>
          <w:rFonts w:ascii="Arial" w:hAnsi="Arial" w:cs="Arial"/>
          <w:sz w:val="22"/>
          <w:szCs w:val="22"/>
          <w:vertAlign w:val="subscript"/>
        </w:rPr>
        <w:t>2</w:t>
      </w:r>
      <w:r w:rsidRPr="0085730F">
        <w:rPr>
          <w:rFonts w:ascii="Arial" w:hAnsi="Arial" w:cs="Arial"/>
          <w:sz w:val="22"/>
          <w:szCs w:val="22"/>
        </w:rPr>
        <w:t xml:space="preserve"> (800 µmoles). The reaction mixture was mixed by a gentle swirling motion at room temperature and 1 ml of this mixture was added to 2 ml dichromate/acetic acid reagent. The absorbance was read using a spectrophotometer at a wavelength of 570 nm and change </w:t>
      </w:r>
      <w:r w:rsidRPr="0085730F">
        <w:rPr>
          <w:rFonts w:ascii="Arial" w:hAnsi="Arial" w:cs="Arial"/>
          <w:sz w:val="22"/>
          <w:szCs w:val="22"/>
        </w:rPr>
        <w:t xml:space="preserve">in absorbance at 60 s intervals. The catalase activity was expressed as </w:t>
      </w:r>
      <w:proofErr w:type="spellStart"/>
      <w:r w:rsidRPr="0085730F">
        <w:rPr>
          <w:rFonts w:ascii="Arial" w:hAnsi="Arial" w:cs="Arial"/>
          <w:sz w:val="22"/>
          <w:szCs w:val="22"/>
        </w:rPr>
        <w:t>μmol</w:t>
      </w:r>
      <w:proofErr w:type="spellEnd"/>
      <w:r w:rsidRPr="0085730F">
        <w:rPr>
          <w:rFonts w:ascii="Arial" w:hAnsi="Arial" w:cs="Arial"/>
          <w:sz w:val="22"/>
          <w:szCs w:val="22"/>
        </w:rPr>
        <w:t xml:space="preserve"> of H</w:t>
      </w:r>
      <w:r w:rsidRPr="0085730F">
        <w:rPr>
          <w:rFonts w:ascii="Arial" w:hAnsi="Arial" w:cs="Arial"/>
          <w:sz w:val="22"/>
          <w:szCs w:val="22"/>
          <w:vertAlign w:val="subscript"/>
        </w:rPr>
        <w:t>2</w:t>
      </w:r>
      <w:r w:rsidRPr="0085730F">
        <w:rPr>
          <w:rFonts w:ascii="Arial" w:hAnsi="Arial" w:cs="Arial"/>
          <w:sz w:val="22"/>
          <w:szCs w:val="22"/>
        </w:rPr>
        <w:t>O</w:t>
      </w:r>
      <w:r w:rsidRPr="0085730F">
        <w:rPr>
          <w:rFonts w:ascii="Arial" w:hAnsi="Arial" w:cs="Arial"/>
          <w:sz w:val="22"/>
          <w:szCs w:val="22"/>
          <w:vertAlign w:val="subscript"/>
        </w:rPr>
        <w:t>2</w:t>
      </w:r>
      <w:r w:rsidRPr="0085730F">
        <w:rPr>
          <w:rFonts w:ascii="Arial" w:hAnsi="Arial" w:cs="Arial"/>
          <w:sz w:val="22"/>
          <w:szCs w:val="22"/>
        </w:rPr>
        <w:t xml:space="preserve"> decomposed per minute per mg protein (</w:t>
      </w:r>
      <w:proofErr w:type="spellStart"/>
      <w:r w:rsidRPr="0085730F">
        <w:rPr>
          <w:rFonts w:ascii="Arial" w:hAnsi="Arial" w:cs="Arial"/>
          <w:sz w:val="22"/>
          <w:szCs w:val="22"/>
          <w:shd w:val="clear" w:color="auto" w:fill="FFFFFF"/>
        </w:rPr>
        <w:t>Eduviere</w:t>
      </w:r>
      <w:proofErr w:type="spellEnd"/>
      <w:r w:rsidRPr="0085730F">
        <w:rPr>
          <w:rFonts w:ascii="Arial" w:hAnsi="Arial" w:cs="Arial"/>
          <w:sz w:val="22"/>
          <w:szCs w:val="22"/>
          <w:shd w:val="clear" w:color="auto" w:fill="FFFFFF"/>
        </w:rPr>
        <w:t xml:space="preserve">, </w:t>
      </w:r>
      <w:r w:rsidRPr="0085730F">
        <w:rPr>
          <w:rFonts w:ascii="Arial" w:hAnsi="Arial" w:cs="Arial"/>
          <w:i/>
          <w:sz w:val="22"/>
          <w:szCs w:val="22"/>
          <w:shd w:val="clear" w:color="auto" w:fill="FFFFFF"/>
        </w:rPr>
        <w:t>et al</w:t>
      </w:r>
      <w:r w:rsidRPr="0085730F">
        <w:rPr>
          <w:rFonts w:ascii="Arial" w:hAnsi="Arial" w:cs="Arial"/>
          <w:sz w:val="22"/>
          <w:szCs w:val="22"/>
          <w:shd w:val="clear" w:color="auto" w:fill="FFFFFF"/>
        </w:rPr>
        <w:t>., 2015)</w:t>
      </w:r>
      <w:r w:rsidRPr="0085730F">
        <w:rPr>
          <w:rFonts w:ascii="Arial" w:hAnsi="Arial" w:cs="Arial"/>
          <w:sz w:val="22"/>
          <w:szCs w:val="22"/>
        </w:rPr>
        <w:t>.</w:t>
      </w:r>
    </w:p>
    <w:p w14:paraId="362B2798" w14:textId="77777777" w:rsidR="00681AEA" w:rsidRPr="0085730F" w:rsidRDefault="00613667">
      <w:pPr>
        <w:spacing w:line="360" w:lineRule="auto"/>
        <w:jc w:val="both"/>
        <w:rPr>
          <w:rFonts w:ascii="Arial" w:hAnsi="Arial" w:cs="Arial"/>
          <w:sz w:val="22"/>
          <w:szCs w:val="22"/>
        </w:rPr>
      </w:pPr>
      <w:r w:rsidRPr="0085730F">
        <w:rPr>
          <w:rFonts w:ascii="Arial" w:hAnsi="Arial" w:cs="Arial"/>
          <w:b/>
          <w:sz w:val="22"/>
          <w:szCs w:val="22"/>
        </w:rPr>
        <w:t>2.4.0</w:t>
      </w:r>
      <w:r w:rsidRPr="0085730F">
        <w:rPr>
          <w:rFonts w:ascii="Arial" w:hAnsi="Arial" w:cs="Arial"/>
          <w:sz w:val="22"/>
          <w:szCs w:val="22"/>
        </w:rPr>
        <w:t xml:space="preserve">  </w:t>
      </w:r>
      <w:r w:rsidRPr="0085730F">
        <w:rPr>
          <w:rFonts w:ascii="Arial" w:hAnsi="Arial" w:cs="Arial"/>
          <w:b/>
          <w:sz w:val="22"/>
          <w:szCs w:val="22"/>
        </w:rPr>
        <w:t> Animal sacrifice</w:t>
      </w:r>
    </w:p>
    <w:p w14:paraId="309AC517" w14:textId="77777777" w:rsidR="00681AEA" w:rsidRPr="0085730F" w:rsidRDefault="00613667">
      <w:pPr>
        <w:spacing w:line="360" w:lineRule="auto"/>
        <w:jc w:val="both"/>
        <w:rPr>
          <w:rFonts w:ascii="Arial" w:hAnsi="Arial" w:cs="Arial"/>
          <w:sz w:val="22"/>
          <w:szCs w:val="22"/>
          <w:lang w:val="en-GB"/>
        </w:rPr>
      </w:pPr>
      <w:r w:rsidRPr="0085730F">
        <w:rPr>
          <w:rFonts w:ascii="Arial" w:hAnsi="Arial" w:cs="Arial"/>
          <w:sz w:val="22"/>
          <w:szCs w:val="22"/>
          <w:lang w:val="en-GB"/>
        </w:rPr>
        <w:t>At the end of the 45-day exposure period, rats were weighed and sacrificed by cervi</w:t>
      </w:r>
      <w:r w:rsidRPr="0085730F">
        <w:rPr>
          <w:rFonts w:ascii="Arial" w:hAnsi="Arial" w:cs="Arial"/>
          <w:sz w:val="22"/>
          <w:szCs w:val="22"/>
          <w:lang w:val="en-GB"/>
        </w:rPr>
        <w:t>cal dislocation to avoid interference from anaesthetics.</w:t>
      </w:r>
    </w:p>
    <w:p w14:paraId="3C87D926" w14:textId="77777777" w:rsidR="00681AEA" w:rsidRPr="0085730F" w:rsidRDefault="00613667">
      <w:pPr>
        <w:spacing w:line="360" w:lineRule="auto"/>
        <w:jc w:val="both"/>
        <w:rPr>
          <w:rFonts w:ascii="Arial" w:hAnsi="Arial" w:cs="Arial"/>
          <w:sz w:val="22"/>
          <w:szCs w:val="22"/>
        </w:rPr>
      </w:pPr>
      <w:r w:rsidRPr="0085730F">
        <w:rPr>
          <w:rFonts w:ascii="Arial" w:hAnsi="Arial" w:cs="Arial"/>
          <w:b/>
          <w:sz w:val="22"/>
          <w:szCs w:val="22"/>
        </w:rPr>
        <w:t>2.4.1 Sample collection</w:t>
      </w:r>
    </w:p>
    <w:p w14:paraId="42A25FD2" w14:textId="77777777" w:rsidR="00681AEA" w:rsidRPr="0085730F" w:rsidRDefault="00613667">
      <w:pPr>
        <w:spacing w:line="360" w:lineRule="auto"/>
        <w:rPr>
          <w:rFonts w:ascii="Arial" w:hAnsi="Arial" w:cs="Arial"/>
          <w:sz w:val="22"/>
          <w:szCs w:val="22"/>
          <w:lang w:val="en-GB"/>
        </w:rPr>
      </w:pPr>
      <w:r w:rsidRPr="0085730F">
        <w:rPr>
          <w:rFonts w:ascii="Arial" w:hAnsi="Arial" w:cs="Arial"/>
          <w:sz w:val="22"/>
          <w:szCs w:val="22"/>
          <w:lang w:val="en-GB"/>
        </w:rPr>
        <w:t>Liver, hippocampus and prefrontal cortex was carefully dissected, weighed, and fixed in 10% formal-saline for histological analysis.</w:t>
      </w:r>
    </w:p>
    <w:p w14:paraId="6A42CD09" w14:textId="77777777" w:rsidR="00681AEA" w:rsidRPr="0085730F" w:rsidRDefault="00613667">
      <w:pPr>
        <w:spacing w:line="360" w:lineRule="auto"/>
        <w:jc w:val="both"/>
        <w:rPr>
          <w:rFonts w:ascii="Arial" w:hAnsi="Arial" w:cs="Arial"/>
          <w:sz w:val="22"/>
          <w:szCs w:val="22"/>
        </w:rPr>
      </w:pPr>
      <w:r w:rsidRPr="0085730F">
        <w:rPr>
          <w:rFonts w:ascii="Arial" w:hAnsi="Arial" w:cs="Arial"/>
          <w:b/>
          <w:sz w:val="22"/>
          <w:szCs w:val="22"/>
        </w:rPr>
        <w:t>2.4.2 Tissue processing</w:t>
      </w:r>
    </w:p>
    <w:p w14:paraId="1FC0B2A1" w14:textId="77777777" w:rsidR="00681AEA" w:rsidRPr="0085730F" w:rsidRDefault="00613667">
      <w:pPr>
        <w:spacing w:line="360" w:lineRule="auto"/>
        <w:jc w:val="both"/>
        <w:rPr>
          <w:rFonts w:ascii="Arial" w:hAnsi="Arial" w:cs="Arial"/>
          <w:sz w:val="22"/>
          <w:szCs w:val="22"/>
          <w:lang w:val="en-GB"/>
        </w:rPr>
      </w:pPr>
      <w:r w:rsidRPr="0085730F">
        <w:rPr>
          <w:rFonts w:ascii="Arial" w:hAnsi="Arial" w:cs="Arial"/>
          <w:sz w:val="22"/>
          <w:szCs w:val="22"/>
          <w:lang w:val="en-GB"/>
        </w:rPr>
        <w:t xml:space="preserve">Histology tissues </w:t>
      </w:r>
      <w:r w:rsidRPr="0085730F">
        <w:rPr>
          <w:rFonts w:ascii="Arial" w:hAnsi="Arial" w:cs="Arial"/>
          <w:sz w:val="22"/>
          <w:szCs w:val="22"/>
          <w:lang w:val="en-GB"/>
        </w:rPr>
        <w:t>were processed manually through standard histological stages: fixation, dehydration, clearing, embedding, sectioning, mounting, staining, and photomicrography.</w:t>
      </w:r>
    </w:p>
    <w:p w14:paraId="3E919498" w14:textId="77777777" w:rsidR="00681AEA" w:rsidRPr="0085730F" w:rsidRDefault="00613667">
      <w:pPr>
        <w:rPr>
          <w:rFonts w:ascii="Arial" w:hAnsi="Arial" w:cs="Arial"/>
          <w:sz w:val="22"/>
          <w:szCs w:val="22"/>
        </w:rPr>
      </w:pPr>
      <w:r w:rsidRPr="0085730F">
        <w:rPr>
          <w:rFonts w:ascii="Arial" w:hAnsi="Arial" w:cs="Arial"/>
          <w:b/>
          <w:sz w:val="22"/>
          <w:szCs w:val="22"/>
        </w:rPr>
        <w:t>2.4.3 Photomicrograph</w:t>
      </w:r>
    </w:p>
    <w:p w14:paraId="71FE5758" w14:textId="77777777" w:rsidR="00681AEA" w:rsidRPr="0085730F" w:rsidRDefault="00613667">
      <w:pPr>
        <w:spacing w:line="360" w:lineRule="auto"/>
        <w:jc w:val="both"/>
        <w:rPr>
          <w:rFonts w:ascii="Arial" w:hAnsi="Arial" w:cs="Arial"/>
          <w:sz w:val="22"/>
          <w:szCs w:val="22"/>
          <w:lang w:val="en-GB"/>
        </w:rPr>
      </w:pPr>
      <w:r w:rsidRPr="0085730F">
        <w:rPr>
          <w:rFonts w:ascii="Arial" w:hAnsi="Arial" w:cs="Arial"/>
          <w:sz w:val="22"/>
          <w:szCs w:val="22"/>
          <w:lang w:val="en-GB"/>
        </w:rPr>
        <w:t xml:space="preserve">Prepared slides were viewed under a digital microscope (SCOPETEK DCM 500, </w:t>
      </w:r>
      <w:r w:rsidRPr="0085730F">
        <w:rPr>
          <w:rFonts w:ascii="Arial" w:hAnsi="Arial" w:cs="Arial"/>
          <w:sz w:val="22"/>
          <w:szCs w:val="22"/>
          <w:lang w:val="en-GB"/>
        </w:rPr>
        <w:t>5.0 MP) connected to a computer. Photomicrographs were used to evaluate the histological and cytological effects on the liver, hippocampus and prefrontal cortex.</w:t>
      </w:r>
    </w:p>
    <w:p w14:paraId="4569B9CA" w14:textId="77777777" w:rsidR="00681AEA" w:rsidRPr="0085730F" w:rsidRDefault="00613667">
      <w:pPr>
        <w:spacing w:line="360" w:lineRule="auto"/>
        <w:jc w:val="both"/>
        <w:rPr>
          <w:rFonts w:ascii="Arial" w:hAnsi="Arial" w:cs="Arial"/>
          <w:sz w:val="22"/>
          <w:szCs w:val="22"/>
        </w:rPr>
      </w:pPr>
      <w:r w:rsidRPr="0085730F">
        <w:rPr>
          <w:rFonts w:ascii="Arial" w:hAnsi="Arial" w:cs="Arial"/>
          <w:b/>
          <w:sz w:val="22"/>
          <w:szCs w:val="22"/>
        </w:rPr>
        <w:t xml:space="preserve">2.4.4   </w:t>
      </w:r>
      <w:r w:rsidRPr="0085730F">
        <w:rPr>
          <w:rFonts w:ascii="Arial" w:hAnsi="Arial" w:cs="Arial"/>
          <w:b/>
          <w:sz w:val="22"/>
          <w:szCs w:val="22"/>
        </w:rPr>
        <w:tab/>
        <w:t>Statistical analysis</w:t>
      </w:r>
    </w:p>
    <w:p w14:paraId="040946BD" w14:textId="77777777" w:rsidR="00681AEA" w:rsidRPr="0085730F" w:rsidRDefault="00613667">
      <w:pPr>
        <w:spacing w:line="360" w:lineRule="auto"/>
        <w:jc w:val="both"/>
        <w:rPr>
          <w:rFonts w:ascii="Arial" w:hAnsi="Arial" w:cs="Arial"/>
          <w:sz w:val="22"/>
          <w:szCs w:val="22"/>
        </w:rPr>
      </w:pPr>
      <w:r w:rsidRPr="0085730F">
        <w:rPr>
          <w:rFonts w:ascii="Arial" w:hAnsi="Arial" w:cs="Arial"/>
          <w:sz w:val="22"/>
          <w:szCs w:val="22"/>
        </w:rPr>
        <w:t>Statistical analysis was performed using GraphPad Prism® version</w:t>
      </w:r>
      <w:r w:rsidRPr="0085730F">
        <w:rPr>
          <w:rFonts w:ascii="Arial" w:hAnsi="Arial" w:cs="Arial"/>
          <w:sz w:val="22"/>
          <w:szCs w:val="22"/>
        </w:rPr>
        <w:t xml:space="preserve"> 7.01 (GraphPad Software, Inc., La Jolla, CA, USA). Data were presented as mean ± standard error of mean (SEM). One- or two-way ANOVA followed by Bonferroni post hoc test was used to determine statistical significance. A p-value of </w:t>
      </w:r>
      <w:r w:rsidRPr="0085730F">
        <w:rPr>
          <w:rFonts w:ascii="Arial" w:hAnsi="Arial" w:cs="Arial"/>
          <w:sz w:val="22"/>
          <w:szCs w:val="22"/>
          <w:lang w:val="en-GB"/>
        </w:rPr>
        <w:t>=</w:t>
      </w:r>
      <w:r w:rsidRPr="0085730F">
        <w:rPr>
          <w:rFonts w:ascii="Arial" w:hAnsi="Arial" w:cs="Arial"/>
          <w:sz w:val="22"/>
          <w:szCs w:val="22"/>
        </w:rPr>
        <w:t xml:space="preserve"> .05 was considered sta</w:t>
      </w:r>
      <w:r w:rsidRPr="0085730F">
        <w:rPr>
          <w:rFonts w:ascii="Arial" w:hAnsi="Arial" w:cs="Arial"/>
          <w:sz w:val="22"/>
          <w:szCs w:val="22"/>
        </w:rPr>
        <w:t>tistically significant.</w:t>
      </w:r>
    </w:p>
    <w:p w14:paraId="72EB77A8" w14:textId="77777777" w:rsidR="00681AEA" w:rsidRPr="0085730F" w:rsidRDefault="00613667">
      <w:pPr>
        <w:pStyle w:val="Head1"/>
        <w:spacing w:after="0"/>
        <w:jc w:val="both"/>
        <w:rPr>
          <w:rFonts w:ascii="Arial" w:hAnsi="Arial" w:cs="Arial"/>
        </w:rPr>
      </w:pPr>
      <w:r w:rsidRPr="0085730F">
        <w:rPr>
          <w:rFonts w:ascii="Arial" w:hAnsi="Arial" w:cs="Arial"/>
        </w:rPr>
        <w:t>3. results and discussion</w:t>
      </w:r>
    </w:p>
    <w:p w14:paraId="4E5A4E4F" w14:textId="77777777" w:rsidR="00681AEA" w:rsidRPr="0085730F" w:rsidRDefault="00681AEA">
      <w:pPr>
        <w:pStyle w:val="Head1"/>
        <w:spacing w:after="0"/>
        <w:jc w:val="both"/>
        <w:rPr>
          <w:rFonts w:ascii="Arial" w:hAnsi="Arial" w:cs="Arial"/>
        </w:rPr>
      </w:pPr>
    </w:p>
    <w:p w14:paraId="797B044A" w14:textId="4EB322D2" w:rsidR="00681AEA" w:rsidRPr="0085730F" w:rsidRDefault="00613667">
      <w:pPr>
        <w:spacing w:line="360" w:lineRule="auto"/>
        <w:jc w:val="both"/>
        <w:rPr>
          <w:rFonts w:ascii="Arial" w:hAnsi="Arial" w:cs="Arial"/>
          <w:b/>
          <w:bCs/>
          <w:sz w:val="24"/>
          <w:szCs w:val="24"/>
        </w:rPr>
      </w:pPr>
      <w:r w:rsidRPr="0085730F">
        <w:rPr>
          <w:rFonts w:ascii="Arial" w:hAnsi="Arial" w:cs="Arial"/>
        </w:rPr>
        <w:t>[</w:t>
      </w:r>
      <w:r w:rsidR="00583B94" w:rsidRPr="0085730F">
        <w:rPr>
          <w:noProof/>
        </w:rPr>
        <mc:AlternateContent>
          <mc:Choice Requires="wps">
            <w:drawing>
              <wp:anchor distT="0" distB="0" distL="114300" distR="114300" simplePos="0" relativeHeight="251661312" behindDoc="0" locked="0" layoutInCell="1" allowOverlap="1" wp14:anchorId="2C010481" wp14:editId="5955E15A">
                <wp:simplePos x="0" y="0"/>
                <wp:positionH relativeFrom="column">
                  <wp:posOffset>2524125</wp:posOffset>
                </wp:positionH>
                <wp:positionV relativeFrom="paragraph">
                  <wp:posOffset>300355</wp:posOffset>
                </wp:positionV>
                <wp:extent cx="381000" cy="295275"/>
                <wp:effectExtent l="3810" t="2540" r="0" b="0"/>
                <wp:wrapNone/>
                <wp:docPr id="168762829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52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3CC2FB7" w14:textId="77777777" w:rsidR="00681AEA" w:rsidRDefault="00613667">
                            <w:pPr>
                              <w:rPr>
                                <w:b/>
                                <w:bCs/>
                                <w:sz w:val="24"/>
                                <w:szCs w:val="24"/>
                                <w:lang w:val="en-GB"/>
                              </w:rPr>
                            </w:pPr>
                            <w:r>
                              <w:rPr>
                                <w:b/>
                                <w:bCs/>
                                <w:sz w:val="24"/>
                                <w:szCs w:val="24"/>
                                <w:lang w:val="en-G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2C010481" id="_x0000_t202" coordsize="21600,21600" o:spt="202" path="m,l,21600r21600,l21600,xe">
                <v:stroke joinstyle="miter"/>
                <v:path gradientshapeok="t" o:connecttype="rect"/>
              </v:shapetype>
              <v:shape id="Text Box 21" o:spid="_x0000_s1026" type="#_x0000_t202" style="position:absolute;left:0;text-align:left;margin-left:198.75pt;margin-top:23.65pt;width:30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" stroked="f" strokeweight=".5pt">
                <v:textbox>
                  <w:txbxContent>
                    <w:p w14:paraId="33CC2FB7" w14:textId="77777777" w:rsidR="00681AEA" w:rsidRDefault="00613667">
                      <w:pPr>
                        <w:rPr>
                          <w:b/>
                          <w:bCs/>
                          <w:sz w:val="24"/>
                          <w:szCs w:val="24"/>
                          <w:lang w:val="en-GB"/>
                        </w:rPr>
                      </w:pPr>
                      <w:r>
                        <w:rPr>
                          <w:b/>
                          <w:bCs/>
                          <w:sz w:val="24"/>
                          <w:szCs w:val="24"/>
                          <w:lang w:val="en-GB"/>
                        </w:rPr>
                        <w:t>a</w:t>
                      </w:r>
                    </w:p>
                  </w:txbxContent>
                </v:textbox>
              </v:shape>
            </w:pict>
          </mc:Fallback>
        </mc:AlternateContent>
      </w:r>
      <w:r w:rsidR="00583B94" w:rsidRPr="0085730F">
        <w:rPr>
          <w:noProof/>
        </w:rPr>
        <mc:AlternateContent>
          <mc:Choice Requires="wps">
            <w:drawing>
              <wp:anchor distT="0" distB="0" distL="114300" distR="114300" simplePos="0" relativeHeight="251660288" behindDoc="0" locked="0" layoutInCell="1" allowOverlap="1" wp14:anchorId="3E1684A8" wp14:editId="5599DC0A">
                <wp:simplePos x="0" y="0"/>
                <wp:positionH relativeFrom="column">
                  <wp:posOffset>2676525</wp:posOffset>
                </wp:positionH>
                <wp:positionV relativeFrom="paragraph">
                  <wp:posOffset>300355</wp:posOffset>
                </wp:positionV>
                <wp:extent cx="381000" cy="295275"/>
                <wp:effectExtent l="3810" t="2540" r="0" b="0"/>
                <wp:wrapNone/>
                <wp:docPr id="135014303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52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E11313C" w14:textId="77777777" w:rsidR="00681AEA" w:rsidRDefault="00613667">
                            <w:pPr>
                              <w:rPr>
                                <w:b/>
                                <w:bCs/>
                                <w:sz w:val="24"/>
                                <w:szCs w:val="24"/>
                                <w:lang w:val="en-GB"/>
                              </w:rPr>
                            </w:pPr>
                            <w:r>
                              <w:rPr>
                                <w:b/>
                                <w:bCs/>
                                <w:sz w:val="24"/>
                                <w:szCs w:val="24"/>
                                <w:lang w:val="en-G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E1684A8" id="Text Box 1" o:spid="_x0000_s1027" type="#_x0000_t202" style="position:absolute;left:0;text-align:left;margin-left:210.75pt;margin-top:23.65pt;width:30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" stroked="f" strokeweight=".5pt">
                <v:textbox>
                  <w:txbxContent>
                    <w:p w14:paraId="6E11313C" w14:textId="77777777" w:rsidR="00681AEA" w:rsidRDefault="00613667">
                      <w:pPr>
                        <w:rPr>
                          <w:b/>
                          <w:bCs/>
                          <w:sz w:val="24"/>
                          <w:szCs w:val="24"/>
                          <w:lang w:val="en-GB"/>
                        </w:rPr>
                      </w:pPr>
                      <w:r>
                        <w:rPr>
                          <w:b/>
                          <w:bCs/>
                          <w:sz w:val="24"/>
                          <w:szCs w:val="24"/>
                          <w:lang w:val="en-GB"/>
                        </w:rPr>
                        <w:t>a</w:t>
                      </w:r>
                    </w:p>
                  </w:txbxContent>
                </v:textbox>
              </v:shape>
            </w:pict>
          </mc:Fallback>
        </mc:AlternateContent>
      </w:r>
      <w:r w:rsidRPr="0085730F">
        <w:rPr>
          <w:rFonts w:ascii="Arial" w:hAnsi="Arial" w:cs="Arial"/>
          <w:b/>
          <w:bCs/>
          <w:sz w:val="24"/>
          <w:szCs w:val="24"/>
        </w:rPr>
        <w:t>3.0 RESULTS</w:t>
      </w:r>
    </w:p>
    <w:p w14:paraId="7F6071AE" w14:textId="2A5D9AB5" w:rsidR="00681AEA" w:rsidRPr="0085730F" w:rsidRDefault="00583B94">
      <w:pPr>
        <w:spacing w:line="360" w:lineRule="auto"/>
        <w:rPr>
          <w:rFonts w:ascii="Arial" w:hAnsi="Arial" w:cs="Arial"/>
          <w:b/>
          <w:bCs/>
          <w:sz w:val="24"/>
          <w:szCs w:val="24"/>
          <w:lang w:val="en-GB"/>
        </w:rPr>
      </w:pPr>
      <w:r w:rsidRPr="0085730F">
        <w:rPr>
          <w:noProof/>
        </w:rPr>
        <w:lastRenderedPageBreak/>
        <mc:AlternateContent>
          <mc:Choice Requires="wps">
            <w:drawing>
              <wp:anchor distT="0" distB="0" distL="114300" distR="114300" simplePos="0" relativeHeight="251663360" behindDoc="0" locked="0" layoutInCell="1" allowOverlap="1" wp14:anchorId="00EBF8ED" wp14:editId="600E9456">
                <wp:simplePos x="0" y="0"/>
                <wp:positionH relativeFrom="column">
                  <wp:posOffset>2724150</wp:posOffset>
                </wp:positionH>
                <wp:positionV relativeFrom="paragraph">
                  <wp:posOffset>2898140</wp:posOffset>
                </wp:positionV>
                <wp:extent cx="381000" cy="295275"/>
                <wp:effectExtent l="3810" t="0" r="0" b="3810"/>
                <wp:wrapNone/>
                <wp:docPr id="11115597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52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F4E290F" w14:textId="77777777" w:rsidR="00681AEA" w:rsidRDefault="00613667">
                            <w:pPr>
                              <w:rPr>
                                <w:b/>
                                <w:bCs/>
                                <w:sz w:val="24"/>
                                <w:szCs w:val="24"/>
                                <w:lang w:val="en-GB"/>
                              </w:rPr>
                            </w:pPr>
                            <w:r>
                              <w:rPr>
                                <w:b/>
                                <w:bCs/>
                                <w:sz w:val="24"/>
                                <w:szCs w:val="24"/>
                                <w:lang w:val="en-GB"/>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0EBF8ED" id="Text Box 19" o:spid="_x0000_s1028" type="#_x0000_t202" style="position:absolute;margin-left:214.5pt;margin-top:228.2pt;width:30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" stroked="f" strokeweight=".5pt">
                <v:textbox>
                  <w:txbxContent>
                    <w:p w14:paraId="5F4E290F" w14:textId="77777777" w:rsidR="00681AEA" w:rsidRDefault="00613667">
                      <w:pPr>
                        <w:rPr>
                          <w:b/>
                          <w:bCs/>
                          <w:sz w:val="24"/>
                          <w:szCs w:val="24"/>
                          <w:lang w:val="en-GB"/>
                        </w:rPr>
                      </w:pPr>
                      <w:r>
                        <w:rPr>
                          <w:b/>
                          <w:bCs/>
                          <w:sz w:val="24"/>
                          <w:szCs w:val="24"/>
                          <w:lang w:val="en-GB"/>
                        </w:rPr>
                        <w:t>c</w:t>
                      </w:r>
                    </w:p>
                  </w:txbxContent>
                </v:textbox>
              </v:shape>
            </w:pict>
          </mc:Fallback>
        </mc:AlternateContent>
      </w:r>
      <w:r w:rsidRPr="0085730F">
        <w:rPr>
          <w:noProof/>
        </w:rPr>
        <mc:AlternateContent>
          <mc:Choice Requires="wps">
            <w:drawing>
              <wp:anchor distT="0" distB="0" distL="114300" distR="114300" simplePos="0" relativeHeight="251662336" behindDoc="0" locked="0" layoutInCell="1" allowOverlap="1" wp14:anchorId="77B9520B" wp14:editId="3EFE71B3">
                <wp:simplePos x="0" y="0"/>
                <wp:positionH relativeFrom="column">
                  <wp:posOffset>2571750</wp:posOffset>
                </wp:positionH>
                <wp:positionV relativeFrom="paragraph">
                  <wp:posOffset>1612265</wp:posOffset>
                </wp:positionV>
                <wp:extent cx="381000" cy="295275"/>
                <wp:effectExtent l="3810" t="0" r="0" b="3810"/>
                <wp:wrapNone/>
                <wp:docPr id="13463119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52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F06B65F" w14:textId="77777777" w:rsidR="00681AEA" w:rsidRDefault="00613667">
                            <w:pPr>
                              <w:rPr>
                                <w:b/>
                                <w:bCs/>
                                <w:sz w:val="24"/>
                                <w:szCs w:val="24"/>
                                <w:lang w:val="en-GB"/>
                              </w:rPr>
                            </w:pPr>
                            <w:r>
                              <w:rPr>
                                <w:b/>
                                <w:bCs/>
                                <w:sz w:val="24"/>
                                <w:szCs w:val="24"/>
                                <w:lang w:val="en-G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7B9520B" id="Text Box 18" o:spid="_x0000_s1029" type="#_x0000_t202" style="position:absolute;margin-left:202.5pt;margin-top:126.95pt;width:30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" stroked="f" strokeweight=".5pt">
                <v:textbox>
                  <w:txbxContent>
                    <w:p w14:paraId="4F06B65F" w14:textId="77777777" w:rsidR="00681AEA" w:rsidRDefault="00613667">
                      <w:pPr>
                        <w:rPr>
                          <w:b/>
                          <w:bCs/>
                          <w:sz w:val="24"/>
                          <w:szCs w:val="24"/>
                          <w:lang w:val="en-GB"/>
                        </w:rPr>
                      </w:pPr>
                      <w:r>
                        <w:rPr>
                          <w:b/>
                          <w:bCs/>
                          <w:sz w:val="24"/>
                          <w:szCs w:val="24"/>
                          <w:lang w:val="en-GB"/>
                        </w:rPr>
                        <w:t>b</w:t>
                      </w:r>
                    </w:p>
                  </w:txbxContent>
                </v:textbox>
              </v:shape>
            </w:pict>
          </mc:Fallback>
        </mc:AlternateContent>
      </w:r>
      <w:r w:rsidRPr="0085730F">
        <w:rPr>
          <w:rFonts w:ascii="Arial" w:hAnsi="Arial" w:cs="Arial"/>
          <w:b/>
          <w:bCs/>
          <w:noProof/>
          <w:sz w:val="24"/>
          <w:szCs w:val="24"/>
          <w:lang w:val="en-GB"/>
        </w:rPr>
        <w:drawing>
          <wp:inline distT="0" distB="0" distL="114300" distR="114300" wp14:anchorId="1B8D67CF" wp14:editId="1AD4404D">
            <wp:extent cx="5918200" cy="1457325"/>
            <wp:effectExtent l="0" t="0" r="6350" b="0"/>
            <wp:docPr id="29" name="Picture 29" descr="Pro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rotein"/>
                    <pic:cNvPicPr>
                      <a:picLocks noChangeAspect="1"/>
                    </pic:cNvPicPr>
                  </pic:nvPicPr>
                  <pic:blipFill>
                    <a:blip r:embed="rId15"/>
                    <a:stretch>
                      <a:fillRect/>
                    </a:stretch>
                  </pic:blipFill>
                  <pic:spPr>
                    <a:xfrm>
                      <a:off x="0" y="0"/>
                      <a:ext cx="5928767" cy="1459839"/>
                    </a:xfrm>
                    <a:prstGeom prst="rect">
                      <a:avLst/>
                    </a:prstGeom>
                  </pic:spPr>
                </pic:pic>
              </a:graphicData>
            </a:graphic>
          </wp:inline>
        </w:drawing>
      </w:r>
      <w:r w:rsidRPr="0085730F">
        <w:rPr>
          <w:rFonts w:ascii="Arial" w:hAnsi="Arial" w:cs="Arial"/>
          <w:b/>
          <w:bCs/>
          <w:noProof/>
          <w:sz w:val="24"/>
          <w:szCs w:val="24"/>
          <w:lang w:val="en-GB"/>
        </w:rPr>
        <w:drawing>
          <wp:inline distT="0" distB="0" distL="114300" distR="114300" wp14:anchorId="5BB3841E" wp14:editId="10E04AF1">
            <wp:extent cx="5919470" cy="1314450"/>
            <wp:effectExtent l="0" t="0" r="5080" b="0"/>
            <wp:docPr id="30" name="Picture 30" descr="Biliru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Bilirubin"/>
                    <pic:cNvPicPr>
                      <a:picLocks noChangeAspect="1"/>
                    </pic:cNvPicPr>
                  </pic:nvPicPr>
                  <pic:blipFill>
                    <a:blip r:embed="rId16"/>
                    <a:stretch>
                      <a:fillRect/>
                    </a:stretch>
                  </pic:blipFill>
                  <pic:spPr>
                    <a:xfrm>
                      <a:off x="0" y="0"/>
                      <a:ext cx="5940366" cy="1319090"/>
                    </a:xfrm>
                    <a:prstGeom prst="rect">
                      <a:avLst/>
                    </a:prstGeom>
                  </pic:spPr>
                </pic:pic>
              </a:graphicData>
            </a:graphic>
          </wp:inline>
        </w:drawing>
      </w:r>
    </w:p>
    <w:p w14:paraId="31F62882" w14:textId="77777777" w:rsidR="00681AEA" w:rsidRPr="0085730F" w:rsidRDefault="00613667">
      <w:pPr>
        <w:spacing w:line="360" w:lineRule="auto"/>
        <w:rPr>
          <w:rFonts w:ascii="Arial" w:hAnsi="Arial" w:cs="Arial"/>
          <w:b/>
          <w:bCs/>
          <w:sz w:val="24"/>
          <w:szCs w:val="24"/>
          <w:lang w:val="en-GB"/>
        </w:rPr>
      </w:pPr>
      <w:r w:rsidRPr="0085730F">
        <w:rPr>
          <w:rFonts w:ascii="Arial" w:hAnsi="Arial" w:cs="Arial"/>
          <w:b/>
          <w:bCs/>
          <w:noProof/>
          <w:sz w:val="24"/>
          <w:szCs w:val="24"/>
          <w:lang w:val="en-GB"/>
        </w:rPr>
        <w:drawing>
          <wp:inline distT="0" distB="0" distL="114300" distR="114300" wp14:anchorId="07A7C371" wp14:editId="4A0168E4">
            <wp:extent cx="5920740" cy="1000125"/>
            <wp:effectExtent l="0" t="0" r="3810" b="9525"/>
            <wp:docPr id="31" name="Picture 31" descr="L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FT"/>
                    <pic:cNvPicPr>
                      <a:picLocks noChangeAspect="1"/>
                    </pic:cNvPicPr>
                  </pic:nvPicPr>
                  <pic:blipFill>
                    <a:blip r:embed="rId17"/>
                    <a:stretch>
                      <a:fillRect/>
                    </a:stretch>
                  </pic:blipFill>
                  <pic:spPr>
                    <a:xfrm>
                      <a:off x="0" y="0"/>
                      <a:ext cx="5929273" cy="1001566"/>
                    </a:xfrm>
                    <a:prstGeom prst="rect">
                      <a:avLst/>
                    </a:prstGeom>
                  </pic:spPr>
                </pic:pic>
              </a:graphicData>
            </a:graphic>
          </wp:inline>
        </w:drawing>
      </w:r>
    </w:p>
    <w:p w14:paraId="3F990BAA" w14:textId="2C6CC6D0" w:rsidR="00E764C7" w:rsidRPr="0085730F" w:rsidRDefault="00E764C7">
      <w:pPr>
        <w:spacing w:after="160" w:line="360" w:lineRule="auto"/>
        <w:rPr>
          <w:rFonts w:ascii="Arial" w:hAnsi="Arial" w:cs="Arial"/>
          <w:b/>
          <w:bCs/>
          <w:sz w:val="24"/>
          <w:szCs w:val="24"/>
          <w:lang w:val="en-GB"/>
        </w:rPr>
      </w:pPr>
      <w:r w:rsidRPr="0085730F">
        <w:rPr>
          <w:rFonts w:ascii="Arial" w:hAnsi="Arial" w:cs="Arial"/>
          <w:b/>
          <w:bCs/>
          <w:sz w:val="24"/>
          <w:szCs w:val="24"/>
          <w:lang w:val="en-GB"/>
        </w:rPr>
        <w:t>Fig 1-</w:t>
      </w:r>
      <w:r w:rsidR="00AC4812">
        <w:rPr>
          <w:rFonts w:ascii="Arial" w:hAnsi="Arial" w:cs="Arial"/>
          <w:b/>
          <w:bCs/>
          <w:sz w:val="24"/>
          <w:szCs w:val="24"/>
          <w:lang w:val="en-GB"/>
        </w:rPr>
        <w:t xml:space="preserve"> </w:t>
      </w:r>
      <w:r w:rsidR="00AC4812" w:rsidRPr="00AC4812">
        <w:rPr>
          <w:rFonts w:ascii="Arial" w:hAnsi="Arial" w:cs="Arial"/>
          <w:b/>
          <w:bCs/>
          <w:sz w:val="24"/>
          <w:szCs w:val="24"/>
          <w:lang w:val="en-GB"/>
        </w:rPr>
        <w:t>Effect of PVC on serum total protein</w:t>
      </w:r>
      <w:r w:rsidR="00AC4812">
        <w:rPr>
          <w:rFonts w:ascii="Arial" w:hAnsi="Arial" w:cs="Arial"/>
          <w:b/>
          <w:bCs/>
          <w:sz w:val="24"/>
          <w:szCs w:val="24"/>
          <w:lang w:val="en-GB"/>
        </w:rPr>
        <w:t>,</w:t>
      </w:r>
      <w:r w:rsidR="00AC4812" w:rsidRPr="00AC4812">
        <w:rPr>
          <w:rFonts w:ascii="Arial" w:hAnsi="Arial" w:cs="Arial"/>
          <w:b/>
          <w:bCs/>
          <w:sz w:val="24"/>
          <w:szCs w:val="24"/>
          <w:lang w:val="en-GB"/>
        </w:rPr>
        <w:t xml:space="preserve"> albumin levels</w:t>
      </w:r>
      <w:r w:rsidR="00AC4812">
        <w:rPr>
          <w:rFonts w:ascii="Arial" w:hAnsi="Arial" w:cs="Arial"/>
          <w:b/>
          <w:bCs/>
          <w:sz w:val="24"/>
          <w:szCs w:val="24"/>
          <w:lang w:val="en-GB"/>
        </w:rPr>
        <w:t xml:space="preserve">, </w:t>
      </w:r>
      <w:r w:rsidR="00BB03FF">
        <w:rPr>
          <w:rFonts w:ascii="Arial" w:hAnsi="Arial" w:cs="Arial"/>
          <w:b/>
          <w:bCs/>
          <w:sz w:val="24"/>
          <w:szCs w:val="24"/>
          <w:lang w:val="en-GB"/>
        </w:rPr>
        <w:t xml:space="preserve">total bilirubin, </w:t>
      </w:r>
      <w:r w:rsidR="00AC4812" w:rsidRPr="00AC4812">
        <w:rPr>
          <w:rFonts w:ascii="Arial" w:hAnsi="Arial" w:cs="Arial"/>
          <w:b/>
          <w:bCs/>
          <w:sz w:val="24"/>
          <w:szCs w:val="24"/>
          <w:lang w:val="en-GB"/>
        </w:rPr>
        <w:t>unconjugated bilirubin levels</w:t>
      </w:r>
      <w:r w:rsidR="00BB03FF">
        <w:rPr>
          <w:rFonts w:ascii="Arial" w:hAnsi="Arial" w:cs="Arial"/>
          <w:b/>
          <w:bCs/>
          <w:sz w:val="24"/>
          <w:szCs w:val="24"/>
          <w:lang w:val="en-GB"/>
        </w:rPr>
        <w:t xml:space="preserve"> and </w:t>
      </w:r>
      <w:r w:rsidR="00BB03FF" w:rsidRPr="00BB03FF">
        <w:rPr>
          <w:rFonts w:ascii="Arial" w:hAnsi="Arial" w:cs="Arial"/>
          <w:b/>
          <w:bCs/>
          <w:sz w:val="24"/>
          <w:szCs w:val="24"/>
          <w:lang w:val="en-GB"/>
        </w:rPr>
        <w:t xml:space="preserve">liver function enzyme levels (ALT, AST, and </w:t>
      </w:r>
      <w:proofErr w:type="gramStart"/>
      <w:r w:rsidR="00BB03FF" w:rsidRPr="00BB03FF">
        <w:rPr>
          <w:rFonts w:ascii="Arial" w:hAnsi="Arial" w:cs="Arial"/>
          <w:b/>
          <w:bCs/>
          <w:sz w:val="24"/>
          <w:szCs w:val="24"/>
          <w:lang w:val="en-GB"/>
        </w:rPr>
        <w:t xml:space="preserve">ALP) </w:t>
      </w:r>
      <w:r w:rsidR="00AC4812" w:rsidRPr="00AC4812">
        <w:rPr>
          <w:rFonts w:ascii="Arial" w:hAnsi="Arial" w:cs="Arial"/>
          <w:b/>
          <w:bCs/>
          <w:sz w:val="24"/>
          <w:szCs w:val="24"/>
          <w:lang w:val="en-GB"/>
        </w:rPr>
        <w:t xml:space="preserve"> in</w:t>
      </w:r>
      <w:proofErr w:type="gramEnd"/>
      <w:r w:rsidR="00AC4812" w:rsidRPr="00AC4812">
        <w:rPr>
          <w:rFonts w:ascii="Arial" w:hAnsi="Arial" w:cs="Arial"/>
          <w:b/>
          <w:bCs/>
          <w:sz w:val="24"/>
          <w:szCs w:val="24"/>
          <w:lang w:val="en-GB"/>
        </w:rPr>
        <w:t xml:space="preserve"> </w:t>
      </w:r>
      <w:r w:rsidR="00AC4812">
        <w:rPr>
          <w:rFonts w:ascii="Arial" w:hAnsi="Arial" w:cs="Arial"/>
          <w:b/>
          <w:bCs/>
          <w:sz w:val="24"/>
          <w:szCs w:val="24"/>
          <w:lang w:val="en-GB"/>
        </w:rPr>
        <w:t xml:space="preserve">Wister </w:t>
      </w:r>
      <w:r w:rsidR="00AC4812" w:rsidRPr="00AC4812">
        <w:rPr>
          <w:rFonts w:ascii="Arial" w:hAnsi="Arial" w:cs="Arial"/>
          <w:b/>
          <w:bCs/>
          <w:sz w:val="24"/>
          <w:szCs w:val="24"/>
          <w:lang w:val="en-GB"/>
        </w:rPr>
        <w:t>rats</w:t>
      </w:r>
      <w:r w:rsidR="00AC4812">
        <w:rPr>
          <w:rFonts w:ascii="Arial" w:hAnsi="Arial" w:cs="Arial"/>
          <w:b/>
          <w:bCs/>
          <w:sz w:val="24"/>
          <w:szCs w:val="24"/>
          <w:lang w:val="en-GB"/>
        </w:rPr>
        <w:t xml:space="preserve"> </w:t>
      </w:r>
    </w:p>
    <w:p w14:paraId="4B7CC649" w14:textId="590F6B6D" w:rsidR="00681AEA" w:rsidRPr="0085730F" w:rsidRDefault="00613667">
      <w:pPr>
        <w:spacing w:after="160" w:line="360" w:lineRule="auto"/>
        <w:rPr>
          <w:rFonts w:ascii="Arial" w:hAnsi="Arial" w:cs="Arial"/>
          <w:b/>
          <w:bCs/>
          <w:sz w:val="24"/>
          <w:szCs w:val="24"/>
          <w:lang w:val="en-GB"/>
        </w:rPr>
      </w:pPr>
      <w:r w:rsidRPr="0085730F">
        <w:rPr>
          <w:rFonts w:ascii="Arial" w:hAnsi="Arial" w:cs="Arial"/>
          <w:b/>
          <w:bCs/>
          <w:sz w:val="24"/>
          <w:szCs w:val="24"/>
          <w:lang w:val="en-GB"/>
        </w:rPr>
        <w:t xml:space="preserve">4.5 Effect of PVC on Liver function test and Liver protein level in </w:t>
      </w:r>
      <w:proofErr w:type="spellStart"/>
      <w:r w:rsidRPr="0085730F">
        <w:rPr>
          <w:rFonts w:ascii="Arial" w:hAnsi="Arial" w:cs="Arial"/>
          <w:b/>
          <w:bCs/>
          <w:sz w:val="24"/>
          <w:szCs w:val="24"/>
          <w:lang w:val="en-GB"/>
        </w:rPr>
        <w:t>wistar</w:t>
      </w:r>
      <w:proofErr w:type="spellEnd"/>
      <w:r w:rsidRPr="0085730F">
        <w:rPr>
          <w:rFonts w:ascii="Arial" w:hAnsi="Arial" w:cs="Arial"/>
          <w:b/>
          <w:bCs/>
          <w:sz w:val="24"/>
          <w:szCs w:val="24"/>
          <w:lang w:val="en-GB"/>
        </w:rPr>
        <w:t xml:space="preserve"> rats (a) Bilirubin level (b) Liver protein level (c) Liver enzymes of male </w:t>
      </w:r>
      <w:proofErr w:type="spellStart"/>
      <w:r w:rsidRPr="0085730F">
        <w:rPr>
          <w:rFonts w:ascii="Arial" w:hAnsi="Arial" w:cs="Arial"/>
          <w:b/>
          <w:bCs/>
          <w:sz w:val="24"/>
          <w:szCs w:val="24"/>
          <w:lang w:val="en-GB"/>
        </w:rPr>
        <w:t>wistar</w:t>
      </w:r>
      <w:proofErr w:type="spellEnd"/>
      <w:r w:rsidRPr="0085730F">
        <w:rPr>
          <w:rFonts w:ascii="Arial" w:hAnsi="Arial" w:cs="Arial"/>
          <w:b/>
          <w:bCs/>
          <w:sz w:val="24"/>
          <w:szCs w:val="24"/>
          <w:lang w:val="en-GB"/>
        </w:rPr>
        <w:t xml:space="preserve"> rats</w:t>
      </w:r>
    </w:p>
    <w:p w14:paraId="0CCFCE2B" w14:textId="77777777" w:rsidR="00681AEA" w:rsidRPr="0085730F" w:rsidRDefault="00613667">
      <w:pPr>
        <w:spacing w:after="160" w:line="360" w:lineRule="auto"/>
        <w:jc w:val="both"/>
        <w:rPr>
          <w:rFonts w:ascii="Arial" w:hAnsi="Arial" w:cs="Arial"/>
          <w:sz w:val="24"/>
          <w:szCs w:val="24"/>
          <w:lang w:val="en-GB"/>
        </w:rPr>
      </w:pPr>
      <w:r w:rsidRPr="0085730F">
        <w:rPr>
          <w:rFonts w:ascii="Arial" w:hAnsi="Arial" w:cs="Arial"/>
          <w:sz w:val="24"/>
          <w:szCs w:val="24"/>
          <w:lang w:val="en-GB"/>
        </w:rPr>
        <w:t>Bars represent the Mean ± SEM (n=5). *P &lt; 0.05, **P &lt; 0.01, ***P &lt; 0.001 vs contr</w:t>
      </w:r>
      <w:r w:rsidRPr="0085730F">
        <w:rPr>
          <w:rFonts w:ascii="Arial" w:hAnsi="Arial" w:cs="Arial"/>
          <w:sz w:val="24"/>
          <w:szCs w:val="24"/>
          <w:lang w:val="en-GB"/>
        </w:rPr>
        <w:t>ol using one-way ANOVA followed by Bonferroni’s post hoc test.</w:t>
      </w:r>
    </w:p>
    <w:p w14:paraId="1B24ED76" w14:textId="76BFA6F2" w:rsidR="00681AEA" w:rsidRPr="0085730F" w:rsidRDefault="00583B94">
      <w:pPr>
        <w:spacing w:after="160" w:line="360" w:lineRule="auto"/>
        <w:jc w:val="both"/>
        <w:rPr>
          <w:rFonts w:ascii="Arial" w:hAnsi="Arial" w:cs="Arial"/>
          <w:b/>
          <w:bCs/>
          <w:sz w:val="24"/>
          <w:szCs w:val="24"/>
          <w:lang w:val="en-GB"/>
        </w:rPr>
      </w:pPr>
      <w:r w:rsidRPr="0085730F">
        <w:rPr>
          <w:noProof/>
        </w:rPr>
        <mc:AlternateContent>
          <mc:Choice Requires="wps">
            <w:drawing>
              <wp:anchor distT="0" distB="0" distL="114300" distR="114300" simplePos="0" relativeHeight="251667456" behindDoc="0" locked="0" layoutInCell="1" allowOverlap="1" wp14:anchorId="3321DE6D" wp14:editId="08F69505">
                <wp:simplePos x="0" y="0"/>
                <wp:positionH relativeFrom="column">
                  <wp:posOffset>3857625</wp:posOffset>
                </wp:positionH>
                <wp:positionV relativeFrom="paragraph">
                  <wp:posOffset>1581150</wp:posOffset>
                </wp:positionV>
                <wp:extent cx="381000" cy="295275"/>
                <wp:effectExtent l="3810" t="635" r="0" b="0"/>
                <wp:wrapNone/>
                <wp:docPr id="20975870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52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34598F7" w14:textId="77777777" w:rsidR="00681AEA" w:rsidRDefault="00613667">
                            <w:pPr>
                              <w:rPr>
                                <w:b/>
                                <w:bCs/>
                                <w:sz w:val="24"/>
                                <w:szCs w:val="24"/>
                                <w:lang w:val="en-GB"/>
                              </w:rPr>
                            </w:pPr>
                            <w:r>
                              <w:rPr>
                                <w:b/>
                                <w:bCs/>
                                <w:sz w:val="24"/>
                                <w:szCs w:val="24"/>
                                <w:lang w:val="en-GB"/>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321DE6D" id="Text Box 13" o:spid="_x0000_s1030" type="#_x0000_t202" style="position:absolute;left:0;text-align:left;margin-left:303.75pt;margin-top:124.5pt;width:30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" stroked="f" strokeweight=".5pt">
                <v:textbox>
                  <w:txbxContent>
                    <w:p w14:paraId="434598F7" w14:textId="77777777" w:rsidR="00681AEA" w:rsidRDefault="00613667">
                      <w:pPr>
                        <w:rPr>
                          <w:b/>
                          <w:bCs/>
                          <w:sz w:val="24"/>
                          <w:szCs w:val="24"/>
                          <w:lang w:val="en-GB"/>
                        </w:rPr>
                      </w:pPr>
                      <w:r>
                        <w:rPr>
                          <w:b/>
                          <w:bCs/>
                          <w:sz w:val="24"/>
                          <w:szCs w:val="24"/>
                          <w:lang w:val="en-GB"/>
                        </w:rPr>
                        <w:t>d</w:t>
                      </w:r>
                    </w:p>
                  </w:txbxContent>
                </v:textbox>
              </v:shape>
            </w:pict>
          </mc:Fallback>
        </mc:AlternateContent>
      </w:r>
      <w:r w:rsidRPr="0085730F">
        <w:rPr>
          <w:noProof/>
        </w:rPr>
        <mc:AlternateContent>
          <mc:Choice Requires="wps">
            <w:drawing>
              <wp:anchor distT="0" distB="0" distL="114300" distR="114300" simplePos="0" relativeHeight="251665408" behindDoc="0" locked="0" layoutInCell="1" allowOverlap="1" wp14:anchorId="355ECF25" wp14:editId="39F7DE74">
                <wp:simplePos x="0" y="0"/>
                <wp:positionH relativeFrom="column">
                  <wp:posOffset>3695700</wp:posOffset>
                </wp:positionH>
                <wp:positionV relativeFrom="paragraph">
                  <wp:posOffset>9525</wp:posOffset>
                </wp:positionV>
                <wp:extent cx="381000" cy="295275"/>
                <wp:effectExtent l="3810" t="635" r="0" b="0"/>
                <wp:wrapNone/>
                <wp:docPr id="10265189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52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AD99703" w14:textId="77777777" w:rsidR="00681AEA" w:rsidRDefault="00613667">
                            <w:pPr>
                              <w:rPr>
                                <w:b/>
                                <w:bCs/>
                                <w:sz w:val="24"/>
                                <w:szCs w:val="24"/>
                                <w:lang w:val="en-GB"/>
                              </w:rPr>
                            </w:pPr>
                            <w:r>
                              <w:rPr>
                                <w:b/>
                                <w:bCs/>
                                <w:sz w:val="24"/>
                                <w:szCs w:val="24"/>
                                <w:lang w:val="en-G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55ECF25" id="Text Box 17" o:spid="_x0000_s1031" type="#_x0000_t202" style="position:absolute;left:0;text-align:left;margin-left:291pt;margin-top:.75pt;width:30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" stroked="f" strokeweight=".5pt">
                <v:textbox>
                  <w:txbxContent>
                    <w:p w14:paraId="7AD99703" w14:textId="77777777" w:rsidR="00681AEA" w:rsidRDefault="00613667">
                      <w:pPr>
                        <w:rPr>
                          <w:b/>
                          <w:bCs/>
                          <w:sz w:val="24"/>
                          <w:szCs w:val="24"/>
                          <w:lang w:val="en-GB"/>
                        </w:rPr>
                      </w:pPr>
                      <w:r>
                        <w:rPr>
                          <w:b/>
                          <w:bCs/>
                          <w:sz w:val="24"/>
                          <w:szCs w:val="24"/>
                          <w:lang w:val="en-GB"/>
                        </w:rPr>
                        <w:t>b</w:t>
                      </w:r>
                    </w:p>
                  </w:txbxContent>
                </v:textbox>
              </v:shape>
            </w:pict>
          </mc:Fallback>
        </mc:AlternateContent>
      </w:r>
      <w:r w:rsidRPr="0085730F">
        <w:rPr>
          <w:noProof/>
        </w:rPr>
        <mc:AlternateContent>
          <mc:Choice Requires="wps">
            <w:drawing>
              <wp:anchor distT="0" distB="0" distL="114300" distR="114300" simplePos="0" relativeHeight="251666432" behindDoc="0" locked="0" layoutInCell="1" allowOverlap="1" wp14:anchorId="113D863A" wp14:editId="6338D9CE">
                <wp:simplePos x="0" y="0"/>
                <wp:positionH relativeFrom="column">
                  <wp:posOffset>685800</wp:posOffset>
                </wp:positionH>
                <wp:positionV relativeFrom="paragraph">
                  <wp:posOffset>1533525</wp:posOffset>
                </wp:positionV>
                <wp:extent cx="381000" cy="295275"/>
                <wp:effectExtent l="3810" t="635" r="0" b="0"/>
                <wp:wrapNone/>
                <wp:docPr id="112409639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52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22E3019" w14:textId="77777777" w:rsidR="00681AEA" w:rsidRDefault="00613667">
                            <w:pPr>
                              <w:rPr>
                                <w:b/>
                                <w:bCs/>
                                <w:sz w:val="24"/>
                                <w:szCs w:val="24"/>
                                <w:lang w:val="en-GB"/>
                              </w:rPr>
                            </w:pPr>
                            <w:r>
                              <w:rPr>
                                <w:b/>
                                <w:bCs/>
                                <w:sz w:val="24"/>
                                <w:szCs w:val="24"/>
                                <w:lang w:val="en-GB"/>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13D863A" id="Text Box 16" o:spid="_x0000_s1032" type="#_x0000_t202" style="position:absolute;left:0;text-align:left;margin-left:54pt;margin-top:120.75pt;width:30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" stroked="f" strokeweight=".5pt">
                <v:textbox>
                  <w:txbxContent>
                    <w:p w14:paraId="322E3019" w14:textId="77777777" w:rsidR="00681AEA" w:rsidRDefault="00613667">
                      <w:pPr>
                        <w:rPr>
                          <w:b/>
                          <w:bCs/>
                          <w:sz w:val="24"/>
                          <w:szCs w:val="24"/>
                          <w:lang w:val="en-GB"/>
                        </w:rPr>
                      </w:pPr>
                      <w:r>
                        <w:rPr>
                          <w:b/>
                          <w:bCs/>
                          <w:sz w:val="24"/>
                          <w:szCs w:val="24"/>
                          <w:lang w:val="en-GB"/>
                        </w:rPr>
                        <w:t>c</w:t>
                      </w:r>
                    </w:p>
                  </w:txbxContent>
                </v:textbox>
              </v:shape>
            </w:pict>
          </mc:Fallback>
        </mc:AlternateContent>
      </w:r>
      <w:r w:rsidRPr="0085730F">
        <w:rPr>
          <w:noProof/>
        </w:rPr>
        <mc:AlternateContent>
          <mc:Choice Requires="wps">
            <w:drawing>
              <wp:anchor distT="0" distB="0" distL="114300" distR="114300" simplePos="0" relativeHeight="251664384" behindDoc="0" locked="0" layoutInCell="1" allowOverlap="1" wp14:anchorId="00531300" wp14:editId="5D5E5653">
                <wp:simplePos x="0" y="0"/>
                <wp:positionH relativeFrom="column">
                  <wp:posOffset>619125</wp:posOffset>
                </wp:positionH>
                <wp:positionV relativeFrom="paragraph">
                  <wp:posOffset>76200</wp:posOffset>
                </wp:positionV>
                <wp:extent cx="381000" cy="295275"/>
                <wp:effectExtent l="3810" t="635" r="0" b="0"/>
                <wp:wrapNone/>
                <wp:docPr id="45471869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52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4B7CBB6" w14:textId="77777777" w:rsidR="00681AEA" w:rsidRDefault="00613667">
                            <w:pPr>
                              <w:rPr>
                                <w:b/>
                                <w:bCs/>
                                <w:sz w:val="24"/>
                                <w:szCs w:val="24"/>
                                <w:lang w:val="en-GB"/>
                              </w:rPr>
                            </w:pPr>
                            <w:r>
                              <w:rPr>
                                <w:b/>
                                <w:bCs/>
                                <w:sz w:val="24"/>
                                <w:szCs w:val="24"/>
                                <w:lang w:val="en-G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0531300" id="Text Box 15" o:spid="_x0000_s1033" type="#_x0000_t202" style="position:absolute;left:0;text-align:left;margin-left:48.75pt;margin-top:6pt;width:30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" stroked="f" strokeweight=".5pt">
                <v:textbox>
                  <w:txbxContent>
                    <w:p w14:paraId="34B7CBB6" w14:textId="77777777" w:rsidR="00681AEA" w:rsidRDefault="00613667">
                      <w:pPr>
                        <w:rPr>
                          <w:b/>
                          <w:bCs/>
                          <w:sz w:val="24"/>
                          <w:szCs w:val="24"/>
                          <w:lang w:val="en-GB"/>
                        </w:rPr>
                      </w:pPr>
                      <w:r>
                        <w:rPr>
                          <w:b/>
                          <w:bCs/>
                          <w:sz w:val="24"/>
                          <w:szCs w:val="24"/>
                          <w:lang w:val="en-GB"/>
                        </w:rPr>
                        <w:t>a</w:t>
                      </w:r>
                    </w:p>
                  </w:txbxContent>
                </v:textbox>
              </v:shape>
            </w:pict>
          </mc:Fallback>
        </mc:AlternateContent>
      </w:r>
      <w:r w:rsidRPr="0085730F">
        <w:rPr>
          <w:rFonts w:ascii="Arial" w:eastAsia="Aptos" w:hAnsi="Arial" w:cs="Arial"/>
          <w:noProof/>
          <w:sz w:val="22"/>
          <w:szCs w:val="22"/>
        </w:rPr>
        <w:drawing>
          <wp:inline distT="0" distB="0" distL="0" distR="0" wp14:anchorId="0E0C95C2" wp14:editId="13D9F425">
            <wp:extent cx="2654935" cy="1331595"/>
            <wp:effectExtent l="0" t="0" r="0" b="1905"/>
            <wp:docPr id="609383233" name="Picture 1" descr="A graph of different sizes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83233" name="Picture 1" descr="A graph of different sizes of object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694333" cy="1351181"/>
                    </a:xfrm>
                    <a:prstGeom prst="rect">
                      <a:avLst/>
                    </a:prstGeom>
                    <a:noFill/>
                    <a:ln>
                      <a:noFill/>
                    </a:ln>
                  </pic:spPr>
                </pic:pic>
              </a:graphicData>
            </a:graphic>
          </wp:inline>
        </w:drawing>
      </w:r>
      <w:r w:rsidRPr="0085730F">
        <w:rPr>
          <w:rFonts w:ascii="Arial" w:hAnsi="Arial" w:cs="Arial"/>
          <w:b/>
          <w:bCs/>
          <w:sz w:val="24"/>
          <w:szCs w:val="24"/>
          <w:lang w:val="en-GB"/>
        </w:rPr>
        <w:tab/>
      </w:r>
      <w:r w:rsidRPr="0085730F">
        <w:rPr>
          <w:rFonts w:ascii="Arial" w:eastAsia="Aptos" w:hAnsi="Arial" w:cs="Arial"/>
          <w:noProof/>
          <w:sz w:val="22"/>
          <w:szCs w:val="22"/>
        </w:rPr>
        <w:drawing>
          <wp:inline distT="0" distB="0" distL="0" distR="0" wp14:anchorId="2B77E7EC" wp14:editId="32090269">
            <wp:extent cx="2047875" cy="1404620"/>
            <wp:effectExtent l="0" t="0" r="0" b="5080"/>
            <wp:docPr id="316451745" name="Picture 2" descr="A graph of different sizes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51745" name="Picture 2" descr="A graph of different sizes of objects&#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071931" cy="1421230"/>
                    </a:xfrm>
                    <a:prstGeom prst="rect">
                      <a:avLst/>
                    </a:prstGeom>
                    <a:noFill/>
                    <a:ln>
                      <a:noFill/>
                    </a:ln>
                  </pic:spPr>
                </pic:pic>
              </a:graphicData>
            </a:graphic>
          </wp:inline>
        </w:drawing>
      </w:r>
    </w:p>
    <w:p w14:paraId="72B6974A" w14:textId="3F6DAAA0" w:rsidR="00681AEA" w:rsidRPr="0085730F" w:rsidRDefault="00583B94">
      <w:pPr>
        <w:spacing w:after="160" w:line="360" w:lineRule="auto"/>
        <w:jc w:val="both"/>
        <w:rPr>
          <w:rFonts w:ascii="Arial" w:hAnsi="Arial" w:cs="Arial"/>
          <w:b/>
          <w:bCs/>
          <w:sz w:val="24"/>
          <w:szCs w:val="24"/>
          <w:lang w:val="en-GB"/>
        </w:rPr>
      </w:pPr>
      <w:r w:rsidRPr="0085730F">
        <w:rPr>
          <w:noProof/>
        </w:rPr>
        <w:lastRenderedPageBreak/>
        <mc:AlternateContent>
          <mc:Choice Requires="wps">
            <w:drawing>
              <wp:anchor distT="0" distB="0" distL="114300" distR="114300" simplePos="0" relativeHeight="251668480" behindDoc="0" locked="0" layoutInCell="1" allowOverlap="1" wp14:anchorId="1EAE529C" wp14:editId="449FBEF6">
                <wp:simplePos x="0" y="0"/>
                <wp:positionH relativeFrom="column">
                  <wp:posOffset>1628775</wp:posOffset>
                </wp:positionH>
                <wp:positionV relativeFrom="paragraph">
                  <wp:posOffset>1463675</wp:posOffset>
                </wp:positionV>
                <wp:extent cx="381000" cy="295275"/>
                <wp:effectExtent l="3810" t="0" r="0" b="3175"/>
                <wp:wrapNone/>
                <wp:docPr id="214104995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52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6B4985F" w14:textId="77777777" w:rsidR="00681AEA" w:rsidRDefault="00613667">
                            <w:pPr>
                              <w:rPr>
                                <w:b/>
                                <w:bCs/>
                                <w:sz w:val="24"/>
                                <w:szCs w:val="24"/>
                                <w:lang w:val="en-GB"/>
                              </w:rPr>
                            </w:pPr>
                            <w:r>
                              <w:rPr>
                                <w:b/>
                                <w:bCs/>
                                <w:sz w:val="24"/>
                                <w:szCs w:val="24"/>
                                <w:lang w:val="en-GB"/>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EAE529C" id="Text Box 14" o:spid="_x0000_s1034" type="#_x0000_t202" style="position:absolute;left:0;text-align:left;margin-left:128.25pt;margin-top:115.25pt;width:30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" stroked="f" strokeweight=".5pt">
                <v:textbox>
                  <w:txbxContent>
                    <w:p w14:paraId="76B4985F" w14:textId="77777777" w:rsidR="00681AEA" w:rsidRDefault="00613667">
                      <w:pPr>
                        <w:rPr>
                          <w:b/>
                          <w:bCs/>
                          <w:sz w:val="24"/>
                          <w:szCs w:val="24"/>
                          <w:lang w:val="en-GB"/>
                        </w:rPr>
                      </w:pPr>
                      <w:r>
                        <w:rPr>
                          <w:b/>
                          <w:bCs/>
                          <w:sz w:val="24"/>
                          <w:szCs w:val="24"/>
                          <w:lang w:val="en-GB"/>
                        </w:rPr>
                        <w:t>e</w:t>
                      </w:r>
                    </w:p>
                  </w:txbxContent>
                </v:textbox>
              </v:shape>
            </w:pict>
          </mc:Fallback>
        </mc:AlternateContent>
      </w:r>
      <w:r w:rsidRPr="0085730F">
        <w:rPr>
          <w:rFonts w:ascii="Arial" w:eastAsia="Aptos" w:hAnsi="Arial" w:cs="Arial"/>
          <w:noProof/>
          <w:sz w:val="22"/>
          <w:szCs w:val="22"/>
        </w:rPr>
        <w:drawing>
          <wp:inline distT="0" distB="0" distL="0" distR="0" wp14:anchorId="20A3E3B2" wp14:editId="4A62DFE8">
            <wp:extent cx="2408555" cy="1334770"/>
            <wp:effectExtent l="0" t="0" r="0" b="0"/>
            <wp:docPr id="1163309391" name="Picture 3" descr="A graph of different sizes of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09391" name="Picture 3" descr="A graph of different sizes of bar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420910" cy="1341847"/>
                    </a:xfrm>
                    <a:prstGeom prst="rect">
                      <a:avLst/>
                    </a:prstGeom>
                    <a:noFill/>
                    <a:ln>
                      <a:noFill/>
                    </a:ln>
                  </pic:spPr>
                </pic:pic>
              </a:graphicData>
            </a:graphic>
          </wp:inline>
        </w:drawing>
      </w:r>
      <w:r w:rsidRPr="0085730F">
        <w:rPr>
          <w:rFonts w:ascii="Arial" w:hAnsi="Arial" w:cs="Arial"/>
          <w:b/>
          <w:bCs/>
          <w:sz w:val="24"/>
          <w:szCs w:val="24"/>
          <w:lang w:val="en-GB"/>
        </w:rPr>
        <w:tab/>
      </w:r>
      <w:r w:rsidRPr="0085730F">
        <w:rPr>
          <w:rFonts w:ascii="Arial" w:hAnsi="Arial" w:cs="Arial"/>
          <w:b/>
          <w:bCs/>
          <w:sz w:val="24"/>
          <w:szCs w:val="24"/>
          <w:lang w:val="en-GB"/>
        </w:rPr>
        <w:tab/>
      </w:r>
      <w:r w:rsidRPr="0085730F">
        <w:rPr>
          <w:rFonts w:ascii="Arial" w:eastAsia="Aptos" w:hAnsi="Arial" w:cs="Arial"/>
          <w:noProof/>
          <w:sz w:val="22"/>
          <w:szCs w:val="22"/>
        </w:rPr>
        <w:drawing>
          <wp:inline distT="0" distB="0" distL="0" distR="0" wp14:anchorId="4E34A29E" wp14:editId="544F7159">
            <wp:extent cx="1633855" cy="1066165"/>
            <wp:effectExtent l="0" t="0" r="4445" b="635"/>
            <wp:docPr id="1240566208" name="Picture 4" descr="A graph of different sizes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566208" name="Picture 4" descr="A graph of different sizes of objects&#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646153" cy="1073913"/>
                    </a:xfrm>
                    <a:prstGeom prst="rect">
                      <a:avLst/>
                    </a:prstGeom>
                    <a:noFill/>
                    <a:ln>
                      <a:noFill/>
                    </a:ln>
                  </pic:spPr>
                </pic:pic>
              </a:graphicData>
            </a:graphic>
          </wp:inline>
        </w:drawing>
      </w:r>
      <w:r w:rsidRPr="0085730F">
        <w:rPr>
          <w:rFonts w:ascii="Arial" w:hAnsi="Arial" w:cs="Arial"/>
          <w:b/>
          <w:bCs/>
          <w:sz w:val="24"/>
          <w:szCs w:val="24"/>
          <w:lang w:val="en-GB"/>
        </w:rPr>
        <w:t xml:space="preserve"> </w:t>
      </w:r>
      <w:r w:rsidRPr="0085730F">
        <w:rPr>
          <w:rFonts w:ascii="Arial" w:eastAsia="Aptos" w:hAnsi="Arial" w:cs="Arial"/>
          <w:noProof/>
          <w:sz w:val="22"/>
          <w:szCs w:val="22"/>
        </w:rPr>
        <w:drawing>
          <wp:inline distT="0" distB="0" distL="0" distR="0" wp14:anchorId="06BC3708" wp14:editId="7D97DD42">
            <wp:extent cx="3276600" cy="1675765"/>
            <wp:effectExtent l="0" t="0" r="0" b="635"/>
            <wp:docPr id="1403022819" name="Picture 5" descr="A graph of different sizes and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022819" name="Picture 5" descr="A graph of different sizes and colors&#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294740" cy="1685042"/>
                    </a:xfrm>
                    <a:prstGeom prst="rect">
                      <a:avLst/>
                    </a:prstGeom>
                    <a:noFill/>
                    <a:ln>
                      <a:noFill/>
                    </a:ln>
                  </pic:spPr>
                </pic:pic>
              </a:graphicData>
            </a:graphic>
          </wp:inline>
        </w:drawing>
      </w:r>
    </w:p>
    <w:p w14:paraId="61D6E066" w14:textId="2038B131" w:rsidR="00681AEA" w:rsidRPr="0085730F" w:rsidRDefault="00613667">
      <w:pPr>
        <w:spacing w:after="160"/>
        <w:rPr>
          <w:rFonts w:ascii="Arial" w:hAnsi="Arial" w:cs="Arial"/>
          <w:b/>
          <w:bCs/>
          <w:lang w:val="en-GB"/>
        </w:rPr>
      </w:pPr>
      <w:r w:rsidRPr="0085730F">
        <w:rPr>
          <w:rFonts w:ascii="Arial" w:hAnsi="Arial" w:cs="Arial"/>
          <w:b/>
          <w:bCs/>
          <w:szCs w:val="22"/>
        </w:rPr>
        <w:t xml:space="preserve">Fig. </w:t>
      </w:r>
      <w:r w:rsidR="0085730F" w:rsidRPr="0085730F">
        <w:rPr>
          <w:rFonts w:ascii="Arial" w:hAnsi="Arial" w:cs="Arial"/>
          <w:b/>
          <w:bCs/>
          <w:szCs w:val="22"/>
        </w:rPr>
        <w:t>2</w:t>
      </w:r>
      <w:r w:rsidRPr="0085730F">
        <w:rPr>
          <w:rFonts w:ascii="Arial" w:hAnsi="Arial" w:cs="Arial"/>
          <w:b/>
          <w:bCs/>
          <w:szCs w:val="22"/>
        </w:rPr>
        <w:t xml:space="preserve">. Effect of PVC on liver oxidative biomarkers a.  </w:t>
      </w:r>
      <w:r w:rsidRPr="0085730F">
        <w:rPr>
          <w:rFonts w:ascii="Arial" w:hAnsi="Arial" w:cs="Arial"/>
          <w:b/>
          <w:bCs/>
          <w:lang w:val="en-GB"/>
        </w:rPr>
        <w:t xml:space="preserve">GSH (b) </w:t>
      </w:r>
      <w:proofErr w:type="spellStart"/>
      <w:r w:rsidRPr="0085730F">
        <w:rPr>
          <w:rFonts w:ascii="Arial" w:hAnsi="Arial" w:cs="Arial"/>
          <w:b/>
          <w:bCs/>
          <w:lang w:val="en-GB"/>
        </w:rPr>
        <w:t>GPx</w:t>
      </w:r>
      <w:proofErr w:type="spellEnd"/>
      <w:r w:rsidRPr="0085730F">
        <w:rPr>
          <w:rFonts w:ascii="Arial" w:hAnsi="Arial" w:cs="Arial"/>
          <w:b/>
          <w:bCs/>
          <w:lang w:val="en-GB"/>
        </w:rPr>
        <w:t xml:space="preserve"> (c) MDA (d) CAT (e) SOD Liver enzymes of male </w:t>
      </w:r>
      <w:proofErr w:type="spellStart"/>
      <w:r w:rsidRPr="0085730F">
        <w:rPr>
          <w:rFonts w:ascii="Arial" w:hAnsi="Arial" w:cs="Arial"/>
          <w:b/>
          <w:bCs/>
          <w:lang w:val="en-GB"/>
        </w:rPr>
        <w:t>wistar</w:t>
      </w:r>
      <w:proofErr w:type="spellEnd"/>
      <w:r w:rsidRPr="0085730F">
        <w:rPr>
          <w:rFonts w:ascii="Arial" w:hAnsi="Arial" w:cs="Arial"/>
          <w:b/>
          <w:bCs/>
          <w:lang w:val="en-GB"/>
        </w:rPr>
        <w:t xml:space="preserve"> rats. </w:t>
      </w:r>
      <w:r w:rsidRPr="0085730F">
        <w:rPr>
          <w:rFonts w:ascii="Arial" w:hAnsi="Arial" w:cs="Arial"/>
          <w:lang w:val="en-GB"/>
        </w:rPr>
        <w:t xml:space="preserve">Bars represent the Mean ± SEM (n=5). *P &lt; .05, **P &lt; 0.05, ***P &lt; .001 vs control using one-way ANOVA followed by Bonferroni’s post hoc test. </w:t>
      </w:r>
      <w:r w:rsidRPr="0085730F">
        <w:rPr>
          <w:rFonts w:ascii="Arial" w:hAnsi="Arial" w:cs="Arial"/>
          <w:b/>
          <w:bCs/>
          <w:lang w:val="en-GB"/>
        </w:rPr>
        <w:t xml:space="preserve">GSH-Glutathione, </w:t>
      </w:r>
      <w:proofErr w:type="spellStart"/>
      <w:r w:rsidRPr="0085730F">
        <w:rPr>
          <w:rFonts w:ascii="Arial" w:hAnsi="Arial" w:cs="Arial"/>
          <w:b/>
          <w:bCs/>
          <w:lang w:val="en-GB"/>
        </w:rPr>
        <w:t>GPx</w:t>
      </w:r>
      <w:proofErr w:type="spellEnd"/>
      <w:r w:rsidRPr="0085730F">
        <w:rPr>
          <w:rFonts w:ascii="Arial" w:hAnsi="Arial" w:cs="Arial"/>
          <w:b/>
          <w:bCs/>
          <w:lang w:val="en-GB"/>
        </w:rPr>
        <w:t>-Glutathione Peroxidase, MDA-Malondialdehyde, CAT-Catalase, SOD-Super oxide Dismutase</w:t>
      </w:r>
    </w:p>
    <w:p w14:paraId="0B6BA643" w14:textId="77777777" w:rsidR="00681AEA" w:rsidRPr="0085730F" w:rsidRDefault="00681AEA">
      <w:pPr>
        <w:spacing w:after="160" w:line="360" w:lineRule="auto"/>
        <w:jc w:val="both"/>
        <w:rPr>
          <w:rFonts w:ascii="Arial" w:hAnsi="Arial" w:cs="Arial"/>
          <w:b/>
          <w:bCs/>
          <w:sz w:val="24"/>
          <w:szCs w:val="24"/>
          <w:lang w:val="en-GB"/>
        </w:rPr>
      </w:pPr>
    </w:p>
    <w:p w14:paraId="3BD61FD2" w14:textId="311EC756" w:rsidR="00681AEA" w:rsidRPr="0085730F" w:rsidRDefault="00583B94">
      <w:pPr>
        <w:spacing w:line="360" w:lineRule="auto"/>
        <w:rPr>
          <w:rFonts w:ascii="Arial" w:hAnsi="Arial" w:cs="Arial"/>
          <w:b/>
          <w:bCs/>
          <w:sz w:val="24"/>
          <w:szCs w:val="24"/>
        </w:rPr>
      </w:pPr>
      <w:r w:rsidRPr="0085730F">
        <w:rPr>
          <w:noProof/>
        </w:rPr>
        <mc:AlternateContent>
          <mc:Choice Requires="wps">
            <w:drawing>
              <wp:anchor distT="0" distB="0" distL="114300" distR="114300" simplePos="0" relativeHeight="251675648" behindDoc="0" locked="0" layoutInCell="1" allowOverlap="1" wp14:anchorId="347144D2" wp14:editId="4967E090">
                <wp:simplePos x="0" y="0"/>
                <wp:positionH relativeFrom="column">
                  <wp:posOffset>981075</wp:posOffset>
                </wp:positionH>
                <wp:positionV relativeFrom="paragraph">
                  <wp:posOffset>2190750</wp:posOffset>
                </wp:positionV>
                <wp:extent cx="523875" cy="523875"/>
                <wp:effectExtent l="38100" t="0" r="9525" b="28575"/>
                <wp:wrapNone/>
                <wp:docPr id="289690152"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23875" cy="523875"/>
                        </a:xfrm>
                        <a:prstGeom prst="straightConnector1">
                          <a:avLst/>
                        </a:prstGeom>
                        <a:noFill/>
                        <a:ln w="6350" cap="flat" cmpd="sng" algn="ctr">
                          <a:solidFill>
                            <a:srgbClr val="156082"/>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229C44" id="Straight Arrow Connector 3" o:spid="_x0000_s1026" type="#_x0000_t32" style="position:absolute;margin-left:77.25pt;margin-top:172.5pt;width:41.25pt;height:41.2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" strokecolor="#156082" strokeweight=".5pt">
                <v:stroke endarrow="block" joinstyle="miter"/>
                <o:lock v:ext="edit" shapetype="f"/>
              </v:shape>
            </w:pict>
          </mc:Fallback>
        </mc:AlternateContent>
      </w:r>
      <w:r w:rsidRPr="0085730F">
        <w:rPr>
          <w:noProof/>
        </w:rPr>
        <mc:AlternateContent>
          <mc:Choice Requires="wps">
            <w:drawing>
              <wp:anchor distT="0" distB="0" distL="114300" distR="114300" simplePos="0" relativeHeight="251673600" behindDoc="0" locked="0" layoutInCell="1" allowOverlap="1" wp14:anchorId="786A0D78" wp14:editId="4D4C0018">
                <wp:simplePos x="0" y="0"/>
                <wp:positionH relativeFrom="column">
                  <wp:posOffset>2057400</wp:posOffset>
                </wp:positionH>
                <wp:positionV relativeFrom="paragraph">
                  <wp:posOffset>1743075</wp:posOffset>
                </wp:positionV>
                <wp:extent cx="381000" cy="295275"/>
                <wp:effectExtent l="0" t="0" r="0" b="0"/>
                <wp:wrapNone/>
                <wp:docPr id="11245830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295275"/>
                        </a:xfrm>
                        <a:prstGeom prst="rect">
                          <a:avLst/>
                        </a:prstGeom>
                        <a:noFill/>
                        <a:ln w="6350">
                          <a:noFill/>
                        </a:ln>
                      </wps:spPr>
                      <wps:txbx>
                        <w:txbxContent>
                          <w:p w14:paraId="6F3A7F53" w14:textId="77777777" w:rsidR="00681AEA" w:rsidRDefault="00613667">
                            <w:pPr>
                              <w:rPr>
                                <w:b/>
                                <w:bCs/>
                                <w:sz w:val="24"/>
                                <w:szCs w:val="24"/>
                                <w:lang w:val="en-GB"/>
                              </w:rPr>
                            </w:pPr>
                            <w:r>
                              <w:rPr>
                                <w:b/>
                                <w:bCs/>
                                <w:sz w:val="24"/>
                                <w:szCs w:val="24"/>
                                <w:lang w:val="en-GB"/>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6A0D78" id="_x0000_s1035" type="#_x0000_t202" style="position:absolute;margin-left:162pt;margin-top:137.25pt;width:30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" filled="f" stroked="f" strokeweight=".5pt">
                <v:textbox>
                  <w:txbxContent>
                    <w:p w14:paraId="6F3A7F53" w14:textId="77777777" w:rsidR="00681AEA" w:rsidRDefault="00613667">
                      <w:pPr>
                        <w:rPr>
                          <w:b/>
                          <w:bCs/>
                          <w:sz w:val="24"/>
                          <w:szCs w:val="24"/>
                          <w:lang w:val="en-GB"/>
                        </w:rPr>
                      </w:pPr>
                      <w:r>
                        <w:rPr>
                          <w:b/>
                          <w:bCs/>
                          <w:sz w:val="24"/>
                          <w:szCs w:val="24"/>
                          <w:lang w:val="en-GB"/>
                        </w:rPr>
                        <w:t>e</w:t>
                      </w:r>
                    </w:p>
                  </w:txbxContent>
                </v:textbox>
              </v:shape>
            </w:pict>
          </mc:Fallback>
        </mc:AlternateContent>
      </w:r>
      <w:r w:rsidR="002C71DD" w:rsidRPr="0085730F">
        <w:rPr>
          <w:rFonts w:ascii="Aptos" w:eastAsia="Aptos" w:hAnsi="Aptos" w:hint="eastAsia"/>
          <w:noProof/>
          <w:lang w:eastAsia="zh-CN" w:bidi="ar"/>
        </w:rPr>
        <w:drawing>
          <wp:inline distT="0" distB="0" distL="114300" distR="114300" wp14:anchorId="486AECD2" wp14:editId="35E52F6C">
            <wp:extent cx="2295728" cy="2070062"/>
            <wp:effectExtent l="0" t="0" r="0" b="0"/>
            <wp:docPr id="5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38"/>
                    <pic:cNvPicPr>
                      <a:picLocks noChangeAspect="1"/>
                    </pic:cNvPicPr>
                  </pic:nvPicPr>
                  <pic:blipFill>
                    <a:blip r:embed="rId23"/>
                    <a:stretch>
                      <a:fillRect/>
                    </a:stretch>
                  </pic:blipFill>
                  <pic:spPr>
                    <a:xfrm>
                      <a:off x="0" y="0"/>
                      <a:ext cx="2311498" cy="2084282"/>
                    </a:xfrm>
                    <a:prstGeom prst="rect">
                      <a:avLst/>
                    </a:prstGeom>
                    <a:noFill/>
                    <a:ln>
                      <a:noFill/>
                    </a:ln>
                  </pic:spPr>
                </pic:pic>
              </a:graphicData>
            </a:graphic>
          </wp:inline>
        </w:drawing>
      </w:r>
      <w:r w:rsidRPr="0085730F">
        <w:rPr>
          <w:rFonts w:ascii="Arial" w:hAnsi="Arial" w:cs="Arial"/>
          <w:b/>
          <w:bCs/>
          <w:sz w:val="24"/>
          <w:szCs w:val="24"/>
        </w:rPr>
        <w:t xml:space="preserve">      </w:t>
      </w:r>
      <w:r w:rsidR="002C71DD" w:rsidRPr="0085730F">
        <w:rPr>
          <w:rFonts w:ascii="Aptos" w:eastAsia="Aptos" w:hAnsi="Aptos" w:hint="eastAsia"/>
          <w:noProof/>
          <w:lang w:eastAsia="zh-CN" w:bidi="ar"/>
        </w:rPr>
        <w:drawing>
          <wp:inline distT="0" distB="0" distL="114300" distR="114300" wp14:anchorId="621B4404" wp14:editId="2FE3F195">
            <wp:extent cx="2130358" cy="2191888"/>
            <wp:effectExtent l="0" t="0" r="0" b="0"/>
            <wp:docPr id="56" name="Picture 39"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39" descr="A close-up of a microscope&#10;&#10;AI-generated content may be incorrect."/>
                    <pic:cNvPicPr>
                      <a:picLocks noChangeAspect="1"/>
                    </pic:cNvPicPr>
                  </pic:nvPicPr>
                  <pic:blipFill>
                    <a:blip r:embed="rId24"/>
                    <a:stretch>
                      <a:fillRect/>
                    </a:stretch>
                  </pic:blipFill>
                  <pic:spPr>
                    <a:xfrm>
                      <a:off x="0" y="0"/>
                      <a:ext cx="2137727" cy="2199470"/>
                    </a:xfrm>
                    <a:prstGeom prst="rect">
                      <a:avLst/>
                    </a:prstGeom>
                    <a:noFill/>
                    <a:ln>
                      <a:noFill/>
                    </a:ln>
                  </pic:spPr>
                </pic:pic>
              </a:graphicData>
            </a:graphic>
          </wp:inline>
        </w:drawing>
      </w:r>
    </w:p>
    <w:p w14:paraId="081A3E69" w14:textId="61CEE0EF" w:rsidR="002C71DD" w:rsidRPr="0085730F" w:rsidRDefault="002C71DD">
      <w:pPr>
        <w:spacing w:line="360" w:lineRule="auto"/>
        <w:rPr>
          <w:rFonts w:ascii="Arial" w:hAnsi="Arial" w:cs="Arial"/>
          <w:b/>
          <w:bCs/>
          <w:sz w:val="24"/>
          <w:szCs w:val="24"/>
        </w:rPr>
      </w:pPr>
      <w:r w:rsidRPr="0085730F">
        <w:rPr>
          <w:rFonts w:ascii="Aptos" w:eastAsia="Aptos" w:hAnsi="Aptos" w:hint="eastAsia"/>
          <w:noProof/>
          <w:lang w:eastAsia="zh-CN" w:bidi="ar"/>
        </w:rPr>
        <w:lastRenderedPageBreak/>
        <w:drawing>
          <wp:inline distT="0" distB="0" distL="114300" distR="114300" wp14:anchorId="3C972154" wp14:editId="0CC03AC8">
            <wp:extent cx="2686477" cy="2132641"/>
            <wp:effectExtent l="0" t="0" r="0" b="0"/>
            <wp:docPr id="66" name="Picture 40" descr="A close-up of a microscope sl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40" descr="A close-up of a microscope slide&#10;&#10;AI-generated content may be incorrect."/>
                    <pic:cNvPicPr>
                      <a:picLocks noChangeAspect="1"/>
                    </pic:cNvPicPr>
                  </pic:nvPicPr>
                  <pic:blipFill>
                    <a:blip r:embed="rId25"/>
                    <a:stretch>
                      <a:fillRect/>
                    </a:stretch>
                  </pic:blipFill>
                  <pic:spPr>
                    <a:xfrm>
                      <a:off x="0" y="0"/>
                      <a:ext cx="2704559" cy="2146995"/>
                    </a:xfrm>
                    <a:prstGeom prst="rect">
                      <a:avLst/>
                    </a:prstGeom>
                    <a:noFill/>
                    <a:ln>
                      <a:noFill/>
                    </a:ln>
                  </pic:spPr>
                </pic:pic>
              </a:graphicData>
            </a:graphic>
          </wp:inline>
        </w:drawing>
      </w:r>
      <w:r w:rsidRPr="0085730F">
        <w:rPr>
          <w:rFonts w:ascii="Arial" w:hAnsi="Arial" w:cs="Arial"/>
          <w:b/>
          <w:bCs/>
          <w:sz w:val="24"/>
          <w:szCs w:val="24"/>
        </w:rPr>
        <w:t xml:space="preserve"> </w:t>
      </w:r>
      <w:r w:rsidRPr="0085730F">
        <w:rPr>
          <w:rFonts w:ascii="Aptos" w:eastAsia="Aptos" w:hAnsi="Aptos" w:hint="eastAsia"/>
          <w:noProof/>
          <w:lang w:eastAsia="zh-CN" w:bidi="ar"/>
        </w:rPr>
        <w:drawing>
          <wp:inline distT="0" distB="0" distL="114300" distR="114300" wp14:anchorId="5898087D" wp14:editId="5A0E9797">
            <wp:extent cx="2451370" cy="2129790"/>
            <wp:effectExtent l="0" t="0" r="0" b="0"/>
            <wp:docPr id="67" name="Picture 41" descr="A close-up of a red and white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41" descr="A close-up of a red and white structure&#10;&#10;AI-generated content may be incorrect."/>
                    <pic:cNvPicPr>
                      <a:picLocks noChangeAspect="1"/>
                    </pic:cNvPicPr>
                  </pic:nvPicPr>
                  <pic:blipFill>
                    <a:blip r:embed="rId26"/>
                    <a:stretch>
                      <a:fillRect/>
                    </a:stretch>
                  </pic:blipFill>
                  <pic:spPr>
                    <a:xfrm>
                      <a:off x="0" y="0"/>
                      <a:ext cx="2466607" cy="2143028"/>
                    </a:xfrm>
                    <a:prstGeom prst="rect">
                      <a:avLst/>
                    </a:prstGeom>
                    <a:noFill/>
                    <a:ln>
                      <a:noFill/>
                    </a:ln>
                  </pic:spPr>
                </pic:pic>
              </a:graphicData>
            </a:graphic>
          </wp:inline>
        </w:drawing>
      </w:r>
    </w:p>
    <w:p w14:paraId="3F2A9DF0" w14:textId="65F1C447" w:rsidR="002C71DD" w:rsidRPr="0085730F" w:rsidRDefault="002C71DD">
      <w:pPr>
        <w:spacing w:line="360" w:lineRule="auto"/>
        <w:rPr>
          <w:rFonts w:ascii="Arial" w:hAnsi="Arial" w:cs="Arial"/>
          <w:b/>
          <w:bCs/>
          <w:sz w:val="24"/>
          <w:szCs w:val="24"/>
        </w:rPr>
      </w:pPr>
      <w:r w:rsidRPr="0085730F">
        <w:rPr>
          <w:rFonts w:ascii="Aptos" w:eastAsia="Aptos" w:hAnsi="Aptos" w:hint="eastAsia"/>
          <w:noProof/>
          <w:lang w:eastAsia="zh-CN" w:bidi="ar"/>
        </w:rPr>
        <w:drawing>
          <wp:inline distT="0" distB="0" distL="114300" distR="114300" wp14:anchorId="0703BB74" wp14:editId="192F2358">
            <wp:extent cx="3439910" cy="3045230"/>
            <wp:effectExtent l="0" t="0" r="0" b="0"/>
            <wp:docPr id="57" name="Picture 42" descr="A close-up of a red tissu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2" descr="A close-up of a red tissue&#10;&#10;AI-generated content may be incorrect."/>
                    <pic:cNvPicPr>
                      <a:picLocks noChangeAspect="1"/>
                    </pic:cNvPicPr>
                  </pic:nvPicPr>
                  <pic:blipFill>
                    <a:blip r:embed="rId27"/>
                    <a:stretch>
                      <a:fillRect/>
                    </a:stretch>
                  </pic:blipFill>
                  <pic:spPr>
                    <a:xfrm>
                      <a:off x="0" y="0"/>
                      <a:ext cx="3470846" cy="3072617"/>
                    </a:xfrm>
                    <a:prstGeom prst="rect">
                      <a:avLst/>
                    </a:prstGeom>
                    <a:noFill/>
                    <a:ln>
                      <a:noFill/>
                    </a:ln>
                  </pic:spPr>
                </pic:pic>
              </a:graphicData>
            </a:graphic>
          </wp:inline>
        </w:drawing>
      </w:r>
    </w:p>
    <w:p w14:paraId="208FA012" w14:textId="100AA01A" w:rsidR="00681AEA" w:rsidRPr="0085730F" w:rsidRDefault="00613667">
      <w:pPr>
        <w:jc w:val="both"/>
        <w:rPr>
          <w:rFonts w:ascii="Arial" w:eastAsia="Aptos" w:hAnsi="Arial" w:cs="Arial"/>
          <w:sz w:val="24"/>
          <w:szCs w:val="24"/>
          <w:lang w:val="en-GB"/>
        </w:rPr>
      </w:pPr>
      <w:r w:rsidRPr="0085730F">
        <w:rPr>
          <w:rFonts w:ascii="Arial" w:hAnsi="Arial" w:cs="Arial"/>
          <w:b/>
          <w:bCs/>
          <w:sz w:val="24"/>
          <w:szCs w:val="24"/>
          <w:lang w:val="en-GB"/>
        </w:rPr>
        <w:t xml:space="preserve">Fig </w:t>
      </w:r>
      <w:r w:rsidR="0085730F" w:rsidRPr="0085730F">
        <w:rPr>
          <w:rFonts w:ascii="Arial" w:hAnsi="Arial" w:cs="Arial"/>
          <w:b/>
          <w:bCs/>
          <w:sz w:val="24"/>
          <w:szCs w:val="24"/>
          <w:lang w:val="en-GB"/>
        </w:rPr>
        <w:t>3</w:t>
      </w:r>
      <w:r w:rsidR="00F4293D" w:rsidRPr="0085730F">
        <w:rPr>
          <w:rFonts w:ascii="Arial" w:hAnsi="Arial" w:cs="Arial"/>
          <w:b/>
          <w:bCs/>
          <w:sz w:val="24"/>
          <w:szCs w:val="24"/>
          <w:lang w:val="en-GB"/>
        </w:rPr>
        <w:t>-</w:t>
      </w:r>
      <w:r w:rsidRPr="0085730F">
        <w:rPr>
          <w:rFonts w:ascii="Arial" w:hAnsi="Arial" w:cs="Arial"/>
          <w:b/>
          <w:bCs/>
          <w:sz w:val="24"/>
          <w:szCs w:val="24"/>
          <w:lang w:val="en-GB"/>
        </w:rPr>
        <w:t xml:space="preserve"> </w:t>
      </w:r>
      <w:r w:rsidRPr="0085730F">
        <w:rPr>
          <w:rFonts w:ascii="Arial" w:eastAsia="Aptos" w:hAnsi="Arial" w:cs="Arial"/>
          <w:sz w:val="24"/>
          <w:szCs w:val="24"/>
        </w:rPr>
        <w:t xml:space="preserve">Photomicrographs of hematoxylin and eosin (H&amp;E) stained liver sections, </w:t>
      </w:r>
      <w:r w:rsidRPr="0085730F">
        <w:rPr>
          <w:rFonts w:ascii="Arial" w:eastAsia="Aptos" w:hAnsi="Arial" w:cs="Arial"/>
          <w:b/>
          <w:bCs/>
          <w:sz w:val="24"/>
          <w:szCs w:val="24"/>
          <w:lang w:val="en-GB"/>
        </w:rPr>
        <w:t>(A)</w:t>
      </w:r>
      <w:r w:rsidRPr="0085730F">
        <w:rPr>
          <w:rFonts w:ascii="Arial" w:eastAsia="Aptos" w:hAnsi="Arial" w:cs="Arial"/>
          <w:sz w:val="24"/>
          <w:szCs w:val="24"/>
          <w:lang w:val="en-GB"/>
        </w:rPr>
        <w:t xml:space="preserve"> there is preservation of the hepatic lobular architecture with clear central veins and radiating hepatic cords, sinusoidal spaces are intact, and hepatocytes display uniform morphology with no necrotic or signs of inflammation </w:t>
      </w:r>
      <w:r w:rsidRPr="0085730F">
        <w:rPr>
          <w:rFonts w:ascii="Arial" w:eastAsia="Aptos" w:hAnsi="Arial" w:cs="Arial"/>
          <w:b/>
          <w:bCs/>
          <w:sz w:val="24"/>
          <w:szCs w:val="24"/>
          <w:lang w:val="en-GB"/>
        </w:rPr>
        <w:t>(organized hepatic radial sy</w:t>
      </w:r>
      <w:r w:rsidRPr="0085730F">
        <w:rPr>
          <w:rFonts w:ascii="Arial" w:eastAsia="Aptos" w:hAnsi="Arial" w:cs="Arial"/>
          <w:b/>
          <w:bCs/>
          <w:sz w:val="24"/>
          <w:szCs w:val="24"/>
          <w:lang w:val="en-GB"/>
        </w:rPr>
        <w:t>mmetry, with conserved central venule)</w:t>
      </w:r>
      <w:r w:rsidRPr="0085730F">
        <w:rPr>
          <w:rFonts w:ascii="Arial" w:eastAsia="Aptos" w:hAnsi="Arial" w:cs="Arial"/>
          <w:sz w:val="24"/>
          <w:szCs w:val="24"/>
          <w:lang w:val="en-GB"/>
        </w:rPr>
        <w:t xml:space="preserve"> </w:t>
      </w:r>
      <w:r w:rsidRPr="0085730F">
        <w:rPr>
          <w:rFonts w:ascii="Arial" w:eastAsia="Aptos" w:hAnsi="Arial" w:cs="Arial"/>
          <w:b/>
          <w:bCs/>
          <w:sz w:val="24"/>
          <w:szCs w:val="24"/>
          <w:lang w:val="en-GB"/>
        </w:rPr>
        <w:t xml:space="preserve">(B) </w:t>
      </w:r>
      <w:r w:rsidRPr="0085730F">
        <w:rPr>
          <w:rFonts w:ascii="Arial" w:eastAsia="Aptos" w:hAnsi="Arial" w:cs="Arial"/>
          <w:sz w:val="24"/>
          <w:szCs w:val="24"/>
          <w:lang w:val="en-GB"/>
        </w:rPr>
        <w:t>the liver histoarchitecture appears normal, with well-organized hepatic cords radiating from the central vein. There is visible central nucleus in the hepatocytes with uniform well and distributed sinusoidal space</w:t>
      </w:r>
      <w:r w:rsidRPr="0085730F">
        <w:rPr>
          <w:rFonts w:ascii="Arial" w:eastAsia="Aptos" w:hAnsi="Arial" w:cs="Arial"/>
          <w:sz w:val="24"/>
          <w:szCs w:val="24"/>
          <w:lang w:val="en-GB"/>
        </w:rPr>
        <w:t xml:space="preserve">s. no visible signs of necrotic changes </w:t>
      </w:r>
      <w:r w:rsidRPr="0085730F">
        <w:rPr>
          <w:rFonts w:ascii="Arial" w:eastAsia="Aptos" w:hAnsi="Arial" w:cs="Arial"/>
          <w:b/>
          <w:bCs/>
          <w:sz w:val="24"/>
          <w:szCs w:val="24"/>
          <w:lang w:val="en-GB"/>
        </w:rPr>
        <w:t>(reactive hepatocytes, with increase basophilic nucleus, possible cell regeneration from repeated insults)</w:t>
      </w:r>
      <w:r w:rsidRPr="0085730F">
        <w:rPr>
          <w:rFonts w:ascii="Arial" w:eastAsia="Aptos" w:hAnsi="Arial" w:cs="Arial"/>
          <w:sz w:val="24"/>
          <w:szCs w:val="24"/>
          <w:lang w:val="en-GB"/>
        </w:rPr>
        <w:t xml:space="preserve"> ( (</w:t>
      </w:r>
      <w:r w:rsidRPr="0085730F">
        <w:rPr>
          <w:rFonts w:ascii="Arial" w:eastAsia="Aptos" w:hAnsi="Arial" w:cs="Arial"/>
          <w:b/>
          <w:bCs/>
          <w:sz w:val="24"/>
          <w:szCs w:val="24"/>
          <w:lang w:val="en-GB"/>
        </w:rPr>
        <w:t>C</w:t>
      </w:r>
      <w:r w:rsidRPr="0085730F">
        <w:rPr>
          <w:rFonts w:ascii="Arial" w:eastAsia="Aptos" w:hAnsi="Arial" w:cs="Arial"/>
          <w:sz w:val="24"/>
          <w:szCs w:val="24"/>
          <w:lang w:val="en-GB"/>
        </w:rPr>
        <w:t xml:space="preserve">) there is mild disorganization of hepatic cords, and slight dilation of sinusoids, hepatocellular vacuolation and cytoplasmic granularity, as well as early ballooning degeneration in scattered hepatocytes, with minimal portal inflammation </w:t>
      </w:r>
      <w:r w:rsidRPr="0085730F">
        <w:rPr>
          <w:rFonts w:ascii="Arial" w:eastAsia="Aptos" w:hAnsi="Arial" w:cs="Arial"/>
          <w:b/>
          <w:bCs/>
          <w:sz w:val="24"/>
          <w:szCs w:val="24"/>
          <w:lang w:val="en-GB"/>
        </w:rPr>
        <w:t>(circle encircli</w:t>
      </w:r>
      <w:r w:rsidRPr="0085730F">
        <w:rPr>
          <w:rFonts w:ascii="Arial" w:eastAsia="Aptos" w:hAnsi="Arial" w:cs="Arial"/>
          <w:b/>
          <w:bCs/>
          <w:sz w:val="24"/>
          <w:szCs w:val="24"/>
          <w:lang w:val="en-GB"/>
        </w:rPr>
        <w:t>ng disruption in radial symmetry of the hepatocytes)</w:t>
      </w:r>
      <w:r w:rsidRPr="0085730F">
        <w:rPr>
          <w:rFonts w:ascii="Arial" w:eastAsia="Aptos" w:hAnsi="Arial" w:cs="Arial"/>
          <w:sz w:val="24"/>
          <w:szCs w:val="24"/>
          <w:lang w:val="en-GB"/>
        </w:rPr>
        <w:t xml:space="preserve"> </w:t>
      </w:r>
      <w:r w:rsidRPr="0085730F">
        <w:rPr>
          <w:rFonts w:ascii="Arial" w:eastAsia="Aptos" w:hAnsi="Arial" w:cs="Arial"/>
          <w:b/>
          <w:bCs/>
          <w:sz w:val="24"/>
          <w:szCs w:val="24"/>
          <w:lang w:val="en-GB"/>
        </w:rPr>
        <w:t xml:space="preserve">(D) </w:t>
      </w:r>
      <w:r w:rsidRPr="0085730F">
        <w:rPr>
          <w:rFonts w:ascii="Arial" w:eastAsia="Aptos" w:hAnsi="Arial" w:cs="Arial"/>
          <w:sz w:val="24"/>
          <w:szCs w:val="24"/>
          <w:lang w:val="en-GB"/>
        </w:rPr>
        <w:t>there is disorganization of lobular histoarchitecture with disruption of the radiating hepatic cords, there is observed inflammatory cell infiltration in periportal areas, along with early signs of v</w:t>
      </w:r>
      <w:r w:rsidRPr="0085730F">
        <w:rPr>
          <w:rFonts w:ascii="Arial" w:eastAsia="Aptos" w:hAnsi="Arial" w:cs="Arial"/>
          <w:sz w:val="24"/>
          <w:szCs w:val="24"/>
          <w:lang w:val="en-GB"/>
        </w:rPr>
        <w:t xml:space="preserve">ascular congestion. displays more pronounced changes, including increased cytoplasmic vacuolation and hepatocyte swelling, sinusoidal dilation, </w:t>
      </w:r>
      <w:r w:rsidRPr="0085730F">
        <w:rPr>
          <w:rFonts w:ascii="Arial" w:eastAsia="Aptos" w:hAnsi="Arial" w:cs="Arial"/>
          <w:sz w:val="24"/>
          <w:szCs w:val="24"/>
          <w:lang w:val="en-GB"/>
        </w:rPr>
        <w:lastRenderedPageBreak/>
        <w:t xml:space="preserve">and mild inflammatory cell infiltration. Notably, focal necrosis is observed in some lobules </w:t>
      </w:r>
      <w:r w:rsidRPr="0085730F">
        <w:rPr>
          <w:rFonts w:ascii="Arial" w:eastAsia="Aptos" w:hAnsi="Arial" w:cs="Arial"/>
          <w:b/>
          <w:bCs/>
          <w:sz w:val="24"/>
          <w:szCs w:val="24"/>
          <w:lang w:val="en-GB"/>
        </w:rPr>
        <w:t>(blue arrow pointin</w:t>
      </w:r>
      <w:r w:rsidRPr="0085730F">
        <w:rPr>
          <w:rFonts w:ascii="Arial" w:eastAsia="Aptos" w:hAnsi="Arial" w:cs="Arial"/>
          <w:b/>
          <w:bCs/>
          <w:sz w:val="24"/>
          <w:szCs w:val="24"/>
          <w:lang w:val="en-GB"/>
        </w:rPr>
        <w:t>g at disorganization of the parenchyma architecture)</w:t>
      </w:r>
      <w:r w:rsidRPr="0085730F">
        <w:rPr>
          <w:rFonts w:ascii="Arial" w:eastAsia="Aptos" w:hAnsi="Arial" w:cs="Arial"/>
          <w:sz w:val="24"/>
          <w:szCs w:val="24"/>
          <w:lang w:val="en-GB"/>
        </w:rPr>
        <w:t xml:space="preserve"> </w:t>
      </w:r>
      <w:r w:rsidRPr="0085730F">
        <w:rPr>
          <w:rFonts w:ascii="Arial" w:eastAsia="Aptos" w:hAnsi="Arial" w:cs="Arial"/>
          <w:b/>
          <w:bCs/>
          <w:sz w:val="24"/>
          <w:szCs w:val="24"/>
          <w:lang w:val="en-GB"/>
        </w:rPr>
        <w:t xml:space="preserve">(E) </w:t>
      </w:r>
      <w:r w:rsidRPr="0085730F">
        <w:rPr>
          <w:rFonts w:ascii="Arial" w:eastAsia="Aptos" w:hAnsi="Arial" w:cs="Arial"/>
          <w:sz w:val="24"/>
          <w:szCs w:val="24"/>
          <w:lang w:val="en-GB"/>
        </w:rPr>
        <w:t xml:space="preserve">there is significant hepatocellular degeneration, necrosis, and loss of lobular architecture. prominent vascular congestion, central vein dilation, and haemorrhagic foci are evident. Moderate portal </w:t>
      </w:r>
      <w:r w:rsidRPr="0085730F">
        <w:rPr>
          <w:rFonts w:ascii="Arial" w:eastAsia="Aptos" w:hAnsi="Arial" w:cs="Arial"/>
          <w:sz w:val="24"/>
          <w:szCs w:val="24"/>
          <w:lang w:val="en-GB"/>
        </w:rPr>
        <w:t xml:space="preserve">inflammation accompanied by marked disruption of normal lobular architecture, widespread ballooning and necrotic hepatocytes, dense inflammatory cell infiltration, and sinusoidal congestion </w:t>
      </w:r>
      <w:r w:rsidRPr="0085730F">
        <w:rPr>
          <w:rFonts w:ascii="Arial" w:eastAsia="Aptos" w:hAnsi="Arial" w:cs="Arial"/>
          <w:b/>
          <w:bCs/>
          <w:sz w:val="24"/>
          <w:szCs w:val="24"/>
          <w:lang w:val="en-GB"/>
        </w:rPr>
        <w:t>(black circle shows loss of radial symmetry, and coalescent of the</w:t>
      </w:r>
      <w:r w:rsidRPr="0085730F">
        <w:rPr>
          <w:rFonts w:ascii="Arial" w:eastAsia="Aptos" w:hAnsi="Arial" w:cs="Arial"/>
          <w:b/>
          <w:bCs/>
          <w:sz w:val="24"/>
          <w:szCs w:val="24"/>
          <w:lang w:val="en-GB"/>
        </w:rPr>
        <w:t xml:space="preserve"> central venules)</w:t>
      </w:r>
      <w:r w:rsidRPr="0085730F">
        <w:rPr>
          <w:rFonts w:ascii="Arial" w:eastAsia="Aptos" w:hAnsi="Arial" w:cs="Arial"/>
          <w:sz w:val="24"/>
          <w:szCs w:val="24"/>
          <w:lang w:val="en-GB"/>
        </w:rPr>
        <w:t>. Furthermore, there is evidence of beginning fibrosis, areas with cell dropout, and possible regeneration nodules.</w:t>
      </w:r>
    </w:p>
    <w:p w14:paraId="40FC91C7" w14:textId="77777777" w:rsidR="00681AEA" w:rsidRPr="0085730F" w:rsidRDefault="00613667">
      <w:pPr>
        <w:spacing w:after="160" w:line="360" w:lineRule="auto"/>
        <w:jc w:val="both"/>
        <w:rPr>
          <w:rFonts w:ascii="Arial" w:hAnsi="Arial" w:cs="Arial"/>
          <w:sz w:val="24"/>
          <w:szCs w:val="24"/>
          <w:lang w:val="en-GB"/>
        </w:rPr>
      </w:pPr>
      <w:r w:rsidRPr="0085730F">
        <w:rPr>
          <w:rFonts w:ascii="Arial" w:hAnsi="Arial" w:cs="Arial"/>
          <w:sz w:val="24"/>
          <w:szCs w:val="24"/>
          <w:lang w:val="en-GB"/>
        </w:rPr>
        <w:t>(A: Control, B: Cyclohexanone 2ml/kg, C: 0.1 PVC mg/kg, D: 0.2 PVC mg/kg, E. 0.3 PVC mg/kg)</w:t>
      </w:r>
    </w:p>
    <w:p w14:paraId="347164D2" w14:textId="77777777" w:rsidR="00681AEA" w:rsidRPr="0085730F" w:rsidRDefault="00613667">
      <w:pPr>
        <w:spacing w:line="360" w:lineRule="auto"/>
        <w:jc w:val="both"/>
        <w:rPr>
          <w:rFonts w:ascii="Arial" w:cs="Arial"/>
          <w:b/>
          <w:sz w:val="28"/>
          <w:szCs w:val="28"/>
          <w:lang w:val="en-GB"/>
        </w:rPr>
      </w:pPr>
      <w:r w:rsidRPr="0085730F">
        <w:rPr>
          <w:rFonts w:ascii="Arial" w:cs="Arial"/>
          <w:b/>
          <w:sz w:val="28"/>
          <w:szCs w:val="28"/>
          <w:lang w:val="en-GB"/>
        </w:rPr>
        <w:t>4.0</w:t>
      </w:r>
      <w:r w:rsidRPr="0085730F">
        <w:rPr>
          <w:rFonts w:ascii="Arial" w:cs="Arial"/>
          <w:b/>
          <w:sz w:val="28"/>
          <w:szCs w:val="28"/>
          <w:lang w:val="en-GB"/>
        </w:rPr>
        <w:tab/>
        <w:t>DISCUSSION</w:t>
      </w:r>
    </w:p>
    <w:p w14:paraId="7D35AAD8" w14:textId="77777777" w:rsidR="00681AEA" w:rsidRPr="0085730F" w:rsidRDefault="00613667">
      <w:pPr>
        <w:spacing w:line="360" w:lineRule="auto"/>
        <w:jc w:val="both"/>
        <w:rPr>
          <w:rFonts w:ascii="Arial" w:cs="Arial"/>
          <w:sz w:val="24"/>
          <w:szCs w:val="24"/>
          <w:lang w:val="en-GB"/>
        </w:rPr>
      </w:pPr>
      <w:r w:rsidRPr="0085730F">
        <w:rPr>
          <w:rFonts w:ascii="Arial" w:cs="Arial"/>
          <w:sz w:val="24"/>
          <w:szCs w:val="24"/>
          <w:lang w:val="en-GB"/>
        </w:rPr>
        <w:t xml:space="preserve">Microplastics </w:t>
      </w:r>
      <w:r w:rsidRPr="0085730F">
        <w:rPr>
          <w:rFonts w:ascii="Arial" w:cs="Arial"/>
          <w:sz w:val="24"/>
          <w:szCs w:val="24"/>
          <w:lang w:val="en-GB"/>
        </w:rPr>
        <w:t xml:space="preserve">and </w:t>
      </w:r>
      <w:proofErr w:type="spellStart"/>
      <w:r w:rsidRPr="0085730F">
        <w:rPr>
          <w:rFonts w:ascii="Arial" w:cs="Arial"/>
          <w:sz w:val="24"/>
          <w:szCs w:val="24"/>
          <w:lang w:val="en-GB"/>
        </w:rPr>
        <w:t>nanoplastics</w:t>
      </w:r>
      <w:proofErr w:type="spellEnd"/>
      <w:r w:rsidRPr="0085730F">
        <w:rPr>
          <w:rFonts w:ascii="Arial" w:cs="Arial"/>
          <w:sz w:val="24"/>
          <w:szCs w:val="24"/>
          <w:lang w:val="en-GB"/>
        </w:rPr>
        <w:t xml:space="preserve"> (MPs/NPs) induce the production of reactive oxygen species (ROS) both extracellularly and intracellularly following internalization (</w:t>
      </w:r>
      <w:proofErr w:type="spellStart"/>
      <w:r w:rsidRPr="0085730F">
        <w:rPr>
          <w:rFonts w:ascii="Arial" w:cs="Arial"/>
          <w:sz w:val="24"/>
          <w:szCs w:val="24"/>
        </w:rPr>
        <w:t>Wahlang</w:t>
      </w:r>
      <w:proofErr w:type="spellEnd"/>
      <w:r w:rsidRPr="0085730F">
        <w:rPr>
          <w:rFonts w:ascii="Arial" w:cs="Arial"/>
          <w:sz w:val="24"/>
          <w:szCs w:val="24"/>
        </w:rPr>
        <w:t>, et al., 2020)</w:t>
      </w:r>
      <w:r w:rsidRPr="0085730F">
        <w:rPr>
          <w:rFonts w:ascii="Arial" w:cs="Arial"/>
          <w:sz w:val="24"/>
          <w:szCs w:val="24"/>
          <w:lang w:val="en-GB"/>
        </w:rPr>
        <w:t>. Within cells, they disrupt mitochondrial membrane integrity and potential, leading</w:t>
      </w:r>
      <w:r w:rsidRPr="0085730F">
        <w:rPr>
          <w:rFonts w:ascii="Arial" w:cs="Arial"/>
          <w:sz w:val="24"/>
          <w:szCs w:val="24"/>
          <w:lang w:val="en-GB"/>
        </w:rPr>
        <w:t xml:space="preserve"> to redox imbalance (</w:t>
      </w:r>
      <w:r w:rsidRPr="0085730F">
        <w:rPr>
          <w:rFonts w:ascii="Arial" w:cs="Arial"/>
          <w:sz w:val="24"/>
          <w:szCs w:val="24"/>
        </w:rPr>
        <w:t>Das, A., 2023; Lee, et al., 2024)</w:t>
      </w:r>
      <w:r w:rsidRPr="0085730F">
        <w:rPr>
          <w:rFonts w:ascii="Arial" w:cs="Arial"/>
          <w:sz w:val="24"/>
          <w:szCs w:val="24"/>
          <w:lang w:val="en-GB"/>
        </w:rPr>
        <w:t>. This oxidative stress triggers DNA damage, protein oxidation/misfolding, and lipid peroxidation, ultimately destabilizing cellular membranes (</w:t>
      </w:r>
      <w:r w:rsidRPr="0085730F">
        <w:rPr>
          <w:rFonts w:ascii="Arial" w:cs="Arial"/>
          <w:sz w:val="24"/>
          <w:szCs w:val="24"/>
        </w:rPr>
        <w:t>Zou, et al., 2025)</w:t>
      </w:r>
      <w:r w:rsidRPr="0085730F">
        <w:rPr>
          <w:rFonts w:ascii="Arial" w:cs="Arial"/>
          <w:sz w:val="24"/>
          <w:szCs w:val="24"/>
          <w:lang w:val="en-GB"/>
        </w:rPr>
        <w:t>, these processes critically affect live</w:t>
      </w:r>
      <w:r w:rsidRPr="0085730F">
        <w:rPr>
          <w:rFonts w:ascii="Arial" w:cs="Arial"/>
          <w:sz w:val="24"/>
          <w:szCs w:val="24"/>
          <w:lang w:val="en-GB"/>
        </w:rPr>
        <w:t>r function (</w:t>
      </w:r>
      <w:r w:rsidRPr="0085730F">
        <w:rPr>
          <w:rFonts w:ascii="Arial" w:cs="Arial"/>
          <w:sz w:val="24"/>
          <w:szCs w:val="24"/>
        </w:rPr>
        <w:t xml:space="preserve">Chen, et al., 2022). </w:t>
      </w:r>
      <w:r w:rsidRPr="0085730F">
        <w:rPr>
          <w:rFonts w:ascii="Arial" w:cs="Arial"/>
          <w:sz w:val="24"/>
          <w:szCs w:val="24"/>
          <w:lang w:val="en-GB"/>
        </w:rPr>
        <w:t xml:space="preserve">MPs/NPs have been implicated in metabolic dysfunction-associated </w:t>
      </w:r>
      <w:proofErr w:type="spellStart"/>
      <w:r w:rsidRPr="0085730F">
        <w:rPr>
          <w:rFonts w:ascii="Arial" w:cs="Arial"/>
          <w:sz w:val="24"/>
          <w:szCs w:val="24"/>
          <w:lang w:val="en-GB"/>
        </w:rPr>
        <w:t>steatotic</w:t>
      </w:r>
      <w:proofErr w:type="spellEnd"/>
      <w:r w:rsidRPr="0085730F">
        <w:rPr>
          <w:rFonts w:ascii="Arial" w:cs="Arial"/>
          <w:sz w:val="24"/>
          <w:szCs w:val="24"/>
          <w:lang w:val="en-GB"/>
        </w:rPr>
        <w:t xml:space="preserve"> liver disease (</w:t>
      </w:r>
      <w:proofErr w:type="spellStart"/>
      <w:r w:rsidRPr="0085730F">
        <w:rPr>
          <w:rFonts w:ascii="Arial" w:cs="Arial"/>
          <w:sz w:val="24"/>
          <w:szCs w:val="24"/>
        </w:rPr>
        <w:t>Lolescu</w:t>
      </w:r>
      <w:proofErr w:type="spellEnd"/>
      <w:r w:rsidRPr="0085730F">
        <w:rPr>
          <w:rFonts w:ascii="Arial" w:cs="Arial"/>
          <w:sz w:val="24"/>
          <w:szCs w:val="24"/>
        </w:rPr>
        <w:t xml:space="preserve">, et al., 2024; Romeo, et al., 2025). </w:t>
      </w:r>
      <w:r w:rsidRPr="0085730F">
        <w:rPr>
          <w:rFonts w:ascii="Arial" w:cs="Arial"/>
          <w:sz w:val="24"/>
          <w:szCs w:val="24"/>
          <w:lang w:val="en-GB"/>
        </w:rPr>
        <w:t>Although MASLD pathogenesis typically involves factors such as diet, obesity, and insuli</w:t>
      </w:r>
      <w:r w:rsidRPr="0085730F">
        <w:rPr>
          <w:rFonts w:ascii="Arial" w:cs="Arial"/>
          <w:sz w:val="24"/>
          <w:szCs w:val="24"/>
          <w:lang w:val="en-GB"/>
        </w:rPr>
        <w:t>n resistance, emerging evidence identifies MPs/NPs as environmental toxins that exacerbate disease progression via ROS-mediated mechanisms (</w:t>
      </w:r>
      <w:r w:rsidRPr="0085730F">
        <w:rPr>
          <w:rFonts w:ascii="Arial" w:cs="Arial"/>
          <w:sz w:val="24"/>
          <w:szCs w:val="24"/>
        </w:rPr>
        <w:t>Chen, et al., 2024)</w:t>
      </w:r>
    </w:p>
    <w:p w14:paraId="0EE82984" w14:textId="77777777" w:rsidR="00681AEA" w:rsidRPr="0085730F" w:rsidRDefault="00613667">
      <w:pPr>
        <w:spacing w:line="360" w:lineRule="auto"/>
        <w:jc w:val="both"/>
        <w:rPr>
          <w:rFonts w:ascii="Arial" w:cs="Arial"/>
          <w:sz w:val="24"/>
          <w:szCs w:val="24"/>
          <w:lang w:val="en-GB"/>
        </w:rPr>
      </w:pPr>
      <w:r w:rsidRPr="0085730F">
        <w:rPr>
          <w:rFonts w:ascii="Arial" w:cs="Arial"/>
          <w:sz w:val="24"/>
          <w:szCs w:val="24"/>
          <w:lang w:val="en-GB"/>
        </w:rPr>
        <w:t>Hepatocellular injury is specifically marked by elevated alanine aminotransferase (ALP) levels</w:t>
      </w:r>
      <w:r w:rsidRPr="0085730F">
        <w:rPr>
          <w:rFonts w:ascii="Arial" w:cs="Arial"/>
          <w:sz w:val="24"/>
          <w:szCs w:val="24"/>
          <w:lang w:val="en-GB"/>
        </w:rPr>
        <w:t> </w:t>
      </w:r>
      <w:r w:rsidRPr="0085730F">
        <w:rPr>
          <w:rFonts w:ascii="Arial" w:cs="Arial"/>
          <w:sz w:val="24"/>
          <w:szCs w:val="24"/>
          <w:lang w:val="en-GB"/>
        </w:rPr>
        <w:t>r</w:t>
      </w:r>
      <w:r w:rsidRPr="0085730F">
        <w:rPr>
          <w:rFonts w:ascii="Arial" w:cs="Arial"/>
          <w:sz w:val="24"/>
          <w:szCs w:val="24"/>
          <w:lang w:val="en-GB"/>
        </w:rPr>
        <w:t>eliable biomarker of liver damage. In contrast, aspartate aminotransferase (AST) and alkaline phosphatase (ALT), though commonly used, are less specific due to their expression in other organs, including the kidneys, pancreas, bones, and intestines. To imp</w:t>
      </w:r>
      <w:r w:rsidRPr="0085730F">
        <w:rPr>
          <w:rFonts w:ascii="Arial" w:cs="Arial"/>
          <w:sz w:val="24"/>
          <w:szCs w:val="24"/>
          <w:lang w:val="en-GB"/>
        </w:rPr>
        <w:t>rove specificity in our study, liver homogenate was used for enzyme analysis. Although ALP elevation may indicate hepatobiliary involvement, it is not a definitive marker of hepatocellular damage.</w:t>
      </w:r>
    </w:p>
    <w:p w14:paraId="7B8D68F8" w14:textId="77777777" w:rsidR="00681AEA" w:rsidRPr="0085730F" w:rsidRDefault="00613667">
      <w:pPr>
        <w:spacing w:line="360" w:lineRule="auto"/>
        <w:jc w:val="both"/>
        <w:rPr>
          <w:rFonts w:ascii="Arial" w:cs="Arial"/>
          <w:sz w:val="24"/>
          <w:szCs w:val="24"/>
          <w:lang w:val="en-GB"/>
        </w:rPr>
      </w:pPr>
      <w:r w:rsidRPr="0085730F">
        <w:rPr>
          <w:rFonts w:ascii="Arial" w:cs="Arial"/>
          <w:sz w:val="24"/>
          <w:szCs w:val="24"/>
          <w:lang w:val="en-GB"/>
        </w:rPr>
        <w:t xml:space="preserve">Histological sections of liver tissue revealed parenchymal </w:t>
      </w:r>
      <w:r w:rsidRPr="0085730F">
        <w:rPr>
          <w:rFonts w:ascii="Arial" w:cs="Arial"/>
          <w:sz w:val="24"/>
          <w:szCs w:val="24"/>
          <w:lang w:val="en-GB"/>
        </w:rPr>
        <w:t xml:space="preserve">distortion characterized by vascular stasis, nuclear enlargement, and disruption of hepatocyte radial symmetry. Hepatocytes appeared irregular in shape, and the central vein was congested, dilated, and infiltrated with inflammatory cells and erythrocytes. </w:t>
      </w:r>
      <w:r w:rsidRPr="0085730F">
        <w:rPr>
          <w:rFonts w:ascii="Arial" w:cs="Arial"/>
          <w:sz w:val="24"/>
          <w:szCs w:val="24"/>
          <w:lang w:val="en-GB"/>
        </w:rPr>
        <w:t xml:space="preserve">These changes occurred in a </w:t>
      </w:r>
      <w:r w:rsidRPr="0085730F">
        <w:rPr>
          <w:rFonts w:ascii="Arial" w:cs="Arial"/>
          <w:sz w:val="24"/>
          <w:szCs w:val="24"/>
          <w:lang w:val="en-GB"/>
        </w:rPr>
        <w:lastRenderedPageBreak/>
        <w:t>dose-dependent manner in groups treated with 0.2 mg/kg and 0.3 mg/kg PVC, as compared to controls findings consistent with previous studies.</w:t>
      </w:r>
    </w:p>
    <w:p w14:paraId="7B00DEE3" w14:textId="77777777" w:rsidR="00681AEA" w:rsidRPr="0085730F" w:rsidRDefault="00613667">
      <w:pPr>
        <w:spacing w:line="360" w:lineRule="auto"/>
        <w:jc w:val="both"/>
        <w:rPr>
          <w:rFonts w:ascii="Arial" w:cs="Arial"/>
          <w:sz w:val="24"/>
          <w:szCs w:val="24"/>
          <w:lang w:val="en-GB"/>
        </w:rPr>
      </w:pPr>
      <w:r w:rsidRPr="0085730F">
        <w:rPr>
          <w:rFonts w:ascii="Arial" w:cs="Arial"/>
          <w:sz w:val="24"/>
          <w:szCs w:val="24"/>
          <w:lang w:val="en-GB"/>
        </w:rPr>
        <w:t>This architectural distortion was accompanied by impairment of physiological, synthetic</w:t>
      </w:r>
      <w:r w:rsidRPr="0085730F">
        <w:rPr>
          <w:rFonts w:ascii="Arial" w:cs="Arial"/>
          <w:sz w:val="24"/>
          <w:szCs w:val="24"/>
          <w:lang w:val="en-GB"/>
        </w:rPr>
        <w:t>, biochemical, metabolic, and enzymatic functions. Liver enzyme levels (AST, ALT, ALP) were significantly elevated in the 0.2 mg/kg group and even more so in the 0.3 mg/kg group, reaffirming findings from previous studies that indicated similar enzymatic a</w:t>
      </w:r>
      <w:r w:rsidRPr="0085730F">
        <w:rPr>
          <w:rFonts w:ascii="Arial" w:cs="Arial"/>
          <w:sz w:val="24"/>
          <w:szCs w:val="24"/>
          <w:lang w:val="en-GB"/>
        </w:rPr>
        <w:t>lterations.</w:t>
      </w:r>
    </w:p>
    <w:p w14:paraId="6B73A0C6" w14:textId="77777777" w:rsidR="00681AEA" w:rsidRPr="0085730F" w:rsidRDefault="00613667">
      <w:pPr>
        <w:spacing w:line="360" w:lineRule="auto"/>
        <w:jc w:val="both"/>
        <w:rPr>
          <w:rFonts w:ascii="Arial" w:cs="Arial"/>
          <w:sz w:val="24"/>
          <w:szCs w:val="24"/>
          <w:lang w:val="en-GB"/>
        </w:rPr>
      </w:pPr>
      <w:r w:rsidRPr="0085730F">
        <w:rPr>
          <w:rFonts w:ascii="Arial" w:cs="Arial"/>
          <w:sz w:val="24"/>
          <w:szCs w:val="24"/>
          <w:lang w:val="en-GB"/>
        </w:rPr>
        <w:t>Alanine transaminase (ALT) is a liver-specific biomarker that more accurately indicates hepatocellular damage compared to aspartate transaminase (AST) or alkaline phosphatase (ALP) (</w:t>
      </w:r>
      <w:proofErr w:type="spellStart"/>
      <w:r w:rsidRPr="0085730F">
        <w:rPr>
          <w:rFonts w:ascii="Arial" w:cs="Arial"/>
          <w:sz w:val="24"/>
          <w:szCs w:val="24"/>
          <w:lang w:val="en-GB"/>
        </w:rPr>
        <w:t>Kalas</w:t>
      </w:r>
      <w:proofErr w:type="spellEnd"/>
      <w:r w:rsidRPr="0085730F">
        <w:rPr>
          <w:rFonts w:ascii="Arial" w:cs="Arial"/>
          <w:sz w:val="24"/>
          <w:szCs w:val="24"/>
          <w:lang w:val="en-GB"/>
        </w:rPr>
        <w:t xml:space="preserve"> et al., 2021). Liver synthetic function can also be asse</w:t>
      </w:r>
      <w:r w:rsidRPr="0085730F">
        <w:rPr>
          <w:rFonts w:ascii="Arial" w:cs="Arial"/>
          <w:sz w:val="24"/>
          <w:szCs w:val="24"/>
          <w:lang w:val="en-GB"/>
        </w:rPr>
        <w:t xml:space="preserve">ssed through parameters such as protein synthesis (Jagdish et al., 2021; </w:t>
      </w:r>
      <w:proofErr w:type="spellStart"/>
      <w:r w:rsidRPr="0085730F">
        <w:rPr>
          <w:rFonts w:ascii="Arial" w:cs="Arial"/>
          <w:sz w:val="24"/>
          <w:szCs w:val="24"/>
          <w:lang w:val="en-GB"/>
        </w:rPr>
        <w:t>Sheinenzon</w:t>
      </w:r>
      <w:proofErr w:type="spellEnd"/>
      <w:r w:rsidRPr="0085730F">
        <w:rPr>
          <w:rFonts w:ascii="Arial" w:cs="Arial"/>
          <w:sz w:val="24"/>
          <w:szCs w:val="24"/>
          <w:lang w:val="en-GB"/>
        </w:rPr>
        <w:t xml:space="preserve"> et al., 2021). In this study, exposure to the toxin resulted in decreased total protein and albumin levels in the 0.2 mg/kg group, with more pronounced reductions in the 0.</w:t>
      </w:r>
      <w:r w:rsidRPr="0085730F">
        <w:rPr>
          <w:rFonts w:ascii="Arial" w:cs="Arial"/>
          <w:sz w:val="24"/>
          <w:szCs w:val="24"/>
          <w:lang w:val="en-GB"/>
        </w:rPr>
        <w:t>3 mg/kg group. These findings support the role of serum albumin as a predictor of long-term mortality in patients with acute pulmonary embolism and chronic liver disease, likely due to liver cell death and impaired albumin synthesis (Carvalho &amp; Machado, 20</w:t>
      </w:r>
      <w:r w:rsidRPr="0085730F">
        <w:rPr>
          <w:rFonts w:ascii="Arial" w:cs="Arial"/>
          <w:sz w:val="24"/>
          <w:szCs w:val="24"/>
          <w:lang w:val="en-GB"/>
        </w:rPr>
        <w:t>18). The decrease in protein and albumin levels may disrupt homeostasis, affecting various essential functions, including hormone and mineral transport, blood clotting, and vascular oncotic pressure (</w:t>
      </w:r>
      <w:r w:rsidRPr="0085730F">
        <w:rPr>
          <w:rFonts w:ascii="Arial" w:cs="Arial"/>
          <w:sz w:val="24"/>
          <w:szCs w:val="24"/>
        </w:rPr>
        <w:t xml:space="preserve">Chen, et al., 2021; Cunningham, and </w:t>
      </w:r>
      <w:proofErr w:type="spellStart"/>
      <w:r w:rsidRPr="0085730F">
        <w:rPr>
          <w:rFonts w:ascii="Arial" w:cs="Arial"/>
          <w:sz w:val="24"/>
          <w:szCs w:val="24"/>
        </w:rPr>
        <w:t>Porat-Shliom</w:t>
      </w:r>
      <w:proofErr w:type="spellEnd"/>
      <w:r w:rsidRPr="0085730F">
        <w:rPr>
          <w:rFonts w:ascii="Arial" w:cs="Arial"/>
          <w:sz w:val="24"/>
          <w:szCs w:val="24"/>
        </w:rPr>
        <w:t>, 2021)</w:t>
      </w:r>
      <w:r w:rsidRPr="0085730F">
        <w:rPr>
          <w:rFonts w:ascii="Arial" w:cs="Arial"/>
          <w:sz w:val="24"/>
          <w:szCs w:val="24"/>
          <w:lang w:val="en-GB"/>
        </w:rPr>
        <w:t>.</w:t>
      </w:r>
    </w:p>
    <w:p w14:paraId="4DEBC4F0" w14:textId="77777777" w:rsidR="00681AEA" w:rsidRPr="0085730F" w:rsidRDefault="00613667">
      <w:pPr>
        <w:spacing w:line="360" w:lineRule="auto"/>
        <w:jc w:val="both"/>
        <w:rPr>
          <w:rFonts w:ascii="Arial" w:cs="Arial"/>
          <w:sz w:val="24"/>
          <w:szCs w:val="24"/>
        </w:rPr>
      </w:pPr>
      <w:r w:rsidRPr="0085730F">
        <w:rPr>
          <w:rFonts w:ascii="Arial" w:cs="Arial"/>
          <w:sz w:val="24"/>
          <w:szCs w:val="24"/>
        </w:rPr>
        <w:t>Bilirubin, a product of hemoglobin catabolism, is normally conjugated in the liver to facilitate excretion (</w:t>
      </w:r>
      <w:proofErr w:type="spellStart"/>
      <w:r w:rsidRPr="0085730F">
        <w:rPr>
          <w:rFonts w:ascii="Arial" w:cs="Arial"/>
          <w:sz w:val="24"/>
          <w:szCs w:val="24"/>
        </w:rPr>
        <w:t>Vitek</w:t>
      </w:r>
      <w:proofErr w:type="spellEnd"/>
      <w:r w:rsidRPr="0085730F">
        <w:rPr>
          <w:rFonts w:ascii="Arial" w:cs="Arial"/>
          <w:sz w:val="24"/>
          <w:szCs w:val="24"/>
        </w:rPr>
        <w:t xml:space="preserve"> et al., 2023). Elevated bilirubin levels can indicate liver damage (Guerra Ruiz et al., 2021; </w:t>
      </w:r>
      <w:proofErr w:type="spellStart"/>
      <w:r w:rsidRPr="0085730F">
        <w:rPr>
          <w:rFonts w:ascii="Arial" w:cs="Arial"/>
          <w:sz w:val="24"/>
          <w:szCs w:val="24"/>
        </w:rPr>
        <w:t>V</w:t>
      </w:r>
      <w:r w:rsidRPr="0085730F">
        <w:rPr>
          <w:rFonts w:ascii="Arial" w:cs="Arial"/>
          <w:sz w:val="24"/>
          <w:szCs w:val="24"/>
        </w:rPr>
        <w:t>í</w:t>
      </w:r>
      <w:r w:rsidRPr="0085730F">
        <w:rPr>
          <w:rFonts w:ascii="Arial" w:cs="Arial"/>
          <w:sz w:val="24"/>
          <w:szCs w:val="24"/>
        </w:rPr>
        <w:t>tek</w:t>
      </w:r>
      <w:proofErr w:type="spellEnd"/>
      <w:r w:rsidRPr="0085730F">
        <w:rPr>
          <w:rFonts w:ascii="Arial" w:cs="Arial"/>
          <w:sz w:val="24"/>
          <w:szCs w:val="24"/>
        </w:rPr>
        <w:t xml:space="preserve"> &amp; </w:t>
      </w:r>
      <w:proofErr w:type="spellStart"/>
      <w:r w:rsidRPr="0085730F">
        <w:rPr>
          <w:rFonts w:ascii="Arial" w:cs="Arial"/>
          <w:sz w:val="24"/>
          <w:szCs w:val="24"/>
        </w:rPr>
        <w:t>Tiribelli</w:t>
      </w:r>
      <w:proofErr w:type="spellEnd"/>
      <w:r w:rsidRPr="0085730F">
        <w:rPr>
          <w:rFonts w:ascii="Arial" w:cs="Arial"/>
          <w:sz w:val="24"/>
          <w:szCs w:val="24"/>
        </w:rPr>
        <w:t>, 2021). In our study, treated</w:t>
      </w:r>
      <w:r w:rsidRPr="0085730F">
        <w:rPr>
          <w:rFonts w:ascii="Arial" w:cs="Arial"/>
          <w:sz w:val="24"/>
          <w:szCs w:val="24"/>
        </w:rPr>
        <w:t xml:space="preserve"> rats showed increased total and indirect (unconjugated) bilirubin levels, suggesting impaired liver function in conjugating bilirubin. Elevated unconjugated bilirubin can lead to increased free bilirubin (Bf) levels, which plays a key role in neurotoxicit</w:t>
      </w:r>
      <w:r w:rsidRPr="0085730F">
        <w:rPr>
          <w:rFonts w:ascii="Arial" w:cs="Arial"/>
          <w:sz w:val="24"/>
          <w:szCs w:val="24"/>
        </w:rPr>
        <w:t>y and conditions such as kernicterus, where bilirubin deposits in the brain (</w:t>
      </w:r>
      <w:proofErr w:type="spellStart"/>
      <w:r w:rsidRPr="0085730F">
        <w:rPr>
          <w:rFonts w:ascii="Arial" w:cs="Arial"/>
          <w:sz w:val="24"/>
          <w:szCs w:val="24"/>
        </w:rPr>
        <w:t>Brites</w:t>
      </w:r>
      <w:proofErr w:type="spellEnd"/>
      <w:r w:rsidRPr="0085730F">
        <w:rPr>
          <w:rFonts w:ascii="Arial" w:cs="Arial"/>
          <w:sz w:val="24"/>
          <w:szCs w:val="24"/>
        </w:rPr>
        <w:t xml:space="preserve"> and Silva, 2021), this may be a synergistic contribution to the observed impaired memory function in the neurobehavioral paradigm.</w:t>
      </w:r>
    </w:p>
    <w:p w14:paraId="68EF1283" w14:textId="4C59088A" w:rsidR="00681AEA" w:rsidRPr="0085730F" w:rsidRDefault="00613667">
      <w:pPr>
        <w:spacing w:line="360" w:lineRule="auto"/>
        <w:jc w:val="both"/>
        <w:rPr>
          <w:rFonts w:ascii="Arial" w:cs="Arial"/>
          <w:sz w:val="24"/>
          <w:szCs w:val="24"/>
          <w:lang w:val="en-GB"/>
        </w:rPr>
      </w:pPr>
      <w:r w:rsidRPr="0085730F">
        <w:rPr>
          <w:rFonts w:ascii="Arial" w:cs="Arial"/>
          <w:sz w:val="24"/>
          <w:szCs w:val="24"/>
          <w:lang w:val="en-GB"/>
        </w:rPr>
        <w:t>According to Hy</w:t>
      </w:r>
      <w:r w:rsidRPr="0085730F">
        <w:rPr>
          <w:rFonts w:ascii="Arial" w:cs="Arial"/>
          <w:sz w:val="24"/>
          <w:szCs w:val="24"/>
          <w:lang w:val="en-GB"/>
        </w:rPr>
        <w:t>’</w:t>
      </w:r>
      <w:r w:rsidRPr="0085730F">
        <w:rPr>
          <w:rFonts w:ascii="Arial" w:cs="Arial"/>
          <w:sz w:val="24"/>
          <w:szCs w:val="24"/>
          <w:lang w:val="en-GB"/>
        </w:rPr>
        <w:t>s law, concurrent elevati</w:t>
      </w:r>
      <w:r w:rsidRPr="0085730F">
        <w:rPr>
          <w:rFonts w:ascii="Arial" w:cs="Arial"/>
          <w:sz w:val="24"/>
          <w:szCs w:val="24"/>
          <w:lang w:val="en-GB"/>
        </w:rPr>
        <w:t>ons in AST/ALT and bilirubin suggest drug-induced hepatotoxicity (</w:t>
      </w:r>
      <w:r w:rsidR="008758F7" w:rsidRPr="0085730F">
        <w:rPr>
          <w:rFonts w:ascii="Arial" w:hAnsi="Arial" w:cs="Arial"/>
          <w:bCs/>
        </w:rPr>
        <w:t>Re</w:t>
      </w:r>
      <w:r w:rsidR="008758F7" w:rsidRPr="0085730F">
        <w:rPr>
          <w:rFonts w:ascii="Arial" w:cs="Arial"/>
          <w:sz w:val="24"/>
          <w:szCs w:val="24"/>
        </w:rPr>
        <w:t xml:space="preserve"> et al., 2015; </w:t>
      </w:r>
      <w:proofErr w:type="spellStart"/>
      <w:r w:rsidRPr="0085730F">
        <w:rPr>
          <w:rFonts w:ascii="Arial" w:cs="Arial"/>
          <w:sz w:val="24"/>
          <w:szCs w:val="24"/>
        </w:rPr>
        <w:t>Barritt</w:t>
      </w:r>
      <w:proofErr w:type="spellEnd"/>
      <w:r w:rsidRPr="0085730F">
        <w:rPr>
          <w:rFonts w:ascii="Arial" w:cs="Arial"/>
          <w:sz w:val="24"/>
          <w:szCs w:val="24"/>
        </w:rPr>
        <w:t xml:space="preserve">, et al., 2022), </w:t>
      </w:r>
      <w:r w:rsidRPr="0085730F">
        <w:rPr>
          <w:rFonts w:ascii="Arial" w:cs="Arial"/>
          <w:sz w:val="24"/>
          <w:szCs w:val="24"/>
          <w:lang w:val="en-GB"/>
        </w:rPr>
        <w:t xml:space="preserve">which supports our </w:t>
      </w:r>
      <w:r w:rsidRPr="0085730F">
        <w:rPr>
          <w:rFonts w:ascii="Arial" w:cs="Arial"/>
          <w:sz w:val="24"/>
          <w:szCs w:val="24"/>
          <w:lang w:val="en-GB"/>
        </w:rPr>
        <w:lastRenderedPageBreak/>
        <w:t>postulation, that PVC induces liver injury direct toxicity, oxidative stress, and hypoxia from vascular stasis or thrombosis.</w:t>
      </w:r>
    </w:p>
    <w:p w14:paraId="36A617F0" w14:textId="77777777" w:rsidR="00681AEA" w:rsidRPr="0085730F" w:rsidRDefault="00613667">
      <w:pPr>
        <w:spacing w:line="360" w:lineRule="auto"/>
        <w:jc w:val="both"/>
        <w:rPr>
          <w:rFonts w:ascii="Arial" w:cs="Arial"/>
          <w:sz w:val="24"/>
          <w:szCs w:val="24"/>
          <w:lang w:val="en-GB"/>
        </w:rPr>
      </w:pPr>
      <w:r w:rsidRPr="0085730F">
        <w:rPr>
          <w:rFonts w:ascii="Arial" w:cs="Arial"/>
          <w:sz w:val="24"/>
          <w:szCs w:val="24"/>
        </w:rPr>
        <w:t>Malo</w:t>
      </w:r>
      <w:r w:rsidRPr="0085730F">
        <w:rPr>
          <w:rFonts w:ascii="Arial" w:cs="Arial"/>
          <w:sz w:val="24"/>
          <w:szCs w:val="24"/>
        </w:rPr>
        <w:t>ndialdehyde (MDA) is a compound that is derived from the peroxidation of polyunsaturated fatty acids. It is a has been used as a biomarker to measure oxidative stress in various biological samples in patients who are affected by a wide range of diseases (</w:t>
      </w:r>
      <w:proofErr w:type="spellStart"/>
      <w:r w:rsidRPr="0085730F">
        <w:rPr>
          <w:rFonts w:ascii="Arial" w:cs="Arial"/>
          <w:sz w:val="24"/>
          <w:szCs w:val="24"/>
        </w:rPr>
        <w:t>C</w:t>
      </w:r>
      <w:r w:rsidRPr="0085730F">
        <w:rPr>
          <w:rFonts w:ascii="Arial" w:cs="Arial"/>
          <w:sz w:val="24"/>
          <w:szCs w:val="24"/>
        </w:rPr>
        <w:t>ordiano</w:t>
      </w:r>
      <w:proofErr w:type="spellEnd"/>
      <w:r w:rsidRPr="0085730F">
        <w:rPr>
          <w:rFonts w:ascii="Arial" w:cs="Arial"/>
          <w:sz w:val="24"/>
          <w:szCs w:val="24"/>
        </w:rPr>
        <w:t>, et al., 2023)</w:t>
      </w:r>
      <w:r w:rsidRPr="0085730F">
        <w:rPr>
          <w:rFonts w:ascii="Arial" w:cs="Arial"/>
          <w:sz w:val="24"/>
          <w:szCs w:val="24"/>
          <w:lang w:val="en-GB"/>
        </w:rPr>
        <w:t xml:space="preserve">.  This study reported an increase in MDA levels in treated groups, supporting our hypothesis that PVC induces hepatotoxicity through ROS generation. </w:t>
      </w:r>
    </w:p>
    <w:p w14:paraId="1CF11EB1" w14:textId="77777777" w:rsidR="00681AEA" w:rsidRPr="0085730F" w:rsidRDefault="00613667">
      <w:pPr>
        <w:spacing w:line="360" w:lineRule="auto"/>
        <w:jc w:val="both"/>
        <w:rPr>
          <w:rFonts w:ascii="Arial" w:cs="Arial"/>
          <w:sz w:val="24"/>
          <w:szCs w:val="24"/>
          <w:lang w:val="en-GB"/>
        </w:rPr>
      </w:pPr>
      <w:r w:rsidRPr="0085730F">
        <w:rPr>
          <w:rFonts w:ascii="Arial" w:cs="Arial"/>
          <w:sz w:val="24"/>
          <w:szCs w:val="24"/>
        </w:rPr>
        <w:t>Oxidative stress occurs when there's an imbalance between oxidants and antioxidants</w:t>
      </w:r>
      <w:r w:rsidRPr="0085730F">
        <w:rPr>
          <w:rFonts w:ascii="Arial" w:cs="Arial"/>
          <w:sz w:val="24"/>
          <w:szCs w:val="24"/>
        </w:rPr>
        <w:t>, leading to increased levels of free radicals like reactive oxygen species (ROS) and reactive nitrogen species (RNS). Elevated oxidant levels can damage biomolecules, including lipids, proteins, and DNA. The immune system and antioxidant defense mechanism</w:t>
      </w:r>
      <w:r w:rsidRPr="0085730F">
        <w:rPr>
          <w:rFonts w:ascii="Arial" w:cs="Arial"/>
          <w:sz w:val="24"/>
          <w:szCs w:val="24"/>
        </w:rPr>
        <w:t>s work to mitigate this damage. These mechanisms include enzymatic antioxidants like superoxide dismutase (SOD), catalase (CAT), and glutathione peroxidase (</w:t>
      </w:r>
      <w:proofErr w:type="spellStart"/>
      <w:r w:rsidRPr="0085730F">
        <w:rPr>
          <w:rFonts w:ascii="Arial" w:cs="Arial"/>
          <w:sz w:val="24"/>
          <w:szCs w:val="24"/>
        </w:rPr>
        <w:t>GPx</w:t>
      </w:r>
      <w:proofErr w:type="spellEnd"/>
      <w:r w:rsidRPr="0085730F">
        <w:rPr>
          <w:rFonts w:ascii="Arial" w:cs="Arial"/>
          <w:sz w:val="24"/>
          <w:szCs w:val="24"/>
        </w:rPr>
        <w:t>), as well as non-enzymatic antioxidants like glutathione (GSH) (</w:t>
      </w:r>
      <w:proofErr w:type="spellStart"/>
      <w:r w:rsidRPr="0085730F">
        <w:rPr>
          <w:rFonts w:ascii="Arial" w:cs="Arial"/>
          <w:sz w:val="24"/>
          <w:szCs w:val="24"/>
        </w:rPr>
        <w:t>Carmo</w:t>
      </w:r>
      <w:proofErr w:type="spellEnd"/>
      <w:r w:rsidRPr="0085730F">
        <w:rPr>
          <w:rFonts w:ascii="Arial" w:cs="Arial"/>
          <w:sz w:val="24"/>
          <w:szCs w:val="24"/>
        </w:rPr>
        <w:t xml:space="preserve"> et al., 2022; </w:t>
      </w:r>
      <w:proofErr w:type="spellStart"/>
      <w:r w:rsidRPr="0085730F">
        <w:rPr>
          <w:rFonts w:ascii="Arial" w:cs="Arial"/>
          <w:sz w:val="24"/>
          <w:szCs w:val="24"/>
        </w:rPr>
        <w:t>Tekin</w:t>
      </w:r>
      <w:proofErr w:type="spellEnd"/>
      <w:r w:rsidRPr="0085730F">
        <w:rPr>
          <w:rFonts w:ascii="Arial" w:cs="Arial"/>
          <w:sz w:val="24"/>
          <w:szCs w:val="24"/>
        </w:rPr>
        <w:t xml:space="preserve"> &amp; Sev</w:t>
      </w:r>
      <w:r w:rsidRPr="0085730F">
        <w:rPr>
          <w:rFonts w:ascii="Arial" w:cs="Arial"/>
          <w:sz w:val="24"/>
          <w:szCs w:val="24"/>
        </w:rPr>
        <w:t xml:space="preserve">en, 2022; </w:t>
      </w:r>
      <w:proofErr w:type="spellStart"/>
      <w:r w:rsidRPr="0085730F">
        <w:rPr>
          <w:rFonts w:ascii="Arial" w:cs="Arial"/>
          <w:sz w:val="24"/>
          <w:szCs w:val="24"/>
        </w:rPr>
        <w:t>Zarezadeh</w:t>
      </w:r>
      <w:proofErr w:type="spellEnd"/>
      <w:r w:rsidRPr="0085730F">
        <w:rPr>
          <w:rFonts w:ascii="Arial" w:cs="Arial"/>
          <w:sz w:val="24"/>
          <w:szCs w:val="24"/>
        </w:rPr>
        <w:t xml:space="preserve"> et al., 2022). </w:t>
      </w:r>
      <w:r w:rsidRPr="0085730F">
        <w:rPr>
          <w:rFonts w:ascii="Arial" w:cs="Arial"/>
          <w:sz w:val="24"/>
          <w:szCs w:val="24"/>
          <w:lang w:val="en-GB"/>
        </w:rPr>
        <w:t xml:space="preserve">Initially, these enzymes are upregulated, but chronic exposure leads to their depletion.  In our study, levels of GSH, </w:t>
      </w:r>
      <w:proofErr w:type="spellStart"/>
      <w:r w:rsidRPr="0085730F">
        <w:rPr>
          <w:rFonts w:ascii="Arial" w:cs="Arial"/>
          <w:sz w:val="24"/>
          <w:szCs w:val="24"/>
          <w:lang w:val="en-GB"/>
        </w:rPr>
        <w:t>GPx</w:t>
      </w:r>
      <w:proofErr w:type="spellEnd"/>
      <w:r w:rsidRPr="0085730F">
        <w:rPr>
          <w:rFonts w:ascii="Arial" w:cs="Arial"/>
          <w:sz w:val="24"/>
          <w:szCs w:val="24"/>
          <w:lang w:val="en-GB"/>
        </w:rPr>
        <w:t>, SOD, and CAT were significantly decreased, especially in the 0.3 mg/kg group, suggesting compromi</w:t>
      </w:r>
      <w:r w:rsidRPr="0085730F">
        <w:rPr>
          <w:rFonts w:ascii="Arial" w:cs="Arial"/>
          <w:sz w:val="24"/>
          <w:szCs w:val="24"/>
          <w:lang w:val="en-GB"/>
        </w:rPr>
        <w:t>sed antioxidant defences and increased vulnerability to oxidative damage.</w:t>
      </w:r>
    </w:p>
    <w:p w14:paraId="6933313C" w14:textId="77777777" w:rsidR="00681AEA" w:rsidRPr="0085730F" w:rsidRDefault="00613667">
      <w:pPr>
        <w:pStyle w:val="ConcHead"/>
        <w:spacing w:after="0"/>
        <w:jc w:val="both"/>
        <w:rPr>
          <w:rFonts w:ascii="Arial" w:hAnsi="Arial" w:cs="Arial"/>
        </w:rPr>
      </w:pPr>
      <w:r w:rsidRPr="0085730F">
        <w:rPr>
          <w:rFonts w:ascii="Arial" w:hAnsi="Arial" w:cs="Arial"/>
        </w:rPr>
        <w:t>4. Conclusion</w:t>
      </w:r>
    </w:p>
    <w:p w14:paraId="6BF4A8D4" w14:textId="77777777" w:rsidR="00681AEA" w:rsidRPr="0085730F" w:rsidRDefault="00681AEA">
      <w:pPr>
        <w:pStyle w:val="ConcHead"/>
        <w:spacing w:after="0"/>
        <w:jc w:val="both"/>
        <w:rPr>
          <w:rFonts w:ascii="Arial" w:hAnsi="Arial" w:cs="Arial"/>
        </w:rPr>
      </w:pPr>
    </w:p>
    <w:p w14:paraId="23FDCBA6" w14:textId="77777777" w:rsidR="00681AEA" w:rsidRPr="0085730F" w:rsidRDefault="00613667">
      <w:pPr>
        <w:spacing w:line="360" w:lineRule="auto"/>
        <w:jc w:val="both"/>
        <w:rPr>
          <w:rFonts w:ascii="Arial" w:cs="Arial"/>
          <w:sz w:val="24"/>
          <w:szCs w:val="24"/>
          <w:lang w:val="en-GB"/>
        </w:rPr>
      </w:pPr>
      <w:r w:rsidRPr="0085730F">
        <w:rPr>
          <w:rFonts w:ascii="Arial" w:hAnsi="Arial" w:cs="Arial"/>
        </w:rPr>
        <w:t>[</w:t>
      </w:r>
      <w:r w:rsidRPr="0085730F">
        <w:rPr>
          <w:rFonts w:ascii="Arial" w:cs="Arial"/>
          <w:sz w:val="24"/>
          <w:szCs w:val="24"/>
          <w:lang w:val="en-GB"/>
        </w:rPr>
        <w:t>This study investigated the histopathological effects of PVC exposure on the liver of Wistar rats. Results revealed a dose-dependent pattern of tissue injury at PVC d</w:t>
      </w:r>
      <w:r w:rsidRPr="0085730F">
        <w:rPr>
          <w:rFonts w:ascii="Arial" w:cs="Arial"/>
          <w:sz w:val="24"/>
          <w:szCs w:val="24"/>
          <w:lang w:val="en-GB"/>
        </w:rPr>
        <w:t>oses of 0.1</w:t>
      </w:r>
      <w:r w:rsidRPr="0085730F">
        <w:rPr>
          <w:rFonts w:ascii="Arial" w:cs="Arial"/>
          <w:sz w:val="24"/>
          <w:szCs w:val="24"/>
          <w:lang w:val="en-GB"/>
        </w:rPr>
        <w:t>–</w:t>
      </w:r>
      <w:r w:rsidRPr="0085730F">
        <w:rPr>
          <w:rFonts w:ascii="Arial" w:cs="Arial"/>
          <w:sz w:val="24"/>
          <w:szCs w:val="24"/>
          <w:lang w:val="en-GB"/>
        </w:rPr>
        <w:t>0.3 mg/kg. The liver showed progressive damage ranging from ballooning degeneration to necrosis and inflammation corroborating oxidative stress as a central mechanism. PVC and its metabolites, particularly vinyl chloride monomer (VCM), appear t</w:t>
      </w:r>
      <w:r w:rsidRPr="0085730F">
        <w:rPr>
          <w:rFonts w:ascii="Arial" w:cs="Arial"/>
          <w:sz w:val="24"/>
          <w:szCs w:val="24"/>
          <w:lang w:val="en-GB"/>
        </w:rPr>
        <w:t>o induce damage via oxidative stress, mitochondrial dysfunction, and inflammation. The systemic bioactivity of PVC, as reflected in liver, highlights its potential health risks and reinforces the need for stricter regulatory control of plastic exposure, pa</w:t>
      </w:r>
      <w:r w:rsidRPr="0085730F">
        <w:rPr>
          <w:rFonts w:ascii="Arial" w:cs="Arial"/>
          <w:sz w:val="24"/>
          <w:szCs w:val="24"/>
          <w:lang w:val="en-GB"/>
        </w:rPr>
        <w:t>rticularly in occupational and industrial environments</w:t>
      </w:r>
    </w:p>
    <w:p w14:paraId="1852C014" w14:textId="77777777" w:rsidR="00681AEA" w:rsidRPr="0085730F" w:rsidRDefault="00681AEA">
      <w:pPr>
        <w:pStyle w:val="ReferHead"/>
        <w:spacing w:after="0"/>
        <w:jc w:val="both"/>
        <w:rPr>
          <w:rFonts w:ascii="Arial" w:hAnsi="Arial" w:cs="Arial"/>
          <w:b w:val="0"/>
          <w:caps w:val="0"/>
          <w:sz w:val="20"/>
        </w:rPr>
      </w:pPr>
    </w:p>
    <w:p w14:paraId="399F7B35" w14:textId="77777777" w:rsidR="00681AEA" w:rsidRPr="0085730F" w:rsidRDefault="00613667">
      <w:pPr>
        <w:pStyle w:val="ReferHead"/>
        <w:spacing w:after="0"/>
        <w:jc w:val="both"/>
        <w:rPr>
          <w:rFonts w:ascii="Arial" w:hAnsi="Arial" w:cs="Arial"/>
          <w:bCs/>
          <w:sz w:val="20"/>
        </w:rPr>
      </w:pPr>
      <w:r w:rsidRPr="0085730F">
        <w:rPr>
          <w:rFonts w:ascii="Arial" w:hAnsi="Arial" w:cs="Arial"/>
          <w:bCs/>
          <w:sz w:val="20"/>
        </w:rPr>
        <w:t>Consent (where ever applicable)</w:t>
      </w:r>
    </w:p>
    <w:p w14:paraId="36468615" w14:textId="77777777" w:rsidR="00681AEA" w:rsidRPr="0085730F" w:rsidRDefault="00613667">
      <w:pPr>
        <w:pStyle w:val="ReferHead"/>
        <w:spacing w:after="0"/>
        <w:jc w:val="both"/>
        <w:rPr>
          <w:rFonts w:ascii="Arial" w:hAnsi="Arial" w:cs="Arial"/>
          <w:b w:val="0"/>
          <w:caps w:val="0"/>
          <w:sz w:val="20"/>
          <w:lang w:val="en-GB"/>
        </w:rPr>
      </w:pPr>
      <w:r w:rsidRPr="0085730F">
        <w:rPr>
          <w:rFonts w:ascii="Arial" w:hAnsi="Arial" w:cs="Arial"/>
          <w:b w:val="0"/>
          <w:caps w:val="0"/>
          <w:sz w:val="20"/>
        </w:rPr>
        <w:t>No</w:t>
      </w:r>
      <w:r w:rsidRPr="0085730F">
        <w:rPr>
          <w:rFonts w:ascii="Arial" w:hAnsi="Arial" w:cs="Arial"/>
          <w:b w:val="0"/>
          <w:caps w:val="0"/>
          <w:sz w:val="20"/>
          <w:lang w:val="en-GB"/>
        </w:rPr>
        <w:t>t applicable</w:t>
      </w:r>
    </w:p>
    <w:p w14:paraId="7E843F54" w14:textId="77777777" w:rsidR="00681AEA" w:rsidRPr="0085730F" w:rsidRDefault="00681AEA">
      <w:pPr>
        <w:rPr>
          <w:rFonts w:ascii="Arial" w:hAnsi="Arial" w:cs="Arial"/>
          <w:b/>
          <w:bCs/>
          <w:sz w:val="24"/>
          <w:szCs w:val="24"/>
          <w:lang w:val="en-GB"/>
        </w:rPr>
      </w:pPr>
    </w:p>
    <w:p w14:paraId="327E6E41" w14:textId="77777777" w:rsidR="00681AEA" w:rsidRPr="0085730F" w:rsidRDefault="00613667">
      <w:pPr>
        <w:rPr>
          <w:rFonts w:ascii="Arial" w:hAnsi="Arial" w:cs="Arial"/>
          <w:b/>
          <w:bCs/>
          <w:sz w:val="24"/>
          <w:szCs w:val="24"/>
        </w:rPr>
      </w:pPr>
      <w:r w:rsidRPr="0085730F">
        <w:rPr>
          <w:rFonts w:ascii="Arial" w:hAnsi="Arial" w:cs="Arial"/>
          <w:b/>
          <w:bCs/>
          <w:sz w:val="24"/>
          <w:szCs w:val="24"/>
        </w:rPr>
        <w:t>REFERENCES</w:t>
      </w:r>
    </w:p>
    <w:p w14:paraId="7ECA988B" w14:textId="77777777" w:rsidR="0082260E" w:rsidRPr="0085730F" w:rsidRDefault="0082260E" w:rsidP="0082260E">
      <w:pPr>
        <w:ind w:left="567" w:hanging="547"/>
        <w:jc w:val="both"/>
        <w:rPr>
          <w:rFonts w:ascii="Arial" w:hAnsi="Arial" w:cs="Arial"/>
          <w:sz w:val="24"/>
          <w:szCs w:val="24"/>
          <w:shd w:val="clear" w:color="auto" w:fill="FFFFFF"/>
        </w:rPr>
      </w:pPr>
      <w:bookmarkStart w:id="1" w:name="_Hlk202170143"/>
      <w:proofErr w:type="spellStart"/>
      <w:r w:rsidRPr="0085730F">
        <w:rPr>
          <w:rFonts w:ascii="Arial" w:hAnsi="Arial" w:cs="Arial"/>
          <w:sz w:val="24"/>
          <w:szCs w:val="24"/>
          <w:shd w:val="clear" w:color="auto" w:fill="FFFFFF"/>
        </w:rPr>
        <w:t>Pilapitiya</w:t>
      </w:r>
      <w:proofErr w:type="spellEnd"/>
      <w:r w:rsidRPr="0085730F">
        <w:rPr>
          <w:rFonts w:ascii="Arial" w:hAnsi="Arial" w:cs="Arial"/>
          <w:sz w:val="24"/>
          <w:szCs w:val="24"/>
          <w:shd w:val="clear" w:color="auto" w:fill="FFFFFF"/>
        </w:rPr>
        <w:t>, P.N.T. and Ratnayake, A.S. (2024) The world of plastic waste: a review. Cleaner Materials, p. 100220.</w:t>
      </w:r>
    </w:p>
    <w:p w14:paraId="3D4B04FB" w14:textId="77777777" w:rsidR="0082260E" w:rsidRPr="0085730F" w:rsidRDefault="0082260E" w:rsidP="0082260E">
      <w:pPr>
        <w:ind w:left="567" w:hanging="547"/>
        <w:jc w:val="both"/>
        <w:rPr>
          <w:rFonts w:ascii="Arial" w:hAnsi="Arial" w:cs="Arial"/>
          <w:sz w:val="24"/>
          <w:szCs w:val="24"/>
          <w:shd w:val="clear" w:color="auto" w:fill="FFFFFF"/>
        </w:rPr>
      </w:pPr>
      <w:bookmarkStart w:id="2" w:name="_Hlk202170177"/>
      <w:bookmarkEnd w:id="1"/>
      <w:r w:rsidRPr="0085730F">
        <w:rPr>
          <w:rFonts w:ascii="Arial" w:hAnsi="Arial" w:cs="Arial"/>
          <w:sz w:val="24"/>
          <w:szCs w:val="24"/>
          <w:shd w:val="clear" w:color="auto" w:fill="FFFFFF"/>
        </w:rPr>
        <w:t xml:space="preserve">Bashir, S.M., Kimiko, S., </w:t>
      </w:r>
      <w:proofErr w:type="spellStart"/>
      <w:r w:rsidRPr="0085730F">
        <w:rPr>
          <w:rFonts w:ascii="Arial" w:hAnsi="Arial" w:cs="Arial"/>
          <w:sz w:val="24"/>
          <w:szCs w:val="24"/>
          <w:shd w:val="clear" w:color="auto" w:fill="FFFFFF"/>
        </w:rPr>
        <w:t>Mak</w:t>
      </w:r>
      <w:proofErr w:type="spellEnd"/>
      <w:r w:rsidRPr="0085730F">
        <w:rPr>
          <w:rFonts w:ascii="Arial" w:hAnsi="Arial" w:cs="Arial"/>
          <w:sz w:val="24"/>
          <w:szCs w:val="24"/>
          <w:shd w:val="clear" w:color="auto" w:fill="FFFFFF"/>
        </w:rPr>
        <w:t>, C.W., Fang, J.K.H. and Gonçalves, D. (2021) Personal care and cosmetic products as a potential source of environmental contamination by microplastics in a densely populated Asian city. Frontiers in Marine Science, 8, p. 683482.</w:t>
      </w:r>
    </w:p>
    <w:p w14:paraId="020AEE06" w14:textId="77777777" w:rsidR="0082260E" w:rsidRPr="0085730F" w:rsidRDefault="0082260E" w:rsidP="0082260E">
      <w:pPr>
        <w:ind w:left="567" w:hanging="547"/>
        <w:jc w:val="both"/>
        <w:rPr>
          <w:rFonts w:ascii="Arial" w:hAnsi="Arial" w:cs="Arial"/>
          <w:sz w:val="24"/>
          <w:szCs w:val="24"/>
          <w:shd w:val="clear" w:color="auto" w:fill="FFFFFF"/>
        </w:rPr>
      </w:pPr>
      <w:bookmarkStart w:id="3" w:name="_Hlk202170198"/>
      <w:bookmarkEnd w:id="2"/>
      <w:r w:rsidRPr="0085730F">
        <w:rPr>
          <w:rFonts w:ascii="Arial" w:hAnsi="Arial" w:cs="Arial"/>
          <w:sz w:val="24"/>
          <w:szCs w:val="24"/>
          <w:shd w:val="clear" w:color="auto" w:fill="FFFFFF"/>
        </w:rPr>
        <w:t>Williams, A.T. and Rangel-Buitrago, N. (2022) The past, present, and future of plastic pollution. Marine Pollution Bulletin, 176, p. 113429.</w:t>
      </w:r>
    </w:p>
    <w:bookmarkEnd w:id="3"/>
    <w:p w14:paraId="785A11AD" w14:textId="77777777" w:rsidR="0082260E" w:rsidRPr="0085730F" w:rsidRDefault="0082260E" w:rsidP="0082260E">
      <w:pPr>
        <w:ind w:left="567" w:hanging="547"/>
        <w:jc w:val="both"/>
        <w:rPr>
          <w:rFonts w:ascii="Arial" w:hAnsi="Arial" w:cs="Arial"/>
          <w:sz w:val="24"/>
          <w:szCs w:val="24"/>
          <w:shd w:val="clear" w:color="auto" w:fill="FFFFFF"/>
        </w:rPr>
      </w:pPr>
      <w:r w:rsidRPr="0085730F">
        <w:rPr>
          <w:rFonts w:ascii="Arial" w:hAnsi="Arial" w:cs="Arial"/>
          <w:sz w:val="24"/>
          <w:szCs w:val="24"/>
          <w:shd w:val="clear" w:color="auto" w:fill="FFFFFF"/>
        </w:rPr>
        <w:t>Li, Y., Tao, L., Wang, Q., Wang, F., Li, G. and Song, M. (2023) Potential health impact of microplastics: a review of environmental distribution, human exposure, and toxic effects. Environment &amp; Health, 1(4), pp. 249-257.</w:t>
      </w:r>
    </w:p>
    <w:p w14:paraId="32650E37" w14:textId="77777777" w:rsidR="0082260E" w:rsidRPr="0085730F" w:rsidRDefault="0082260E" w:rsidP="0082260E">
      <w:pPr>
        <w:ind w:left="567" w:hanging="547"/>
        <w:jc w:val="both"/>
        <w:rPr>
          <w:rFonts w:ascii="Arial" w:hAnsi="Arial" w:cs="Arial"/>
          <w:sz w:val="24"/>
          <w:szCs w:val="24"/>
          <w:shd w:val="clear" w:color="auto" w:fill="FFFFFF"/>
        </w:rPr>
      </w:pPr>
      <w:r w:rsidRPr="0085730F">
        <w:rPr>
          <w:rFonts w:ascii="Arial" w:hAnsi="Arial" w:cs="Arial"/>
          <w:sz w:val="24"/>
          <w:szCs w:val="24"/>
          <w:shd w:val="clear" w:color="auto" w:fill="FFFFFF"/>
        </w:rPr>
        <w:t>Kumar, A., Sharma, R.K. and Jain, K. (2021) A Review on Waste PVC Recycling and Management. Journal of Polymers and the Environment, 29(1), pp. 98-113.</w:t>
      </w:r>
    </w:p>
    <w:p w14:paraId="69DF21D4" w14:textId="77777777" w:rsidR="0082260E" w:rsidRPr="0085730F" w:rsidRDefault="0082260E" w:rsidP="0082260E">
      <w:pPr>
        <w:ind w:left="567" w:hanging="547"/>
        <w:jc w:val="both"/>
        <w:rPr>
          <w:rFonts w:ascii="Arial" w:hAnsi="Arial" w:cs="Arial"/>
          <w:sz w:val="24"/>
          <w:szCs w:val="24"/>
          <w:shd w:val="clear" w:color="auto" w:fill="FFFFFF"/>
        </w:rPr>
      </w:pPr>
      <w:r w:rsidRPr="0085730F">
        <w:rPr>
          <w:rFonts w:ascii="Arial" w:hAnsi="Arial" w:cs="Arial"/>
          <w:sz w:val="24"/>
          <w:szCs w:val="24"/>
          <w:shd w:val="clear" w:color="auto" w:fill="FFFFFF"/>
        </w:rPr>
        <w:t xml:space="preserve">Kumar, R., Verma, A., </w:t>
      </w:r>
      <w:proofErr w:type="spellStart"/>
      <w:r w:rsidRPr="0085730F">
        <w:rPr>
          <w:rFonts w:ascii="Arial" w:hAnsi="Arial" w:cs="Arial"/>
          <w:sz w:val="24"/>
          <w:szCs w:val="24"/>
          <w:shd w:val="clear" w:color="auto" w:fill="FFFFFF"/>
        </w:rPr>
        <w:t>Shome</w:t>
      </w:r>
      <w:proofErr w:type="spellEnd"/>
      <w:r w:rsidRPr="0085730F">
        <w:rPr>
          <w:rFonts w:ascii="Arial" w:hAnsi="Arial" w:cs="Arial"/>
          <w:sz w:val="24"/>
          <w:szCs w:val="24"/>
          <w:shd w:val="clear" w:color="auto" w:fill="FFFFFF"/>
        </w:rPr>
        <w:t xml:space="preserve">, A., Sinha, R., Sinha, S., Jha, P.K., </w:t>
      </w:r>
      <w:proofErr w:type="spellStart"/>
      <w:r w:rsidRPr="0085730F">
        <w:rPr>
          <w:rFonts w:ascii="Arial" w:hAnsi="Arial" w:cs="Arial"/>
          <w:sz w:val="24"/>
          <w:szCs w:val="24"/>
          <w:shd w:val="clear" w:color="auto" w:fill="FFFFFF"/>
        </w:rPr>
        <w:t>Vara</w:t>
      </w:r>
      <w:proofErr w:type="spellEnd"/>
      <w:r w:rsidRPr="0085730F">
        <w:rPr>
          <w:rFonts w:ascii="Arial" w:hAnsi="Arial" w:cs="Arial"/>
          <w:sz w:val="24"/>
          <w:szCs w:val="24"/>
          <w:shd w:val="clear" w:color="auto" w:fill="FFFFFF"/>
        </w:rPr>
        <w:t xml:space="preserve"> Prasad, P.V. (2021) Impacts of plastic pollution on ecosystem services, sustainable development goals, and need to focus on circular economy and policy interventions. Sustainability, 13(17), p. 9963.</w:t>
      </w:r>
    </w:p>
    <w:p w14:paraId="3021B7A8" w14:textId="77777777" w:rsidR="0082260E" w:rsidRPr="0085730F" w:rsidRDefault="0082260E" w:rsidP="0082260E">
      <w:pPr>
        <w:ind w:left="567" w:hanging="547"/>
        <w:jc w:val="both"/>
        <w:rPr>
          <w:rFonts w:ascii="Arial" w:hAnsi="Arial" w:cs="Arial"/>
          <w:sz w:val="24"/>
          <w:szCs w:val="24"/>
          <w:shd w:val="clear" w:color="auto" w:fill="FFFFFF"/>
        </w:rPr>
      </w:pPr>
      <w:r w:rsidRPr="0085730F">
        <w:rPr>
          <w:rFonts w:ascii="Arial" w:hAnsi="Arial" w:cs="Arial"/>
          <w:sz w:val="24"/>
          <w:szCs w:val="24"/>
          <w:shd w:val="clear" w:color="auto" w:fill="FFFFFF"/>
        </w:rPr>
        <w:t xml:space="preserve">Chawla, S., Varghese, B.S., </w:t>
      </w:r>
      <w:proofErr w:type="spellStart"/>
      <w:r w:rsidRPr="0085730F">
        <w:rPr>
          <w:rFonts w:ascii="Arial" w:hAnsi="Arial" w:cs="Arial"/>
          <w:sz w:val="24"/>
          <w:szCs w:val="24"/>
          <w:shd w:val="clear" w:color="auto" w:fill="FFFFFF"/>
        </w:rPr>
        <w:t>Chithra</w:t>
      </w:r>
      <w:proofErr w:type="spellEnd"/>
      <w:r w:rsidRPr="0085730F">
        <w:rPr>
          <w:rFonts w:ascii="Arial" w:hAnsi="Arial" w:cs="Arial"/>
          <w:sz w:val="24"/>
          <w:szCs w:val="24"/>
          <w:shd w:val="clear" w:color="auto" w:fill="FFFFFF"/>
        </w:rPr>
        <w:t xml:space="preserve">, A., Hussain, C.G., </w:t>
      </w:r>
      <w:proofErr w:type="spellStart"/>
      <w:r w:rsidRPr="0085730F">
        <w:rPr>
          <w:rFonts w:ascii="Arial" w:hAnsi="Arial" w:cs="Arial"/>
          <w:sz w:val="24"/>
          <w:szCs w:val="24"/>
          <w:shd w:val="clear" w:color="auto" w:fill="FFFFFF"/>
        </w:rPr>
        <w:t>Keçili</w:t>
      </w:r>
      <w:proofErr w:type="spellEnd"/>
      <w:r w:rsidRPr="0085730F">
        <w:rPr>
          <w:rFonts w:ascii="Arial" w:hAnsi="Arial" w:cs="Arial"/>
          <w:sz w:val="24"/>
          <w:szCs w:val="24"/>
          <w:shd w:val="clear" w:color="auto" w:fill="FFFFFF"/>
        </w:rPr>
        <w:t>, R. and Hussain, C.M. (2022) Environmental impacts of post-consumer plastic wastes: Treatment technologies towards eco-sustainability and circular economy. Chemosphere, 308, p. 135867.</w:t>
      </w:r>
    </w:p>
    <w:p w14:paraId="188F6241" w14:textId="77777777" w:rsidR="0082260E" w:rsidRPr="0085730F" w:rsidRDefault="0082260E" w:rsidP="0082260E">
      <w:pPr>
        <w:ind w:left="567" w:hanging="547"/>
        <w:jc w:val="both"/>
        <w:rPr>
          <w:rFonts w:ascii="Arial" w:hAnsi="Arial" w:cs="Arial"/>
          <w:sz w:val="24"/>
          <w:szCs w:val="24"/>
          <w:shd w:val="clear" w:color="auto" w:fill="FFFFFF"/>
        </w:rPr>
      </w:pPr>
      <w:r w:rsidRPr="0085730F">
        <w:rPr>
          <w:rFonts w:ascii="Arial" w:hAnsi="Arial" w:cs="Arial"/>
          <w:sz w:val="24"/>
          <w:szCs w:val="24"/>
          <w:shd w:val="clear" w:color="auto" w:fill="FFFFFF"/>
        </w:rPr>
        <w:t>Zhao, X., Yu, M., Xu, D., Liu, A., Hou, X., Hao, F. and Jiang, G. (2017) Distribution, bioaccumulation, trophic transfer, and influences of CeO2 nanoparticles in a constructed aquatic food web. Environmental Science &amp; Technology, 51(9), pp. 5205-5214.</w:t>
      </w:r>
    </w:p>
    <w:p w14:paraId="4FB91042" w14:textId="77777777" w:rsidR="0082260E" w:rsidRPr="0085730F" w:rsidRDefault="0082260E" w:rsidP="0082260E">
      <w:pPr>
        <w:ind w:left="567" w:hanging="547"/>
        <w:jc w:val="both"/>
        <w:rPr>
          <w:rFonts w:ascii="Arial" w:hAnsi="Arial" w:cs="Arial"/>
          <w:sz w:val="24"/>
          <w:szCs w:val="24"/>
          <w:shd w:val="clear" w:color="auto" w:fill="FFFFFF"/>
        </w:rPr>
      </w:pPr>
      <w:r w:rsidRPr="0085730F">
        <w:rPr>
          <w:rFonts w:ascii="Arial" w:hAnsi="Arial" w:cs="Arial"/>
          <w:sz w:val="24"/>
          <w:szCs w:val="24"/>
          <w:shd w:val="clear" w:color="auto" w:fill="FFFFFF"/>
        </w:rPr>
        <w:t xml:space="preserve">Zimmermann, L., </w:t>
      </w:r>
      <w:proofErr w:type="spellStart"/>
      <w:r w:rsidRPr="0085730F">
        <w:rPr>
          <w:rFonts w:ascii="Arial" w:hAnsi="Arial" w:cs="Arial"/>
          <w:sz w:val="24"/>
          <w:szCs w:val="24"/>
          <w:shd w:val="clear" w:color="auto" w:fill="FFFFFF"/>
        </w:rPr>
        <w:t>Bartosova</w:t>
      </w:r>
      <w:proofErr w:type="spellEnd"/>
      <w:r w:rsidRPr="0085730F">
        <w:rPr>
          <w:rFonts w:ascii="Arial" w:hAnsi="Arial" w:cs="Arial"/>
          <w:sz w:val="24"/>
          <w:szCs w:val="24"/>
          <w:shd w:val="clear" w:color="auto" w:fill="FFFFFF"/>
        </w:rPr>
        <w:t xml:space="preserve">, Z., Braun, K., </w:t>
      </w:r>
      <w:proofErr w:type="spellStart"/>
      <w:r w:rsidRPr="0085730F">
        <w:rPr>
          <w:rFonts w:ascii="Arial" w:hAnsi="Arial" w:cs="Arial"/>
          <w:sz w:val="24"/>
          <w:szCs w:val="24"/>
          <w:shd w:val="clear" w:color="auto" w:fill="FFFFFF"/>
        </w:rPr>
        <w:t>Oehlmann</w:t>
      </w:r>
      <w:proofErr w:type="spellEnd"/>
      <w:r w:rsidRPr="0085730F">
        <w:rPr>
          <w:rFonts w:ascii="Arial" w:hAnsi="Arial" w:cs="Arial"/>
          <w:sz w:val="24"/>
          <w:szCs w:val="24"/>
          <w:shd w:val="clear" w:color="auto" w:fill="FFFFFF"/>
        </w:rPr>
        <w:t xml:space="preserve">, J., </w:t>
      </w:r>
      <w:proofErr w:type="spellStart"/>
      <w:r w:rsidRPr="0085730F">
        <w:rPr>
          <w:rFonts w:ascii="Arial" w:hAnsi="Arial" w:cs="Arial"/>
          <w:sz w:val="24"/>
          <w:szCs w:val="24"/>
          <w:shd w:val="clear" w:color="auto" w:fill="FFFFFF"/>
        </w:rPr>
        <w:t>Völker</w:t>
      </w:r>
      <w:proofErr w:type="spellEnd"/>
      <w:r w:rsidRPr="0085730F">
        <w:rPr>
          <w:rFonts w:ascii="Arial" w:hAnsi="Arial" w:cs="Arial"/>
          <w:sz w:val="24"/>
          <w:szCs w:val="24"/>
          <w:shd w:val="clear" w:color="auto" w:fill="FFFFFF"/>
        </w:rPr>
        <w:t>, C. and Wagner, M. (2021) Plastic products leach chemicals that induce in vitro toxicity under realistic use conditions. Environmental Science &amp; Technology, 55(17), pp. 11814-11823.</w:t>
      </w:r>
    </w:p>
    <w:p w14:paraId="09B19A1C" w14:textId="77777777" w:rsidR="0082260E" w:rsidRPr="0085730F" w:rsidRDefault="0082260E" w:rsidP="0082260E">
      <w:pPr>
        <w:ind w:left="567" w:hanging="547"/>
        <w:jc w:val="both"/>
        <w:rPr>
          <w:rFonts w:ascii="Arial" w:hAnsi="Arial" w:cs="Arial"/>
          <w:sz w:val="24"/>
          <w:szCs w:val="24"/>
          <w:shd w:val="clear" w:color="auto" w:fill="FFFFFF"/>
        </w:rPr>
      </w:pPr>
      <w:bookmarkStart w:id="4" w:name="_Hlk202170325"/>
      <w:r w:rsidRPr="0085730F">
        <w:rPr>
          <w:rFonts w:ascii="Arial" w:hAnsi="Arial" w:cs="Arial"/>
          <w:sz w:val="24"/>
          <w:szCs w:val="24"/>
          <w:shd w:val="clear" w:color="auto" w:fill="FFFFFF"/>
        </w:rPr>
        <w:t xml:space="preserve">Begum, S.A., Rane, A.V. and </w:t>
      </w:r>
      <w:proofErr w:type="spellStart"/>
      <w:r w:rsidRPr="0085730F">
        <w:rPr>
          <w:rFonts w:ascii="Arial" w:hAnsi="Arial" w:cs="Arial"/>
          <w:sz w:val="24"/>
          <w:szCs w:val="24"/>
          <w:shd w:val="clear" w:color="auto" w:fill="FFFFFF"/>
        </w:rPr>
        <w:t>Kanny</w:t>
      </w:r>
      <w:proofErr w:type="spellEnd"/>
      <w:r w:rsidRPr="0085730F">
        <w:rPr>
          <w:rFonts w:ascii="Arial" w:hAnsi="Arial" w:cs="Arial"/>
          <w:sz w:val="24"/>
          <w:szCs w:val="24"/>
          <w:shd w:val="clear" w:color="auto" w:fill="FFFFFF"/>
        </w:rPr>
        <w:t>, K. (2020) Applications of compatibilized polymer blends in automobile industry. In Compatibilization of Polymer Blends (pp. 563-593). Elsevier.</w:t>
      </w:r>
    </w:p>
    <w:bookmarkEnd w:id="4"/>
    <w:p w14:paraId="7D71C762" w14:textId="77777777" w:rsidR="0082260E" w:rsidRPr="0085730F" w:rsidRDefault="0082260E" w:rsidP="0082260E">
      <w:pPr>
        <w:ind w:left="567" w:hanging="547"/>
        <w:jc w:val="both"/>
        <w:rPr>
          <w:rFonts w:ascii="Arial" w:hAnsi="Arial" w:cs="Arial"/>
          <w:sz w:val="24"/>
          <w:szCs w:val="24"/>
          <w:shd w:val="clear" w:color="auto" w:fill="FFFFFF"/>
        </w:rPr>
      </w:pPr>
      <w:r w:rsidRPr="0085730F">
        <w:rPr>
          <w:rFonts w:ascii="Arial" w:hAnsi="Arial" w:cs="Arial"/>
          <w:sz w:val="24"/>
          <w:szCs w:val="24"/>
          <w:shd w:val="clear" w:color="auto" w:fill="FFFFFF"/>
        </w:rPr>
        <w:t xml:space="preserve">Lee, S., Kang, K.K., Sung, S.E., Choi, J.H., Sung, M., </w:t>
      </w:r>
      <w:proofErr w:type="spellStart"/>
      <w:r w:rsidRPr="0085730F">
        <w:rPr>
          <w:rFonts w:ascii="Arial" w:hAnsi="Arial" w:cs="Arial"/>
          <w:sz w:val="24"/>
          <w:szCs w:val="24"/>
          <w:shd w:val="clear" w:color="auto" w:fill="FFFFFF"/>
        </w:rPr>
        <w:t>Seong</w:t>
      </w:r>
      <w:proofErr w:type="spellEnd"/>
      <w:r w:rsidRPr="0085730F">
        <w:rPr>
          <w:rFonts w:ascii="Arial" w:hAnsi="Arial" w:cs="Arial"/>
          <w:sz w:val="24"/>
          <w:szCs w:val="24"/>
          <w:shd w:val="clear" w:color="auto" w:fill="FFFFFF"/>
        </w:rPr>
        <w:t>, K.Y., et al. (2022) In Vivo toxicity and pharmacokinetics of polytetrafluoroethylene microplastics in ICR mice. Polymers, 14(11), p. 2220.</w:t>
      </w:r>
    </w:p>
    <w:p w14:paraId="10FB090B" w14:textId="77777777" w:rsidR="0082260E" w:rsidRPr="0085730F" w:rsidRDefault="0082260E" w:rsidP="0082260E">
      <w:pPr>
        <w:ind w:left="567" w:hanging="547"/>
        <w:jc w:val="both"/>
        <w:rPr>
          <w:rFonts w:ascii="Arial" w:hAnsi="Arial" w:cs="Arial"/>
          <w:sz w:val="24"/>
          <w:szCs w:val="24"/>
          <w:shd w:val="clear" w:color="auto" w:fill="FFFFFF"/>
        </w:rPr>
      </w:pPr>
      <w:bookmarkStart w:id="5" w:name="_Hlk202170388"/>
      <w:r w:rsidRPr="0085730F">
        <w:rPr>
          <w:rFonts w:ascii="Arial" w:hAnsi="Arial" w:cs="Arial"/>
          <w:sz w:val="24"/>
          <w:szCs w:val="24"/>
          <w:shd w:val="clear" w:color="auto" w:fill="FFFFFF"/>
        </w:rPr>
        <w:t>Sharma, S. and Chatterjee, S. (2017) Microplastic pollution, a threat to marine ecosystem and human health: a short review. Environmental Science and Pollution Research, 24, pp. 21530-21547.</w:t>
      </w:r>
    </w:p>
    <w:p w14:paraId="0996AA04" w14:textId="77777777" w:rsidR="0082260E" w:rsidRPr="0085730F" w:rsidRDefault="0082260E" w:rsidP="0082260E">
      <w:pPr>
        <w:ind w:left="567" w:hanging="547"/>
        <w:jc w:val="both"/>
        <w:rPr>
          <w:rFonts w:ascii="Arial" w:hAnsi="Arial" w:cs="Arial"/>
          <w:sz w:val="24"/>
          <w:szCs w:val="24"/>
          <w:shd w:val="clear" w:color="auto" w:fill="FFFFFF"/>
        </w:rPr>
      </w:pPr>
      <w:bookmarkStart w:id="6" w:name="_Hlk202170416"/>
      <w:bookmarkEnd w:id="5"/>
      <w:proofErr w:type="spellStart"/>
      <w:r w:rsidRPr="0085730F">
        <w:rPr>
          <w:rFonts w:ascii="Arial" w:hAnsi="Arial" w:cs="Arial"/>
          <w:sz w:val="24"/>
          <w:szCs w:val="24"/>
          <w:shd w:val="clear" w:color="auto" w:fill="FFFFFF"/>
        </w:rPr>
        <w:t>Zarus</w:t>
      </w:r>
      <w:proofErr w:type="spellEnd"/>
      <w:r w:rsidRPr="0085730F">
        <w:rPr>
          <w:rFonts w:ascii="Arial" w:hAnsi="Arial" w:cs="Arial"/>
          <w:sz w:val="24"/>
          <w:szCs w:val="24"/>
          <w:shd w:val="clear" w:color="auto" w:fill="FFFFFF"/>
        </w:rPr>
        <w:t xml:space="preserve">, G.M., </w:t>
      </w:r>
      <w:proofErr w:type="spellStart"/>
      <w:r w:rsidRPr="0085730F">
        <w:rPr>
          <w:rFonts w:ascii="Arial" w:hAnsi="Arial" w:cs="Arial"/>
          <w:sz w:val="24"/>
          <w:szCs w:val="24"/>
          <w:shd w:val="clear" w:color="auto" w:fill="FFFFFF"/>
        </w:rPr>
        <w:t>Muianga</w:t>
      </w:r>
      <w:proofErr w:type="spellEnd"/>
      <w:r w:rsidRPr="0085730F">
        <w:rPr>
          <w:rFonts w:ascii="Arial" w:hAnsi="Arial" w:cs="Arial"/>
          <w:sz w:val="24"/>
          <w:szCs w:val="24"/>
          <w:shd w:val="clear" w:color="auto" w:fill="FFFFFF"/>
        </w:rPr>
        <w:t xml:space="preserve">, C., Hunter, C.M. and Pappas, R.S. (2021) A review of data for quantifying human exposures to micro and </w:t>
      </w:r>
      <w:proofErr w:type="spellStart"/>
      <w:r w:rsidRPr="0085730F">
        <w:rPr>
          <w:rFonts w:ascii="Arial" w:hAnsi="Arial" w:cs="Arial"/>
          <w:sz w:val="24"/>
          <w:szCs w:val="24"/>
          <w:shd w:val="clear" w:color="auto" w:fill="FFFFFF"/>
        </w:rPr>
        <w:t>nanoplastics</w:t>
      </w:r>
      <w:proofErr w:type="spellEnd"/>
      <w:r w:rsidRPr="0085730F">
        <w:rPr>
          <w:rFonts w:ascii="Arial" w:hAnsi="Arial" w:cs="Arial"/>
          <w:sz w:val="24"/>
          <w:szCs w:val="24"/>
          <w:shd w:val="clear" w:color="auto" w:fill="FFFFFF"/>
        </w:rPr>
        <w:t xml:space="preserve"> and potential health risks. Science of the Total Environment, 756, p. 144010.</w:t>
      </w:r>
    </w:p>
    <w:p w14:paraId="740505B6" w14:textId="77777777" w:rsidR="0082260E" w:rsidRPr="0085730F" w:rsidRDefault="0082260E" w:rsidP="0082260E">
      <w:pPr>
        <w:ind w:left="567" w:hanging="547"/>
        <w:jc w:val="both"/>
        <w:rPr>
          <w:rFonts w:ascii="Arial" w:hAnsi="Arial" w:cs="Arial"/>
          <w:sz w:val="24"/>
          <w:szCs w:val="24"/>
          <w:shd w:val="clear" w:color="auto" w:fill="FFFFFF"/>
        </w:rPr>
      </w:pPr>
      <w:bookmarkStart w:id="7" w:name="_Hlk202170484"/>
      <w:bookmarkEnd w:id="6"/>
      <w:proofErr w:type="spellStart"/>
      <w:r w:rsidRPr="0085730F">
        <w:rPr>
          <w:rFonts w:ascii="Arial" w:hAnsi="Arial" w:cs="Arial"/>
          <w:sz w:val="24"/>
          <w:szCs w:val="24"/>
          <w:shd w:val="clear" w:color="auto" w:fill="FFFFFF"/>
        </w:rPr>
        <w:lastRenderedPageBreak/>
        <w:t>Ziani</w:t>
      </w:r>
      <w:proofErr w:type="spellEnd"/>
      <w:r w:rsidRPr="0085730F">
        <w:rPr>
          <w:rFonts w:ascii="Arial" w:hAnsi="Arial" w:cs="Arial"/>
          <w:sz w:val="24"/>
          <w:szCs w:val="24"/>
          <w:shd w:val="clear" w:color="auto" w:fill="FFFFFF"/>
        </w:rPr>
        <w:t xml:space="preserve">, K., </w:t>
      </w:r>
      <w:proofErr w:type="spellStart"/>
      <w:r w:rsidRPr="0085730F">
        <w:rPr>
          <w:rFonts w:ascii="Arial" w:hAnsi="Arial" w:cs="Arial"/>
          <w:sz w:val="24"/>
          <w:szCs w:val="24"/>
          <w:shd w:val="clear" w:color="auto" w:fill="FFFFFF"/>
        </w:rPr>
        <w:t>Ioniță-Mîndrican</w:t>
      </w:r>
      <w:proofErr w:type="spellEnd"/>
      <w:r w:rsidRPr="0085730F">
        <w:rPr>
          <w:rFonts w:ascii="Arial" w:hAnsi="Arial" w:cs="Arial"/>
          <w:sz w:val="24"/>
          <w:szCs w:val="24"/>
          <w:shd w:val="clear" w:color="auto" w:fill="FFFFFF"/>
        </w:rPr>
        <w:t xml:space="preserve">, C.B., </w:t>
      </w:r>
      <w:proofErr w:type="spellStart"/>
      <w:r w:rsidRPr="0085730F">
        <w:rPr>
          <w:rFonts w:ascii="Arial" w:hAnsi="Arial" w:cs="Arial"/>
          <w:sz w:val="24"/>
          <w:szCs w:val="24"/>
          <w:shd w:val="clear" w:color="auto" w:fill="FFFFFF"/>
        </w:rPr>
        <w:t>Mititelu</w:t>
      </w:r>
      <w:proofErr w:type="spellEnd"/>
      <w:r w:rsidRPr="0085730F">
        <w:rPr>
          <w:rFonts w:ascii="Arial" w:hAnsi="Arial" w:cs="Arial"/>
          <w:sz w:val="24"/>
          <w:szCs w:val="24"/>
          <w:shd w:val="clear" w:color="auto" w:fill="FFFFFF"/>
        </w:rPr>
        <w:t xml:space="preserve">, M., </w:t>
      </w:r>
      <w:proofErr w:type="spellStart"/>
      <w:r w:rsidRPr="0085730F">
        <w:rPr>
          <w:rFonts w:ascii="Arial" w:hAnsi="Arial" w:cs="Arial"/>
          <w:sz w:val="24"/>
          <w:szCs w:val="24"/>
          <w:shd w:val="clear" w:color="auto" w:fill="FFFFFF"/>
        </w:rPr>
        <w:t>Neacșu</w:t>
      </w:r>
      <w:proofErr w:type="spellEnd"/>
      <w:r w:rsidRPr="0085730F">
        <w:rPr>
          <w:rFonts w:ascii="Arial" w:hAnsi="Arial" w:cs="Arial"/>
          <w:sz w:val="24"/>
          <w:szCs w:val="24"/>
          <w:shd w:val="clear" w:color="auto" w:fill="FFFFFF"/>
        </w:rPr>
        <w:t xml:space="preserve">, S.M., </w:t>
      </w:r>
      <w:proofErr w:type="spellStart"/>
      <w:r w:rsidRPr="0085730F">
        <w:rPr>
          <w:rFonts w:ascii="Arial" w:hAnsi="Arial" w:cs="Arial"/>
          <w:sz w:val="24"/>
          <w:szCs w:val="24"/>
          <w:shd w:val="clear" w:color="auto" w:fill="FFFFFF"/>
        </w:rPr>
        <w:t>Negrei</w:t>
      </w:r>
      <w:proofErr w:type="spellEnd"/>
      <w:r w:rsidRPr="0085730F">
        <w:rPr>
          <w:rFonts w:ascii="Arial" w:hAnsi="Arial" w:cs="Arial"/>
          <w:sz w:val="24"/>
          <w:szCs w:val="24"/>
          <w:shd w:val="clear" w:color="auto" w:fill="FFFFFF"/>
        </w:rPr>
        <w:t xml:space="preserve">, C., </w:t>
      </w:r>
      <w:proofErr w:type="spellStart"/>
      <w:r w:rsidRPr="0085730F">
        <w:rPr>
          <w:rFonts w:ascii="Arial" w:hAnsi="Arial" w:cs="Arial"/>
          <w:sz w:val="24"/>
          <w:szCs w:val="24"/>
          <w:shd w:val="clear" w:color="auto" w:fill="FFFFFF"/>
        </w:rPr>
        <w:t>Moroșan</w:t>
      </w:r>
      <w:proofErr w:type="spellEnd"/>
      <w:r w:rsidRPr="0085730F">
        <w:rPr>
          <w:rFonts w:ascii="Arial" w:hAnsi="Arial" w:cs="Arial"/>
          <w:sz w:val="24"/>
          <w:szCs w:val="24"/>
          <w:shd w:val="clear" w:color="auto" w:fill="FFFFFF"/>
        </w:rPr>
        <w:t xml:space="preserve">, E. and </w:t>
      </w:r>
      <w:proofErr w:type="spellStart"/>
      <w:r w:rsidRPr="0085730F">
        <w:rPr>
          <w:rFonts w:ascii="Arial" w:hAnsi="Arial" w:cs="Arial"/>
          <w:sz w:val="24"/>
          <w:szCs w:val="24"/>
          <w:shd w:val="clear" w:color="auto" w:fill="FFFFFF"/>
        </w:rPr>
        <w:t>Preda</w:t>
      </w:r>
      <w:proofErr w:type="spellEnd"/>
      <w:r w:rsidRPr="0085730F">
        <w:rPr>
          <w:rFonts w:ascii="Arial" w:hAnsi="Arial" w:cs="Arial"/>
          <w:sz w:val="24"/>
          <w:szCs w:val="24"/>
          <w:shd w:val="clear" w:color="auto" w:fill="FFFFFF"/>
        </w:rPr>
        <w:t>, O.T. (2023) Microplastics: a real global threat for environment and food safety: a state-of-the-art review. Nutrients, 15(3), p. 617.</w:t>
      </w:r>
    </w:p>
    <w:p w14:paraId="7FB90209" w14:textId="77777777" w:rsidR="0082260E" w:rsidRPr="0085730F" w:rsidRDefault="0082260E" w:rsidP="0082260E">
      <w:pPr>
        <w:ind w:left="567" w:hanging="547"/>
        <w:jc w:val="both"/>
        <w:rPr>
          <w:rFonts w:ascii="Arial" w:hAnsi="Arial" w:cs="Arial"/>
          <w:sz w:val="24"/>
          <w:szCs w:val="24"/>
          <w:shd w:val="clear" w:color="auto" w:fill="FFFFFF"/>
        </w:rPr>
      </w:pPr>
      <w:bookmarkStart w:id="8" w:name="_Hlk202170507"/>
      <w:bookmarkEnd w:id="7"/>
      <w:r w:rsidRPr="0085730F">
        <w:rPr>
          <w:rFonts w:ascii="Arial" w:hAnsi="Arial" w:cs="Arial"/>
          <w:sz w:val="24"/>
          <w:szCs w:val="24"/>
          <w:shd w:val="clear" w:color="auto" w:fill="FFFFFF"/>
        </w:rPr>
        <w:t xml:space="preserve">Mathew, J.T., </w:t>
      </w:r>
      <w:proofErr w:type="spellStart"/>
      <w:r w:rsidRPr="0085730F">
        <w:rPr>
          <w:rFonts w:ascii="Arial" w:hAnsi="Arial" w:cs="Arial"/>
          <w:sz w:val="24"/>
          <w:szCs w:val="24"/>
          <w:shd w:val="clear" w:color="auto" w:fill="FFFFFF"/>
        </w:rPr>
        <w:t>Inobeme</w:t>
      </w:r>
      <w:proofErr w:type="spellEnd"/>
      <w:r w:rsidRPr="0085730F">
        <w:rPr>
          <w:rFonts w:ascii="Arial" w:hAnsi="Arial" w:cs="Arial"/>
          <w:sz w:val="24"/>
          <w:szCs w:val="24"/>
          <w:shd w:val="clear" w:color="auto" w:fill="FFFFFF"/>
        </w:rPr>
        <w:t xml:space="preserve">, A., </w:t>
      </w:r>
      <w:proofErr w:type="spellStart"/>
      <w:r w:rsidRPr="0085730F">
        <w:rPr>
          <w:rFonts w:ascii="Arial" w:hAnsi="Arial" w:cs="Arial"/>
          <w:sz w:val="24"/>
          <w:szCs w:val="24"/>
          <w:shd w:val="clear" w:color="auto" w:fill="FFFFFF"/>
        </w:rPr>
        <w:t>Adetuyi</w:t>
      </w:r>
      <w:proofErr w:type="spellEnd"/>
      <w:r w:rsidRPr="0085730F">
        <w:rPr>
          <w:rFonts w:ascii="Arial" w:hAnsi="Arial" w:cs="Arial"/>
          <w:sz w:val="24"/>
          <w:szCs w:val="24"/>
          <w:shd w:val="clear" w:color="auto" w:fill="FFFFFF"/>
        </w:rPr>
        <w:t xml:space="preserve">, B.O., </w:t>
      </w:r>
      <w:proofErr w:type="spellStart"/>
      <w:r w:rsidRPr="0085730F">
        <w:rPr>
          <w:rFonts w:ascii="Arial" w:hAnsi="Arial" w:cs="Arial"/>
          <w:sz w:val="24"/>
          <w:szCs w:val="24"/>
          <w:shd w:val="clear" w:color="auto" w:fill="FFFFFF"/>
        </w:rPr>
        <w:t>Adetunji</w:t>
      </w:r>
      <w:proofErr w:type="spellEnd"/>
      <w:r w:rsidRPr="0085730F">
        <w:rPr>
          <w:rFonts w:ascii="Arial" w:hAnsi="Arial" w:cs="Arial"/>
          <w:sz w:val="24"/>
          <w:szCs w:val="24"/>
          <w:shd w:val="clear" w:color="auto" w:fill="FFFFFF"/>
        </w:rPr>
        <w:t xml:space="preserve">, C.O., Popoola, O.A., </w:t>
      </w:r>
      <w:proofErr w:type="spellStart"/>
      <w:r w:rsidRPr="0085730F">
        <w:rPr>
          <w:rFonts w:ascii="Arial" w:hAnsi="Arial" w:cs="Arial"/>
          <w:sz w:val="24"/>
          <w:szCs w:val="24"/>
          <w:shd w:val="clear" w:color="auto" w:fill="FFFFFF"/>
        </w:rPr>
        <w:t>Olaitan</w:t>
      </w:r>
      <w:proofErr w:type="spellEnd"/>
      <w:r w:rsidRPr="0085730F">
        <w:rPr>
          <w:rFonts w:ascii="Arial" w:hAnsi="Arial" w:cs="Arial"/>
          <w:sz w:val="24"/>
          <w:szCs w:val="24"/>
          <w:shd w:val="clear" w:color="auto" w:fill="FFFFFF"/>
        </w:rPr>
        <w:t xml:space="preserve">, F.Y., </w:t>
      </w:r>
      <w:proofErr w:type="spellStart"/>
      <w:r w:rsidRPr="0085730F">
        <w:rPr>
          <w:rFonts w:ascii="Arial" w:hAnsi="Arial" w:cs="Arial"/>
          <w:sz w:val="24"/>
          <w:szCs w:val="24"/>
          <w:shd w:val="clear" w:color="auto" w:fill="FFFFFF"/>
        </w:rPr>
        <w:t>Akinbo</w:t>
      </w:r>
      <w:proofErr w:type="spellEnd"/>
      <w:r w:rsidRPr="0085730F">
        <w:rPr>
          <w:rFonts w:ascii="Arial" w:hAnsi="Arial" w:cs="Arial"/>
          <w:sz w:val="24"/>
          <w:szCs w:val="24"/>
          <w:shd w:val="clear" w:color="auto" w:fill="FFFFFF"/>
        </w:rPr>
        <w:t xml:space="preserve">, O., Shahnawaz, M., </w:t>
      </w:r>
      <w:proofErr w:type="spellStart"/>
      <w:r w:rsidRPr="0085730F">
        <w:rPr>
          <w:rFonts w:ascii="Arial" w:hAnsi="Arial" w:cs="Arial"/>
          <w:sz w:val="24"/>
          <w:szCs w:val="24"/>
          <w:shd w:val="clear" w:color="auto" w:fill="FFFFFF"/>
        </w:rPr>
        <w:t>Oyewole</w:t>
      </w:r>
      <w:proofErr w:type="spellEnd"/>
      <w:r w:rsidRPr="0085730F">
        <w:rPr>
          <w:rFonts w:ascii="Arial" w:hAnsi="Arial" w:cs="Arial"/>
          <w:sz w:val="24"/>
          <w:szCs w:val="24"/>
          <w:shd w:val="clear" w:color="auto" w:fill="FFFFFF"/>
        </w:rPr>
        <w:t xml:space="preserve">, O.A., KIT, E. and </w:t>
      </w:r>
      <w:proofErr w:type="spellStart"/>
      <w:r w:rsidRPr="0085730F">
        <w:rPr>
          <w:rFonts w:ascii="Arial" w:hAnsi="Arial" w:cs="Arial"/>
          <w:sz w:val="24"/>
          <w:szCs w:val="24"/>
          <w:shd w:val="clear" w:color="auto" w:fill="FFFFFF"/>
        </w:rPr>
        <w:t>Yerima</w:t>
      </w:r>
      <w:proofErr w:type="spellEnd"/>
      <w:r w:rsidRPr="0085730F">
        <w:rPr>
          <w:rFonts w:ascii="Arial" w:hAnsi="Arial" w:cs="Arial"/>
          <w:sz w:val="24"/>
          <w:szCs w:val="24"/>
          <w:shd w:val="clear" w:color="auto" w:fill="FFFFFF"/>
        </w:rPr>
        <w:t>, M.B. (2024) General Introduction of Microplastic: Uses, Types, and Generation. In Microplastic Pollution (pp. 3-21). Singapore: Springer Nature Singapore.</w:t>
      </w:r>
    </w:p>
    <w:bookmarkEnd w:id="8"/>
    <w:p w14:paraId="77901B43" w14:textId="77777777" w:rsidR="0082260E" w:rsidRPr="0085730F" w:rsidRDefault="0082260E" w:rsidP="0082260E">
      <w:pPr>
        <w:ind w:left="567" w:hanging="547"/>
        <w:jc w:val="both"/>
        <w:rPr>
          <w:rFonts w:ascii="Arial" w:hAnsi="Arial" w:cs="Arial"/>
          <w:sz w:val="24"/>
          <w:szCs w:val="24"/>
          <w:shd w:val="clear" w:color="auto" w:fill="FFFFFF"/>
        </w:rPr>
      </w:pPr>
      <w:proofErr w:type="spellStart"/>
      <w:r w:rsidRPr="0085730F">
        <w:rPr>
          <w:rFonts w:ascii="Arial" w:hAnsi="Arial" w:cs="Arial"/>
          <w:sz w:val="24"/>
          <w:szCs w:val="24"/>
          <w:shd w:val="clear" w:color="auto" w:fill="FFFFFF"/>
        </w:rPr>
        <w:t>Imhof</w:t>
      </w:r>
      <w:proofErr w:type="spellEnd"/>
      <w:r w:rsidRPr="0085730F">
        <w:rPr>
          <w:rFonts w:ascii="Arial" w:hAnsi="Arial" w:cs="Arial"/>
          <w:sz w:val="24"/>
          <w:szCs w:val="24"/>
          <w:shd w:val="clear" w:color="auto" w:fill="FFFFFF"/>
        </w:rPr>
        <w:t xml:space="preserve">, H.K., </w:t>
      </w:r>
      <w:proofErr w:type="spellStart"/>
      <w:r w:rsidRPr="0085730F">
        <w:rPr>
          <w:rFonts w:ascii="Arial" w:hAnsi="Arial" w:cs="Arial"/>
          <w:sz w:val="24"/>
          <w:szCs w:val="24"/>
          <w:shd w:val="clear" w:color="auto" w:fill="FFFFFF"/>
        </w:rPr>
        <w:t>Laforsch</w:t>
      </w:r>
      <w:proofErr w:type="spellEnd"/>
      <w:r w:rsidRPr="0085730F">
        <w:rPr>
          <w:rFonts w:ascii="Arial" w:hAnsi="Arial" w:cs="Arial"/>
          <w:sz w:val="24"/>
          <w:szCs w:val="24"/>
          <w:shd w:val="clear" w:color="auto" w:fill="FFFFFF"/>
        </w:rPr>
        <w:t xml:space="preserve">, C., </w:t>
      </w:r>
      <w:proofErr w:type="spellStart"/>
      <w:r w:rsidRPr="0085730F">
        <w:rPr>
          <w:rFonts w:ascii="Arial" w:hAnsi="Arial" w:cs="Arial"/>
          <w:sz w:val="24"/>
          <w:szCs w:val="24"/>
          <w:shd w:val="clear" w:color="auto" w:fill="FFFFFF"/>
        </w:rPr>
        <w:t>Wiesheu</w:t>
      </w:r>
      <w:proofErr w:type="spellEnd"/>
      <w:r w:rsidRPr="0085730F">
        <w:rPr>
          <w:rFonts w:ascii="Arial" w:hAnsi="Arial" w:cs="Arial"/>
          <w:sz w:val="24"/>
          <w:szCs w:val="24"/>
          <w:shd w:val="clear" w:color="auto" w:fill="FFFFFF"/>
        </w:rPr>
        <w:t xml:space="preserve">, A.C., Schmid, J., Anger, P.M., </w:t>
      </w:r>
      <w:proofErr w:type="spellStart"/>
      <w:r w:rsidRPr="0085730F">
        <w:rPr>
          <w:rFonts w:ascii="Arial" w:hAnsi="Arial" w:cs="Arial"/>
          <w:sz w:val="24"/>
          <w:szCs w:val="24"/>
          <w:shd w:val="clear" w:color="auto" w:fill="FFFFFF"/>
        </w:rPr>
        <w:t>Niessner</w:t>
      </w:r>
      <w:proofErr w:type="spellEnd"/>
      <w:r w:rsidRPr="0085730F">
        <w:rPr>
          <w:rFonts w:ascii="Arial" w:hAnsi="Arial" w:cs="Arial"/>
          <w:sz w:val="24"/>
          <w:szCs w:val="24"/>
          <w:shd w:val="clear" w:color="auto" w:fill="FFFFFF"/>
        </w:rPr>
        <w:t xml:space="preserve">, R. and </w:t>
      </w:r>
      <w:proofErr w:type="spellStart"/>
      <w:r w:rsidRPr="0085730F">
        <w:rPr>
          <w:rFonts w:ascii="Arial" w:hAnsi="Arial" w:cs="Arial"/>
          <w:sz w:val="24"/>
          <w:szCs w:val="24"/>
          <w:shd w:val="clear" w:color="auto" w:fill="FFFFFF"/>
        </w:rPr>
        <w:t>Ivleva</w:t>
      </w:r>
      <w:proofErr w:type="spellEnd"/>
      <w:r w:rsidRPr="0085730F">
        <w:rPr>
          <w:rFonts w:ascii="Arial" w:hAnsi="Arial" w:cs="Arial"/>
          <w:sz w:val="24"/>
          <w:szCs w:val="24"/>
          <w:shd w:val="clear" w:color="auto" w:fill="FFFFFF"/>
        </w:rPr>
        <w:t>, N.P. (2016) Pigments and plastic in limnetic ecosystems: A qualitative and quantitative study on microparticles of different size classes. Water Research, 98, pp. 64-74</w:t>
      </w:r>
    </w:p>
    <w:p w14:paraId="6E72CD40" w14:textId="77777777" w:rsidR="0082260E" w:rsidRPr="0085730F" w:rsidRDefault="0082260E" w:rsidP="0082260E">
      <w:pPr>
        <w:ind w:left="567" w:hanging="547"/>
        <w:jc w:val="both"/>
        <w:rPr>
          <w:rFonts w:ascii="Arial" w:hAnsi="Arial" w:cs="Arial"/>
          <w:sz w:val="24"/>
          <w:szCs w:val="24"/>
          <w:shd w:val="clear" w:color="auto" w:fill="FFFFFF"/>
        </w:rPr>
      </w:pPr>
      <w:bookmarkStart w:id="9" w:name="_Hlk202170617"/>
      <w:r w:rsidRPr="0085730F">
        <w:rPr>
          <w:rFonts w:ascii="Arial" w:hAnsi="Arial" w:cs="Arial"/>
          <w:sz w:val="24"/>
          <w:szCs w:val="24"/>
          <w:shd w:val="clear" w:color="auto" w:fill="FFFFFF"/>
        </w:rPr>
        <w:t xml:space="preserve">Horton, A.A., Walton, A., Spurgeon, D.J., </w:t>
      </w:r>
      <w:proofErr w:type="spellStart"/>
      <w:r w:rsidRPr="0085730F">
        <w:rPr>
          <w:rFonts w:ascii="Arial" w:hAnsi="Arial" w:cs="Arial"/>
          <w:sz w:val="24"/>
          <w:szCs w:val="24"/>
          <w:shd w:val="clear" w:color="auto" w:fill="FFFFFF"/>
        </w:rPr>
        <w:t>Lahive</w:t>
      </w:r>
      <w:proofErr w:type="spellEnd"/>
      <w:r w:rsidRPr="0085730F">
        <w:rPr>
          <w:rFonts w:ascii="Arial" w:hAnsi="Arial" w:cs="Arial"/>
          <w:sz w:val="24"/>
          <w:szCs w:val="24"/>
          <w:shd w:val="clear" w:color="auto" w:fill="FFFFFF"/>
        </w:rPr>
        <w:t>, E. and Svendsen, C. (2017) Microplastics in freshwater and terrestrial environments: Evaluating the current understanding to identify the knowledge gaps and future research priorities. Science of the Total Environment, 586, pp. 127-141.</w:t>
      </w:r>
    </w:p>
    <w:p w14:paraId="45391074" w14:textId="77777777" w:rsidR="0082260E" w:rsidRPr="0085730F" w:rsidRDefault="0082260E" w:rsidP="0082260E">
      <w:pPr>
        <w:ind w:left="567" w:hanging="547"/>
        <w:jc w:val="both"/>
        <w:rPr>
          <w:rFonts w:ascii="Arial" w:hAnsi="Arial" w:cs="Arial"/>
          <w:sz w:val="24"/>
          <w:szCs w:val="24"/>
          <w:shd w:val="clear" w:color="auto" w:fill="FFFFFF"/>
        </w:rPr>
      </w:pPr>
      <w:bookmarkStart w:id="10" w:name="_Hlk202170752"/>
      <w:bookmarkEnd w:id="9"/>
      <w:r w:rsidRPr="0085730F">
        <w:rPr>
          <w:rFonts w:ascii="Arial" w:hAnsi="Arial" w:cs="Arial"/>
          <w:sz w:val="24"/>
          <w:szCs w:val="24"/>
          <w:shd w:val="clear" w:color="auto" w:fill="FFFFFF"/>
        </w:rPr>
        <w:t xml:space="preserve">Li, Z., Gao, C.M., Yang, J.L., Wu, L.Z., Zhang, S., Liu, Y.H. and </w:t>
      </w:r>
      <w:proofErr w:type="spellStart"/>
      <w:r w:rsidRPr="0085730F">
        <w:rPr>
          <w:rFonts w:ascii="Arial" w:hAnsi="Arial" w:cs="Arial"/>
          <w:sz w:val="24"/>
          <w:szCs w:val="24"/>
          <w:shd w:val="clear" w:color="auto" w:fill="FFFFFF"/>
        </w:rPr>
        <w:t>Jin</w:t>
      </w:r>
      <w:proofErr w:type="spellEnd"/>
      <w:r w:rsidRPr="0085730F">
        <w:rPr>
          <w:rFonts w:ascii="Arial" w:hAnsi="Arial" w:cs="Arial"/>
          <w:sz w:val="24"/>
          <w:szCs w:val="24"/>
          <w:shd w:val="clear" w:color="auto" w:fill="FFFFFF"/>
        </w:rPr>
        <w:t xml:space="preserve">, D.D. (2020) Distribution characteristics of microplastics in surface water and sediments of </w:t>
      </w:r>
      <w:proofErr w:type="spellStart"/>
      <w:r w:rsidRPr="0085730F">
        <w:rPr>
          <w:rFonts w:ascii="Arial" w:hAnsi="Arial" w:cs="Arial"/>
          <w:sz w:val="24"/>
          <w:szCs w:val="24"/>
          <w:shd w:val="clear" w:color="auto" w:fill="FFFFFF"/>
        </w:rPr>
        <w:t>Haizhou</w:t>
      </w:r>
      <w:proofErr w:type="spellEnd"/>
      <w:r w:rsidRPr="0085730F">
        <w:rPr>
          <w:rFonts w:ascii="Arial" w:hAnsi="Arial" w:cs="Arial"/>
          <w:sz w:val="24"/>
          <w:szCs w:val="24"/>
          <w:shd w:val="clear" w:color="auto" w:fill="FFFFFF"/>
        </w:rPr>
        <w:t xml:space="preserve"> Bay, Lianyungang. Huan Jing </w:t>
      </w:r>
      <w:proofErr w:type="spellStart"/>
      <w:r w:rsidRPr="0085730F">
        <w:rPr>
          <w:rFonts w:ascii="Arial" w:hAnsi="Arial" w:cs="Arial"/>
          <w:sz w:val="24"/>
          <w:szCs w:val="24"/>
          <w:shd w:val="clear" w:color="auto" w:fill="FFFFFF"/>
        </w:rPr>
        <w:t>ke</w:t>
      </w:r>
      <w:proofErr w:type="spellEnd"/>
      <w:r w:rsidRPr="0085730F">
        <w:rPr>
          <w:rFonts w:ascii="Arial" w:hAnsi="Arial" w:cs="Arial"/>
          <w:sz w:val="24"/>
          <w:szCs w:val="24"/>
          <w:shd w:val="clear" w:color="auto" w:fill="FFFFFF"/>
        </w:rPr>
        <w:t xml:space="preserve"> </w:t>
      </w:r>
      <w:proofErr w:type="spellStart"/>
      <w:r w:rsidRPr="0085730F">
        <w:rPr>
          <w:rFonts w:ascii="Arial" w:hAnsi="Arial" w:cs="Arial"/>
          <w:sz w:val="24"/>
          <w:szCs w:val="24"/>
          <w:shd w:val="clear" w:color="auto" w:fill="FFFFFF"/>
        </w:rPr>
        <w:t>Xue</w:t>
      </w:r>
      <w:proofErr w:type="spellEnd"/>
      <w:r w:rsidRPr="0085730F">
        <w:rPr>
          <w:rFonts w:ascii="Arial" w:hAnsi="Arial" w:cs="Arial"/>
          <w:sz w:val="24"/>
          <w:szCs w:val="24"/>
          <w:shd w:val="clear" w:color="auto" w:fill="FFFFFF"/>
        </w:rPr>
        <w:t xml:space="preserve"> </w:t>
      </w:r>
      <w:proofErr w:type="spellStart"/>
      <w:r w:rsidRPr="0085730F">
        <w:rPr>
          <w:rFonts w:ascii="Arial" w:hAnsi="Arial" w:cs="Arial"/>
          <w:sz w:val="24"/>
          <w:szCs w:val="24"/>
          <w:shd w:val="clear" w:color="auto" w:fill="FFFFFF"/>
        </w:rPr>
        <w:t>Huanjing</w:t>
      </w:r>
      <w:proofErr w:type="spellEnd"/>
      <w:r w:rsidRPr="0085730F">
        <w:rPr>
          <w:rFonts w:ascii="Arial" w:hAnsi="Arial" w:cs="Arial"/>
          <w:sz w:val="24"/>
          <w:szCs w:val="24"/>
          <w:shd w:val="clear" w:color="auto" w:fill="FFFFFF"/>
        </w:rPr>
        <w:t xml:space="preserve"> </w:t>
      </w:r>
      <w:proofErr w:type="spellStart"/>
      <w:r w:rsidRPr="0085730F">
        <w:rPr>
          <w:rFonts w:ascii="Arial" w:hAnsi="Arial" w:cs="Arial"/>
          <w:sz w:val="24"/>
          <w:szCs w:val="24"/>
          <w:shd w:val="clear" w:color="auto" w:fill="FFFFFF"/>
        </w:rPr>
        <w:t>Kexue</w:t>
      </w:r>
      <w:proofErr w:type="spellEnd"/>
      <w:r w:rsidRPr="0085730F">
        <w:rPr>
          <w:rFonts w:ascii="Arial" w:hAnsi="Arial" w:cs="Arial"/>
          <w:sz w:val="24"/>
          <w:szCs w:val="24"/>
          <w:shd w:val="clear" w:color="auto" w:fill="FFFFFF"/>
        </w:rPr>
        <w:t>, 41(7), pp. 3212-3221.</w:t>
      </w:r>
    </w:p>
    <w:p w14:paraId="393903E3" w14:textId="77777777" w:rsidR="0082260E" w:rsidRPr="0085730F" w:rsidRDefault="0082260E" w:rsidP="0082260E">
      <w:pPr>
        <w:ind w:left="567" w:hanging="547"/>
        <w:jc w:val="both"/>
        <w:rPr>
          <w:rFonts w:ascii="Arial" w:hAnsi="Arial" w:cs="Arial"/>
          <w:sz w:val="24"/>
          <w:szCs w:val="24"/>
          <w:shd w:val="clear" w:color="auto" w:fill="FFFFFF"/>
        </w:rPr>
      </w:pPr>
      <w:bookmarkStart w:id="11" w:name="_Hlk202170942"/>
      <w:bookmarkEnd w:id="10"/>
      <w:r w:rsidRPr="0085730F">
        <w:rPr>
          <w:rFonts w:ascii="Arial" w:hAnsi="Arial" w:cs="Arial"/>
          <w:sz w:val="24"/>
          <w:szCs w:val="24"/>
          <w:shd w:val="clear" w:color="auto" w:fill="FFFFFF"/>
        </w:rPr>
        <w:t>Andrade, A.L. (2011) Microplastics in the marine environment. Marine Pollution Bulletin, 62(8), pp. 1596-1605.</w:t>
      </w:r>
    </w:p>
    <w:p w14:paraId="5B56FBD2" w14:textId="77777777" w:rsidR="0082260E" w:rsidRPr="0085730F" w:rsidRDefault="0082260E" w:rsidP="0082260E">
      <w:pPr>
        <w:ind w:left="567" w:hanging="547"/>
        <w:jc w:val="both"/>
        <w:rPr>
          <w:rFonts w:ascii="Arial" w:hAnsi="Arial" w:cs="Arial"/>
          <w:sz w:val="24"/>
          <w:szCs w:val="24"/>
          <w:shd w:val="clear" w:color="auto" w:fill="FFFFFF"/>
        </w:rPr>
      </w:pPr>
      <w:bookmarkStart w:id="12" w:name="_Hlk202170986"/>
      <w:bookmarkEnd w:id="11"/>
      <w:proofErr w:type="spellStart"/>
      <w:r w:rsidRPr="0085730F">
        <w:rPr>
          <w:rFonts w:ascii="Arial" w:hAnsi="Arial" w:cs="Arial"/>
          <w:sz w:val="24"/>
          <w:szCs w:val="24"/>
          <w:shd w:val="clear" w:color="auto" w:fill="FFFFFF"/>
        </w:rPr>
        <w:t>Amobonye</w:t>
      </w:r>
      <w:proofErr w:type="spellEnd"/>
      <w:r w:rsidRPr="0085730F">
        <w:rPr>
          <w:rFonts w:ascii="Arial" w:hAnsi="Arial" w:cs="Arial"/>
          <w:sz w:val="24"/>
          <w:szCs w:val="24"/>
          <w:shd w:val="clear" w:color="auto" w:fill="FFFFFF"/>
        </w:rPr>
        <w:t>, A.E., Bhagwat, P., Singh, S. and Pillai, S. (2023) Biodegradability of Polyvinyl chloride. In Biodegradability of Conventional Plastics (pp. 201-220). Elsevier.</w:t>
      </w:r>
    </w:p>
    <w:p w14:paraId="330797C2" w14:textId="77777777" w:rsidR="0082260E" w:rsidRPr="0085730F" w:rsidRDefault="0082260E" w:rsidP="0082260E">
      <w:pPr>
        <w:ind w:left="567" w:hanging="547"/>
        <w:jc w:val="both"/>
        <w:rPr>
          <w:rFonts w:ascii="Arial" w:hAnsi="Arial" w:cs="Arial"/>
          <w:sz w:val="24"/>
          <w:szCs w:val="24"/>
          <w:shd w:val="clear" w:color="auto" w:fill="FFFFFF"/>
        </w:rPr>
      </w:pPr>
      <w:bookmarkStart w:id="13" w:name="_Hlk202171008"/>
      <w:bookmarkEnd w:id="12"/>
      <w:r w:rsidRPr="0085730F">
        <w:rPr>
          <w:rFonts w:ascii="Arial" w:hAnsi="Arial" w:cs="Arial"/>
          <w:sz w:val="24"/>
          <w:szCs w:val="24"/>
          <w:shd w:val="clear" w:color="auto" w:fill="FFFFFF"/>
        </w:rPr>
        <w:t xml:space="preserve">Lewandowski, K. and </w:t>
      </w:r>
      <w:proofErr w:type="spellStart"/>
      <w:r w:rsidRPr="0085730F">
        <w:rPr>
          <w:rFonts w:ascii="Arial" w:hAnsi="Arial" w:cs="Arial"/>
          <w:sz w:val="24"/>
          <w:szCs w:val="24"/>
          <w:shd w:val="clear" w:color="auto" w:fill="FFFFFF"/>
        </w:rPr>
        <w:t>Skórczewska</w:t>
      </w:r>
      <w:proofErr w:type="spellEnd"/>
      <w:r w:rsidRPr="0085730F">
        <w:rPr>
          <w:rFonts w:ascii="Arial" w:hAnsi="Arial" w:cs="Arial"/>
          <w:sz w:val="24"/>
          <w:szCs w:val="24"/>
          <w:shd w:val="clear" w:color="auto" w:fill="FFFFFF"/>
        </w:rPr>
        <w:t>, K. (2022) A brief review of poly (vinyl chloride) (PVC) recycling. Polymers, 14(15), p. 3035.</w:t>
      </w:r>
    </w:p>
    <w:p w14:paraId="4555B99B" w14:textId="77777777" w:rsidR="0082260E" w:rsidRPr="0085730F" w:rsidRDefault="0082260E" w:rsidP="0082260E">
      <w:pPr>
        <w:ind w:left="567" w:hanging="547"/>
        <w:jc w:val="both"/>
        <w:rPr>
          <w:rFonts w:ascii="Arial" w:hAnsi="Arial" w:cs="Arial"/>
          <w:sz w:val="24"/>
          <w:szCs w:val="24"/>
          <w:shd w:val="clear" w:color="auto" w:fill="FFFFFF"/>
        </w:rPr>
      </w:pPr>
      <w:bookmarkStart w:id="14" w:name="_Hlk202171057"/>
      <w:bookmarkEnd w:id="13"/>
      <w:r w:rsidRPr="0085730F">
        <w:rPr>
          <w:rFonts w:ascii="Arial" w:hAnsi="Arial" w:cs="Arial"/>
          <w:sz w:val="24"/>
          <w:szCs w:val="24"/>
          <w:shd w:val="clear" w:color="auto" w:fill="FFFFFF"/>
        </w:rPr>
        <w:t>Zhang, X., Wang, Q. and Yu, Y. (2020) Effects of Alkaline Hydrothermal Pretreatment on the Properties and Microstructure of PVC. Journal of Vinyl and Additive Technology, 26(1), pp. 4-12.</w:t>
      </w:r>
    </w:p>
    <w:bookmarkEnd w:id="14"/>
    <w:p w14:paraId="04BE37C5" w14:textId="77777777" w:rsidR="0082260E" w:rsidRPr="0085730F" w:rsidRDefault="0082260E" w:rsidP="0082260E">
      <w:pPr>
        <w:ind w:left="567" w:hanging="547"/>
        <w:jc w:val="both"/>
        <w:rPr>
          <w:rFonts w:ascii="Arial" w:hAnsi="Arial" w:cs="Arial"/>
          <w:sz w:val="24"/>
          <w:szCs w:val="24"/>
          <w:shd w:val="clear" w:color="auto" w:fill="FFFFFF"/>
        </w:rPr>
      </w:pPr>
      <w:proofErr w:type="spellStart"/>
      <w:r w:rsidRPr="0085730F">
        <w:rPr>
          <w:rFonts w:ascii="Arial" w:hAnsi="Arial" w:cs="Arial"/>
          <w:sz w:val="24"/>
          <w:szCs w:val="24"/>
          <w:shd w:val="clear" w:color="auto" w:fill="FFFFFF"/>
        </w:rPr>
        <w:t>Xiu</w:t>
      </w:r>
      <w:proofErr w:type="spellEnd"/>
      <w:r w:rsidRPr="0085730F">
        <w:rPr>
          <w:rFonts w:ascii="Arial" w:hAnsi="Arial" w:cs="Arial"/>
          <w:sz w:val="24"/>
          <w:szCs w:val="24"/>
          <w:shd w:val="clear" w:color="auto" w:fill="FFFFFF"/>
        </w:rPr>
        <w:t xml:space="preserve">, F.-R., Zhan, L., Qi, Y., Lei, X., Wang, J., Zhou, H. and Shao, W. (2024) Synergetic treatment of waste tantalum capacitors and polyvinyl chloride by subcritical water: Tantalum recovery, benzoic acid production and </w:t>
      </w:r>
      <w:proofErr w:type="spellStart"/>
      <w:r w:rsidRPr="0085730F">
        <w:rPr>
          <w:rFonts w:ascii="Arial" w:hAnsi="Arial" w:cs="Arial"/>
          <w:sz w:val="24"/>
          <w:szCs w:val="24"/>
          <w:shd w:val="clear" w:color="auto" w:fill="FFFFFF"/>
        </w:rPr>
        <w:t>dechlorination</w:t>
      </w:r>
      <w:proofErr w:type="spellEnd"/>
      <w:r w:rsidRPr="0085730F">
        <w:rPr>
          <w:rFonts w:ascii="Arial" w:hAnsi="Arial" w:cs="Arial"/>
          <w:sz w:val="24"/>
          <w:szCs w:val="24"/>
          <w:shd w:val="clear" w:color="auto" w:fill="FFFFFF"/>
        </w:rPr>
        <w:t>. Process Safety and Environmental Protection, 181, pp. 407-415.</w:t>
      </w:r>
    </w:p>
    <w:p w14:paraId="106E267C" w14:textId="77777777" w:rsidR="0082260E" w:rsidRPr="0085730F" w:rsidRDefault="0082260E" w:rsidP="0082260E">
      <w:pPr>
        <w:ind w:left="567" w:hanging="547"/>
        <w:jc w:val="both"/>
        <w:rPr>
          <w:rFonts w:ascii="Arial" w:hAnsi="Arial" w:cs="Arial"/>
          <w:sz w:val="24"/>
          <w:szCs w:val="24"/>
          <w:shd w:val="clear" w:color="auto" w:fill="FFFFFF"/>
        </w:rPr>
      </w:pPr>
      <w:r w:rsidRPr="0085730F">
        <w:rPr>
          <w:rFonts w:ascii="Arial" w:hAnsi="Arial" w:cs="Arial"/>
          <w:sz w:val="24"/>
          <w:szCs w:val="24"/>
          <w:shd w:val="clear" w:color="auto" w:fill="FFFFFF"/>
        </w:rPr>
        <w:t>Chen, Y., Cai, Y., Song, C., Zhang, X., Chen, D. and Yang, W. (2024) Synthesis of Poly [(vinyl chloride)-co</w:t>
      </w:r>
      <w:proofErr w:type="gramStart"/>
      <w:r w:rsidRPr="0085730F">
        <w:rPr>
          <w:rFonts w:ascii="Arial" w:hAnsi="Arial" w:cs="Arial"/>
          <w:sz w:val="24"/>
          <w:szCs w:val="24"/>
          <w:shd w:val="clear" w:color="auto" w:fill="FFFFFF"/>
        </w:rPr>
        <w:t>-(</w:t>
      </w:r>
      <w:proofErr w:type="gramEnd"/>
      <w:r w:rsidRPr="0085730F">
        <w:rPr>
          <w:rFonts w:ascii="Arial" w:hAnsi="Arial" w:cs="Arial"/>
          <w:sz w:val="24"/>
          <w:szCs w:val="24"/>
          <w:shd w:val="clear" w:color="auto" w:fill="FFFFFF"/>
        </w:rPr>
        <w:t>vinyl polydimethylsiloxane)] via Precipitation Polymerization and Its Lubrication Behavior in the PVC Matrix. ACS Applied Polymer Materials, 6(9), pp. 5139-5149.</w:t>
      </w:r>
    </w:p>
    <w:p w14:paraId="6CC71313" w14:textId="77777777" w:rsidR="0082260E" w:rsidRPr="0085730F" w:rsidRDefault="0082260E" w:rsidP="0082260E">
      <w:pPr>
        <w:ind w:left="567" w:hanging="547"/>
        <w:jc w:val="both"/>
        <w:rPr>
          <w:rFonts w:ascii="Arial" w:hAnsi="Arial" w:cs="Arial"/>
          <w:sz w:val="24"/>
          <w:szCs w:val="24"/>
          <w:shd w:val="clear" w:color="auto" w:fill="FFFFFF"/>
        </w:rPr>
      </w:pPr>
      <w:r w:rsidRPr="0085730F">
        <w:rPr>
          <w:rFonts w:ascii="Arial" w:hAnsi="Arial" w:cs="Arial"/>
          <w:sz w:val="24"/>
          <w:szCs w:val="24"/>
          <w:shd w:val="clear" w:color="auto" w:fill="FFFFFF"/>
        </w:rPr>
        <w:t xml:space="preserve">Chen, Y., </w:t>
      </w:r>
      <w:proofErr w:type="spellStart"/>
      <w:r w:rsidRPr="0085730F">
        <w:rPr>
          <w:rFonts w:ascii="Arial" w:hAnsi="Arial" w:cs="Arial"/>
          <w:sz w:val="24"/>
          <w:szCs w:val="24"/>
          <w:shd w:val="clear" w:color="auto" w:fill="FFFFFF"/>
        </w:rPr>
        <w:t>Jin</w:t>
      </w:r>
      <w:proofErr w:type="spellEnd"/>
      <w:r w:rsidRPr="0085730F">
        <w:rPr>
          <w:rFonts w:ascii="Arial" w:hAnsi="Arial" w:cs="Arial"/>
          <w:sz w:val="24"/>
          <w:szCs w:val="24"/>
          <w:shd w:val="clear" w:color="auto" w:fill="FFFFFF"/>
        </w:rPr>
        <w:t xml:space="preserve">, H., Ali, W., Zhuang, T., Sun, J., Wang, T., Song, J., Ma, Y., Yuan, Y., </w:t>
      </w:r>
      <w:proofErr w:type="spellStart"/>
      <w:r w:rsidRPr="0085730F">
        <w:rPr>
          <w:rFonts w:ascii="Arial" w:hAnsi="Arial" w:cs="Arial"/>
          <w:sz w:val="24"/>
          <w:szCs w:val="24"/>
          <w:shd w:val="clear" w:color="auto" w:fill="FFFFFF"/>
        </w:rPr>
        <w:t>Bian</w:t>
      </w:r>
      <w:proofErr w:type="spellEnd"/>
      <w:r w:rsidRPr="0085730F">
        <w:rPr>
          <w:rFonts w:ascii="Arial" w:hAnsi="Arial" w:cs="Arial"/>
          <w:sz w:val="24"/>
          <w:szCs w:val="24"/>
          <w:shd w:val="clear" w:color="auto" w:fill="FFFFFF"/>
        </w:rPr>
        <w:t>, J. and Liu, Z. (2024) Co-exposure of polyvinyl chloride microplastics with cadmium promotes nonalcoholic fatty liver disease in female ducks through oxidative stress and glycolipid accumulation. Poultry Science, 103(11), p. 104152.</w:t>
      </w:r>
    </w:p>
    <w:p w14:paraId="2C33AA4D" w14:textId="77777777" w:rsidR="0082260E" w:rsidRPr="0085730F" w:rsidRDefault="0082260E" w:rsidP="0082260E">
      <w:pPr>
        <w:ind w:left="567" w:hanging="547"/>
        <w:jc w:val="both"/>
        <w:rPr>
          <w:rFonts w:ascii="Arial" w:hAnsi="Arial" w:cs="Arial"/>
          <w:sz w:val="24"/>
          <w:szCs w:val="24"/>
          <w:shd w:val="clear" w:color="auto" w:fill="FFFFFF"/>
        </w:rPr>
      </w:pPr>
      <w:r w:rsidRPr="0085730F">
        <w:rPr>
          <w:rFonts w:ascii="Arial" w:hAnsi="Arial" w:cs="Arial"/>
          <w:sz w:val="24"/>
          <w:szCs w:val="24"/>
          <w:shd w:val="clear" w:color="auto" w:fill="FFFFFF"/>
        </w:rPr>
        <w:t xml:space="preserve">Makris, K.F., </w:t>
      </w:r>
      <w:proofErr w:type="spellStart"/>
      <w:r w:rsidRPr="0085730F">
        <w:rPr>
          <w:rFonts w:ascii="Arial" w:hAnsi="Arial" w:cs="Arial"/>
          <w:sz w:val="24"/>
          <w:szCs w:val="24"/>
          <w:shd w:val="clear" w:color="auto" w:fill="FFFFFF"/>
        </w:rPr>
        <w:t>Langeveld</w:t>
      </w:r>
      <w:proofErr w:type="spellEnd"/>
      <w:r w:rsidRPr="0085730F">
        <w:rPr>
          <w:rFonts w:ascii="Arial" w:hAnsi="Arial" w:cs="Arial"/>
          <w:sz w:val="24"/>
          <w:szCs w:val="24"/>
          <w:shd w:val="clear" w:color="auto" w:fill="FFFFFF"/>
        </w:rPr>
        <w:t>, J. and Clemens, F.H. (2020) A review on the durability of PVC sewer pipes: research vs. practice. Structure and Infrastructure Engineering, 16(6), pp. 880-897.</w:t>
      </w:r>
    </w:p>
    <w:p w14:paraId="5519231D" w14:textId="77777777" w:rsidR="0082260E" w:rsidRPr="0085730F" w:rsidRDefault="0082260E" w:rsidP="0082260E">
      <w:pPr>
        <w:ind w:left="567" w:hanging="547"/>
        <w:jc w:val="both"/>
        <w:rPr>
          <w:rFonts w:ascii="Arial" w:hAnsi="Arial" w:cs="Arial"/>
          <w:sz w:val="24"/>
          <w:szCs w:val="24"/>
          <w:shd w:val="clear" w:color="auto" w:fill="FFFFFF"/>
        </w:rPr>
      </w:pPr>
      <w:r w:rsidRPr="0085730F">
        <w:rPr>
          <w:rFonts w:ascii="Arial" w:hAnsi="Arial" w:cs="Arial"/>
          <w:sz w:val="24"/>
          <w:szCs w:val="24"/>
          <w:shd w:val="clear" w:color="auto" w:fill="FFFFFF"/>
        </w:rPr>
        <w:t xml:space="preserve">Chen, X., Zhuang, J., Chen, Q., Xu, L., Yue, X. and </w:t>
      </w:r>
      <w:proofErr w:type="spellStart"/>
      <w:r w:rsidRPr="0085730F">
        <w:rPr>
          <w:rFonts w:ascii="Arial" w:hAnsi="Arial" w:cs="Arial"/>
          <w:sz w:val="24"/>
          <w:szCs w:val="24"/>
          <w:shd w:val="clear" w:color="auto" w:fill="FFFFFF"/>
        </w:rPr>
        <w:t>Qiao</w:t>
      </w:r>
      <w:proofErr w:type="spellEnd"/>
      <w:r w:rsidRPr="0085730F">
        <w:rPr>
          <w:rFonts w:ascii="Arial" w:hAnsi="Arial" w:cs="Arial"/>
          <w:sz w:val="24"/>
          <w:szCs w:val="24"/>
          <w:shd w:val="clear" w:color="auto" w:fill="FFFFFF"/>
        </w:rPr>
        <w:t>, D. (2022) Polyvinyl chloride microplastics induced gut barrier dysfunction, microbiota dysbiosis and metabolism disorder in adult mice. Ecotoxicology and Environmental Safety, 241, p. 113809.</w:t>
      </w:r>
    </w:p>
    <w:p w14:paraId="4064F2E4" w14:textId="77777777" w:rsidR="0082260E" w:rsidRPr="0085730F" w:rsidRDefault="0082260E" w:rsidP="0082260E">
      <w:pPr>
        <w:ind w:left="567" w:hanging="547"/>
        <w:jc w:val="both"/>
        <w:rPr>
          <w:rFonts w:ascii="Arial" w:hAnsi="Arial" w:cs="Arial"/>
          <w:sz w:val="24"/>
          <w:szCs w:val="24"/>
          <w:shd w:val="clear" w:color="auto" w:fill="FFFFFF"/>
        </w:rPr>
      </w:pPr>
      <w:proofErr w:type="spellStart"/>
      <w:r w:rsidRPr="0085730F">
        <w:rPr>
          <w:rFonts w:ascii="Arial" w:hAnsi="Arial" w:cs="Arial"/>
          <w:sz w:val="24"/>
          <w:szCs w:val="24"/>
          <w:shd w:val="clear" w:color="auto" w:fill="FFFFFF"/>
        </w:rPr>
        <w:lastRenderedPageBreak/>
        <w:t>Zarus</w:t>
      </w:r>
      <w:proofErr w:type="spellEnd"/>
      <w:r w:rsidRPr="0085730F">
        <w:rPr>
          <w:rFonts w:ascii="Arial" w:hAnsi="Arial" w:cs="Arial"/>
          <w:sz w:val="24"/>
          <w:szCs w:val="24"/>
          <w:shd w:val="clear" w:color="auto" w:fill="FFFFFF"/>
        </w:rPr>
        <w:t xml:space="preserve">, G.M., </w:t>
      </w:r>
      <w:proofErr w:type="spellStart"/>
      <w:r w:rsidRPr="0085730F">
        <w:rPr>
          <w:rFonts w:ascii="Arial" w:hAnsi="Arial" w:cs="Arial"/>
          <w:sz w:val="24"/>
          <w:szCs w:val="24"/>
          <w:shd w:val="clear" w:color="auto" w:fill="FFFFFF"/>
        </w:rPr>
        <w:t>Muianga</w:t>
      </w:r>
      <w:proofErr w:type="spellEnd"/>
      <w:r w:rsidRPr="0085730F">
        <w:rPr>
          <w:rFonts w:ascii="Arial" w:hAnsi="Arial" w:cs="Arial"/>
          <w:sz w:val="24"/>
          <w:szCs w:val="24"/>
          <w:shd w:val="clear" w:color="auto" w:fill="FFFFFF"/>
        </w:rPr>
        <w:t xml:space="preserve">, C., Hunter, C.M. and Pappas, R.S. (2021) A review of data for quantifying human exposures to micro and </w:t>
      </w:r>
      <w:proofErr w:type="spellStart"/>
      <w:r w:rsidRPr="0085730F">
        <w:rPr>
          <w:rFonts w:ascii="Arial" w:hAnsi="Arial" w:cs="Arial"/>
          <w:sz w:val="24"/>
          <w:szCs w:val="24"/>
          <w:shd w:val="clear" w:color="auto" w:fill="FFFFFF"/>
        </w:rPr>
        <w:t>nanoplastics</w:t>
      </w:r>
      <w:proofErr w:type="spellEnd"/>
      <w:r w:rsidRPr="0085730F">
        <w:rPr>
          <w:rFonts w:ascii="Arial" w:hAnsi="Arial" w:cs="Arial"/>
          <w:sz w:val="24"/>
          <w:szCs w:val="24"/>
          <w:shd w:val="clear" w:color="auto" w:fill="FFFFFF"/>
        </w:rPr>
        <w:t xml:space="preserve"> and potential health risks. Science of the Total Environment, 756, p. 144010.</w:t>
      </w:r>
    </w:p>
    <w:p w14:paraId="7BC6E91E" w14:textId="77777777" w:rsidR="0082260E" w:rsidRPr="0085730F" w:rsidRDefault="0082260E" w:rsidP="0082260E">
      <w:pPr>
        <w:ind w:left="567" w:hanging="547"/>
        <w:jc w:val="both"/>
        <w:rPr>
          <w:rFonts w:ascii="Arial" w:hAnsi="Arial" w:cs="Arial"/>
          <w:sz w:val="24"/>
          <w:szCs w:val="24"/>
          <w:shd w:val="clear" w:color="auto" w:fill="FFFFFF"/>
        </w:rPr>
      </w:pPr>
      <w:proofErr w:type="spellStart"/>
      <w:r w:rsidRPr="0085730F">
        <w:rPr>
          <w:rFonts w:ascii="Arial" w:hAnsi="Arial" w:cs="Arial"/>
          <w:sz w:val="24"/>
          <w:szCs w:val="24"/>
          <w:shd w:val="clear" w:color="auto" w:fill="FFFFFF"/>
        </w:rPr>
        <w:t>Ziani</w:t>
      </w:r>
      <w:proofErr w:type="spellEnd"/>
      <w:r w:rsidRPr="0085730F">
        <w:rPr>
          <w:rFonts w:ascii="Arial" w:hAnsi="Arial" w:cs="Arial"/>
          <w:sz w:val="24"/>
          <w:szCs w:val="24"/>
          <w:shd w:val="clear" w:color="auto" w:fill="FFFFFF"/>
        </w:rPr>
        <w:t xml:space="preserve">, K., </w:t>
      </w:r>
      <w:proofErr w:type="spellStart"/>
      <w:r w:rsidRPr="0085730F">
        <w:rPr>
          <w:rFonts w:ascii="Arial" w:hAnsi="Arial" w:cs="Arial"/>
          <w:sz w:val="24"/>
          <w:szCs w:val="24"/>
          <w:shd w:val="clear" w:color="auto" w:fill="FFFFFF"/>
        </w:rPr>
        <w:t>Ioniță-Mîndrican</w:t>
      </w:r>
      <w:proofErr w:type="spellEnd"/>
      <w:r w:rsidRPr="0085730F">
        <w:rPr>
          <w:rFonts w:ascii="Arial" w:hAnsi="Arial" w:cs="Arial"/>
          <w:sz w:val="24"/>
          <w:szCs w:val="24"/>
          <w:shd w:val="clear" w:color="auto" w:fill="FFFFFF"/>
        </w:rPr>
        <w:t xml:space="preserve">, C.B., </w:t>
      </w:r>
      <w:proofErr w:type="spellStart"/>
      <w:r w:rsidRPr="0085730F">
        <w:rPr>
          <w:rFonts w:ascii="Arial" w:hAnsi="Arial" w:cs="Arial"/>
          <w:sz w:val="24"/>
          <w:szCs w:val="24"/>
          <w:shd w:val="clear" w:color="auto" w:fill="FFFFFF"/>
        </w:rPr>
        <w:t>Mititelu</w:t>
      </w:r>
      <w:proofErr w:type="spellEnd"/>
      <w:r w:rsidRPr="0085730F">
        <w:rPr>
          <w:rFonts w:ascii="Arial" w:hAnsi="Arial" w:cs="Arial"/>
          <w:sz w:val="24"/>
          <w:szCs w:val="24"/>
          <w:shd w:val="clear" w:color="auto" w:fill="FFFFFF"/>
        </w:rPr>
        <w:t xml:space="preserve">, M., </w:t>
      </w:r>
      <w:proofErr w:type="spellStart"/>
      <w:r w:rsidRPr="0085730F">
        <w:rPr>
          <w:rFonts w:ascii="Arial" w:hAnsi="Arial" w:cs="Arial"/>
          <w:sz w:val="24"/>
          <w:szCs w:val="24"/>
          <w:shd w:val="clear" w:color="auto" w:fill="FFFFFF"/>
        </w:rPr>
        <w:t>Neacșu</w:t>
      </w:r>
      <w:proofErr w:type="spellEnd"/>
      <w:r w:rsidRPr="0085730F">
        <w:rPr>
          <w:rFonts w:ascii="Arial" w:hAnsi="Arial" w:cs="Arial"/>
          <w:sz w:val="24"/>
          <w:szCs w:val="24"/>
          <w:shd w:val="clear" w:color="auto" w:fill="FFFFFF"/>
        </w:rPr>
        <w:t xml:space="preserve">, S.M., </w:t>
      </w:r>
      <w:proofErr w:type="spellStart"/>
      <w:r w:rsidRPr="0085730F">
        <w:rPr>
          <w:rFonts w:ascii="Arial" w:hAnsi="Arial" w:cs="Arial"/>
          <w:sz w:val="24"/>
          <w:szCs w:val="24"/>
          <w:shd w:val="clear" w:color="auto" w:fill="FFFFFF"/>
        </w:rPr>
        <w:t>Negrei</w:t>
      </w:r>
      <w:proofErr w:type="spellEnd"/>
      <w:r w:rsidRPr="0085730F">
        <w:rPr>
          <w:rFonts w:ascii="Arial" w:hAnsi="Arial" w:cs="Arial"/>
          <w:sz w:val="24"/>
          <w:szCs w:val="24"/>
          <w:shd w:val="clear" w:color="auto" w:fill="FFFFFF"/>
        </w:rPr>
        <w:t xml:space="preserve">, C., </w:t>
      </w:r>
      <w:proofErr w:type="spellStart"/>
      <w:r w:rsidRPr="0085730F">
        <w:rPr>
          <w:rFonts w:ascii="Arial" w:hAnsi="Arial" w:cs="Arial"/>
          <w:sz w:val="24"/>
          <w:szCs w:val="24"/>
          <w:shd w:val="clear" w:color="auto" w:fill="FFFFFF"/>
        </w:rPr>
        <w:t>Moroșan</w:t>
      </w:r>
      <w:proofErr w:type="spellEnd"/>
      <w:r w:rsidRPr="0085730F">
        <w:rPr>
          <w:rFonts w:ascii="Arial" w:hAnsi="Arial" w:cs="Arial"/>
          <w:sz w:val="24"/>
          <w:szCs w:val="24"/>
          <w:shd w:val="clear" w:color="auto" w:fill="FFFFFF"/>
        </w:rPr>
        <w:t xml:space="preserve">, E. and </w:t>
      </w:r>
      <w:proofErr w:type="spellStart"/>
      <w:r w:rsidRPr="0085730F">
        <w:rPr>
          <w:rFonts w:ascii="Arial" w:hAnsi="Arial" w:cs="Arial"/>
          <w:sz w:val="24"/>
          <w:szCs w:val="24"/>
          <w:shd w:val="clear" w:color="auto" w:fill="FFFFFF"/>
        </w:rPr>
        <w:t>Preda</w:t>
      </w:r>
      <w:proofErr w:type="spellEnd"/>
      <w:r w:rsidRPr="0085730F">
        <w:rPr>
          <w:rFonts w:ascii="Arial" w:hAnsi="Arial" w:cs="Arial"/>
          <w:sz w:val="24"/>
          <w:szCs w:val="24"/>
          <w:shd w:val="clear" w:color="auto" w:fill="FFFFFF"/>
        </w:rPr>
        <w:t>, O.T. (2023) Microplastics: a real global threat for environment and food safety: a state-of-the-art review. Nutrients, 15(3), p. 617.</w:t>
      </w:r>
    </w:p>
    <w:p w14:paraId="18EA315E" w14:textId="77777777" w:rsidR="0082260E" w:rsidRPr="0085730F" w:rsidRDefault="0082260E" w:rsidP="0082260E">
      <w:pPr>
        <w:ind w:left="567" w:hanging="547"/>
        <w:jc w:val="both"/>
        <w:rPr>
          <w:rFonts w:ascii="Arial" w:hAnsi="Arial" w:cs="Arial"/>
          <w:sz w:val="24"/>
          <w:szCs w:val="24"/>
          <w:shd w:val="clear" w:color="auto" w:fill="FFFFFF"/>
        </w:rPr>
      </w:pPr>
      <w:proofErr w:type="spellStart"/>
      <w:r w:rsidRPr="0085730F">
        <w:rPr>
          <w:rFonts w:ascii="Arial" w:hAnsi="Arial" w:cs="Arial"/>
          <w:sz w:val="24"/>
          <w:szCs w:val="24"/>
          <w:shd w:val="clear" w:color="auto" w:fill="FFFFFF"/>
        </w:rPr>
        <w:t>Rajvanshi</w:t>
      </w:r>
      <w:proofErr w:type="spellEnd"/>
      <w:r w:rsidRPr="0085730F">
        <w:rPr>
          <w:rFonts w:ascii="Arial" w:hAnsi="Arial" w:cs="Arial"/>
          <w:sz w:val="24"/>
          <w:szCs w:val="24"/>
          <w:shd w:val="clear" w:color="auto" w:fill="FFFFFF"/>
        </w:rPr>
        <w:t xml:space="preserve">, J., </w:t>
      </w:r>
      <w:proofErr w:type="spellStart"/>
      <w:r w:rsidRPr="0085730F">
        <w:rPr>
          <w:rFonts w:ascii="Arial" w:hAnsi="Arial" w:cs="Arial"/>
          <w:sz w:val="24"/>
          <w:szCs w:val="24"/>
          <w:shd w:val="clear" w:color="auto" w:fill="FFFFFF"/>
        </w:rPr>
        <w:t>Sogani</w:t>
      </w:r>
      <w:proofErr w:type="spellEnd"/>
      <w:r w:rsidRPr="0085730F">
        <w:rPr>
          <w:rFonts w:ascii="Arial" w:hAnsi="Arial" w:cs="Arial"/>
          <w:sz w:val="24"/>
          <w:szCs w:val="24"/>
          <w:shd w:val="clear" w:color="auto" w:fill="FFFFFF"/>
        </w:rPr>
        <w:t xml:space="preserve">, M., </w:t>
      </w:r>
      <w:proofErr w:type="spellStart"/>
      <w:r w:rsidRPr="0085730F">
        <w:rPr>
          <w:rFonts w:ascii="Arial" w:hAnsi="Arial" w:cs="Arial"/>
          <w:sz w:val="24"/>
          <w:szCs w:val="24"/>
          <w:shd w:val="clear" w:color="auto" w:fill="FFFFFF"/>
        </w:rPr>
        <w:t>Tziouvaras</w:t>
      </w:r>
      <w:proofErr w:type="spellEnd"/>
      <w:r w:rsidRPr="0085730F">
        <w:rPr>
          <w:rFonts w:ascii="Arial" w:hAnsi="Arial" w:cs="Arial"/>
          <w:sz w:val="24"/>
          <w:szCs w:val="24"/>
          <w:shd w:val="clear" w:color="auto" w:fill="FFFFFF"/>
        </w:rPr>
        <w:t xml:space="preserve">, G., Kumar, A., Syed, Z., </w:t>
      </w:r>
      <w:proofErr w:type="spellStart"/>
      <w:r w:rsidRPr="0085730F">
        <w:rPr>
          <w:rFonts w:ascii="Arial" w:hAnsi="Arial" w:cs="Arial"/>
          <w:sz w:val="24"/>
          <w:szCs w:val="24"/>
          <w:shd w:val="clear" w:color="auto" w:fill="FFFFFF"/>
        </w:rPr>
        <w:t>Sonu</w:t>
      </w:r>
      <w:proofErr w:type="spellEnd"/>
      <w:r w:rsidRPr="0085730F">
        <w:rPr>
          <w:rFonts w:ascii="Arial" w:hAnsi="Arial" w:cs="Arial"/>
          <w:sz w:val="24"/>
          <w:szCs w:val="24"/>
          <w:shd w:val="clear" w:color="auto" w:fill="FFFFFF"/>
        </w:rPr>
        <w:t xml:space="preserve">, K., Gupta, N.S. and Sen, H. (2024) An analytical review on revamping plastic waste management: exploring recycling, biodegradation, and the growing role of </w:t>
      </w:r>
      <w:proofErr w:type="spellStart"/>
      <w:r w:rsidRPr="0085730F">
        <w:rPr>
          <w:rFonts w:ascii="Arial" w:hAnsi="Arial" w:cs="Arial"/>
          <w:sz w:val="24"/>
          <w:szCs w:val="24"/>
          <w:shd w:val="clear" w:color="auto" w:fill="FFFFFF"/>
        </w:rPr>
        <w:t>biobased</w:t>
      </w:r>
      <w:proofErr w:type="spellEnd"/>
      <w:r w:rsidRPr="0085730F">
        <w:rPr>
          <w:rFonts w:ascii="Arial" w:hAnsi="Arial" w:cs="Arial"/>
          <w:sz w:val="24"/>
          <w:szCs w:val="24"/>
          <w:shd w:val="clear" w:color="auto" w:fill="FFFFFF"/>
        </w:rPr>
        <w:t xml:space="preserve"> plastics. Environmental Science and Pollution Research.</w:t>
      </w:r>
    </w:p>
    <w:p w14:paraId="6B749439" w14:textId="77777777" w:rsidR="0082260E" w:rsidRPr="0085730F" w:rsidRDefault="0082260E" w:rsidP="0082260E">
      <w:pPr>
        <w:ind w:left="567" w:hanging="547"/>
        <w:jc w:val="both"/>
        <w:rPr>
          <w:rFonts w:ascii="Arial" w:hAnsi="Arial" w:cs="Arial"/>
          <w:sz w:val="24"/>
          <w:szCs w:val="24"/>
          <w:shd w:val="clear" w:color="auto" w:fill="FFFFFF"/>
        </w:rPr>
      </w:pPr>
      <w:r w:rsidRPr="0085730F">
        <w:rPr>
          <w:rFonts w:ascii="Arial" w:hAnsi="Arial" w:cs="Arial"/>
          <w:sz w:val="24"/>
          <w:szCs w:val="24"/>
          <w:shd w:val="clear" w:color="auto" w:fill="FFFFFF"/>
        </w:rPr>
        <w:t xml:space="preserve">Tickner, J.A., </w:t>
      </w:r>
      <w:proofErr w:type="spellStart"/>
      <w:r w:rsidRPr="0085730F">
        <w:rPr>
          <w:rFonts w:ascii="Arial" w:hAnsi="Arial" w:cs="Arial"/>
          <w:sz w:val="24"/>
          <w:szCs w:val="24"/>
          <w:shd w:val="clear" w:color="auto" w:fill="FFFFFF"/>
        </w:rPr>
        <w:t>Schettler</w:t>
      </w:r>
      <w:proofErr w:type="spellEnd"/>
      <w:r w:rsidRPr="0085730F">
        <w:rPr>
          <w:rFonts w:ascii="Arial" w:hAnsi="Arial" w:cs="Arial"/>
          <w:sz w:val="24"/>
          <w:szCs w:val="24"/>
          <w:shd w:val="clear" w:color="auto" w:fill="FFFFFF"/>
        </w:rPr>
        <w:t xml:space="preserve">, T., </w:t>
      </w:r>
      <w:proofErr w:type="spellStart"/>
      <w:r w:rsidRPr="0085730F">
        <w:rPr>
          <w:rFonts w:ascii="Arial" w:hAnsi="Arial" w:cs="Arial"/>
          <w:sz w:val="24"/>
          <w:szCs w:val="24"/>
          <w:shd w:val="clear" w:color="auto" w:fill="FFFFFF"/>
        </w:rPr>
        <w:t>Guidotti</w:t>
      </w:r>
      <w:proofErr w:type="spellEnd"/>
      <w:r w:rsidRPr="0085730F">
        <w:rPr>
          <w:rFonts w:ascii="Arial" w:hAnsi="Arial" w:cs="Arial"/>
          <w:sz w:val="24"/>
          <w:szCs w:val="24"/>
          <w:shd w:val="clear" w:color="auto" w:fill="FFFFFF"/>
        </w:rPr>
        <w:t>, T., McCally, M. and Rossi, M. (2001) Health risks posed by use of Di</w:t>
      </w:r>
      <w:r w:rsidRPr="0085730F">
        <w:rPr>
          <w:rFonts w:ascii="Cambria Math" w:hAnsi="Cambria Math" w:cs="Cambria Math"/>
          <w:sz w:val="24"/>
          <w:szCs w:val="24"/>
          <w:shd w:val="clear" w:color="auto" w:fill="FFFFFF"/>
        </w:rPr>
        <w:t>‐</w:t>
      </w:r>
      <w:r w:rsidRPr="0085730F">
        <w:rPr>
          <w:rFonts w:ascii="Arial" w:hAnsi="Arial" w:cs="Arial"/>
          <w:sz w:val="24"/>
          <w:szCs w:val="24"/>
          <w:shd w:val="clear" w:color="auto" w:fill="FFFFFF"/>
        </w:rPr>
        <w:t>2</w:t>
      </w:r>
      <w:r w:rsidRPr="0085730F">
        <w:rPr>
          <w:rFonts w:ascii="Cambria Math" w:hAnsi="Cambria Math" w:cs="Cambria Math"/>
          <w:sz w:val="24"/>
          <w:szCs w:val="24"/>
          <w:shd w:val="clear" w:color="auto" w:fill="FFFFFF"/>
        </w:rPr>
        <w:t>‐</w:t>
      </w:r>
      <w:r w:rsidRPr="0085730F">
        <w:rPr>
          <w:rFonts w:ascii="Arial" w:hAnsi="Arial" w:cs="Arial"/>
          <w:sz w:val="24"/>
          <w:szCs w:val="24"/>
          <w:shd w:val="clear" w:color="auto" w:fill="FFFFFF"/>
        </w:rPr>
        <w:t>ethylhexyl phthalate (DEHP) in PVC medical devices: A critical review. American Journal of Industrial Medicine, 39(1), pp. 100-111.</w:t>
      </w:r>
    </w:p>
    <w:p w14:paraId="72674DEF" w14:textId="77777777" w:rsidR="0082260E" w:rsidRPr="0085730F" w:rsidRDefault="0082260E" w:rsidP="0082260E">
      <w:pPr>
        <w:ind w:left="567" w:hanging="547"/>
        <w:jc w:val="both"/>
        <w:rPr>
          <w:rFonts w:ascii="Arial" w:hAnsi="Arial" w:cs="Arial"/>
          <w:sz w:val="24"/>
          <w:szCs w:val="24"/>
          <w:shd w:val="clear" w:color="auto" w:fill="FFFFFF"/>
        </w:rPr>
      </w:pPr>
      <w:proofErr w:type="spellStart"/>
      <w:r w:rsidRPr="0085730F">
        <w:rPr>
          <w:rFonts w:ascii="Arial" w:hAnsi="Arial" w:cs="Arial"/>
          <w:sz w:val="24"/>
          <w:szCs w:val="24"/>
          <w:shd w:val="clear" w:color="auto" w:fill="FFFFFF"/>
        </w:rPr>
        <w:t>Isobe</w:t>
      </w:r>
      <w:proofErr w:type="spellEnd"/>
      <w:r w:rsidRPr="0085730F">
        <w:rPr>
          <w:rFonts w:ascii="Arial" w:hAnsi="Arial" w:cs="Arial"/>
          <w:sz w:val="24"/>
          <w:szCs w:val="24"/>
          <w:shd w:val="clear" w:color="auto" w:fill="FFFFFF"/>
        </w:rPr>
        <w:t>, A., Uchiyama-Matsumoto, K., Uchida, K. and Tokai, T. (2017) Microplastics in the Southern Ocean. Marine Pollution Bulletin, 114(1), pp. 623-626.</w:t>
      </w:r>
    </w:p>
    <w:p w14:paraId="0025B427" w14:textId="77777777" w:rsidR="0082260E" w:rsidRPr="0085730F" w:rsidRDefault="0082260E" w:rsidP="0082260E">
      <w:pPr>
        <w:ind w:left="567" w:hanging="547"/>
        <w:jc w:val="both"/>
        <w:rPr>
          <w:rFonts w:ascii="Arial" w:hAnsi="Arial" w:cs="Arial"/>
          <w:sz w:val="24"/>
          <w:szCs w:val="24"/>
          <w:shd w:val="clear" w:color="auto" w:fill="FFFFFF"/>
        </w:rPr>
      </w:pPr>
      <w:r w:rsidRPr="0085730F">
        <w:rPr>
          <w:rFonts w:ascii="Arial" w:hAnsi="Arial" w:cs="Arial"/>
          <w:sz w:val="24"/>
          <w:szCs w:val="24"/>
          <w:shd w:val="clear" w:color="auto" w:fill="FFFFFF"/>
        </w:rPr>
        <w:t>Banerjee, G., Kim, H.J. and Fox, Z. (2021) Hippocampal blood flow abnormalities in Alzheimer's disease: A combined study of ultrasound and DCE-MRI. Alzheimer's &amp; Dementia: Diagnosis, Assessment &amp; Disease Monitoring, 13(1), p. e12204.</w:t>
      </w:r>
    </w:p>
    <w:p w14:paraId="417CE60E" w14:textId="77777777" w:rsidR="0082260E" w:rsidRPr="0085730F" w:rsidRDefault="0082260E" w:rsidP="0082260E">
      <w:pPr>
        <w:ind w:left="567" w:hanging="547"/>
        <w:jc w:val="both"/>
        <w:rPr>
          <w:rFonts w:ascii="Arial" w:hAnsi="Arial" w:cs="Arial"/>
          <w:sz w:val="24"/>
          <w:szCs w:val="24"/>
          <w:shd w:val="clear" w:color="auto" w:fill="FFFFFF"/>
        </w:rPr>
      </w:pPr>
      <w:r w:rsidRPr="0085730F">
        <w:rPr>
          <w:rFonts w:ascii="Arial" w:hAnsi="Arial" w:cs="Arial"/>
          <w:sz w:val="24"/>
          <w:szCs w:val="24"/>
          <w:shd w:val="clear" w:color="auto" w:fill="FFFFFF"/>
        </w:rPr>
        <w:t>Tran-Lam, T.T., Phung, A.T.T., Pham, P.T., Bui, M.Q., Dao, Y.H. and Le, G.T. (2023) Occurrence, biomagnification, and risk assessment of parabens and their metabolites in marine fish: The case study of Vietnam. Chemosphere, 344, p. 140221.</w:t>
      </w:r>
    </w:p>
    <w:p w14:paraId="6F926F2A" w14:textId="77777777" w:rsidR="0082260E" w:rsidRPr="0085730F" w:rsidRDefault="0082260E" w:rsidP="0082260E">
      <w:pPr>
        <w:ind w:left="567" w:hanging="547"/>
        <w:jc w:val="both"/>
        <w:rPr>
          <w:rFonts w:ascii="Arial" w:hAnsi="Arial" w:cs="Arial"/>
          <w:sz w:val="24"/>
          <w:szCs w:val="24"/>
          <w:shd w:val="clear" w:color="auto" w:fill="FFFFFF"/>
        </w:rPr>
      </w:pPr>
      <w:proofErr w:type="spellStart"/>
      <w:r w:rsidRPr="0085730F">
        <w:rPr>
          <w:rFonts w:ascii="Arial" w:hAnsi="Arial" w:cs="Arial"/>
          <w:sz w:val="24"/>
          <w:szCs w:val="24"/>
          <w:shd w:val="clear" w:color="auto" w:fill="FFFFFF"/>
        </w:rPr>
        <w:t>Saidon</w:t>
      </w:r>
      <w:proofErr w:type="spellEnd"/>
      <w:r w:rsidRPr="0085730F">
        <w:rPr>
          <w:rFonts w:ascii="Arial" w:hAnsi="Arial" w:cs="Arial"/>
          <w:sz w:val="24"/>
          <w:szCs w:val="24"/>
          <w:shd w:val="clear" w:color="auto" w:fill="FFFFFF"/>
        </w:rPr>
        <w:t xml:space="preserve">, N.B., </w:t>
      </w:r>
      <w:proofErr w:type="spellStart"/>
      <w:r w:rsidRPr="0085730F">
        <w:rPr>
          <w:rFonts w:ascii="Arial" w:hAnsi="Arial" w:cs="Arial"/>
          <w:sz w:val="24"/>
          <w:szCs w:val="24"/>
          <w:shd w:val="clear" w:color="auto" w:fill="FFFFFF"/>
        </w:rPr>
        <w:t>Szabó</w:t>
      </w:r>
      <w:proofErr w:type="spellEnd"/>
      <w:r w:rsidRPr="0085730F">
        <w:rPr>
          <w:rFonts w:ascii="Arial" w:hAnsi="Arial" w:cs="Arial"/>
          <w:sz w:val="24"/>
          <w:szCs w:val="24"/>
          <w:shd w:val="clear" w:color="auto" w:fill="FFFFFF"/>
        </w:rPr>
        <w:t xml:space="preserve">, R., </w:t>
      </w:r>
      <w:proofErr w:type="spellStart"/>
      <w:r w:rsidRPr="0085730F">
        <w:rPr>
          <w:rFonts w:ascii="Arial" w:hAnsi="Arial" w:cs="Arial"/>
          <w:sz w:val="24"/>
          <w:szCs w:val="24"/>
          <w:shd w:val="clear" w:color="auto" w:fill="FFFFFF"/>
        </w:rPr>
        <w:t>Budai</w:t>
      </w:r>
      <w:proofErr w:type="spellEnd"/>
      <w:r w:rsidRPr="0085730F">
        <w:rPr>
          <w:rFonts w:ascii="Arial" w:hAnsi="Arial" w:cs="Arial"/>
          <w:sz w:val="24"/>
          <w:szCs w:val="24"/>
          <w:shd w:val="clear" w:color="auto" w:fill="FFFFFF"/>
        </w:rPr>
        <w:t xml:space="preserve">, P. and </w:t>
      </w:r>
      <w:proofErr w:type="spellStart"/>
      <w:r w:rsidRPr="0085730F">
        <w:rPr>
          <w:rFonts w:ascii="Arial" w:hAnsi="Arial" w:cs="Arial"/>
          <w:sz w:val="24"/>
          <w:szCs w:val="24"/>
          <w:shd w:val="clear" w:color="auto" w:fill="FFFFFF"/>
        </w:rPr>
        <w:t>Lehel</w:t>
      </w:r>
      <w:proofErr w:type="spellEnd"/>
      <w:r w:rsidRPr="0085730F">
        <w:rPr>
          <w:rFonts w:ascii="Arial" w:hAnsi="Arial" w:cs="Arial"/>
          <w:sz w:val="24"/>
          <w:szCs w:val="24"/>
          <w:shd w:val="clear" w:color="auto" w:fill="FFFFFF"/>
        </w:rPr>
        <w:t>, J. (2024) Trophic transfer and biomagnification potential of environmental contaminants (heavy metals) in aquatic ecosystems. Environmental Pollution, 340, p. 122815.</w:t>
      </w:r>
    </w:p>
    <w:p w14:paraId="5FBFA2CE" w14:textId="77777777" w:rsidR="0082260E" w:rsidRPr="0085730F" w:rsidRDefault="0082260E" w:rsidP="0082260E">
      <w:pPr>
        <w:ind w:left="567" w:hanging="547"/>
        <w:jc w:val="both"/>
        <w:rPr>
          <w:rFonts w:ascii="Arial" w:hAnsi="Arial" w:cs="Arial"/>
          <w:sz w:val="24"/>
          <w:szCs w:val="24"/>
          <w:shd w:val="clear" w:color="auto" w:fill="FFFFFF"/>
        </w:rPr>
      </w:pPr>
      <w:r w:rsidRPr="0085730F">
        <w:rPr>
          <w:rFonts w:ascii="Arial" w:hAnsi="Arial" w:cs="Arial"/>
          <w:sz w:val="24"/>
          <w:szCs w:val="24"/>
          <w:shd w:val="clear" w:color="auto" w:fill="FFFFFF"/>
        </w:rPr>
        <w:t xml:space="preserve">Zhao, J., Zhang, X., Li, Y., Yu, J., Chen, Z., </w:t>
      </w:r>
      <w:proofErr w:type="spellStart"/>
      <w:r w:rsidRPr="0085730F">
        <w:rPr>
          <w:rFonts w:ascii="Arial" w:hAnsi="Arial" w:cs="Arial"/>
          <w:sz w:val="24"/>
          <w:szCs w:val="24"/>
          <w:shd w:val="clear" w:color="auto" w:fill="FFFFFF"/>
        </w:rPr>
        <w:t>Niu</w:t>
      </w:r>
      <w:proofErr w:type="spellEnd"/>
      <w:r w:rsidRPr="0085730F">
        <w:rPr>
          <w:rFonts w:ascii="Arial" w:hAnsi="Arial" w:cs="Arial"/>
          <w:sz w:val="24"/>
          <w:szCs w:val="24"/>
          <w:shd w:val="clear" w:color="auto" w:fill="FFFFFF"/>
        </w:rPr>
        <w:t>, Y. and Wu, J. (2023) Interorgan communication with the liver: novel mechanisms and therapeutic targets. Frontiers in Immunology, 14, p. 1314123.</w:t>
      </w:r>
    </w:p>
    <w:p w14:paraId="55D59F1D" w14:textId="77777777" w:rsidR="0082260E" w:rsidRPr="0085730F" w:rsidRDefault="0082260E" w:rsidP="0082260E">
      <w:pPr>
        <w:ind w:left="567" w:hanging="547"/>
        <w:jc w:val="both"/>
        <w:rPr>
          <w:rFonts w:ascii="Arial" w:hAnsi="Arial" w:cs="Arial"/>
          <w:sz w:val="24"/>
          <w:szCs w:val="24"/>
          <w:shd w:val="clear" w:color="auto" w:fill="FFFFFF"/>
        </w:rPr>
      </w:pPr>
      <w:r w:rsidRPr="0085730F">
        <w:rPr>
          <w:rFonts w:ascii="Arial" w:hAnsi="Arial" w:cs="Arial"/>
          <w:sz w:val="24"/>
          <w:szCs w:val="24"/>
          <w:shd w:val="clear" w:color="auto" w:fill="FFFFFF"/>
        </w:rPr>
        <w:t xml:space="preserve">Wang, X., Deng, K., Zhang, P., Chen, Q., Magnuson, J.T., </w:t>
      </w:r>
      <w:proofErr w:type="spellStart"/>
      <w:r w:rsidRPr="0085730F">
        <w:rPr>
          <w:rFonts w:ascii="Arial" w:hAnsi="Arial" w:cs="Arial"/>
          <w:sz w:val="24"/>
          <w:szCs w:val="24"/>
          <w:shd w:val="clear" w:color="auto" w:fill="FFFFFF"/>
        </w:rPr>
        <w:t>Qiu</w:t>
      </w:r>
      <w:proofErr w:type="spellEnd"/>
      <w:r w:rsidRPr="0085730F">
        <w:rPr>
          <w:rFonts w:ascii="Arial" w:hAnsi="Arial" w:cs="Arial"/>
          <w:sz w:val="24"/>
          <w:szCs w:val="24"/>
          <w:shd w:val="clear" w:color="auto" w:fill="FFFFFF"/>
        </w:rPr>
        <w:t>, W. and Zhou, Y. (2024) Microplastic-mediated new mechanism of liver damage: From the perspective of the gut-liver axis. Science of the Total Environment, p. 170962.</w:t>
      </w:r>
    </w:p>
    <w:p w14:paraId="7F45F30C" w14:textId="77777777" w:rsidR="0082260E" w:rsidRPr="0085730F" w:rsidRDefault="0082260E" w:rsidP="0082260E">
      <w:pPr>
        <w:ind w:left="567" w:hanging="547"/>
        <w:jc w:val="both"/>
        <w:rPr>
          <w:rFonts w:ascii="Arial" w:hAnsi="Arial" w:cs="Arial"/>
          <w:sz w:val="24"/>
          <w:szCs w:val="24"/>
          <w:shd w:val="clear" w:color="auto" w:fill="FFFFFF"/>
        </w:rPr>
      </w:pPr>
      <w:r w:rsidRPr="0085730F">
        <w:rPr>
          <w:rFonts w:ascii="Arial" w:hAnsi="Arial" w:cs="Arial"/>
          <w:sz w:val="24"/>
          <w:szCs w:val="24"/>
          <w:shd w:val="clear" w:color="auto" w:fill="FFFFFF"/>
        </w:rPr>
        <w:t>Wang, S., Chen, L., Shi, X., Wang, Y. and Xu, S. (2023) Polystyrene microplastics-induced macrophage extracellular traps contribute to liver fibrotic injury by activating ROS/TGF-β/Smad2/3 signaling axis. Environmental Pollution, 324, p. 121388.</w:t>
      </w:r>
    </w:p>
    <w:p w14:paraId="398A198F" w14:textId="77777777" w:rsidR="0082260E" w:rsidRPr="0085730F" w:rsidRDefault="0082260E" w:rsidP="0082260E">
      <w:pPr>
        <w:ind w:left="567" w:hanging="547"/>
        <w:jc w:val="both"/>
        <w:rPr>
          <w:rFonts w:ascii="Arial" w:hAnsi="Arial" w:cs="Arial"/>
          <w:sz w:val="24"/>
          <w:szCs w:val="24"/>
          <w:shd w:val="clear" w:color="auto" w:fill="FFFFFF"/>
        </w:rPr>
      </w:pPr>
      <w:r w:rsidRPr="0085730F">
        <w:rPr>
          <w:rFonts w:ascii="Arial" w:hAnsi="Arial" w:cs="Arial"/>
          <w:sz w:val="24"/>
          <w:szCs w:val="24"/>
          <w:shd w:val="clear" w:color="auto" w:fill="FFFFFF"/>
        </w:rPr>
        <w:t xml:space="preserve">Chiang, C.C., Yeh, H., </w:t>
      </w:r>
      <w:proofErr w:type="spellStart"/>
      <w:r w:rsidRPr="0085730F">
        <w:rPr>
          <w:rFonts w:ascii="Arial" w:hAnsi="Arial" w:cs="Arial"/>
          <w:sz w:val="24"/>
          <w:szCs w:val="24"/>
          <w:shd w:val="clear" w:color="auto" w:fill="FFFFFF"/>
        </w:rPr>
        <w:t>Shiu</w:t>
      </w:r>
      <w:proofErr w:type="spellEnd"/>
      <w:r w:rsidRPr="0085730F">
        <w:rPr>
          <w:rFonts w:ascii="Arial" w:hAnsi="Arial" w:cs="Arial"/>
          <w:sz w:val="24"/>
          <w:szCs w:val="24"/>
          <w:shd w:val="clear" w:color="auto" w:fill="FFFFFF"/>
        </w:rPr>
        <w:t xml:space="preserve">, R.F., Chin, W.C. and Yen, T.H. (2024) Impact of microplastics and </w:t>
      </w:r>
      <w:proofErr w:type="spellStart"/>
      <w:r w:rsidRPr="0085730F">
        <w:rPr>
          <w:rFonts w:ascii="Arial" w:hAnsi="Arial" w:cs="Arial"/>
          <w:sz w:val="24"/>
          <w:szCs w:val="24"/>
          <w:shd w:val="clear" w:color="auto" w:fill="FFFFFF"/>
        </w:rPr>
        <w:t>nanoplastics</w:t>
      </w:r>
      <w:proofErr w:type="spellEnd"/>
      <w:r w:rsidRPr="0085730F">
        <w:rPr>
          <w:rFonts w:ascii="Arial" w:hAnsi="Arial" w:cs="Arial"/>
          <w:sz w:val="24"/>
          <w:szCs w:val="24"/>
          <w:shd w:val="clear" w:color="auto" w:fill="FFFFFF"/>
        </w:rPr>
        <w:t xml:space="preserve"> on liver health: Current understanding and future research directions. World Journal of Gastroenterology, 30(9), p. 1011.</w:t>
      </w:r>
    </w:p>
    <w:p w14:paraId="020342B8" w14:textId="77777777" w:rsidR="0082260E" w:rsidRPr="0085730F" w:rsidRDefault="0082260E" w:rsidP="0082260E">
      <w:pPr>
        <w:ind w:left="567" w:hanging="547"/>
        <w:jc w:val="both"/>
        <w:rPr>
          <w:rFonts w:ascii="Arial" w:hAnsi="Arial" w:cs="Arial"/>
          <w:sz w:val="24"/>
          <w:szCs w:val="24"/>
          <w:shd w:val="clear" w:color="auto" w:fill="FFFFFF"/>
        </w:rPr>
      </w:pPr>
      <w:r w:rsidRPr="0085730F">
        <w:rPr>
          <w:rFonts w:ascii="Arial" w:hAnsi="Arial" w:cs="Arial"/>
          <w:sz w:val="24"/>
          <w:szCs w:val="24"/>
          <w:shd w:val="clear" w:color="auto" w:fill="FFFFFF"/>
        </w:rPr>
        <w:t xml:space="preserve">Li, L., Xu, M., He, C., Wang, H. and Hu, Q. (2022) Polystyrene </w:t>
      </w:r>
      <w:proofErr w:type="spellStart"/>
      <w:r w:rsidRPr="0085730F">
        <w:rPr>
          <w:rFonts w:ascii="Arial" w:hAnsi="Arial" w:cs="Arial"/>
          <w:sz w:val="24"/>
          <w:szCs w:val="24"/>
          <w:shd w:val="clear" w:color="auto" w:fill="FFFFFF"/>
        </w:rPr>
        <w:t>nano</w:t>
      </w:r>
      <w:proofErr w:type="spellEnd"/>
      <w:r w:rsidRPr="0085730F">
        <w:rPr>
          <w:rFonts w:ascii="Arial" w:hAnsi="Arial" w:cs="Arial"/>
          <w:sz w:val="24"/>
          <w:szCs w:val="24"/>
          <w:shd w:val="clear" w:color="auto" w:fill="FFFFFF"/>
        </w:rPr>
        <w:t xml:space="preserve"> plastics potentiate the development of hepatic fibrosis in a high fat diet feed </w:t>
      </w:r>
      <w:proofErr w:type="gramStart"/>
      <w:r w:rsidRPr="0085730F">
        <w:rPr>
          <w:rFonts w:ascii="Arial" w:hAnsi="Arial" w:cs="Arial"/>
          <w:sz w:val="24"/>
          <w:szCs w:val="24"/>
          <w:shd w:val="clear" w:color="auto" w:fill="FFFFFF"/>
        </w:rPr>
        <w:t>mice</w:t>
      </w:r>
      <w:proofErr w:type="gramEnd"/>
      <w:r w:rsidRPr="0085730F">
        <w:rPr>
          <w:rFonts w:ascii="Arial" w:hAnsi="Arial" w:cs="Arial"/>
          <w:sz w:val="24"/>
          <w:szCs w:val="24"/>
          <w:shd w:val="clear" w:color="auto" w:fill="FFFFFF"/>
        </w:rPr>
        <w:t>. Environmental Toxicology, 37(2), pp. 362-372.</w:t>
      </w:r>
    </w:p>
    <w:p w14:paraId="5223300F" w14:textId="77777777" w:rsidR="0082260E" w:rsidRPr="0085730F" w:rsidRDefault="0082260E" w:rsidP="0082260E">
      <w:pPr>
        <w:ind w:left="567" w:hanging="547"/>
        <w:jc w:val="both"/>
        <w:rPr>
          <w:rFonts w:ascii="Arial" w:hAnsi="Arial" w:cs="Arial"/>
          <w:sz w:val="24"/>
          <w:szCs w:val="24"/>
          <w:shd w:val="clear" w:color="auto" w:fill="FFFFFF"/>
        </w:rPr>
      </w:pPr>
      <w:r w:rsidRPr="0085730F">
        <w:rPr>
          <w:rFonts w:ascii="Arial" w:hAnsi="Arial" w:cs="Arial"/>
          <w:sz w:val="24"/>
          <w:szCs w:val="24"/>
          <w:shd w:val="clear" w:color="auto" w:fill="FFFFFF"/>
        </w:rPr>
        <w:t>Zhou, W., Shi, W., Du, X., Han, Y., Tang, Y., Ri, S. and Liu, G. (2023) Assessment of nonalcoholic fatty liver disease symptoms and gut–liver axis status in zebrafish after exposure to polystyrene microplastics and oxytetracycline, alone and in combination. Environmental Health Perspectives, 131(4), p. 047006.</w:t>
      </w:r>
    </w:p>
    <w:p w14:paraId="2AF79787" w14:textId="77777777" w:rsidR="0082260E" w:rsidRPr="0085730F" w:rsidRDefault="0082260E" w:rsidP="0082260E">
      <w:pPr>
        <w:ind w:left="567" w:hanging="547"/>
        <w:jc w:val="both"/>
        <w:rPr>
          <w:rFonts w:ascii="Arial" w:hAnsi="Arial" w:cs="Arial"/>
          <w:sz w:val="24"/>
          <w:szCs w:val="24"/>
          <w:shd w:val="clear" w:color="auto" w:fill="FFFFFF"/>
        </w:rPr>
      </w:pPr>
      <w:r w:rsidRPr="0085730F">
        <w:rPr>
          <w:rFonts w:ascii="Arial" w:hAnsi="Arial" w:cs="Arial"/>
          <w:sz w:val="24"/>
          <w:szCs w:val="24"/>
          <w:shd w:val="clear" w:color="auto" w:fill="FFFFFF"/>
        </w:rPr>
        <w:lastRenderedPageBreak/>
        <w:t xml:space="preserve">Deng, Y., Zhang, Y., </w:t>
      </w:r>
      <w:proofErr w:type="spellStart"/>
      <w:r w:rsidRPr="0085730F">
        <w:rPr>
          <w:rFonts w:ascii="Arial" w:hAnsi="Arial" w:cs="Arial"/>
          <w:sz w:val="24"/>
          <w:szCs w:val="24"/>
          <w:shd w:val="clear" w:color="auto" w:fill="FFFFFF"/>
        </w:rPr>
        <w:t>Lemos</w:t>
      </w:r>
      <w:proofErr w:type="spellEnd"/>
      <w:r w:rsidRPr="0085730F">
        <w:rPr>
          <w:rFonts w:ascii="Arial" w:hAnsi="Arial" w:cs="Arial"/>
          <w:sz w:val="24"/>
          <w:szCs w:val="24"/>
          <w:shd w:val="clear" w:color="auto" w:fill="FFFFFF"/>
        </w:rPr>
        <w:t>, B. and Ren, H. (2017) Tissue accumulation of microplastics in mice and biomarker responses suggest widespread health risks of exposure. Scientific Reports, 7(1), p. 46687.</w:t>
      </w:r>
    </w:p>
    <w:p w14:paraId="777CEBFC" w14:textId="77777777" w:rsidR="0082260E" w:rsidRPr="0085730F" w:rsidRDefault="0082260E" w:rsidP="0082260E">
      <w:pPr>
        <w:ind w:left="567" w:hanging="547"/>
        <w:jc w:val="both"/>
        <w:rPr>
          <w:rFonts w:ascii="Arial" w:hAnsi="Arial" w:cs="Arial"/>
          <w:sz w:val="24"/>
          <w:szCs w:val="24"/>
          <w:shd w:val="clear" w:color="auto" w:fill="FFFFFF"/>
        </w:rPr>
      </w:pPr>
      <w:r w:rsidRPr="0085730F">
        <w:rPr>
          <w:rFonts w:ascii="Arial" w:hAnsi="Arial" w:cs="Arial"/>
          <w:sz w:val="24"/>
          <w:szCs w:val="24"/>
          <w:shd w:val="clear" w:color="auto" w:fill="FFFFFF"/>
        </w:rPr>
        <w:t>Herrera, A., Garrido-Amador, P., Martínez, I., Samper, M.D., López-Martínez, J., Gómez, M. and Packard, T.T. (2018) Novel methodology to isolate microplastics from vegetal-rich samples. Marine Pollution Bulletin, 129(1), pp. 61-69.</w:t>
      </w:r>
    </w:p>
    <w:p w14:paraId="0E760980" w14:textId="77777777" w:rsidR="0082260E" w:rsidRPr="0085730F" w:rsidRDefault="0082260E" w:rsidP="0082260E">
      <w:pPr>
        <w:ind w:left="567" w:hanging="547"/>
        <w:jc w:val="both"/>
        <w:rPr>
          <w:rFonts w:ascii="Arial" w:hAnsi="Arial" w:cs="Arial"/>
          <w:sz w:val="24"/>
          <w:szCs w:val="24"/>
          <w:shd w:val="clear" w:color="auto" w:fill="FFFFFF"/>
        </w:rPr>
      </w:pPr>
      <w:r w:rsidRPr="0085730F">
        <w:rPr>
          <w:rFonts w:ascii="Arial" w:hAnsi="Arial" w:cs="Arial"/>
          <w:sz w:val="24"/>
          <w:szCs w:val="24"/>
          <w:shd w:val="clear" w:color="auto" w:fill="FFFFFF"/>
        </w:rPr>
        <w:t>Finlayson, D. and Cooke, A.W.M. (1951) Solutions of polyvinyl chloride and the process for preparing same (U.S. Patent No. 2,538,091). United States Patent and Trademark Office.</w:t>
      </w:r>
    </w:p>
    <w:p w14:paraId="61573D27" w14:textId="77777777" w:rsidR="0082260E" w:rsidRPr="0085730F" w:rsidRDefault="0082260E" w:rsidP="0082260E">
      <w:pPr>
        <w:ind w:left="567" w:hanging="547"/>
        <w:jc w:val="both"/>
        <w:rPr>
          <w:rFonts w:ascii="Arial" w:hAnsi="Arial" w:cs="Arial"/>
          <w:sz w:val="24"/>
          <w:szCs w:val="24"/>
          <w:shd w:val="clear" w:color="auto" w:fill="FFFFFF"/>
        </w:rPr>
      </w:pPr>
      <w:r w:rsidRPr="0085730F">
        <w:rPr>
          <w:rFonts w:ascii="Arial" w:hAnsi="Arial" w:cs="Arial"/>
          <w:sz w:val="24"/>
          <w:szCs w:val="24"/>
          <w:shd w:val="clear" w:color="auto" w:fill="FFFFFF"/>
        </w:rPr>
        <w:t xml:space="preserve">Said, A., Yassin, S., Mohammad, S., Muhammad, E., </w:t>
      </w:r>
      <w:proofErr w:type="spellStart"/>
      <w:r w:rsidRPr="0085730F">
        <w:rPr>
          <w:rFonts w:ascii="Arial" w:hAnsi="Arial" w:cs="Arial"/>
          <w:sz w:val="24"/>
          <w:szCs w:val="24"/>
          <w:shd w:val="clear" w:color="auto" w:fill="FFFFFF"/>
        </w:rPr>
        <w:t>Abdelnaby</w:t>
      </w:r>
      <w:proofErr w:type="spellEnd"/>
      <w:r w:rsidRPr="0085730F">
        <w:rPr>
          <w:rFonts w:ascii="Arial" w:hAnsi="Arial" w:cs="Arial"/>
          <w:sz w:val="24"/>
          <w:szCs w:val="24"/>
          <w:shd w:val="clear" w:color="auto" w:fill="FFFFFF"/>
        </w:rPr>
        <w:t>, A. and Ali, W. (2023) Studying the Protective Effect of N-acetyl cysteine and L carnitine on Testicular Toxicity Induced by Valproic Acid Administration in Adult Male Albino Rats. Ain Shams Journal of Forensic Medicine and Clinical Toxicology, 41(2), pp. 24-32.</w:t>
      </w:r>
    </w:p>
    <w:p w14:paraId="6AD1F036" w14:textId="77777777" w:rsidR="0082260E" w:rsidRPr="0085730F" w:rsidRDefault="0082260E" w:rsidP="0082260E">
      <w:pPr>
        <w:ind w:left="567" w:hanging="547"/>
        <w:jc w:val="both"/>
        <w:rPr>
          <w:rFonts w:ascii="Arial" w:hAnsi="Arial" w:cs="Arial"/>
          <w:sz w:val="24"/>
          <w:szCs w:val="24"/>
          <w:shd w:val="clear" w:color="auto" w:fill="FFFFFF"/>
        </w:rPr>
      </w:pPr>
      <w:proofErr w:type="spellStart"/>
      <w:r w:rsidRPr="0085730F">
        <w:rPr>
          <w:rFonts w:ascii="Arial" w:hAnsi="Arial" w:cs="Arial"/>
          <w:sz w:val="24"/>
          <w:szCs w:val="24"/>
          <w:shd w:val="clear" w:color="auto" w:fill="FFFFFF"/>
        </w:rPr>
        <w:t>Mahesha</w:t>
      </w:r>
      <w:proofErr w:type="spellEnd"/>
      <w:r w:rsidRPr="0085730F">
        <w:rPr>
          <w:rFonts w:ascii="Arial" w:hAnsi="Arial" w:cs="Arial"/>
          <w:sz w:val="24"/>
          <w:szCs w:val="24"/>
          <w:shd w:val="clear" w:color="auto" w:fill="FFFFFF"/>
        </w:rPr>
        <w:t>, H.B. (2012) Estimation of protein by Biuret method. Yuvaraja’s College, Mysore.</w:t>
      </w:r>
    </w:p>
    <w:p w14:paraId="12F928CD" w14:textId="77777777" w:rsidR="0082260E" w:rsidRPr="0085730F" w:rsidRDefault="0082260E" w:rsidP="0082260E">
      <w:pPr>
        <w:ind w:left="567" w:hanging="547"/>
        <w:jc w:val="both"/>
        <w:rPr>
          <w:rFonts w:ascii="Arial" w:hAnsi="Arial" w:cs="Arial"/>
          <w:sz w:val="24"/>
          <w:szCs w:val="24"/>
          <w:shd w:val="clear" w:color="auto" w:fill="FFFFFF"/>
        </w:rPr>
      </w:pPr>
      <w:proofErr w:type="spellStart"/>
      <w:r w:rsidRPr="0085730F">
        <w:rPr>
          <w:rFonts w:ascii="Arial" w:hAnsi="Arial" w:cs="Arial"/>
          <w:sz w:val="24"/>
          <w:szCs w:val="24"/>
          <w:shd w:val="clear" w:color="auto" w:fill="FFFFFF"/>
        </w:rPr>
        <w:t>Eduviere</w:t>
      </w:r>
      <w:proofErr w:type="spellEnd"/>
      <w:r w:rsidRPr="0085730F">
        <w:rPr>
          <w:rFonts w:ascii="Arial" w:hAnsi="Arial" w:cs="Arial"/>
          <w:sz w:val="24"/>
          <w:szCs w:val="24"/>
          <w:shd w:val="clear" w:color="auto" w:fill="FFFFFF"/>
        </w:rPr>
        <w:t xml:space="preserve">, A.T., </w:t>
      </w:r>
      <w:proofErr w:type="spellStart"/>
      <w:r w:rsidRPr="0085730F">
        <w:rPr>
          <w:rFonts w:ascii="Arial" w:hAnsi="Arial" w:cs="Arial"/>
          <w:sz w:val="24"/>
          <w:szCs w:val="24"/>
          <w:shd w:val="clear" w:color="auto" w:fill="FFFFFF"/>
        </w:rPr>
        <w:t>Umukoro</w:t>
      </w:r>
      <w:proofErr w:type="spellEnd"/>
      <w:r w:rsidRPr="0085730F">
        <w:rPr>
          <w:rFonts w:ascii="Arial" w:hAnsi="Arial" w:cs="Arial"/>
          <w:sz w:val="24"/>
          <w:szCs w:val="24"/>
          <w:shd w:val="clear" w:color="auto" w:fill="FFFFFF"/>
        </w:rPr>
        <w:t xml:space="preserve">, S., </w:t>
      </w:r>
      <w:proofErr w:type="spellStart"/>
      <w:r w:rsidRPr="0085730F">
        <w:rPr>
          <w:rFonts w:ascii="Arial" w:hAnsi="Arial" w:cs="Arial"/>
          <w:sz w:val="24"/>
          <w:szCs w:val="24"/>
          <w:shd w:val="clear" w:color="auto" w:fill="FFFFFF"/>
        </w:rPr>
        <w:t>Aderibigbe</w:t>
      </w:r>
      <w:proofErr w:type="spellEnd"/>
      <w:r w:rsidRPr="0085730F">
        <w:rPr>
          <w:rFonts w:ascii="Arial" w:hAnsi="Arial" w:cs="Arial"/>
          <w:sz w:val="24"/>
          <w:szCs w:val="24"/>
          <w:shd w:val="clear" w:color="auto" w:fill="FFFFFF"/>
        </w:rPr>
        <w:t xml:space="preserve">, A.O., Ajayi, A.M. and </w:t>
      </w:r>
      <w:proofErr w:type="spellStart"/>
      <w:r w:rsidRPr="0085730F">
        <w:rPr>
          <w:rFonts w:ascii="Arial" w:hAnsi="Arial" w:cs="Arial"/>
          <w:sz w:val="24"/>
          <w:szCs w:val="24"/>
          <w:shd w:val="clear" w:color="auto" w:fill="FFFFFF"/>
        </w:rPr>
        <w:t>Adewole</w:t>
      </w:r>
      <w:proofErr w:type="spellEnd"/>
      <w:r w:rsidRPr="0085730F">
        <w:rPr>
          <w:rFonts w:ascii="Arial" w:hAnsi="Arial" w:cs="Arial"/>
          <w:sz w:val="24"/>
          <w:szCs w:val="24"/>
          <w:shd w:val="clear" w:color="auto" w:fill="FFFFFF"/>
        </w:rPr>
        <w:t xml:space="preserve">, F.A. (2015) Methyl </w:t>
      </w:r>
      <w:proofErr w:type="spellStart"/>
      <w:r w:rsidRPr="0085730F">
        <w:rPr>
          <w:rFonts w:ascii="Arial" w:hAnsi="Arial" w:cs="Arial"/>
          <w:sz w:val="24"/>
          <w:szCs w:val="24"/>
          <w:shd w:val="clear" w:color="auto" w:fill="FFFFFF"/>
        </w:rPr>
        <w:t>jasmonate</w:t>
      </w:r>
      <w:proofErr w:type="spellEnd"/>
      <w:r w:rsidRPr="0085730F">
        <w:rPr>
          <w:rFonts w:ascii="Arial" w:hAnsi="Arial" w:cs="Arial"/>
          <w:sz w:val="24"/>
          <w:szCs w:val="24"/>
          <w:shd w:val="clear" w:color="auto" w:fill="FFFFFF"/>
        </w:rPr>
        <w:t xml:space="preserve"> enhances memory performance through inhibition of oxidative stress and acetylcholinesterase activity in mice. Life Sciences, 132, pp. 20-26.</w:t>
      </w:r>
    </w:p>
    <w:p w14:paraId="7B9F0A93" w14:textId="77777777" w:rsidR="0082260E" w:rsidRPr="0085730F" w:rsidRDefault="0082260E" w:rsidP="0082260E">
      <w:pPr>
        <w:ind w:left="567" w:hanging="547"/>
        <w:jc w:val="both"/>
        <w:rPr>
          <w:rFonts w:ascii="Arial" w:hAnsi="Arial" w:cs="Arial"/>
          <w:sz w:val="24"/>
          <w:szCs w:val="24"/>
          <w:shd w:val="clear" w:color="auto" w:fill="FFFFFF"/>
        </w:rPr>
      </w:pPr>
      <w:proofErr w:type="spellStart"/>
      <w:r w:rsidRPr="0085730F">
        <w:rPr>
          <w:rFonts w:ascii="Arial" w:hAnsi="Arial" w:cs="Arial"/>
          <w:sz w:val="24"/>
          <w:szCs w:val="24"/>
          <w:shd w:val="clear" w:color="auto" w:fill="FFFFFF"/>
        </w:rPr>
        <w:t>Yilgor</w:t>
      </w:r>
      <w:proofErr w:type="spellEnd"/>
      <w:r w:rsidRPr="0085730F">
        <w:rPr>
          <w:rFonts w:ascii="Arial" w:hAnsi="Arial" w:cs="Arial"/>
          <w:sz w:val="24"/>
          <w:szCs w:val="24"/>
          <w:shd w:val="clear" w:color="auto" w:fill="FFFFFF"/>
        </w:rPr>
        <w:t>, A. and Demir, C. (2024) Determination of oxidative stress level and some antioxidant activities in refractory epilepsy patients. Scientific Reports, 14(1), p. 6688.</w:t>
      </w:r>
    </w:p>
    <w:p w14:paraId="1F659BE5" w14:textId="77777777" w:rsidR="0082260E" w:rsidRPr="0085730F" w:rsidRDefault="0082260E" w:rsidP="0082260E">
      <w:pPr>
        <w:ind w:left="567" w:hanging="547"/>
        <w:jc w:val="both"/>
        <w:rPr>
          <w:rFonts w:ascii="Arial" w:hAnsi="Arial" w:cs="Arial"/>
          <w:sz w:val="24"/>
          <w:szCs w:val="24"/>
          <w:shd w:val="clear" w:color="auto" w:fill="FFFFFF"/>
        </w:rPr>
      </w:pPr>
      <w:r w:rsidRPr="0085730F">
        <w:rPr>
          <w:rFonts w:ascii="Arial" w:hAnsi="Arial" w:cs="Arial"/>
          <w:sz w:val="24"/>
          <w:szCs w:val="24"/>
          <w:shd w:val="clear" w:color="auto" w:fill="FFFFFF"/>
        </w:rPr>
        <w:t>Das, A. (2023) The emerging role of microplastics in systemic toxicity: Involvement of reactive oxygen species (ROS). Science of the Total Environment, 895, p. 165076</w:t>
      </w:r>
    </w:p>
    <w:p w14:paraId="181A68A6" w14:textId="77777777" w:rsidR="0082260E" w:rsidRPr="0085730F" w:rsidRDefault="0082260E" w:rsidP="0082260E">
      <w:pPr>
        <w:ind w:left="567" w:hanging="547"/>
        <w:jc w:val="both"/>
        <w:rPr>
          <w:rFonts w:ascii="Arial" w:hAnsi="Arial" w:cs="Arial"/>
          <w:sz w:val="24"/>
          <w:szCs w:val="24"/>
          <w:shd w:val="clear" w:color="auto" w:fill="FFFFFF"/>
        </w:rPr>
      </w:pPr>
      <w:r w:rsidRPr="0085730F">
        <w:rPr>
          <w:rFonts w:ascii="Arial" w:hAnsi="Arial" w:cs="Arial"/>
          <w:sz w:val="24"/>
          <w:szCs w:val="24"/>
          <w:shd w:val="clear" w:color="auto" w:fill="FFFFFF"/>
        </w:rPr>
        <w:t xml:space="preserve">Lee, S., Choi, J., </w:t>
      </w:r>
      <w:proofErr w:type="spellStart"/>
      <w:r w:rsidRPr="0085730F">
        <w:rPr>
          <w:rFonts w:ascii="Arial" w:hAnsi="Arial" w:cs="Arial"/>
          <w:sz w:val="24"/>
          <w:szCs w:val="24"/>
          <w:shd w:val="clear" w:color="auto" w:fill="FFFFFF"/>
        </w:rPr>
        <w:t>Jho</w:t>
      </w:r>
      <w:proofErr w:type="spellEnd"/>
      <w:r w:rsidRPr="0085730F">
        <w:rPr>
          <w:rFonts w:ascii="Arial" w:hAnsi="Arial" w:cs="Arial"/>
          <w:sz w:val="24"/>
          <w:szCs w:val="24"/>
          <w:shd w:val="clear" w:color="auto" w:fill="FFFFFF"/>
        </w:rPr>
        <w:t xml:space="preserve">, E.H. and Shin, S. (2024) Effects of polyvinyl chloride and low-density polyethylene microplastics on oxidative stress and mitochondria function of earthworm (Eisenia </w:t>
      </w:r>
      <w:proofErr w:type="spellStart"/>
      <w:r w:rsidRPr="0085730F">
        <w:rPr>
          <w:rFonts w:ascii="Arial" w:hAnsi="Arial" w:cs="Arial"/>
          <w:sz w:val="24"/>
          <w:szCs w:val="24"/>
          <w:shd w:val="clear" w:color="auto" w:fill="FFFFFF"/>
        </w:rPr>
        <w:t>fetida</w:t>
      </w:r>
      <w:proofErr w:type="spellEnd"/>
      <w:r w:rsidRPr="0085730F">
        <w:rPr>
          <w:rFonts w:ascii="Arial" w:hAnsi="Arial" w:cs="Arial"/>
          <w:sz w:val="24"/>
          <w:szCs w:val="24"/>
          <w:shd w:val="clear" w:color="auto" w:fill="FFFFFF"/>
        </w:rPr>
        <w:t>). Ecotoxicology and Environmental Safety, 283, p. 116847.</w:t>
      </w:r>
    </w:p>
    <w:p w14:paraId="482D7495" w14:textId="77777777" w:rsidR="0082260E" w:rsidRPr="0085730F" w:rsidRDefault="0082260E" w:rsidP="0082260E">
      <w:pPr>
        <w:ind w:left="567" w:hanging="547"/>
        <w:jc w:val="both"/>
        <w:rPr>
          <w:rFonts w:ascii="Arial" w:hAnsi="Arial" w:cs="Arial"/>
          <w:sz w:val="24"/>
          <w:szCs w:val="24"/>
          <w:shd w:val="clear" w:color="auto" w:fill="FFFFFF"/>
        </w:rPr>
      </w:pPr>
      <w:r w:rsidRPr="0085730F">
        <w:rPr>
          <w:rFonts w:ascii="Arial" w:hAnsi="Arial" w:cs="Arial"/>
          <w:sz w:val="24"/>
          <w:szCs w:val="24"/>
          <w:shd w:val="clear" w:color="auto" w:fill="FFFFFF"/>
        </w:rPr>
        <w:t xml:space="preserve">Zou, H., Song, J., Luo, X., Ali, W., Li, S., </w:t>
      </w:r>
      <w:proofErr w:type="spellStart"/>
      <w:r w:rsidRPr="0085730F">
        <w:rPr>
          <w:rFonts w:ascii="Arial" w:hAnsi="Arial" w:cs="Arial"/>
          <w:sz w:val="24"/>
          <w:szCs w:val="24"/>
          <w:shd w:val="clear" w:color="auto" w:fill="FFFFFF"/>
        </w:rPr>
        <w:t>Xiong</w:t>
      </w:r>
      <w:proofErr w:type="spellEnd"/>
      <w:r w:rsidRPr="0085730F">
        <w:rPr>
          <w:rFonts w:ascii="Arial" w:hAnsi="Arial" w:cs="Arial"/>
          <w:sz w:val="24"/>
          <w:szCs w:val="24"/>
          <w:shd w:val="clear" w:color="auto" w:fill="FFFFFF"/>
        </w:rPr>
        <w:t>, L., Chen, Y., Yuan, Y., Ma, Y., Tong, X. and Liu, Z. (2025) Cadmium and polyvinyl chloride microplastics induce mitochondrial damage and apoptosis under oxidative stress in duck kidney. Poultry Science, 104(1), p. 104490.</w:t>
      </w:r>
    </w:p>
    <w:p w14:paraId="12DE4E86" w14:textId="77777777" w:rsidR="0082260E" w:rsidRPr="0085730F" w:rsidRDefault="0082260E" w:rsidP="0082260E">
      <w:pPr>
        <w:ind w:left="567" w:hanging="547"/>
        <w:jc w:val="both"/>
        <w:rPr>
          <w:rFonts w:ascii="Arial" w:hAnsi="Arial" w:cs="Arial"/>
          <w:sz w:val="24"/>
          <w:szCs w:val="24"/>
          <w:shd w:val="clear" w:color="auto" w:fill="FFFFFF"/>
        </w:rPr>
      </w:pPr>
      <w:proofErr w:type="spellStart"/>
      <w:r w:rsidRPr="0085730F">
        <w:rPr>
          <w:rFonts w:ascii="Arial" w:hAnsi="Arial" w:cs="Arial"/>
          <w:sz w:val="24"/>
          <w:szCs w:val="24"/>
          <w:shd w:val="clear" w:color="auto" w:fill="FFFFFF"/>
        </w:rPr>
        <w:t>Kalas</w:t>
      </w:r>
      <w:proofErr w:type="spellEnd"/>
      <w:r w:rsidRPr="0085730F">
        <w:rPr>
          <w:rFonts w:ascii="Arial" w:hAnsi="Arial" w:cs="Arial"/>
          <w:sz w:val="24"/>
          <w:szCs w:val="24"/>
          <w:shd w:val="clear" w:color="auto" w:fill="FFFFFF"/>
        </w:rPr>
        <w:t xml:space="preserve">, M.A., Chavez, L., Leon, M., </w:t>
      </w:r>
      <w:proofErr w:type="spellStart"/>
      <w:r w:rsidRPr="0085730F">
        <w:rPr>
          <w:rFonts w:ascii="Arial" w:hAnsi="Arial" w:cs="Arial"/>
          <w:sz w:val="24"/>
          <w:szCs w:val="24"/>
          <w:shd w:val="clear" w:color="auto" w:fill="FFFFFF"/>
        </w:rPr>
        <w:t>Taweesedt</w:t>
      </w:r>
      <w:proofErr w:type="spellEnd"/>
      <w:r w:rsidRPr="0085730F">
        <w:rPr>
          <w:rFonts w:ascii="Arial" w:hAnsi="Arial" w:cs="Arial"/>
          <w:sz w:val="24"/>
          <w:szCs w:val="24"/>
          <w:shd w:val="clear" w:color="auto" w:fill="FFFFFF"/>
        </w:rPr>
        <w:t xml:space="preserve">, P.T. and </w:t>
      </w:r>
      <w:proofErr w:type="spellStart"/>
      <w:r w:rsidRPr="0085730F">
        <w:rPr>
          <w:rFonts w:ascii="Arial" w:hAnsi="Arial" w:cs="Arial"/>
          <w:sz w:val="24"/>
          <w:szCs w:val="24"/>
          <w:shd w:val="clear" w:color="auto" w:fill="FFFFFF"/>
        </w:rPr>
        <w:t>Surani</w:t>
      </w:r>
      <w:proofErr w:type="spellEnd"/>
      <w:r w:rsidRPr="0085730F">
        <w:rPr>
          <w:rFonts w:ascii="Arial" w:hAnsi="Arial" w:cs="Arial"/>
          <w:sz w:val="24"/>
          <w:szCs w:val="24"/>
          <w:shd w:val="clear" w:color="auto" w:fill="FFFFFF"/>
        </w:rPr>
        <w:t>, S. (2021) Abnormal liver enzymes: A review for clinicians. World Journal of Hepatology, 13(11), p. 1688.</w:t>
      </w:r>
    </w:p>
    <w:p w14:paraId="75772EB6" w14:textId="77777777" w:rsidR="0082260E" w:rsidRPr="0085730F" w:rsidRDefault="0082260E" w:rsidP="0082260E">
      <w:pPr>
        <w:ind w:left="567" w:hanging="547"/>
        <w:jc w:val="both"/>
        <w:rPr>
          <w:rFonts w:ascii="Arial" w:hAnsi="Arial" w:cs="Arial"/>
          <w:sz w:val="24"/>
          <w:szCs w:val="24"/>
          <w:shd w:val="clear" w:color="auto" w:fill="FFFFFF"/>
        </w:rPr>
      </w:pPr>
      <w:r w:rsidRPr="0085730F">
        <w:rPr>
          <w:rFonts w:ascii="Arial" w:hAnsi="Arial" w:cs="Arial"/>
          <w:sz w:val="24"/>
          <w:szCs w:val="24"/>
          <w:shd w:val="clear" w:color="auto" w:fill="FFFFFF"/>
        </w:rPr>
        <w:t>Jagdish, R.K., Maras, J.S. and Sarin, S.K. (2021) Albumin in advanced liver diseases: the good and bad of a drug! Hepatology, 74(5), pp. 2848-2862.</w:t>
      </w:r>
    </w:p>
    <w:p w14:paraId="7847F99E" w14:textId="77777777" w:rsidR="0082260E" w:rsidRPr="0085730F" w:rsidRDefault="0082260E" w:rsidP="0082260E">
      <w:pPr>
        <w:ind w:left="567" w:hanging="547"/>
        <w:jc w:val="both"/>
        <w:rPr>
          <w:rFonts w:ascii="Arial" w:hAnsi="Arial" w:cs="Arial"/>
          <w:sz w:val="24"/>
          <w:szCs w:val="24"/>
          <w:shd w:val="clear" w:color="auto" w:fill="FFFFFF"/>
        </w:rPr>
      </w:pPr>
      <w:proofErr w:type="spellStart"/>
      <w:r w:rsidRPr="0085730F">
        <w:rPr>
          <w:rFonts w:ascii="Arial" w:hAnsi="Arial" w:cs="Arial"/>
          <w:sz w:val="24"/>
          <w:szCs w:val="24"/>
          <w:shd w:val="clear" w:color="auto" w:fill="FFFFFF"/>
        </w:rPr>
        <w:t>Sheinenzon</w:t>
      </w:r>
      <w:proofErr w:type="spellEnd"/>
      <w:r w:rsidRPr="0085730F">
        <w:rPr>
          <w:rFonts w:ascii="Arial" w:hAnsi="Arial" w:cs="Arial"/>
          <w:sz w:val="24"/>
          <w:szCs w:val="24"/>
          <w:shd w:val="clear" w:color="auto" w:fill="FFFFFF"/>
        </w:rPr>
        <w:t xml:space="preserve">, A., Shehadeh, M., </w:t>
      </w:r>
      <w:proofErr w:type="spellStart"/>
      <w:r w:rsidRPr="0085730F">
        <w:rPr>
          <w:rFonts w:ascii="Arial" w:hAnsi="Arial" w:cs="Arial"/>
          <w:sz w:val="24"/>
          <w:szCs w:val="24"/>
          <w:shd w:val="clear" w:color="auto" w:fill="FFFFFF"/>
        </w:rPr>
        <w:t>Michelis</w:t>
      </w:r>
      <w:proofErr w:type="spellEnd"/>
      <w:r w:rsidRPr="0085730F">
        <w:rPr>
          <w:rFonts w:ascii="Arial" w:hAnsi="Arial" w:cs="Arial"/>
          <w:sz w:val="24"/>
          <w:szCs w:val="24"/>
          <w:shd w:val="clear" w:color="auto" w:fill="FFFFFF"/>
        </w:rPr>
        <w:t xml:space="preserve">, R., </w:t>
      </w:r>
      <w:proofErr w:type="spellStart"/>
      <w:r w:rsidRPr="0085730F">
        <w:rPr>
          <w:rFonts w:ascii="Arial" w:hAnsi="Arial" w:cs="Arial"/>
          <w:sz w:val="24"/>
          <w:szCs w:val="24"/>
          <w:shd w:val="clear" w:color="auto" w:fill="FFFFFF"/>
        </w:rPr>
        <w:t>Shaoul</w:t>
      </w:r>
      <w:proofErr w:type="spellEnd"/>
      <w:r w:rsidRPr="0085730F">
        <w:rPr>
          <w:rFonts w:ascii="Arial" w:hAnsi="Arial" w:cs="Arial"/>
          <w:sz w:val="24"/>
          <w:szCs w:val="24"/>
          <w:shd w:val="clear" w:color="auto" w:fill="FFFFFF"/>
        </w:rPr>
        <w:t>, E. and Ronen, O. (2021) Serum albumin levels and inflammation. International Journal of Biological Macromolecules, 184, pp. 857-862.</w:t>
      </w:r>
    </w:p>
    <w:p w14:paraId="7C402C30" w14:textId="77777777" w:rsidR="0082260E" w:rsidRPr="0085730F" w:rsidRDefault="0082260E" w:rsidP="0082260E">
      <w:pPr>
        <w:ind w:left="567" w:hanging="547"/>
        <w:jc w:val="both"/>
        <w:rPr>
          <w:rFonts w:ascii="Arial" w:hAnsi="Arial" w:cs="Arial"/>
          <w:sz w:val="24"/>
          <w:szCs w:val="24"/>
          <w:shd w:val="clear" w:color="auto" w:fill="FFFFFF"/>
        </w:rPr>
      </w:pPr>
      <w:r w:rsidRPr="0085730F">
        <w:rPr>
          <w:rFonts w:ascii="Arial" w:hAnsi="Arial" w:cs="Arial"/>
          <w:sz w:val="24"/>
          <w:szCs w:val="24"/>
          <w:shd w:val="clear" w:color="auto" w:fill="FFFFFF"/>
        </w:rPr>
        <w:t>Carvalho, J.R. and Machado, M.V. (2018) New insights about albumin and liver disease. Annals of Hepatology, 17(4), pp. 547-560.</w:t>
      </w:r>
    </w:p>
    <w:p w14:paraId="44EC2F23" w14:textId="77777777" w:rsidR="0082260E" w:rsidRPr="0085730F" w:rsidRDefault="0082260E" w:rsidP="0082260E">
      <w:pPr>
        <w:ind w:left="567" w:hanging="547"/>
        <w:jc w:val="both"/>
        <w:rPr>
          <w:rFonts w:ascii="Arial" w:hAnsi="Arial" w:cs="Arial"/>
          <w:sz w:val="24"/>
          <w:szCs w:val="24"/>
          <w:shd w:val="clear" w:color="auto" w:fill="FFFFFF"/>
        </w:rPr>
      </w:pPr>
      <w:r w:rsidRPr="0085730F">
        <w:rPr>
          <w:rFonts w:ascii="Arial" w:hAnsi="Arial" w:cs="Arial"/>
          <w:sz w:val="24"/>
          <w:szCs w:val="24"/>
          <w:shd w:val="clear" w:color="auto" w:fill="FFFFFF"/>
        </w:rPr>
        <w:t xml:space="preserve">Chen, C.B., </w:t>
      </w:r>
      <w:proofErr w:type="spellStart"/>
      <w:r w:rsidRPr="0085730F">
        <w:rPr>
          <w:rFonts w:ascii="Arial" w:hAnsi="Arial" w:cs="Arial"/>
          <w:sz w:val="24"/>
          <w:szCs w:val="24"/>
          <w:shd w:val="clear" w:color="auto" w:fill="FFFFFF"/>
        </w:rPr>
        <w:t>Hammo</w:t>
      </w:r>
      <w:proofErr w:type="spellEnd"/>
      <w:r w:rsidRPr="0085730F">
        <w:rPr>
          <w:rFonts w:ascii="Arial" w:hAnsi="Arial" w:cs="Arial"/>
          <w:sz w:val="24"/>
          <w:szCs w:val="24"/>
          <w:shd w:val="clear" w:color="auto" w:fill="FFFFFF"/>
        </w:rPr>
        <w:t>, B., Barry, J. and Radhakrishnan, K. (2021) Overview of albumin physiology and its role in pediatric diseases. Current Gastroenterology Reports, 23(8), p. 11.</w:t>
      </w:r>
    </w:p>
    <w:p w14:paraId="33D93BBD" w14:textId="77777777" w:rsidR="0082260E" w:rsidRPr="0085730F" w:rsidRDefault="0082260E" w:rsidP="0082260E">
      <w:pPr>
        <w:ind w:left="567" w:hanging="547"/>
        <w:jc w:val="both"/>
        <w:rPr>
          <w:rFonts w:ascii="Arial" w:hAnsi="Arial" w:cs="Arial"/>
          <w:sz w:val="24"/>
          <w:szCs w:val="24"/>
          <w:shd w:val="clear" w:color="auto" w:fill="FFFFFF"/>
        </w:rPr>
      </w:pPr>
      <w:r w:rsidRPr="0085730F">
        <w:rPr>
          <w:rFonts w:ascii="Arial" w:hAnsi="Arial" w:cs="Arial"/>
          <w:sz w:val="24"/>
          <w:szCs w:val="24"/>
          <w:shd w:val="clear" w:color="auto" w:fill="FFFFFF"/>
        </w:rPr>
        <w:t xml:space="preserve">Cunningham, R.P. and </w:t>
      </w:r>
      <w:proofErr w:type="spellStart"/>
      <w:r w:rsidRPr="0085730F">
        <w:rPr>
          <w:rFonts w:ascii="Arial" w:hAnsi="Arial" w:cs="Arial"/>
          <w:sz w:val="24"/>
          <w:szCs w:val="24"/>
          <w:shd w:val="clear" w:color="auto" w:fill="FFFFFF"/>
        </w:rPr>
        <w:t>Porat-Shliom</w:t>
      </w:r>
      <w:proofErr w:type="spellEnd"/>
      <w:r w:rsidRPr="0085730F">
        <w:rPr>
          <w:rFonts w:ascii="Arial" w:hAnsi="Arial" w:cs="Arial"/>
          <w:sz w:val="24"/>
          <w:szCs w:val="24"/>
          <w:shd w:val="clear" w:color="auto" w:fill="FFFFFF"/>
        </w:rPr>
        <w:t>, N. (2021) Liver zonation–revisiting old questions with new technologies. Frontiers in Physiology, 12, p. 732929.</w:t>
      </w:r>
    </w:p>
    <w:p w14:paraId="2FD59C53" w14:textId="77777777" w:rsidR="0082260E" w:rsidRPr="0085730F" w:rsidRDefault="0082260E" w:rsidP="0082260E">
      <w:pPr>
        <w:ind w:left="567" w:hanging="547"/>
        <w:jc w:val="both"/>
        <w:rPr>
          <w:rFonts w:ascii="Arial" w:hAnsi="Arial" w:cs="Arial"/>
          <w:sz w:val="24"/>
          <w:szCs w:val="24"/>
          <w:shd w:val="clear" w:color="auto" w:fill="FFFFFF"/>
        </w:rPr>
      </w:pPr>
      <w:proofErr w:type="spellStart"/>
      <w:r w:rsidRPr="0085730F">
        <w:rPr>
          <w:rFonts w:ascii="Arial" w:hAnsi="Arial" w:cs="Arial"/>
          <w:sz w:val="24"/>
          <w:szCs w:val="24"/>
          <w:shd w:val="clear" w:color="auto" w:fill="FFFFFF"/>
        </w:rPr>
        <w:lastRenderedPageBreak/>
        <w:t>Vítek</w:t>
      </w:r>
      <w:proofErr w:type="spellEnd"/>
      <w:r w:rsidRPr="0085730F">
        <w:rPr>
          <w:rFonts w:ascii="Arial" w:hAnsi="Arial" w:cs="Arial"/>
          <w:sz w:val="24"/>
          <w:szCs w:val="24"/>
          <w:shd w:val="clear" w:color="auto" w:fill="FFFFFF"/>
        </w:rPr>
        <w:t xml:space="preserve">, L. and </w:t>
      </w:r>
      <w:proofErr w:type="spellStart"/>
      <w:r w:rsidRPr="0085730F">
        <w:rPr>
          <w:rFonts w:ascii="Arial" w:hAnsi="Arial" w:cs="Arial"/>
          <w:sz w:val="24"/>
          <w:szCs w:val="24"/>
          <w:shd w:val="clear" w:color="auto" w:fill="FFFFFF"/>
        </w:rPr>
        <w:t>Tiribelli</w:t>
      </w:r>
      <w:proofErr w:type="spellEnd"/>
      <w:r w:rsidRPr="0085730F">
        <w:rPr>
          <w:rFonts w:ascii="Arial" w:hAnsi="Arial" w:cs="Arial"/>
          <w:sz w:val="24"/>
          <w:szCs w:val="24"/>
          <w:shd w:val="clear" w:color="auto" w:fill="FFFFFF"/>
        </w:rPr>
        <w:t xml:space="preserve">, C. (2021) Bilirubin: The yellow </w:t>
      </w:r>
      <w:proofErr w:type="gramStart"/>
      <w:r w:rsidRPr="0085730F">
        <w:rPr>
          <w:rFonts w:ascii="Arial" w:hAnsi="Arial" w:cs="Arial"/>
          <w:sz w:val="24"/>
          <w:szCs w:val="24"/>
          <w:shd w:val="clear" w:color="auto" w:fill="FFFFFF"/>
        </w:rPr>
        <w:t>hormone?.</w:t>
      </w:r>
      <w:proofErr w:type="gramEnd"/>
      <w:r w:rsidRPr="0085730F">
        <w:rPr>
          <w:rFonts w:ascii="Arial" w:hAnsi="Arial" w:cs="Arial"/>
          <w:sz w:val="24"/>
          <w:szCs w:val="24"/>
          <w:shd w:val="clear" w:color="auto" w:fill="FFFFFF"/>
        </w:rPr>
        <w:t xml:space="preserve"> Journal of Hepatology, 75(6), pp. 1485-1490.</w:t>
      </w:r>
    </w:p>
    <w:p w14:paraId="30DAEDC0" w14:textId="77777777" w:rsidR="0082260E" w:rsidRPr="0085730F" w:rsidRDefault="0082260E" w:rsidP="0082260E">
      <w:pPr>
        <w:ind w:left="567" w:hanging="547"/>
        <w:jc w:val="both"/>
        <w:rPr>
          <w:rFonts w:ascii="Arial" w:hAnsi="Arial" w:cs="Arial"/>
          <w:sz w:val="24"/>
          <w:szCs w:val="24"/>
          <w:shd w:val="clear" w:color="auto" w:fill="FFFFFF"/>
        </w:rPr>
      </w:pPr>
      <w:r w:rsidRPr="0085730F">
        <w:rPr>
          <w:rFonts w:ascii="Arial" w:hAnsi="Arial" w:cs="Arial"/>
          <w:sz w:val="24"/>
          <w:szCs w:val="24"/>
          <w:shd w:val="clear" w:color="auto" w:fill="FFFFFF"/>
        </w:rPr>
        <w:t xml:space="preserve">Guerra Ruiz, A.R., Crespo, J., López Martínez, R.M., </w:t>
      </w:r>
      <w:proofErr w:type="spellStart"/>
      <w:r w:rsidRPr="0085730F">
        <w:rPr>
          <w:rFonts w:ascii="Arial" w:hAnsi="Arial" w:cs="Arial"/>
          <w:sz w:val="24"/>
          <w:szCs w:val="24"/>
          <w:shd w:val="clear" w:color="auto" w:fill="FFFFFF"/>
        </w:rPr>
        <w:t>Iruzubieta</w:t>
      </w:r>
      <w:proofErr w:type="spellEnd"/>
      <w:r w:rsidRPr="0085730F">
        <w:rPr>
          <w:rFonts w:ascii="Arial" w:hAnsi="Arial" w:cs="Arial"/>
          <w:sz w:val="24"/>
          <w:szCs w:val="24"/>
          <w:shd w:val="clear" w:color="auto" w:fill="FFFFFF"/>
        </w:rPr>
        <w:t xml:space="preserve">, P., Casals </w:t>
      </w:r>
      <w:proofErr w:type="spellStart"/>
      <w:r w:rsidRPr="0085730F">
        <w:rPr>
          <w:rFonts w:ascii="Arial" w:hAnsi="Arial" w:cs="Arial"/>
          <w:sz w:val="24"/>
          <w:szCs w:val="24"/>
          <w:shd w:val="clear" w:color="auto" w:fill="FFFFFF"/>
        </w:rPr>
        <w:t>Mercadal</w:t>
      </w:r>
      <w:proofErr w:type="spellEnd"/>
      <w:r w:rsidRPr="0085730F">
        <w:rPr>
          <w:rFonts w:ascii="Arial" w:hAnsi="Arial" w:cs="Arial"/>
          <w:sz w:val="24"/>
          <w:szCs w:val="24"/>
          <w:shd w:val="clear" w:color="auto" w:fill="FFFFFF"/>
        </w:rPr>
        <w:t xml:space="preserve">, G., </w:t>
      </w:r>
      <w:proofErr w:type="spellStart"/>
      <w:r w:rsidRPr="0085730F">
        <w:rPr>
          <w:rFonts w:ascii="Arial" w:hAnsi="Arial" w:cs="Arial"/>
          <w:sz w:val="24"/>
          <w:szCs w:val="24"/>
          <w:shd w:val="clear" w:color="auto" w:fill="FFFFFF"/>
        </w:rPr>
        <w:t>Lalana</w:t>
      </w:r>
      <w:proofErr w:type="spellEnd"/>
      <w:r w:rsidRPr="0085730F">
        <w:rPr>
          <w:rFonts w:ascii="Arial" w:hAnsi="Arial" w:cs="Arial"/>
          <w:sz w:val="24"/>
          <w:szCs w:val="24"/>
          <w:shd w:val="clear" w:color="auto" w:fill="FFFFFF"/>
        </w:rPr>
        <w:t xml:space="preserve"> </w:t>
      </w:r>
      <w:proofErr w:type="spellStart"/>
      <w:r w:rsidRPr="0085730F">
        <w:rPr>
          <w:rFonts w:ascii="Arial" w:hAnsi="Arial" w:cs="Arial"/>
          <w:sz w:val="24"/>
          <w:szCs w:val="24"/>
          <w:shd w:val="clear" w:color="auto" w:fill="FFFFFF"/>
        </w:rPr>
        <w:t>Garcés</w:t>
      </w:r>
      <w:proofErr w:type="spellEnd"/>
      <w:r w:rsidRPr="0085730F">
        <w:rPr>
          <w:rFonts w:ascii="Arial" w:hAnsi="Arial" w:cs="Arial"/>
          <w:sz w:val="24"/>
          <w:szCs w:val="24"/>
          <w:shd w:val="clear" w:color="auto" w:fill="FFFFFF"/>
        </w:rPr>
        <w:t>, M., Lavin, B. and Morales Ruiz, M. (2021) Measurement and clinical usefulness of bilirubin in liver disease. Advances in Laboratory Medicine/</w:t>
      </w:r>
      <w:proofErr w:type="spellStart"/>
      <w:r w:rsidRPr="0085730F">
        <w:rPr>
          <w:rFonts w:ascii="Arial" w:hAnsi="Arial" w:cs="Arial"/>
          <w:sz w:val="24"/>
          <w:szCs w:val="24"/>
          <w:shd w:val="clear" w:color="auto" w:fill="FFFFFF"/>
        </w:rPr>
        <w:t>Avances</w:t>
      </w:r>
      <w:proofErr w:type="spellEnd"/>
      <w:r w:rsidRPr="0085730F">
        <w:rPr>
          <w:rFonts w:ascii="Arial" w:hAnsi="Arial" w:cs="Arial"/>
          <w:sz w:val="24"/>
          <w:szCs w:val="24"/>
          <w:shd w:val="clear" w:color="auto" w:fill="FFFFFF"/>
        </w:rPr>
        <w:t xml:space="preserve"> </w:t>
      </w:r>
      <w:proofErr w:type="spellStart"/>
      <w:r w:rsidRPr="0085730F">
        <w:rPr>
          <w:rFonts w:ascii="Arial" w:hAnsi="Arial" w:cs="Arial"/>
          <w:sz w:val="24"/>
          <w:szCs w:val="24"/>
          <w:shd w:val="clear" w:color="auto" w:fill="FFFFFF"/>
        </w:rPr>
        <w:t>en</w:t>
      </w:r>
      <w:proofErr w:type="spellEnd"/>
      <w:r w:rsidRPr="0085730F">
        <w:rPr>
          <w:rFonts w:ascii="Arial" w:hAnsi="Arial" w:cs="Arial"/>
          <w:sz w:val="24"/>
          <w:szCs w:val="24"/>
          <w:shd w:val="clear" w:color="auto" w:fill="FFFFFF"/>
        </w:rPr>
        <w:t xml:space="preserve"> </w:t>
      </w:r>
      <w:proofErr w:type="spellStart"/>
      <w:r w:rsidRPr="0085730F">
        <w:rPr>
          <w:rFonts w:ascii="Arial" w:hAnsi="Arial" w:cs="Arial"/>
          <w:sz w:val="24"/>
          <w:szCs w:val="24"/>
          <w:shd w:val="clear" w:color="auto" w:fill="FFFFFF"/>
        </w:rPr>
        <w:t>Medicina</w:t>
      </w:r>
      <w:proofErr w:type="spellEnd"/>
      <w:r w:rsidRPr="0085730F">
        <w:rPr>
          <w:rFonts w:ascii="Arial" w:hAnsi="Arial" w:cs="Arial"/>
          <w:sz w:val="24"/>
          <w:szCs w:val="24"/>
          <w:shd w:val="clear" w:color="auto" w:fill="FFFFFF"/>
        </w:rPr>
        <w:t xml:space="preserve"> de </w:t>
      </w:r>
      <w:proofErr w:type="spellStart"/>
      <w:r w:rsidRPr="0085730F">
        <w:rPr>
          <w:rFonts w:ascii="Arial" w:hAnsi="Arial" w:cs="Arial"/>
          <w:sz w:val="24"/>
          <w:szCs w:val="24"/>
          <w:shd w:val="clear" w:color="auto" w:fill="FFFFFF"/>
        </w:rPr>
        <w:t>Laboratorio</w:t>
      </w:r>
      <w:proofErr w:type="spellEnd"/>
      <w:r w:rsidRPr="0085730F">
        <w:rPr>
          <w:rFonts w:ascii="Arial" w:hAnsi="Arial" w:cs="Arial"/>
          <w:sz w:val="24"/>
          <w:szCs w:val="24"/>
          <w:shd w:val="clear" w:color="auto" w:fill="FFFFFF"/>
        </w:rPr>
        <w:t>, 2(3), pp. 352-361</w:t>
      </w:r>
    </w:p>
    <w:p w14:paraId="59DFB12B" w14:textId="77777777" w:rsidR="0082260E" w:rsidRPr="0085730F" w:rsidRDefault="0082260E" w:rsidP="0082260E">
      <w:pPr>
        <w:ind w:left="567" w:hanging="547"/>
        <w:jc w:val="both"/>
        <w:rPr>
          <w:rFonts w:ascii="Arial" w:hAnsi="Arial" w:cs="Arial"/>
          <w:sz w:val="24"/>
          <w:szCs w:val="24"/>
          <w:shd w:val="clear" w:color="auto" w:fill="FFFFFF"/>
        </w:rPr>
      </w:pPr>
      <w:proofErr w:type="spellStart"/>
      <w:r w:rsidRPr="0085730F">
        <w:rPr>
          <w:rFonts w:ascii="Arial" w:hAnsi="Arial" w:cs="Arial"/>
          <w:sz w:val="24"/>
          <w:szCs w:val="24"/>
          <w:shd w:val="clear" w:color="auto" w:fill="FFFFFF"/>
        </w:rPr>
        <w:t>Vitek</w:t>
      </w:r>
      <w:proofErr w:type="spellEnd"/>
      <w:r w:rsidRPr="0085730F">
        <w:rPr>
          <w:rFonts w:ascii="Arial" w:hAnsi="Arial" w:cs="Arial"/>
          <w:sz w:val="24"/>
          <w:szCs w:val="24"/>
          <w:shd w:val="clear" w:color="auto" w:fill="FFFFFF"/>
        </w:rPr>
        <w:t xml:space="preserve">, L., Hinds, T.D., </w:t>
      </w:r>
      <w:proofErr w:type="spellStart"/>
      <w:r w:rsidRPr="0085730F">
        <w:rPr>
          <w:rFonts w:ascii="Arial" w:hAnsi="Arial" w:cs="Arial"/>
          <w:sz w:val="24"/>
          <w:szCs w:val="24"/>
          <w:shd w:val="clear" w:color="auto" w:fill="FFFFFF"/>
        </w:rPr>
        <w:t>Stec</w:t>
      </w:r>
      <w:proofErr w:type="spellEnd"/>
      <w:r w:rsidRPr="0085730F">
        <w:rPr>
          <w:rFonts w:ascii="Arial" w:hAnsi="Arial" w:cs="Arial"/>
          <w:sz w:val="24"/>
          <w:szCs w:val="24"/>
          <w:shd w:val="clear" w:color="auto" w:fill="FFFFFF"/>
        </w:rPr>
        <w:t xml:space="preserve">, D.E. and </w:t>
      </w:r>
      <w:proofErr w:type="spellStart"/>
      <w:r w:rsidRPr="0085730F">
        <w:rPr>
          <w:rFonts w:ascii="Arial" w:hAnsi="Arial" w:cs="Arial"/>
          <w:sz w:val="24"/>
          <w:szCs w:val="24"/>
          <w:shd w:val="clear" w:color="auto" w:fill="FFFFFF"/>
        </w:rPr>
        <w:t>Tiribelli</w:t>
      </w:r>
      <w:proofErr w:type="spellEnd"/>
      <w:r w:rsidRPr="0085730F">
        <w:rPr>
          <w:rFonts w:ascii="Arial" w:hAnsi="Arial" w:cs="Arial"/>
          <w:sz w:val="24"/>
          <w:szCs w:val="24"/>
          <w:shd w:val="clear" w:color="auto" w:fill="FFFFFF"/>
        </w:rPr>
        <w:t>, C. (2023) The physiology of bilirubin: health and disease equilibrium. Trends in Molecular Medicine, 29(4), pp. 315-328</w:t>
      </w:r>
    </w:p>
    <w:p w14:paraId="759CB754" w14:textId="77777777" w:rsidR="0082260E" w:rsidRPr="0085730F" w:rsidRDefault="0082260E" w:rsidP="0082260E">
      <w:pPr>
        <w:ind w:left="567" w:hanging="547"/>
        <w:jc w:val="both"/>
        <w:rPr>
          <w:rFonts w:ascii="Arial" w:hAnsi="Arial" w:cs="Arial"/>
          <w:sz w:val="24"/>
          <w:szCs w:val="24"/>
          <w:shd w:val="clear" w:color="auto" w:fill="FFFFFF"/>
        </w:rPr>
      </w:pPr>
      <w:proofErr w:type="spellStart"/>
      <w:r w:rsidRPr="0085730F">
        <w:rPr>
          <w:rFonts w:ascii="Arial" w:hAnsi="Arial" w:cs="Arial"/>
          <w:sz w:val="24"/>
          <w:szCs w:val="24"/>
          <w:shd w:val="clear" w:color="auto" w:fill="FFFFFF"/>
        </w:rPr>
        <w:t>Brites</w:t>
      </w:r>
      <w:proofErr w:type="spellEnd"/>
      <w:r w:rsidRPr="0085730F">
        <w:rPr>
          <w:rFonts w:ascii="Arial" w:hAnsi="Arial" w:cs="Arial"/>
          <w:sz w:val="24"/>
          <w:szCs w:val="24"/>
          <w:shd w:val="clear" w:color="auto" w:fill="FFFFFF"/>
        </w:rPr>
        <w:t>, D. and Silva, R.F. (2021) Bilirubin neurotoxicity: a narrative review on long lasting, insidious, and dangerous effects. Pediatric Medicine, 4.</w:t>
      </w:r>
    </w:p>
    <w:p w14:paraId="18320342" w14:textId="77777777" w:rsidR="0082260E" w:rsidRPr="0085730F" w:rsidRDefault="0082260E" w:rsidP="0082260E">
      <w:pPr>
        <w:ind w:left="567" w:hanging="547"/>
        <w:jc w:val="both"/>
        <w:rPr>
          <w:rFonts w:ascii="Arial" w:hAnsi="Arial" w:cs="Arial"/>
          <w:sz w:val="24"/>
          <w:szCs w:val="24"/>
          <w:shd w:val="clear" w:color="auto" w:fill="FFFFFF"/>
        </w:rPr>
      </w:pPr>
      <w:proofErr w:type="spellStart"/>
      <w:r w:rsidRPr="0085730F">
        <w:rPr>
          <w:rFonts w:ascii="Arial" w:hAnsi="Arial" w:cs="Arial"/>
          <w:sz w:val="24"/>
          <w:szCs w:val="24"/>
          <w:shd w:val="clear" w:color="auto" w:fill="FFFFFF"/>
        </w:rPr>
        <w:t>Barritt</w:t>
      </w:r>
      <w:proofErr w:type="spellEnd"/>
      <w:r w:rsidRPr="0085730F">
        <w:rPr>
          <w:rFonts w:ascii="Arial" w:hAnsi="Arial" w:cs="Arial"/>
          <w:sz w:val="24"/>
          <w:szCs w:val="24"/>
          <w:shd w:val="clear" w:color="auto" w:fill="FFFFFF"/>
        </w:rPr>
        <w:t>, A.S., Hayashi, P.H., Stolz, A.A., Barnhart, H. and Hoofnagle, J.H. (2022) Refinement of Hy’s Law using the Drug-Induced Liver Injury Network Database. Official Journal of the American College of Gastroenterology, pp. 10-14309.</w:t>
      </w:r>
    </w:p>
    <w:p w14:paraId="51B3CAA0" w14:textId="77777777" w:rsidR="0082260E" w:rsidRPr="0085730F" w:rsidRDefault="0082260E" w:rsidP="0082260E">
      <w:pPr>
        <w:ind w:left="567" w:hanging="547"/>
        <w:jc w:val="both"/>
        <w:rPr>
          <w:rFonts w:ascii="Arial" w:hAnsi="Arial" w:cs="Arial"/>
          <w:sz w:val="24"/>
          <w:szCs w:val="24"/>
          <w:shd w:val="clear" w:color="auto" w:fill="FFFFFF"/>
        </w:rPr>
      </w:pPr>
      <w:proofErr w:type="spellStart"/>
      <w:r w:rsidRPr="0085730F">
        <w:rPr>
          <w:rFonts w:ascii="Arial" w:hAnsi="Arial" w:cs="Arial"/>
          <w:sz w:val="24"/>
          <w:szCs w:val="24"/>
          <w:shd w:val="clear" w:color="auto" w:fill="FFFFFF"/>
        </w:rPr>
        <w:t>Cordiano</w:t>
      </w:r>
      <w:proofErr w:type="spellEnd"/>
      <w:r w:rsidRPr="0085730F">
        <w:rPr>
          <w:rFonts w:ascii="Arial" w:hAnsi="Arial" w:cs="Arial"/>
          <w:sz w:val="24"/>
          <w:szCs w:val="24"/>
          <w:shd w:val="clear" w:color="auto" w:fill="FFFFFF"/>
        </w:rPr>
        <w:t xml:space="preserve">, R., Di </w:t>
      </w:r>
      <w:proofErr w:type="spellStart"/>
      <w:r w:rsidRPr="0085730F">
        <w:rPr>
          <w:rFonts w:ascii="Arial" w:hAnsi="Arial" w:cs="Arial"/>
          <w:sz w:val="24"/>
          <w:szCs w:val="24"/>
          <w:shd w:val="clear" w:color="auto" w:fill="FFFFFF"/>
        </w:rPr>
        <w:t>Gioacchino</w:t>
      </w:r>
      <w:proofErr w:type="spellEnd"/>
      <w:r w:rsidRPr="0085730F">
        <w:rPr>
          <w:rFonts w:ascii="Arial" w:hAnsi="Arial" w:cs="Arial"/>
          <w:sz w:val="24"/>
          <w:szCs w:val="24"/>
          <w:shd w:val="clear" w:color="auto" w:fill="FFFFFF"/>
        </w:rPr>
        <w:t xml:space="preserve">, M., </w:t>
      </w:r>
      <w:proofErr w:type="spellStart"/>
      <w:r w:rsidRPr="0085730F">
        <w:rPr>
          <w:rFonts w:ascii="Arial" w:hAnsi="Arial" w:cs="Arial"/>
          <w:sz w:val="24"/>
          <w:szCs w:val="24"/>
          <w:shd w:val="clear" w:color="auto" w:fill="FFFFFF"/>
        </w:rPr>
        <w:t>Mangifesta</w:t>
      </w:r>
      <w:proofErr w:type="spellEnd"/>
      <w:r w:rsidRPr="0085730F">
        <w:rPr>
          <w:rFonts w:ascii="Arial" w:hAnsi="Arial" w:cs="Arial"/>
          <w:sz w:val="24"/>
          <w:szCs w:val="24"/>
          <w:shd w:val="clear" w:color="auto" w:fill="FFFFFF"/>
        </w:rPr>
        <w:t xml:space="preserve">, R., </w:t>
      </w:r>
      <w:proofErr w:type="spellStart"/>
      <w:r w:rsidRPr="0085730F">
        <w:rPr>
          <w:rFonts w:ascii="Arial" w:hAnsi="Arial" w:cs="Arial"/>
          <w:sz w:val="24"/>
          <w:szCs w:val="24"/>
          <w:shd w:val="clear" w:color="auto" w:fill="FFFFFF"/>
        </w:rPr>
        <w:t>Panzera</w:t>
      </w:r>
      <w:proofErr w:type="spellEnd"/>
      <w:r w:rsidRPr="0085730F">
        <w:rPr>
          <w:rFonts w:ascii="Arial" w:hAnsi="Arial" w:cs="Arial"/>
          <w:sz w:val="24"/>
          <w:szCs w:val="24"/>
          <w:shd w:val="clear" w:color="auto" w:fill="FFFFFF"/>
        </w:rPr>
        <w:t xml:space="preserve">, C., </w:t>
      </w:r>
      <w:proofErr w:type="spellStart"/>
      <w:r w:rsidRPr="0085730F">
        <w:rPr>
          <w:rFonts w:ascii="Arial" w:hAnsi="Arial" w:cs="Arial"/>
          <w:sz w:val="24"/>
          <w:szCs w:val="24"/>
          <w:shd w:val="clear" w:color="auto" w:fill="FFFFFF"/>
        </w:rPr>
        <w:t>Gangemi</w:t>
      </w:r>
      <w:proofErr w:type="spellEnd"/>
      <w:r w:rsidRPr="0085730F">
        <w:rPr>
          <w:rFonts w:ascii="Arial" w:hAnsi="Arial" w:cs="Arial"/>
          <w:sz w:val="24"/>
          <w:szCs w:val="24"/>
          <w:shd w:val="clear" w:color="auto" w:fill="FFFFFF"/>
        </w:rPr>
        <w:t xml:space="preserve">, S. and </w:t>
      </w:r>
      <w:proofErr w:type="spellStart"/>
      <w:r w:rsidRPr="0085730F">
        <w:rPr>
          <w:rFonts w:ascii="Arial" w:hAnsi="Arial" w:cs="Arial"/>
          <w:sz w:val="24"/>
          <w:szCs w:val="24"/>
          <w:shd w:val="clear" w:color="auto" w:fill="FFFFFF"/>
        </w:rPr>
        <w:t>Minciullo</w:t>
      </w:r>
      <w:proofErr w:type="spellEnd"/>
      <w:r w:rsidRPr="0085730F">
        <w:rPr>
          <w:rFonts w:ascii="Arial" w:hAnsi="Arial" w:cs="Arial"/>
          <w:sz w:val="24"/>
          <w:szCs w:val="24"/>
          <w:shd w:val="clear" w:color="auto" w:fill="FFFFFF"/>
        </w:rPr>
        <w:t>, P.L. (2023) Malondialdehyde as a potential oxidative stress marker for allergy-oriented diseases: an update. Molecules, 28(16), p. 5979</w:t>
      </w:r>
    </w:p>
    <w:p w14:paraId="7971392F" w14:textId="77777777" w:rsidR="0082260E" w:rsidRPr="0085730F" w:rsidRDefault="0082260E" w:rsidP="0082260E">
      <w:pPr>
        <w:ind w:left="567" w:hanging="547"/>
        <w:jc w:val="both"/>
        <w:rPr>
          <w:rFonts w:ascii="Arial" w:hAnsi="Arial" w:cs="Arial"/>
          <w:sz w:val="24"/>
          <w:szCs w:val="24"/>
          <w:shd w:val="clear" w:color="auto" w:fill="FFFFFF"/>
        </w:rPr>
      </w:pPr>
      <w:proofErr w:type="spellStart"/>
      <w:r w:rsidRPr="0085730F">
        <w:rPr>
          <w:rFonts w:ascii="Arial" w:hAnsi="Arial" w:cs="Arial"/>
          <w:sz w:val="24"/>
          <w:szCs w:val="24"/>
          <w:shd w:val="clear" w:color="auto" w:fill="FFFFFF"/>
        </w:rPr>
        <w:t>Carmo</w:t>
      </w:r>
      <w:proofErr w:type="spellEnd"/>
      <w:r w:rsidRPr="0085730F">
        <w:rPr>
          <w:rFonts w:ascii="Arial" w:hAnsi="Arial" w:cs="Arial"/>
          <w:sz w:val="24"/>
          <w:szCs w:val="24"/>
          <w:shd w:val="clear" w:color="auto" w:fill="FFFFFF"/>
        </w:rPr>
        <w:t xml:space="preserve"> de Carvalho e Martins, M.D., da Silva Santos Oliveira, A.S., da Silva, L.A.A., Primo, M.G.S. and de Carvalho Lira, V.B. (2022) Biological indicators of oxidative stress [malondialdehyde, catalase, glutathione peroxidase, and superoxide dismutase] and their application in nutrition. In Biomarkers in Nutrition (pp. 833-856). Cham: Springer International Publishing.</w:t>
      </w:r>
    </w:p>
    <w:p w14:paraId="07ABB0D8" w14:textId="77777777" w:rsidR="0082260E" w:rsidRPr="0085730F" w:rsidRDefault="0082260E" w:rsidP="0082260E">
      <w:pPr>
        <w:ind w:left="567" w:hanging="547"/>
        <w:jc w:val="both"/>
        <w:rPr>
          <w:rFonts w:ascii="Arial" w:hAnsi="Arial" w:cs="Arial"/>
          <w:sz w:val="24"/>
          <w:szCs w:val="24"/>
          <w:shd w:val="clear" w:color="auto" w:fill="FFFFFF"/>
        </w:rPr>
      </w:pPr>
      <w:proofErr w:type="spellStart"/>
      <w:r w:rsidRPr="0085730F">
        <w:rPr>
          <w:rFonts w:ascii="Arial" w:hAnsi="Arial" w:cs="Arial"/>
          <w:sz w:val="24"/>
          <w:szCs w:val="24"/>
          <w:shd w:val="clear" w:color="auto" w:fill="FFFFFF"/>
        </w:rPr>
        <w:t>Tekin</w:t>
      </w:r>
      <w:proofErr w:type="spellEnd"/>
      <w:r w:rsidRPr="0085730F">
        <w:rPr>
          <w:rFonts w:ascii="Arial" w:hAnsi="Arial" w:cs="Arial"/>
          <w:sz w:val="24"/>
          <w:szCs w:val="24"/>
          <w:shd w:val="clear" w:color="auto" w:fill="FFFFFF"/>
        </w:rPr>
        <w:t>, S. and Seven, E. (2022) Assessment of serum catalase, reduced glutathione, and superoxide dismutase activities and malondialdehyde levels in keratoconus patients. Eye, 36(10), pp. 2062-2066.</w:t>
      </w:r>
    </w:p>
    <w:p w14:paraId="60AC102E" w14:textId="77777777" w:rsidR="0082260E" w:rsidRPr="0085730F" w:rsidRDefault="0082260E" w:rsidP="0082260E">
      <w:pPr>
        <w:ind w:left="567" w:hanging="547"/>
        <w:jc w:val="both"/>
        <w:rPr>
          <w:rFonts w:ascii="Arial" w:hAnsi="Arial" w:cs="Arial"/>
          <w:sz w:val="24"/>
          <w:szCs w:val="24"/>
          <w:shd w:val="clear" w:color="auto" w:fill="FFFFFF"/>
        </w:rPr>
      </w:pPr>
      <w:proofErr w:type="spellStart"/>
      <w:r w:rsidRPr="0085730F">
        <w:rPr>
          <w:rFonts w:ascii="Arial" w:hAnsi="Arial" w:cs="Arial"/>
          <w:sz w:val="24"/>
          <w:szCs w:val="24"/>
          <w:shd w:val="clear" w:color="auto" w:fill="FFFFFF"/>
        </w:rPr>
        <w:t>Zarezadeh</w:t>
      </w:r>
      <w:proofErr w:type="spellEnd"/>
      <w:r w:rsidRPr="0085730F">
        <w:rPr>
          <w:rFonts w:ascii="Arial" w:hAnsi="Arial" w:cs="Arial"/>
          <w:sz w:val="24"/>
          <w:szCs w:val="24"/>
          <w:shd w:val="clear" w:color="auto" w:fill="FFFFFF"/>
        </w:rPr>
        <w:t xml:space="preserve">, M., </w:t>
      </w:r>
      <w:proofErr w:type="spellStart"/>
      <w:r w:rsidRPr="0085730F">
        <w:rPr>
          <w:rFonts w:ascii="Arial" w:hAnsi="Arial" w:cs="Arial"/>
          <w:sz w:val="24"/>
          <w:szCs w:val="24"/>
          <w:shd w:val="clear" w:color="auto" w:fill="FFFFFF"/>
        </w:rPr>
        <w:t>Barzegari</w:t>
      </w:r>
      <w:proofErr w:type="spellEnd"/>
      <w:r w:rsidRPr="0085730F">
        <w:rPr>
          <w:rFonts w:ascii="Arial" w:hAnsi="Arial" w:cs="Arial"/>
          <w:sz w:val="24"/>
          <w:szCs w:val="24"/>
          <w:shd w:val="clear" w:color="auto" w:fill="FFFFFF"/>
        </w:rPr>
        <w:t xml:space="preserve">, M., </w:t>
      </w:r>
      <w:proofErr w:type="spellStart"/>
      <w:r w:rsidRPr="0085730F">
        <w:rPr>
          <w:rFonts w:ascii="Arial" w:hAnsi="Arial" w:cs="Arial"/>
          <w:sz w:val="24"/>
          <w:szCs w:val="24"/>
          <w:shd w:val="clear" w:color="auto" w:fill="FFFFFF"/>
        </w:rPr>
        <w:t>Aghapour</w:t>
      </w:r>
      <w:proofErr w:type="spellEnd"/>
      <w:r w:rsidRPr="0085730F">
        <w:rPr>
          <w:rFonts w:ascii="Arial" w:hAnsi="Arial" w:cs="Arial"/>
          <w:sz w:val="24"/>
          <w:szCs w:val="24"/>
          <w:shd w:val="clear" w:color="auto" w:fill="FFFFFF"/>
        </w:rPr>
        <w:t xml:space="preserve">, B., </w:t>
      </w:r>
      <w:proofErr w:type="spellStart"/>
      <w:r w:rsidRPr="0085730F">
        <w:rPr>
          <w:rFonts w:ascii="Arial" w:hAnsi="Arial" w:cs="Arial"/>
          <w:sz w:val="24"/>
          <w:szCs w:val="24"/>
          <w:shd w:val="clear" w:color="auto" w:fill="FFFFFF"/>
        </w:rPr>
        <w:t>Adeli</w:t>
      </w:r>
      <w:proofErr w:type="spellEnd"/>
      <w:r w:rsidRPr="0085730F">
        <w:rPr>
          <w:rFonts w:ascii="Arial" w:hAnsi="Arial" w:cs="Arial"/>
          <w:sz w:val="24"/>
          <w:szCs w:val="24"/>
          <w:shd w:val="clear" w:color="auto" w:fill="FFFFFF"/>
        </w:rPr>
        <w:t xml:space="preserve">, S., </w:t>
      </w:r>
      <w:proofErr w:type="spellStart"/>
      <w:r w:rsidRPr="0085730F">
        <w:rPr>
          <w:rFonts w:ascii="Arial" w:hAnsi="Arial" w:cs="Arial"/>
          <w:sz w:val="24"/>
          <w:szCs w:val="24"/>
          <w:shd w:val="clear" w:color="auto" w:fill="FFFFFF"/>
        </w:rPr>
        <w:t>Khademi</w:t>
      </w:r>
      <w:proofErr w:type="spellEnd"/>
      <w:r w:rsidRPr="0085730F">
        <w:rPr>
          <w:rFonts w:ascii="Arial" w:hAnsi="Arial" w:cs="Arial"/>
          <w:sz w:val="24"/>
          <w:szCs w:val="24"/>
          <w:shd w:val="clear" w:color="auto" w:fill="FFFFFF"/>
        </w:rPr>
        <w:t xml:space="preserve">, F., </w:t>
      </w:r>
      <w:proofErr w:type="spellStart"/>
      <w:r w:rsidRPr="0085730F">
        <w:rPr>
          <w:rFonts w:ascii="Arial" w:hAnsi="Arial" w:cs="Arial"/>
          <w:sz w:val="24"/>
          <w:szCs w:val="24"/>
          <w:shd w:val="clear" w:color="auto" w:fill="FFFFFF"/>
        </w:rPr>
        <w:t>Musazadeh</w:t>
      </w:r>
      <w:proofErr w:type="spellEnd"/>
      <w:r w:rsidRPr="0085730F">
        <w:rPr>
          <w:rFonts w:ascii="Arial" w:hAnsi="Arial" w:cs="Arial"/>
          <w:sz w:val="24"/>
          <w:szCs w:val="24"/>
          <w:shd w:val="clear" w:color="auto" w:fill="FFFFFF"/>
        </w:rPr>
        <w:t xml:space="preserve">, V., </w:t>
      </w:r>
      <w:proofErr w:type="spellStart"/>
      <w:r w:rsidRPr="0085730F">
        <w:rPr>
          <w:rFonts w:ascii="Arial" w:hAnsi="Arial" w:cs="Arial"/>
          <w:sz w:val="24"/>
          <w:szCs w:val="24"/>
          <w:shd w:val="clear" w:color="auto" w:fill="FFFFFF"/>
        </w:rPr>
        <w:t>Jamilian</w:t>
      </w:r>
      <w:proofErr w:type="spellEnd"/>
      <w:r w:rsidRPr="0085730F">
        <w:rPr>
          <w:rFonts w:ascii="Arial" w:hAnsi="Arial" w:cs="Arial"/>
          <w:sz w:val="24"/>
          <w:szCs w:val="24"/>
          <w:shd w:val="clear" w:color="auto" w:fill="FFFFFF"/>
        </w:rPr>
        <w:t xml:space="preserve">, P., </w:t>
      </w:r>
      <w:proofErr w:type="spellStart"/>
      <w:r w:rsidRPr="0085730F">
        <w:rPr>
          <w:rFonts w:ascii="Arial" w:hAnsi="Arial" w:cs="Arial"/>
          <w:sz w:val="24"/>
          <w:szCs w:val="24"/>
          <w:shd w:val="clear" w:color="auto" w:fill="FFFFFF"/>
        </w:rPr>
        <w:t>Jamilian</w:t>
      </w:r>
      <w:proofErr w:type="spellEnd"/>
      <w:r w:rsidRPr="0085730F">
        <w:rPr>
          <w:rFonts w:ascii="Arial" w:hAnsi="Arial" w:cs="Arial"/>
          <w:sz w:val="24"/>
          <w:szCs w:val="24"/>
          <w:shd w:val="clear" w:color="auto" w:fill="FFFFFF"/>
        </w:rPr>
        <w:t xml:space="preserve">, P., </w:t>
      </w:r>
      <w:proofErr w:type="spellStart"/>
      <w:r w:rsidRPr="0085730F">
        <w:rPr>
          <w:rFonts w:ascii="Arial" w:hAnsi="Arial" w:cs="Arial"/>
          <w:sz w:val="24"/>
          <w:szCs w:val="24"/>
          <w:shd w:val="clear" w:color="auto" w:fill="FFFFFF"/>
        </w:rPr>
        <w:t>Fakhr</w:t>
      </w:r>
      <w:proofErr w:type="spellEnd"/>
      <w:r w:rsidRPr="0085730F">
        <w:rPr>
          <w:rFonts w:ascii="Arial" w:hAnsi="Arial" w:cs="Arial"/>
          <w:sz w:val="24"/>
          <w:szCs w:val="24"/>
          <w:shd w:val="clear" w:color="auto" w:fill="FFFFFF"/>
        </w:rPr>
        <w:t xml:space="preserve">, L., </w:t>
      </w:r>
      <w:proofErr w:type="spellStart"/>
      <w:r w:rsidRPr="0085730F">
        <w:rPr>
          <w:rFonts w:ascii="Arial" w:hAnsi="Arial" w:cs="Arial"/>
          <w:sz w:val="24"/>
          <w:szCs w:val="24"/>
          <w:shd w:val="clear" w:color="auto" w:fill="FFFFFF"/>
        </w:rPr>
        <w:t>Chehregosha</w:t>
      </w:r>
      <w:proofErr w:type="spellEnd"/>
      <w:r w:rsidRPr="0085730F">
        <w:rPr>
          <w:rFonts w:ascii="Arial" w:hAnsi="Arial" w:cs="Arial"/>
          <w:sz w:val="24"/>
          <w:szCs w:val="24"/>
          <w:shd w:val="clear" w:color="auto" w:fill="FFFFFF"/>
        </w:rPr>
        <w:t xml:space="preserve">, F. and </w:t>
      </w:r>
      <w:proofErr w:type="spellStart"/>
      <w:r w:rsidRPr="0085730F">
        <w:rPr>
          <w:rFonts w:ascii="Arial" w:hAnsi="Arial" w:cs="Arial"/>
          <w:sz w:val="24"/>
          <w:szCs w:val="24"/>
          <w:shd w:val="clear" w:color="auto" w:fill="FFFFFF"/>
        </w:rPr>
        <w:t>Ghoreishi</w:t>
      </w:r>
      <w:proofErr w:type="spellEnd"/>
      <w:r w:rsidRPr="0085730F">
        <w:rPr>
          <w:rFonts w:ascii="Arial" w:hAnsi="Arial" w:cs="Arial"/>
          <w:sz w:val="24"/>
          <w:szCs w:val="24"/>
          <w:shd w:val="clear" w:color="auto" w:fill="FFFFFF"/>
        </w:rPr>
        <w:t>, Z. (2022) Melatonin effectiveness in amelioration of oxidative stress and strengthening of antioxidant defense system: Findings from a systematic review and dose–response meta-analysis of controlled clinical trials. Clinical Nutrition ESPEN, 48, pp. 109-120.</w:t>
      </w:r>
    </w:p>
    <w:p w14:paraId="43F59A04" w14:textId="77777777" w:rsidR="0082260E" w:rsidRPr="0085730F" w:rsidRDefault="0082260E" w:rsidP="0082260E">
      <w:pPr>
        <w:ind w:left="567" w:hanging="547"/>
        <w:jc w:val="both"/>
        <w:rPr>
          <w:rFonts w:ascii="Arial" w:hAnsi="Arial" w:cs="Arial"/>
          <w:sz w:val="24"/>
          <w:szCs w:val="24"/>
          <w:shd w:val="clear" w:color="auto" w:fill="FFFFFF"/>
        </w:rPr>
      </w:pPr>
    </w:p>
    <w:p w14:paraId="1FEE609C" w14:textId="544FCED7" w:rsidR="00681AEA" w:rsidRPr="0085730F" w:rsidRDefault="00F15057" w:rsidP="0082260E">
      <w:pPr>
        <w:ind w:left="567" w:hanging="547"/>
        <w:jc w:val="both"/>
        <w:rPr>
          <w:rFonts w:ascii="Arial" w:hAnsi="Arial" w:cs="Arial"/>
          <w:bCs/>
        </w:rPr>
      </w:pPr>
      <w:proofErr w:type="spellStart"/>
      <w:r w:rsidRPr="0085730F">
        <w:rPr>
          <w:rFonts w:ascii="Arial" w:hAnsi="Arial" w:cs="Arial"/>
          <w:bCs/>
        </w:rPr>
        <w:t>Vincent_Junior</w:t>
      </w:r>
      <w:proofErr w:type="spellEnd"/>
      <w:r w:rsidRPr="0085730F">
        <w:rPr>
          <w:rFonts w:ascii="Arial" w:hAnsi="Arial" w:cs="Arial"/>
          <w:bCs/>
        </w:rPr>
        <w:t xml:space="preserve">, I. O., Promise, I. A., Godswill, O. O., </w:t>
      </w:r>
      <w:proofErr w:type="spellStart"/>
      <w:r w:rsidRPr="0085730F">
        <w:rPr>
          <w:rFonts w:ascii="Arial" w:hAnsi="Arial" w:cs="Arial"/>
          <w:bCs/>
        </w:rPr>
        <w:t>Nwaokoro</w:t>
      </w:r>
      <w:proofErr w:type="spellEnd"/>
      <w:r w:rsidRPr="0085730F">
        <w:rPr>
          <w:rFonts w:ascii="Arial" w:hAnsi="Arial" w:cs="Arial"/>
          <w:bCs/>
        </w:rPr>
        <w:t xml:space="preserve">, I. C., Kennedy, O. O., </w:t>
      </w:r>
      <w:proofErr w:type="spellStart"/>
      <w:r w:rsidRPr="0085730F">
        <w:rPr>
          <w:rFonts w:ascii="Arial" w:hAnsi="Arial" w:cs="Arial"/>
          <w:bCs/>
        </w:rPr>
        <w:t>Oluwakemi</w:t>
      </w:r>
      <w:proofErr w:type="spellEnd"/>
      <w:r w:rsidRPr="0085730F">
        <w:rPr>
          <w:rFonts w:ascii="Arial" w:hAnsi="Arial" w:cs="Arial"/>
          <w:bCs/>
        </w:rPr>
        <w:t xml:space="preserve">, K. O., ... &amp; </w:t>
      </w:r>
      <w:proofErr w:type="spellStart"/>
      <w:r w:rsidRPr="0085730F">
        <w:rPr>
          <w:rFonts w:ascii="Arial" w:hAnsi="Arial" w:cs="Arial"/>
          <w:bCs/>
        </w:rPr>
        <w:t>Ifechukwude</w:t>
      </w:r>
      <w:proofErr w:type="spellEnd"/>
      <w:r w:rsidRPr="0085730F">
        <w:rPr>
          <w:rFonts w:ascii="Arial" w:hAnsi="Arial" w:cs="Arial"/>
          <w:bCs/>
        </w:rPr>
        <w:t xml:space="preserve">, E. O. (2025). Attenuation of Induced Oxidative Stress and Neurological Deficit in Tramadol Use by Co-administration with </w:t>
      </w:r>
      <w:proofErr w:type="spellStart"/>
      <w:r w:rsidRPr="0085730F">
        <w:rPr>
          <w:rFonts w:ascii="Arial" w:hAnsi="Arial" w:cs="Arial"/>
          <w:bCs/>
        </w:rPr>
        <w:t>Ribena</w:t>
      </w:r>
      <w:proofErr w:type="spellEnd"/>
      <w:r w:rsidRPr="0085730F">
        <w:rPr>
          <w:rFonts w:ascii="Arial" w:hAnsi="Arial" w:cs="Arial"/>
          <w:bCs/>
        </w:rPr>
        <w:t xml:space="preserve"> Drink and Vitamin E in Male Wistar Rats. </w:t>
      </w:r>
      <w:r w:rsidRPr="0085730F">
        <w:rPr>
          <w:rFonts w:ascii="Arial" w:hAnsi="Arial" w:cs="Arial"/>
          <w:bCs/>
          <w:i/>
          <w:iCs/>
        </w:rPr>
        <w:t>Asian Journal of Research in Medical and Pharmaceutical Sciences</w:t>
      </w:r>
      <w:r w:rsidRPr="0085730F">
        <w:rPr>
          <w:rFonts w:ascii="Arial" w:hAnsi="Arial" w:cs="Arial"/>
          <w:bCs/>
        </w:rPr>
        <w:t>, </w:t>
      </w:r>
      <w:r w:rsidRPr="0085730F">
        <w:rPr>
          <w:rFonts w:ascii="Arial" w:hAnsi="Arial" w:cs="Arial"/>
          <w:bCs/>
          <w:i/>
          <w:iCs/>
        </w:rPr>
        <w:t>14</w:t>
      </w:r>
      <w:r w:rsidRPr="0085730F">
        <w:rPr>
          <w:rFonts w:ascii="Arial" w:hAnsi="Arial" w:cs="Arial"/>
          <w:bCs/>
        </w:rPr>
        <w:t>(2), 1-12.</w:t>
      </w:r>
    </w:p>
    <w:p w14:paraId="5F783828" w14:textId="36698283" w:rsidR="00652F42" w:rsidRPr="0085730F" w:rsidRDefault="00652F42" w:rsidP="0082260E">
      <w:pPr>
        <w:ind w:left="567" w:hanging="547"/>
        <w:jc w:val="both"/>
        <w:rPr>
          <w:rFonts w:ascii="Arial" w:hAnsi="Arial" w:cs="Arial"/>
          <w:bCs/>
        </w:rPr>
      </w:pPr>
      <w:r w:rsidRPr="0085730F">
        <w:rPr>
          <w:rFonts w:ascii="Arial" w:hAnsi="Arial" w:cs="Arial"/>
          <w:bCs/>
        </w:rPr>
        <w:t xml:space="preserve">George BO, </w:t>
      </w:r>
      <w:proofErr w:type="spellStart"/>
      <w:r w:rsidRPr="0085730F">
        <w:rPr>
          <w:rFonts w:ascii="Arial" w:hAnsi="Arial" w:cs="Arial"/>
          <w:bCs/>
        </w:rPr>
        <w:t>Osioma</w:t>
      </w:r>
      <w:proofErr w:type="spellEnd"/>
      <w:r w:rsidRPr="0085730F">
        <w:rPr>
          <w:rFonts w:ascii="Arial" w:hAnsi="Arial" w:cs="Arial"/>
          <w:bCs/>
        </w:rPr>
        <w:t xml:space="preserve"> E, </w:t>
      </w:r>
      <w:proofErr w:type="spellStart"/>
      <w:r w:rsidRPr="0085730F">
        <w:rPr>
          <w:rFonts w:ascii="Arial" w:hAnsi="Arial" w:cs="Arial"/>
          <w:bCs/>
        </w:rPr>
        <w:t>Okpoghono</w:t>
      </w:r>
      <w:proofErr w:type="spellEnd"/>
      <w:r w:rsidRPr="0085730F">
        <w:rPr>
          <w:rFonts w:ascii="Arial" w:hAnsi="Arial" w:cs="Arial"/>
          <w:bCs/>
        </w:rPr>
        <w:t xml:space="preserve"> J, </w:t>
      </w:r>
      <w:proofErr w:type="spellStart"/>
      <w:r w:rsidRPr="0085730F">
        <w:rPr>
          <w:rFonts w:ascii="Arial" w:hAnsi="Arial" w:cs="Arial"/>
          <w:bCs/>
        </w:rPr>
        <w:t>Aina</w:t>
      </w:r>
      <w:proofErr w:type="spellEnd"/>
      <w:r w:rsidRPr="0085730F">
        <w:rPr>
          <w:rFonts w:ascii="Arial" w:hAnsi="Arial" w:cs="Arial"/>
          <w:bCs/>
        </w:rPr>
        <w:t xml:space="preserve"> OO. Changes in liver and serum transaminases and alkaline phosphatase enzyme activities in Plasmodium </w:t>
      </w:r>
      <w:proofErr w:type="spellStart"/>
      <w:r w:rsidRPr="0085730F">
        <w:rPr>
          <w:rFonts w:ascii="Arial" w:hAnsi="Arial" w:cs="Arial"/>
          <w:bCs/>
        </w:rPr>
        <w:t>berghei</w:t>
      </w:r>
      <w:proofErr w:type="spellEnd"/>
      <w:r w:rsidRPr="0085730F">
        <w:rPr>
          <w:rFonts w:ascii="Arial" w:hAnsi="Arial" w:cs="Arial"/>
          <w:bCs/>
        </w:rPr>
        <w:t xml:space="preserve"> infected mice treated with aqueous extract of </w:t>
      </w:r>
      <w:proofErr w:type="spellStart"/>
      <w:r w:rsidRPr="0085730F">
        <w:rPr>
          <w:rFonts w:ascii="Arial" w:hAnsi="Arial" w:cs="Arial"/>
          <w:bCs/>
        </w:rPr>
        <w:t>Aframomum</w:t>
      </w:r>
      <w:proofErr w:type="spellEnd"/>
      <w:r w:rsidRPr="0085730F">
        <w:rPr>
          <w:rFonts w:ascii="Arial" w:hAnsi="Arial" w:cs="Arial"/>
          <w:bCs/>
        </w:rPr>
        <w:t xml:space="preserve"> </w:t>
      </w:r>
      <w:proofErr w:type="spellStart"/>
      <w:r w:rsidRPr="0085730F">
        <w:rPr>
          <w:rFonts w:ascii="Arial" w:hAnsi="Arial" w:cs="Arial"/>
          <w:bCs/>
        </w:rPr>
        <w:t>sceptrum</w:t>
      </w:r>
      <w:proofErr w:type="spellEnd"/>
      <w:r w:rsidRPr="0085730F">
        <w:rPr>
          <w:rFonts w:ascii="Arial" w:hAnsi="Arial" w:cs="Arial"/>
          <w:bCs/>
        </w:rPr>
        <w:t>. African Journal of Biochemistry Research. 2011 Sep 9;5(9):277-81.</w:t>
      </w:r>
    </w:p>
    <w:p w14:paraId="2D4368EC" w14:textId="4E34694A" w:rsidR="008758F7" w:rsidRPr="0085730F" w:rsidRDefault="008758F7" w:rsidP="0082260E">
      <w:pPr>
        <w:ind w:left="567" w:hanging="547"/>
        <w:jc w:val="both"/>
        <w:rPr>
          <w:rFonts w:ascii="Arial" w:hAnsi="Arial" w:cs="Arial"/>
          <w:bCs/>
        </w:rPr>
      </w:pPr>
      <w:r w:rsidRPr="0085730F">
        <w:rPr>
          <w:rFonts w:ascii="Arial" w:hAnsi="Arial" w:cs="Arial"/>
          <w:bCs/>
        </w:rPr>
        <w:t>Re III, V. L., Haynes, K., Forde, K. A., Goldberg, D. S., Lewis, J. D., Carbonari, D. M., ... &amp; Corley, D. A. (2015). Risk of acute liver failure in patients with drug-induced liver injury: evaluation of Hy’s law and a new prognostic model. </w:t>
      </w:r>
      <w:r w:rsidRPr="0085730F">
        <w:rPr>
          <w:rFonts w:ascii="Arial" w:hAnsi="Arial" w:cs="Arial"/>
          <w:bCs/>
          <w:i/>
          <w:iCs/>
        </w:rPr>
        <w:t>Clinical gastroenterology and hepatology</w:t>
      </w:r>
      <w:r w:rsidRPr="0085730F">
        <w:rPr>
          <w:rFonts w:ascii="Arial" w:hAnsi="Arial" w:cs="Arial"/>
          <w:bCs/>
        </w:rPr>
        <w:t>, </w:t>
      </w:r>
      <w:r w:rsidRPr="0085730F">
        <w:rPr>
          <w:rFonts w:ascii="Arial" w:hAnsi="Arial" w:cs="Arial"/>
          <w:bCs/>
          <w:i/>
          <w:iCs/>
        </w:rPr>
        <w:t>13</w:t>
      </w:r>
      <w:r w:rsidRPr="0085730F">
        <w:rPr>
          <w:rFonts w:ascii="Arial" w:hAnsi="Arial" w:cs="Arial"/>
          <w:bCs/>
        </w:rPr>
        <w:t>(13), 2360-2368.</w:t>
      </w:r>
    </w:p>
    <w:sectPr w:rsidR="008758F7" w:rsidRPr="0085730F" w:rsidSect="001E1384">
      <w:headerReference w:type="even" r:id="rId28"/>
      <w:headerReference w:type="default" r:id="rId29"/>
      <w:footerReference w:type="default" r:id="rId30"/>
      <w:headerReference w:type="first" r:id="rId3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145567" w14:textId="77777777" w:rsidR="00613667" w:rsidRDefault="00613667">
      <w:r>
        <w:separator/>
      </w:r>
    </w:p>
  </w:endnote>
  <w:endnote w:type="continuationSeparator" w:id="0">
    <w:p w14:paraId="624C5C3B" w14:textId="77777777" w:rsidR="00613667" w:rsidRDefault="00613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E89F3" w14:textId="77777777" w:rsidR="001E1384" w:rsidRDefault="001E13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E9AA2" w14:textId="77777777" w:rsidR="001E1384" w:rsidRDefault="001E13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CC982" w14:textId="071FA4C0" w:rsidR="00681AEA" w:rsidRPr="001E1384" w:rsidRDefault="00681AEA" w:rsidP="001E1384">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082709"/>
    </w:sdtPr>
    <w:sdtEndPr/>
    <w:sdtContent>
      <w:p w14:paraId="717D8041" w14:textId="77777777" w:rsidR="00681AEA" w:rsidRDefault="00613667">
        <w:pPr>
          <w:pStyle w:val="Footer"/>
          <w:jc w:val="center"/>
        </w:pPr>
        <w:r>
          <w:fldChar w:fldCharType="begin"/>
        </w:r>
        <w:r>
          <w:instrText xml:space="preserve"> PAGE   \* MERGEFORMA</w:instrText>
        </w:r>
        <w:r>
          <w:instrText xml:space="preserve">T </w:instrText>
        </w:r>
        <w:r>
          <w:fldChar w:fldCharType="separate"/>
        </w:r>
        <w:r>
          <w:t>2</w:t>
        </w:r>
        <w:r>
          <w:fldChar w:fldCharType="end"/>
        </w:r>
      </w:p>
    </w:sdtContent>
  </w:sdt>
  <w:p w14:paraId="76AE1F3E" w14:textId="77777777" w:rsidR="00681AEA" w:rsidRDefault="00681A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444B97" w14:textId="77777777" w:rsidR="00613667" w:rsidRDefault="00613667">
      <w:r>
        <w:separator/>
      </w:r>
    </w:p>
  </w:footnote>
  <w:footnote w:type="continuationSeparator" w:id="0">
    <w:p w14:paraId="24A8ED64" w14:textId="77777777" w:rsidR="00613667" w:rsidRDefault="006136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C6513" w14:textId="43D4189E" w:rsidR="001E1384" w:rsidRDefault="001E1384">
    <w:pPr>
      <w:pStyle w:val="Header"/>
    </w:pPr>
    <w:r>
      <w:rPr>
        <w:noProof/>
      </w:rPr>
      <w:pict w14:anchorId="09C774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937532"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1B3F0" w14:textId="21F81F2F" w:rsidR="001E1384" w:rsidRDefault="001E1384">
    <w:pPr>
      <w:pStyle w:val="Header"/>
    </w:pPr>
    <w:r>
      <w:rPr>
        <w:noProof/>
      </w:rPr>
      <w:pict w14:anchorId="1447CF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937533"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68FE1" w14:textId="1C9D1275" w:rsidR="00681AEA" w:rsidRDefault="001E1384">
    <w:pPr>
      <w:ind w:left="2160"/>
      <w:jc w:val="center"/>
      <w:rPr>
        <w:rFonts w:ascii="Times New Roman" w:eastAsia="Calibri" w:hAnsi="Times New Roman"/>
        <w:i/>
        <w:sz w:val="18"/>
        <w:szCs w:val="22"/>
      </w:rPr>
    </w:pPr>
    <w:r>
      <w:rPr>
        <w:noProof/>
      </w:rPr>
      <w:pict w14:anchorId="3F0778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937531"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8BA79DE" w14:textId="77777777" w:rsidR="00681AEA" w:rsidRDefault="00613667">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74E1E5EE" w14:textId="77777777" w:rsidR="00681AEA" w:rsidRDefault="00613667">
    <w:pPr>
      <w:jc w:val="center"/>
      <w:rPr>
        <w:rFonts w:ascii="Times New Roman" w:eastAsia="Calibri" w:hAnsi="Times New Roman"/>
        <w:i/>
        <w:sz w:val="18"/>
        <w:szCs w:val="22"/>
      </w:rPr>
    </w:pPr>
    <w:r>
      <w:rPr>
        <w:rFonts w:ascii="Times New Roman" w:eastAsia="Calibri" w:hAnsi="Times New Roman"/>
        <w:i/>
        <w:sz w:val="18"/>
        <w:szCs w:val="22"/>
      </w:rPr>
      <w:t>.</w:t>
    </w:r>
  </w:p>
  <w:p w14:paraId="193EC2B7" w14:textId="77777777" w:rsidR="00681AEA" w:rsidRDefault="00613667">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17C0A5A6" w14:textId="77777777" w:rsidR="00681AEA" w:rsidRDefault="00613667">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549F8980" w14:textId="77777777" w:rsidR="00681AEA" w:rsidRDefault="00613667">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76AD62F" w14:textId="77777777" w:rsidR="00681AEA" w:rsidRDefault="00613667">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E3D3B" w14:textId="3C5BFCAE" w:rsidR="001E1384" w:rsidRDefault="001E1384">
    <w:pPr>
      <w:pStyle w:val="Header"/>
    </w:pPr>
    <w:r>
      <w:rPr>
        <w:noProof/>
      </w:rPr>
      <w:pict w14:anchorId="24C889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937535" o:spid="_x0000_s2053" type="#_x0000_t136" style="position:absolute;margin-left:0;margin-top:0;width:593.85pt;height:65.9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D0F62" w14:textId="3B6DC918" w:rsidR="001E1384" w:rsidRDefault="001E1384">
    <w:pPr>
      <w:pStyle w:val="Header"/>
    </w:pPr>
    <w:r>
      <w:rPr>
        <w:noProof/>
      </w:rPr>
      <w:pict w14:anchorId="12EA23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937536" o:spid="_x0000_s2054" type="#_x0000_t136" style="position:absolute;margin-left:0;margin-top:0;width:593.85pt;height:65.9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C9896" w14:textId="439DCE45" w:rsidR="001E1384" w:rsidRDefault="001E1384">
    <w:pPr>
      <w:pStyle w:val="Header"/>
    </w:pPr>
    <w:r>
      <w:rPr>
        <w:noProof/>
      </w:rPr>
      <w:pict w14:anchorId="11CB69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937534" o:spid="_x0000_s2052" type="#_x0000_t136" style="position:absolute;margin-left:0;margin-top:0;width:593.85pt;height:65.9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c1NTMzNTK1tDQ2NjdT0lEKTi0uzszPAykwrAUAxeprBCwAAAA="/>
  </w:docVars>
  <w:rsids>
    <w:rsidRoot w:val="00172A27"/>
    <w:rsid w:val="00000F8F"/>
    <w:rsid w:val="00030174"/>
    <w:rsid w:val="0004579C"/>
    <w:rsid w:val="000A47FA"/>
    <w:rsid w:val="000A65D3"/>
    <w:rsid w:val="000B1E33"/>
    <w:rsid w:val="000B3318"/>
    <w:rsid w:val="000C0B68"/>
    <w:rsid w:val="000D689F"/>
    <w:rsid w:val="000E7B7B"/>
    <w:rsid w:val="000E7D62"/>
    <w:rsid w:val="00103357"/>
    <w:rsid w:val="00123C9F"/>
    <w:rsid w:val="00126190"/>
    <w:rsid w:val="00130F17"/>
    <w:rsid w:val="001320BF"/>
    <w:rsid w:val="00163BC4"/>
    <w:rsid w:val="00172A27"/>
    <w:rsid w:val="00191062"/>
    <w:rsid w:val="001920F4"/>
    <w:rsid w:val="00192B72"/>
    <w:rsid w:val="001A29D8"/>
    <w:rsid w:val="001A5CAA"/>
    <w:rsid w:val="001B0427"/>
    <w:rsid w:val="001D3A51"/>
    <w:rsid w:val="001E10D2"/>
    <w:rsid w:val="001E1384"/>
    <w:rsid w:val="001E25B4"/>
    <w:rsid w:val="001E44FE"/>
    <w:rsid w:val="001E7D41"/>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C71DD"/>
    <w:rsid w:val="002E0D56"/>
    <w:rsid w:val="002E1579"/>
    <w:rsid w:val="00315186"/>
    <w:rsid w:val="00326160"/>
    <w:rsid w:val="0033343E"/>
    <w:rsid w:val="00337677"/>
    <w:rsid w:val="003464FF"/>
    <w:rsid w:val="00346C2C"/>
    <w:rsid w:val="003512C2"/>
    <w:rsid w:val="00371FB6"/>
    <w:rsid w:val="003763C1"/>
    <w:rsid w:val="00376BBE"/>
    <w:rsid w:val="00391C91"/>
    <w:rsid w:val="0039224F"/>
    <w:rsid w:val="003A43A4"/>
    <w:rsid w:val="003A7E18"/>
    <w:rsid w:val="003C4C86"/>
    <w:rsid w:val="003C6258"/>
    <w:rsid w:val="003E2904"/>
    <w:rsid w:val="00401927"/>
    <w:rsid w:val="0041027F"/>
    <w:rsid w:val="00412475"/>
    <w:rsid w:val="00423789"/>
    <w:rsid w:val="004369A9"/>
    <w:rsid w:val="00440F43"/>
    <w:rsid w:val="00441B6F"/>
    <w:rsid w:val="00446221"/>
    <w:rsid w:val="00450E62"/>
    <w:rsid w:val="004539DB"/>
    <w:rsid w:val="00471A80"/>
    <w:rsid w:val="004D305E"/>
    <w:rsid w:val="004D4277"/>
    <w:rsid w:val="00502516"/>
    <w:rsid w:val="00505F06"/>
    <w:rsid w:val="00506828"/>
    <w:rsid w:val="0053056E"/>
    <w:rsid w:val="00542EA5"/>
    <w:rsid w:val="00554FDA"/>
    <w:rsid w:val="00583B94"/>
    <w:rsid w:val="005C1F26"/>
    <w:rsid w:val="005C784C"/>
    <w:rsid w:val="005D17F6"/>
    <w:rsid w:val="005E5539"/>
    <w:rsid w:val="005E64E8"/>
    <w:rsid w:val="00602BF5"/>
    <w:rsid w:val="00613667"/>
    <w:rsid w:val="00617FDD"/>
    <w:rsid w:val="00633614"/>
    <w:rsid w:val="00633F68"/>
    <w:rsid w:val="00636EB2"/>
    <w:rsid w:val="006375B8"/>
    <w:rsid w:val="00652F42"/>
    <w:rsid w:val="0066510A"/>
    <w:rsid w:val="00673F9F"/>
    <w:rsid w:val="00681AEA"/>
    <w:rsid w:val="00686953"/>
    <w:rsid w:val="00687DEA"/>
    <w:rsid w:val="00687E67"/>
    <w:rsid w:val="006967F7"/>
    <w:rsid w:val="006A250C"/>
    <w:rsid w:val="006B21D3"/>
    <w:rsid w:val="006B57D0"/>
    <w:rsid w:val="006D30FF"/>
    <w:rsid w:val="006D6940"/>
    <w:rsid w:val="006F11EC"/>
    <w:rsid w:val="006F752A"/>
    <w:rsid w:val="0070082C"/>
    <w:rsid w:val="007369E6"/>
    <w:rsid w:val="00746E59"/>
    <w:rsid w:val="00754C9A"/>
    <w:rsid w:val="0075599A"/>
    <w:rsid w:val="00761D52"/>
    <w:rsid w:val="0076778B"/>
    <w:rsid w:val="0077749E"/>
    <w:rsid w:val="00790ADA"/>
    <w:rsid w:val="0079101B"/>
    <w:rsid w:val="007B21C7"/>
    <w:rsid w:val="007D13BB"/>
    <w:rsid w:val="007D2288"/>
    <w:rsid w:val="007E04DD"/>
    <w:rsid w:val="007E088F"/>
    <w:rsid w:val="007F2746"/>
    <w:rsid w:val="007F7B32"/>
    <w:rsid w:val="00804BC2"/>
    <w:rsid w:val="0081431A"/>
    <w:rsid w:val="00814E2A"/>
    <w:rsid w:val="0082260E"/>
    <w:rsid w:val="0083216F"/>
    <w:rsid w:val="0085730F"/>
    <w:rsid w:val="00860000"/>
    <w:rsid w:val="00863BD3"/>
    <w:rsid w:val="008641ED"/>
    <w:rsid w:val="00866D66"/>
    <w:rsid w:val="008671C6"/>
    <w:rsid w:val="00875803"/>
    <w:rsid w:val="008758F7"/>
    <w:rsid w:val="00876636"/>
    <w:rsid w:val="008B459E"/>
    <w:rsid w:val="008E13AE"/>
    <w:rsid w:val="008E1506"/>
    <w:rsid w:val="008E710C"/>
    <w:rsid w:val="008F69D6"/>
    <w:rsid w:val="00902823"/>
    <w:rsid w:val="00905233"/>
    <w:rsid w:val="00915CA6"/>
    <w:rsid w:val="009248CE"/>
    <w:rsid w:val="00925360"/>
    <w:rsid w:val="00927834"/>
    <w:rsid w:val="009500A6"/>
    <w:rsid w:val="00957C18"/>
    <w:rsid w:val="009659BA"/>
    <w:rsid w:val="00983040"/>
    <w:rsid w:val="009B38A9"/>
    <w:rsid w:val="009B3FB9"/>
    <w:rsid w:val="009C2465"/>
    <w:rsid w:val="009C4367"/>
    <w:rsid w:val="009D35A0"/>
    <w:rsid w:val="009D7EB7"/>
    <w:rsid w:val="009E048A"/>
    <w:rsid w:val="009E08E9"/>
    <w:rsid w:val="009E3DB9"/>
    <w:rsid w:val="009E6E35"/>
    <w:rsid w:val="009F0EDA"/>
    <w:rsid w:val="00A03B96"/>
    <w:rsid w:val="00A05B19"/>
    <w:rsid w:val="00A10679"/>
    <w:rsid w:val="00A1134E"/>
    <w:rsid w:val="00A24E7E"/>
    <w:rsid w:val="00A258C3"/>
    <w:rsid w:val="00A347C0"/>
    <w:rsid w:val="00A51431"/>
    <w:rsid w:val="00A539AD"/>
    <w:rsid w:val="00A94063"/>
    <w:rsid w:val="00AA6219"/>
    <w:rsid w:val="00AA74E0"/>
    <w:rsid w:val="00AB703F"/>
    <w:rsid w:val="00AC05C6"/>
    <w:rsid w:val="00AC4812"/>
    <w:rsid w:val="00AC6BB8"/>
    <w:rsid w:val="00AE008F"/>
    <w:rsid w:val="00B01FCD"/>
    <w:rsid w:val="00B1776C"/>
    <w:rsid w:val="00B43B21"/>
    <w:rsid w:val="00B52583"/>
    <w:rsid w:val="00B52896"/>
    <w:rsid w:val="00B77E67"/>
    <w:rsid w:val="00B95236"/>
    <w:rsid w:val="00B96BD9"/>
    <w:rsid w:val="00BA0B63"/>
    <w:rsid w:val="00BA1B01"/>
    <w:rsid w:val="00BA2641"/>
    <w:rsid w:val="00BB03FF"/>
    <w:rsid w:val="00BB37AA"/>
    <w:rsid w:val="00BC53A0"/>
    <w:rsid w:val="00BE62AD"/>
    <w:rsid w:val="00BF121F"/>
    <w:rsid w:val="00BF1F80"/>
    <w:rsid w:val="00C067FA"/>
    <w:rsid w:val="00C166EF"/>
    <w:rsid w:val="00C17EB0"/>
    <w:rsid w:val="00C27F5F"/>
    <w:rsid w:val="00C30A0F"/>
    <w:rsid w:val="00C37E61"/>
    <w:rsid w:val="00C70F1B"/>
    <w:rsid w:val="00C71A47"/>
    <w:rsid w:val="00C7464C"/>
    <w:rsid w:val="00C777F8"/>
    <w:rsid w:val="00C85588"/>
    <w:rsid w:val="00CA0F72"/>
    <w:rsid w:val="00CC5BEC"/>
    <w:rsid w:val="00CD6755"/>
    <w:rsid w:val="00CD6856"/>
    <w:rsid w:val="00CE0089"/>
    <w:rsid w:val="00CE793C"/>
    <w:rsid w:val="00CF193C"/>
    <w:rsid w:val="00CF4248"/>
    <w:rsid w:val="00D173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4C7"/>
    <w:rsid w:val="00E769F6"/>
    <w:rsid w:val="00E8407C"/>
    <w:rsid w:val="00E84F3C"/>
    <w:rsid w:val="00E86662"/>
    <w:rsid w:val="00EA012C"/>
    <w:rsid w:val="00EC4C46"/>
    <w:rsid w:val="00EC6A55"/>
    <w:rsid w:val="00ED0288"/>
    <w:rsid w:val="00EE52CB"/>
    <w:rsid w:val="00EF581D"/>
    <w:rsid w:val="00EF7FD8"/>
    <w:rsid w:val="00F06F59"/>
    <w:rsid w:val="00F15057"/>
    <w:rsid w:val="00F17988"/>
    <w:rsid w:val="00F4293D"/>
    <w:rsid w:val="00F469F0"/>
    <w:rsid w:val="00F53273"/>
    <w:rsid w:val="00F755E4"/>
    <w:rsid w:val="00F77D02"/>
    <w:rsid w:val="00FB3A86"/>
    <w:rsid w:val="00FC70D3"/>
    <w:rsid w:val="00FD36C8"/>
    <w:rsid w:val="00FE2D91"/>
    <w:rsid w:val="19613133"/>
    <w:rsid w:val="1F695E3D"/>
    <w:rsid w:val="2D3F104B"/>
    <w:rsid w:val="31C4132A"/>
    <w:rsid w:val="3CF34AA7"/>
    <w:rsid w:val="45876B22"/>
    <w:rsid w:val="45BA50FD"/>
    <w:rsid w:val="4B5F7360"/>
    <w:rsid w:val="4E6C1AB9"/>
    <w:rsid w:val="62FF1A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39AA50AA"/>
  <w15:docId w15:val="{3EF897AD-E007-4635-9A7C-30BC1F2A5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eastAsia="Times New Roman" w:hAnsi="Helvetica" w:cs="Times New Roman"/>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rPr>
      <w:color w:val="800080"/>
      <w:u w:val="single"/>
    </w:rPr>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pPr>
      <w:tabs>
        <w:tab w:val="center" w:pos="4320"/>
        <w:tab w:val="right" w:pos="8640"/>
      </w:tabs>
    </w:pPr>
  </w:style>
  <w:style w:type="character" w:styleId="Hyperlink">
    <w:name w:val="Hyperlink"/>
    <w:basedOn w:val="DefaultParagraphFont"/>
    <w:rPr>
      <w:color w:val="FF0080"/>
      <w:u w:val="single"/>
    </w:rPr>
  </w:style>
  <w:style w:type="character" w:styleId="LineNumber">
    <w:name w:val="line number"/>
    <w:basedOn w:val="DefaultParagraphFont"/>
  </w:style>
  <w:style w:type="paragraph" w:styleId="Signature">
    <w:name w:val="Signature"/>
    <w:basedOn w:val="Normal"/>
    <w:qFormat/>
    <w:pPr>
      <w:ind w:left="4320"/>
    </w:pPr>
  </w:style>
  <w:style w:type="table" w:styleId="TableGrid">
    <w:name w:val="Table Grid"/>
    <w:basedOn w:val="TableNormal"/>
    <w:uiPriority w:val="5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MainHead">
    <w:name w:val="Main Head"/>
    <w:basedOn w:val="Normal"/>
    <w:pPr>
      <w:keepNext/>
      <w:spacing w:after="240"/>
    </w:pPr>
    <w:rPr>
      <w:b/>
      <w:caps/>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ListParagraph">
    <w:name w:val="List Paragraph"/>
    <w:basedOn w:val="Normal"/>
    <w:uiPriority w:val="34"/>
    <w:unhideWhenUsed/>
    <w:qFormat/>
    <w:pPr>
      <w:ind w:left="720"/>
    </w:pPr>
    <w:rPr>
      <w:sz w:val="22"/>
      <w:szCs w:val="22"/>
    </w:rPr>
  </w:style>
  <w:style w:type="character" w:customStyle="1" w:styleId="FooterChar">
    <w:name w:val="Footer Char"/>
    <w:basedOn w:val="DefaultParagraphFont"/>
    <w:link w:val="Footer"/>
    <w:uiPriority w:val="99"/>
    <w:qFormat/>
    <w:rPr>
      <w:rFonts w:ascii="Helvetica" w:eastAsia="Times New Roman" w:hAnsi="Helvetica" w:cs="Times New Roman"/>
      <w:lang w:val="en-US" w:eastAsia="en-US"/>
    </w:rPr>
  </w:style>
  <w:style w:type="character" w:styleId="UnresolvedMention">
    <w:name w:val="Unresolved Mention"/>
    <w:basedOn w:val="DefaultParagraphFont"/>
    <w:uiPriority w:val="99"/>
    <w:semiHidden/>
    <w:unhideWhenUsed/>
    <w:rsid w:val="00391C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eader" Target="head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4.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46"/>
    <customShpInfo spid="_x0000_s1045"/>
    <customShpInfo spid="_x0000_s1044"/>
    <customShpInfo spid="_x0000_s1043"/>
    <customShpInfo spid="_x0000_s1042"/>
    <customShpInfo spid="_x0000_s1037"/>
    <customShpInfo spid="_x0000_s1041"/>
    <customShpInfo spid="_x0000_s1040"/>
    <customShpInfo spid="_x0000_s1039"/>
    <customShpInfo spid="_x0000_s1038"/>
    <customShpInfo spid="_x0000_s1036"/>
    <customShpInfo spid="_x0000_s1035"/>
    <customShpInfo spid="_x0000_s1032"/>
    <customShpInfo spid="_x0000_s1034"/>
    <customShpInfo spid="_x0000_s1033"/>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7D3F53-716B-4019-AD83-4068F01BA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18</Pages>
  <Words>6406</Words>
  <Characters>36515</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10</cp:revision>
  <cp:lastPrinted>1999-07-06T11:00:00Z</cp:lastPrinted>
  <dcterms:created xsi:type="dcterms:W3CDTF">2025-07-19T20:16:00Z</dcterms:created>
  <dcterms:modified xsi:type="dcterms:W3CDTF">2025-07-21T08:44:00Z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2057-12.2.0.21931</vt:lpwstr>
  </property>
  <property fmtid="{D5CDD505-2E9C-101B-9397-08002B2CF9AE}" pid="3" name="ICV">
    <vt:lpwstr>9C96BF8FD6F1485CBC5C149551E60AB0_12</vt:lpwstr>
  </property>
  <property fmtid="{D5CDD505-2E9C-101B-9397-08002B2CF9AE}" pid="4" name="GrammarlyDocumentId">
    <vt:lpwstr>41205a53-d9ac-41f3-822e-366a51258c9b</vt:lpwstr>
  </property>
</Properties>
</file>