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98BED" w14:textId="77777777" w:rsidR="008B7372" w:rsidRDefault="008B7372" w:rsidP="008B7372">
      <w:pPr>
        <w:jc w:val="center"/>
        <w:rPr>
          <w:rFonts w:cs="Times New Roman"/>
          <w:b/>
          <w:szCs w:val="24"/>
        </w:rPr>
      </w:pPr>
      <w:r>
        <w:rPr>
          <w:b/>
          <w:szCs w:val="24"/>
        </w:rPr>
        <w:t xml:space="preserve">ASSESSMENT OF </w:t>
      </w:r>
      <w:r w:rsidRPr="003622F3">
        <w:rPr>
          <w:b/>
          <w:szCs w:val="24"/>
        </w:rPr>
        <w:t xml:space="preserve">WATER QUALITY PARAMETERS OF </w:t>
      </w:r>
      <w:r w:rsidRPr="003622F3">
        <w:rPr>
          <w:rFonts w:cs="Times New Roman"/>
          <w:b/>
          <w:szCs w:val="24"/>
        </w:rPr>
        <w:t>OWALA DAM</w:t>
      </w:r>
    </w:p>
    <w:p w14:paraId="0DEC7BA5" w14:textId="77777777" w:rsidR="0090560D" w:rsidRDefault="0090560D" w:rsidP="008B7372">
      <w:pPr>
        <w:spacing w:after="0" w:line="240" w:lineRule="auto"/>
        <w:jc w:val="both"/>
        <w:rPr>
          <w:b/>
        </w:rPr>
      </w:pPr>
    </w:p>
    <w:p w14:paraId="514ABBF0" w14:textId="77777777" w:rsidR="0090560D" w:rsidRDefault="0090560D" w:rsidP="008B7372">
      <w:pPr>
        <w:spacing w:after="0" w:line="240" w:lineRule="auto"/>
        <w:jc w:val="both"/>
        <w:rPr>
          <w:b/>
        </w:rPr>
      </w:pPr>
    </w:p>
    <w:p w14:paraId="55084D19" w14:textId="44502290" w:rsidR="008B7372" w:rsidRDefault="008B7372" w:rsidP="008B7372">
      <w:pPr>
        <w:spacing w:after="0" w:line="240" w:lineRule="auto"/>
        <w:jc w:val="both"/>
        <w:rPr>
          <w:b/>
        </w:rPr>
      </w:pPr>
      <w:r w:rsidRPr="00C6345F">
        <w:rPr>
          <w:b/>
        </w:rPr>
        <w:t>Abstract</w:t>
      </w:r>
    </w:p>
    <w:p w14:paraId="3A82A361" w14:textId="77777777" w:rsidR="008B7372" w:rsidRPr="00C67A3B" w:rsidRDefault="008B7372" w:rsidP="008B7372">
      <w:pPr>
        <w:spacing w:after="0" w:line="240" w:lineRule="auto"/>
        <w:jc w:val="both"/>
        <w:rPr>
          <w:rFonts w:eastAsia="Times New Roman" w:cs="Times New Roman"/>
          <w:szCs w:val="24"/>
          <w:lang w:eastAsia="en-GB"/>
        </w:rPr>
      </w:pPr>
      <w:r w:rsidRPr="003A1447">
        <w:rPr>
          <w:rFonts w:eastAsia="Times New Roman" w:cs="Times New Roman"/>
          <w:szCs w:val="24"/>
          <w:lang w:eastAsia="en-GB"/>
        </w:rPr>
        <w:t xml:space="preserve">Water quality monitoring is </w:t>
      </w:r>
      <w:r>
        <w:rPr>
          <w:rFonts w:eastAsia="Times New Roman" w:cs="Times New Roman"/>
          <w:szCs w:val="24"/>
          <w:lang w:eastAsia="en-GB"/>
        </w:rPr>
        <w:t>crucial</w:t>
      </w:r>
      <w:r w:rsidRPr="003A1447">
        <w:rPr>
          <w:rFonts w:eastAsia="Times New Roman" w:cs="Times New Roman"/>
          <w:szCs w:val="24"/>
          <w:lang w:eastAsia="en-GB"/>
        </w:rPr>
        <w:t xml:space="preserve"> fo</w:t>
      </w:r>
      <w:r>
        <w:rPr>
          <w:rFonts w:eastAsia="Times New Roman" w:cs="Times New Roman"/>
          <w:szCs w:val="24"/>
          <w:lang w:eastAsia="en-GB"/>
        </w:rPr>
        <w:t>r managing freshwater resources as it provides</w:t>
      </w:r>
      <w:r w:rsidRPr="003A1447">
        <w:rPr>
          <w:rFonts w:eastAsia="Times New Roman" w:cs="Times New Roman"/>
          <w:szCs w:val="24"/>
          <w:lang w:eastAsia="en-GB"/>
        </w:rPr>
        <w:t xml:space="preserve"> valuable data for local action planning and </w:t>
      </w:r>
      <w:r>
        <w:rPr>
          <w:rFonts w:eastAsia="Times New Roman" w:cs="Times New Roman"/>
          <w:szCs w:val="24"/>
          <w:lang w:eastAsia="en-GB"/>
        </w:rPr>
        <w:t xml:space="preserve">decision-making. </w:t>
      </w:r>
      <w:r w:rsidRPr="007B2671">
        <w:rPr>
          <w:rFonts w:eastAsia="Times New Roman" w:cs="Times New Roman"/>
          <w:szCs w:val="24"/>
          <w:lang w:eastAsia="en-GB"/>
        </w:rPr>
        <w:t xml:space="preserve">This study </w:t>
      </w:r>
      <w:r>
        <w:rPr>
          <w:rFonts w:eastAsia="Times New Roman" w:cs="Times New Roman"/>
          <w:szCs w:val="24"/>
          <w:lang w:eastAsia="en-GB"/>
        </w:rPr>
        <w:t>assess</w:t>
      </w:r>
      <w:r w:rsidRPr="007B2671">
        <w:rPr>
          <w:rFonts w:eastAsia="Times New Roman" w:cs="Times New Roman"/>
          <w:szCs w:val="24"/>
          <w:lang w:eastAsia="en-GB"/>
        </w:rPr>
        <w:t xml:space="preserve">ed the water quality of </w:t>
      </w:r>
      <w:proofErr w:type="spellStart"/>
      <w:r w:rsidRPr="007B2671">
        <w:rPr>
          <w:rFonts w:eastAsia="Times New Roman" w:cs="Times New Roman"/>
          <w:szCs w:val="24"/>
          <w:lang w:eastAsia="en-GB"/>
        </w:rPr>
        <w:t>Owala</w:t>
      </w:r>
      <w:proofErr w:type="spellEnd"/>
      <w:r w:rsidRPr="007B2671">
        <w:rPr>
          <w:rFonts w:eastAsia="Times New Roman" w:cs="Times New Roman"/>
          <w:szCs w:val="24"/>
          <w:lang w:eastAsia="en-GB"/>
        </w:rPr>
        <w:t xml:space="preserve"> Dam, Osun State, Nigeria. Water samples were collected monthly from three stations along the Oba-Ile River (</w:t>
      </w:r>
      <w:proofErr w:type="spellStart"/>
      <w:r w:rsidRPr="007B2671">
        <w:rPr>
          <w:rFonts w:eastAsia="Times New Roman" w:cs="Times New Roman"/>
          <w:szCs w:val="24"/>
          <w:lang w:eastAsia="en-GB"/>
        </w:rPr>
        <w:t>Owala</w:t>
      </w:r>
      <w:proofErr w:type="spellEnd"/>
      <w:r w:rsidRPr="007B2671">
        <w:rPr>
          <w:rFonts w:eastAsia="Times New Roman" w:cs="Times New Roman"/>
          <w:szCs w:val="24"/>
          <w:lang w:eastAsia="en-GB"/>
        </w:rPr>
        <w:t xml:space="preserve"> Dam) in </w:t>
      </w:r>
      <w:proofErr w:type="spellStart"/>
      <w:r w:rsidRPr="007B2671">
        <w:rPr>
          <w:rFonts w:eastAsia="Times New Roman" w:cs="Times New Roman"/>
          <w:szCs w:val="24"/>
          <w:lang w:eastAsia="en-GB"/>
        </w:rPr>
        <w:t>Olorunda</w:t>
      </w:r>
      <w:proofErr w:type="spellEnd"/>
      <w:r w:rsidRPr="007B2671">
        <w:rPr>
          <w:rFonts w:eastAsia="Times New Roman" w:cs="Times New Roman"/>
          <w:szCs w:val="24"/>
          <w:lang w:eastAsia="en-GB"/>
        </w:rPr>
        <w:t xml:space="preserve"> between 2021 and 2024, and analyzed in the laboratory following standard protocols. In-situ measurements included water temperature (mercury-in-glass thermometer, 0–110°C, 0.1°C intervals), pH (</w:t>
      </w:r>
      <w:proofErr w:type="spellStart"/>
      <w:r w:rsidRPr="007B2671">
        <w:rPr>
          <w:rFonts w:eastAsia="Times New Roman" w:cs="Times New Roman"/>
          <w:szCs w:val="24"/>
          <w:lang w:eastAsia="en-GB"/>
        </w:rPr>
        <w:t>Mueel</w:t>
      </w:r>
      <w:proofErr w:type="spellEnd"/>
      <w:r w:rsidRPr="007B2671">
        <w:rPr>
          <w:rFonts w:eastAsia="Times New Roman" w:cs="Times New Roman"/>
          <w:szCs w:val="24"/>
          <w:lang w:eastAsia="en-GB"/>
        </w:rPr>
        <w:t xml:space="preserve"> meter), and electrical conductivity (Lovibond meter). Dissolved oxygen (DO) was measured using Winkler’s method, while biochemical oxygen demand (BOD) was calculated via the five-day BOD test. Total dissolved solids (TDS) were determined through filtration and evaporation, sulphate by the turbidimetric method, and chloride using the APHA titration method with potassium dichromate and </w:t>
      </w:r>
      <w:proofErr w:type="spellStart"/>
      <w:r w:rsidRPr="007B2671">
        <w:rPr>
          <w:rFonts w:eastAsia="Times New Roman" w:cs="Times New Roman"/>
          <w:szCs w:val="24"/>
          <w:lang w:eastAsia="en-GB"/>
        </w:rPr>
        <w:t>AgNO</w:t>
      </w:r>
      <w:proofErr w:type="spellEnd"/>
      <w:r w:rsidRPr="007B2671">
        <w:rPr>
          <w:rFonts w:eastAsia="Times New Roman" w:cs="Times New Roman"/>
          <w:szCs w:val="24"/>
          <w:lang w:eastAsia="en-GB"/>
        </w:rPr>
        <w:t xml:space="preserve">₃. Phosphate levels were determined </w:t>
      </w:r>
      <w:proofErr w:type="spellStart"/>
      <w:r w:rsidRPr="007B2671">
        <w:rPr>
          <w:rFonts w:eastAsia="Times New Roman" w:cs="Times New Roman"/>
          <w:szCs w:val="24"/>
          <w:lang w:eastAsia="en-GB"/>
        </w:rPr>
        <w:t>colorimetrically</w:t>
      </w:r>
      <w:proofErr w:type="spellEnd"/>
      <w:r w:rsidRPr="007B2671">
        <w:rPr>
          <w:rFonts w:eastAsia="Times New Roman" w:cs="Times New Roman"/>
          <w:szCs w:val="24"/>
          <w:lang w:eastAsia="en-GB"/>
        </w:rPr>
        <w:t xml:space="preserve"> using a spectrophotometer after treatment with ammonium molybdate and stannous </w:t>
      </w:r>
      <w:proofErr w:type="spellStart"/>
      <w:proofErr w:type="gramStart"/>
      <w:r w:rsidRPr="007B2671">
        <w:rPr>
          <w:rFonts w:eastAsia="Times New Roman" w:cs="Times New Roman"/>
          <w:szCs w:val="24"/>
          <w:lang w:eastAsia="en-GB"/>
        </w:rPr>
        <w:t>chloride.Results</w:t>
      </w:r>
      <w:proofErr w:type="spellEnd"/>
      <w:proofErr w:type="gramEnd"/>
      <w:r w:rsidRPr="007B2671">
        <w:rPr>
          <w:rFonts w:eastAsia="Times New Roman" w:cs="Times New Roman"/>
          <w:szCs w:val="24"/>
          <w:lang w:eastAsia="en-GB"/>
        </w:rPr>
        <w:t xml:space="preserve"> showed a slight, statistically insignificant rise in temperature (25.85°C in 2021/2022 to 26.39°C in 2023/2024). pH remained within the acceptable range (6.5–8.5) set by the Nigerian Standard for Drinking Water Quality (NSDWQ) and WHO. TDS remained constant at ~0.57 mg/L. BOD decreased significantly (p = 0.016), while DO levels were high (~66 mg/L), exceeding WHO's minimum of 6 mg/L. Transparency declined significantly (p &lt; 0.05). Electrical conductivity was stable (~0.34 ds/m), below the 1000 ds/m limit. Nitrate (~0.07 mg/L) and phosphate levels were consistently low, and chloride levels (~40 mg/L) were within safe limits. Except for DO, all parameters complied with WHO standards. Continuous monitoring is </w:t>
      </w:r>
      <w:r>
        <w:rPr>
          <w:rFonts w:eastAsia="Times New Roman" w:cs="Times New Roman"/>
          <w:szCs w:val="24"/>
          <w:lang w:eastAsia="en-GB"/>
        </w:rPr>
        <w:t xml:space="preserve">therefore </w:t>
      </w:r>
      <w:proofErr w:type="spellStart"/>
      <w:r w:rsidRPr="007B2671">
        <w:rPr>
          <w:rFonts w:eastAsia="Times New Roman" w:cs="Times New Roman"/>
          <w:szCs w:val="24"/>
          <w:lang w:eastAsia="en-GB"/>
        </w:rPr>
        <w:t>recommended</w:t>
      </w:r>
      <w:r>
        <w:rPr>
          <w:rFonts w:eastAsia="Times New Roman" w:cs="Times New Roman"/>
          <w:szCs w:val="24"/>
          <w:lang w:eastAsia="en-GB"/>
        </w:rPr>
        <w:t>in</w:t>
      </w:r>
      <w:proofErr w:type="spellEnd"/>
      <w:r>
        <w:rPr>
          <w:rFonts w:eastAsia="Times New Roman" w:cs="Times New Roman"/>
          <w:szCs w:val="24"/>
          <w:lang w:eastAsia="en-GB"/>
        </w:rPr>
        <w:t xml:space="preserve"> this dam </w:t>
      </w:r>
      <w:r w:rsidRPr="007B2671">
        <w:rPr>
          <w:rFonts w:eastAsia="Times New Roman" w:cs="Times New Roman"/>
          <w:szCs w:val="24"/>
          <w:lang w:eastAsia="en-GB"/>
        </w:rPr>
        <w:t>to ensure sustainable water resource management.</w:t>
      </w:r>
    </w:p>
    <w:p w14:paraId="40C29E46" w14:textId="77777777" w:rsidR="008B7372" w:rsidRDefault="008B7372" w:rsidP="008B7372">
      <w:pPr>
        <w:spacing w:after="0" w:line="240" w:lineRule="auto"/>
        <w:jc w:val="both"/>
        <w:rPr>
          <w:b/>
        </w:rPr>
      </w:pPr>
      <w:r>
        <w:rPr>
          <w:b/>
        </w:rPr>
        <w:t>INTRODUCTION</w:t>
      </w:r>
    </w:p>
    <w:p w14:paraId="053EBBB3" w14:textId="77777777" w:rsidR="008B7372" w:rsidRDefault="008B7372" w:rsidP="008B7372">
      <w:pPr>
        <w:spacing w:after="0" w:line="240" w:lineRule="auto"/>
        <w:ind w:firstLine="720"/>
        <w:jc w:val="both"/>
      </w:pPr>
      <w:r>
        <w:t xml:space="preserve">Water is a crucial resource for human sustenance, agriculture, and industry, ensuring social and economic progress (Taiwo </w:t>
      </w:r>
      <w:r w:rsidRPr="00DE4B91">
        <w:rPr>
          <w:rStyle w:val="Emphasis"/>
        </w:rPr>
        <w:t>et al</w:t>
      </w:r>
      <w:r>
        <w:t xml:space="preserve">., 2012). Despite global access to water, many areas lack safe drinking water and sufficient quantities to meet basic health needs (Shaheed </w:t>
      </w:r>
      <w:r w:rsidRPr="00DE4B91">
        <w:rPr>
          <w:rStyle w:val="Emphasis"/>
        </w:rPr>
        <w:t>et al</w:t>
      </w:r>
      <w:r>
        <w:t>., 2014). The World Health Organization (WHO) reports that 1.1 billion people worldwide consume unsafe water, leading to 88% of diarrheal diseases, and the water supply sector faces significant challenges due to climate change and urbanization with the consequences being felt more in the developing countries (WHO, 2011). The United Nations General Assembly has set 2030 as a goal to ensure access to safe, quality water and sanitation for all as a fundamental human right (UNGA, 2018).</w:t>
      </w:r>
    </w:p>
    <w:p w14:paraId="52B37474" w14:textId="77777777" w:rsidR="008B7372" w:rsidRDefault="008B7372" w:rsidP="008B7372">
      <w:pPr>
        <w:spacing w:after="0" w:line="240" w:lineRule="auto"/>
        <w:ind w:firstLine="720"/>
        <w:jc w:val="both"/>
      </w:pPr>
      <w:r>
        <w:t xml:space="preserve">Water quality is determined by its physical, chemical, biological, and aesthetic properties, which are influenced by dissolved or suspended constituents and can be influenced by natural processes and human activities (Hubert and </w:t>
      </w:r>
      <w:proofErr w:type="spellStart"/>
      <w:r>
        <w:t>Wolkersdorfer</w:t>
      </w:r>
      <w:proofErr w:type="spellEnd"/>
      <w:r>
        <w:t xml:space="preserve">, 2015). </w:t>
      </w:r>
      <w:r w:rsidRPr="00855756">
        <w:rPr>
          <w:rStyle w:val="Emphasis"/>
        </w:rPr>
        <w:t xml:space="preserve">Consequently, various federal governments and relevant authorities establish national drinking water </w:t>
      </w:r>
      <w:proofErr w:type="gramStart"/>
      <w:r w:rsidRPr="00855756">
        <w:rPr>
          <w:rStyle w:val="Emphasis"/>
        </w:rPr>
        <w:t>standards(</w:t>
      </w:r>
      <w:proofErr w:type="gramEnd"/>
      <w:r w:rsidRPr="00855756">
        <w:rPr>
          <w:rStyle w:val="Emphasis"/>
        </w:rPr>
        <w:t>Patil</w:t>
      </w:r>
      <w:r>
        <w:rPr>
          <w:rStyle w:val="Emphasis"/>
        </w:rPr>
        <w:t xml:space="preserve"> </w:t>
      </w:r>
      <w:r w:rsidRPr="00DE4B91">
        <w:rPr>
          <w:rStyle w:val="Emphasis"/>
        </w:rPr>
        <w:t>et al</w:t>
      </w:r>
      <w:r w:rsidRPr="00855756">
        <w:rPr>
          <w:rStyle w:val="Emphasis"/>
        </w:rPr>
        <w:t>., 2012).</w:t>
      </w:r>
      <w:r>
        <w:t xml:space="preserve"> They give priority to some qualities while considering others secondary, and these are used to assess the state's water quality. For example, faecal indicator bacteria (FIB), particularly </w:t>
      </w:r>
      <w:r>
        <w:rPr>
          <w:rStyle w:val="Emphasis"/>
        </w:rPr>
        <w:t>Escherichia coli</w:t>
      </w:r>
      <w:r>
        <w:t xml:space="preserve"> (</w:t>
      </w:r>
      <w:r w:rsidRPr="00DE4B91">
        <w:rPr>
          <w:i/>
        </w:rPr>
        <w:t>E. coli</w:t>
      </w:r>
      <w:r>
        <w:t>) or thermotolerant coliform (TTC), should not be detected in any 100 mL of drinking water sample, according to drinking water quality criteria (WHO, 2011).</w:t>
      </w:r>
    </w:p>
    <w:p w14:paraId="49876958" w14:textId="77777777" w:rsidR="008B7372" w:rsidRDefault="008B7372" w:rsidP="008B7372">
      <w:pPr>
        <w:spacing w:after="0" w:line="240" w:lineRule="auto"/>
        <w:ind w:firstLine="720"/>
        <w:jc w:val="both"/>
      </w:pPr>
      <w:r>
        <w:t xml:space="preserve">Water-related diseases continue to be the leading cause of death among children under the age of five around the world. These issues are most prevalent in poor countries' rural areas. In recent years, efforts by governments and non-governmental organisations to assure water security and safety have failed in many locations due to a lack of sustainability in water </w:t>
      </w:r>
      <w:r>
        <w:lastRenderedPageBreak/>
        <w:t>supply infrastructures (</w:t>
      </w:r>
      <w:proofErr w:type="spellStart"/>
      <w:r>
        <w:t>Tigabu</w:t>
      </w:r>
      <w:proofErr w:type="spellEnd"/>
      <w:r>
        <w:t xml:space="preserve"> </w:t>
      </w:r>
      <w:r w:rsidRPr="00DE4B91">
        <w:rPr>
          <w:rStyle w:val="Emphasis"/>
        </w:rPr>
        <w:t>et al</w:t>
      </w:r>
      <w:r>
        <w:t>., 2013). However, there has been recent progress in tackling this debacle in Nigeria. As part of its efforts to improve water quality monitoring and surveillance, the federal government has established 12 water quality reference laboratories across Nigeria.</w:t>
      </w:r>
    </w:p>
    <w:p w14:paraId="6AE141B0" w14:textId="77777777" w:rsidR="008B7372" w:rsidRDefault="008B7372" w:rsidP="008B7372">
      <w:pPr>
        <w:spacing w:line="240" w:lineRule="auto"/>
        <w:ind w:firstLine="720"/>
        <w:jc w:val="both"/>
      </w:pPr>
      <w:r>
        <w:t xml:space="preserve">This study was conducted in </w:t>
      </w:r>
      <w:proofErr w:type="spellStart"/>
      <w:r>
        <w:t>Erinle</w:t>
      </w:r>
      <w:proofErr w:type="spellEnd"/>
      <w:r>
        <w:t xml:space="preserve"> River Dam (renamed </w:t>
      </w:r>
      <w:proofErr w:type="spellStart"/>
      <w:r>
        <w:t>Owala</w:t>
      </w:r>
      <w:proofErr w:type="spellEnd"/>
      <w:r>
        <w:t xml:space="preserve"> Dam), in which the dam serves several uses, including water supply, flood control, and fishing. However, a study conducted by Oladejo and Olaleye (2006) in the early 2000s discovered a considerable increase in the prevalence of schistosomiasis, both urinary and intestinal, downstream of the dam. Hence, the need to assess the quality of its water bodies.</w:t>
      </w:r>
    </w:p>
    <w:p w14:paraId="5EA1EC48" w14:textId="77777777" w:rsidR="008B7372" w:rsidRPr="006327B7" w:rsidRDefault="008B7372" w:rsidP="008B7372">
      <w:pPr>
        <w:spacing w:line="240" w:lineRule="auto"/>
        <w:jc w:val="both"/>
        <w:rPr>
          <w:b/>
        </w:rPr>
      </w:pPr>
      <w:r w:rsidRPr="006327B7">
        <w:rPr>
          <w:b/>
        </w:rPr>
        <w:t>METHODOLOGY</w:t>
      </w:r>
    </w:p>
    <w:p w14:paraId="04F25D01" w14:textId="77777777" w:rsidR="008B7372" w:rsidRDefault="008B7372" w:rsidP="008B7372">
      <w:pPr>
        <w:autoSpaceDE w:val="0"/>
        <w:autoSpaceDN w:val="0"/>
        <w:adjustRightInd w:val="0"/>
        <w:spacing w:after="0" w:line="240" w:lineRule="auto"/>
        <w:jc w:val="both"/>
        <w:rPr>
          <w:rFonts w:cs="Times New Roman"/>
          <w:b/>
          <w:i/>
          <w:szCs w:val="24"/>
        </w:rPr>
      </w:pPr>
      <w:bookmarkStart w:id="0" w:name="_Hlk167179855"/>
      <w:r w:rsidRPr="0099036F">
        <w:rPr>
          <w:rFonts w:cs="Times New Roman"/>
          <w:b/>
          <w:i/>
          <w:szCs w:val="24"/>
        </w:rPr>
        <w:t>Study Area</w:t>
      </w:r>
      <w:bookmarkStart w:id="1" w:name="_Hlk167179890"/>
      <w:bookmarkEnd w:id="0"/>
    </w:p>
    <w:p w14:paraId="60E6907B" w14:textId="77777777" w:rsidR="008B7372" w:rsidRDefault="008B7372" w:rsidP="008B7372">
      <w:pPr>
        <w:autoSpaceDE w:val="0"/>
        <w:autoSpaceDN w:val="0"/>
        <w:adjustRightInd w:val="0"/>
        <w:spacing w:after="0" w:line="240" w:lineRule="auto"/>
        <w:ind w:firstLine="720"/>
        <w:jc w:val="both"/>
        <w:rPr>
          <w:rFonts w:eastAsia="Times New Roman" w:cs="Times New Roman"/>
          <w:szCs w:val="24"/>
          <w:lang w:eastAsia="en-GB"/>
        </w:rPr>
      </w:pPr>
      <w:r>
        <w:t xml:space="preserve">The study was conducted in Olorunda Local Government Area (LGA), Osun State, Nigeria (Figure 1). The </w:t>
      </w:r>
      <w:proofErr w:type="spellStart"/>
      <w:r>
        <w:t>Erinle</w:t>
      </w:r>
      <w:proofErr w:type="spellEnd"/>
      <w:r>
        <w:t xml:space="preserve"> River Dam (renamed </w:t>
      </w:r>
      <w:proofErr w:type="spellStart"/>
      <w:r>
        <w:t>Owala</w:t>
      </w:r>
      <w:proofErr w:type="spellEnd"/>
      <w:r>
        <w:t xml:space="preserve"> Dam) with latitude 7.75455430N and longitude 4.4500870E (250-450m above mean sea level) is approximately 12 kilometres upstream of </w:t>
      </w:r>
      <w:proofErr w:type="spellStart"/>
      <w:r>
        <w:t>Okinni</w:t>
      </w:r>
      <w:proofErr w:type="spellEnd"/>
      <w:r>
        <w:t xml:space="preserve"> town and is part of the Osogbo-Ede water supply extension system (Figure 2). The enlarged reservoir was constructed to augment the existing water supply system for cities, towns, and rural villages in Osun Central, Osun West, and Ife. The dam's reservoirs span 12 kilometres north along the </w:t>
      </w:r>
      <w:proofErr w:type="spellStart"/>
      <w:r>
        <w:t>Erinle</w:t>
      </w:r>
      <w:proofErr w:type="spellEnd"/>
      <w:r>
        <w:t xml:space="preserve"> River and its </w:t>
      </w:r>
      <w:proofErr w:type="spellStart"/>
      <w:r>
        <w:t>Otin</w:t>
      </w:r>
      <w:proofErr w:type="spellEnd"/>
      <w:r>
        <w:t xml:space="preserve"> River branch, reaching a maximum width of 3.5 kilometres. The reservoir covers around 14 km</w:t>
      </w:r>
      <w:r w:rsidRPr="00676514">
        <w:rPr>
          <w:vertAlign w:val="superscript"/>
        </w:rPr>
        <w:t>2</w:t>
      </w:r>
      <w:r>
        <w:t xml:space="preserve"> at normal water levels and 15 km</w:t>
      </w:r>
      <w:r w:rsidRPr="00676514">
        <w:rPr>
          <w:vertAlign w:val="superscript"/>
        </w:rPr>
        <w:t>2</w:t>
      </w:r>
      <w:r>
        <w:t xml:space="preserve"> at high water levels </w:t>
      </w:r>
      <w:r>
        <w:rPr>
          <w:rFonts w:eastAsia="Times New Roman" w:cs="Times New Roman"/>
          <w:szCs w:val="24"/>
          <w:lang w:eastAsia="en-GB"/>
        </w:rPr>
        <w:t>(</w:t>
      </w:r>
      <w:proofErr w:type="spellStart"/>
      <w:r w:rsidRPr="00C67A3B">
        <w:rPr>
          <w:rStyle w:val="Strong"/>
          <w:b w:val="0"/>
          <w:bCs w:val="0"/>
        </w:rPr>
        <w:t>Odewumi</w:t>
      </w:r>
      <w:proofErr w:type="spellEnd"/>
      <w:r>
        <w:rPr>
          <w:rStyle w:val="Strong"/>
          <w:b w:val="0"/>
          <w:bCs w:val="0"/>
        </w:rPr>
        <w:t xml:space="preserve"> </w:t>
      </w:r>
      <w:r w:rsidRPr="00C67A3B">
        <w:rPr>
          <w:rStyle w:val="Strong"/>
          <w:b w:val="0"/>
          <w:bCs w:val="0"/>
          <w:i/>
        </w:rPr>
        <w:t>et al</w:t>
      </w:r>
      <w:r w:rsidRPr="00C67A3B">
        <w:rPr>
          <w:rStyle w:val="Strong"/>
          <w:b w:val="0"/>
          <w:bCs w:val="0"/>
        </w:rPr>
        <w:t>., 2019</w:t>
      </w:r>
      <w:r>
        <w:rPr>
          <w:rFonts w:eastAsia="Times New Roman" w:cs="Times New Roman"/>
          <w:szCs w:val="24"/>
          <w:lang w:eastAsia="en-GB"/>
        </w:rPr>
        <w:t xml:space="preserve">). </w:t>
      </w:r>
    </w:p>
    <w:p w14:paraId="0841A377" w14:textId="77777777" w:rsidR="008B7372" w:rsidRPr="00117309" w:rsidRDefault="008B7372" w:rsidP="008B7372">
      <w:pPr>
        <w:autoSpaceDE w:val="0"/>
        <w:autoSpaceDN w:val="0"/>
        <w:adjustRightInd w:val="0"/>
        <w:spacing w:after="0" w:line="240" w:lineRule="auto"/>
        <w:ind w:firstLine="720"/>
        <w:jc w:val="both"/>
        <w:rPr>
          <w:rFonts w:eastAsia="Times New Roman" w:cs="Times New Roman"/>
          <w:szCs w:val="24"/>
          <w:lang w:eastAsia="en-GB"/>
        </w:rPr>
      </w:pPr>
      <w:proofErr w:type="spellStart"/>
      <w:r w:rsidRPr="00117309">
        <w:rPr>
          <w:rFonts w:eastAsia="Times New Roman" w:cs="Times New Roman"/>
          <w:szCs w:val="24"/>
          <w:lang w:eastAsia="en-GB"/>
        </w:rPr>
        <w:t>Ekonde</w:t>
      </w:r>
      <w:proofErr w:type="spellEnd"/>
      <w:r w:rsidRPr="00117309">
        <w:rPr>
          <w:rFonts w:eastAsia="Times New Roman" w:cs="Times New Roman"/>
          <w:szCs w:val="24"/>
          <w:lang w:eastAsia="en-GB"/>
        </w:rPr>
        <w:t xml:space="preserve"> Dam is located in </w:t>
      </w:r>
      <w:proofErr w:type="spellStart"/>
      <w:r w:rsidRPr="00117309">
        <w:rPr>
          <w:rFonts w:eastAsia="Times New Roman" w:cs="Times New Roman"/>
          <w:szCs w:val="24"/>
          <w:lang w:eastAsia="en-GB"/>
        </w:rPr>
        <w:t>Ekonde</w:t>
      </w:r>
      <w:proofErr w:type="spellEnd"/>
      <w:r w:rsidRPr="00117309">
        <w:rPr>
          <w:rFonts w:eastAsia="Times New Roman" w:cs="Times New Roman"/>
          <w:szCs w:val="24"/>
          <w:lang w:eastAsia="en-GB"/>
        </w:rPr>
        <w:t xml:space="preserve"> Town, a rural settlement in Osun State's </w:t>
      </w:r>
      <w:proofErr w:type="spellStart"/>
      <w:r w:rsidRPr="00117309">
        <w:rPr>
          <w:rFonts w:eastAsia="Times New Roman" w:cs="Times New Roman"/>
          <w:szCs w:val="24"/>
          <w:lang w:eastAsia="en-GB"/>
        </w:rPr>
        <w:t>Ifelodun</w:t>
      </w:r>
      <w:proofErr w:type="spellEnd"/>
      <w:r w:rsidRPr="00117309">
        <w:rPr>
          <w:rFonts w:eastAsia="Times New Roman" w:cs="Times New Roman"/>
          <w:szCs w:val="24"/>
          <w:lang w:eastAsia="en-GB"/>
        </w:rPr>
        <w:t xml:space="preserve"> Local Government Area. The dam is an earth structure that was completed in 1979 and has a capacity of 910,000 cubic meters. The reservoir supplies drinking water to the entire local government. The dam can sustain both commercial fishing and tourism (</w:t>
      </w:r>
      <w:proofErr w:type="spellStart"/>
      <w:r w:rsidRPr="00117309">
        <w:rPr>
          <w:rFonts w:eastAsia="Times New Roman" w:cs="Times New Roman"/>
          <w:szCs w:val="24"/>
          <w:lang w:eastAsia="en-GB"/>
        </w:rPr>
        <w:t>Odewumi</w:t>
      </w:r>
      <w:proofErr w:type="spellEnd"/>
      <w:r>
        <w:rPr>
          <w:rFonts w:eastAsia="Times New Roman" w:cs="Times New Roman"/>
          <w:szCs w:val="24"/>
          <w:lang w:eastAsia="en-GB"/>
        </w:rPr>
        <w:t xml:space="preserve"> </w:t>
      </w:r>
      <w:r w:rsidRPr="00DE4B91">
        <w:rPr>
          <w:rFonts w:eastAsia="Times New Roman" w:cs="Times New Roman"/>
          <w:i/>
          <w:szCs w:val="24"/>
          <w:lang w:eastAsia="en-GB"/>
        </w:rPr>
        <w:t>et al</w:t>
      </w:r>
      <w:r w:rsidRPr="00117309">
        <w:rPr>
          <w:rFonts w:eastAsia="Times New Roman" w:cs="Times New Roman"/>
          <w:szCs w:val="24"/>
          <w:lang w:eastAsia="en-GB"/>
        </w:rPr>
        <w:t>., 2019). The region is classified as tropical, with an average annual rainfall of around 1400 mm and an eight-month rainy season (April to November).</w:t>
      </w:r>
    </w:p>
    <w:p w14:paraId="5928CB78" w14:textId="77777777" w:rsidR="008B7372" w:rsidRDefault="008B7372" w:rsidP="008B7372">
      <w:pPr>
        <w:autoSpaceDE w:val="0"/>
        <w:autoSpaceDN w:val="0"/>
        <w:adjustRightInd w:val="0"/>
        <w:spacing w:line="480" w:lineRule="auto"/>
        <w:rPr>
          <w:rFonts w:cs="Times New Roman"/>
          <w:b/>
          <w:bCs/>
          <w:szCs w:val="24"/>
        </w:rPr>
      </w:pPr>
      <w:r>
        <w:rPr>
          <w:rFonts w:cs="Times New Roman"/>
          <w:b/>
          <w:bCs/>
          <w:noProof/>
          <w:szCs w:val="24"/>
          <w:lang w:val="en-US"/>
        </w:rPr>
        <w:drawing>
          <wp:anchor distT="0" distB="0" distL="114300" distR="114300" simplePos="0" relativeHeight="251659264" behindDoc="0" locked="0" layoutInCell="1" allowOverlap="1" wp14:anchorId="5FD19764" wp14:editId="06A9B9B6">
            <wp:simplePos x="0" y="0"/>
            <wp:positionH relativeFrom="column">
              <wp:posOffset>-685800</wp:posOffset>
            </wp:positionH>
            <wp:positionV relativeFrom="paragraph">
              <wp:posOffset>187325</wp:posOffset>
            </wp:positionV>
            <wp:extent cx="5410200" cy="2847975"/>
            <wp:effectExtent l="19050" t="0" r="0" b="0"/>
            <wp:wrapThrough wrapText="bothSides">
              <wp:wrapPolygon edited="0">
                <wp:start x="-76" y="0"/>
                <wp:lineTo x="-76" y="21528"/>
                <wp:lineTo x="21600" y="21528"/>
                <wp:lineTo x="21600" y="0"/>
                <wp:lineTo x="-76" y="0"/>
              </wp:wrapPolygon>
            </wp:wrapThrough>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3-21 at 3.20.14 PM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10200" cy="2847975"/>
                    </a:xfrm>
                    <a:prstGeom prst="rect">
                      <a:avLst/>
                    </a:prstGeom>
                  </pic:spPr>
                </pic:pic>
              </a:graphicData>
            </a:graphic>
          </wp:anchor>
        </w:drawing>
      </w:r>
    </w:p>
    <w:p w14:paraId="0D12A020" w14:textId="77777777" w:rsidR="008B7372" w:rsidRDefault="008B7372" w:rsidP="008B7372">
      <w:pPr>
        <w:autoSpaceDE w:val="0"/>
        <w:autoSpaceDN w:val="0"/>
        <w:adjustRightInd w:val="0"/>
        <w:spacing w:line="480" w:lineRule="auto"/>
        <w:rPr>
          <w:rFonts w:cs="Times New Roman"/>
          <w:b/>
          <w:bCs/>
          <w:szCs w:val="24"/>
        </w:rPr>
      </w:pPr>
    </w:p>
    <w:p w14:paraId="1E95A3D3" w14:textId="77777777" w:rsidR="008B7372" w:rsidRDefault="008B7372" w:rsidP="008B7372">
      <w:pPr>
        <w:autoSpaceDE w:val="0"/>
        <w:autoSpaceDN w:val="0"/>
        <w:adjustRightInd w:val="0"/>
        <w:spacing w:line="480" w:lineRule="auto"/>
        <w:rPr>
          <w:rFonts w:cs="Times New Roman"/>
          <w:b/>
          <w:bCs/>
          <w:szCs w:val="24"/>
        </w:rPr>
      </w:pPr>
    </w:p>
    <w:p w14:paraId="6DBA91F8" w14:textId="77777777" w:rsidR="008B7372" w:rsidRDefault="008B7372" w:rsidP="008B7372">
      <w:pPr>
        <w:autoSpaceDE w:val="0"/>
        <w:autoSpaceDN w:val="0"/>
        <w:adjustRightInd w:val="0"/>
        <w:spacing w:line="480" w:lineRule="auto"/>
        <w:rPr>
          <w:rFonts w:cs="Times New Roman"/>
          <w:b/>
          <w:bCs/>
          <w:szCs w:val="24"/>
        </w:rPr>
      </w:pPr>
    </w:p>
    <w:p w14:paraId="297EB967" w14:textId="77777777" w:rsidR="008B7372" w:rsidRDefault="008B7372" w:rsidP="008B7372">
      <w:pPr>
        <w:autoSpaceDE w:val="0"/>
        <w:autoSpaceDN w:val="0"/>
        <w:adjustRightInd w:val="0"/>
        <w:spacing w:line="480" w:lineRule="auto"/>
        <w:rPr>
          <w:rFonts w:cs="Times New Roman"/>
          <w:b/>
          <w:bCs/>
          <w:szCs w:val="24"/>
        </w:rPr>
      </w:pPr>
    </w:p>
    <w:p w14:paraId="7D9B63E1" w14:textId="77777777" w:rsidR="008B7372" w:rsidRDefault="008B7372" w:rsidP="008B7372">
      <w:pPr>
        <w:autoSpaceDE w:val="0"/>
        <w:autoSpaceDN w:val="0"/>
        <w:adjustRightInd w:val="0"/>
        <w:spacing w:line="480" w:lineRule="auto"/>
        <w:rPr>
          <w:rFonts w:cs="Times New Roman"/>
          <w:b/>
          <w:bCs/>
          <w:szCs w:val="24"/>
        </w:rPr>
      </w:pPr>
    </w:p>
    <w:p w14:paraId="4D53A92C" w14:textId="77777777" w:rsidR="008B7372" w:rsidRDefault="008B7372" w:rsidP="008B7372">
      <w:pPr>
        <w:autoSpaceDE w:val="0"/>
        <w:autoSpaceDN w:val="0"/>
        <w:adjustRightInd w:val="0"/>
        <w:spacing w:line="480" w:lineRule="auto"/>
        <w:rPr>
          <w:rFonts w:cs="Times New Roman"/>
          <w:b/>
          <w:bCs/>
          <w:szCs w:val="24"/>
        </w:rPr>
      </w:pPr>
    </w:p>
    <w:p w14:paraId="1D8DCF55" w14:textId="77777777" w:rsidR="008B7372" w:rsidRDefault="008B7372" w:rsidP="008B7372">
      <w:pPr>
        <w:autoSpaceDE w:val="0"/>
        <w:autoSpaceDN w:val="0"/>
        <w:adjustRightInd w:val="0"/>
        <w:spacing w:line="480" w:lineRule="auto"/>
        <w:rPr>
          <w:rFonts w:cs="Times New Roman"/>
          <w:b/>
          <w:bCs/>
          <w:szCs w:val="24"/>
        </w:rPr>
      </w:pPr>
      <w:r>
        <w:rPr>
          <w:rFonts w:cs="Times New Roman"/>
          <w:b/>
          <w:bCs/>
          <w:szCs w:val="24"/>
        </w:rPr>
        <w:t>Figure 1. Map showing Osun State</w:t>
      </w:r>
    </w:p>
    <w:p w14:paraId="6457BB41" w14:textId="77777777" w:rsidR="008B7372" w:rsidRDefault="008B7372" w:rsidP="008B7372">
      <w:pPr>
        <w:autoSpaceDE w:val="0"/>
        <w:autoSpaceDN w:val="0"/>
        <w:adjustRightInd w:val="0"/>
        <w:spacing w:line="480" w:lineRule="auto"/>
        <w:rPr>
          <w:rFonts w:cs="Times New Roman"/>
          <w:b/>
          <w:bCs/>
          <w:szCs w:val="24"/>
        </w:rPr>
      </w:pPr>
      <w:r>
        <w:rPr>
          <w:rFonts w:cs="Times New Roman"/>
          <w:noProof/>
          <w:szCs w:val="24"/>
          <w:lang w:val="en-US"/>
        </w:rPr>
        <w:lastRenderedPageBreak/>
        <w:drawing>
          <wp:anchor distT="0" distB="0" distL="114300" distR="114300" simplePos="0" relativeHeight="251660288" behindDoc="0" locked="0" layoutInCell="1" allowOverlap="1" wp14:anchorId="3846418D" wp14:editId="7A4D8E2B">
            <wp:simplePos x="0" y="0"/>
            <wp:positionH relativeFrom="column">
              <wp:posOffset>-152400</wp:posOffset>
            </wp:positionH>
            <wp:positionV relativeFrom="paragraph">
              <wp:posOffset>270510</wp:posOffset>
            </wp:positionV>
            <wp:extent cx="4876800" cy="2667000"/>
            <wp:effectExtent l="0" t="0" r="0" b="0"/>
            <wp:wrapThrough wrapText="bothSides">
              <wp:wrapPolygon edited="0">
                <wp:start x="0" y="0"/>
                <wp:lineTo x="0" y="21446"/>
                <wp:lineTo x="21516" y="21446"/>
                <wp:lineTo x="21516" y="0"/>
                <wp:lineTo x="0" y="0"/>
              </wp:wrapPolygon>
            </wp:wrapThrough>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3-21 at 3.20.14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6800" cy="2667000"/>
                    </a:xfrm>
                    <a:prstGeom prst="rect">
                      <a:avLst/>
                    </a:prstGeom>
                  </pic:spPr>
                </pic:pic>
              </a:graphicData>
            </a:graphic>
          </wp:anchor>
        </w:drawing>
      </w:r>
    </w:p>
    <w:p w14:paraId="14B7A27A" w14:textId="77777777" w:rsidR="008B7372" w:rsidRDefault="008B7372" w:rsidP="008B7372">
      <w:pPr>
        <w:autoSpaceDE w:val="0"/>
        <w:autoSpaceDN w:val="0"/>
        <w:adjustRightInd w:val="0"/>
        <w:spacing w:line="480" w:lineRule="auto"/>
        <w:rPr>
          <w:rFonts w:cs="Times New Roman"/>
          <w:b/>
          <w:bCs/>
          <w:szCs w:val="24"/>
        </w:rPr>
      </w:pPr>
    </w:p>
    <w:p w14:paraId="63E0F171" w14:textId="77777777" w:rsidR="008B7372" w:rsidRDefault="008B7372" w:rsidP="008B7372">
      <w:pPr>
        <w:autoSpaceDE w:val="0"/>
        <w:autoSpaceDN w:val="0"/>
        <w:adjustRightInd w:val="0"/>
        <w:spacing w:line="480" w:lineRule="auto"/>
        <w:rPr>
          <w:rFonts w:cs="Times New Roman"/>
          <w:b/>
          <w:bCs/>
          <w:szCs w:val="24"/>
        </w:rPr>
      </w:pPr>
    </w:p>
    <w:p w14:paraId="479B750F" w14:textId="77777777" w:rsidR="008B7372" w:rsidRDefault="008B7372" w:rsidP="008B7372">
      <w:pPr>
        <w:autoSpaceDE w:val="0"/>
        <w:autoSpaceDN w:val="0"/>
        <w:adjustRightInd w:val="0"/>
        <w:spacing w:line="480" w:lineRule="auto"/>
        <w:rPr>
          <w:rFonts w:cs="Times New Roman"/>
          <w:b/>
          <w:bCs/>
          <w:szCs w:val="24"/>
        </w:rPr>
      </w:pPr>
    </w:p>
    <w:p w14:paraId="31E6A7B4" w14:textId="77777777" w:rsidR="008B7372" w:rsidRDefault="008B7372" w:rsidP="008B7372">
      <w:pPr>
        <w:autoSpaceDE w:val="0"/>
        <w:autoSpaceDN w:val="0"/>
        <w:adjustRightInd w:val="0"/>
        <w:spacing w:line="480" w:lineRule="auto"/>
        <w:rPr>
          <w:rFonts w:cs="Times New Roman"/>
          <w:b/>
          <w:bCs/>
          <w:szCs w:val="24"/>
        </w:rPr>
      </w:pPr>
    </w:p>
    <w:p w14:paraId="78BC6367" w14:textId="77777777" w:rsidR="008B7372" w:rsidRDefault="008B7372" w:rsidP="008B7372">
      <w:pPr>
        <w:autoSpaceDE w:val="0"/>
        <w:autoSpaceDN w:val="0"/>
        <w:adjustRightInd w:val="0"/>
        <w:spacing w:line="480" w:lineRule="auto"/>
        <w:rPr>
          <w:rFonts w:cs="Times New Roman"/>
          <w:b/>
          <w:bCs/>
          <w:szCs w:val="24"/>
        </w:rPr>
      </w:pPr>
    </w:p>
    <w:p w14:paraId="6E3E5D67" w14:textId="77777777" w:rsidR="008B7372" w:rsidRDefault="008B7372" w:rsidP="008B7372">
      <w:pPr>
        <w:autoSpaceDE w:val="0"/>
        <w:autoSpaceDN w:val="0"/>
        <w:adjustRightInd w:val="0"/>
        <w:spacing w:line="480" w:lineRule="auto"/>
        <w:rPr>
          <w:rFonts w:cs="Times New Roman"/>
          <w:b/>
          <w:bCs/>
          <w:szCs w:val="24"/>
        </w:rPr>
      </w:pPr>
    </w:p>
    <w:p w14:paraId="69922357" w14:textId="77777777" w:rsidR="008B7372" w:rsidRDefault="008B7372" w:rsidP="008B7372">
      <w:pPr>
        <w:autoSpaceDE w:val="0"/>
        <w:autoSpaceDN w:val="0"/>
        <w:adjustRightInd w:val="0"/>
        <w:spacing w:line="240" w:lineRule="auto"/>
        <w:rPr>
          <w:rFonts w:cs="Times New Roman"/>
          <w:b/>
          <w:bCs/>
          <w:szCs w:val="24"/>
        </w:rPr>
      </w:pPr>
      <w:r>
        <w:rPr>
          <w:rFonts w:cs="Times New Roman"/>
          <w:b/>
          <w:bCs/>
          <w:szCs w:val="24"/>
        </w:rPr>
        <w:t>Figure 2. Map showing study areas with sampling sites</w:t>
      </w:r>
    </w:p>
    <w:p w14:paraId="2662A23D" w14:textId="77777777" w:rsidR="008B7372" w:rsidRDefault="008B7372" w:rsidP="008B7372">
      <w:pPr>
        <w:autoSpaceDE w:val="0"/>
        <w:autoSpaceDN w:val="0"/>
        <w:adjustRightInd w:val="0"/>
        <w:spacing w:line="240" w:lineRule="auto"/>
        <w:jc w:val="both"/>
        <w:rPr>
          <w:rFonts w:cs="Times New Roman"/>
          <w:b/>
          <w:bCs/>
          <w:i/>
          <w:szCs w:val="24"/>
        </w:rPr>
      </w:pPr>
      <w:r w:rsidRPr="003929A8">
        <w:rPr>
          <w:rFonts w:cs="Times New Roman"/>
          <w:b/>
          <w:bCs/>
          <w:i/>
          <w:szCs w:val="24"/>
        </w:rPr>
        <w:t>Sample collection</w:t>
      </w:r>
      <w:bookmarkStart w:id="2" w:name="_Hlk167179928"/>
      <w:bookmarkEnd w:id="1"/>
    </w:p>
    <w:p w14:paraId="30F6CBA3" w14:textId="77777777" w:rsidR="008B7372" w:rsidRPr="003929A8" w:rsidRDefault="008B7372" w:rsidP="008B7372">
      <w:pPr>
        <w:autoSpaceDE w:val="0"/>
        <w:autoSpaceDN w:val="0"/>
        <w:adjustRightInd w:val="0"/>
        <w:spacing w:line="240" w:lineRule="auto"/>
        <w:ind w:firstLine="720"/>
        <w:jc w:val="both"/>
        <w:rPr>
          <w:rFonts w:eastAsia="Times New Roman" w:cs="Times New Roman"/>
          <w:szCs w:val="24"/>
          <w:lang w:eastAsia="en-GB"/>
        </w:rPr>
      </w:pPr>
      <w:r w:rsidRPr="003929A8">
        <w:rPr>
          <w:rFonts w:eastAsia="Times New Roman" w:cs="Times New Roman"/>
          <w:szCs w:val="24"/>
          <w:lang w:eastAsia="en-GB"/>
        </w:rPr>
        <w:t>Water samples were collected from the Oba-Ile River (</w:t>
      </w:r>
      <w:proofErr w:type="spellStart"/>
      <w:r w:rsidRPr="003929A8">
        <w:rPr>
          <w:rFonts w:eastAsia="Times New Roman" w:cs="Times New Roman"/>
          <w:szCs w:val="24"/>
          <w:lang w:eastAsia="en-GB"/>
        </w:rPr>
        <w:t>Owala</w:t>
      </w:r>
      <w:proofErr w:type="spellEnd"/>
      <w:r w:rsidRPr="003929A8">
        <w:rPr>
          <w:rFonts w:eastAsia="Times New Roman" w:cs="Times New Roman"/>
          <w:szCs w:val="24"/>
          <w:lang w:eastAsia="en-GB"/>
        </w:rPr>
        <w:t xml:space="preserve"> dam) once a month for three years (October 2021 to October 2024) at 9 a.m. at the researched sites (</w:t>
      </w:r>
      <w:proofErr w:type="spellStart"/>
      <w:r w:rsidRPr="003929A8">
        <w:rPr>
          <w:rFonts w:eastAsia="Times New Roman" w:cs="Times New Roman"/>
          <w:szCs w:val="24"/>
          <w:lang w:eastAsia="en-GB"/>
        </w:rPr>
        <w:t>Owala</w:t>
      </w:r>
      <w:proofErr w:type="spellEnd"/>
      <w:r w:rsidRPr="003929A8">
        <w:rPr>
          <w:rFonts w:eastAsia="Times New Roman" w:cs="Times New Roman"/>
          <w:szCs w:val="24"/>
          <w:lang w:eastAsia="en-GB"/>
        </w:rPr>
        <w:t xml:space="preserve"> dam) in </w:t>
      </w:r>
      <w:proofErr w:type="spellStart"/>
      <w:r w:rsidRPr="003929A8">
        <w:rPr>
          <w:rFonts w:eastAsia="Times New Roman" w:cs="Times New Roman"/>
          <w:szCs w:val="24"/>
          <w:lang w:eastAsia="en-GB"/>
        </w:rPr>
        <w:t>Olorunda</w:t>
      </w:r>
      <w:proofErr w:type="spellEnd"/>
      <w:r w:rsidRPr="003929A8">
        <w:rPr>
          <w:rFonts w:eastAsia="Times New Roman" w:cs="Times New Roman"/>
          <w:szCs w:val="24"/>
          <w:lang w:eastAsia="en-GB"/>
        </w:rPr>
        <w:t xml:space="preserve"> Local Government Area, Osun State, Nigeria. The water was taken from three separate sampling stations inside the water body: upstream, midstream, and downstream. Two and a half litres of water were collected from the subs</w:t>
      </w:r>
      <w:r>
        <w:rPr>
          <w:rFonts w:eastAsia="Times New Roman" w:cs="Times New Roman"/>
          <w:szCs w:val="24"/>
          <w:lang w:eastAsia="en-GB"/>
        </w:rPr>
        <w:t>urface water with</w:t>
      </w:r>
      <w:r w:rsidRPr="003929A8">
        <w:rPr>
          <w:rFonts w:eastAsia="Times New Roman" w:cs="Times New Roman"/>
          <w:szCs w:val="24"/>
          <w:lang w:eastAsia="en-GB"/>
        </w:rPr>
        <w:t xml:space="preserve"> white plastic kegs and immediately transported to the laboratory for physicochemical investigation.</w:t>
      </w:r>
    </w:p>
    <w:p w14:paraId="06EEFF04" w14:textId="77777777" w:rsidR="008B7372" w:rsidRPr="003929A8" w:rsidRDefault="008B7372" w:rsidP="008B7372">
      <w:pPr>
        <w:autoSpaceDE w:val="0"/>
        <w:autoSpaceDN w:val="0"/>
        <w:adjustRightInd w:val="0"/>
        <w:spacing w:line="240" w:lineRule="auto"/>
        <w:jc w:val="both"/>
        <w:rPr>
          <w:rFonts w:cs="Times New Roman"/>
          <w:b/>
          <w:bCs/>
          <w:i/>
          <w:szCs w:val="24"/>
        </w:rPr>
      </w:pPr>
      <w:r>
        <w:rPr>
          <w:rFonts w:cs="Times New Roman"/>
          <w:b/>
          <w:bCs/>
          <w:i/>
          <w:szCs w:val="24"/>
        </w:rPr>
        <w:t>Physicoc</w:t>
      </w:r>
      <w:r w:rsidRPr="003929A8">
        <w:rPr>
          <w:rFonts w:cs="Times New Roman"/>
          <w:b/>
          <w:bCs/>
          <w:i/>
          <w:szCs w:val="24"/>
        </w:rPr>
        <w:t>hemical Analysis</w:t>
      </w:r>
    </w:p>
    <w:p w14:paraId="19B9E4EB" w14:textId="77777777" w:rsidR="008B7372" w:rsidRDefault="008B7372" w:rsidP="008B7372">
      <w:pPr>
        <w:autoSpaceDE w:val="0"/>
        <w:autoSpaceDN w:val="0"/>
        <w:adjustRightInd w:val="0"/>
        <w:spacing w:line="240" w:lineRule="auto"/>
        <w:jc w:val="both"/>
        <w:rPr>
          <w:rFonts w:cs="Times New Roman"/>
          <w:b/>
          <w:i/>
          <w:szCs w:val="24"/>
        </w:rPr>
      </w:pPr>
      <w:r w:rsidRPr="003929A8">
        <w:rPr>
          <w:rFonts w:cs="Times New Roman"/>
          <w:b/>
          <w:i/>
          <w:szCs w:val="24"/>
        </w:rPr>
        <w:t xml:space="preserve">Temperature </w:t>
      </w:r>
    </w:p>
    <w:p w14:paraId="0B8FC226" w14:textId="77777777" w:rsidR="008B7372" w:rsidRPr="00431C46" w:rsidRDefault="008B7372" w:rsidP="008B7372">
      <w:pPr>
        <w:autoSpaceDE w:val="0"/>
        <w:autoSpaceDN w:val="0"/>
        <w:adjustRightInd w:val="0"/>
        <w:spacing w:line="240" w:lineRule="auto"/>
        <w:ind w:firstLine="720"/>
        <w:jc w:val="both"/>
        <w:rPr>
          <w:rFonts w:eastAsia="Times New Roman" w:cs="Times New Roman"/>
          <w:szCs w:val="24"/>
          <w:lang w:eastAsia="en-GB"/>
        </w:rPr>
      </w:pPr>
      <w:r w:rsidRPr="003929A8">
        <w:rPr>
          <w:rFonts w:eastAsia="Times New Roman" w:cs="Times New Roman"/>
          <w:szCs w:val="24"/>
          <w:lang w:eastAsia="en-GB"/>
        </w:rPr>
        <w:t>The water temperature was measured in the field using a simple mercury-in-glass thermometer (0-110</w:t>
      </w:r>
      <w:r w:rsidRPr="003929A8">
        <w:rPr>
          <w:rFonts w:eastAsia="Times New Roman" w:cs="Times New Roman"/>
          <w:szCs w:val="24"/>
          <w:vertAlign w:val="superscript"/>
          <w:lang w:eastAsia="en-GB"/>
        </w:rPr>
        <w:t>0</w:t>
      </w:r>
      <w:r w:rsidRPr="003929A8">
        <w:rPr>
          <w:rFonts w:eastAsia="Times New Roman" w:cs="Times New Roman"/>
          <w:szCs w:val="24"/>
          <w:lang w:eastAsia="en-GB"/>
        </w:rPr>
        <w:t>C)</w:t>
      </w:r>
      <w:r>
        <w:rPr>
          <w:rFonts w:eastAsia="Times New Roman" w:cs="Times New Roman"/>
          <w:szCs w:val="24"/>
          <w:lang w:eastAsia="en-GB"/>
        </w:rPr>
        <w:t xml:space="preserve"> graduated at 0.1</w:t>
      </w:r>
      <w:r w:rsidRPr="003929A8">
        <w:rPr>
          <w:rFonts w:eastAsia="Times New Roman" w:cs="Times New Roman"/>
          <w:szCs w:val="24"/>
          <w:vertAlign w:val="superscript"/>
          <w:lang w:eastAsia="en-GB"/>
        </w:rPr>
        <w:t>0</w:t>
      </w:r>
      <w:r w:rsidRPr="003929A8">
        <w:rPr>
          <w:rFonts w:eastAsia="Times New Roman" w:cs="Times New Roman"/>
          <w:szCs w:val="24"/>
          <w:lang w:eastAsia="en-GB"/>
        </w:rPr>
        <w:t>C intervals. The thermometer was lowered directly into the water body and when the mercury stabilised at a point, the temperature value was read. Three readings wer</w:t>
      </w:r>
      <w:r>
        <w:rPr>
          <w:rFonts w:eastAsia="Times New Roman" w:cs="Times New Roman"/>
          <w:szCs w:val="24"/>
          <w:lang w:eastAsia="en-GB"/>
        </w:rPr>
        <w:t xml:space="preserve">e taken and the average </w:t>
      </w:r>
      <w:r w:rsidRPr="003929A8">
        <w:rPr>
          <w:rFonts w:eastAsia="Times New Roman" w:cs="Times New Roman"/>
          <w:szCs w:val="24"/>
          <w:lang w:eastAsia="en-GB"/>
        </w:rPr>
        <w:t>was calculated and recorded as the subsurface water temperature for that site (</w:t>
      </w:r>
      <w:proofErr w:type="spellStart"/>
      <w:r w:rsidRPr="003929A8">
        <w:rPr>
          <w:rFonts w:eastAsia="Times New Roman" w:cs="Times New Roman"/>
          <w:szCs w:val="24"/>
          <w:lang w:eastAsia="en-GB"/>
        </w:rPr>
        <w:t>Bilewu</w:t>
      </w:r>
      <w:proofErr w:type="spellEnd"/>
      <w:r>
        <w:rPr>
          <w:rFonts w:eastAsia="Times New Roman" w:cs="Times New Roman"/>
          <w:szCs w:val="24"/>
          <w:lang w:eastAsia="en-GB"/>
        </w:rPr>
        <w:t xml:space="preserve"> </w:t>
      </w:r>
      <w:r w:rsidRPr="00DE4B91">
        <w:rPr>
          <w:rFonts w:eastAsia="Times New Roman" w:cs="Times New Roman"/>
          <w:i/>
          <w:szCs w:val="24"/>
          <w:lang w:eastAsia="en-GB"/>
        </w:rPr>
        <w:t>et al</w:t>
      </w:r>
      <w:r w:rsidRPr="003929A8">
        <w:rPr>
          <w:rFonts w:eastAsia="Times New Roman" w:cs="Times New Roman"/>
          <w:szCs w:val="24"/>
          <w:lang w:eastAsia="en-GB"/>
        </w:rPr>
        <w:t>., 2022).</w:t>
      </w:r>
    </w:p>
    <w:p w14:paraId="2517D6D1" w14:textId="77777777" w:rsidR="008B7372" w:rsidRDefault="008B7372" w:rsidP="008B7372">
      <w:pPr>
        <w:autoSpaceDE w:val="0"/>
        <w:autoSpaceDN w:val="0"/>
        <w:adjustRightInd w:val="0"/>
        <w:spacing w:line="240" w:lineRule="auto"/>
        <w:jc w:val="both"/>
        <w:rPr>
          <w:rFonts w:cs="Times New Roman"/>
          <w:i/>
          <w:szCs w:val="24"/>
        </w:rPr>
      </w:pPr>
      <w:r w:rsidRPr="00550C58">
        <w:rPr>
          <w:rFonts w:cs="Times New Roman"/>
          <w:b/>
          <w:i/>
          <w:szCs w:val="24"/>
        </w:rPr>
        <w:t>Hydrogen Ion Concentration (pH)</w:t>
      </w:r>
    </w:p>
    <w:p w14:paraId="1E98CD72" w14:textId="77777777" w:rsidR="008B7372" w:rsidRPr="008F674C" w:rsidRDefault="008B7372" w:rsidP="008B7372">
      <w:pPr>
        <w:autoSpaceDE w:val="0"/>
        <w:autoSpaceDN w:val="0"/>
        <w:adjustRightInd w:val="0"/>
        <w:spacing w:line="240" w:lineRule="auto"/>
        <w:ind w:firstLine="720"/>
        <w:jc w:val="both"/>
        <w:rPr>
          <w:rFonts w:cs="Times New Roman"/>
          <w:i/>
          <w:szCs w:val="24"/>
        </w:rPr>
      </w:pPr>
      <w:r w:rsidRPr="008F674C">
        <w:rPr>
          <w:rFonts w:eastAsia="Times New Roman" w:cs="Times New Roman"/>
          <w:szCs w:val="24"/>
          <w:lang w:eastAsia="en-GB"/>
        </w:rPr>
        <w:t>This was determined in situ with a conventional pH meter (</w:t>
      </w:r>
      <w:proofErr w:type="spellStart"/>
      <w:r w:rsidRPr="008F674C">
        <w:rPr>
          <w:rFonts w:eastAsia="Times New Roman" w:cs="Times New Roman"/>
          <w:szCs w:val="24"/>
          <w:lang w:eastAsia="en-GB"/>
        </w:rPr>
        <w:t>Mueel</w:t>
      </w:r>
      <w:proofErr w:type="spellEnd"/>
      <w:r w:rsidRPr="008F674C">
        <w:rPr>
          <w:rFonts w:eastAsia="Times New Roman" w:cs="Times New Roman"/>
          <w:szCs w:val="24"/>
          <w:lang w:eastAsia="en-GB"/>
        </w:rPr>
        <w:t>). Readings were acquired by lowering the pH meter's probe into the water sample and recording the value on the meter. This was repeated three times, and the average of the measurements was calculated and recorded as the pH of each site (Patil</w:t>
      </w:r>
      <w:r>
        <w:rPr>
          <w:rFonts w:eastAsia="Times New Roman" w:cs="Times New Roman"/>
          <w:szCs w:val="24"/>
          <w:lang w:eastAsia="en-GB"/>
        </w:rPr>
        <w:t xml:space="preserve"> </w:t>
      </w:r>
      <w:r w:rsidRPr="00DE4B91">
        <w:rPr>
          <w:rFonts w:eastAsia="Times New Roman" w:cs="Times New Roman"/>
          <w:i/>
          <w:szCs w:val="24"/>
          <w:lang w:eastAsia="en-GB"/>
        </w:rPr>
        <w:t>et al</w:t>
      </w:r>
      <w:r w:rsidRPr="008F674C">
        <w:rPr>
          <w:rFonts w:eastAsia="Times New Roman" w:cs="Times New Roman"/>
          <w:szCs w:val="24"/>
          <w:lang w:eastAsia="en-GB"/>
        </w:rPr>
        <w:t>., 2012).</w:t>
      </w:r>
    </w:p>
    <w:p w14:paraId="670E46C2" w14:textId="77777777" w:rsidR="008B7372" w:rsidRDefault="008B7372" w:rsidP="008B7372">
      <w:pPr>
        <w:autoSpaceDE w:val="0"/>
        <w:autoSpaceDN w:val="0"/>
        <w:adjustRightInd w:val="0"/>
        <w:spacing w:line="240" w:lineRule="auto"/>
        <w:jc w:val="both"/>
        <w:rPr>
          <w:rFonts w:cs="Times New Roman"/>
          <w:b/>
          <w:szCs w:val="24"/>
        </w:rPr>
      </w:pPr>
      <w:r>
        <w:rPr>
          <w:rFonts w:cs="Times New Roman"/>
          <w:b/>
          <w:szCs w:val="24"/>
        </w:rPr>
        <w:t>The Dissolved O</w:t>
      </w:r>
      <w:r w:rsidRPr="005529C8">
        <w:rPr>
          <w:rFonts w:cs="Times New Roman"/>
          <w:b/>
          <w:szCs w:val="24"/>
        </w:rPr>
        <w:t>xygen (DO)</w:t>
      </w:r>
      <w:bookmarkEnd w:id="2"/>
    </w:p>
    <w:p w14:paraId="29BD7118" w14:textId="77777777" w:rsidR="008B7372" w:rsidRPr="002E540E" w:rsidRDefault="008B7372" w:rsidP="008B7372">
      <w:pPr>
        <w:autoSpaceDE w:val="0"/>
        <w:autoSpaceDN w:val="0"/>
        <w:adjustRightInd w:val="0"/>
        <w:spacing w:line="240" w:lineRule="auto"/>
        <w:ind w:firstLine="720"/>
        <w:jc w:val="both"/>
        <w:rPr>
          <w:rFonts w:cs="Times New Roman"/>
          <w:b/>
          <w:szCs w:val="24"/>
        </w:rPr>
      </w:pPr>
      <w:r w:rsidRPr="002E540E">
        <w:rPr>
          <w:rFonts w:eastAsia="Times New Roman" w:cs="Times New Roman"/>
          <w:szCs w:val="24"/>
          <w:lang w:eastAsia="en-GB"/>
        </w:rPr>
        <w:t xml:space="preserve">The dissolved oxygen was determined in the laboratory by utilising the </w:t>
      </w:r>
      <w:proofErr w:type="spellStart"/>
      <w:r w:rsidRPr="002E540E">
        <w:rPr>
          <w:rFonts w:eastAsia="Times New Roman" w:cs="Times New Roman"/>
          <w:szCs w:val="24"/>
          <w:lang w:eastAsia="en-GB"/>
        </w:rPr>
        <w:t>iodmetric</w:t>
      </w:r>
      <w:proofErr w:type="spellEnd"/>
      <w:r w:rsidRPr="002E540E">
        <w:rPr>
          <w:rFonts w:eastAsia="Times New Roman" w:cs="Times New Roman"/>
          <w:szCs w:val="24"/>
          <w:lang w:eastAsia="en-GB"/>
        </w:rPr>
        <w:t xml:space="preserve"> (Winkler’s) method (</w:t>
      </w:r>
      <w:proofErr w:type="spellStart"/>
      <w:r w:rsidRPr="002E540E">
        <w:rPr>
          <w:rFonts w:eastAsia="Times New Roman" w:cs="Times New Roman"/>
          <w:szCs w:val="24"/>
          <w:lang w:eastAsia="en-GB"/>
        </w:rPr>
        <w:t>Clesceri</w:t>
      </w:r>
      <w:proofErr w:type="spellEnd"/>
      <w:r>
        <w:rPr>
          <w:rFonts w:eastAsia="Times New Roman" w:cs="Times New Roman"/>
          <w:szCs w:val="24"/>
          <w:lang w:eastAsia="en-GB"/>
        </w:rPr>
        <w:t xml:space="preserve"> </w:t>
      </w:r>
      <w:r w:rsidRPr="00DE4B91">
        <w:rPr>
          <w:rFonts w:eastAsia="Times New Roman" w:cs="Times New Roman"/>
          <w:i/>
          <w:szCs w:val="24"/>
          <w:lang w:eastAsia="en-GB"/>
        </w:rPr>
        <w:t>et al</w:t>
      </w:r>
      <w:r w:rsidRPr="002E540E">
        <w:rPr>
          <w:rFonts w:eastAsia="Times New Roman" w:cs="Times New Roman"/>
          <w:szCs w:val="24"/>
          <w:lang w:eastAsia="en-GB"/>
        </w:rPr>
        <w:t xml:space="preserve">., 1998). The water samples </w:t>
      </w:r>
      <w:proofErr w:type="gramStart"/>
      <w:r w:rsidRPr="002E540E">
        <w:rPr>
          <w:rFonts w:eastAsia="Times New Roman" w:cs="Times New Roman"/>
          <w:szCs w:val="24"/>
          <w:lang w:eastAsia="en-GB"/>
        </w:rPr>
        <w:t>was</w:t>
      </w:r>
      <w:proofErr w:type="gramEnd"/>
      <w:r w:rsidRPr="002E540E">
        <w:rPr>
          <w:rFonts w:eastAsia="Times New Roman" w:cs="Times New Roman"/>
          <w:szCs w:val="24"/>
          <w:lang w:eastAsia="en-GB"/>
        </w:rPr>
        <w:t xml:space="preserve"> collected by utilising the dark coloured 250mL BOD bottles which was fixed in the field by adding 1.0 mL of Wrinkler’s solution (manganese (ii) </w:t>
      </w:r>
      <w:proofErr w:type="spellStart"/>
      <w:r w:rsidRPr="002E540E">
        <w:rPr>
          <w:rFonts w:eastAsia="Times New Roman" w:cs="Times New Roman"/>
          <w:szCs w:val="24"/>
          <w:lang w:eastAsia="en-GB"/>
        </w:rPr>
        <w:t>tetraoxosulphate</w:t>
      </w:r>
      <w:proofErr w:type="spellEnd"/>
      <w:r w:rsidRPr="002E540E">
        <w:rPr>
          <w:rFonts w:eastAsia="Times New Roman" w:cs="Times New Roman"/>
          <w:szCs w:val="24"/>
          <w:lang w:eastAsia="en-GB"/>
        </w:rPr>
        <w:t xml:space="preserve"> (vi) and 1.0 mL of Wrinkler’s solution II (Sodium Hydroxide and sodium iodide) using a 2.0 mL pipette. In the laboratory, 20.0 mL of water sample was pipetted into 250mL flat bottom conical flasks, and 0.0125 M </w:t>
      </w:r>
      <w:r w:rsidRPr="002E540E">
        <w:rPr>
          <w:rFonts w:eastAsia="Times New Roman" w:cs="Times New Roman"/>
          <w:szCs w:val="24"/>
          <w:lang w:eastAsia="en-GB"/>
        </w:rPr>
        <w:lastRenderedPageBreak/>
        <w:t xml:space="preserve">standardised disodium </w:t>
      </w:r>
      <w:proofErr w:type="spellStart"/>
      <w:r w:rsidRPr="002E540E">
        <w:rPr>
          <w:rFonts w:eastAsia="Times New Roman" w:cs="Times New Roman"/>
          <w:szCs w:val="24"/>
          <w:lang w:eastAsia="en-GB"/>
        </w:rPr>
        <w:t>trioxosulphate</w:t>
      </w:r>
      <w:proofErr w:type="spellEnd"/>
      <w:r w:rsidRPr="002E540E">
        <w:rPr>
          <w:rFonts w:eastAsia="Times New Roman" w:cs="Times New Roman"/>
          <w:szCs w:val="24"/>
          <w:lang w:eastAsia="en-GB"/>
        </w:rPr>
        <w:t xml:space="preserve"> (iv) solution was titrated with 2.0 mL of 1.0% starch solution as an indicator (</w:t>
      </w:r>
      <w:proofErr w:type="spellStart"/>
      <w:r w:rsidRPr="002E540E">
        <w:rPr>
          <w:rFonts w:eastAsia="Times New Roman" w:cs="Times New Roman"/>
          <w:szCs w:val="24"/>
          <w:lang w:eastAsia="en-GB"/>
        </w:rPr>
        <w:t>Bilewu</w:t>
      </w:r>
      <w:proofErr w:type="spellEnd"/>
      <w:r>
        <w:rPr>
          <w:rFonts w:eastAsia="Times New Roman" w:cs="Times New Roman"/>
          <w:szCs w:val="24"/>
          <w:lang w:eastAsia="en-GB"/>
        </w:rPr>
        <w:t xml:space="preserve"> </w:t>
      </w:r>
      <w:r w:rsidRPr="00DE4B91">
        <w:rPr>
          <w:rFonts w:eastAsia="Times New Roman" w:cs="Times New Roman"/>
          <w:i/>
          <w:szCs w:val="24"/>
          <w:lang w:eastAsia="en-GB"/>
        </w:rPr>
        <w:t>et al</w:t>
      </w:r>
      <w:r w:rsidRPr="002E540E">
        <w:rPr>
          <w:rFonts w:eastAsia="Times New Roman" w:cs="Times New Roman"/>
          <w:szCs w:val="24"/>
          <w:lang w:eastAsia="en-GB"/>
        </w:rPr>
        <w:t xml:space="preserve">., 2022). The point at which the blue colour first fades represents the conclusion of each </w:t>
      </w:r>
      <w:proofErr w:type="spellStart"/>
      <w:proofErr w:type="gramStart"/>
      <w:r w:rsidRPr="002E540E">
        <w:rPr>
          <w:rFonts w:eastAsia="Times New Roman" w:cs="Times New Roman"/>
          <w:szCs w:val="24"/>
          <w:lang w:eastAsia="en-GB"/>
        </w:rPr>
        <w:t>titration.The</w:t>
      </w:r>
      <w:proofErr w:type="spellEnd"/>
      <w:proofErr w:type="gramEnd"/>
      <w:r w:rsidRPr="002E540E">
        <w:rPr>
          <w:rFonts w:eastAsia="Times New Roman" w:cs="Times New Roman"/>
          <w:szCs w:val="24"/>
          <w:lang w:eastAsia="en-GB"/>
        </w:rPr>
        <w:t xml:space="preserve"> titration was done three times to obtain the average titre value. The average titre value was used to compute the dissolved oxygen concentration in mg/L using the formula.</w:t>
      </w:r>
    </w:p>
    <w:p w14:paraId="63A87FC8" w14:textId="77777777" w:rsidR="008B7372" w:rsidRDefault="008B7372" w:rsidP="008B7372">
      <w:pPr>
        <w:autoSpaceDE w:val="0"/>
        <w:autoSpaceDN w:val="0"/>
        <w:adjustRightInd w:val="0"/>
        <w:spacing w:line="240" w:lineRule="auto"/>
        <w:jc w:val="both"/>
        <w:rPr>
          <w:rFonts w:cs="Times New Roman"/>
          <w:szCs w:val="24"/>
        </w:rPr>
      </w:pPr>
      <w:r>
        <w:rPr>
          <w:rFonts w:cs="Times New Roman"/>
          <w:szCs w:val="24"/>
        </w:rPr>
        <w:tab/>
      </w:r>
      <w:r>
        <w:rPr>
          <w:rFonts w:cs="Times New Roman"/>
          <w:szCs w:val="24"/>
        </w:rPr>
        <w:tab/>
      </w:r>
      <m:oMath>
        <m:r>
          <w:rPr>
            <w:rFonts w:ascii="Cambria Math" w:hAnsi="Cambria Math" w:cs="Times New Roman"/>
            <w:szCs w:val="24"/>
          </w:rPr>
          <m:t>20mg/l=</m:t>
        </m:r>
        <m:f>
          <m:fPr>
            <m:ctrlPr>
              <w:rPr>
                <w:rFonts w:ascii="Cambria Math" w:eastAsiaTheme="minorEastAsia" w:hAnsi="Cambria Math" w:cs="Times New Roman"/>
                <w:i/>
                <w:szCs w:val="24"/>
              </w:rPr>
            </m:ctrlPr>
          </m:fPr>
          <m:num>
            <m:r>
              <w:rPr>
                <w:rFonts w:ascii="Cambria Math" w:hAnsi="Cambria Math" w:cs="Times New Roman"/>
                <w:szCs w:val="24"/>
              </w:rPr>
              <m:t>t×101.6</m:t>
            </m:r>
          </m:num>
          <m:den>
            <m:r>
              <m:rPr>
                <m:sty m:val="p"/>
              </m:rPr>
              <w:rPr>
                <w:rFonts w:ascii="Cambria Math" w:hAnsi="Cambria Math" w:cs="Times New Roman"/>
                <w:szCs w:val="24"/>
              </w:rPr>
              <m:t>20mL of water sample</m:t>
            </m:r>
          </m:den>
        </m:f>
      </m:oMath>
      <w:r>
        <w:rPr>
          <w:rFonts w:cs="Times New Roman"/>
          <w:szCs w:val="24"/>
        </w:rPr>
        <w:tab/>
      </w:r>
      <w:r>
        <w:rPr>
          <w:rFonts w:cs="Times New Roman"/>
          <w:szCs w:val="24"/>
        </w:rPr>
        <w:tab/>
      </w:r>
      <w:r>
        <w:rPr>
          <w:rFonts w:cs="Times New Roman"/>
          <w:szCs w:val="24"/>
        </w:rPr>
        <w:tab/>
      </w:r>
      <w:r>
        <w:rPr>
          <w:rFonts w:cs="Times New Roman"/>
          <w:szCs w:val="24"/>
        </w:rPr>
        <w:tab/>
      </w:r>
    </w:p>
    <w:p w14:paraId="523B023B" w14:textId="77777777" w:rsidR="008B7372" w:rsidRDefault="008B7372" w:rsidP="008B7372">
      <w:pPr>
        <w:autoSpaceDE w:val="0"/>
        <w:autoSpaceDN w:val="0"/>
        <w:adjustRightInd w:val="0"/>
        <w:spacing w:line="240" w:lineRule="auto"/>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p>
    <w:p w14:paraId="3CD184D3" w14:textId="77777777" w:rsidR="008B7372" w:rsidRDefault="008B7372" w:rsidP="008B7372">
      <w:pPr>
        <w:autoSpaceDE w:val="0"/>
        <w:autoSpaceDN w:val="0"/>
        <w:adjustRightInd w:val="0"/>
        <w:spacing w:line="240" w:lineRule="auto"/>
        <w:jc w:val="both"/>
        <w:rPr>
          <w:rFonts w:cs="Times New Roman"/>
          <w:szCs w:val="24"/>
        </w:rPr>
      </w:pPr>
      <w:r>
        <w:rPr>
          <w:rFonts w:cs="Times New Roman"/>
          <w:szCs w:val="24"/>
        </w:rPr>
        <w:t>Where t = the titre or volume of thiosulphate to be used101.6 = constant</w:t>
      </w:r>
    </w:p>
    <w:p w14:paraId="4CE16200" w14:textId="77777777" w:rsidR="008B7372" w:rsidRPr="009A2F2E" w:rsidRDefault="008B7372" w:rsidP="008B7372">
      <w:pPr>
        <w:autoSpaceDE w:val="0"/>
        <w:autoSpaceDN w:val="0"/>
        <w:adjustRightInd w:val="0"/>
        <w:spacing w:line="240" w:lineRule="auto"/>
        <w:jc w:val="both"/>
        <w:rPr>
          <w:rFonts w:cs="Times New Roman"/>
          <w:b/>
          <w:i/>
          <w:szCs w:val="24"/>
        </w:rPr>
      </w:pPr>
      <w:bookmarkStart w:id="3" w:name="_Hlk167180020"/>
      <w:r w:rsidRPr="009A2F2E">
        <w:rPr>
          <w:rFonts w:cs="Times New Roman"/>
          <w:b/>
          <w:i/>
          <w:szCs w:val="24"/>
        </w:rPr>
        <w:t xml:space="preserve">Biochemical Oxygen </w:t>
      </w:r>
      <w:proofErr w:type="gramStart"/>
      <w:r w:rsidRPr="009A2F2E">
        <w:rPr>
          <w:rFonts w:cs="Times New Roman"/>
          <w:b/>
          <w:i/>
          <w:szCs w:val="24"/>
        </w:rPr>
        <w:t>Demand(</w:t>
      </w:r>
      <w:proofErr w:type="gramEnd"/>
      <w:r w:rsidRPr="009A2F2E">
        <w:rPr>
          <w:rFonts w:cs="Times New Roman"/>
          <w:b/>
          <w:i/>
          <w:szCs w:val="24"/>
        </w:rPr>
        <w:t>BOD)</w:t>
      </w:r>
    </w:p>
    <w:p w14:paraId="7D79818C" w14:textId="77777777" w:rsidR="008B7372" w:rsidRPr="002779BF" w:rsidRDefault="008B7372" w:rsidP="008B7372">
      <w:pPr>
        <w:autoSpaceDE w:val="0"/>
        <w:autoSpaceDN w:val="0"/>
        <w:adjustRightInd w:val="0"/>
        <w:spacing w:line="240" w:lineRule="auto"/>
        <w:ind w:firstLine="720"/>
        <w:jc w:val="both"/>
        <w:rPr>
          <w:rFonts w:cs="Times New Roman"/>
          <w:szCs w:val="24"/>
        </w:rPr>
      </w:pPr>
      <w:r>
        <w:rPr>
          <w:rFonts w:cs="Times New Roman"/>
          <w:szCs w:val="24"/>
        </w:rPr>
        <w:t xml:space="preserve">This was calculated by using the five-day BOD test adapted from </w:t>
      </w:r>
      <w:proofErr w:type="spellStart"/>
      <w:r w:rsidRPr="00345D8E">
        <w:rPr>
          <w:rFonts w:cs="Times New Roman"/>
          <w:szCs w:val="24"/>
        </w:rPr>
        <w:t>Bilewu</w:t>
      </w:r>
      <w:proofErr w:type="spellEnd"/>
      <w:r>
        <w:rPr>
          <w:rFonts w:cs="Times New Roman"/>
          <w:szCs w:val="24"/>
        </w:rPr>
        <w:t xml:space="preserve"> </w:t>
      </w:r>
      <w:r w:rsidRPr="00DE4B91">
        <w:rPr>
          <w:rFonts w:cs="Times New Roman"/>
          <w:i/>
          <w:iCs/>
          <w:szCs w:val="24"/>
        </w:rPr>
        <w:t>et al</w:t>
      </w:r>
      <w:r w:rsidRPr="00DE448D">
        <w:rPr>
          <w:rFonts w:cs="Times New Roman"/>
          <w:i/>
          <w:iCs/>
          <w:szCs w:val="24"/>
        </w:rPr>
        <w:t>.</w:t>
      </w:r>
      <w:r>
        <w:rPr>
          <w:rFonts w:cs="Times New Roman"/>
          <w:szCs w:val="24"/>
        </w:rPr>
        <w:t xml:space="preserve"> (2022). This analysis uses the sample principle and procedure for the dissolved oxygen determination. The difference was that the water sample collected for BOD under the same condition as DO analysis was tightly stopped and incubated in the dark for five days before analysis. The calculated BOD was recorded as the difference between the initial dissolved oxygen determined after five days of incubation. The result was recorded as BOD mg/L of water sample.</w:t>
      </w:r>
    </w:p>
    <w:p w14:paraId="396BD91D" w14:textId="77777777" w:rsidR="008B7372" w:rsidRDefault="008B7372" w:rsidP="008B7372">
      <w:pPr>
        <w:autoSpaceDE w:val="0"/>
        <w:autoSpaceDN w:val="0"/>
        <w:adjustRightInd w:val="0"/>
        <w:spacing w:line="240" w:lineRule="auto"/>
        <w:jc w:val="both"/>
        <w:rPr>
          <w:rFonts w:cs="Times New Roman"/>
          <w:b/>
          <w:i/>
          <w:szCs w:val="24"/>
        </w:rPr>
      </w:pPr>
      <w:r w:rsidRPr="009A2F2E">
        <w:rPr>
          <w:rFonts w:cs="Times New Roman"/>
          <w:b/>
          <w:i/>
          <w:szCs w:val="24"/>
        </w:rPr>
        <w:t>Electrical Conductivity</w:t>
      </w:r>
      <w:bookmarkEnd w:id="3"/>
    </w:p>
    <w:p w14:paraId="7974EDBF" w14:textId="77777777" w:rsidR="008B7372" w:rsidRPr="009A2F2E" w:rsidRDefault="008B7372" w:rsidP="008B7372">
      <w:pPr>
        <w:autoSpaceDE w:val="0"/>
        <w:autoSpaceDN w:val="0"/>
        <w:adjustRightInd w:val="0"/>
        <w:spacing w:line="240" w:lineRule="auto"/>
        <w:ind w:firstLine="720"/>
        <w:jc w:val="both"/>
        <w:rPr>
          <w:rFonts w:eastAsia="Times New Roman" w:cs="Times New Roman"/>
          <w:szCs w:val="24"/>
          <w:lang w:eastAsia="en-GB"/>
        </w:rPr>
      </w:pPr>
      <w:bookmarkStart w:id="4" w:name="_Hlk167180060"/>
      <w:r w:rsidRPr="009A2F2E">
        <w:rPr>
          <w:rFonts w:eastAsia="Times New Roman" w:cs="Times New Roman"/>
          <w:szCs w:val="24"/>
          <w:lang w:eastAsia="en-GB"/>
        </w:rPr>
        <w:t xml:space="preserve">This was determined using </w:t>
      </w:r>
      <w:proofErr w:type="spellStart"/>
      <w:r w:rsidRPr="009A2F2E">
        <w:rPr>
          <w:rFonts w:eastAsia="Times New Roman" w:cs="Times New Roman"/>
          <w:szCs w:val="24"/>
          <w:lang w:eastAsia="en-GB"/>
        </w:rPr>
        <w:t>insitu</w:t>
      </w:r>
      <w:proofErr w:type="spellEnd"/>
      <w:r w:rsidRPr="009A2F2E">
        <w:rPr>
          <w:rFonts w:eastAsia="Times New Roman" w:cs="Times New Roman"/>
          <w:szCs w:val="24"/>
          <w:lang w:eastAsia="en-GB"/>
        </w:rPr>
        <w:t xml:space="preserve"> a model cm</w:t>
      </w:r>
      <w:r w:rsidRPr="009A2F2E">
        <w:rPr>
          <w:rFonts w:eastAsia="Times New Roman" w:cs="Times New Roman"/>
          <w:szCs w:val="24"/>
          <w:vertAlign w:val="superscript"/>
          <w:lang w:eastAsia="en-GB"/>
        </w:rPr>
        <w:t>-21</w:t>
      </w:r>
      <w:r w:rsidRPr="009A2F2E">
        <w:rPr>
          <w:rFonts w:eastAsia="Times New Roman" w:cs="Times New Roman"/>
          <w:szCs w:val="24"/>
          <w:lang w:eastAsia="en-GB"/>
        </w:rPr>
        <w:t xml:space="preserve">lovibond conductivity meter. Some of the water samples were poured into different 200 mL beakers. The readings </w:t>
      </w:r>
      <w:proofErr w:type="gramStart"/>
      <w:r w:rsidRPr="009A2F2E">
        <w:rPr>
          <w:rFonts w:eastAsia="Times New Roman" w:cs="Times New Roman"/>
          <w:szCs w:val="24"/>
          <w:lang w:eastAsia="en-GB"/>
        </w:rPr>
        <w:t>was</w:t>
      </w:r>
      <w:proofErr w:type="gramEnd"/>
      <w:r w:rsidRPr="009A2F2E">
        <w:rPr>
          <w:rFonts w:eastAsia="Times New Roman" w:cs="Times New Roman"/>
          <w:szCs w:val="24"/>
          <w:lang w:eastAsia="en-GB"/>
        </w:rPr>
        <w:t xml:space="preserve"> taken from each of the beakers containing the water samples by lowering the probe of meter into the beakers and allowing it for two minutes for the meter to standardize and the readings taken in s/cm and was recorded (APHA, 1992; </w:t>
      </w:r>
      <w:proofErr w:type="spellStart"/>
      <w:r w:rsidRPr="009A2F2E">
        <w:rPr>
          <w:rFonts w:eastAsia="Times New Roman" w:cs="Times New Roman"/>
          <w:szCs w:val="24"/>
          <w:lang w:eastAsia="en-GB"/>
        </w:rPr>
        <w:t>Bilewu</w:t>
      </w:r>
      <w:proofErr w:type="spellEnd"/>
      <w:r>
        <w:rPr>
          <w:rFonts w:eastAsia="Times New Roman" w:cs="Times New Roman"/>
          <w:szCs w:val="24"/>
          <w:lang w:eastAsia="en-GB"/>
        </w:rPr>
        <w:t xml:space="preserve"> </w:t>
      </w:r>
      <w:r w:rsidRPr="00DE4B91">
        <w:rPr>
          <w:rFonts w:eastAsia="Times New Roman" w:cs="Times New Roman"/>
          <w:i/>
          <w:szCs w:val="24"/>
          <w:lang w:eastAsia="en-GB"/>
        </w:rPr>
        <w:t>et al</w:t>
      </w:r>
      <w:r w:rsidRPr="009A2F2E">
        <w:rPr>
          <w:rFonts w:eastAsia="Times New Roman" w:cs="Times New Roman"/>
          <w:szCs w:val="24"/>
          <w:lang w:eastAsia="en-GB"/>
        </w:rPr>
        <w:t>., 2022).</w:t>
      </w:r>
    </w:p>
    <w:p w14:paraId="15D1ABC7" w14:textId="77777777" w:rsidR="008B7372" w:rsidRPr="009A2F2E" w:rsidRDefault="008B7372" w:rsidP="008B7372">
      <w:pPr>
        <w:autoSpaceDE w:val="0"/>
        <w:autoSpaceDN w:val="0"/>
        <w:adjustRightInd w:val="0"/>
        <w:spacing w:line="240" w:lineRule="auto"/>
        <w:jc w:val="both"/>
        <w:rPr>
          <w:rFonts w:cs="Times New Roman"/>
          <w:b/>
          <w:i/>
          <w:szCs w:val="24"/>
        </w:rPr>
      </w:pPr>
      <w:r w:rsidRPr="009A2F2E">
        <w:rPr>
          <w:rFonts w:cs="Times New Roman"/>
          <w:b/>
          <w:i/>
          <w:szCs w:val="24"/>
        </w:rPr>
        <w:t>Determination of Total dissolved solid</w:t>
      </w:r>
    </w:p>
    <w:p w14:paraId="27B7C0A5" w14:textId="77777777" w:rsidR="008B7372" w:rsidRPr="007B1453" w:rsidRDefault="008B7372" w:rsidP="008B7372">
      <w:pPr>
        <w:spacing w:line="240" w:lineRule="auto"/>
        <w:ind w:firstLine="720"/>
        <w:jc w:val="both"/>
        <w:rPr>
          <w:rFonts w:cs="Times New Roman"/>
          <w:szCs w:val="24"/>
        </w:rPr>
      </w:pPr>
      <w:r w:rsidRPr="00FE1124">
        <w:rPr>
          <w:rFonts w:cs="Times New Roman"/>
          <w:szCs w:val="24"/>
        </w:rPr>
        <w:t>The total dissolved solid (TDS)</w:t>
      </w:r>
      <w:r>
        <w:rPr>
          <w:rFonts w:cs="Times New Roman"/>
          <w:szCs w:val="24"/>
        </w:rPr>
        <w:t xml:space="preserve"> </w:t>
      </w:r>
      <w:r w:rsidRPr="00FE1124">
        <w:rPr>
          <w:rFonts w:cs="Times New Roman"/>
          <w:szCs w:val="24"/>
        </w:rPr>
        <w:t>of the surface wa</w:t>
      </w:r>
      <w:r>
        <w:rPr>
          <w:rFonts w:cs="Times New Roman"/>
          <w:szCs w:val="24"/>
        </w:rPr>
        <w:t>s</w:t>
      </w:r>
      <w:r w:rsidRPr="00FE1124">
        <w:rPr>
          <w:rFonts w:cs="Times New Roman"/>
          <w:szCs w:val="24"/>
        </w:rPr>
        <w:t xml:space="preserve"> determined by filtration and evaporation methods. A filtered sample w</w:t>
      </w:r>
      <w:r>
        <w:rPr>
          <w:rFonts w:cs="Times New Roman"/>
          <w:szCs w:val="24"/>
        </w:rPr>
        <w:t>as</w:t>
      </w:r>
      <w:r w:rsidRPr="00FE1124">
        <w:rPr>
          <w:rFonts w:cs="Times New Roman"/>
          <w:szCs w:val="24"/>
        </w:rPr>
        <w:t xml:space="preserve"> evaporated to dryness on a dried dish and on a </w:t>
      </w:r>
      <w:proofErr w:type="gramStart"/>
      <w:r w:rsidRPr="00FE1124">
        <w:rPr>
          <w:rFonts w:cs="Times New Roman"/>
          <w:szCs w:val="24"/>
        </w:rPr>
        <w:t>water</w:t>
      </w:r>
      <w:proofErr w:type="gramEnd"/>
      <w:r w:rsidRPr="00FE1124">
        <w:rPr>
          <w:rFonts w:cs="Times New Roman"/>
          <w:szCs w:val="24"/>
        </w:rPr>
        <w:t xml:space="preserve"> bath followed by drying in an oven at 180</w:t>
      </w:r>
      <w:r w:rsidRPr="00FE1124">
        <w:rPr>
          <w:rFonts w:cs="Times New Roman"/>
          <w:szCs w:val="24"/>
          <w:vertAlign w:val="superscript"/>
        </w:rPr>
        <w:t>0</w:t>
      </w:r>
      <w:r w:rsidRPr="00FE1124">
        <w:rPr>
          <w:rFonts w:cs="Times New Roman"/>
          <w:szCs w:val="24"/>
        </w:rPr>
        <w:t>C, this dish w</w:t>
      </w:r>
      <w:r>
        <w:rPr>
          <w:rFonts w:cs="Times New Roman"/>
          <w:szCs w:val="24"/>
        </w:rPr>
        <w:t>as</w:t>
      </w:r>
      <w:r w:rsidRPr="00FE1124">
        <w:rPr>
          <w:rFonts w:cs="Times New Roman"/>
          <w:szCs w:val="24"/>
        </w:rPr>
        <w:t xml:space="preserve"> cooled in desiccators containing silica gel, weighed again and the increase in weight w</w:t>
      </w:r>
      <w:r>
        <w:rPr>
          <w:rFonts w:cs="Times New Roman"/>
          <w:szCs w:val="24"/>
        </w:rPr>
        <w:t>as</w:t>
      </w:r>
      <w:r w:rsidRPr="00FE1124">
        <w:rPr>
          <w:rFonts w:cs="Times New Roman"/>
          <w:szCs w:val="24"/>
        </w:rPr>
        <w:t xml:space="preserve"> recorded this represent the TDS present in the sample (APHA</w:t>
      </w:r>
      <w:r>
        <w:rPr>
          <w:rFonts w:cs="Times New Roman"/>
          <w:szCs w:val="24"/>
        </w:rPr>
        <w:t xml:space="preserve">, 1992; </w:t>
      </w:r>
      <w:proofErr w:type="spellStart"/>
      <w:r w:rsidRPr="00345D8E">
        <w:rPr>
          <w:rFonts w:cs="Times New Roman"/>
          <w:szCs w:val="24"/>
        </w:rPr>
        <w:t>Bilewu</w:t>
      </w:r>
      <w:proofErr w:type="spellEnd"/>
      <w:r>
        <w:rPr>
          <w:rFonts w:cs="Times New Roman"/>
          <w:szCs w:val="24"/>
        </w:rPr>
        <w:t xml:space="preserve"> </w:t>
      </w:r>
      <w:r w:rsidRPr="00DE4B91">
        <w:rPr>
          <w:rFonts w:cs="Times New Roman"/>
          <w:i/>
          <w:iCs/>
          <w:szCs w:val="24"/>
        </w:rPr>
        <w:t>et al</w:t>
      </w:r>
      <w:r w:rsidRPr="00DE448D">
        <w:rPr>
          <w:rFonts w:cs="Times New Roman"/>
          <w:i/>
          <w:iCs/>
          <w:szCs w:val="24"/>
        </w:rPr>
        <w:t>.</w:t>
      </w:r>
      <w:r>
        <w:rPr>
          <w:rFonts w:cs="Times New Roman"/>
          <w:szCs w:val="24"/>
        </w:rPr>
        <w:t>, 2022)</w:t>
      </w:r>
    </w:p>
    <w:p w14:paraId="4F663B21" w14:textId="77777777" w:rsidR="008B7372" w:rsidRPr="009A2F2E" w:rsidRDefault="008B7372" w:rsidP="008B7372">
      <w:pPr>
        <w:spacing w:line="240" w:lineRule="auto"/>
        <w:jc w:val="both"/>
        <w:rPr>
          <w:rFonts w:cs="Times New Roman"/>
          <w:b/>
          <w:i/>
          <w:szCs w:val="24"/>
        </w:rPr>
      </w:pPr>
      <w:r w:rsidRPr="009A2F2E">
        <w:rPr>
          <w:rFonts w:cs="Times New Roman"/>
          <w:b/>
          <w:i/>
          <w:szCs w:val="24"/>
        </w:rPr>
        <w:t>Determination of Sulphate Content by Turbidimetric Method</w:t>
      </w:r>
    </w:p>
    <w:bookmarkEnd w:id="4"/>
    <w:p w14:paraId="1FF73BE1" w14:textId="77777777" w:rsidR="008B7372" w:rsidRPr="00C471D6" w:rsidRDefault="008B7372" w:rsidP="008B7372">
      <w:pPr>
        <w:spacing w:line="240" w:lineRule="auto"/>
        <w:ind w:firstLine="720"/>
        <w:jc w:val="both"/>
        <w:rPr>
          <w:rFonts w:cs="Times New Roman"/>
          <w:szCs w:val="24"/>
        </w:rPr>
      </w:pPr>
      <w:r>
        <w:rPr>
          <w:rFonts w:cs="Times New Roman"/>
          <w:szCs w:val="24"/>
        </w:rPr>
        <w:t>A surface water sample (10 ml) was pipetted into 25 ml volumetric flask and distilled water was added to it to bring the volume to approximately 20 ml. Gelatinous –BaCl</w:t>
      </w:r>
      <w:r w:rsidRPr="004E7BD5">
        <w:rPr>
          <w:rFonts w:cs="Times New Roman"/>
          <w:szCs w:val="24"/>
          <w:vertAlign w:val="subscript"/>
        </w:rPr>
        <w:t>2</w:t>
      </w:r>
      <w:r w:rsidRPr="004E7BD5">
        <w:rPr>
          <w:rFonts w:cs="Times New Roman"/>
          <w:szCs w:val="24"/>
        </w:rPr>
        <w:t xml:space="preserve">reagent </w:t>
      </w:r>
      <w:r>
        <w:rPr>
          <w:rFonts w:cs="Times New Roman"/>
          <w:szCs w:val="24"/>
        </w:rPr>
        <w:t>(1 ml) was add and made up to mark with distilled water to form Barium sulphate turbidity. The content was thoroughly mixed and allowed to stand for 30 minutes. The optical density (OD) corresponding to the absorbance of barium sulphate turbidity was measured spectrophotometrically using a HACH DR/2010 portable data logging spectrophotometer at a wavelength of 420 nm. Reading was taken at interval of 30 seconds over a period of 4 minutes and the maximum unit was recorded. A calibration curve was prepared using analytical grade anhydrous potassium sulphate. From the calibration plot, level of sulphate was equivalent to the observed optical densities (absorbance of the test and black solution) which was read off and the level of sulphate in the sample was obtained (</w:t>
      </w:r>
      <w:proofErr w:type="spellStart"/>
      <w:r>
        <w:rPr>
          <w:rFonts w:cs="Times New Roman"/>
          <w:szCs w:val="24"/>
        </w:rPr>
        <w:t>Agbozu</w:t>
      </w:r>
      <w:proofErr w:type="spellEnd"/>
      <w:r>
        <w:rPr>
          <w:rFonts w:cs="Times New Roman"/>
          <w:szCs w:val="24"/>
        </w:rPr>
        <w:t xml:space="preserve">, 2001; </w:t>
      </w:r>
      <w:proofErr w:type="spellStart"/>
      <w:r w:rsidRPr="00345D8E">
        <w:rPr>
          <w:rFonts w:cs="Times New Roman"/>
          <w:szCs w:val="24"/>
        </w:rPr>
        <w:t>Bilewu</w:t>
      </w:r>
      <w:proofErr w:type="spellEnd"/>
      <w:r>
        <w:rPr>
          <w:rFonts w:cs="Times New Roman"/>
          <w:szCs w:val="24"/>
        </w:rPr>
        <w:t xml:space="preserve"> </w:t>
      </w:r>
      <w:r w:rsidRPr="00DE4B91">
        <w:rPr>
          <w:rFonts w:cs="Times New Roman"/>
          <w:i/>
          <w:iCs/>
          <w:szCs w:val="24"/>
        </w:rPr>
        <w:t>et al</w:t>
      </w:r>
      <w:r w:rsidRPr="00DE448D">
        <w:rPr>
          <w:rFonts w:cs="Times New Roman"/>
          <w:i/>
          <w:iCs/>
          <w:szCs w:val="24"/>
        </w:rPr>
        <w:t>.</w:t>
      </w:r>
      <w:r>
        <w:rPr>
          <w:rFonts w:cs="Times New Roman"/>
          <w:szCs w:val="24"/>
        </w:rPr>
        <w:t>, 2022).</w:t>
      </w:r>
    </w:p>
    <w:p w14:paraId="6AC0E6E0" w14:textId="77777777" w:rsidR="008B7372" w:rsidRPr="009A2F2E" w:rsidRDefault="008B7372" w:rsidP="008B7372">
      <w:pPr>
        <w:spacing w:line="240" w:lineRule="auto"/>
        <w:jc w:val="both"/>
        <w:rPr>
          <w:rFonts w:cs="Times New Roman"/>
          <w:b/>
          <w:i/>
          <w:szCs w:val="24"/>
        </w:rPr>
      </w:pPr>
      <w:r w:rsidRPr="009A2F2E">
        <w:rPr>
          <w:rFonts w:cs="Times New Roman"/>
          <w:b/>
          <w:i/>
          <w:szCs w:val="24"/>
        </w:rPr>
        <w:t>Determination of Salinity as Chloride</w:t>
      </w:r>
    </w:p>
    <w:p w14:paraId="05660BCD" w14:textId="77777777" w:rsidR="008B7372" w:rsidRPr="00BD161F" w:rsidRDefault="008B7372" w:rsidP="008B7372">
      <w:pPr>
        <w:spacing w:line="240" w:lineRule="auto"/>
        <w:ind w:firstLine="720"/>
        <w:jc w:val="both"/>
        <w:rPr>
          <w:rFonts w:cs="Times New Roman"/>
          <w:szCs w:val="24"/>
        </w:rPr>
      </w:pPr>
      <w:r>
        <w:rPr>
          <w:rFonts w:cs="Times New Roman"/>
          <w:szCs w:val="24"/>
        </w:rPr>
        <w:lastRenderedPageBreak/>
        <w:t>The sample (100 ml) was pipetted into 250 ml volumetric flak and 2 drop of potassium dichromate indicator was added and was shaking to mix. The mixture was shaken, after that it was titrated with 0.014N AgNO</w:t>
      </w:r>
      <w:r w:rsidRPr="003546DC">
        <w:rPr>
          <w:rFonts w:cs="Times New Roman"/>
          <w:szCs w:val="24"/>
          <w:vertAlign w:val="subscript"/>
        </w:rPr>
        <w:t>3</w:t>
      </w:r>
      <w:r>
        <w:rPr>
          <w:rFonts w:cs="Times New Roman"/>
          <w:szCs w:val="24"/>
        </w:rPr>
        <w:t xml:space="preserve"> solution to a reddish brown which is indicator end point </w:t>
      </w:r>
      <w:r w:rsidRPr="00FE1124">
        <w:rPr>
          <w:rFonts w:cs="Times New Roman"/>
          <w:szCs w:val="24"/>
        </w:rPr>
        <w:t>(APHA</w:t>
      </w:r>
      <w:r>
        <w:rPr>
          <w:rFonts w:cs="Times New Roman"/>
          <w:szCs w:val="24"/>
        </w:rPr>
        <w:t xml:space="preserve">, 1992; </w:t>
      </w:r>
      <w:proofErr w:type="spellStart"/>
      <w:r w:rsidRPr="00345D8E">
        <w:rPr>
          <w:rFonts w:cs="Times New Roman"/>
          <w:szCs w:val="24"/>
        </w:rPr>
        <w:t>Bilewu</w:t>
      </w:r>
      <w:proofErr w:type="spellEnd"/>
      <w:r>
        <w:rPr>
          <w:rFonts w:cs="Times New Roman"/>
          <w:szCs w:val="24"/>
        </w:rPr>
        <w:t xml:space="preserve"> </w:t>
      </w:r>
      <w:r w:rsidRPr="00DE4B91">
        <w:rPr>
          <w:rFonts w:cs="Times New Roman"/>
          <w:i/>
          <w:iCs/>
          <w:szCs w:val="24"/>
        </w:rPr>
        <w:t>et al</w:t>
      </w:r>
      <w:r w:rsidRPr="00DE448D">
        <w:rPr>
          <w:rFonts w:cs="Times New Roman"/>
          <w:i/>
          <w:iCs/>
          <w:szCs w:val="24"/>
        </w:rPr>
        <w:t>.</w:t>
      </w:r>
      <w:r>
        <w:rPr>
          <w:rFonts w:cs="Times New Roman"/>
          <w:szCs w:val="24"/>
        </w:rPr>
        <w:t xml:space="preserve">, 2022). </w:t>
      </w:r>
    </w:p>
    <w:p w14:paraId="36DF6495" w14:textId="77777777" w:rsidR="008B7372" w:rsidRPr="009A2F2E" w:rsidRDefault="008B7372" w:rsidP="008B7372">
      <w:pPr>
        <w:spacing w:line="240" w:lineRule="auto"/>
        <w:jc w:val="both"/>
        <w:rPr>
          <w:rFonts w:cs="Times New Roman"/>
          <w:b/>
          <w:i/>
          <w:szCs w:val="24"/>
        </w:rPr>
      </w:pPr>
      <w:r w:rsidRPr="009A2F2E">
        <w:rPr>
          <w:rFonts w:cs="Times New Roman"/>
          <w:b/>
          <w:i/>
          <w:szCs w:val="24"/>
        </w:rPr>
        <w:t>Determination of Phosphate Content</w:t>
      </w:r>
    </w:p>
    <w:p w14:paraId="332268F1" w14:textId="77777777" w:rsidR="008B7372" w:rsidRDefault="008B7372" w:rsidP="008B7372">
      <w:pPr>
        <w:spacing w:line="240" w:lineRule="auto"/>
        <w:ind w:firstLine="720"/>
        <w:jc w:val="both"/>
        <w:rPr>
          <w:rFonts w:cs="Times New Roman"/>
          <w:szCs w:val="24"/>
        </w:rPr>
      </w:pPr>
      <w:r>
        <w:rPr>
          <w:rFonts w:cs="Times New Roman"/>
          <w:szCs w:val="24"/>
        </w:rPr>
        <w:t>25 ml of the sample was added to 0.5 ml ammonium molybdate (NH</w:t>
      </w:r>
      <w:r w:rsidRPr="0028258D">
        <w:rPr>
          <w:rFonts w:cs="Times New Roman"/>
          <w:szCs w:val="24"/>
          <w:vertAlign w:val="subscript"/>
        </w:rPr>
        <w:t>4</w:t>
      </w:r>
      <w:r>
        <w:rPr>
          <w:rFonts w:cs="Times New Roman"/>
          <w:szCs w:val="24"/>
        </w:rPr>
        <w:t>)</w:t>
      </w:r>
      <w:r w:rsidRPr="0028258D">
        <w:rPr>
          <w:rFonts w:cs="Times New Roman"/>
          <w:szCs w:val="24"/>
          <w:vertAlign w:val="subscript"/>
        </w:rPr>
        <w:t>6</w:t>
      </w:r>
      <w:r>
        <w:rPr>
          <w:rFonts w:cs="Times New Roman"/>
          <w:szCs w:val="24"/>
        </w:rPr>
        <w:t>MO</w:t>
      </w:r>
      <w:r w:rsidRPr="0028258D">
        <w:rPr>
          <w:rFonts w:cs="Times New Roman"/>
          <w:szCs w:val="24"/>
          <w:vertAlign w:val="subscript"/>
        </w:rPr>
        <w:t>7</w:t>
      </w:r>
      <w:r>
        <w:rPr>
          <w:rFonts w:cs="Times New Roman"/>
          <w:szCs w:val="24"/>
        </w:rPr>
        <w:t>O</w:t>
      </w:r>
      <w:r w:rsidRPr="009F0AA6">
        <w:rPr>
          <w:rFonts w:cs="Times New Roman"/>
          <w:szCs w:val="24"/>
          <w:vertAlign w:val="subscript"/>
        </w:rPr>
        <w:t>24</w:t>
      </w:r>
      <w:r>
        <w:rPr>
          <w:rFonts w:cs="Times New Roman"/>
          <w:szCs w:val="24"/>
        </w:rPr>
        <w:t>4H</w:t>
      </w:r>
      <w:r w:rsidRPr="009F0AA6">
        <w:rPr>
          <w:rFonts w:cs="Times New Roman"/>
          <w:szCs w:val="24"/>
          <w:vertAlign w:val="subscript"/>
        </w:rPr>
        <w:t>2</w:t>
      </w:r>
      <w:r>
        <w:rPr>
          <w:rFonts w:cs="Times New Roman"/>
          <w:szCs w:val="24"/>
        </w:rPr>
        <w:t>0-40.1g/500ml distilled water and two drop of stannous chloride solution (SnCL</w:t>
      </w:r>
      <w:r w:rsidRPr="009F0AA6">
        <w:rPr>
          <w:rFonts w:cs="Times New Roman"/>
          <w:szCs w:val="24"/>
          <w:vertAlign w:val="subscript"/>
        </w:rPr>
        <w:t>2</w:t>
      </w:r>
      <w:r>
        <w:rPr>
          <w:rFonts w:cs="Times New Roman"/>
          <w:szCs w:val="24"/>
        </w:rPr>
        <w:t>2H</w:t>
      </w:r>
      <w:r w:rsidRPr="009F0AA6">
        <w:rPr>
          <w:rFonts w:cs="Times New Roman"/>
          <w:szCs w:val="24"/>
          <w:vertAlign w:val="subscript"/>
        </w:rPr>
        <w:t>2</w:t>
      </w:r>
      <w:r>
        <w:rPr>
          <w:rFonts w:cs="Times New Roman"/>
          <w:szCs w:val="24"/>
        </w:rPr>
        <w:t xml:space="preserve">0-2.5g/100 ml glycerol) was mixed by swirling. A blue </w:t>
      </w:r>
      <w:proofErr w:type="spellStart"/>
      <w:r>
        <w:rPr>
          <w:rFonts w:cs="Times New Roman"/>
          <w:szCs w:val="24"/>
        </w:rPr>
        <w:t>colourwas</w:t>
      </w:r>
      <w:proofErr w:type="spellEnd"/>
      <w:r>
        <w:rPr>
          <w:rFonts w:cs="Times New Roman"/>
          <w:szCs w:val="24"/>
        </w:rPr>
        <w:t xml:space="preserve"> developed within an hour under acidic condition. The intensity of colour was measured using spectrophotometer. The concentration of phosphate was determined as:</w:t>
      </w:r>
    </w:p>
    <w:p w14:paraId="4A20C3F6" w14:textId="77777777" w:rsidR="008B7372" w:rsidRDefault="008B7372" w:rsidP="008B7372">
      <w:pPr>
        <w:spacing w:line="240" w:lineRule="auto"/>
        <w:jc w:val="both"/>
        <w:rPr>
          <w:rFonts w:cs="Times New Roman"/>
          <w:szCs w:val="24"/>
        </w:rPr>
      </w:pPr>
      <w:r>
        <w:rPr>
          <w:rFonts w:cs="Times New Roman"/>
          <w:szCs w:val="24"/>
        </w:rPr>
        <w:t xml:space="preserve">Phosphate, </w:t>
      </w:r>
      <m:oMath>
        <m:r>
          <w:rPr>
            <w:rFonts w:ascii="Cambria Math" w:hAnsi="Cambria Math" w:cs="Times New Roman"/>
            <w:szCs w:val="24"/>
          </w:rPr>
          <m:t>m/l</m:t>
        </m:r>
      </m:oMath>
      <w:r>
        <w:rPr>
          <w:rFonts w:cs="Times New Roman"/>
          <w:szCs w:val="24"/>
        </w:rPr>
        <w:t xml:space="preserve">=A-B × C  </w:t>
      </w:r>
    </w:p>
    <w:p w14:paraId="660A891C" w14:textId="77777777" w:rsidR="008B7372" w:rsidRDefault="008B7372" w:rsidP="008B7372">
      <w:pPr>
        <w:spacing w:line="240" w:lineRule="auto"/>
        <w:jc w:val="both"/>
        <w:rPr>
          <w:rFonts w:cs="Times New Roman"/>
          <w:szCs w:val="24"/>
        </w:rPr>
      </w:pPr>
      <w:r>
        <w:rPr>
          <w:rFonts w:cs="Times New Roman"/>
          <w:szCs w:val="24"/>
        </w:rPr>
        <w:t>Where A = absorbance of blank sample</w:t>
      </w:r>
    </w:p>
    <w:p w14:paraId="3D3AE1B8" w14:textId="77777777" w:rsidR="008B7372" w:rsidRDefault="008B7372" w:rsidP="008B7372">
      <w:pPr>
        <w:spacing w:line="240" w:lineRule="auto"/>
        <w:jc w:val="both"/>
        <w:rPr>
          <w:rFonts w:cs="Times New Roman"/>
          <w:szCs w:val="24"/>
        </w:rPr>
      </w:pPr>
      <w:r>
        <w:rPr>
          <w:rFonts w:cs="Times New Roman"/>
          <w:szCs w:val="24"/>
        </w:rPr>
        <w:tab/>
        <w:t>B = absorbance of blank sample</w:t>
      </w:r>
    </w:p>
    <w:p w14:paraId="16F234ED" w14:textId="77777777" w:rsidR="008B7372" w:rsidRPr="008D3581" w:rsidRDefault="008B7372" w:rsidP="008B7372">
      <w:pPr>
        <w:spacing w:line="240" w:lineRule="auto"/>
        <w:jc w:val="both"/>
        <w:rPr>
          <w:rFonts w:cs="Times New Roman"/>
          <w:szCs w:val="24"/>
        </w:rPr>
      </w:pPr>
      <w:r>
        <w:rPr>
          <w:rFonts w:cs="Times New Roman"/>
          <w:szCs w:val="24"/>
        </w:rPr>
        <w:tab/>
        <w:t>C = Volume of slandered phosphate</w:t>
      </w:r>
    </w:p>
    <w:p w14:paraId="64E51CD8" w14:textId="77777777" w:rsidR="008B7372" w:rsidRDefault="008B7372" w:rsidP="008B7372">
      <w:pPr>
        <w:spacing w:after="0" w:line="240" w:lineRule="auto"/>
        <w:rPr>
          <w:b/>
          <w:noProof/>
          <w:lang w:eastAsia="en-GB"/>
        </w:rPr>
      </w:pPr>
      <w:r>
        <w:rPr>
          <w:b/>
          <w:noProof/>
          <w:lang w:eastAsia="en-GB"/>
        </w:rPr>
        <w:t>Data Analysis</w:t>
      </w:r>
    </w:p>
    <w:p w14:paraId="449085E0" w14:textId="77777777" w:rsidR="008B7372" w:rsidRDefault="008B7372" w:rsidP="008B7372">
      <w:pPr>
        <w:spacing w:after="0" w:line="240" w:lineRule="auto"/>
        <w:ind w:firstLine="720"/>
        <w:jc w:val="both"/>
      </w:pPr>
      <w:r>
        <w:t xml:space="preserve">The </w:t>
      </w:r>
      <w:r w:rsidRPr="00E830CC">
        <w:t xml:space="preserve">data </w:t>
      </w:r>
      <w:r>
        <w:t xml:space="preserve">collected </w:t>
      </w:r>
      <w:r w:rsidRPr="00E830CC">
        <w:t>were analyzed</w:t>
      </w:r>
      <w:r>
        <w:t xml:space="preserve"> and expressed as mean and standard error. The mean-difference </w:t>
      </w:r>
      <w:r w:rsidRPr="00E830CC">
        <w:t>among sampling sites</w:t>
      </w:r>
      <w:r>
        <w:t>, years</w:t>
      </w:r>
      <w:r w:rsidRPr="00E830CC">
        <w:t xml:space="preserve"> and seasons </w:t>
      </w:r>
      <w:r>
        <w:t>were then subjected to one</w:t>
      </w:r>
      <w:r w:rsidRPr="00E830CC">
        <w:t xml:space="preserve">-way ANOVA </w:t>
      </w:r>
      <w:r>
        <w:t>and Duncan Multiple Range Test for comparisons using SPSS 25</w:t>
      </w:r>
      <w:r w:rsidRPr="00E830CC">
        <w:t>.</w:t>
      </w:r>
    </w:p>
    <w:p w14:paraId="776CC26E" w14:textId="77777777" w:rsidR="008B7372" w:rsidRPr="00E830CC" w:rsidRDefault="008B7372" w:rsidP="008B7372">
      <w:pPr>
        <w:spacing w:after="0" w:line="240" w:lineRule="auto"/>
        <w:ind w:firstLine="720"/>
        <w:jc w:val="both"/>
      </w:pPr>
    </w:p>
    <w:p w14:paraId="226BF0EC" w14:textId="77777777" w:rsidR="008B7372" w:rsidRDefault="008B7372" w:rsidP="008B7372">
      <w:pPr>
        <w:spacing w:after="0" w:line="240" w:lineRule="auto"/>
        <w:rPr>
          <w:b/>
          <w:noProof/>
          <w:lang w:eastAsia="en-GB"/>
        </w:rPr>
      </w:pPr>
      <w:r>
        <w:rPr>
          <w:b/>
          <w:noProof/>
          <w:lang w:eastAsia="en-GB"/>
        </w:rPr>
        <w:t>RESULTS</w:t>
      </w:r>
    </w:p>
    <w:p w14:paraId="2206440F" w14:textId="77777777" w:rsidR="008B7372" w:rsidRPr="009A2F2E" w:rsidRDefault="008B7372" w:rsidP="008B7372">
      <w:pPr>
        <w:spacing w:after="0" w:line="240" w:lineRule="auto"/>
        <w:jc w:val="both"/>
        <w:rPr>
          <w:b/>
          <w:i/>
          <w:noProof/>
          <w:lang w:eastAsia="en-GB"/>
        </w:rPr>
      </w:pPr>
      <w:r w:rsidRPr="009A2F2E">
        <w:rPr>
          <w:b/>
          <w:i/>
          <w:noProof/>
          <w:lang w:eastAsia="en-GB"/>
        </w:rPr>
        <w:t>Physicochemical Analysis</w:t>
      </w:r>
    </w:p>
    <w:p w14:paraId="656DC15F" w14:textId="01E3E7F6" w:rsidR="008B7372" w:rsidRDefault="008B7372" w:rsidP="008B7372">
      <w:pPr>
        <w:spacing w:after="0" w:line="240" w:lineRule="auto"/>
        <w:jc w:val="both"/>
        <w:rPr>
          <w:noProof/>
          <w:lang w:eastAsia="en-GB"/>
        </w:rPr>
      </w:pPr>
      <w:r>
        <w:rPr>
          <w:noProof/>
          <w:lang w:eastAsia="en-GB"/>
        </w:rPr>
        <w:t>Table 1 presents a comprehensive analysis of various physicochemical parameters of water quality at Owala Dam over three consecutive years (2021-2024). Each parameter is measured with its mean and standard error of the mean (SEM), along with p-values to indicate statistical significance, and compared against regulatory limits set by the Nigerian Standard for Drinking Water Quality (NSDWQ) and the World Health Organization (WHO).</w:t>
      </w:r>
    </w:p>
    <w:p w14:paraId="3EA0561E" w14:textId="77777777" w:rsidR="008B7372" w:rsidRDefault="008B7372" w:rsidP="008B7372">
      <w:pPr>
        <w:spacing w:after="0" w:line="240" w:lineRule="auto"/>
        <w:jc w:val="both"/>
        <w:rPr>
          <w:noProof/>
          <w:lang w:eastAsia="en-GB"/>
        </w:rPr>
      </w:pPr>
      <w:r>
        <w:rPr>
          <w:noProof/>
          <w:lang w:eastAsia="en-GB"/>
        </w:rPr>
        <w:t xml:space="preserve">The mean temperature showed a slight increase from 25.85°C in 2021/2022 to 26.39°C in 2023/2024, but this variation was not statistically significant (p&gt;0.05). The temperature remains within the ambient range. The pH values fluctuated slightly, with a notable decrease in 2023/2024 to 6.62, which is still within the acceptable range of 6.5-8.5 for both NSDWQ and WHO. The p-value of 0.051 suggests that this change is approaching statistical significance. Total Dissolved Solids (TDS) remained consistent across the three years at approximately 0.57 mg/L, well below the regulatory limit of 500 mg/L, indicating good water quality regarding dissolved solids. Biological Oxygen Demand (BOD) showed a significant decrease from 150.39 mg/L in 2021/2022 to 143.42 mg/L in 2022/2023, with a p-value of 0.016 indicating statistical significance. </w:t>
      </w:r>
    </w:p>
    <w:p w14:paraId="2814995D" w14:textId="77777777" w:rsidR="008B7372" w:rsidRDefault="008B7372" w:rsidP="008B7372">
      <w:pPr>
        <w:spacing w:after="0" w:line="240" w:lineRule="auto"/>
        <w:jc w:val="both"/>
        <w:rPr>
          <w:noProof/>
          <w:lang w:eastAsia="en-GB"/>
        </w:rPr>
      </w:pPr>
      <w:r>
        <w:rPr>
          <w:noProof/>
          <w:lang w:eastAsia="en-GB"/>
        </w:rPr>
        <w:t>Dissolved Oxygen (DO) levels were relatively high across all years, averaging around 66 mg/L, which is above the minimum requirement of 6 mg/L set by WHO. Transparency decreased significantly from 1.41 m to 1.31 m over the study period with a  great significant concern (p&lt; 0.05). Electrical conductivity values remained stable around 0.34 ds/m, well below the regulatory limit of 1000 ds/m. Nitrate levels were consistent at approximately 0.07 mg/L across all years, significantly below the regulatory limit of 50 mg/L. Phosphate levels showed minor fluctuations but remained low and without significant concern. Chloride levels were stable around 40 mg/L, which is acceptable as it is below the WHO limit of 250 mg/L.</w:t>
      </w:r>
    </w:p>
    <w:p w14:paraId="394C3DCE" w14:textId="6F8B0DD0" w:rsidR="008B7372" w:rsidRDefault="008B7372" w:rsidP="008B7372">
      <w:pPr>
        <w:spacing w:after="0" w:line="240" w:lineRule="auto"/>
        <w:jc w:val="both"/>
        <w:rPr>
          <w:noProof/>
          <w:lang w:eastAsia="en-GB"/>
        </w:rPr>
      </w:pPr>
      <w:r>
        <w:rPr>
          <w:noProof/>
          <w:lang w:eastAsia="en-GB"/>
        </w:rPr>
        <w:t>Table 2 presents the spatial and temporal variations in water quality parameters at Owala Dam across three different sites (Site A, Site B, Site C) over three consecutive years (2021-</w:t>
      </w:r>
      <w:r>
        <w:rPr>
          <w:noProof/>
          <w:lang w:eastAsia="en-GB"/>
        </w:rPr>
        <w:lastRenderedPageBreak/>
        <w:t>2024). The average temperature across the three sites showed minor fluctuations over the years, with values ranging from 25.53°C to 26.78°C. The p-values indicate no significant differences in temperature either spatially or temporally.</w:t>
      </w:r>
    </w:p>
    <w:p w14:paraId="3CEBEA71" w14:textId="77777777" w:rsidR="008B7372" w:rsidRDefault="008B7372" w:rsidP="008B7372">
      <w:pPr>
        <w:spacing w:after="0" w:line="240" w:lineRule="auto"/>
        <w:jc w:val="both"/>
        <w:rPr>
          <w:noProof/>
          <w:lang w:eastAsia="en-GB"/>
        </w:rPr>
      </w:pPr>
      <w:r>
        <w:rPr>
          <w:noProof/>
          <w:lang w:eastAsia="en-GB"/>
        </w:rPr>
        <w:t>pH levels ranged from 6.55 to 7.11 across sites and years, remaining within acceptable limits for aquatic life. The p-values (0.919, 0.635, 0.807) suggest that there are no significant differences in pH levels among sites or over time. TDS values were consistent, ranging from 0.54 to 0.59 mg/L across all sites and years, well below the regulatory limit of 500 mg/L. The p-values indicate no significant spatial or temporal variations. BOD showed a significant decrease at Site B from 147.50 mg/L in 2022/2023 to 143.58 mg/L in the same year (p&lt;0.05), although overall comparisons across sites did not show significant differences. DO levels varied slightly among sites, with averages between 62.39 mg/L and 68.88 mg/L, consistently above the WHO minimum requirement of 6 mg/L for aquatic life support. The p-values reflect no significant differences over time or between sites.</w:t>
      </w:r>
    </w:p>
    <w:p w14:paraId="418DCC63" w14:textId="77777777" w:rsidR="008B7372" w:rsidRDefault="008B7372" w:rsidP="008B7372">
      <w:pPr>
        <w:spacing w:after="0" w:line="240" w:lineRule="auto"/>
        <w:jc w:val="both"/>
        <w:rPr>
          <w:noProof/>
          <w:lang w:eastAsia="en-GB"/>
        </w:rPr>
      </w:pPr>
      <w:r>
        <w:rPr>
          <w:noProof/>
          <w:lang w:eastAsia="en-GB"/>
        </w:rPr>
        <w:t>Transparency measurements showed significant spatial and temporal variation, particularly between years with p-values of 0.005 and 0.000 for the last two years indicating increasing clarity at Site C over time compared to Sites A and B. Conductivity values remained stable across all sites and years (ranging from 0.32 to 0.37 ds/m), with p-values indicating no significant differences (p&gt;0.05). Nitrate levels were low and consistent across all sites and years (ranging from 0.05 to 0.09 mg/L), with no significant differences indicated by p-values (p&gt;0.05). Phosphate levels varied slightly but showed significant changes over time at Site B with a p-value of 0.035 between years indicating a decline in phosphate levels. Chloride levels were stable across all sites and years but showed a near-significant trend at Site B in the second year with a p-value of 0.051.</w:t>
      </w:r>
    </w:p>
    <w:p w14:paraId="77E6DBE9" w14:textId="73BADA6F" w:rsidR="008B7372" w:rsidRDefault="008B7372" w:rsidP="008B7372">
      <w:pPr>
        <w:spacing w:after="0" w:line="240" w:lineRule="auto"/>
        <w:jc w:val="both"/>
        <w:rPr>
          <w:noProof/>
          <w:lang w:eastAsia="en-GB"/>
        </w:rPr>
      </w:pPr>
      <w:r>
        <w:rPr>
          <w:noProof/>
          <w:lang w:eastAsia="en-GB"/>
        </w:rPr>
        <w:t xml:space="preserve">Table 3 summarizes the seasonal variations in various water quality parameters at Owala Dam across two distinct seasons (dry and rainy) over three consecutive years (2021-2024). </w:t>
      </w:r>
    </w:p>
    <w:p w14:paraId="6E8F73B3" w14:textId="77777777" w:rsidR="008B7372" w:rsidRDefault="008B7372" w:rsidP="008B7372">
      <w:pPr>
        <w:spacing w:after="0" w:line="240" w:lineRule="auto"/>
        <w:jc w:val="both"/>
        <w:rPr>
          <w:noProof/>
          <w:lang w:eastAsia="en-GB"/>
        </w:rPr>
      </w:pPr>
      <w:r>
        <w:rPr>
          <w:noProof/>
          <w:lang w:eastAsia="en-GB"/>
        </w:rPr>
        <w:t>The temperature was significantly higher during the dry season compared to the rainy season across all years, with p-values of 0.000 indicating a strong statistical significance. For example, in 2021/2022, the temperature was 27.24°C in the dry season versus 24.47°C in the rainy season. pH levels were significantly lower during the dry season compared to the rainy season in the first two years (p = 0.000 for 2021/2022 and p = 0.008 for 2022/2023). However, in 2023/2024, the p-value of 0.155 indicates no significant difference between seasons. Total Dissolved Solids was significantly higher during the rainy season in 2021/2022 (p = 0.000) and showed a notable increase in 2023/2024 with a p-value of 0.014.</w:t>
      </w:r>
    </w:p>
    <w:p w14:paraId="10569630" w14:textId="77777777" w:rsidR="008B7372" w:rsidRDefault="008B7372" w:rsidP="008B7372">
      <w:pPr>
        <w:spacing w:after="0" w:line="240" w:lineRule="auto"/>
        <w:jc w:val="both"/>
        <w:rPr>
          <w:noProof/>
          <w:lang w:eastAsia="en-GB"/>
        </w:rPr>
      </w:pPr>
      <w:r>
        <w:rPr>
          <w:noProof/>
          <w:lang w:eastAsia="en-GB"/>
        </w:rPr>
        <w:t xml:space="preserve">Biological Oxygen Demand levels were significantly higher during the rainy season across all years (p = 0.000), with values reaching up to 157.89 mg/L in the rainy season of 2021/2022. Dissolved Oxygen levels were significantly lower in the dry season compared to the rainy season for all years analyzed (p = 0.000). Transparency did not show significant differences between seasons in most years, except for a significant difference in 2023/2024 (p = 0.010). Electrical conductivity was significantly higher during the rainy season across all years (p = 0.005 for 2021/2022, p = 0.000 for both subsequent years). </w:t>
      </w:r>
    </w:p>
    <w:p w14:paraId="64CC6229" w14:textId="77777777" w:rsidR="008B7372" w:rsidRDefault="008B7372" w:rsidP="008B7372">
      <w:pPr>
        <w:spacing w:after="0" w:line="240" w:lineRule="auto"/>
        <w:jc w:val="both"/>
        <w:rPr>
          <w:noProof/>
          <w:lang w:eastAsia="en-GB"/>
        </w:rPr>
      </w:pPr>
      <w:r>
        <w:rPr>
          <w:noProof/>
          <w:lang w:eastAsia="en-GB"/>
        </w:rPr>
        <w:t xml:space="preserve">Nitrate levels showed no significant differences between dry and rainy seasons in earlier years (p&gt;0.05) but had a significant difference in 2023/2024 (p = 0.047). Phosphate levels were significantly higher during the rainy season across all years analyzed (p = 0.013 for 2021/2022, p = 0.001 for 2022/2023, and p = 0.013 for 2023/2024). Chloride concentrations were generally higher during the rainy season, particularly significant in the second year (p = 0.001) and third year (p = 0.000). </w:t>
      </w:r>
    </w:p>
    <w:p w14:paraId="0FDEBDFA" w14:textId="3D8DF371" w:rsidR="008B7372" w:rsidRPr="002D2F4A" w:rsidRDefault="008B7372" w:rsidP="008B7372">
      <w:pPr>
        <w:spacing w:after="0" w:line="240" w:lineRule="auto"/>
        <w:jc w:val="both"/>
        <w:rPr>
          <w:noProof/>
          <w:lang w:eastAsia="en-GB"/>
        </w:rPr>
      </w:pPr>
      <w:r>
        <w:rPr>
          <w:noProof/>
          <w:lang w:eastAsia="en-GB"/>
        </w:rPr>
        <w:t xml:space="preserve">The </w:t>
      </w:r>
      <w:r w:rsidRPr="002D2F4A">
        <w:rPr>
          <w:rFonts w:eastAsia="Times New Roman"/>
          <w:bCs/>
          <w:lang w:eastAsia="en-GB"/>
        </w:rPr>
        <w:t>monthly variation</w:t>
      </w:r>
      <w:r>
        <w:rPr>
          <w:rFonts w:eastAsia="Times New Roman"/>
          <w:bCs/>
          <w:lang w:eastAsia="en-GB"/>
        </w:rPr>
        <w:t>s</w:t>
      </w:r>
      <w:r w:rsidRPr="002D2F4A">
        <w:rPr>
          <w:rFonts w:eastAsia="Times New Roman"/>
          <w:bCs/>
          <w:lang w:eastAsia="en-GB"/>
        </w:rPr>
        <w:t xml:space="preserve"> of physicochemical parameters</w:t>
      </w:r>
      <w:r>
        <w:rPr>
          <w:rFonts w:eastAsia="Times New Roman"/>
          <w:bCs/>
          <w:lang w:eastAsia="en-GB"/>
        </w:rPr>
        <w:t xml:space="preserve"> for </w:t>
      </w:r>
      <w:proofErr w:type="spellStart"/>
      <w:r>
        <w:rPr>
          <w:rFonts w:eastAsia="Times New Roman"/>
          <w:bCs/>
          <w:lang w:eastAsia="en-GB"/>
        </w:rPr>
        <w:t>Owala</w:t>
      </w:r>
      <w:proofErr w:type="spellEnd"/>
      <w:r w:rsidRPr="002D2F4A">
        <w:rPr>
          <w:rFonts w:eastAsia="Times New Roman"/>
          <w:bCs/>
          <w:lang w:eastAsia="en-GB"/>
        </w:rPr>
        <w:t xml:space="preserve"> Dam</w:t>
      </w:r>
      <w:r w:rsidRPr="002D2F4A">
        <w:rPr>
          <w:rFonts w:eastAsia="Times New Roman"/>
          <w:lang w:eastAsia="en-GB"/>
        </w:rPr>
        <w:t xml:space="preserve"> over three consecutive years (2021/2022, 2022/2023, and 2023/2024)</w:t>
      </w:r>
      <w:r>
        <w:rPr>
          <w:rFonts w:eastAsia="Times New Roman"/>
          <w:lang w:eastAsia="en-GB"/>
        </w:rPr>
        <w:t xml:space="preserve"> </w:t>
      </w:r>
      <w:r>
        <w:rPr>
          <w:rFonts w:eastAsia="Times New Roman"/>
          <w:bCs/>
          <w:lang w:eastAsia="en-GB"/>
        </w:rPr>
        <w:t xml:space="preserve">are presented in figures </w:t>
      </w:r>
      <w:r w:rsidR="0095628F">
        <w:rPr>
          <w:rFonts w:eastAsia="Times New Roman"/>
          <w:bCs/>
          <w:lang w:eastAsia="en-GB"/>
        </w:rPr>
        <w:t>3</w:t>
      </w:r>
      <w:r>
        <w:rPr>
          <w:rFonts w:eastAsia="Times New Roman"/>
          <w:bCs/>
          <w:lang w:eastAsia="en-GB"/>
        </w:rPr>
        <w:t xml:space="preserve"> to </w:t>
      </w:r>
      <w:r w:rsidR="00B00ED6">
        <w:rPr>
          <w:rFonts w:eastAsia="Times New Roman"/>
          <w:bCs/>
          <w:lang w:eastAsia="en-GB"/>
        </w:rPr>
        <w:t>12</w:t>
      </w:r>
      <w:r>
        <w:rPr>
          <w:rFonts w:eastAsia="Times New Roman"/>
          <w:bCs/>
          <w:lang w:eastAsia="en-GB"/>
        </w:rPr>
        <w:t xml:space="preserve">. </w:t>
      </w:r>
    </w:p>
    <w:p w14:paraId="6F2AD5B1" w14:textId="77777777" w:rsidR="008B7372" w:rsidRPr="002D2F4A" w:rsidRDefault="008B7372" w:rsidP="008B7372">
      <w:pPr>
        <w:spacing w:after="0" w:line="240" w:lineRule="auto"/>
        <w:jc w:val="both"/>
        <w:rPr>
          <w:rFonts w:eastAsia="Times New Roman"/>
          <w:lang w:eastAsia="en-GB"/>
        </w:rPr>
      </w:pPr>
      <w:r w:rsidRPr="002D2F4A">
        <w:rPr>
          <w:rFonts w:eastAsia="Times New Roman"/>
          <w:lang w:eastAsia="en-GB"/>
        </w:rPr>
        <w:t>November consistently starts with stable temperatures (</w:t>
      </w:r>
      <w:r w:rsidRPr="00F24C45">
        <w:rPr>
          <w:rFonts w:eastAsia="Times New Roman"/>
          <w:bCs/>
          <w:lang w:eastAsia="en-GB"/>
        </w:rPr>
        <w:t>26.90°C</w:t>
      </w:r>
      <w:r w:rsidRPr="002D2F4A">
        <w:rPr>
          <w:rFonts w:eastAsia="Times New Roman"/>
          <w:lang w:eastAsia="en-GB"/>
        </w:rPr>
        <w:t xml:space="preserve"> in 2021 and 2023</w:t>
      </w:r>
      <w:proofErr w:type="gramStart"/>
      <w:r w:rsidRPr="002D2F4A">
        <w:rPr>
          <w:rFonts w:eastAsia="Times New Roman"/>
          <w:lang w:eastAsia="en-GB"/>
        </w:rPr>
        <w:t>).March</w:t>
      </w:r>
      <w:proofErr w:type="gramEnd"/>
      <w:r w:rsidRPr="002D2F4A">
        <w:rPr>
          <w:rFonts w:eastAsia="Times New Roman"/>
          <w:lang w:eastAsia="en-GB"/>
        </w:rPr>
        <w:t xml:space="preserve"> records peak dry-season temperatures (</w:t>
      </w:r>
      <w:r w:rsidRPr="00F24C45">
        <w:rPr>
          <w:rFonts w:eastAsia="Times New Roman"/>
          <w:bCs/>
          <w:lang w:eastAsia="en-GB"/>
        </w:rPr>
        <w:t>28.73°C in 2021/2022</w:t>
      </w:r>
      <w:r w:rsidRPr="002D2F4A">
        <w:rPr>
          <w:rFonts w:eastAsia="Times New Roman"/>
          <w:lang w:eastAsia="en-GB"/>
        </w:rPr>
        <w:t xml:space="preserve">), followed by slight drops in </w:t>
      </w:r>
      <w:r w:rsidRPr="002D2F4A">
        <w:rPr>
          <w:rFonts w:eastAsia="Times New Roman"/>
          <w:lang w:eastAsia="en-GB"/>
        </w:rPr>
        <w:lastRenderedPageBreak/>
        <w:t>April.</w:t>
      </w:r>
      <w:r>
        <w:rPr>
          <w:rFonts w:eastAsia="Times New Roman"/>
          <w:lang w:eastAsia="en-GB"/>
        </w:rPr>
        <w:t xml:space="preserve"> </w:t>
      </w:r>
      <w:r w:rsidRPr="00F24C45">
        <w:rPr>
          <w:rFonts w:eastAsia="Times New Roman"/>
          <w:bCs/>
          <w:lang w:eastAsia="en-GB"/>
        </w:rPr>
        <w:t>Lowest values</w:t>
      </w:r>
      <w:r w:rsidRPr="002D2F4A">
        <w:rPr>
          <w:rFonts w:eastAsia="Times New Roman"/>
          <w:lang w:eastAsia="en-GB"/>
        </w:rPr>
        <w:t xml:space="preserve"> occur during the peak rainy season (July–August), particularly in </w:t>
      </w:r>
      <w:r w:rsidRPr="00F24C45">
        <w:rPr>
          <w:rFonts w:eastAsia="Times New Roman"/>
          <w:bCs/>
          <w:lang w:eastAsia="en-GB"/>
        </w:rPr>
        <w:t>2021/2022</w:t>
      </w:r>
      <w:r w:rsidRPr="002D2F4A">
        <w:rPr>
          <w:rFonts w:eastAsia="Times New Roman"/>
          <w:lang w:eastAsia="en-GB"/>
        </w:rPr>
        <w:t>.</w:t>
      </w:r>
      <w:r>
        <w:rPr>
          <w:rFonts w:eastAsia="Times New Roman"/>
          <w:lang w:eastAsia="en-GB"/>
        </w:rPr>
        <w:t xml:space="preserve"> The year </w:t>
      </w:r>
      <w:r w:rsidRPr="00F24C45">
        <w:rPr>
          <w:rFonts w:eastAsia="Times New Roman"/>
          <w:bCs/>
          <w:lang w:eastAsia="en-GB"/>
        </w:rPr>
        <w:t>2023/2024</w:t>
      </w:r>
      <w:r w:rsidRPr="002D2F4A">
        <w:rPr>
          <w:rFonts w:eastAsia="Times New Roman"/>
          <w:lang w:eastAsia="en-GB"/>
        </w:rPr>
        <w:t xml:space="preserve"> has slightly elevated temperatures in August and September compared to previous years.</w:t>
      </w:r>
      <w:r>
        <w:rPr>
          <w:rFonts w:eastAsia="Times New Roman"/>
          <w:lang w:eastAsia="en-GB"/>
        </w:rPr>
        <w:t xml:space="preserve"> </w:t>
      </w:r>
      <w:r w:rsidRPr="002D2F4A">
        <w:rPr>
          <w:rFonts w:eastAsia="Times New Roman"/>
          <w:lang w:eastAsia="en-GB"/>
        </w:rPr>
        <w:t xml:space="preserve">pH values fluctuate between </w:t>
      </w:r>
      <w:r w:rsidRPr="00637A69">
        <w:rPr>
          <w:rFonts w:eastAsia="Times New Roman"/>
          <w:bCs/>
          <w:lang w:eastAsia="en-GB"/>
        </w:rPr>
        <w:t>slightly acidic to neutral</w:t>
      </w:r>
      <w:r w:rsidRPr="002D2F4A">
        <w:rPr>
          <w:rFonts w:eastAsia="Times New Roman"/>
          <w:lang w:eastAsia="en-GB"/>
        </w:rPr>
        <w:t xml:space="preserve"> during the dry season and increase slightly (more alkaline) during the wet season.</w:t>
      </w:r>
      <w:r>
        <w:rPr>
          <w:rFonts w:eastAsia="Times New Roman"/>
          <w:lang w:eastAsia="en-GB"/>
        </w:rPr>
        <w:t xml:space="preserve"> </w:t>
      </w:r>
      <w:r w:rsidRPr="002D2F4A">
        <w:rPr>
          <w:rFonts w:eastAsia="Times New Roman"/>
          <w:lang w:eastAsia="en-GB"/>
        </w:rPr>
        <w:t xml:space="preserve">March 2022/2023 recorded the </w:t>
      </w:r>
      <w:r w:rsidRPr="00637A69">
        <w:rPr>
          <w:rFonts w:eastAsia="Times New Roman"/>
          <w:bCs/>
          <w:lang w:eastAsia="en-GB"/>
        </w:rPr>
        <w:t>highest pH</w:t>
      </w:r>
      <w:r w:rsidRPr="002D2F4A">
        <w:rPr>
          <w:rFonts w:eastAsia="Times New Roman"/>
          <w:lang w:eastAsia="en-GB"/>
        </w:rPr>
        <w:t xml:space="preserve"> (</w:t>
      </w:r>
      <w:r w:rsidRPr="00637A69">
        <w:rPr>
          <w:rFonts w:eastAsia="Times New Roman"/>
          <w:bCs/>
          <w:lang w:eastAsia="en-GB"/>
        </w:rPr>
        <w:t>7.60</w:t>
      </w:r>
      <w:r>
        <w:rPr>
          <w:rFonts w:eastAsia="Times New Roman"/>
          <w:lang w:eastAsia="en-GB"/>
        </w:rPr>
        <w:t xml:space="preserve">). </w:t>
      </w:r>
      <w:r w:rsidRPr="002D2F4A">
        <w:rPr>
          <w:rFonts w:eastAsia="Times New Roman"/>
          <w:lang w:eastAsia="en-GB"/>
        </w:rPr>
        <w:t xml:space="preserve">A notable drop in </w:t>
      </w:r>
      <w:r w:rsidRPr="00637A69">
        <w:rPr>
          <w:rFonts w:eastAsia="Times New Roman"/>
          <w:bCs/>
          <w:lang w:eastAsia="en-GB"/>
        </w:rPr>
        <w:t>2023/2024</w:t>
      </w:r>
      <w:r w:rsidRPr="002D2F4A">
        <w:rPr>
          <w:rFonts w:eastAsia="Times New Roman"/>
          <w:lang w:eastAsia="en-GB"/>
        </w:rPr>
        <w:t xml:space="preserve"> occurs in </w:t>
      </w:r>
      <w:r w:rsidRPr="00637A69">
        <w:rPr>
          <w:rFonts w:eastAsia="Times New Roman"/>
          <w:bCs/>
          <w:lang w:eastAsia="en-GB"/>
        </w:rPr>
        <w:t>July (6.33)</w:t>
      </w:r>
      <w:r>
        <w:rPr>
          <w:rFonts w:eastAsia="Times New Roman"/>
          <w:lang w:eastAsia="en-GB"/>
        </w:rPr>
        <w:t xml:space="preserve"> and August (6.37). </w:t>
      </w:r>
      <w:r w:rsidRPr="002D2F4A">
        <w:rPr>
          <w:rFonts w:eastAsia="Times New Roman"/>
          <w:lang w:eastAsia="en-GB"/>
        </w:rPr>
        <w:t xml:space="preserve">Values stabilize in </w:t>
      </w:r>
      <w:r w:rsidRPr="00637A69">
        <w:rPr>
          <w:rFonts w:eastAsia="Times New Roman"/>
          <w:bCs/>
          <w:lang w:eastAsia="en-GB"/>
        </w:rPr>
        <w:t>September and October</w:t>
      </w:r>
      <w:r w:rsidRPr="002D2F4A">
        <w:rPr>
          <w:rFonts w:eastAsia="Times New Roman"/>
          <w:lang w:eastAsia="en-GB"/>
        </w:rPr>
        <w:t xml:space="preserve"> near </w:t>
      </w:r>
      <w:r w:rsidRPr="00637A69">
        <w:rPr>
          <w:rFonts w:eastAsia="Times New Roman"/>
          <w:bCs/>
          <w:lang w:eastAsia="en-GB"/>
        </w:rPr>
        <w:t>neutral pH 7.0</w:t>
      </w:r>
      <w:r w:rsidRPr="002D2F4A">
        <w:rPr>
          <w:rFonts w:eastAsia="Times New Roman"/>
          <w:lang w:eastAsia="en-GB"/>
        </w:rPr>
        <w:t>.</w:t>
      </w:r>
    </w:p>
    <w:p w14:paraId="5954D824" w14:textId="77777777" w:rsidR="008B7372" w:rsidRDefault="008B7372" w:rsidP="008B7372">
      <w:pPr>
        <w:spacing w:after="0" w:line="240" w:lineRule="auto"/>
        <w:jc w:val="both"/>
        <w:rPr>
          <w:rFonts w:eastAsia="Times New Roman"/>
          <w:lang w:eastAsia="en-GB"/>
        </w:rPr>
      </w:pPr>
      <w:r w:rsidRPr="002D2F4A">
        <w:rPr>
          <w:rFonts w:eastAsia="Times New Roman"/>
          <w:lang w:eastAsia="en-GB"/>
        </w:rPr>
        <w:t xml:space="preserve">Highest </w:t>
      </w:r>
      <w:r w:rsidRPr="00637A69">
        <w:rPr>
          <w:rFonts w:eastAsia="Times New Roman"/>
          <w:bCs/>
          <w:lang w:eastAsia="en-GB"/>
        </w:rPr>
        <w:t>dissolved solids</w:t>
      </w:r>
      <w:r w:rsidRPr="002D2F4A">
        <w:rPr>
          <w:rFonts w:eastAsia="Times New Roman"/>
          <w:lang w:eastAsia="en-GB"/>
        </w:rPr>
        <w:t xml:space="preserve"> values are consistently recorded in </w:t>
      </w:r>
      <w:r w:rsidRPr="00637A69">
        <w:rPr>
          <w:rFonts w:eastAsia="Times New Roman"/>
          <w:bCs/>
          <w:lang w:eastAsia="en-GB"/>
        </w:rPr>
        <w:t>April</w:t>
      </w:r>
      <w:r w:rsidRPr="002D2F4A">
        <w:rPr>
          <w:rFonts w:eastAsia="Times New Roman"/>
          <w:lang w:eastAsia="en-GB"/>
        </w:rPr>
        <w:t xml:space="preserve"> (</w:t>
      </w:r>
      <w:r w:rsidRPr="00637A69">
        <w:rPr>
          <w:rFonts w:eastAsia="Times New Roman"/>
          <w:bCs/>
          <w:lang w:eastAsia="en-GB"/>
        </w:rPr>
        <w:t>0.79 mg/L in 2021/2022</w:t>
      </w:r>
      <w:proofErr w:type="gramStart"/>
      <w:r w:rsidRPr="002D2F4A">
        <w:rPr>
          <w:rFonts w:eastAsia="Times New Roman"/>
          <w:lang w:eastAsia="en-GB"/>
        </w:rPr>
        <w:t>).A</w:t>
      </w:r>
      <w:proofErr w:type="gramEnd"/>
      <w:r w:rsidRPr="002D2F4A">
        <w:rPr>
          <w:rFonts w:eastAsia="Times New Roman"/>
          <w:lang w:eastAsia="en-GB"/>
        </w:rPr>
        <w:t xml:space="preserve"> gradual increase is observed in </w:t>
      </w:r>
      <w:r w:rsidRPr="00637A69">
        <w:rPr>
          <w:rFonts w:eastAsia="Times New Roman"/>
          <w:bCs/>
          <w:lang w:eastAsia="en-GB"/>
        </w:rPr>
        <w:t>September–October 2023/2024</w:t>
      </w:r>
      <w:r>
        <w:rPr>
          <w:rFonts w:eastAsia="Times New Roman"/>
          <w:lang w:eastAsia="en-GB"/>
        </w:rPr>
        <w:t xml:space="preserve"> compared to earlier years. </w:t>
      </w:r>
      <w:r w:rsidRPr="00637A69">
        <w:rPr>
          <w:rFonts w:eastAsia="Times New Roman"/>
          <w:bCs/>
          <w:lang w:eastAsia="en-GB"/>
        </w:rPr>
        <w:t xml:space="preserve">Biochemical oxygen demand </w:t>
      </w:r>
      <w:r w:rsidRPr="002D2F4A">
        <w:rPr>
          <w:rFonts w:eastAsia="Times New Roman"/>
          <w:lang w:eastAsia="en-GB"/>
        </w:rPr>
        <w:t xml:space="preserve">peaks in the </w:t>
      </w:r>
      <w:r w:rsidRPr="00637A69">
        <w:rPr>
          <w:rFonts w:eastAsia="Times New Roman"/>
          <w:bCs/>
          <w:lang w:eastAsia="en-GB"/>
        </w:rPr>
        <w:t>wet season</w:t>
      </w:r>
      <w:r w:rsidRPr="002D2F4A">
        <w:rPr>
          <w:rFonts w:eastAsia="Times New Roman"/>
          <w:lang w:eastAsia="en-GB"/>
        </w:rPr>
        <w:t xml:space="preserve"> (July–September</w:t>
      </w:r>
      <w:r>
        <w:rPr>
          <w:rFonts w:eastAsia="Times New Roman"/>
          <w:lang w:eastAsia="en-GB"/>
        </w:rPr>
        <w:t xml:space="preserve">). </w:t>
      </w:r>
      <w:r w:rsidRPr="002D2F4A">
        <w:rPr>
          <w:rFonts w:eastAsia="Times New Roman"/>
          <w:lang w:eastAsia="en-GB"/>
        </w:rPr>
        <w:t xml:space="preserve">August records the </w:t>
      </w:r>
      <w:r w:rsidRPr="00637A69">
        <w:rPr>
          <w:rFonts w:eastAsia="Times New Roman"/>
          <w:bCs/>
          <w:lang w:eastAsia="en-GB"/>
        </w:rPr>
        <w:t>highest BOD</w:t>
      </w:r>
      <w:r w:rsidRPr="002D2F4A">
        <w:rPr>
          <w:rFonts w:eastAsia="Times New Roman"/>
          <w:lang w:eastAsia="en-GB"/>
        </w:rPr>
        <w:t xml:space="preserve"> each year, with </w:t>
      </w:r>
      <w:r w:rsidRPr="00637A69">
        <w:rPr>
          <w:rFonts w:eastAsia="Times New Roman"/>
          <w:bCs/>
          <w:lang w:eastAsia="en-GB"/>
        </w:rPr>
        <w:t>171.33 mg/L</w:t>
      </w:r>
      <w:r w:rsidRPr="002D2F4A">
        <w:rPr>
          <w:rFonts w:eastAsia="Times New Roman"/>
          <w:lang w:eastAsia="en-GB"/>
        </w:rPr>
        <w:t xml:space="preserve"> in 2021/2022 and slightly lower values in 2022/2023 and 2023/2024.February–March shows stable but high BOD across years.</w:t>
      </w:r>
      <w:r>
        <w:rPr>
          <w:rFonts w:eastAsia="Times New Roman"/>
          <w:lang w:eastAsia="en-GB"/>
        </w:rPr>
        <w:t xml:space="preserve"> </w:t>
      </w:r>
      <w:r w:rsidRPr="002D2F4A">
        <w:rPr>
          <w:rFonts w:eastAsia="Times New Roman"/>
          <w:lang w:eastAsia="en-GB"/>
        </w:rPr>
        <w:t xml:space="preserve">Rising BOD values </w:t>
      </w:r>
      <w:r>
        <w:rPr>
          <w:rFonts w:eastAsia="Times New Roman"/>
          <w:lang w:eastAsia="en-GB"/>
        </w:rPr>
        <w:t xml:space="preserve">was recorded in September 2023/2024. </w:t>
      </w:r>
      <w:r w:rsidRPr="00637A69">
        <w:rPr>
          <w:rFonts w:eastAsia="Times New Roman"/>
          <w:bCs/>
          <w:lang w:eastAsia="en-GB"/>
        </w:rPr>
        <w:t>Dissolved Oxygen</w:t>
      </w:r>
      <w:r w:rsidRPr="002D2F4A">
        <w:rPr>
          <w:rFonts w:eastAsia="Times New Roman"/>
          <w:lang w:eastAsia="en-GB"/>
        </w:rPr>
        <w:t xml:space="preserve"> peaks in the </w:t>
      </w:r>
      <w:r w:rsidRPr="00637A69">
        <w:rPr>
          <w:rFonts w:eastAsia="Times New Roman"/>
          <w:bCs/>
          <w:lang w:eastAsia="en-GB"/>
        </w:rPr>
        <w:t>wet season</w:t>
      </w:r>
      <w:r w:rsidRPr="002D2F4A">
        <w:rPr>
          <w:rFonts w:eastAsia="Times New Roman"/>
          <w:lang w:eastAsia="en-GB"/>
        </w:rPr>
        <w:t xml:space="preserve"> (July–September</w:t>
      </w:r>
      <w:r>
        <w:rPr>
          <w:rFonts w:eastAsia="Times New Roman"/>
          <w:lang w:eastAsia="en-GB"/>
        </w:rPr>
        <w:t xml:space="preserve">). </w:t>
      </w:r>
      <w:r w:rsidRPr="00637A69">
        <w:rPr>
          <w:rFonts w:eastAsia="Times New Roman"/>
          <w:bCs/>
          <w:lang w:eastAsia="en-GB"/>
        </w:rPr>
        <w:t>Highest DO</w:t>
      </w:r>
      <w:r w:rsidRPr="002D2F4A">
        <w:rPr>
          <w:rFonts w:eastAsia="Times New Roman"/>
          <w:lang w:eastAsia="en-GB"/>
        </w:rPr>
        <w:t xml:space="preserve"> observed in </w:t>
      </w:r>
      <w:r w:rsidRPr="00637A69">
        <w:rPr>
          <w:rFonts w:eastAsia="Times New Roman"/>
          <w:bCs/>
          <w:lang w:eastAsia="en-GB"/>
        </w:rPr>
        <w:t>July–August 2021/2022</w:t>
      </w:r>
      <w:r w:rsidRPr="002D2F4A">
        <w:rPr>
          <w:rFonts w:eastAsia="Times New Roman"/>
          <w:lang w:eastAsia="en-GB"/>
        </w:rPr>
        <w:t xml:space="preserve"> (</w:t>
      </w:r>
      <w:r w:rsidRPr="00637A69">
        <w:rPr>
          <w:rFonts w:eastAsia="Times New Roman"/>
          <w:bCs/>
          <w:lang w:eastAsia="en-GB"/>
        </w:rPr>
        <w:t>78.17 mg/L</w:t>
      </w:r>
      <w:r w:rsidRPr="002D2F4A">
        <w:rPr>
          <w:rFonts w:eastAsia="Times New Roman"/>
          <w:lang w:eastAsia="en-GB"/>
        </w:rPr>
        <w:t xml:space="preserve"> and </w:t>
      </w:r>
      <w:r w:rsidRPr="00637A69">
        <w:rPr>
          <w:rFonts w:eastAsia="Times New Roman"/>
          <w:bCs/>
          <w:lang w:eastAsia="en-GB"/>
        </w:rPr>
        <w:t>78.07 mg/L</w:t>
      </w:r>
      <w:r w:rsidRPr="002D2F4A">
        <w:rPr>
          <w:rFonts w:eastAsia="Times New Roman"/>
          <w:lang w:eastAsia="en-GB"/>
        </w:rPr>
        <w:t xml:space="preserve">).DO declines in April–May, particularly in </w:t>
      </w:r>
      <w:r w:rsidRPr="00637A69">
        <w:rPr>
          <w:rFonts w:eastAsia="Times New Roman"/>
          <w:bCs/>
          <w:lang w:eastAsia="en-GB"/>
        </w:rPr>
        <w:t>2023/2024</w:t>
      </w:r>
      <w:r w:rsidRPr="002D2F4A">
        <w:rPr>
          <w:rFonts w:eastAsia="Times New Roman"/>
          <w:lang w:eastAsia="en-GB"/>
        </w:rPr>
        <w:t xml:space="preserve"> (e.g., </w:t>
      </w:r>
      <w:r w:rsidRPr="00637A69">
        <w:rPr>
          <w:rFonts w:eastAsia="Times New Roman"/>
          <w:bCs/>
          <w:lang w:eastAsia="en-GB"/>
        </w:rPr>
        <w:t>56.60 mg/L</w:t>
      </w:r>
      <w:r w:rsidRPr="002D2F4A">
        <w:rPr>
          <w:rFonts w:eastAsia="Times New Roman"/>
          <w:lang w:eastAsia="en-GB"/>
        </w:rPr>
        <w:t xml:space="preserve"> in April</w:t>
      </w:r>
      <w:proofErr w:type="gramStart"/>
      <w:r w:rsidRPr="002D2F4A">
        <w:rPr>
          <w:rFonts w:eastAsia="Times New Roman"/>
          <w:lang w:eastAsia="en-GB"/>
        </w:rPr>
        <w:t>).September</w:t>
      </w:r>
      <w:proofErr w:type="gramEnd"/>
      <w:r w:rsidRPr="002D2F4A">
        <w:rPr>
          <w:rFonts w:eastAsia="Times New Roman"/>
          <w:lang w:eastAsia="en-GB"/>
        </w:rPr>
        <w:t>–October values recover slightly across all years.</w:t>
      </w:r>
    </w:p>
    <w:p w14:paraId="26F4CC33" w14:textId="77777777" w:rsidR="008B7372" w:rsidRPr="002D2F4A" w:rsidRDefault="008B7372" w:rsidP="008B7372">
      <w:pPr>
        <w:spacing w:after="0" w:line="240" w:lineRule="auto"/>
        <w:jc w:val="both"/>
        <w:rPr>
          <w:rFonts w:eastAsia="Times New Roman"/>
          <w:lang w:eastAsia="en-GB"/>
        </w:rPr>
      </w:pPr>
      <w:r w:rsidRPr="00637A69">
        <w:rPr>
          <w:rFonts w:eastAsia="Times New Roman"/>
          <w:bCs/>
          <w:lang w:eastAsia="en-GB"/>
        </w:rPr>
        <w:t>Highest transparency</w:t>
      </w:r>
      <w:r>
        <w:rPr>
          <w:rFonts w:eastAsia="Times New Roman"/>
          <w:bCs/>
          <w:lang w:eastAsia="en-GB"/>
        </w:rPr>
        <w:t xml:space="preserve"> </w:t>
      </w:r>
      <w:r w:rsidRPr="002D2F4A">
        <w:rPr>
          <w:rFonts w:eastAsia="Times New Roman"/>
          <w:lang w:eastAsia="en-GB"/>
        </w:rPr>
        <w:t>is recorded in August 2021/2022 (</w:t>
      </w:r>
      <w:r w:rsidRPr="00637A69">
        <w:rPr>
          <w:rFonts w:eastAsia="Times New Roman"/>
          <w:bCs/>
          <w:lang w:eastAsia="en-GB"/>
        </w:rPr>
        <w:t>1.60 m</w:t>
      </w:r>
      <w:r w:rsidRPr="002D2F4A">
        <w:rPr>
          <w:rFonts w:eastAsia="Times New Roman"/>
          <w:lang w:eastAsia="en-GB"/>
        </w:rPr>
        <w:t>) but declines in subsequent years.</w:t>
      </w:r>
      <w:r>
        <w:rPr>
          <w:rFonts w:eastAsia="Times New Roman"/>
          <w:lang w:eastAsia="en-GB"/>
        </w:rPr>
        <w:t xml:space="preserve"> </w:t>
      </w:r>
      <w:r w:rsidRPr="002D2F4A">
        <w:rPr>
          <w:rFonts w:eastAsia="Times New Roman"/>
          <w:lang w:eastAsia="en-GB"/>
        </w:rPr>
        <w:t>November and December consistently show clearer water (</w:t>
      </w:r>
      <w:r w:rsidRPr="00637A69">
        <w:rPr>
          <w:rFonts w:eastAsia="Times New Roman"/>
          <w:bCs/>
          <w:lang w:eastAsia="en-GB"/>
        </w:rPr>
        <w:t>1.37–1.43 m</w:t>
      </w:r>
      <w:r>
        <w:rPr>
          <w:rFonts w:eastAsia="Times New Roman"/>
          <w:lang w:eastAsia="en-GB"/>
        </w:rPr>
        <w:t xml:space="preserve">). </w:t>
      </w:r>
      <w:r w:rsidRPr="002D2F4A">
        <w:rPr>
          <w:rFonts w:eastAsia="Times New Roman"/>
          <w:lang w:eastAsia="en-GB"/>
        </w:rPr>
        <w:t xml:space="preserve">September and October 2023/2024 show </w:t>
      </w:r>
      <w:r w:rsidRPr="00637A69">
        <w:rPr>
          <w:rFonts w:eastAsia="Times New Roman"/>
          <w:bCs/>
          <w:lang w:eastAsia="en-GB"/>
        </w:rPr>
        <w:t>higher electrical conductivity</w:t>
      </w:r>
      <w:r w:rsidRPr="002D2F4A">
        <w:rPr>
          <w:rFonts w:eastAsia="Times New Roman"/>
          <w:lang w:eastAsia="en-GB"/>
        </w:rPr>
        <w:t xml:space="preserve"> values (</w:t>
      </w:r>
      <w:r w:rsidRPr="00637A69">
        <w:rPr>
          <w:rFonts w:eastAsia="Times New Roman"/>
          <w:bCs/>
          <w:lang w:eastAsia="en-GB"/>
        </w:rPr>
        <w:t>0.64–0.71 mS/cm</w:t>
      </w:r>
      <w:r>
        <w:rPr>
          <w:rFonts w:eastAsia="Times New Roman"/>
          <w:lang w:eastAsia="en-GB"/>
        </w:rPr>
        <w:t xml:space="preserve">). </w:t>
      </w:r>
      <w:r w:rsidRPr="002D2F4A">
        <w:rPr>
          <w:rFonts w:eastAsia="Times New Roman"/>
          <w:lang w:eastAsia="en-GB"/>
        </w:rPr>
        <w:t xml:space="preserve">March records minor fluctuations, with </w:t>
      </w:r>
      <w:r w:rsidRPr="00637A69">
        <w:rPr>
          <w:rFonts w:eastAsia="Times New Roman"/>
          <w:bCs/>
          <w:lang w:eastAsia="en-GB"/>
        </w:rPr>
        <w:t>0.63 mS/cm in 2022/2023</w:t>
      </w:r>
      <w:r w:rsidRPr="002D2F4A">
        <w:rPr>
          <w:rFonts w:eastAsia="Times New Roman"/>
          <w:lang w:eastAsia="en-GB"/>
        </w:rPr>
        <w:t>.</w:t>
      </w:r>
      <w:r w:rsidRPr="00637A69">
        <w:rPr>
          <w:rFonts w:eastAsia="Times New Roman"/>
          <w:bCs/>
          <w:lang w:eastAsia="en-GB"/>
        </w:rPr>
        <w:t>Highest nitrate (NO₃)</w:t>
      </w:r>
      <w:r>
        <w:rPr>
          <w:rFonts w:eastAsia="Times New Roman"/>
          <w:bCs/>
          <w:lang w:eastAsia="en-GB"/>
        </w:rPr>
        <w:t xml:space="preserve"> </w:t>
      </w:r>
      <w:r w:rsidRPr="00637A69">
        <w:rPr>
          <w:rFonts w:eastAsia="Times New Roman"/>
          <w:bCs/>
          <w:lang w:eastAsia="en-GB"/>
        </w:rPr>
        <w:t>values</w:t>
      </w:r>
      <w:r w:rsidRPr="002D2F4A">
        <w:rPr>
          <w:rFonts w:eastAsia="Times New Roman"/>
          <w:lang w:eastAsia="en-GB"/>
        </w:rPr>
        <w:t xml:space="preserve"> are recorded in </w:t>
      </w:r>
      <w:r w:rsidRPr="00637A69">
        <w:rPr>
          <w:rFonts w:eastAsia="Times New Roman"/>
          <w:bCs/>
          <w:lang w:eastAsia="en-GB"/>
        </w:rPr>
        <w:t>August–October</w:t>
      </w:r>
      <w:r w:rsidRPr="002D2F4A">
        <w:rPr>
          <w:rFonts w:eastAsia="Times New Roman"/>
          <w:lang w:eastAsia="en-GB"/>
        </w:rPr>
        <w:t xml:space="preserve"> across years, with peaks at </w:t>
      </w:r>
      <w:r w:rsidRPr="00637A69">
        <w:rPr>
          <w:rFonts w:eastAsia="Times New Roman"/>
          <w:bCs/>
          <w:lang w:eastAsia="en-GB"/>
        </w:rPr>
        <w:t>0.06 mg/L</w:t>
      </w:r>
      <w:r w:rsidRPr="002D2F4A">
        <w:rPr>
          <w:rFonts w:eastAsia="Times New Roman"/>
          <w:lang w:eastAsia="en-GB"/>
        </w:rPr>
        <w:t>.</w:t>
      </w:r>
      <w:r>
        <w:rPr>
          <w:rFonts w:eastAsia="Times New Roman"/>
          <w:lang w:eastAsia="en-GB"/>
        </w:rPr>
        <w:t xml:space="preserve"> </w:t>
      </w:r>
      <w:r w:rsidRPr="002D2F4A">
        <w:rPr>
          <w:rFonts w:eastAsia="Times New Roman"/>
          <w:lang w:eastAsia="en-GB"/>
        </w:rPr>
        <w:t>June and July show minimal concentrations (</w:t>
      </w:r>
      <w:r w:rsidRPr="00637A69">
        <w:rPr>
          <w:rFonts w:eastAsia="Times New Roman"/>
          <w:bCs/>
          <w:lang w:eastAsia="en-GB"/>
        </w:rPr>
        <w:t>0.03–0.04 mg/L</w:t>
      </w:r>
      <w:proofErr w:type="gramStart"/>
      <w:r w:rsidRPr="002D2F4A">
        <w:rPr>
          <w:rFonts w:eastAsia="Times New Roman"/>
          <w:lang w:eastAsia="en-GB"/>
        </w:rPr>
        <w:t>).August</w:t>
      </w:r>
      <w:proofErr w:type="gramEnd"/>
      <w:r w:rsidRPr="002D2F4A">
        <w:rPr>
          <w:rFonts w:eastAsia="Times New Roman"/>
          <w:lang w:eastAsia="en-GB"/>
        </w:rPr>
        <w:t xml:space="preserve"> and September show stable </w:t>
      </w:r>
      <w:r>
        <w:rPr>
          <w:rFonts w:eastAsia="Times New Roman"/>
          <w:bCs/>
          <w:lang w:eastAsia="en-GB"/>
        </w:rPr>
        <w:t>p</w:t>
      </w:r>
      <w:r w:rsidRPr="00637A69">
        <w:rPr>
          <w:rFonts w:eastAsia="Times New Roman"/>
          <w:bCs/>
          <w:lang w:eastAsia="en-GB"/>
        </w:rPr>
        <w:t>hosphate (PO₄)</w:t>
      </w:r>
      <w:r w:rsidRPr="002D2F4A">
        <w:rPr>
          <w:rFonts w:eastAsia="Times New Roman"/>
          <w:lang w:eastAsia="en-GB"/>
        </w:rPr>
        <w:t>values (</w:t>
      </w:r>
      <w:r w:rsidRPr="00637A69">
        <w:rPr>
          <w:rFonts w:eastAsia="Times New Roman"/>
          <w:bCs/>
          <w:lang w:eastAsia="en-GB"/>
        </w:rPr>
        <w:t>0.37–0.45 mg/L</w:t>
      </w:r>
      <w:r w:rsidRPr="002D2F4A">
        <w:rPr>
          <w:rFonts w:eastAsia="Times New Roman"/>
          <w:lang w:eastAsia="en-GB"/>
        </w:rPr>
        <w:t>) across years.</w:t>
      </w:r>
      <w:r>
        <w:rPr>
          <w:rFonts w:eastAsia="Times New Roman"/>
          <w:lang w:eastAsia="en-GB"/>
        </w:rPr>
        <w:t xml:space="preserve"> </w:t>
      </w:r>
      <w:r w:rsidRPr="002D2F4A">
        <w:rPr>
          <w:rFonts w:eastAsia="Times New Roman"/>
          <w:lang w:eastAsia="en-GB"/>
        </w:rPr>
        <w:t xml:space="preserve">March 2021/2022 records the </w:t>
      </w:r>
      <w:r w:rsidRPr="00637A69">
        <w:rPr>
          <w:rFonts w:eastAsia="Times New Roman"/>
          <w:bCs/>
          <w:lang w:eastAsia="en-GB"/>
        </w:rPr>
        <w:t>highest phosphate</w:t>
      </w:r>
      <w:r w:rsidRPr="002D2F4A">
        <w:rPr>
          <w:rFonts w:eastAsia="Times New Roman"/>
          <w:lang w:eastAsia="en-GB"/>
        </w:rPr>
        <w:t xml:space="preserve"> (</w:t>
      </w:r>
      <w:r w:rsidRPr="00637A69">
        <w:rPr>
          <w:rFonts w:eastAsia="Times New Roman"/>
          <w:bCs/>
          <w:lang w:eastAsia="en-GB"/>
        </w:rPr>
        <w:t>0.44 mg/L</w:t>
      </w:r>
      <w:r>
        <w:rPr>
          <w:rFonts w:eastAsia="Times New Roman"/>
          <w:lang w:eastAsia="en-GB"/>
        </w:rPr>
        <w:t xml:space="preserve">). </w:t>
      </w:r>
      <w:r w:rsidRPr="002D2F4A">
        <w:rPr>
          <w:rFonts w:eastAsia="Times New Roman"/>
          <w:lang w:eastAsia="en-GB"/>
        </w:rPr>
        <w:t xml:space="preserve">A </w:t>
      </w:r>
      <w:r w:rsidRPr="00637A69">
        <w:rPr>
          <w:rFonts w:eastAsia="Times New Roman"/>
          <w:bCs/>
          <w:lang w:eastAsia="en-GB"/>
        </w:rPr>
        <w:t>steady increase</w:t>
      </w:r>
      <w:r w:rsidRPr="002D2F4A">
        <w:rPr>
          <w:rFonts w:eastAsia="Times New Roman"/>
          <w:lang w:eastAsia="en-GB"/>
        </w:rPr>
        <w:t xml:space="preserve"> in Chloride levels </w:t>
      </w:r>
      <w:r>
        <w:rPr>
          <w:rFonts w:eastAsia="Times New Roman"/>
          <w:lang w:eastAsia="en-GB"/>
        </w:rPr>
        <w:t xml:space="preserve">was noted in </w:t>
      </w:r>
      <w:r w:rsidRPr="002D2F4A">
        <w:rPr>
          <w:rFonts w:eastAsia="Times New Roman"/>
          <w:lang w:eastAsia="en-GB"/>
        </w:rPr>
        <w:t xml:space="preserve">September–October </w:t>
      </w:r>
      <w:r w:rsidRPr="00637A69">
        <w:rPr>
          <w:rFonts w:eastAsia="Times New Roman"/>
          <w:bCs/>
          <w:lang w:eastAsia="en-GB"/>
        </w:rPr>
        <w:t>2023/2024</w:t>
      </w:r>
      <w:r w:rsidRPr="002D2F4A">
        <w:rPr>
          <w:rFonts w:eastAsia="Times New Roman"/>
          <w:lang w:eastAsia="en-GB"/>
        </w:rPr>
        <w:t xml:space="preserve"> (</w:t>
      </w:r>
      <w:r w:rsidRPr="00637A69">
        <w:rPr>
          <w:rFonts w:eastAsia="Times New Roman"/>
          <w:bCs/>
          <w:lang w:eastAsia="en-GB"/>
        </w:rPr>
        <w:t>49.28 mg/L</w:t>
      </w:r>
      <w:proofErr w:type="gramStart"/>
      <w:r w:rsidRPr="002D2F4A">
        <w:rPr>
          <w:rFonts w:eastAsia="Times New Roman"/>
          <w:lang w:eastAsia="en-GB"/>
        </w:rPr>
        <w:t>).Lowest</w:t>
      </w:r>
      <w:proofErr w:type="gramEnd"/>
      <w:r w:rsidRPr="002D2F4A">
        <w:rPr>
          <w:rFonts w:eastAsia="Times New Roman"/>
          <w:lang w:eastAsia="en-GB"/>
        </w:rPr>
        <w:t xml:space="preserve"> values occur in December 2021/2022 (</w:t>
      </w:r>
      <w:r w:rsidRPr="00637A69">
        <w:rPr>
          <w:rFonts w:eastAsia="Times New Roman"/>
          <w:bCs/>
          <w:lang w:eastAsia="en-GB"/>
        </w:rPr>
        <w:t>30.08 mg/L</w:t>
      </w:r>
      <w:r w:rsidRPr="002D2F4A">
        <w:rPr>
          <w:rFonts w:eastAsia="Times New Roman"/>
          <w:lang w:eastAsia="en-GB"/>
        </w:rPr>
        <w:t>).</w:t>
      </w:r>
    </w:p>
    <w:p w14:paraId="184A8251" w14:textId="77777777" w:rsidR="008B7372" w:rsidRPr="00637A69" w:rsidRDefault="008B7372" w:rsidP="008B7372">
      <w:pPr>
        <w:spacing w:after="0" w:line="480" w:lineRule="auto"/>
        <w:ind w:left="360"/>
        <w:jc w:val="both"/>
        <w:rPr>
          <w:rFonts w:eastAsia="Times New Roman"/>
          <w:lang w:eastAsia="en-GB"/>
        </w:rPr>
      </w:pPr>
    </w:p>
    <w:p w14:paraId="7D762355" w14:textId="77777777" w:rsidR="008B7372" w:rsidRDefault="008B7372" w:rsidP="008B7372">
      <w:pPr>
        <w:rPr>
          <w:noProof/>
          <w:lang w:eastAsia="en-GB"/>
        </w:rPr>
      </w:pPr>
    </w:p>
    <w:p w14:paraId="38365FC7" w14:textId="77777777" w:rsidR="008B7372" w:rsidRDefault="008B7372" w:rsidP="008B7372">
      <w:pPr>
        <w:rPr>
          <w:noProof/>
          <w:lang w:eastAsia="en-GB"/>
        </w:rPr>
      </w:pPr>
    </w:p>
    <w:p w14:paraId="19051E5A" w14:textId="77777777" w:rsidR="008B7372" w:rsidRDefault="008B7372" w:rsidP="008B7372">
      <w:pPr>
        <w:rPr>
          <w:noProof/>
          <w:lang w:eastAsia="en-GB"/>
        </w:rPr>
      </w:pPr>
    </w:p>
    <w:p w14:paraId="746A19FD" w14:textId="77777777" w:rsidR="008B7372" w:rsidRDefault="008B7372" w:rsidP="008B7372">
      <w:pPr>
        <w:rPr>
          <w:noProof/>
          <w:lang w:eastAsia="en-GB"/>
        </w:rPr>
        <w:sectPr w:rsidR="008B7372" w:rsidSect="008B737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pPr>
    </w:p>
    <w:p w14:paraId="25740110" w14:textId="4FF7439E" w:rsidR="008B7372" w:rsidRPr="00FD2B88" w:rsidRDefault="008B7372" w:rsidP="008B7372">
      <w:pPr>
        <w:jc w:val="both"/>
        <w:rPr>
          <w:b/>
          <w:noProof/>
          <w:lang w:eastAsia="en-GB"/>
        </w:rPr>
      </w:pPr>
      <w:r w:rsidRPr="00FD2B88">
        <w:rPr>
          <w:b/>
          <w:noProof/>
          <w:lang w:eastAsia="en-GB"/>
        </w:rPr>
        <w:lastRenderedPageBreak/>
        <w:t>Table 1: Ph</w:t>
      </w:r>
      <w:proofErr w:type="spellStart"/>
      <w:r>
        <w:rPr>
          <w:b/>
        </w:rPr>
        <w:t>ysico</w:t>
      </w:r>
      <w:proofErr w:type="spellEnd"/>
      <w:r>
        <w:rPr>
          <w:b/>
        </w:rPr>
        <w:t>-chemical</w:t>
      </w:r>
      <w:r w:rsidRPr="00FD2B88">
        <w:rPr>
          <w:b/>
        </w:rPr>
        <w:t xml:space="preserve"> Analysis of Water Quality Parameters </w:t>
      </w:r>
      <w:r>
        <w:rPr>
          <w:b/>
        </w:rPr>
        <w:t xml:space="preserve">of </w:t>
      </w:r>
      <w:proofErr w:type="spellStart"/>
      <w:r>
        <w:rPr>
          <w:b/>
        </w:rPr>
        <w:t>Owala</w:t>
      </w:r>
      <w:proofErr w:type="spellEnd"/>
      <w:r>
        <w:rPr>
          <w:b/>
        </w:rPr>
        <w:t xml:space="preserve"> Dam </w:t>
      </w:r>
      <w:r w:rsidRPr="00FD2B88">
        <w:rPr>
          <w:b/>
        </w:rPr>
        <w:t>across Three Consecutive Years (20</w:t>
      </w:r>
      <w:r>
        <w:rPr>
          <w:b/>
        </w:rPr>
        <w:t>21–2024) with Regulatory Limits</w:t>
      </w:r>
    </w:p>
    <w:tbl>
      <w:tblPr>
        <w:tblStyle w:val="PlainTable21"/>
        <w:tblW w:w="12547" w:type="dxa"/>
        <w:tblInd w:w="1204" w:type="dxa"/>
        <w:tblLook w:val="06A0" w:firstRow="1" w:lastRow="0" w:firstColumn="1" w:lastColumn="0" w:noHBand="1" w:noVBand="1"/>
      </w:tblPr>
      <w:tblGrid>
        <w:gridCol w:w="3570"/>
        <w:gridCol w:w="1453"/>
        <w:gridCol w:w="1453"/>
        <w:gridCol w:w="1453"/>
        <w:gridCol w:w="1307"/>
        <w:gridCol w:w="1848"/>
        <w:gridCol w:w="1463"/>
      </w:tblGrid>
      <w:tr w:rsidR="008B7372" w:rsidRPr="00704AB2" w14:paraId="09A6AE25" w14:textId="77777777" w:rsidTr="008B7372">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570" w:type="dxa"/>
            <w:vMerge w:val="restart"/>
            <w:tcBorders>
              <w:top w:val="single" w:sz="4" w:space="0" w:color="7F7F7F" w:themeColor="text1" w:themeTint="80"/>
            </w:tcBorders>
            <w:noWrap/>
            <w:vAlign w:val="center"/>
            <w:hideMark/>
          </w:tcPr>
          <w:p w14:paraId="6E5989EB" w14:textId="77777777" w:rsidR="008B7372" w:rsidRPr="00704AB2" w:rsidRDefault="008B7372" w:rsidP="008B7372">
            <w:pPr>
              <w:spacing w:line="360" w:lineRule="auto"/>
              <w:jc w:val="center"/>
              <w:rPr>
                <w:rFonts w:eastAsia="Times New Roman"/>
                <w:sz w:val="22"/>
                <w:szCs w:val="22"/>
                <w:lang w:eastAsia="en-GB"/>
              </w:rPr>
            </w:pPr>
            <w:r w:rsidRPr="00704AB2">
              <w:rPr>
                <w:rFonts w:eastAsia="Times New Roman"/>
                <w:sz w:val="22"/>
                <w:szCs w:val="22"/>
                <w:lang w:eastAsia="en-GB"/>
              </w:rPr>
              <w:t>PARAMETERS</w:t>
            </w:r>
          </w:p>
        </w:tc>
        <w:tc>
          <w:tcPr>
            <w:tcW w:w="1453" w:type="dxa"/>
            <w:tcBorders>
              <w:top w:val="single" w:sz="4" w:space="0" w:color="7F7F7F" w:themeColor="text1" w:themeTint="80"/>
              <w:bottom w:val="nil"/>
            </w:tcBorders>
            <w:noWrap/>
            <w:hideMark/>
          </w:tcPr>
          <w:p w14:paraId="7C0CE4AB" w14:textId="77777777" w:rsidR="008B7372" w:rsidRPr="00704AB2" w:rsidRDefault="008B7372" w:rsidP="008B7372">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2021/2022</w:t>
            </w:r>
          </w:p>
        </w:tc>
        <w:tc>
          <w:tcPr>
            <w:tcW w:w="1453" w:type="dxa"/>
            <w:tcBorders>
              <w:top w:val="single" w:sz="4" w:space="0" w:color="7F7F7F" w:themeColor="text1" w:themeTint="80"/>
              <w:bottom w:val="nil"/>
            </w:tcBorders>
            <w:noWrap/>
            <w:hideMark/>
          </w:tcPr>
          <w:p w14:paraId="15AD6E55" w14:textId="77777777" w:rsidR="008B7372" w:rsidRPr="00704AB2" w:rsidRDefault="008B7372" w:rsidP="008B7372">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2022/2023</w:t>
            </w:r>
          </w:p>
        </w:tc>
        <w:tc>
          <w:tcPr>
            <w:tcW w:w="1453" w:type="dxa"/>
            <w:tcBorders>
              <w:top w:val="single" w:sz="4" w:space="0" w:color="7F7F7F" w:themeColor="text1" w:themeTint="80"/>
              <w:bottom w:val="nil"/>
            </w:tcBorders>
            <w:noWrap/>
            <w:hideMark/>
          </w:tcPr>
          <w:p w14:paraId="396E703F" w14:textId="77777777" w:rsidR="008B7372" w:rsidRPr="00704AB2" w:rsidRDefault="008B7372" w:rsidP="008B7372">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2023/2024</w:t>
            </w:r>
          </w:p>
        </w:tc>
        <w:tc>
          <w:tcPr>
            <w:tcW w:w="1307" w:type="dxa"/>
            <w:vMerge w:val="restart"/>
            <w:tcBorders>
              <w:top w:val="single" w:sz="4" w:space="0" w:color="7F7F7F" w:themeColor="text1" w:themeTint="80"/>
            </w:tcBorders>
            <w:noWrap/>
            <w:hideMark/>
          </w:tcPr>
          <w:p w14:paraId="5CD4F1A8" w14:textId="77777777" w:rsidR="008B7372" w:rsidRPr="00704AB2" w:rsidRDefault="008B7372" w:rsidP="008B7372">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P-VALUE</w:t>
            </w:r>
          </w:p>
        </w:tc>
        <w:tc>
          <w:tcPr>
            <w:tcW w:w="3311" w:type="dxa"/>
            <w:gridSpan w:val="2"/>
            <w:tcBorders>
              <w:top w:val="single" w:sz="4" w:space="0" w:color="7F7F7F" w:themeColor="text1" w:themeTint="80"/>
              <w:bottom w:val="nil"/>
            </w:tcBorders>
            <w:noWrap/>
            <w:hideMark/>
          </w:tcPr>
          <w:p w14:paraId="7047B2E3" w14:textId="77777777" w:rsidR="008B7372" w:rsidRPr="00704AB2" w:rsidRDefault="008B7372" w:rsidP="008B7372">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Regulatory Limits</w:t>
            </w:r>
          </w:p>
        </w:tc>
      </w:tr>
      <w:tr w:rsidR="008B7372" w:rsidRPr="00704AB2" w14:paraId="67279D61" w14:textId="77777777" w:rsidTr="008B7372">
        <w:trPr>
          <w:trHeight w:val="341"/>
        </w:trPr>
        <w:tc>
          <w:tcPr>
            <w:cnfStyle w:val="001000000000" w:firstRow="0" w:lastRow="0" w:firstColumn="1" w:lastColumn="0" w:oddVBand="0" w:evenVBand="0" w:oddHBand="0" w:evenHBand="0" w:firstRowFirstColumn="0" w:firstRowLastColumn="0" w:lastRowFirstColumn="0" w:lastRowLastColumn="0"/>
            <w:tcW w:w="3570" w:type="dxa"/>
            <w:vMerge/>
            <w:tcBorders>
              <w:bottom w:val="single" w:sz="4" w:space="0" w:color="auto"/>
            </w:tcBorders>
            <w:hideMark/>
          </w:tcPr>
          <w:p w14:paraId="5A7388B2" w14:textId="77777777" w:rsidR="008B7372" w:rsidRPr="00704AB2" w:rsidRDefault="008B7372" w:rsidP="008B7372">
            <w:pPr>
              <w:spacing w:line="360" w:lineRule="auto"/>
              <w:rPr>
                <w:rFonts w:eastAsia="Times New Roman"/>
                <w:sz w:val="22"/>
                <w:szCs w:val="22"/>
                <w:lang w:eastAsia="en-GB"/>
              </w:rPr>
            </w:pPr>
          </w:p>
        </w:tc>
        <w:tc>
          <w:tcPr>
            <w:tcW w:w="1453" w:type="dxa"/>
            <w:tcBorders>
              <w:top w:val="nil"/>
              <w:bottom w:val="single" w:sz="4" w:space="0" w:color="auto"/>
            </w:tcBorders>
            <w:noWrap/>
            <w:hideMark/>
          </w:tcPr>
          <w:p w14:paraId="1D500AE7"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Cs/>
                <w:sz w:val="22"/>
                <w:szCs w:val="22"/>
                <w:lang w:eastAsia="en-GB"/>
              </w:rPr>
            </w:pPr>
            <w:proofErr w:type="spellStart"/>
            <w:r w:rsidRPr="00704AB2">
              <w:rPr>
                <w:rFonts w:eastAsia="Times New Roman"/>
                <w:bCs/>
                <w:sz w:val="22"/>
                <w:szCs w:val="22"/>
                <w:lang w:eastAsia="en-GB"/>
              </w:rPr>
              <w:t>Mean±SEM</w:t>
            </w:r>
            <w:proofErr w:type="spellEnd"/>
          </w:p>
        </w:tc>
        <w:tc>
          <w:tcPr>
            <w:tcW w:w="1453" w:type="dxa"/>
            <w:tcBorders>
              <w:top w:val="nil"/>
              <w:bottom w:val="single" w:sz="4" w:space="0" w:color="auto"/>
            </w:tcBorders>
            <w:hideMark/>
          </w:tcPr>
          <w:p w14:paraId="22BF0B86"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Cs/>
                <w:sz w:val="22"/>
                <w:szCs w:val="22"/>
                <w:lang w:eastAsia="en-GB"/>
              </w:rPr>
            </w:pPr>
            <w:proofErr w:type="spellStart"/>
            <w:r w:rsidRPr="00704AB2">
              <w:rPr>
                <w:rFonts w:eastAsia="Times New Roman"/>
                <w:bCs/>
                <w:sz w:val="22"/>
                <w:szCs w:val="22"/>
                <w:lang w:eastAsia="en-GB"/>
              </w:rPr>
              <w:t>Mean±SEM</w:t>
            </w:r>
            <w:proofErr w:type="spellEnd"/>
          </w:p>
        </w:tc>
        <w:tc>
          <w:tcPr>
            <w:tcW w:w="1453" w:type="dxa"/>
            <w:tcBorders>
              <w:top w:val="nil"/>
              <w:bottom w:val="single" w:sz="4" w:space="0" w:color="auto"/>
            </w:tcBorders>
            <w:hideMark/>
          </w:tcPr>
          <w:p w14:paraId="1629D1B9"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Cs/>
                <w:sz w:val="22"/>
                <w:szCs w:val="22"/>
                <w:lang w:eastAsia="en-GB"/>
              </w:rPr>
            </w:pPr>
            <w:proofErr w:type="spellStart"/>
            <w:r w:rsidRPr="00704AB2">
              <w:rPr>
                <w:rFonts w:eastAsia="Times New Roman"/>
                <w:bCs/>
                <w:sz w:val="22"/>
                <w:szCs w:val="22"/>
                <w:lang w:eastAsia="en-GB"/>
              </w:rPr>
              <w:t>Mean±SEM</w:t>
            </w:r>
            <w:proofErr w:type="spellEnd"/>
          </w:p>
        </w:tc>
        <w:tc>
          <w:tcPr>
            <w:tcW w:w="1307" w:type="dxa"/>
            <w:vMerge/>
            <w:tcBorders>
              <w:bottom w:val="single" w:sz="4" w:space="0" w:color="auto"/>
            </w:tcBorders>
            <w:hideMark/>
          </w:tcPr>
          <w:p w14:paraId="5D5F68F7"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
                <w:bCs/>
                <w:sz w:val="22"/>
                <w:szCs w:val="22"/>
                <w:lang w:eastAsia="en-GB"/>
              </w:rPr>
            </w:pPr>
          </w:p>
        </w:tc>
        <w:tc>
          <w:tcPr>
            <w:tcW w:w="1848" w:type="dxa"/>
            <w:tcBorders>
              <w:top w:val="nil"/>
              <w:bottom w:val="single" w:sz="4" w:space="0" w:color="auto"/>
            </w:tcBorders>
            <w:noWrap/>
            <w:hideMark/>
          </w:tcPr>
          <w:p w14:paraId="304AC5DD"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
                <w:bCs/>
                <w:sz w:val="22"/>
                <w:szCs w:val="22"/>
                <w:lang w:eastAsia="en-GB"/>
              </w:rPr>
            </w:pPr>
            <w:r w:rsidRPr="00704AB2">
              <w:rPr>
                <w:rFonts w:eastAsia="Times New Roman"/>
                <w:b/>
                <w:bCs/>
                <w:sz w:val="22"/>
                <w:szCs w:val="22"/>
                <w:lang w:eastAsia="en-GB"/>
              </w:rPr>
              <w:t xml:space="preserve"> NSDWQ (2017)</w:t>
            </w:r>
          </w:p>
        </w:tc>
        <w:tc>
          <w:tcPr>
            <w:tcW w:w="1463" w:type="dxa"/>
            <w:tcBorders>
              <w:top w:val="nil"/>
              <w:bottom w:val="single" w:sz="4" w:space="0" w:color="auto"/>
            </w:tcBorders>
            <w:noWrap/>
            <w:hideMark/>
          </w:tcPr>
          <w:p w14:paraId="3F958BF9"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
                <w:bCs/>
                <w:sz w:val="22"/>
                <w:szCs w:val="22"/>
                <w:lang w:eastAsia="en-GB"/>
              </w:rPr>
            </w:pPr>
            <w:r w:rsidRPr="00704AB2">
              <w:rPr>
                <w:rFonts w:eastAsia="Times New Roman"/>
                <w:b/>
                <w:bCs/>
                <w:sz w:val="22"/>
                <w:szCs w:val="22"/>
                <w:lang w:eastAsia="en-GB"/>
              </w:rPr>
              <w:t>WHO (2011)</w:t>
            </w:r>
          </w:p>
        </w:tc>
      </w:tr>
      <w:tr w:rsidR="008B7372" w:rsidRPr="00704AB2" w14:paraId="435A292E" w14:textId="77777777" w:rsidTr="008B7372">
        <w:trPr>
          <w:trHeight w:val="341"/>
        </w:trPr>
        <w:tc>
          <w:tcPr>
            <w:cnfStyle w:val="001000000000" w:firstRow="0" w:lastRow="0" w:firstColumn="1" w:lastColumn="0" w:oddVBand="0" w:evenVBand="0" w:oddHBand="0" w:evenHBand="0" w:firstRowFirstColumn="0" w:firstRowLastColumn="0" w:lastRowFirstColumn="0" w:lastRowLastColumn="0"/>
            <w:tcW w:w="3570" w:type="dxa"/>
            <w:tcBorders>
              <w:top w:val="single" w:sz="4" w:space="0" w:color="auto"/>
            </w:tcBorders>
            <w:noWrap/>
            <w:hideMark/>
          </w:tcPr>
          <w:p w14:paraId="75CD8ED7" w14:textId="77777777" w:rsidR="008B7372" w:rsidRPr="00704AB2" w:rsidRDefault="008B7372" w:rsidP="008B7372">
            <w:pPr>
              <w:spacing w:line="360" w:lineRule="auto"/>
              <w:rPr>
                <w:rFonts w:eastAsia="Times New Roman"/>
                <w:sz w:val="22"/>
                <w:szCs w:val="22"/>
                <w:lang w:eastAsia="en-GB"/>
              </w:rPr>
            </w:pPr>
            <w:r w:rsidRPr="00704AB2">
              <w:rPr>
                <w:rFonts w:eastAsia="Times New Roman"/>
                <w:sz w:val="22"/>
                <w:szCs w:val="22"/>
                <w:lang w:eastAsia="en-GB"/>
              </w:rPr>
              <w:t>Temperature</w:t>
            </w:r>
          </w:p>
        </w:tc>
        <w:tc>
          <w:tcPr>
            <w:tcW w:w="1453" w:type="dxa"/>
            <w:tcBorders>
              <w:top w:val="single" w:sz="4" w:space="0" w:color="auto"/>
            </w:tcBorders>
            <w:noWrap/>
            <w:hideMark/>
          </w:tcPr>
          <w:p w14:paraId="69EDD0EE"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25.85±0.30</w:t>
            </w:r>
          </w:p>
        </w:tc>
        <w:tc>
          <w:tcPr>
            <w:tcW w:w="1453" w:type="dxa"/>
            <w:tcBorders>
              <w:top w:val="single" w:sz="4" w:space="0" w:color="auto"/>
            </w:tcBorders>
            <w:noWrap/>
            <w:hideMark/>
          </w:tcPr>
          <w:p w14:paraId="637519FE"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26.02±0.21</w:t>
            </w:r>
          </w:p>
        </w:tc>
        <w:tc>
          <w:tcPr>
            <w:tcW w:w="1453" w:type="dxa"/>
            <w:tcBorders>
              <w:top w:val="single" w:sz="4" w:space="0" w:color="auto"/>
            </w:tcBorders>
            <w:noWrap/>
            <w:hideMark/>
          </w:tcPr>
          <w:p w14:paraId="1E7315D1"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26.39±0.22</w:t>
            </w:r>
          </w:p>
        </w:tc>
        <w:tc>
          <w:tcPr>
            <w:tcW w:w="1307" w:type="dxa"/>
            <w:tcBorders>
              <w:top w:val="single" w:sz="4" w:space="0" w:color="auto"/>
            </w:tcBorders>
            <w:noWrap/>
            <w:hideMark/>
          </w:tcPr>
          <w:p w14:paraId="4018C606"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0.301</w:t>
            </w:r>
          </w:p>
        </w:tc>
        <w:tc>
          <w:tcPr>
            <w:tcW w:w="1848" w:type="dxa"/>
            <w:tcBorders>
              <w:top w:val="single" w:sz="4" w:space="0" w:color="auto"/>
            </w:tcBorders>
            <w:noWrap/>
            <w:hideMark/>
          </w:tcPr>
          <w:p w14:paraId="11719884"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Ambient</w:t>
            </w:r>
          </w:p>
        </w:tc>
        <w:tc>
          <w:tcPr>
            <w:tcW w:w="1463" w:type="dxa"/>
            <w:tcBorders>
              <w:top w:val="single" w:sz="4" w:space="0" w:color="auto"/>
            </w:tcBorders>
            <w:noWrap/>
            <w:hideMark/>
          </w:tcPr>
          <w:p w14:paraId="4DF4CC9B"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w:t>
            </w:r>
          </w:p>
        </w:tc>
      </w:tr>
      <w:tr w:rsidR="008B7372" w:rsidRPr="00704AB2" w14:paraId="5FD9A11F" w14:textId="77777777" w:rsidTr="008B7372">
        <w:trPr>
          <w:trHeight w:val="341"/>
        </w:trPr>
        <w:tc>
          <w:tcPr>
            <w:cnfStyle w:val="001000000000" w:firstRow="0" w:lastRow="0" w:firstColumn="1" w:lastColumn="0" w:oddVBand="0" w:evenVBand="0" w:oddHBand="0" w:evenHBand="0" w:firstRowFirstColumn="0" w:firstRowLastColumn="0" w:lastRowFirstColumn="0" w:lastRowLastColumn="0"/>
            <w:tcW w:w="3570" w:type="dxa"/>
            <w:noWrap/>
            <w:hideMark/>
          </w:tcPr>
          <w:p w14:paraId="74EA9F80" w14:textId="77777777" w:rsidR="008B7372" w:rsidRPr="00704AB2" w:rsidRDefault="008B7372" w:rsidP="008B7372">
            <w:pPr>
              <w:spacing w:line="360" w:lineRule="auto"/>
              <w:rPr>
                <w:rFonts w:eastAsia="Times New Roman"/>
                <w:sz w:val="22"/>
                <w:szCs w:val="22"/>
                <w:lang w:eastAsia="en-GB"/>
              </w:rPr>
            </w:pPr>
            <w:r>
              <w:rPr>
                <w:rFonts w:eastAsia="Times New Roman"/>
                <w:sz w:val="22"/>
                <w:szCs w:val="22"/>
                <w:lang w:eastAsia="en-GB"/>
              </w:rPr>
              <w:t>Ph</w:t>
            </w:r>
          </w:p>
        </w:tc>
        <w:tc>
          <w:tcPr>
            <w:tcW w:w="1453" w:type="dxa"/>
            <w:noWrap/>
            <w:hideMark/>
          </w:tcPr>
          <w:p w14:paraId="67F5F0E0"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6.93±0.14</w:t>
            </w:r>
          </w:p>
        </w:tc>
        <w:tc>
          <w:tcPr>
            <w:tcW w:w="1453" w:type="dxa"/>
            <w:noWrap/>
            <w:hideMark/>
          </w:tcPr>
          <w:p w14:paraId="6126B97C"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6.98±0.10</w:t>
            </w:r>
          </w:p>
        </w:tc>
        <w:tc>
          <w:tcPr>
            <w:tcW w:w="1453" w:type="dxa"/>
            <w:noWrap/>
            <w:hideMark/>
          </w:tcPr>
          <w:p w14:paraId="25A6AA68"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6.62±0.10</w:t>
            </w:r>
          </w:p>
        </w:tc>
        <w:tc>
          <w:tcPr>
            <w:tcW w:w="1307" w:type="dxa"/>
            <w:noWrap/>
            <w:hideMark/>
          </w:tcPr>
          <w:p w14:paraId="05E421E4"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0.051</w:t>
            </w:r>
            <w:r>
              <w:rPr>
                <w:rFonts w:eastAsia="Times New Roman"/>
                <w:sz w:val="22"/>
                <w:szCs w:val="22"/>
                <w:lang w:eastAsia="en-GB"/>
              </w:rPr>
              <w:t>*</w:t>
            </w:r>
          </w:p>
        </w:tc>
        <w:tc>
          <w:tcPr>
            <w:tcW w:w="1848" w:type="dxa"/>
            <w:noWrap/>
            <w:hideMark/>
          </w:tcPr>
          <w:p w14:paraId="1BF4CD98"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6.5-8.5</w:t>
            </w:r>
          </w:p>
        </w:tc>
        <w:tc>
          <w:tcPr>
            <w:tcW w:w="1463" w:type="dxa"/>
            <w:noWrap/>
            <w:hideMark/>
          </w:tcPr>
          <w:p w14:paraId="198008AD"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6.5-8.5</w:t>
            </w:r>
          </w:p>
        </w:tc>
      </w:tr>
      <w:tr w:rsidR="008B7372" w:rsidRPr="00704AB2" w14:paraId="211E1199"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3B071F05" w14:textId="77777777" w:rsidR="008B7372" w:rsidRPr="00704AB2" w:rsidRDefault="008B7372" w:rsidP="008B7372">
            <w:pPr>
              <w:spacing w:line="360" w:lineRule="auto"/>
              <w:rPr>
                <w:rFonts w:eastAsia="Times New Roman"/>
                <w:sz w:val="22"/>
                <w:szCs w:val="22"/>
                <w:lang w:eastAsia="en-GB"/>
              </w:rPr>
            </w:pPr>
            <w:r w:rsidRPr="00704AB2">
              <w:rPr>
                <w:rFonts w:eastAsia="Times New Roman"/>
                <w:sz w:val="22"/>
                <w:szCs w:val="22"/>
                <w:lang w:eastAsia="en-GB"/>
              </w:rPr>
              <w:t>Total Dissolved Solids (mg/L)</w:t>
            </w:r>
          </w:p>
        </w:tc>
        <w:tc>
          <w:tcPr>
            <w:tcW w:w="1453" w:type="dxa"/>
            <w:noWrap/>
            <w:hideMark/>
          </w:tcPr>
          <w:p w14:paraId="1B3DC6DB"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0.57±0.03</w:t>
            </w:r>
          </w:p>
        </w:tc>
        <w:tc>
          <w:tcPr>
            <w:tcW w:w="1453" w:type="dxa"/>
            <w:noWrap/>
            <w:hideMark/>
          </w:tcPr>
          <w:p w14:paraId="2C027057"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0.57±0.01</w:t>
            </w:r>
          </w:p>
        </w:tc>
        <w:tc>
          <w:tcPr>
            <w:tcW w:w="1453" w:type="dxa"/>
            <w:noWrap/>
            <w:hideMark/>
          </w:tcPr>
          <w:p w14:paraId="749C7698"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0.56±0.02</w:t>
            </w:r>
          </w:p>
        </w:tc>
        <w:tc>
          <w:tcPr>
            <w:tcW w:w="1307" w:type="dxa"/>
            <w:noWrap/>
            <w:hideMark/>
          </w:tcPr>
          <w:p w14:paraId="317E9FE1"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0.930</w:t>
            </w:r>
          </w:p>
        </w:tc>
        <w:tc>
          <w:tcPr>
            <w:tcW w:w="1848" w:type="dxa"/>
            <w:noWrap/>
            <w:hideMark/>
          </w:tcPr>
          <w:p w14:paraId="61C83B8D"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500</w:t>
            </w:r>
          </w:p>
        </w:tc>
        <w:tc>
          <w:tcPr>
            <w:tcW w:w="1463" w:type="dxa"/>
            <w:noWrap/>
            <w:hideMark/>
          </w:tcPr>
          <w:p w14:paraId="59A16EA2"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500</w:t>
            </w:r>
          </w:p>
        </w:tc>
      </w:tr>
      <w:tr w:rsidR="008B7372" w:rsidRPr="00704AB2" w14:paraId="7EF8577C"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1995DEC5" w14:textId="77777777" w:rsidR="008B7372" w:rsidRPr="00704AB2" w:rsidRDefault="008B7372" w:rsidP="008B7372">
            <w:pPr>
              <w:spacing w:line="360" w:lineRule="auto"/>
              <w:rPr>
                <w:rFonts w:eastAsia="Times New Roman"/>
                <w:sz w:val="22"/>
                <w:szCs w:val="22"/>
                <w:lang w:eastAsia="en-GB"/>
              </w:rPr>
            </w:pPr>
            <w:r w:rsidRPr="00704AB2">
              <w:rPr>
                <w:rFonts w:eastAsia="Times New Roman"/>
                <w:sz w:val="22"/>
                <w:szCs w:val="22"/>
                <w:lang w:eastAsia="en-GB"/>
              </w:rPr>
              <w:t>Biological Oxygen Demand (mg/L)</w:t>
            </w:r>
          </w:p>
        </w:tc>
        <w:tc>
          <w:tcPr>
            <w:tcW w:w="1453" w:type="dxa"/>
            <w:noWrap/>
            <w:hideMark/>
          </w:tcPr>
          <w:p w14:paraId="258FEA49"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150.39±2.20</w:t>
            </w:r>
          </w:p>
        </w:tc>
        <w:tc>
          <w:tcPr>
            <w:tcW w:w="1453" w:type="dxa"/>
            <w:noWrap/>
            <w:hideMark/>
          </w:tcPr>
          <w:p w14:paraId="1D1BA746"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143.42±1.32</w:t>
            </w:r>
          </w:p>
        </w:tc>
        <w:tc>
          <w:tcPr>
            <w:tcW w:w="1453" w:type="dxa"/>
            <w:noWrap/>
            <w:hideMark/>
          </w:tcPr>
          <w:p w14:paraId="48ECD71C"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146.03±1.44</w:t>
            </w:r>
          </w:p>
        </w:tc>
        <w:tc>
          <w:tcPr>
            <w:tcW w:w="1307" w:type="dxa"/>
            <w:noWrap/>
            <w:hideMark/>
          </w:tcPr>
          <w:p w14:paraId="41052D3B"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0.016</w:t>
            </w:r>
            <w:r>
              <w:rPr>
                <w:rFonts w:eastAsia="Times New Roman"/>
                <w:sz w:val="22"/>
                <w:szCs w:val="22"/>
                <w:lang w:eastAsia="en-GB"/>
              </w:rPr>
              <w:t>*</w:t>
            </w:r>
          </w:p>
        </w:tc>
        <w:tc>
          <w:tcPr>
            <w:tcW w:w="1848" w:type="dxa"/>
            <w:noWrap/>
            <w:hideMark/>
          </w:tcPr>
          <w:p w14:paraId="7EA50506"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250</w:t>
            </w:r>
          </w:p>
        </w:tc>
        <w:tc>
          <w:tcPr>
            <w:tcW w:w="1463" w:type="dxa"/>
            <w:noWrap/>
            <w:hideMark/>
          </w:tcPr>
          <w:p w14:paraId="1BBEBA28"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10</w:t>
            </w:r>
          </w:p>
        </w:tc>
      </w:tr>
      <w:tr w:rsidR="008B7372" w:rsidRPr="00704AB2" w14:paraId="58C41D6D"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184130C7" w14:textId="77777777" w:rsidR="008B7372" w:rsidRPr="00704AB2" w:rsidRDefault="008B7372" w:rsidP="008B7372">
            <w:pPr>
              <w:spacing w:line="360" w:lineRule="auto"/>
              <w:rPr>
                <w:rFonts w:eastAsia="Times New Roman"/>
                <w:sz w:val="22"/>
                <w:szCs w:val="22"/>
                <w:lang w:eastAsia="en-GB"/>
              </w:rPr>
            </w:pPr>
            <w:r w:rsidRPr="00704AB2">
              <w:rPr>
                <w:rFonts w:eastAsia="Times New Roman"/>
                <w:sz w:val="22"/>
                <w:szCs w:val="22"/>
                <w:lang w:eastAsia="en-GB"/>
              </w:rPr>
              <w:t>Dissolved Oxygen (mg/L)</w:t>
            </w:r>
          </w:p>
        </w:tc>
        <w:tc>
          <w:tcPr>
            <w:tcW w:w="1453" w:type="dxa"/>
            <w:noWrap/>
            <w:hideMark/>
          </w:tcPr>
          <w:p w14:paraId="17F8F82B"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66.33±1.38</w:t>
            </w:r>
          </w:p>
        </w:tc>
        <w:tc>
          <w:tcPr>
            <w:tcW w:w="1453" w:type="dxa"/>
            <w:noWrap/>
            <w:hideMark/>
          </w:tcPr>
          <w:p w14:paraId="4555541A"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64.15±1.15</w:t>
            </w:r>
          </w:p>
        </w:tc>
        <w:tc>
          <w:tcPr>
            <w:tcW w:w="1453" w:type="dxa"/>
            <w:noWrap/>
            <w:hideMark/>
          </w:tcPr>
          <w:p w14:paraId="7588320C"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64.23±1.18</w:t>
            </w:r>
          </w:p>
        </w:tc>
        <w:tc>
          <w:tcPr>
            <w:tcW w:w="1307" w:type="dxa"/>
            <w:noWrap/>
            <w:hideMark/>
          </w:tcPr>
          <w:p w14:paraId="04F4F6F1"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0.373</w:t>
            </w:r>
          </w:p>
        </w:tc>
        <w:tc>
          <w:tcPr>
            <w:tcW w:w="1848" w:type="dxa"/>
            <w:noWrap/>
            <w:hideMark/>
          </w:tcPr>
          <w:p w14:paraId="44B22356"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w:t>
            </w:r>
          </w:p>
        </w:tc>
        <w:tc>
          <w:tcPr>
            <w:tcW w:w="1463" w:type="dxa"/>
            <w:noWrap/>
            <w:hideMark/>
          </w:tcPr>
          <w:p w14:paraId="01028565"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6</w:t>
            </w:r>
          </w:p>
        </w:tc>
      </w:tr>
      <w:tr w:rsidR="008B7372" w:rsidRPr="00704AB2" w14:paraId="4C3974C9"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76A9BF1A" w14:textId="77777777" w:rsidR="008B7372" w:rsidRPr="00704AB2" w:rsidRDefault="008B7372" w:rsidP="008B7372">
            <w:pPr>
              <w:spacing w:line="360" w:lineRule="auto"/>
              <w:rPr>
                <w:rFonts w:eastAsia="Times New Roman"/>
                <w:sz w:val="22"/>
                <w:szCs w:val="22"/>
                <w:lang w:eastAsia="en-GB"/>
              </w:rPr>
            </w:pPr>
            <w:r w:rsidRPr="00704AB2">
              <w:rPr>
                <w:rFonts w:eastAsia="Times New Roman"/>
                <w:sz w:val="22"/>
                <w:szCs w:val="22"/>
                <w:lang w:eastAsia="en-GB"/>
              </w:rPr>
              <w:t>Transparency (m)</w:t>
            </w:r>
          </w:p>
        </w:tc>
        <w:tc>
          <w:tcPr>
            <w:tcW w:w="1453" w:type="dxa"/>
            <w:noWrap/>
            <w:hideMark/>
          </w:tcPr>
          <w:p w14:paraId="69155250"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1.41±0.02</w:t>
            </w:r>
          </w:p>
        </w:tc>
        <w:tc>
          <w:tcPr>
            <w:tcW w:w="1453" w:type="dxa"/>
            <w:noWrap/>
            <w:hideMark/>
          </w:tcPr>
          <w:p w14:paraId="7203A94A"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1.31±0.02</w:t>
            </w:r>
          </w:p>
        </w:tc>
        <w:tc>
          <w:tcPr>
            <w:tcW w:w="1453" w:type="dxa"/>
            <w:noWrap/>
            <w:hideMark/>
          </w:tcPr>
          <w:p w14:paraId="1182811C"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1.38±0.02</w:t>
            </w:r>
          </w:p>
        </w:tc>
        <w:tc>
          <w:tcPr>
            <w:tcW w:w="1307" w:type="dxa"/>
            <w:noWrap/>
            <w:hideMark/>
          </w:tcPr>
          <w:p w14:paraId="569FC126"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0.007</w:t>
            </w:r>
            <w:r>
              <w:rPr>
                <w:rFonts w:eastAsia="Times New Roman"/>
                <w:sz w:val="22"/>
                <w:szCs w:val="22"/>
                <w:lang w:eastAsia="en-GB"/>
              </w:rPr>
              <w:t>*</w:t>
            </w:r>
          </w:p>
        </w:tc>
        <w:tc>
          <w:tcPr>
            <w:tcW w:w="1848" w:type="dxa"/>
            <w:noWrap/>
            <w:hideMark/>
          </w:tcPr>
          <w:p w14:paraId="49C1AE90"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Pr>
                <w:rFonts w:eastAsia="Times New Roman"/>
                <w:sz w:val="22"/>
                <w:szCs w:val="22"/>
                <w:lang w:eastAsia="en-GB"/>
              </w:rPr>
              <w:t>-</w:t>
            </w:r>
          </w:p>
        </w:tc>
        <w:tc>
          <w:tcPr>
            <w:tcW w:w="1463" w:type="dxa"/>
            <w:noWrap/>
            <w:hideMark/>
          </w:tcPr>
          <w:p w14:paraId="2652A966"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Pr>
                <w:rFonts w:eastAsia="Times New Roman"/>
                <w:color w:val="auto"/>
                <w:sz w:val="20"/>
                <w:szCs w:val="20"/>
                <w:lang w:eastAsia="en-GB"/>
              </w:rPr>
              <w:t>-</w:t>
            </w:r>
          </w:p>
        </w:tc>
      </w:tr>
      <w:tr w:rsidR="008B7372" w:rsidRPr="00704AB2" w14:paraId="1DF68D00"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53422ED7" w14:textId="77777777" w:rsidR="008B7372" w:rsidRPr="00704AB2" w:rsidRDefault="008B7372" w:rsidP="008B7372">
            <w:pPr>
              <w:spacing w:line="360" w:lineRule="auto"/>
              <w:rPr>
                <w:rFonts w:eastAsia="Times New Roman"/>
                <w:sz w:val="22"/>
                <w:szCs w:val="22"/>
                <w:lang w:eastAsia="en-GB"/>
              </w:rPr>
            </w:pPr>
            <w:r w:rsidRPr="00704AB2">
              <w:rPr>
                <w:rFonts w:eastAsia="Times New Roman"/>
                <w:sz w:val="22"/>
                <w:szCs w:val="22"/>
                <w:lang w:eastAsia="en-GB"/>
              </w:rPr>
              <w:t>Electrical Conductivity (ds/m)</w:t>
            </w:r>
          </w:p>
        </w:tc>
        <w:tc>
          <w:tcPr>
            <w:tcW w:w="1453" w:type="dxa"/>
            <w:noWrap/>
            <w:hideMark/>
          </w:tcPr>
          <w:p w14:paraId="2D0BD68F"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0.35±0.01</w:t>
            </w:r>
          </w:p>
        </w:tc>
        <w:tc>
          <w:tcPr>
            <w:tcW w:w="1453" w:type="dxa"/>
            <w:noWrap/>
            <w:hideMark/>
          </w:tcPr>
          <w:p w14:paraId="3A32E75E"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0.33±0.01</w:t>
            </w:r>
          </w:p>
        </w:tc>
        <w:tc>
          <w:tcPr>
            <w:tcW w:w="1453" w:type="dxa"/>
            <w:noWrap/>
            <w:hideMark/>
          </w:tcPr>
          <w:p w14:paraId="4DE2DC8F"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0.34±0.01</w:t>
            </w:r>
          </w:p>
        </w:tc>
        <w:tc>
          <w:tcPr>
            <w:tcW w:w="1307" w:type="dxa"/>
            <w:noWrap/>
            <w:hideMark/>
          </w:tcPr>
          <w:p w14:paraId="13344ADF"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0.519</w:t>
            </w:r>
          </w:p>
        </w:tc>
        <w:tc>
          <w:tcPr>
            <w:tcW w:w="1848" w:type="dxa"/>
            <w:noWrap/>
            <w:hideMark/>
          </w:tcPr>
          <w:p w14:paraId="5828F639"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1000</w:t>
            </w:r>
          </w:p>
        </w:tc>
        <w:tc>
          <w:tcPr>
            <w:tcW w:w="1463" w:type="dxa"/>
            <w:noWrap/>
            <w:hideMark/>
          </w:tcPr>
          <w:p w14:paraId="367ABECD"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25</w:t>
            </w:r>
          </w:p>
        </w:tc>
      </w:tr>
      <w:tr w:rsidR="008B7372" w:rsidRPr="00704AB2" w14:paraId="1BA88344"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168BFA44" w14:textId="77777777" w:rsidR="008B7372" w:rsidRPr="00704AB2" w:rsidRDefault="008B7372" w:rsidP="008B7372">
            <w:pPr>
              <w:spacing w:line="360" w:lineRule="auto"/>
              <w:rPr>
                <w:rFonts w:eastAsia="Times New Roman"/>
                <w:sz w:val="22"/>
                <w:szCs w:val="22"/>
                <w:lang w:eastAsia="en-GB"/>
              </w:rPr>
            </w:pPr>
            <w:r w:rsidRPr="00704AB2">
              <w:rPr>
                <w:rFonts w:eastAsia="Times New Roman"/>
                <w:sz w:val="22"/>
                <w:szCs w:val="22"/>
                <w:lang w:eastAsia="en-GB"/>
              </w:rPr>
              <w:t>Nitrate (mg/L)</w:t>
            </w:r>
          </w:p>
        </w:tc>
        <w:tc>
          <w:tcPr>
            <w:tcW w:w="1453" w:type="dxa"/>
            <w:noWrap/>
            <w:hideMark/>
          </w:tcPr>
          <w:p w14:paraId="130CBE33"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0.07±0.02</w:t>
            </w:r>
          </w:p>
        </w:tc>
        <w:tc>
          <w:tcPr>
            <w:tcW w:w="1453" w:type="dxa"/>
            <w:noWrap/>
            <w:hideMark/>
          </w:tcPr>
          <w:p w14:paraId="6AE9668B"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0.07±0.02</w:t>
            </w:r>
          </w:p>
        </w:tc>
        <w:tc>
          <w:tcPr>
            <w:tcW w:w="1453" w:type="dxa"/>
            <w:noWrap/>
            <w:hideMark/>
          </w:tcPr>
          <w:p w14:paraId="170FCF4B"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0.07±0.02</w:t>
            </w:r>
          </w:p>
        </w:tc>
        <w:tc>
          <w:tcPr>
            <w:tcW w:w="1307" w:type="dxa"/>
            <w:noWrap/>
            <w:hideMark/>
          </w:tcPr>
          <w:p w14:paraId="54904032"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1.000</w:t>
            </w:r>
          </w:p>
        </w:tc>
        <w:tc>
          <w:tcPr>
            <w:tcW w:w="1848" w:type="dxa"/>
            <w:noWrap/>
            <w:hideMark/>
          </w:tcPr>
          <w:p w14:paraId="3CFB90BC"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50</w:t>
            </w:r>
          </w:p>
        </w:tc>
        <w:tc>
          <w:tcPr>
            <w:tcW w:w="1463" w:type="dxa"/>
            <w:noWrap/>
            <w:hideMark/>
          </w:tcPr>
          <w:p w14:paraId="19EC5C95"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50</w:t>
            </w:r>
          </w:p>
        </w:tc>
      </w:tr>
      <w:tr w:rsidR="008B7372" w:rsidRPr="00704AB2" w14:paraId="4E40DCA7"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2AC097F4" w14:textId="77777777" w:rsidR="008B7372" w:rsidRPr="00704AB2" w:rsidRDefault="008B7372" w:rsidP="008B7372">
            <w:pPr>
              <w:spacing w:line="360" w:lineRule="auto"/>
              <w:rPr>
                <w:rFonts w:eastAsia="Times New Roman"/>
                <w:sz w:val="22"/>
                <w:szCs w:val="22"/>
                <w:lang w:eastAsia="en-GB"/>
              </w:rPr>
            </w:pPr>
            <w:r w:rsidRPr="00704AB2">
              <w:rPr>
                <w:rFonts w:eastAsia="Times New Roman"/>
                <w:sz w:val="22"/>
                <w:szCs w:val="22"/>
                <w:lang w:eastAsia="en-GB"/>
              </w:rPr>
              <w:t>Phosphate</w:t>
            </w:r>
          </w:p>
        </w:tc>
        <w:tc>
          <w:tcPr>
            <w:tcW w:w="1453" w:type="dxa"/>
            <w:noWrap/>
            <w:hideMark/>
          </w:tcPr>
          <w:p w14:paraId="399233B9"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0.35±0.01</w:t>
            </w:r>
          </w:p>
        </w:tc>
        <w:tc>
          <w:tcPr>
            <w:tcW w:w="1453" w:type="dxa"/>
            <w:noWrap/>
            <w:hideMark/>
          </w:tcPr>
          <w:p w14:paraId="38D71002"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0.33±0.01</w:t>
            </w:r>
          </w:p>
        </w:tc>
        <w:tc>
          <w:tcPr>
            <w:tcW w:w="1453" w:type="dxa"/>
            <w:noWrap/>
            <w:hideMark/>
          </w:tcPr>
          <w:p w14:paraId="2D8DE15D"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0.34±0.01</w:t>
            </w:r>
          </w:p>
        </w:tc>
        <w:tc>
          <w:tcPr>
            <w:tcW w:w="1307" w:type="dxa"/>
            <w:noWrap/>
            <w:hideMark/>
          </w:tcPr>
          <w:p w14:paraId="370B6EF3"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0.172</w:t>
            </w:r>
          </w:p>
        </w:tc>
        <w:tc>
          <w:tcPr>
            <w:tcW w:w="1848" w:type="dxa"/>
            <w:noWrap/>
            <w:hideMark/>
          </w:tcPr>
          <w:p w14:paraId="4CAC22AA"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w:t>
            </w:r>
          </w:p>
        </w:tc>
        <w:tc>
          <w:tcPr>
            <w:tcW w:w="1463" w:type="dxa"/>
            <w:noWrap/>
            <w:hideMark/>
          </w:tcPr>
          <w:p w14:paraId="02BAAB0E"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0.05</w:t>
            </w:r>
          </w:p>
        </w:tc>
      </w:tr>
      <w:tr w:rsidR="008B7372" w:rsidRPr="00704AB2" w14:paraId="5BEEF1E1"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295DBEB9" w14:textId="77777777" w:rsidR="008B7372" w:rsidRPr="00704AB2" w:rsidRDefault="008B7372" w:rsidP="008B7372">
            <w:pPr>
              <w:spacing w:line="360" w:lineRule="auto"/>
              <w:rPr>
                <w:rFonts w:eastAsia="Times New Roman"/>
                <w:sz w:val="22"/>
                <w:szCs w:val="22"/>
                <w:lang w:eastAsia="en-GB"/>
              </w:rPr>
            </w:pPr>
            <w:r w:rsidRPr="00704AB2">
              <w:rPr>
                <w:rFonts w:eastAsia="Times New Roman"/>
                <w:sz w:val="22"/>
                <w:szCs w:val="22"/>
                <w:lang w:eastAsia="en-GB"/>
              </w:rPr>
              <w:t>Chloride (mg/L)</w:t>
            </w:r>
          </w:p>
        </w:tc>
        <w:tc>
          <w:tcPr>
            <w:tcW w:w="1453" w:type="dxa"/>
            <w:noWrap/>
            <w:hideMark/>
          </w:tcPr>
          <w:p w14:paraId="0C6A97B3"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39.11±1.10</w:t>
            </w:r>
          </w:p>
        </w:tc>
        <w:tc>
          <w:tcPr>
            <w:tcW w:w="1453" w:type="dxa"/>
            <w:noWrap/>
            <w:hideMark/>
          </w:tcPr>
          <w:p w14:paraId="704A755B"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40.79±0.74</w:t>
            </w:r>
          </w:p>
        </w:tc>
        <w:tc>
          <w:tcPr>
            <w:tcW w:w="1453" w:type="dxa"/>
            <w:noWrap/>
            <w:hideMark/>
          </w:tcPr>
          <w:p w14:paraId="73852143"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40.80±1.11</w:t>
            </w:r>
          </w:p>
        </w:tc>
        <w:tc>
          <w:tcPr>
            <w:tcW w:w="1307" w:type="dxa"/>
            <w:noWrap/>
            <w:hideMark/>
          </w:tcPr>
          <w:p w14:paraId="5559F542"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0.391</w:t>
            </w:r>
          </w:p>
        </w:tc>
        <w:tc>
          <w:tcPr>
            <w:tcW w:w="1848" w:type="dxa"/>
            <w:noWrap/>
            <w:hideMark/>
          </w:tcPr>
          <w:p w14:paraId="7722D0CC"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w:t>
            </w:r>
          </w:p>
        </w:tc>
        <w:tc>
          <w:tcPr>
            <w:tcW w:w="1463" w:type="dxa"/>
            <w:noWrap/>
            <w:hideMark/>
          </w:tcPr>
          <w:p w14:paraId="0DB10A90"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250</w:t>
            </w:r>
          </w:p>
        </w:tc>
      </w:tr>
    </w:tbl>
    <w:p w14:paraId="78C22E16" w14:textId="77777777" w:rsidR="008B7372" w:rsidRDefault="008B7372" w:rsidP="008B7372">
      <w:pPr>
        <w:rPr>
          <w:noProof/>
          <w:lang w:eastAsia="en-GB"/>
        </w:rPr>
      </w:pPr>
    </w:p>
    <w:p w14:paraId="4C6EEAAB" w14:textId="77777777" w:rsidR="008B7372" w:rsidRDefault="008B7372" w:rsidP="008B7372">
      <w:pPr>
        <w:rPr>
          <w:noProof/>
          <w:lang w:eastAsia="en-GB"/>
        </w:rPr>
      </w:pPr>
    </w:p>
    <w:p w14:paraId="562D7285" w14:textId="77777777" w:rsidR="008B7372" w:rsidRDefault="008B7372" w:rsidP="008B7372">
      <w:pPr>
        <w:rPr>
          <w:noProof/>
          <w:lang w:eastAsia="en-GB"/>
        </w:rPr>
      </w:pPr>
    </w:p>
    <w:p w14:paraId="288F2E56" w14:textId="77777777" w:rsidR="008B7372" w:rsidRDefault="008B7372" w:rsidP="008B7372">
      <w:pPr>
        <w:rPr>
          <w:noProof/>
          <w:lang w:eastAsia="en-GB"/>
        </w:rPr>
      </w:pPr>
    </w:p>
    <w:p w14:paraId="17F160CD" w14:textId="3595409E" w:rsidR="008B7372" w:rsidRPr="00AA6E3C" w:rsidRDefault="008B7372" w:rsidP="008B7372">
      <w:pPr>
        <w:jc w:val="both"/>
        <w:rPr>
          <w:b/>
          <w:noProof/>
          <w:lang w:eastAsia="en-GB"/>
        </w:rPr>
      </w:pPr>
      <w:r w:rsidRPr="00AA6E3C">
        <w:rPr>
          <w:b/>
          <w:noProof/>
          <w:lang w:eastAsia="en-GB"/>
        </w:rPr>
        <w:lastRenderedPageBreak/>
        <w:t xml:space="preserve">Table 2: </w:t>
      </w:r>
      <w:r w:rsidRPr="00AA6E3C">
        <w:rPr>
          <w:b/>
        </w:rPr>
        <w:t xml:space="preserve">Spatial and Temporal Variations in Water Quality Parameters of </w:t>
      </w:r>
      <w:proofErr w:type="spellStart"/>
      <w:r>
        <w:rPr>
          <w:b/>
        </w:rPr>
        <w:t>Owala</w:t>
      </w:r>
      <w:proofErr w:type="spellEnd"/>
      <w:r w:rsidRPr="00AA6E3C">
        <w:rPr>
          <w:b/>
        </w:rPr>
        <w:t xml:space="preserve"> Dam across Three Sites Over Three Consecutive Years (2021–2024)</w:t>
      </w:r>
    </w:p>
    <w:tbl>
      <w:tblPr>
        <w:tblStyle w:val="PlainTable21"/>
        <w:tblpPr w:leftFromText="180" w:rightFromText="180" w:vertAnchor="page" w:horzAnchor="margin" w:tblpXSpec="center" w:tblpY="2491"/>
        <w:tblW w:w="14390" w:type="dxa"/>
        <w:tblLook w:val="06A0" w:firstRow="1" w:lastRow="0" w:firstColumn="1" w:lastColumn="0" w:noHBand="1" w:noVBand="1"/>
      </w:tblPr>
      <w:tblGrid>
        <w:gridCol w:w="2881"/>
        <w:gridCol w:w="1125"/>
        <w:gridCol w:w="1125"/>
        <w:gridCol w:w="1125"/>
        <w:gridCol w:w="1016"/>
        <w:gridCol w:w="1125"/>
        <w:gridCol w:w="1125"/>
        <w:gridCol w:w="1125"/>
        <w:gridCol w:w="1016"/>
        <w:gridCol w:w="1125"/>
        <w:gridCol w:w="1125"/>
        <w:gridCol w:w="1125"/>
        <w:gridCol w:w="1016"/>
      </w:tblGrid>
      <w:tr w:rsidR="008B7372" w:rsidRPr="000E01E3" w14:paraId="0ABFD5F7" w14:textId="77777777" w:rsidTr="008B737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hideMark/>
          </w:tcPr>
          <w:p w14:paraId="221B5DDC" w14:textId="77777777" w:rsidR="008B7372" w:rsidRPr="000E01E3" w:rsidRDefault="008B7372" w:rsidP="008B7372">
            <w:pPr>
              <w:spacing w:line="600" w:lineRule="auto"/>
              <w:jc w:val="center"/>
              <w:rPr>
                <w:rFonts w:eastAsia="Times New Roman"/>
                <w:sz w:val="18"/>
                <w:szCs w:val="18"/>
                <w:lang w:eastAsia="en-GB"/>
              </w:rPr>
            </w:pPr>
            <w:r w:rsidRPr="000E01E3">
              <w:rPr>
                <w:rFonts w:eastAsia="Times New Roman"/>
                <w:sz w:val="18"/>
                <w:szCs w:val="18"/>
                <w:lang w:eastAsia="en-GB"/>
              </w:rPr>
              <w:t>PARAMETERS</w:t>
            </w:r>
          </w:p>
        </w:tc>
        <w:tc>
          <w:tcPr>
            <w:tcW w:w="0" w:type="auto"/>
            <w:gridSpan w:val="3"/>
            <w:tcBorders>
              <w:bottom w:val="nil"/>
            </w:tcBorders>
            <w:noWrap/>
            <w:hideMark/>
          </w:tcPr>
          <w:p w14:paraId="0EEC7C0B" w14:textId="77777777" w:rsidR="008B7372" w:rsidRPr="000E01E3" w:rsidRDefault="008B7372" w:rsidP="008B7372">
            <w:pPr>
              <w:spacing w:line="60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2021/2022</w:t>
            </w:r>
          </w:p>
        </w:tc>
        <w:tc>
          <w:tcPr>
            <w:tcW w:w="0" w:type="auto"/>
            <w:tcBorders>
              <w:bottom w:val="nil"/>
            </w:tcBorders>
            <w:noWrap/>
            <w:hideMark/>
          </w:tcPr>
          <w:p w14:paraId="215F718A" w14:textId="77777777" w:rsidR="008B7372" w:rsidRPr="000E01E3" w:rsidRDefault="008B7372" w:rsidP="008B7372">
            <w:pPr>
              <w:spacing w:line="60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n-GB"/>
              </w:rPr>
            </w:pPr>
          </w:p>
        </w:tc>
        <w:tc>
          <w:tcPr>
            <w:tcW w:w="0" w:type="auto"/>
            <w:gridSpan w:val="3"/>
            <w:tcBorders>
              <w:bottom w:val="nil"/>
            </w:tcBorders>
            <w:noWrap/>
            <w:hideMark/>
          </w:tcPr>
          <w:p w14:paraId="65936FCE" w14:textId="77777777" w:rsidR="008B7372" w:rsidRPr="000E01E3" w:rsidRDefault="008B7372" w:rsidP="008B7372">
            <w:pPr>
              <w:spacing w:line="60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2022/2023</w:t>
            </w:r>
          </w:p>
        </w:tc>
        <w:tc>
          <w:tcPr>
            <w:tcW w:w="0" w:type="auto"/>
            <w:tcBorders>
              <w:bottom w:val="nil"/>
            </w:tcBorders>
            <w:noWrap/>
            <w:hideMark/>
          </w:tcPr>
          <w:p w14:paraId="64352646" w14:textId="77777777" w:rsidR="008B7372" w:rsidRPr="000E01E3" w:rsidRDefault="008B7372" w:rsidP="008B7372">
            <w:pPr>
              <w:spacing w:line="60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n-GB"/>
              </w:rPr>
            </w:pPr>
          </w:p>
        </w:tc>
        <w:tc>
          <w:tcPr>
            <w:tcW w:w="0" w:type="auto"/>
            <w:gridSpan w:val="3"/>
            <w:tcBorders>
              <w:bottom w:val="nil"/>
            </w:tcBorders>
            <w:noWrap/>
            <w:hideMark/>
          </w:tcPr>
          <w:p w14:paraId="660A2F9B" w14:textId="77777777" w:rsidR="008B7372" w:rsidRPr="000E01E3" w:rsidRDefault="008B7372" w:rsidP="008B7372">
            <w:pPr>
              <w:spacing w:line="60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2023/2024</w:t>
            </w:r>
          </w:p>
        </w:tc>
        <w:tc>
          <w:tcPr>
            <w:tcW w:w="0" w:type="auto"/>
            <w:tcBorders>
              <w:bottom w:val="nil"/>
            </w:tcBorders>
            <w:noWrap/>
            <w:hideMark/>
          </w:tcPr>
          <w:p w14:paraId="2FD147E5" w14:textId="77777777" w:rsidR="008B7372" w:rsidRPr="000E01E3" w:rsidRDefault="008B7372" w:rsidP="008B7372">
            <w:pPr>
              <w:spacing w:line="60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n-GB"/>
              </w:rPr>
            </w:pPr>
          </w:p>
        </w:tc>
      </w:tr>
      <w:tr w:rsidR="008B7372" w:rsidRPr="000E01E3" w14:paraId="0C6FC4BF"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hideMark/>
          </w:tcPr>
          <w:p w14:paraId="7C8019ED" w14:textId="77777777" w:rsidR="008B7372" w:rsidRPr="000E01E3" w:rsidRDefault="008B7372" w:rsidP="008B7372">
            <w:pPr>
              <w:spacing w:line="600" w:lineRule="auto"/>
              <w:rPr>
                <w:rFonts w:eastAsia="Times New Roman"/>
                <w:sz w:val="18"/>
                <w:szCs w:val="18"/>
                <w:lang w:eastAsia="en-GB"/>
              </w:rPr>
            </w:pPr>
          </w:p>
        </w:tc>
        <w:tc>
          <w:tcPr>
            <w:tcW w:w="0" w:type="auto"/>
            <w:tcBorders>
              <w:top w:val="nil"/>
              <w:bottom w:val="single" w:sz="4" w:space="0" w:color="auto"/>
            </w:tcBorders>
            <w:noWrap/>
            <w:hideMark/>
          </w:tcPr>
          <w:p w14:paraId="596F97F3"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Site A</w:t>
            </w:r>
          </w:p>
        </w:tc>
        <w:tc>
          <w:tcPr>
            <w:tcW w:w="0" w:type="auto"/>
            <w:tcBorders>
              <w:top w:val="nil"/>
              <w:bottom w:val="single" w:sz="4" w:space="0" w:color="auto"/>
            </w:tcBorders>
            <w:noWrap/>
            <w:hideMark/>
          </w:tcPr>
          <w:p w14:paraId="2925330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Site B</w:t>
            </w:r>
          </w:p>
        </w:tc>
        <w:tc>
          <w:tcPr>
            <w:tcW w:w="0" w:type="auto"/>
            <w:tcBorders>
              <w:top w:val="nil"/>
              <w:bottom w:val="single" w:sz="4" w:space="0" w:color="auto"/>
            </w:tcBorders>
            <w:noWrap/>
            <w:hideMark/>
          </w:tcPr>
          <w:p w14:paraId="1324312C"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Site C</w:t>
            </w:r>
          </w:p>
        </w:tc>
        <w:tc>
          <w:tcPr>
            <w:tcW w:w="0" w:type="auto"/>
            <w:tcBorders>
              <w:top w:val="nil"/>
              <w:bottom w:val="single" w:sz="4" w:space="0" w:color="auto"/>
            </w:tcBorders>
            <w:noWrap/>
            <w:hideMark/>
          </w:tcPr>
          <w:p w14:paraId="6E7F285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P-VALUE</w:t>
            </w:r>
          </w:p>
        </w:tc>
        <w:tc>
          <w:tcPr>
            <w:tcW w:w="0" w:type="auto"/>
            <w:tcBorders>
              <w:top w:val="nil"/>
              <w:bottom w:val="single" w:sz="4" w:space="0" w:color="auto"/>
            </w:tcBorders>
            <w:noWrap/>
            <w:hideMark/>
          </w:tcPr>
          <w:p w14:paraId="1F3B9D20"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Site A</w:t>
            </w:r>
          </w:p>
        </w:tc>
        <w:tc>
          <w:tcPr>
            <w:tcW w:w="0" w:type="auto"/>
            <w:tcBorders>
              <w:top w:val="nil"/>
              <w:bottom w:val="single" w:sz="4" w:space="0" w:color="auto"/>
            </w:tcBorders>
            <w:noWrap/>
            <w:hideMark/>
          </w:tcPr>
          <w:p w14:paraId="4D07907E"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Site B</w:t>
            </w:r>
          </w:p>
        </w:tc>
        <w:tc>
          <w:tcPr>
            <w:tcW w:w="0" w:type="auto"/>
            <w:tcBorders>
              <w:top w:val="nil"/>
              <w:bottom w:val="single" w:sz="4" w:space="0" w:color="auto"/>
            </w:tcBorders>
            <w:noWrap/>
            <w:hideMark/>
          </w:tcPr>
          <w:p w14:paraId="363F10A2"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Site C</w:t>
            </w:r>
          </w:p>
        </w:tc>
        <w:tc>
          <w:tcPr>
            <w:tcW w:w="0" w:type="auto"/>
            <w:tcBorders>
              <w:top w:val="nil"/>
              <w:bottom w:val="single" w:sz="4" w:space="0" w:color="auto"/>
            </w:tcBorders>
            <w:noWrap/>
            <w:hideMark/>
          </w:tcPr>
          <w:p w14:paraId="2C6DEF0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P-VALUE</w:t>
            </w:r>
          </w:p>
        </w:tc>
        <w:tc>
          <w:tcPr>
            <w:tcW w:w="0" w:type="auto"/>
            <w:tcBorders>
              <w:top w:val="nil"/>
              <w:bottom w:val="single" w:sz="4" w:space="0" w:color="auto"/>
            </w:tcBorders>
            <w:noWrap/>
            <w:hideMark/>
          </w:tcPr>
          <w:p w14:paraId="10784AD2"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Site A</w:t>
            </w:r>
          </w:p>
        </w:tc>
        <w:tc>
          <w:tcPr>
            <w:tcW w:w="0" w:type="auto"/>
            <w:tcBorders>
              <w:top w:val="nil"/>
              <w:bottom w:val="single" w:sz="4" w:space="0" w:color="auto"/>
            </w:tcBorders>
            <w:noWrap/>
            <w:hideMark/>
          </w:tcPr>
          <w:p w14:paraId="71DB1B40"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Site B</w:t>
            </w:r>
          </w:p>
        </w:tc>
        <w:tc>
          <w:tcPr>
            <w:tcW w:w="0" w:type="auto"/>
            <w:tcBorders>
              <w:top w:val="nil"/>
              <w:bottom w:val="single" w:sz="4" w:space="0" w:color="auto"/>
            </w:tcBorders>
            <w:noWrap/>
            <w:hideMark/>
          </w:tcPr>
          <w:p w14:paraId="7DB1529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Site C</w:t>
            </w:r>
          </w:p>
        </w:tc>
        <w:tc>
          <w:tcPr>
            <w:tcW w:w="0" w:type="auto"/>
            <w:tcBorders>
              <w:top w:val="nil"/>
              <w:bottom w:val="single" w:sz="4" w:space="0" w:color="auto"/>
            </w:tcBorders>
            <w:noWrap/>
            <w:hideMark/>
          </w:tcPr>
          <w:p w14:paraId="16BA843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P-VALUE</w:t>
            </w:r>
          </w:p>
        </w:tc>
      </w:tr>
      <w:tr w:rsidR="008B7372" w:rsidRPr="000E01E3" w14:paraId="409DAF90"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hideMark/>
          </w:tcPr>
          <w:p w14:paraId="36DB89C9"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Temperature</w:t>
            </w:r>
          </w:p>
        </w:tc>
        <w:tc>
          <w:tcPr>
            <w:tcW w:w="0" w:type="auto"/>
            <w:tcBorders>
              <w:top w:val="single" w:sz="4" w:space="0" w:color="auto"/>
            </w:tcBorders>
            <w:noWrap/>
            <w:hideMark/>
          </w:tcPr>
          <w:p w14:paraId="1F41B8EA"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25.99±0.53</w:t>
            </w:r>
          </w:p>
        </w:tc>
        <w:tc>
          <w:tcPr>
            <w:tcW w:w="0" w:type="auto"/>
            <w:tcBorders>
              <w:top w:val="single" w:sz="4" w:space="0" w:color="auto"/>
            </w:tcBorders>
            <w:noWrap/>
            <w:hideMark/>
          </w:tcPr>
          <w:p w14:paraId="375FBB21"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26.04±0.47</w:t>
            </w:r>
          </w:p>
        </w:tc>
        <w:tc>
          <w:tcPr>
            <w:tcW w:w="0" w:type="auto"/>
            <w:tcBorders>
              <w:top w:val="single" w:sz="4" w:space="0" w:color="auto"/>
            </w:tcBorders>
            <w:noWrap/>
            <w:hideMark/>
          </w:tcPr>
          <w:p w14:paraId="6E9ABDD2"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25.53±0.58</w:t>
            </w:r>
          </w:p>
        </w:tc>
        <w:tc>
          <w:tcPr>
            <w:tcW w:w="0" w:type="auto"/>
            <w:tcBorders>
              <w:top w:val="single" w:sz="4" w:space="0" w:color="auto"/>
            </w:tcBorders>
            <w:noWrap/>
            <w:hideMark/>
          </w:tcPr>
          <w:p w14:paraId="41712384"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0.751</w:t>
            </w:r>
          </w:p>
        </w:tc>
        <w:tc>
          <w:tcPr>
            <w:tcW w:w="0" w:type="auto"/>
            <w:tcBorders>
              <w:top w:val="single" w:sz="4" w:space="0" w:color="auto"/>
            </w:tcBorders>
            <w:noWrap/>
            <w:hideMark/>
          </w:tcPr>
          <w:p w14:paraId="2C6C4D1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26.15±0.40</w:t>
            </w:r>
          </w:p>
        </w:tc>
        <w:tc>
          <w:tcPr>
            <w:tcW w:w="0" w:type="auto"/>
            <w:tcBorders>
              <w:top w:val="single" w:sz="4" w:space="0" w:color="auto"/>
            </w:tcBorders>
            <w:noWrap/>
            <w:hideMark/>
          </w:tcPr>
          <w:p w14:paraId="51D6C99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26.47±0.33</w:t>
            </w:r>
          </w:p>
        </w:tc>
        <w:tc>
          <w:tcPr>
            <w:tcW w:w="0" w:type="auto"/>
            <w:tcBorders>
              <w:top w:val="single" w:sz="4" w:space="0" w:color="auto"/>
            </w:tcBorders>
            <w:noWrap/>
            <w:hideMark/>
          </w:tcPr>
          <w:p w14:paraId="38009C51"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25.44±0.31</w:t>
            </w:r>
          </w:p>
        </w:tc>
        <w:tc>
          <w:tcPr>
            <w:tcW w:w="0" w:type="auto"/>
            <w:tcBorders>
              <w:top w:val="single" w:sz="4" w:space="0" w:color="auto"/>
            </w:tcBorders>
            <w:noWrap/>
            <w:hideMark/>
          </w:tcPr>
          <w:p w14:paraId="0A79AFF0"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0.122</w:t>
            </w:r>
          </w:p>
        </w:tc>
        <w:tc>
          <w:tcPr>
            <w:tcW w:w="0" w:type="auto"/>
            <w:tcBorders>
              <w:top w:val="single" w:sz="4" w:space="0" w:color="auto"/>
            </w:tcBorders>
            <w:noWrap/>
            <w:hideMark/>
          </w:tcPr>
          <w:p w14:paraId="795F3BD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26.78±0.41</w:t>
            </w:r>
          </w:p>
        </w:tc>
        <w:tc>
          <w:tcPr>
            <w:tcW w:w="0" w:type="auto"/>
            <w:tcBorders>
              <w:top w:val="single" w:sz="4" w:space="0" w:color="auto"/>
            </w:tcBorders>
            <w:noWrap/>
            <w:hideMark/>
          </w:tcPr>
          <w:p w14:paraId="5588778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26.63±0.33</w:t>
            </w:r>
          </w:p>
        </w:tc>
        <w:tc>
          <w:tcPr>
            <w:tcW w:w="0" w:type="auto"/>
            <w:tcBorders>
              <w:top w:val="single" w:sz="4" w:space="0" w:color="auto"/>
            </w:tcBorders>
            <w:noWrap/>
            <w:hideMark/>
          </w:tcPr>
          <w:p w14:paraId="6F5E8C1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25.76±0.38</w:t>
            </w:r>
          </w:p>
        </w:tc>
        <w:tc>
          <w:tcPr>
            <w:tcW w:w="0" w:type="auto"/>
            <w:tcBorders>
              <w:top w:val="single" w:sz="4" w:space="0" w:color="auto"/>
            </w:tcBorders>
            <w:noWrap/>
            <w:hideMark/>
          </w:tcPr>
          <w:p w14:paraId="19327ACC"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0E01E3">
              <w:rPr>
                <w:rFonts w:eastAsia="Times New Roman"/>
                <w:sz w:val="18"/>
                <w:szCs w:val="18"/>
                <w:lang w:eastAsia="en-GB"/>
              </w:rPr>
              <w:t>0.134</w:t>
            </w:r>
          </w:p>
        </w:tc>
      </w:tr>
      <w:tr w:rsidR="008B7372" w:rsidRPr="000E01E3" w14:paraId="390C7236"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tcBorders>
              <w:top w:val="nil"/>
            </w:tcBorders>
            <w:noWrap/>
            <w:hideMark/>
          </w:tcPr>
          <w:p w14:paraId="7C64FDC7"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Ph</w:t>
            </w:r>
          </w:p>
        </w:tc>
        <w:tc>
          <w:tcPr>
            <w:tcW w:w="0" w:type="auto"/>
            <w:noWrap/>
            <w:hideMark/>
          </w:tcPr>
          <w:p w14:paraId="4968ACA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6.90±0.23</w:t>
            </w:r>
          </w:p>
        </w:tc>
        <w:tc>
          <w:tcPr>
            <w:tcW w:w="0" w:type="auto"/>
            <w:noWrap/>
            <w:hideMark/>
          </w:tcPr>
          <w:p w14:paraId="4FB4A27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6.88±0.22</w:t>
            </w:r>
          </w:p>
        </w:tc>
        <w:tc>
          <w:tcPr>
            <w:tcW w:w="0" w:type="auto"/>
            <w:noWrap/>
            <w:hideMark/>
          </w:tcPr>
          <w:p w14:paraId="5FCA801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7.01±0.28</w:t>
            </w:r>
          </w:p>
        </w:tc>
        <w:tc>
          <w:tcPr>
            <w:tcW w:w="0" w:type="auto"/>
            <w:noWrap/>
            <w:hideMark/>
          </w:tcPr>
          <w:p w14:paraId="76A17ED2"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0.919</w:t>
            </w:r>
          </w:p>
        </w:tc>
        <w:tc>
          <w:tcPr>
            <w:tcW w:w="0" w:type="auto"/>
            <w:noWrap/>
            <w:hideMark/>
          </w:tcPr>
          <w:p w14:paraId="2C8B378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6.96±0.16</w:t>
            </w:r>
          </w:p>
        </w:tc>
        <w:tc>
          <w:tcPr>
            <w:tcW w:w="0" w:type="auto"/>
            <w:noWrap/>
            <w:hideMark/>
          </w:tcPr>
          <w:p w14:paraId="73DDE59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6.88±0.14</w:t>
            </w:r>
          </w:p>
        </w:tc>
        <w:tc>
          <w:tcPr>
            <w:tcW w:w="0" w:type="auto"/>
            <w:noWrap/>
            <w:hideMark/>
          </w:tcPr>
          <w:p w14:paraId="22BEEBB7"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7.11±0.20</w:t>
            </w:r>
          </w:p>
        </w:tc>
        <w:tc>
          <w:tcPr>
            <w:tcW w:w="0" w:type="auto"/>
            <w:noWrap/>
            <w:hideMark/>
          </w:tcPr>
          <w:p w14:paraId="11659523"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0.635</w:t>
            </w:r>
          </w:p>
        </w:tc>
        <w:tc>
          <w:tcPr>
            <w:tcW w:w="0" w:type="auto"/>
            <w:noWrap/>
            <w:hideMark/>
          </w:tcPr>
          <w:p w14:paraId="0117286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6.60±0.18</w:t>
            </w:r>
          </w:p>
        </w:tc>
        <w:tc>
          <w:tcPr>
            <w:tcW w:w="0" w:type="auto"/>
            <w:noWrap/>
            <w:hideMark/>
          </w:tcPr>
          <w:p w14:paraId="70758BD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6.55±0.17</w:t>
            </w:r>
          </w:p>
        </w:tc>
        <w:tc>
          <w:tcPr>
            <w:tcW w:w="0" w:type="auto"/>
            <w:noWrap/>
            <w:hideMark/>
          </w:tcPr>
          <w:p w14:paraId="6883DA67"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6.71±0.17</w:t>
            </w:r>
          </w:p>
        </w:tc>
        <w:tc>
          <w:tcPr>
            <w:tcW w:w="0" w:type="auto"/>
            <w:noWrap/>
            <w:hideMark/>
          </w:tcPr>
          <w:p w14:paraId="255E987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0E01E3">
              <w:rPr>
                <w:rFonts w:eastAsia="Times New Roman"/>
                <w:sz w:val="18"/>
                <w:szCs w:val="18"/>
                <w:lang w:eastAsia="en-GB"/>
              </w:rPr>
              <w:t>0.807</w:t>
            </w:r>
          </w:p>
        </w:tc>
      </w:tr>
      <w:tr w:rsidR="008B7372" w:rsidRPr="000E01E3" w14:paraId="3477ACE8"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2D865F0E"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Total Dissolved Solids (mg/L)</w:t>
            </w:r>
          </w:p>
        </w:tc>
        <w:tc>
          <w:tcPr>
            <w:tcW w:w="0" w:type="auto"/>
            <w:noWrap/>
            <w:hideMark/>
          </w:tcPr>
          <w:p w14:paraId="16F962F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0.56±0.05</w:t>
            </w:r>
          </w:p>
        </w:tc>
        <w:tc>
          <w:tcPr>
            <w:tcW w:w="0" w:type="auto"/>
            <w:noWrap/>
            <w:hideMark/>
          </w:tcPr>
          <w:p w14:paraId="7856977C"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0.56±0.04</w:t>
            </w:r>
          </w:p>
        </w:tc>
        <w:tc>
          <w:tcPr>
            <w:tcW w:w="0" w:type="auto"/>
            <w:noWrap/>
            <w:hideMark/>
          </w:tcPr>
          <w:p w14:paraId="2CFE769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0.59±0.05</w:t>
            </w:r>
          </w:p>
        </w:tc>
        <w:tc>
          <w:tcPr>
            <w:tcW w:w="0" w:type="auto"/>
            <w:noWrap/>
            <w:hideMark/>
          </w:tcPr>
          <w:p w14:paraId="39196DEE"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0.923</w:t>
            </w:r>
          </w:p>
        </w:tc>
        <w:tc>
          <w:tcPr>
            <w:tcW w:w="0" w:type="auto"/>
            <w:noWrap/>
            <w:hideMark/>
          </w:tcPr>
          <w:p w14:paraId="1F9B17D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0.56±0.01</w:t>
            </w:r>
          </w:p>
        </w:tc>
        <w:tc>
          <w:tcPr>
            <w:tcW w:w="0" w:type="auto"/>
            <w:noWrap/>
            <w:hideMark/>
          </w:tcPr>
          <w:p w14:paraId="1BEE0E1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0.54±0.02</w:t>
            </w:r>
          </w:p>
        </w:tc>
        <w:tc>
          <w:tcPr>
            <w:tcW w:w="0" w:type="auto"/>
            <w:noWrap/>
            <w:hideMark/>
          </w:tcPr>
          <w:p w14:paraId="169F3551"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0.59±0.02</w:t>
            </w:r>
          </w:p>
        </w:tc>
        <w:tc>
          <w:tcPr>
            <w:tcW w:w="0" w:type="auto"/>
            <w:noWrap/>
            <w:hideMark/>
          </w:tcPr>
          <w:p w14:paraId="74CD174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0.139</w:t>
            </w:r>
          </w:p>
        </w:tc>
        <w:tc>
          <w:tcPr>
            <w:tcW w:w="0" w:type="auto"/>
            <w:noWrap/>
            <w:hideMark/>
          </w:tcPr>
          <w:p w14:paraId="7B03CB9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0.57±0.03</w:t>
            </w:r>
          </w:p>
        </w:tc>
        <w:tc>
          <w:tcPr>
            <w:tcW w:w="0" w:type="auto"/>
            <w:noWrap/>
            <w:hideMark/>
          </w:tcPr>
          <w:p w14:paraId="5BA78D4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0.54±0.03</w:t>
            </w:r>
          </w:p>
        </w:tc>
        <w:tc>
          <w:tcPr>
            <w:tcW w:w="0" w:type="auto"/>
            <w:noWrap/>
            <w:hideMark/>
          </w:tcPr>
          <w:p w14:paraId="45E3694E"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0.58±0.02</w:t>
            </w:r>
          </w:p>
        </w:tc>
        <w:tc>
          <w:tcPr>
            <w:tcW w:w="0" w:type="auto"/>
            <w:noWrap/>
            <w:hideMark/>
          </w:tcPr>
          <w:p w14:paraId="404BBBF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0E01E3">
              <w:rPr>
                <w:rFonts w:eastAsia="Times New Roman"/>
                <w:sz w:val="18"/>
                <w:szCs w:val="18"/>
                <w:lang w:eastAsia="en-GB"/>
              </w:rPr>
              <w:t>0.639</w:t>
            </w:r>
          </w:p>
        </w:tc>
      </w:tr>
      <w:tr w:rsidR="008B7372" w:rsidRPr="000E01E3" w14:paraId="6869BBEB"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6E310B82"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Biological Oxygen Demand (mg/L)</w:t>
            </w:r>
          </w:p>
        </w:tc>
        <w:tc>
          <w:tcPr>
            <w:tcW w:w="0" w:type="auto"/>
            <w:noWrap/>
            <w:hideMark/>
          </w:tcPr>
          <w:p w14:paraId="6A93622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154.75±3.82</w:t>
            </w:r>
          </w:p>
        </w:tc>
        <w:tc>
          <w:tcPr>
            <w:tcW w:w="0" w:type="auto"/>
            <w:noWrap/>
            <w:hideMark/>
          </w:tcPr>
          <w:p w14:paraId="3329499C"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150.75±3.93</w:t>
            </w:r>
          </w:p>
        </w:tc>
        <w:tc>
          <w:tcPr>
            <w:tcW w:w="0" w:type="auto"/>
            <w:noWrap/>
            <w:hideMark/>
          </w:tcPr>
          <w:p w14:paraId="51F9BE8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145.67±3.50</w:t>
            </w:r>
          </w:p>
        </w:tc>
        <w:tc>
          <w:tcPr>
            <w:tcW w:w="0" w:type="auto"/>
            <w:noWrap/>
            <w:hideMark/>
          </w:tcPr>
          <w:p w14:paraId="750F77F1"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0.245</w:t>
            </w:r>
          </w:p>
        </w:tc>
        <w:tc>
          <w:tcPr>
            <w:tcW w:w="0" w:type="auto"/>
            <w:noWrap/>
            <w:hideMark/>
          </w:tcPr>
          <w:p w14:paraId="6D79412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147.50±2.12</w:t>
            </w:r>
          </w:p>
        </w:tc>
        <w:tc>
          <w:tcPr>
            <w:tcW w:w="0" w:type="auto"/>
            <w:noWrap/>
            <w:hideMark/>
          </w:tcPr>
          <w:p w14:paraId="5FC53E8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143.58±2.10</w:t>
            </w:r>
          </w:p>
        </w:tc>
        <w:tc>
          <w:tcPr>
            <w:tcW w:w="0" w:type="auto"/>
            <w:noWrap/>
            <w:hideMark/>
          </w:tcPr>
          <w:p w14:paraId="2CFC6DE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139.17±2.13</w:t>
            </w:r>
          </w:p>
        </w:tc>
        <w:tc>
          <w:tcPr>
            <w:tcW w:w="0" w:type="auto"/>
            <w:noWrap/>
            <w:hideMark/>
          </w:tcPr>
          <w:p w14:paraId="6B11EF5E"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0.031</w:t>
            </w:r>
          </w:p>
        </w:tc>
        <w:tc>
          <w:tcPr>
            <w:tcW w:w="0" w:type="auto"/>
            <w:noWrap/>
            <w:hideMark/>
          </w:tcPr>
          <w:p w14:paraId="2A18D3EC"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149.17±2.62</w:t>
            </w:r>
          </w:p>
        </w:tc>
        <w:tc>
          <w:tcPr>
            <w:tcW w:w="0" w:type="auto"/>
            <w:noWrap/>
            <w:hideMark/>
          </w:tcPr>
          <w:p w14:paraId="1586D86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146.25±2.36</w:t>
            </w:r>
          </w:p>
        </w:tc>
        <w:tc>
          <w:tcPr>
            <w:tcW w:w="0" w:type="auto"/>
            <w:noWrap/>
            <w:hideMark/>
          </w:tcPr>
          <w:p w14:paraId="7129C9A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142.67±2.34</w:t>
            </w:r>
          </w:p>
        </w:tc>
        <w:tc>
          <w:tcPr>
            <w:tcW w:w="0" w:type="auto"/>
            <w:noWrap/>
            <w:hideMark/>
          </w:tcPr>
          <w:p w14:paraId="6B2AEA41"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0E01E3">
              <w:rPr>
                <w:rFonts w:eastAsia="Times New Roman"/>
                <w:sz w:val="18"/>
                <w:szCs w:val="18"/>
                <w:lang w:eastAsia="en-GB"/>
              </w:rPr>
              <w:t>0.186</w:t>
            </w:r>
          </w:p>
        </w:tc>
      </w:tr>
      <w:tr w:rsidR="008B7372" w:rsidRPr="000E01E3" w14:paraId="412C6130"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3B5B0D66"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Dissolved Oxygen (mg/L)</w:t>
            </w:r>
          </w:p>
        </w:tc>
        <w:tc>
          <w:tcPr>
            <w:tcW w:w="0" w:type="auto"/>
            <w:noWrap/>
            <w:hideMark/>
          </w:tcPr>
          <w:p w14:paraId="2F1DD287"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64.60±2.37</w:t>
            </w:r>
          </w:p>
        </w:tc>
        <w:tc>
          <w:tcPr>
            <w:tcW w:w="0" w:type="auto"/>
            <w:noWrap/>
            <w:hideMark/>
          </w:tcPr>
          <w:p w14:paraId="2622620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65.52±2.16</w:t>
            </w:r>
          </w:p>
        </w:tc>
        <w:tc>
          <w:tcPr>
            <w:tcW w:w="0" w:type="auto"/>
            <w:noWrap/>
            <w:hideMark/>
          </w:tcPr>
          <w:p w14:paraId="1017905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68.88±2.62</w:t>
            </w:r>
          </w:p>
        </w:tc>
        <w:tc>
          <w:tcPr>
            <w:tcW w:w="0" w:type="auto"/>
            <w:noWrap/>
            <w:hideMark/>
          </w:tcPr>
          <w:p w14:paraId="730945B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0.421</w:t>
            </w:r>
          </w:p>
        </w:tc>
        <w:tc>
          <w:tcPr>
            <w:tcW w:w="0" w:type="auto"/>
            <w:noWrap/>
            <w:hideMark/>
          </w:tcPr>
          <w:p w14:paraId="45C4CE8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62.39±1.97</w:t>
            </w:r>
          </w:p>
        </w:tc>
        <w:tc>
          <w:tcPr>
            <w:tcW w:w="0" w:type="auto"/>
            <w:noWrap/>
            <w:hideMark/>
          </w:tcPr>
          <w:p w14:paraId="2A3408D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64.12±1.56</w:t>
            </w:r>
          </w:p>
        </w:tc>
        <w:tc>
          <w:tcPr>
            <w:tcW w:w="0" w:type="auto"/>
            <w:noWrap/>
            <w:hideMark/>
          </w:tcPr>
          <w:p w14:paraId="29447E0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65.94±2.39</w:t>
            </w:r>
          </w:p>
        </w:tc>
        <w:tc>
          <w:tcPr>
            <w:tcW w:w="0" w:type="auto"/>
            <w:noWrap/>
            <w:hideMark/>
          </w:tcPr>
          <w:p w14:paraId="43A4469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0.465</w:t>
            </w:r>
          </w:p>
        </w:tc>
        <w:tc>
          <w:tcPr>
            <w:tcW w:w="0" w:type="auto"/>
            <w:noWrap/>
            <w:hideMark/>
          </w:tcPr>
          <w:p w14:paraId="1034B320"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62.94±2.09</w:t>
            </w:r>
          </w:p>
        </w:tc>
        <w:tc>
          <w:tcPr>
            <w:tcW w:w="0" w:type="auto"/>
            <w:noWrap/>
            <w:hideMark/>
          </w:tcPr>
          <w:p w14:paraId="50C882CE"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64.16±1.80</w:t>
            </w:r>
          </w:p>
        </w:tc>
        <w:tc>
          <w:tcPr>
            <w:tcW w:w="0" w:type="auto"/>
            <w:noWrap/>
            <w:hideMark/>
          </w:tcPr>
          <w:p w14:paraId="374EEAC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65.58±2.34</w:t>
            </w:r>
          </w:p>
        </w:tc>
        <w:tc>
          <w:tcPr>
            <w:tcW w:w="0" w:type="auto"/>
            <w:noWrap/>
            <w:hideMark/>
          </w:tcPr>
          <w:p w14:paraId="6992D61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0E01E3">
              <w:rPr>
                <w:rFonts w:eastAsia="Times New Roman"/>
                <w:sz w:val="18"/>
                <w:szCs w:val="18"/>
                <w:lang w:eastAsia="en-GB"/>
              </w:rPr>
              <w:t>0.673</w:t>
            </w:r>
          </w:p>
        </w:tc>
      </w:tr>
      <w:tr w:rsidR="008B7372" w:rsidRPr="000E01E3" w14:paraId="5106DF74"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5E993BB0"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Transparency (m)</w:t>
            </w:r>
          </w:p>
        </w:tc>
        <w:tc>
          <w:tcPr>
            <w:tcW w:w="0" w:type="auto"/>
            <w:noWrap/>
            <w:hideMark/>
          </w:tcPr>
          <w:p w14:paraId="3793B331"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1.41±0.04</w:t>
            </w:r>
          </w:p>
        </w:tc>
        <w:tc>
          <w:tcPr>
            <w:tcW w:w="0" w:type="auto"/>
            <w:noWrap/>
            <w:hideMark/>
          </w:tcPr>
          <w:p w14:paraId="384E39F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1.36±0.03</w:t>
            </w:r>
          </w:p>
        </w:tc>
        <w:tc>
          <w:tcPr>
            <w:tcW w:w="0" w:type="auto"/>
            <w:noWrap/>
            <w:hideMark/>
          </w:tcPr>
          <w:p w14:paraId="2C137AEC"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1.45±0.05</w:t>
            </w:r>
          </w:p>
        </w:tc>
        <w:tc>
          <w:tcPr>
            <w:tcW w:w="0" w:type="auto"/>
            <w:noWrap/>
            <w:hideMark/>
          </w:tcPr>
          <w:p w14:paraId="025F8BA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0.284</w:t>
            </w:r>
          </w:p>
        </w:tc>
        <w:tc>
          <w:tcPr>
            <w:tcW w:w="0" w:type="auto"/>
            <w:noWrap/>
            <w:hideMark/>
          </w:tcPr>
          <w:p w14:paraId="267E1A74"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1.24±0.03</w:t>
            </w:r>
          </w:p>
        </w:tc>
        <w:tc>
          <w:tcPr>
            <w:tcW w:w="0" w:type="auto"/>
            <w:noWrap/>
            <w:hideMark/>
          </w:tcPr>
          <w:p w14:paraId="4EC9AD3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1.29±0.03</w:t>
            </w:r>
          </w:p>
        </w:tc>
        <w:tc>
          <w:tcPr>
            <w:tcW w:w="0" w:type="auto"/>
            <w:noWrap/>
            <w:hideMark/>
          </w:tcPr>
          <w:p w14:paraId="2A07A027"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1.41±0.05</w:t>
            </w:r>
          </w:p>
        </w:tc>
        <w:tc>
          <w:tcPr>
            <w:tcW w:w="0" w:type="auto"/>
            <w:noWrap/>
            <w:hideMark/>
          </w:tcPr>
          <w:p w14:paraId="0197CB5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0.005</w:t>
            </w:r>
          </w:p>
        </w:tc>
        <w:tc>
          <w:tcPr>
            <w:tcW w:w="0" w:type="auto"/>
            <w:noWrap/>
            <w:hideMark/>
          </w:tcPr>
          <w:p w14:paraId="376093E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1.30±0.03</w:t>
            </w:r>
          </w:p>
        </w:tc>
        <w:tc>
          <w:tcPr>
            <w:tcW w:w="0" w:type="auto"/>
            <w:noWrap/>
            <w:hideMark/>
          </w:tcPr>
          <w:p w14:paraId="0F171A2E"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1.38±0.02</w:t>
            </w:r>
          </w:p>
        </w:tc>
        <w:tc>
          <w:tcPr>
            <w:tcW w:w="0" w:type="auto"/>
            <w:noWrap/>
            <w:hideMark/>
          </w:tcPr>
          <w:p w14:paraId="04540F10"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1.47±0.03</w:t>
            </w:r>
          </w:p>
        </w:tc>
        <w:tc>
          <w:tcPr>
            <w:tcW w:w="0" w:type="auto"/>
            <w:noWrap/>
            <w:hideMark/>
          </w:tcPr>
          <w:p w14:paraId="27D27CB4"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0.000</w:t>
            </w:r>
          </w:p>
        </w:tc>
      </w:tr>
      <w:tr w:rsidR="008B7372" w:rsidRPr="000E01E3" w14:paraId="22839A71"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0FB74BB9"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Electrical Conductivity (ds/m)</w:t>
            </w:r>
          </w:p>
        </w:tc>
        <w:tc>
          <w:tcPr>
            <w:tcW w:w="0" w:type="auto"/>
            <w:noWrap/>
            <w:hideMark/>
          </w:tcPr>
          <w:p w14:paraId="05E09EE0"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0.37±0.01</w:t>
            </w:r>
          </w:p>
        </w:tc>
        <w:tc>
          <w:tcPr>
            <w:tcW w:w="0" w:type="auto"/>
            <w:noWrap/>
            <w:hideMark/>
          </w:tcPr>
          <w:p w14:paraId="153BA05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0.34±0.02</w:t>
            </w:r>
          </w:p>
        </w:tc>
        <w:tc>
          <w:tcPr>
            <w:tcW w:w="0" w:type="auto"/>
            <w:noWrap/>
            <w:hideMark/>
          </w:tcPr>
          <w:p w14:paraId="2B83D0F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0.33±0.02</w:t>
            </w:r>
          </w:p>
        </w:tc>
        <w:tc>
          <w:tcPr>
            <w:tcW w:w="0" w:type="auto"/>
            <w:noWrap/>
            <w:hideMark/>
          </w:tcPr>
          <w:p w14:paraId="7AF4BB57"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0.296</w:t>
            </w:r>
          </w:p>
        </w:tc>
        <w:tc>
          <w:tcPr>
            <w:tcW w:w="0" w:type="auto"/>
            <w:noWrap/>
            <w:hideMark/>
          </w:tcPr>
          <w:p w14:paraId="19C4057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0.36±0.02</w:t>
            </w:r>
          </w:p>
        </w:tc>
        <w:tc>
          <w:tcPr>
            <w:tcW w:w="0" w:type="auto"/>
            <w:noWrap/>
            <w:hideMark/>
          </w:tcPr>
          <w:p w14:paraId="1012B90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0.33±0.01</w:t>
            </w:r>
          </w:p>
        </w:tc>
        <w:tc>
          <w:tcPr>
            <w:tcW w:w="0" w:type="auto"/>
            <w:noWrap/>
            <w:hideMark/>
          </w:tcPr>
          <w:p w14:paraId="3950A1E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0.32±0.02</w:t>
            </w:r>
          </w:p>
        </w:tc>
        <w:tc>
          <w:tcPr>
            <w:tcW w:w="0" w:type="auto"/>
            <w:noWrap/>
            <w:hideMark/>
          </w:tcPr>
          <w:p w14:paraId="6560C1E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0.297</w:t>
            </w:r>
          </w:p>
        </w:tc>
        <w:tc>
          <w:tcPr>
            <w:tcW w:w="0" w:type="auto"/>
            <w:noWrap/>
            <w:hideMark/>
          </w:tcPr>
          <w:p w14:paraId="4BFBE60E"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0.36±0.02</w:t>
            </w:r>
          </w:p>
        </w:tc>
        <w:tc>
          <w:tcPr>
            <w:tcW w:w="0" w:type="auto"/>
            <w:noWrap/>
            <w:hideMark/>
          </w:tcPr>
          <w:p w14:paraId="19B57BD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0.34±0.02</w:t>
            </w:r>
          </w:p>
        </w:tc>
        <w:tc>
          <w:tcPr>
            <w:tcW w:w="0" w:type="auto"/>
            <w:noWrap/>
            <w:hideMark/>
          </w:tcPr>
          <w:p w14:paraId="625C5E90"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0.32±0.02</w:t>
            </w:r>
          </w:p>
        </w:tc>
        <w:tc>
          <w:tcPr>
            <w:tcW w:w="0" w:type="auto"/>
            <w:noWrap/>
            <w:hideMark/>
          </w:tcPr>
          <w:p w14:paraId="0CA49F6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0E01E3">
              <w:rPr>
                <w:rFonts w:eastAsia="Times New Roman"/>
                <w:sz w:val="18"/>
                <w:szCs w:val="18"/>
                <w:lang w:eastAsia="en-GB"/>
              </w:rPr>
              <w:t>0.386</w:t>
            </w:r>
          </w:p>
        </w:tc>
      </w:tr>
      <w:tr w:rsidR="008B7372" w:rsidRPr="000E01E3" w14:paraId="608AFA29"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2DC8B619"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Nitrate (mg/L)</w:t>
            </w:r>
          </w:p>
        </w:tc>
        <w:tc>
          <w:tcPr>
            <w:tcW w:w="0" w:type="auto"/>
            <w:noWrap/>
            <w:hideMark/>
          </w:tcPr>
          <w:p w14:paraId="07FE96C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0.05±0.00</w:t>
            </w:r>
          </w:p>
        </w:tc>
        <w:tc>
          <w:tcPr>
            <w:tcW w:w="0" w:type="auto"/>
            <w:noWrap/>
            <w:hideMark/>
          </w:tcPr>
          <w:p w14:paraId="4CEB24E3"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0.09±0.04</w:t>
            </w:r>
          </w:p>
        </w:tc>
        <w:tc>
          <w:tcPr>
            <w:tcW w:w="0" w:type="auto"/>
            <w:noWrap/>
            <w:hideMark/>
          </w:tcPr>
          <w:p w14:paraId="73F2F513"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0.08±0.03</w:t>
            </w:r>
          </w:p>
        </w:tc>
        <w:tc>
          <w:tcPr>
            <w:tcW w:w="0" w:type="auto"/>
            <w:noWrap/>
            <w:hideMark/>
          </w:tcPr>
          <w:p w14:paraId="4AB0C73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0.616</w:t>
            </w:r>
          </w:p>
        </w:tc>
        <w:tc>
          <w:tcPr>
            <w:tcW w:w="0" w:type="auto"/>
            <w:noWrap/>
            <w:hideMark/>
          </w:tcPr>
          <w:p w14:paraId="7AD7B024"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0.05±0.00</w:t>
            </w:r>
          </w:p>
        </w:tc>
        <w:tc>
          <w:tcPr>
            <w:tcW w:w="0" w:type="auto"/>
            <w:noWrap/>
            <w:hideMark/>
          </w:tcPr>
          <w:p w14:paraId="3F8D5E7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0.09±0.04</w:t>
            </w:r>
          </w:p>
        </w:tc>
        <w:tc>
          <w:tcPr>
            <w:tcW w:w="0" w:type="auto"/>
            <w:noWrap/>
            <w:hideMark/>
          </w:tcPr>
          <w:p w14:paraId="2D6F0D13"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0.08±0.03</w:t>
            </w:r>
          </w:p>
        </w:tc>
        <w:tc>
          <w:tcPr>
            <w:tcW w:w="0" w:type="auto"/>
            <w:noWrap/>
            <w:hideMark/>
          </w:tcPr>
          <w:p w14:paraId="18554AB3"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0.687</w:t>
            </w:r>
          </w:p>
        </w:tc>
        <w:tc>
          <w:tcPr>
            <w:tcW w:w="0" w:type="auto"/>
            <w:noWrap/>
            <w:hideMark/>
          </w:tcPr>
          <w:p w14:paraId="1B1F82B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0.05±0.00</w:t>
            </w:r>
          </w:p>
        </w:tc>
        <w:tc>
          <w:tcPr>
            <w:tcW w:w="0" w:type="auto"/>
            <w:noWrap/>
            <w:hideMark/>
          </w:tcPr>
          <w:p w14:paraId="22E7014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0.08±0.04</w:t>
            </w:r>
          </w:p>
        </w:tc>
        <w:tc>
          <w:tcPr>
            <w:tcW w:w="0" w:type="auto"/>
            <w:noWrap/>
            <w:hideMark/>
          </w:tcPr>
          <w:p w14:paraId="13289CE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0.08±0.03</w:t>
            </w:r>
          </w:p>
        </w:tc>
        <w:tc>
          <w:tcPr>
            <w:tcW w:w="0" w:type="auto"/>
            <w:noWrap/>
            <w:hideMark/>
          </w:tcPr>
          <w:p w14:paraId="1817B517"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0E01E3">
              <w:rPr>
                <w:rFonts w:eastAsia="Times New Roman"/>
                <w:sz w:val="18"/>
                <w:szCs w:val="18"/>
                <w:lang w:eastAsia="en-GB"/>
              </w:rPr>
              <w:t>0.669</w:t>
            </w:r>
          </w:p>
        </w:tc>
      </w:tr>
      <w:tr w:rsidR="008B7372" w:rsidRPr="000E01E3" w14:paraId="78FE0C9A"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4EABE9AF"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Phosphate</w:t>
            </w:r>
          </w:p>
        </w:tc>
        <w:tc>
          <w:tcPr>
            <w:tcW w:w="0" w:type="auto"/>
            <w:noWrap/>
            <w:hideMark/>
          </w:tcPr>
          <w:p w14:paraId="3430C2E7"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0.38±0.02</w:t>
            </w:r>
          </w:p>
        </w:tc>
        <w:tc>
          <w:tcPr>
            <w:tcW w:w="0" w:type="auto"/>
            <w:noWrap/>
            <w:hideMark/>
          </w:tcPr>
          <w:p w14:paraId="4DB1FA13"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0.35±0.02</w:t>
            </w:r>
          </w:p>
        </w:tc>
        <w:tc>
          <w:tcPr>
            <w:tcW w:w="0" w:type="auto"/>
            <w:noWrap/>
            <w:hideMark/>
          </w:tcPr>
          <w:p w14:paraId="3FD382C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0.34±0.02</w:t>
            </w:r>
          </w:p>
        </w:tc>
        <w:tc>
          <w:tcPr>
            <w:tcW w:w="0" w:type="auto"/>
            <w:noWrap/>
            <w:hideMark/>
          </w:tcPr>
          <w:p w14:paraId="304D820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0.25</w:t>
            </w:r>
          </w:p>
        </w:tc>
        <w:tc>
          <w:tcPr>
            <w:tcW w:w="0" w:type="auto"/>
            <w:noWrap/>
            <w:hideMark/>
          </w:tcPr>
          <w:p w14:paraId="28834AE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0.36±0.01</w:t>
            </w:r>
          </w:p>
        </w:tc>
        <w:tc>
          <w:tcPr>
            <w:tcW w:w="0" w:type="auto"/>
            <w:noWrap/>
            <w:hideMark/>
          </w:tcPr>
          <w:p w14:paraId="4FDD1E0A"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0.33±0.02</w:t>
            </w:r>
          </w:p>
        </w:tc>
        <w:tc>
          <w:tcPr>
            <w:tcW w:w="0" w:type="auto"/>
            <w:noWrap/>
            <w:hideMark/>
          </w:tcPr>
          <w:p w14:paraId="70D6403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0.29±0.02</w:t>
            </w:r>
          </w:p>
        </w:tc>
        <w:tc>
          <w:tcPr>
            <w:tcW w:w="0" w:type="auto"/>
            <w:noWrap/>
            <w:hideMark/>
          </w:tcPr>
          <w:p w14:paraId="666A955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0.035</w:t>
            </w:r>
          </w:p>
        </w:tc>
        <w:tc>
          <w:tcPr>
            <w:tcW w:w="0" w:type="auto"/>
            <w:noWrap/>
            <w:hideMark/>
          </w:tcPr>
          <w:p w14:paraId="21EFDAC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0.38±0.02</w:t>
            </w:r>
          </w:p>
        </w:tc>
        <w:tc>
          <w:tcPr>
            <w:tcW w:w="0" w:type="auto"/>
            <w:noWrap/>
            <w:hideMark/>
          </w:tcPr>
          <w:p w14:paraId="09A922F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0.33±0.01</w:t>
            </w:r>
          </w:p>
        </w:tc>
        <w:tc>
          <w:tcPr>
            <w:tcW w:w="0" w:type="auto"/>
            <w:noWrap/>
            <w:hideMark/>
          </w:tcPr>
          <w:p w14:paraId="38B0392C"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0.31±0.01</w:t>
            </w:r>
          </w:p>
        </w:tc>
        <w:tc>
          <w:tcPr>
            <w:tcW w:w="0" w:type="auto"/>
            <w:noWrap/>
            <w:hideMark/>
          </w:tcPr>
          <w:p w14:paraId="5B8E311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0E01E3">
              <w:rPr>
                <w:rFonts w:eastAsia="Times New Roman"/>
                <w:sz w:val="18"/>
                <w:szCs w:val="18"/>
                <w:lang w:eastAsia="en-GB"/>
              </w:rPr>
              <w:t>0.006</w:t>
            </w:r>
          </w:p>
        </w:tc>
      </w:tr>
      <w:tr w:rsidR="008B7372" w:rsidRPr="000E01E3" w14:paraId="2CEB65EA"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45367A90"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Chloride (mg/L)</w:t>
            </w:r>
          </w:p>
        </w:tc>
        <w:tc>
          <w:tcPr>
            <w:tcW w:w="0" w:type="auto"/>
            <w:noWrap/>
            <w:hideMark/>
          </w:tcPr>
          <w:p w14:paraId="5608C1A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40.28±1.92</w:t>
            </w:r>
          </w:p>
        </w:tc>
        <w:tc>
          <w:tcPr>
            <w:tcW w:w="0" w:type="auto"/>
            <w:noWrap/>
            <w:hideMark/>
          </w:tcPr>
          <w:p w14:paraId="28F9E741"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40.32±1.52</w:t>
            </w:r>
          </w:p>
        </w:tc>
        <w:tc>
          <w:tcPr>
            <w:tcW w:w="0" w:type="auto"/>
            <w:noWrap/>
            <w:hideMark/>
          </w:tcPr>
          <w:p w14:paraId="16297C50"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36.74±2.16</w:t>
            </w:r>
          </w:p>
        </w:tc>
        <w:tc>
          <w:tcPr>
            <w:tcW w:w="0" w:type="auto"/>
            <w:noWrap/>
            <w:hideMark/>
          </w:tcPr>
          <w:p w14:paraId="5092B86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0.318</w:t>
            </w:r>
          </w:p>
        </w:tc>
        <w:tc>
          <w:tcPr>
            <w:tcW w:w="0" w:type="auto"/>
            <w:noWrap/>
            <w:hideMark/>
          </w:tcPr>
          <w:p w14:paraId="27B9B2E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42.77±1.33</w:t>
            </w:r>
          </w:p>
        </w:tc>
        <w:tc>
          <w:tcPr>
            <w:tcW w:w="0" w:type="auto"/>
            <w:noWrap/>
            <w:hideMark/>
          </w:tcPr>
          <w:p w14:paraId="1A11B73E"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41.13±1.30</w:t>
            </w:r>
          </w:p>
        </w:tc>
        <w:tc>
          <w:tcPr>
            <w:tcW w:w="0" w:type="auto"/>
            <w:noWrap/>
            <w:hideMark/>
          </w:tcPr>
          <w:p w14:paraId="34AF7F2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38.47±0.93</w:t>
            </w:r>
          </w:p>
        </w:tc>
        <w:tc>
          <w:tcPr>
            <w:tcW w:w="0" w:type="auto"/>
            <w:noWrap/>
            <w:hideMark/>
          </w:tcPr>
          <w:p w14:paraId="4BAD7C11"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0.051</w:t>
            </w:r>
          </w:p>
        </w:tc>
        <w:tc>
          <w:tcPr>
            <w:tcW w:w="0" w:type="auto"/>
            <w:noWrap/>
            <w:hideMark/>
          </w:tcPr>
          <w:p w14:paraId="597D78E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43.13±2.18</w:t>
            </w:r>
          </w:p>
        </w:tc>
        <w:tc>
          <w:tcPr>
            <w:tcW w:w="0" w:type="auto"/>
            <w:noWrap/>
            <w:hideMark/>
          </w:tcPr>
          <w:p w14:paraId="3D94493A"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40.26±2.09</w:t>
            </w:r>
          </w:p>
        </w:tc>
        <w:tc>
          <w:tcPr>
            <w:tcW w:w="0" w:type="auto"/>
            <w:noWrap/>
            <w:hideMark/>
          </w:tcPr>
          <w:p w14:paraId="7CCA13F4"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39.03±1.38</w:t>
            </w:r>
          </w:p>
        </w:tc>
        <w:tc>
          <w:tcPr>
            <w:tcW w:w="0" w:type="auto"/>
            <w:noWrap/>
            <w:hideMark/>
          </w:tcPr>
          <w:p w14:paraId="6F6C685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0E01E3">
              <w:rPr>
                <w:rFonts w:eastAsia="Times New Roman"/>
                <w:sz w:val="18"/>
                <w:szCs w:val="18"/>
                <w:lang w:eastAsia="en-GB"/>
              </w:rPr>
              <w:t>0.313</w:t>
            </w:r>
          </w:p>
        </w:tc>
      </w:tr>
    </w:tbl>
    <w:p w14:paraId="5DB17E2C" w14:textId="659DA34A" w:rsidR="008B7372" w:rsidRPr="00352BC4" w:rsidRDefault="008B7372" w:rsidP="008B7372">
      <w:pPr>
        <w:pStyle w:val="NormalWeb"/>
        <w:jc w:val="both"/>
      </w:pPr>
      <w:r w:rsidRPr="00352BC4">
        <w:rPr>
          <w:b/>
          <w:noProof/>
        </w:rPr>
        <w:lastRenderedPageBreak/>
        <w:t xml:space="preserve">Table 3: </w:t>
      </w:r>
      <w:r w:rsidRPr="00352BC4">
        <w:rPr>
          <w:rStyle w:val="Strong"/>
        </w:rPr>
        <w:t xml:space="preserve">Seasonal Variations in Water Quality Parameters of </w:t>
      </w:r>
      <w:proofErr w:type="spellStart"/>
      <w:r>
        <w:rPr>
          <w:rStyle w:val="Strong"/>
        </w:rPr>
        <w:t>Owala</w:t>
      </w:r>
      <w:proofErr w:type="spellEnd"/>
      <w:r w:rsidRPr="00352BC4">
        <w:rPr>
          <w:rStyle w:val="Strong"/>
        </w:rPr>
        <w:t xml:space="preserve"> Dam across Three Consecutive Years (2021–2024)</w:t>
      </w:r>
    </w:p>
    <w:p w14:paraId="7D4258B7" w14:textId="77777777" w:rsidR="008B7372" w:rsidRDefault="008B7372" w:rsidP="008B7372">
      <w:pPr>
        <w:jc w:val="both"/>
        <w:rPr>
          <w:noProof/>
          <w:lang w:eastAsia="en-GB"/>
        </w:rPr>
      </w:pPr>
    </w:p>
    <w:tbl>
      <w:tblPr>
        <w:tblStyle w:val="PlainTable21"/>
        <w:tblW w:w="15429" w:type="dxa"/>
        <w:tblInd w:w="-713" w:type="dxa"/>
        <w:tblLook w:val="06A0" w:firstRow="1" w:lastRow="0" w:firstColumn="1" w:lastColumn="0" w:noHBand="1" w:noVBand="1"/>
      </w:tblPr>
      <w:tblGrid>
        <w:gridCol w:w="3426"/>
        <w:gridCol w:w="1394"/>
        <w:gridCol w:w="1395"/>
        <w:gridCol w:w="1135"/>
        <w:gridCol w:w="1394"/>
        <w:gridCol w:w="1395"/>
        <w:gridCol w:w="1366"/>
        <w:gridCol w:w="1394"/>
        <w:gridCol w:w="1395"/>
        <w:gridCol w:w="1135"/>
      </w:tblGrid>
      <w:tr w:rsidR="008B7372" w:rsidRPr="008121E2" w14:paraId="1A8ED3CE" w14:textId="77777777" w:rsidTr="008B7372">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426" w:type="dxa"/>
            <w:vMerge w:val="restart"/>
            <w:noWrap/>
            <w:vAlign w:val="center"/>
            <w:hideMark/>
          </w:tcPr>
          <w:p w14:paraId="7552528C" w14:textId="77777777" w:rsidR="008B7372" w:rsidRPr="008121E2" w:rsidRDefault="008B7372" w:rsidP="008B7372">
            <w:pPr>
              <w:spacing w:line="480" w:lineRule="auto"/>
              <w:jc w:val="center"/>
              <w:rPr>
                <w:rFonts w:eastAsia="Times New Roman"/>
                <w:color w:val="auto"/>
                <w:sz w:val="20"/>
                <w:szCs w:val="20"/>
                <w:lang w:eastAsia="en-GB"/>
              </w:rPr>
            </w:pPr>
            <w:r w:rsidRPr="008121E2">
              <w:rPr>
                <w:rFonts w:eastAsia="Times New Roman"/>
                <w:color w:val="auto"/>
                <w:sz w:val="20"/>
                <w:szCs w:val="20"/>
                <w:lang w:eastAsia="en-GB"/>
              </w:rPr>
              <w:t>Parameters</w:t>
            </w:r>
          </w:p>
        </w:tc>
        <w:tc>
          <w:tcPr>
            <w:tcW w:w="2789" w:type="dxa"/>
            <w:gridSpan w:val="2"/>
            <w:tcBorders>
              <w:bottom w:val="nil"/>
            </w:tcBorders>
            <w:noWrap/>
            <w:vAlign w:val="center"/>
            <w:hideMark/>
          </w:tcPr>
          <w:p w14:paraId="7235BE9D" w14:textId="77777777" w:rsidR="008B7372" w:rsidRPr="008121E2" w:rsidRDefault="008B7372" w:rsidP="008B7372">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2021/2022</w:t>
            </w:r>
          </w:p>
        </w:tc>
        <w:tc>
          <w:tcPr>
            <w:tcW w:w="1135" w:type="dxa"/>
            <w:tcBorders>
              <w:bottom w:val="nil"/>
            </w:tcBorders>
            <w:noWrap/>
            <w:vAlign w:val="center"/>
            <w:hideMark/>
          </w:tcPr>
          <w:p w14:paraId="12DE93AF" w14:textId="77777777" w:rsidR="008B7372" w:rsidRPr="008121E2" w:rsidRDefault="008B7372" w:rsidP="008B7372">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n-GB"/>
              </w:rPr>
            </w:pPr>
          </w:p>
        </w:tc>
        <w:tc>
          <w:tcPr>
            <w:tcW w:w="2789" w:type="dxa"/>
            <w:gridSpan w:val="2"/>
            <w:tcBorders>
              <w:bottom w:val="nil"/>
            </w:tcBorders>
            <w:noWrap/>
            <w:vAlign w:val="center"/>
            <w:hideMark/>
          </w:tcPr>
          <w:p w14:paraId="7FD463C8" w14:textId="77777777" w:rsidR="008B7372" w:rsidRPr="008121E2" w:rsidRDefault="008B7372" w:rsidP="008B7372">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2022/2023</w:t>
            </w:r>
          </w:p>
        </w:tc>
        <w:tc>
          <w:tcPr>
            <w:tcW w:w="1366" w:type="dxa"/>
            <w:tcBorders>
              <w:bottom w:val="nil"/>
            </w:tcBorders>
            <w:noWrap/>
            <w:vAlign w:val="center"/>
            <w:hideMark/>
          </w:tcPr>
          <w:p w14:paraId="1204ED3D" w14:textId="77777777" w:rsidR="008B7372" w:rsidRPr="008121E2" w:rsidRDefault="008B7372" w:rsidP="008B7372">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n-GB"/>
              </w:rPr>
            </w:pPr>
          </w:p>
        </w:tc>
        <w:tc>
          <w:tcPr>
            <w:tcW w:w="2789" w:type="dxa"/>
            <w:gridSpan w:val="2"/>
            <w:tcBorders>
              <w:bottom w:val="nil"/>
            </w:tcBorders>
            <w:noWrap/>
            <w:vAlign w:val="center"/>
            <w:hideMark/>
          </w:tcPr>
          <w:p w14:paraId="620E011E" w14:textId="77777777" w:rsidR="008B7372" w:rsidRPr="008121E2" w:rsidRDefault="008B7372" w:rsidP="008B7372">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2023/2024</w:t>
            </w:r>
          </w:p>
        </w:tc>
        <w:tc>
          <w:tcPr>
            <w:tcW w:w="1135" w:type="dxa"/>
            <w:tcBorders>
              <w:bottom w:val="nil"/>
            </w:tcBorders>
            <w:noWrap/>
            <w:vAlign w:val="center"/>
            <w:hideMark/>
          </w:tcPr>
          <w:p w14:paraId="4E4DD26F" w14:textId="77777777" w:rsidR="008B7372" w:rsidRPr="008121E2" w:rsidRDefault="008B7372" w:rsidP="008B7372">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n-GB"/>
              </w:rPr>
            </w:pPr>
          </w:p>
        </w:tc>
      </w:tr>
      <w:tr w:rsidR="008B7372" w:rsidRPr="008121E2" w14:paraId="25862AF7" w14:textId="77777777" w:rsidTr="008B7372">
        <w:trPr>
          <w:trHeight w:val="504"/>
        </w:trPr>
        <w:tc>
          <w:tcPr>
            <w:cnfStyle w:val="001000000000" w:firstRow="0" w:lastRow="0" w:firstColumn="1" w:lastColumn="0" w:oddVBand="0" w:evenVBand="0" w:oddHBand="0" w:evenHBand="0" w:firstRowFirstColumn="0" w:firstRowLastColumn="0" w:lastRowFirstColumn="0" w:lastRowLastColumn="0"/>
            <w:tcW w:w="3426" w:type="dxa"/>
            <w:vMerge/>
            <w:tcBorders>
              <w:bottom w:val="single" w:sz="4" w:space="0" w:color="auto"/>
            </w:tcBorders>
            <w:vAlign w:val="center"/>
            <w:hideMark/>
          </w:tcPr>
          <w:p w14:paraId="74603364" w14:textId="77777777" w:rsidR="008B7372" w:rsidRPr="008121E2" w:rsidRDefault="008B7372" w:rsidP="008B7372">
            <w:pPr>
              <w:spacing w:line="480" w:lineRule="auto"/>
              <w:jc w:val="center"/>
              <w:rPr>
                <w:rFonts w:eastAsia="Times New Roman"/>
                <w:color w:val="auto"/>
                <w:sz w:val="20"/>
                <w:szCs w:val="20"/>
                <w:lang w:eastAsia="en-GB"/>
              </w:rPr>
            </w:pPr>
          </w:p>
        </w:tc>
        <w:tc>
          <w:tcPr>
            <w:tcW w:w="1394" w:type="dxa"/>
            <w:tcBorders>
              <w:top w:val="nil"/>
              <w:bottom w:val="single" w:sz="4" w:space="0" w:color="auto"/>
            </w:tcBorders>
            <w:noWrap/>
            <w:vAlign w:val="center"/>
            <w:hideMark/>
          </w:tcPr>
          <w:p w14:paraId="29A06DF4"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8121E2">
              <w:rPr>
                <w:rFonts w:eastAsia="Times New Roman"/>
                <w:b/>
                <w:color w:val="auto"/>
                <w:sz w:val="20"/>
                <w:szCs w:val="20"/>
                <w:lang w:eastAsia="en-GB"/>
              </w:rPr>
              <w:t>Dry Season</w:t>
            </w:r>
          </w:p>
        </w:tc>
        <w:tc>
          <w:tcPr>
            <w:tcW w:w="1394" w:type="dxa"/>
            <w:tcBorders>
              <w:top w:val="nil"/>
              <w:bottom w:val="single" w:sz="4" w:space="0" w:color="auto"/>
            </w:tcBorders>
            <w:noWrap/>
            <w:vAlign w:val="center"/>
            <w:hideMark/>
          </w:tcPr>
          <w:p w14:paraId="0AA6EF67"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8121E2">
              <w:rPr>
                <w:rFonts w:eastAsia="Times New Roman"/>
                <w:b/>
                <w:color w:val="auto"/>
                <w:sz w:val="20"/>
                <w:szCs w:val="20"/>
                <w:lang w:eastAsia="en-GB"/>
              </w:rPr>
              <w:t>Rainy Season</w:t>
            </w:r>
          </w:p>
        </w:tc>
        <w:tc>
          <w:tcPr>
            <w:tcW w:w="1135" w:type="dxa"/>
            <w:tcBorders>
              <w:top w:val="nil"/>
              <w:bottom w:val="single" w:sz="4" w:space="0" w:color="auto"/>
            </w:tcBorders>
            <w:noWrap/>
            <w:vAlign w:val="center"/>
            <w:hideMark/>
          </w:tcPr>
          <w:p w14:paraId="413AFA04"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0435E4">
              <w:rPr>
                <w:rFonts w:eastAsia="Times New Roman"/>
                <w:b/>
                <w:color w:val="auto"/>
                <w:sz w:val="20"/>
                <w:szCs w:val="20"/>
                <w:lang w:eastAsia="en-GB"/>
              </w:rPr>
              <w:t>P-Value</w:t>
            </w:r>
          </w:p>
        </w:tc>
        <w:tc>
          <w:tcPr>
            <w:tcW w:w="1394" w:type="dxa"/>
            <w:tcBorders>
              <w:top w:val="nil"/>
              <w:bottom w:val="single" w:sz="4" w:space="0" w:color="auto"/>
            </w:tcBorders>
            <w:noWrap/>
            <w:vAlign w:val="center"/>
            <w:hideMark/>
          </w:tcPr>
          <w:p w14:paraId="0E963CC1"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8121E2">
              <w:rPr>
                <w:rFonts w:eastAsia="Times New Roman"/>
                <w:b/>
                <w:color w:val="auto"/>
                <w:sz w:val="20"/>
                <w:szCs w:val="20"/>
                <w:lang w:eastAsia="en-GB"/>
              </w:rPr>
              <w:t>Dry Season</w:t>
            </w:r>
          </w:p>
        </w:tc>
        <w:tc>
          <w:tcPr>
            <w:tcW w:w="1394" w:type="dxa"/>
            <w:tcBorders>
              <w:top w:val="nil"/>
              <w:bottom w:val="single" w:sz="4" w:space="0" w:color="auto"/>
            </w:tcBorders>
            <w:noWrap/>
            <w:vAlign w:val="center"/>
            <w:hideMark/>
          </w:tcPr>
          <w:p w14:paraId="34A56EA9"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8121E2">
              <w:rPr>
                <w:rFonts w:eastAsia="Times New Roman"/>
                <w:b/>
                <w:color w:val="auto"/>
                <w:sz w:val="20"/>
                <w:szCs w:val="20"/>
                <w:lang w:eastAsia="en-GB"/>
              </w:rPr>
              <w:t>Rainy Season</w:t>
            </w:r>
          </w:p>
        </w:tc>
        <w:tc>
          <w:tcPr>
            <w:tcW w:w="1366" w:type="dxa"/>
            <w:tcBorders>
              <w:top w:val="nil"/>
              <w:bottom w:val="single" w:sz="4" w:space="0" w:color="auto"/>
            </w:tcBorders>
            <w:noWrap/>
            <w:vAlign w:val="center"/>
            <w:hideMark/>
          </w:tcPr>
          <w:p w14:paraId="49932C3A"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0435E4">
              <w:rPr>
                <w:rFonts w:eastAsia="Times New Roman"/>
                <w:b/>
                <w:color w:val="auto"/>
                <w:sz w:val="20"/>
                <w:szCs w:val="20"/>
                <w:lang w:eastAsia="en-GB"/>
              </w:rPr>
              <w:t>P-Value</w:t>
            </w:r>
          </w:p>
        </w:tc>
        <w:tc>
          <w:tcPr>
            <w:tcW w:w="1394" w:type="dxa"/>
            <w:tcBorders>
              <w:top w:val="nil"/>
              <w:bottom w:val="single" w:sz="4" w:space="0" w:color="auto"/>
            </w:tcBorders>
            <w:noWrap/>
            <w:vAlign w:val="center"/>
            <w:hideMark/>
          </w:tcPr>
          <w:p w14:paraId="2E1476F3"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8121E2">
              <w:rPr>
                <w:rFonts w:eastAsia="Times New Roman"/>
                <w:b/>
                <w:color w:val="auto"/>
                <w:sz w:val="20"/>
                <w:szCs w:val="20"/>
                <w:lang w:eastAsia="en-GB"/>
              </w:rPr>
              <w:t>Dry Season</w:t>
            </w:r>
          </w:p>
        </w:tc>
        <w:tc>
          <w:tcPr>
            <w:tcW w:w="1394" w:type="dxa"/>
            <w:tcBorders>
              <w:top w:val="nil"/>
              <w:bottom w:val="single" w:sz="4" w:space="0" w:color="auto"/>
            </w:tcBorders>
            <w:noWrap/>
            <w:vAlign w:val="center"/>
            <w:hideMark/>
          </w:tcPr>
          <w:p w14:paraId="622425D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8121E2">
              <w:rPr>
                <w:rFonts w:eastAsia="Times New Roman"/>
                <w:b/>
                <w:color w:val="auto"/>
                <w:sz w:val="20"/>
                <w:szCs w:val="20"/>
                <w:lang w:eastAsia="en-GB"/>
              </w:rPr>
              <w:t>Rainy Season</w:t>
            </w:r>
          </w:p>
        </w:tc>
        <w:tc>
          <w:tcPr>
            <w:tcW w:w="1135" w:type="dxa"/>
            <w:tcBorders>
              <w:top w:val="nil"/>
              <w:bottom w:val="single" w:sz="4" w:space="0" w:color="auto"/>
            </w:tcBorders>
            <w:noWrap/>
            <w:vAlign w:val="center"/>
            <w:hideMark/>
          </w:tcPr>
          <w:p w14:paraId="1FCD641B"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0435E4">
              <w:rPr>
                <w:rFonts w:eastAsia="Times New Roman"/>
                <w:b/>
                <w:color w:val="auto"/>
                <w:sz w:val="20"/>
                <w:szCs w:val="20"/>
                <w:lang w:eastAsia="en-GB"/>
              </w:rPr>
              <w:t>P-Value</w:t>
            </w:r>
          </w:p>
        </w:tc>
      </w:tr>
      <w:tr w:rsidR="008B7372" w:rsidRPr="008121E2" w14:paraId="1E56D83C"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tcBorders>
              <w:top w:val="single" w:sz="4" w:space="0" w:color="auto"/>
              <w:bottom w:val="nil"/>
            </w:tcBorders>
            <w:noWrap/>
            <w:vAlign w:val="center"/>
            <w:hideMark/>
          </w:tcPr>
          <w:p w14:paraId="272B0054"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Temperature</w:t>
            </w:r>
          </w:p>
        </w:tc>
        <w:tc>
          <w:tcPr>
            <w:tcW w:w="1394" w:type="dxa"/>
            <w:tcBorders>
              <w:top w:val="single" w:sz="4" w:space="0" w:color="auto"/>
            </w:tcBorders>
            <w:noWrap/>
            <w:vAlign w:val="center"/>
            <w:hideMark/>
          </w:tcPr>
          <w:p w14:paraId="37B84BA4"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27.24±0.35</w:t>
            </w:r>
          </w:p>
        </w:tc>
        <w:tc>
          <w:tcPr>
            <w:tcW w:w="1394" w:type="dxa"/>
            <w:tcBorders>
              <w:top w:val="single" w:sz="4" w:space="0" w:color="auto"/>
            </w:tcBorders>
            <w:noWrap/>
            <w:vAlign w:val="center"/>
            <w:hideMark/>
          </w:tcPr>
          <w:p w14:paraId="343AA41A"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24.47±0.14</w:t>
            </w:r>
          </w:p>
        </w:tc>
        <w:tc>
          <w:tcPr>
            <w:tcW w:w="1135" w:type="dxa"/>
            <w:tcBorders>
              <w:top w:val="single" w:sz="4" w:space="0" w:color="auto"/>
            </w:tcBorders>
            <w:noWrap/>
            <w:vAlign w:val="center"/>
            <w:hideMark/>
          </w:tcPr>
          <w:p w14:paraId="48B644E6"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c>
          <w:tcPr>
            <w:tcW w:w="1394" w:type="dxa"/>
            <w:tcBorders>
              <w:top w:val="single" w:sz="4" w:space="0" w:color="auto"/>
            </w:tcBorders>
            <w:noWrap/>
            <w:vAlign w:val="center"/>
            <w:hideMark/>
          </w:tcPr>
          <w:p w14:paraId="137E0206"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26.72±0.26</w:t>
            </w:r>
          </w:p>
        </w:tc>
        <w:tc>
          <w:tcPr>
            <w:tcW w:w="1394" w:type="dxa"/>
            <w:tcBorders>
              <w:top w:val="single" w:sz="4" w:space="0" w:color="auto"/>
            </w:tcBorders>
            <w:noWrap/>
            <w:vAlign w:val="center"/>
            <w:hideMark/>
          </w:tcPr>
          <w:p w14:paraId="64206B2E"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25.32±0.24</w:t>
            </w:r>
          </w:p>
        </w:tc>
        <w:tc>
          <w:tcPr>
            <w:tcW w:w="1366" w:type="dxa"/>
            <w:tcBorders>
              <w:top w:val="single" w:sz="4" w:space="0" w:color="auto"/>
            </w:tcBorders>
            <w:noWrap/>
            <w:vAlign w:val="center"/>
            <w:hideMark/>
          </w:tcPr>
          <w:p w14:paraId="4ABCBD18"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c>
          <w:tcPr>
            <w:tcW w:w="1394" w:type="dxa"/>
            <w:tcBorders>
              <w:top w:val="single" w:sz="4" w:space="0" w:color="auto"/>
            </w:tcBorders>
            <w:noWrap/>
            <w:vAlign w:val="center"/>
            <w:hideMark/>
          </w:tcPr>
          <w:p w14:paraId="45AF2573"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27.41±0.18</w:t>
            </w:r>
          </w:p>
        </w:tc>
        <w:tc>
          <w:tcPr>
            <w:tcW w:w="1394" w:type="dxa"/>
            <w:tcBorders>
              <w:top w:val="single" w:sz="4" w:space="0" w:color="auto"/>
            </w:tcBorders>
            <w:noWrap/>
            <w:vAlign w:val="center"/>
            <w:hideMark/>
          </w:tcPr>
          <w:p w14:paraId="6B3C7D8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25.37±0.22</w:t>
            </w:r>
          </w:p>
        </w:tc>
        <w:tc>
          <w:tcPr>
            <w:tcW w:w="1135" w:type="dxa"/>
            <w:tcBorders>
              <w:top w:val="single" w:sz="4" w:space="0" w:color="auto"/>
            </w:tcBorders>
            <w:noWrap/>
            <w:vAlign w:val="center"/>
            <w:hideMark/>
          </w:tcPr>
          <w:p w14:paraId="0AA95CB9"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r>
      <w:tr w:rsidR="008B7372" w:rsidRPr="008121E2" w14:paraId="182389E6"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tcBorders>
              <w:top w:val="nil"/>
            </w:tcBorders>
            <w:noWrap/>
            <w:vAlign w:val="center"/>
            <w:hideMark/>
          </w:tcPr>
          <w:p w14:paraId="04B24407"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pH</w:t>
            </w:r>
          </w:p>
        </w:tc>
        <w:tc>
          <w:tcPr>
            <w:tcW w:w="1394" w:type="dxa"/>
            <w:noWrap/>
            <w:vAlign w:val="center"/>
            <w:hideMark/>
          </w:tcPr>
          <w:p w14:paraId="45E865EF"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6.31±0.15</w:t>
            </w:r>
          </w:p>
        </w:tc>
        <w:tc>
          <w:tcPr>
            <w:tcW w:w="1394" w:type="dxa"/>
            <w:noWrap/>
            <w:vAlign w:val="center"/>
            <w:hideMark/>
          </w:tcPr>
          <w:p w14:paraId="7F9B4DC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7.55±0.09</w:t>
            </w:r>
          </w:p>
        </w:tc>
        <w:tc>
          <w:tcPr>
            <w:tcW w:w="1135" w:type="dxa"/>
            <w:noWrap/>
            <w:vAlign w:val="center"/>
            <w:hideMark/>
          </w:tcPr>
          <w:p w14:paraId="0404925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c>
          <w:tcPr>
            <w:tcW w:w="1394" w:type="dxa"/>
            <w:noWrap/>
            <w:vAlign w:val="center"/>
            <w:hideMark/>
          </w:tcPr>
          <w:p w14:paraId="3E6F81A7"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6.73±0.14</w:t>
            </w:r>
          </w:p>
        </w:tc>
        <w:tc>
          <w:tcPr>
            <w:tcW w:w="1394" w:type="dxa"/>
            <w:noWrap/>
            <w:vAlign w:val="center"/>
            <w:hideMark/>
          </w:tcPr>
          <w:p w14:paraId="56CDC047"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7.23±0.10</w:t>
            </w:r>
          </w:p>
        </w:tc>
        <w:tc>
          <w:tcPr>
            <w:tcW w:w="1366" w:type="dxa"/>
            <w:noWrap/>
            <w:vAlign w:val="center"/>
            <w:hideMark/>
          </w:tcPr>
          <w:p w14:paraId="2E56511D"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0.008</w:t>
            </w:r>
          </w:p>
        </w:tc>
        <w:tc>
          <w:tcPr>
            <w:tcW w:w="1394" w:type="dxa"/>
            <w:noWrap/>
            <w:vAlign w:val="center"/>
            <w:hideMark/>
          </w:tcPr>
          <w:p w14:paraId="40729FE6"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6.48±0.17</w:t>
            </w:r>
          </w:p>
        </w:tc>
        <w:tc>
          <w:tcPr>
            <w:tcW w:w="1394" w:type="dxa"/>
            <w:noWrap/>
            <w:vAlign w:val="center"/>
            <w:hideMark/>
          </w:tcPr>
          <w:p w14:paraId="086D16A5"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6.76±0.09</w:t>
            </w:r>
          </w:p>
        </w:tc>
        <w:tc>
          <w:tcPr>
            <w:tcW w:w="1135" w:type="dxa"/>
            <w:noWrap/>
            <w:vAlign w:val="center"/>
            <w:hideMark/>
          </w:tcPr>
          <w:p w14:paraId="5C0A747B"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0.155</w:t>
            </w:r>
          </w:p>
        </w:tc>
      </w:tr>
      <w:tr w:rsidR="008B7372" w:rsidRPr="008121E2" w14:paraId="619802FA"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266DEFA8"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Total Dissolved Solids (mg/L)</w:t>
            </w:r>
          </w:p>
        </w:tc>
        <w:tc>
          <w:tcPr>
            <w:tcW w:w="1394" w:type="dxa"/>
            <w:noWrap/>
            <w:vAlign w:val="center"/>
            <w:hideMark/>
          </w:tcPr>
          <w:p w14:paraId="628FD539"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0.47±0.04</w:t>
            </w:r>
          </w:p>
        </w:tc>
        <w:tc>
          <w:tcPr>
            <w:tcW w:w="1394" w:type="dxa"/>
            <w:noWrap/>
            <w:vAlign w:val="center"/>
            <w:hideMark/>
          </w:tcPr>
          <w:p w14:paraId="42F3D9B4"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0.67±0.01</w:t>
            </w:r>
          </w:p>
        </w:tc>
        <w:tc>
          <w:tcPr>
            <w:tcW w:w="1135" w:type="dxa"/>
            <w:noWrap/>
            <w:vAlign w:val="center"/>
            <w:hideMark/>
          </w:tcPr>
          <w:p w14:paraId="1FF39ABF"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c>
          <w:tcPr>
            <w:tcW w:w="1394" w:type="dxa"/>
            <w:noWrap/>
            <w:vAlign w:val="center"/>
            <w:hideMark/>
          </w:tcPr>
          <w:p w14:paraId="5F844862"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0.56±0.02</w:t>
            </w:r>
          </w:p>
        </w:tc>
        <w:tc>
          <w:tcPr>
            <w:tcW w:w="1394" w:type="dxa"/>
            <w:noWrap/>
            <w:vAlign w:val="center"/>
            <w:hideMark/>
          </w:tcPr>
          <w:p w14:paraId="70D9BDE0"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0.57±0.01</w:t>
            </w:r>
          </w:p>
        </w:tc>
        <w:tc>
          <w:tcPr>
            <w:tcW w:w="1366" w:type="dxa"/>
            <w:noWrap/>
            <w:vAlign w:val="center"/>
            <w:hideMark/>
          </w:tcPr>
          <w:p w14:paraId="6C563841"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0.953</w:t>
            </w:r>
          </w:p>
        </w:tc>
        <w:tc>
          <w:tcPr>
            <w:tcW w:w="1394" w:type="dxa"/>
            <w:noWrap/>
            <w:vAlign w:val="center"/>
            <w:hideMark/>
          </w:tcPr>
          <w:p w14:paraId="42B8F572"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0.52±0.02</w:t>
            </w:r>
          </w:p>
        </w:tc>
        <w:tc>
          <w:tcPr>
            <w:tcW w:w="1394" w:type="dxa"/>
            <w:noWrap/>
            <w:vAlign w:val="center"/>
            <w:hideMark/>
          </w:tcPr>
          <w:p w14:paraId="4CACFC8A"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0.60±0.02</w:t>
            </w:r>
          </w:p>
        </w:tc>
        <w:tc>
          <w:tcPr>
            <w:tcW w:w="1135" w:type="dxa"/>
            <w:noWrap/>
            <w:vAlign w:val="center"/>
            <w:hideMark/>
          </w:tcPr>
          <w:p w14:paraId="23612A14"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0.014</w:t>
            </w:r>
          </w:p>
        </w:tc>
      </w:tr>
      <w:tr w:rsidR="008B7372" w:rsidRPr="008121E2" w14:paraId="2EDD4718"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1FB71620"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Biological Oxygen Demand (mg/L)</w:t>
            </w:r>
          </w:p>
        </w:tc>
        <w:tc>
          <w:tcPr>
            <w:tcW w:w="1394" w:type="dxa"/>
            <w:noWrap/>
            <w:vAlign w:val="center"/>
            <w:hideMark/>
          </w:tcPr>
          <w:p w14:paraId="4DD89347"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142.89±1.83</w:t>
            </w:r>
          </w:p>
        </w:tc>
        <w:tc>
          <w:tcPr>
            <w:tcW w:w="1394" w:type="dxa"/>
            <w:noWrap/>
            <w:vAlign w:val="center"/>
            <w:hideMark/>
          </w:tcPr>
          <w:p w14:paraId="0896F9D7"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157.89±3.15</w:t>
            </w:r>
          </w:p>
        </w:tc>
        <w:tc>
          <w:tcPr>
            <w:tcW w:w="1135" w:type="dxa"/>
            <w:noWrap/>
            <w:vAlign w:val="center"/>
            <w:hideMark/>
          </w:tcPr>
          <w:p w14:paraId="22FB67ED"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c>
          <w:tcPr>
            <w:tcW w:w="1394" w:type="dxa"/>
            <w:noWrap/>
            <w:vAlign w:val="center"/>
            <w:hideMark/>
          </w:tcPr>
          <w:p w14:paraId="21CEB921"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138.50±1.12</w:t>
            </w:r>
          </w:p>
        </w:tc>
        <w:tc>
          <w:tcPr>
            <w:tcW w:w="1394" w:type="dxa"/>
            <w:noWrap/>
            <w:vAlign w:val="center"/>
            <w:hideMark/>
          </w:tcPr>
          <w:p w14:paraId="12A0EC26"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148.33±1.75</w:t>
            </w:r>
          </w:p>
        </w:tc>
        <w:tc>
          <w:tcPr>
            <w:tcW w:w="1366" w:type="dxa"/>
            <w:noWrap/>
            <w:vAlign w:val="center"/>
            <w:hideMark/>
          </w:tcPr>
          <w:p w14:paraId="42903A62"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c>
          <w:tcPr>
            <w:tcW w:w="1394" w:type="dxa"/>
            <w:noWrap/>
            <w:vAlign w:val="center"/>
            <w:hideMark/>
          </w:tcPr>
          <w:p w14:paraId="321C8D81"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140.00±1.12</w:t>
            </w:r>
          </w:p>
        </w:tc>
        <w:tc>
          <w:tcPr>
            <w:tcW w:w="1394" w:type="dxa"/>
            <w:noWrap/>
            <w:vAlign w:val="center"/>
            <w:hideMark/>
          </w:tcPr>
          <w:p w14:paraId="0C6D67C8"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152.06±1.74</w:t>
            </w:r>
          </w:p>
        </w:tc>
        <w:tc>
          <w:tcPr>
            <w:tcW w:w="1135" w:type="dxa"/>
            <w:noWrap/>
            <w:vAlign w:val="center"/>
            <w:hideMark/>
          </w:tcPr>
          <w:p w14:paraId="5C3315EF"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r>
      <w:tr w:rsidR="008B7372" w:rsidRPr="008121E2" w14:paraId="6903FFA2"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79FD3251"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Dissolved Oxygen (mg/L)</w:t>
            </w:r>
          </w:p>
        </w:tc>
        <w:tc>
          <w:tcPr>
            <w:tcW w:w="1394" w:type="dxa"/>
            <w:noWrap/>
            <w:vAlign w:val="center"/>
            <w:hideMark/>
          </w:tcPr>
          <w:p w14:paraId="01803C06"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60.46±1.44</w:t>
            </w:r>
          </w:p>
        </w:tc>
        <w:tc>
          <w:tcPr>
            <w:tcW w:w="1394" w:type="dxa"/>
            <w:noWrap/>
            <w:vAlign w:val="center"/>
            <w:hideMark/>
          </w:tcPr>
          <w:p w14:paraId="2F8B698E"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72.21±1.29</w:t>
            </w:r>
          </w:p>
        </w:tc>
        <w:tc>
          <w:tcPr>
            <w:tcW w:w="1135" w:type="dxa"/>
            <w:noWrap/>
            <w:vAlign w:val="center"/>
            <w:hideMark/>
          </w:tcPr>
          <w:p w14:paraId="125D28F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c>
          <w:tcPr>
            <w:tcW w:w="1394" w:type="dxa"/>
            <w:noWrap/>
            <w:vAlign w:val="center"/>
            <w:hideMark/>
          </w:tcPr>
          <w:p w14:paraId="1AF9F399"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58.98±1.04</w:t>
            </w:r>
          </w:p>
        </w:tc>
        <w:tc>
          <w:tcPr>
            <w:tcW w:w="1394" w:type="dxa"/>
            <w:noWrap/>
            <w:vAlign w:val="center"/>
            <w:hideMark/>
          </w:tcPr>
          <w:p w14:paraId="0202FE94"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69.32±1.10</w:t>
            </w:r>
          </w:p>
        </w:tc>
        <w:tc>
          <w:tcPr>
            <w:tcW w:w="1366" w:type="dxa"/>
            <w:noWrap/>
            <w:vAlign w:val="center"/>
            <w:hideMark/>
          </w:tcPr>
          <w:p w14:paraId="47ED2242"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c>
          <w:tcPr>
            <w:tcW w:w="1394" w:type="dxa"/>
            <w:noWrap/>
            <w:vAlign w:val="center"/>
            <w:hideMark/>
          </w:tcPr>
          <w:p w14:paraId="6F481FC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57.98±0.67</w:t>
            </w:r>
          </w:p>
        </w:tc>
        <w:tc>
          <w:tcPr>
            <w:tcW w:w="1394" w:type="dxa"/>
            <w:noWrap/>
            <w:vAlign w:val="center"/>
            <w:hideMark/>
          </w:tcPr>
          <w:p w14:paraId="3CF8B7CA"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70.47±0.86</w:t>
            </w:r>
          </w:p>
        </w:tc>
        <w:tc>
          <w:tcPr>
            <w:tcW w:w="1135" w:type="dxa"/>
            <w:noWrap/>
            <w:vAlign w:val="center"/>
            <w:hideMark/>
          </w:tcPr>
          <w:p w14:paraId="2CAFA2C4"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r>
      <w:tr w:rsidR="008B7372" w:rsidRPr="008121E2" w14:paraId="64C6AFC4"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5972E029"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Transparency (m)</w:t>
            </w:r>
          </w:p>
        </w:tc>
        <w:tc>
          <w:tcPr>
            <w:tcW w:w="1394" w:type="dxa"/>
            <w:noWrap/>
            <w:vAlign w:val="center"/>
            <w:hideMark/>
          </w:tcPr>
          <w:p w14:paraId="270E7DD5"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1.44±0.02</w:t>
            </w:r>
          </w:p>
        </w:tc>
        <w:tc>
          <w:tcPr>
            <w:tcW w:w="1394" w:type="dxa"/>
            <w:noWrap/>
            <w:vAlign w:val="center"/>
            <w:hideMark/>
          </w:tcPr>
          <w:p w14:paraId="71FE0E4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1.38±0.04</w:t>
            </w:r>
          </w:p>
        </w:tc>
        <w:tc>
          <w:tcPr>
            <w:tcW w:w="1135" w:type="dxa"/>
            <w:noWrap/>
            <w:vAlign w:val="center"/>
            <w:hideMark/>
          </w:tcPr>
          <w:p w14:paraId="3A77631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0.164</w:t>
            </w:r>
          </w:p>
        </w:tc>
        <w:tc>
          <w:tcPr>
            <w:tcW w:w="1394" w:type="dxa"/>
            <w:noWrap/>
            <w:vAlign w:val="center"/>
            <w:hideMark/>
          </w:tcPr>
          <w:p w14:paraId="1121F96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1.32±0.03</w:t>
            </w:r>
          </w:p>
        </w:tc>
        <w:tc>
          <w:tcPr>
            <w:tcW w:w="1394" w:type="dxa"/>
            <w:noWrap/>
            <w:vAlign w:val="center"/>
            <w:hideMark/>
          </w:tcPr>
          <w:p w14:paraId="5F6A6C50"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1.30±0.03</w:t>
            </w:r>
          </w:p>
        </w:tc>
        <w:tc>
          <w:tcPr>
            <w:tcW w:w="1366" w:type="dxa"/>
            <w:noWrap/>
            <w:vAlign w:val="center"/>
            <w:hideMark/>
          </w:tcPr>
          <w:p w14:paraId="10CA2F3A"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0.7</w:t>
            </w:r>
          </w:p>
        </w:tc>
        <w:tc>
          <w:tcPr>
            <w:tcW w:w="1394" w:type="dxa"/>
            <w:noWrap/>
            <w:vAlign w:val="center"/>
            <w:hideMark/>
          </w:tcPr>
          <w:p w14:paraId="378288B5"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1.43±0.02</w:t>
            </w:r>
          </w:p>
        </w:tc>
        <w:tc>
          <w:tcPr>
            <w:tcW w:w="1394" w:type="dxa"/>
            <w:noWrap/>
            <w:vAlign w:val="center"/>
            <w:hideMark/>
          </w:tcPr>
          <w:p w14:paraId="25C349EB"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1.34±0.02</w:t>
            </w:r>
          </w:p>
        </w:tc>
        <w:tc>
          <w:tcPr>
            <w:tcW w:w="1135" w:type="dxa"/>
            <w:noWrap/>
            <w:vAlign w:val="center"/>
            <w:hideMark/>
          </w:tcPr>
          <w:p w14:paraId="4FF77EC2"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0.010</w:t>
            </w:r>
          </w:p>
        </w:tc>
      </w:tr>
      <w:tr w:rsidR="008B7372" w:rsidRPr="008121E2" w14:paraId="474EF6BA" w14:textId="77777777" w:rsidTr="008B7372">
        <w:trPr>
          <w:trHeight w:val="326"/>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3551E37F"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Electrical Conductivity (ds/m)</w:t>
            </w:r>
          </w:p>
        </w:tc>
        <w:tc>
          <w:tcPr>
            <w:tcW w:w="1394" w:type="dxa"/>
            <w:noWrap/>
            <w:vAlign w:val="center"/>
            <w:hideMark/>
          </w:tcPr>
          <w:p w14:paraId="21914B31"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0.32±0.01</w:t>
            </w:r>
          </w:p>
        </w:tc>
        <w:tc>
          <w:tcPr>
            <w:tcW w:w="1394" w:type="dxa"/>
            <w:noWrap/>
            <w:vAlign w:val="center"/>
            <w:hideMark/>
          </w:tcPr>
          <w:p w14:paraId="5DFE5849"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0.38±0.01</w:t>
            </w:r>
          </w:p>
        </w:tc>
        <w:tc>
          <w:tcPr>
            <w:tcW w:w="1135" w:type="dxa"/>
            <w:noWrap/>
            <w:vAlign w:val="center"/>
            <w:hideMark/>
          </w:tcPr>
          <w:p w14:paraId="018DDF49"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0.005</w:t>
            </w:r>
          </w:p>
        </w:tc>
        <w:tc>
          <w:tcPr>
            <w:tcW w:w="1394" w:type="dxa"/>
            <w:noWrap/>
            <w:vAlign w:val="center"/>
            <w:hideMark/>
          </w:tcPr>
          <w:p w14:paraId="3ABBA32D"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0.30±0.01</w:t>
            </w:r>
          </w:p>
        </w:tc>
        <w:tc>
          <w:tcPr>
            <w:tcW w:w="1394" w:type="dxa"/>
            <w:noWrap/>
            <w:vAlign w:val="center"/>
            <w:hideMark/>
          </w:tcPr>
          <w:p w14:paraId="4B6FBCE8"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0.37±0.01</w:t>
            </w:r>
          </w:p>
        </w:tc>
        <w:tc>
          <w:tcPr>
            <w:tcW w:w="1366" w:type="dxa"/>
            <w:noWrap/>
            <w:vAlign w:val="center"/>
            <w:hideMark/>
          </w:tcPr>
          <w:p w14:paraId="18AEE122"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c>
          <w:tcPr>
            <w:tcW w:w="1394" w:type="dxa"/>
            <w:noWrap/>
            <w:vAlign w:val="center"/>
            <w:hideMark/>
          </w:tcPr>
          <w:p w14:paraId="07FF8875"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0.30±0.01</w:t>
            </w:r>
          </w:p>
        </w:tc>
        <w:tc>
          <w:tcPr>
            <w:tcW w:w="1394" w:type="dxa"/>
            <w:noWrap/>
            <w:vAlign w:val="center"/>
            <w:hideMark/>
          </w:tcPr>
          <w:p w14:paraId="71229F55"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0.37±0.01</w:t>
            </w:r>
          </w:p>
        </w:tc>
        <w:tc>
          <w:tcPr>
            <w:tcW w:w="1135" w:type="dxa"/>
            <w:noWrap/>
            <w:vAlign w:val="center"/>
            <w:hideMark/>
          </w:tcPr>
          <w:p w14:paraId="58476DDF"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r>
      <w:tr w:rsidR="008B7372" w:rsidRPr="008121E2" w14:paraId="476CA6EF"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3B5C1AEE"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Nitrate (mg/L)</w:t>
            </w:r>
          </w:p>
        </w:tc>
        <w:tc>
          <w:tcPr>
            <w:tcW w:w="1394" w:type="dxa"/>
            <w:noWrap/>
            <w:vAlign w:val="center"/>
            <w:hideMark/>
          </w:tcPr>
          <w:p w14:paraId="578202BD"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0.04±0.00</w:t>
            </w:r>
          </w:p>
        </w:tc>
        <w:tc>
          <w:tcPr>
            <w:tcW w:w="1394" w:type="dxa"/>
            <w:noWrap/>
            <w:vAlign w:val="center"/>
            <w:hideMark/>
          </w:tcPr>
          <w:p w14:paraId="31AFE42D"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0.10±0.03</w:t>
            </w:r>
          </w:p>
        </w:tc>
        <w:tc>
          <w:tcPr>
            <w:tcW w:w="1135" w:type="dxa"/>
            <w:noWrap/>
            <w:vAlign w:val="center"/>
            <w:hideMark/>
          </w:tcPr>
          <w:p w14:paraId="43D1722E"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0.107</w:t>
            </w:r>
          </w:p>
        </w:tc>
        <w:tc>
          <w:tcPr>
            <w:tcW w:w="1394" w:type="dxa"/>
            <w:noWrap/>
            <w:vAlign w:val="center"/>
            <w:hideMark/>
          </w:tcPr>
          <w:p w14:paraId="551634C3"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0.04±0.00</w:t>
            </w:r>
          </w:p>
        </w:tc>
        <w:tc>
          <w:tcPr>
            <w:tcW w:w="1394" w:type="dxa"/>
            <w:noWrap/>
            <w:vAlign w:val="center"/>
            <w:hideMark/>
          </w:tcPr>
          <w:p w14:paraId="4FF305D0"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0.10±0.03</w:t>
            </w:r>
          </w:p>
        </w:tc>
        <w:tc>
          <w:tcPr>
            <w:tcW w:w="1366" w:type="dxa"/>
            <w:noWrap/>
            <w:vAlign w:val="center"/>
            <w:hideMark/>
          </w:tcPr>
          <w:p w14:paraId="3932E8C2"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0.061</w:t>
            </w:r>
          </w:p>
        </w:tc>
        <w:tc>
          <w:tcPr>
            <w:tcW w:w="1394" w:type="dxa"/>
            <w:noWrap/>
            <w:vAlign w:val="center"/>
            <w:hideMark/>
          </w:tcPr>
          <w:p w14:paraId="71183F67"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0.04±0.00</w:t>
            </w:r>
          </w:p>
        </w:tc>
        <w:tc>
          <w:tcPr>
            <w:tcW w:w="1394" w:type="dxa"/>
            <w:noWrap/>
            <w:vAlign w:val="center"/>
            <w:hideMark/>
          </w:tcPr>
          <w:p w14:paraId="4A4545F5"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0.10±0.03</w:t>
            </w:r>
          </w:p>
        </w:tc>
        <w:tc>
          <w:tcPr>
            <w:tcW w:w="1135" w:type="dxa"/>
            <w:noWrap/>
            <w:vAlign w:val="center"/>
            <w:hideMark/>
          </w:tcPr>
          <w:p w14:paraId="5E99A570"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0.047</w:t>
            </w:r>
          </w:p>
        </w:tc>
      </w:tr>
      <w:tr w:rsidR="008B7372" w:rsidRPr="008121E2" w14:paraId="69EEC008"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2E4CF239"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Phosphate</w:t>
            </w:r>
          </w:p>
        </w:tc>
        <w:tc>
          <w:tcPr>
            <w:tcW w:w="1394" w:type="dxa"/>
            <w:noWrap/>
            <w:vAlign w:val="center"/>
            <w:hideMark/>
          </w:tcPr>
          <w:p w14:paraId="58F52E8D"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0.33±0.02</w:t>
            </w:r>
          </w:p>
        </w:tc>
        <w:tc>
          <w:tcPr>
            <w:tcW w:w="1394" w:type="dxa"/>
            <w:noWrap/>
            <w:vAlign w:val="center"/>
            <w:hideMark/>
          </w:tcPr>
          <w:p w14:paraId="5107B9C1"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0.38±0.01</w:t>
            </w:r>
          </w:p>
        </w:tc>
        <w:tc>
          <w:tcPr>
            <w:tcW w:w="1135" w:type="dxa"/>
            <w:noWrap/>
            <w:vAlign w:val="center"/>
            <w:hideMark/>
          </w:tcPr>
          <w:p w14:paraId="306DF57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0.013</w:t>
            </w:r>
          </w:p>
        </w:tc>
        <w:tc>
          <w:tcPr>
            <w:tcW w:w="1394" w:type="dxa"/>
            <w:noWrap/>
            <w:vAlign w:val="center"/>
            <w:hideMark/>
          </w:tcPr>
          <w:p w14:paraId="056F5DC2"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0.29±0.02</w:t>
            </w:r>
          </w:p>
        </w:tc>
        <w:tc>
          <w:tcPr>
            <w:tcW w:w="1394" w:type="dxa"/>
            <w:noWrap/>
            <w:vAlign w:val="center"/>
            <w:hideMark/>
          </w:tcPr>
          <w:p w14:paraId="1C6C8870"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0.36±0.01</w:t>
            </w:r>
          </w:p>
        </w:tc>
        <w:tc>
          <w:tcPr>
            <w:tcW w:w="1366" w:type="dxa"/>
            <w:noWrap/>
            <w:vAlign w:val="center"/>
            <w:hideMark/>
          </w:tcPr>
          <w:p w14:paraId="0ABAE391"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0.001</w:t>
            </w:r>
          </w:p>
        </w:tc>
        <w:tc>
          <w:tcPr>
            <w:tcW w:w="1394" w:type="dxa"/>
            <w:noWrap/>
            <w:vAlign w:val="center"/>
            <w:hideMark/>
          </w:tcPr>
          <w:p w14:paraId="3EB8F1F7"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0.32±0.01</w:t>
            </w:r>
          </w:p>
        </w:tc>
        <w:tc>
          <w:tcPr>
            <w:tcW w:w="1394" w:type="dxa"/>
            <w:noWrap/>
            <w:vAlign w:val="center"/>
            <w:hideMark/>
          </w:tcPr>
          <w:p w14:paraId="582764B9"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0.36±0.01</w:t>
            </w:r>
          </w:p>
        </w:tc>
        <w:tc>
          <w:tcPr>
            <w:tcW w:w="1135" w:type="dxa"/>
            <w:noWrap/>
            <w:vAlign w:val="center"/>
            <w:hideMark/>
          </w:tcPr>
          <w:p w14:paraId="7A4FFEC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0.013</w:t>
            </w:r>
          </w:p>
        </w:tc>
      </w:tr>
      <w:tr w:rsidR="008B7372" w:rsidRPr="008121E2" w14:paraId="01F35500"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0749F0B7"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Chloride (mg/L)</w:t>
            </w:r>
          </w:p>
        </w:tc>
        <w:tc>
          <w:tcPr>
            <w:tcW w:w="1394" w:type="dxa"/>
            <w:noWrap/>
            <w:vAlign w:val="center"/>
            <w:hideMark/>
          </w:tcPr>
          <w:p w14:paraId="3AA44EF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37.64±1.80</w:t>
            </w:r>
          </w:p>
        </w:tc>
        <w:tc>
          <w:tcPr>
            <w:tcW w:w="1394" w:type="dxa"/>
            <w:noWrap/>
            <w:vAlign w:val="center"/>
            <w:hideMark/>
          </w:tcPr>
          <w:p w14:paraId="4C76DD5B"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40.59±1.20</w:t>
            </w:r>
          </w:p>
        </w:tc>
        <w:tc>
          <w:tcPr>
            <w:tcW w:w="1135" w:type="dxa"/>
            <w:noWrap/>
            <w:vAlign w:val="center"/>
            <w:hideMark/>
          </w:tcPr>
          <w:p w14:paraId="0716D4AA"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0.182</w:t>
            </w:r>
          </w:p>
        </w:tc>
        <w:tc>
          <w:tcPr>
            <w:tcW w:w="1394" w:type="dxa"/>
            <w:noWrap/>
            <w:vAlign w:val="center"/>
            <w:hideMark/>
          </w:tcPr>
          <w:p w14:paraId="11E920C1"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38.49±0.94</w:t>
            </w:r>
          </w:p>
        </w:tc>
        <w:tc>
          <w:tcPr>
            <w:tcW w:w="1394" w:type="dxa"/>
            <w:noWrap/>
            <w:vAlign w:val="center"/>
            <w:hideMark/>
          </w:tcPr>
          <w:p w14:paraId="379A38E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43.09±0.86</w:t>
            </w:r>
          </w:p>
        </w:tc>
        <w:tc>
          <w:tcPr>
            <w:tcW w:w="1366" w:type="dxa"/>
            <w:noWrap/>
            <w:vAlign w:val="center"/>
            <w:hideMark/>
          </w:tcPr>
          <w:p w14:paraId="3286810A"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0.001</w:t>
            </w:r>
          </w:p>
        </w:tc>
        <w:tc>
          <w:tcPr>
            <w:tcW w:w="1394" w:type="dxa"/>
            <w:noWrap/>
            <w:vAlign w:val="center"/>
            <w:hideMark/>
          </w:tcPr>
          <w:p w14:paraId="6D112529"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36.80±1.59</w:t>
            </w:r>
          </w:p>
        </w:tc>
        <w:tc>
          <w:tcPr>
            <w:tcW w:w="1394" w:type="dxa"/>
            <w:noWrap/>
            <w:vAlign w:val="center"/>
            <w:hideMark/>
          </w:tcPr>
          <w:p w14:paraId="45CB8F81"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44.81±0.82</w:t>
            </w:r>
          </w:p>
        </w:tc>
        <w:tc>
          <w:tcPr>
            <w:tcW w:w="1135" w:type="dxa"/>
            <w:noWrap/>
            <w:vAlign w:val="center"/>
            <w:hideMark/>
          </w:tcPr>
          <w:p w14:paraId="2D4D1A36"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r>
    </w:tbl>
    <w:p w14:paraId="6F108A22" w14:textId="77777777" w:rsidR="008B7372" w:rsidRDefault="008B7372" w:rsidP="008B7372">
      <w:pPr>
        <w:rPr>
          <w:noProof/>
          <w:lang w:eastAsia="en-GB"/>
        </w:rPr>
        <w:sectPr w:rsidR="008B7372" w:rsidSect="008B7372">
          <w:pgSz w:w="16838" w:h="11906" w:orient="landscape"/>
          <w:pgMar w:top="1440" w:right="1440" w:bottom="1440" w:left="1440" w:header="720" w:footer="720" w:gutter="0"/>
          <w:cols w:space="720"/>
          <w:docGrid w:linePitch="360"/>
        </w:sectPr>
      </w:pPr>
    </w:p>
    <w:p w14:paraId="68902FD7" w14:textId="77777777" w:rsidR="008B7372" w:rsidRDefault="008B7372" w:rsidP="008B7372">
      <w:pPr>
        <w:spacing w:after="0"/>
        <w:rPr>
          <w:noProof/>
          <w:lang w:eastAsia="en-GB"/>
        </w:rPr>
      </w:pPr>
      <w:r>
        <w:rPr>
          <w:noProof/>
          <w:lang w:val="en-US"/>
        </w:rPr>
        <w:lastRenderedPageBreak/>
        <w:drawing>
          <wp:inline distT="0" distB="0" distL="0" distR="0" wp14:anchorId="0C54008F" wp14:editId="0DA62806">
            <wp:extent cx="4467225" cy="3790950"/>
            <wp:effectExtent l="0" t="0" r="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8834D3" w14:textId="794FD286" w:rsidR="008B7372" w:rsidRDefault="008B7372" w:rsidP="008B7372">
      <w:pPr>
        <w:pStyle w:val="NormalWeb"/>
        <w:spacing w:before="0" w:beforeAutospacing="0" w:after="0" w:afterAutospacing="0"/>
        <w:jc w:val="both"/>
      </w:pPr>
      <w:r>
        <w:rPr>
          <w:b/>
        </w:rPr>
        <w:t xml:space="preserve">Figure </w:t>
      </w:r>
      <w:r w:rsidR="0095628F">
        <w:rPr>
          <w:b/>
        </w:rPr>
        <w:t>3</w:t>
      </w:r>
      <w:r>
        <w:rPr>
          <w:b/>
        </w:rPr>
        <w:t xml:space="preserve">: </w:t>
      </w:r>
      <w:r>
        <w:rPr>
          <w:rStyle w:val="Strong"/>
        </w:rPr>
        <w:t xml:space="preserve">Monthly Variations in Temperature of </w:t>
      </w:r>
      <w:proofErr w:type="spellStart"/>
      <w:r>
        <w:rPr>
          <w:rStyle w:val="Strong"/>
        </w:rPr>
        <w:t>Owala</w:t>
      </w:r>
      <w:proofErr w:type="spellEnd"/>
      <w:r>
        <w:rPr>
          <w:rStyle w:val="Strong"/>
        </w:rPr>
        <w:t xml:space="preserve"> Dam across Three Consecutive Years (2021–2024)</w:t>
      </w:r>
    </w:p>
    <w:p w14:paraId="4A5F8E2B" w14:textId="77777777" w:rsidR="008B7372" w:rsidRDefault="008B7372" w:rsidP="008B7372"/>
    <w:p w14:paraId="4EDDE9DA" w14:textId="77777777" w:rsidR="008B7372" w:rsidRDefault="008B7372" w:rsidP="008B7372">
      <w:r>
        <w:rPr>
          <w:noProof/>
          <w:lang w:val="en-US"/>
        </w:rPr>
        <w:drawing>
          <wp:inline distT="0" distB="0" distL="0" distR="0" wp14:anchorId="3A5A18E4" wp14:editId="2D79AAD6">
            <wp:extent cx="4467225" cy="3219450"/>
            <wp:effectExtent l="0" t="0" r="0" b="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612F0E" w14:textId="25BE4553" w:rsidR="008B7372" w:rsidRDefault="008B7372" w:rsidP="008B7372">
      <w:pPr>
        <w:pStyle w:val="NormalWeb"/>
        <w:spacing w:before="0" w:beforeAutospacing="0" w:after="0" w:afterAutospacing="0"/>
        <w:jc w:val="both"/>
      </w:pPr>
      <w:r>
        <w:rPr>
          <w:b/>
        </w:rPr>
        <w:t xml:space="preserve">Figure </w:t>
      </w:r>
      <w:r w:rsidR="0095628F">
        <w:rPr>
          <w:b/>
        </w:rPr>
        <w:t>4</w:t>
      </w:r>
      <w:r>
        <w:rPr>
          <w:b/>
        </w:rPr>
        <w:t xml:space="preserve">: </w:t>
      </w:r>
      <w:r>
        <w:rPr>
          <w:rStyle w:val="Strong"/>
        </w:rPr>
        <w:t xml:space="preserve">Monthly Variations in pH Values of </w:t>
      </w:r>
      <w:proofErr w:type="spellStart"/>
      <w:r>
        <w:rPr>
          <w:rStyle w:val="Strong"/>
        </w:rPr>
        <w:t>Owala</w:t>
      </w:r>
      <w:proofErr w:type="spellEnd"/>
      <w:r>
        <w:rPr>
          <w:rStyle w:val="Strong"/>
        </w:rPr>
        <w:t xml:space="preserve"> Dam across Three Consecutive Years (2021–2024)</w:t>
      </w:r>
    </w:p>
    <w:p w14:paraId="55570447" w14:textId="77777777" w:rsidR="008B7372" w:rsidRDefault="008B7372" w:rsidP="008B7372"/>
    <w:p w14:paraId="064BE99E" w14:textId="77777777" w:rsidR="008B7372" w:rsidRDefault="008B7372" w:rsidP="008B7372"/>
    <w:p w14:paraId="294E135D" w14:textId="77777777" w:rsidR="008B7372" w:rsidRDefault="008B7372" w:rsidP="008B7372">
      <w:pPr>
        <w:spacing w:after="0" w:line="240" w:lineRule="auto"/>
      </w:pPr>
      <w:r>
        <w:rPr>
          <w:noProof/>
          <w:lang w:val="en-US"/>
        </w:rPr>
        <w:lastRenderedPageBreak/>
        <w:drawing>
          <wp:inline distT="0" distB="0" distL="0" distR="0" wp14:anchorId="2F9B9C93" wp14:editId="7FD27C27">
            <wp:extent cx="4676775" cy="3286125"/>
            <wp:effectExtent l="0" t="0" r="0" b="0"/>
            <wp:docPr id="1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499CC5" w14:textId="4A17B93F" w:rsidR="008B7372" w:rsidRDefault="008B7372" w:rsidP="008B7372">
      <w:pPr>
        <w:pStyle w:val="NormalWeb"/>
        <w:spacing w:before="0" w:beforeAutospacing="0" w:after="0" w:afterAutospacing="0"/>
        <w:jc w:val="both"/>
      </w:pPr>
      <w:r>
        <w:rPr>
          <w:b/>
        </w:rPr>
        <w:t xml:space="preserve">Figure </w:t>
      </w:r>
      <w:r w:rsidR="0095628F">
        <w:rPr>
          <w:b/>
        </w:rPr>
        <w:t>5</w:t>
      </w:r>
      <w:r>
        <w:rPr>
          <w:b/>
        </w:rPr>
        <w:t xml:space="preserve">: </w:t>
      </w:r>
      <w:r>
        <w:rPr>
          <w:rStyle w:val="Strong"/>
        </w:rPr>
        <w:t xml:space="preserve">Monthly Variations in Total Dissolved Solids of </w:t>
      </w:r>
      <w:proofErr w:type="spellStart"/>
      <w:r>
        <w:rPr>
          <w:rStyle w:val="Strong"/>
        </w:rPr>
        <w:t>Owala</w:t>
      </w:r>
      <w:proofErr w:type="spellEnd"/>
      <w:r>
        <w:rPr>
          <w:rStyle w:val="Strong"/>
        </w:rPr>
        <w:t xml:space="preserve"> Dam across Three Consecutive Years (2021–2024)</w:t>
      </w:r>
    </w:p>
    <w:p w14:paraId="2A0FFE12" w14:textId="77777777" w:rsidR="008B7372" w:rsidRDefault="008B7372" w:rsidP="008B7372"/>
    <w:p w14:paraId="4292BD79" w14:textId="77777777" w:rsidR="008B7372" w:rsidRDefault="008B7372" w:rsidP="008B7372">
      <w:pPr>
        <w:spacing w:line="240" w:lineRule="auto"/>
      </w:pPr>
      <w:r>
        <w:rPr>
          <w:noProof/>
          <w:lang w:val="en-US"/>
        </w:rPr>
        <w:drawing>
          <wp:inline distT="0" distB="0" distL="0" distR="0" wp14:anchorId="48F1F2AE" wp14:editId="04F7E9A3">
            <wp:extent cx="4381500" cy="3581400"/>
            <wp:effectExtent l="0" t="0" r="0" b="0"/>
            <wp:docPr id="1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7BA8FF" w14:textId="7AB49A3F" w:rsidR="008B7372" w:rsidRDefault="008B7372" w:rsidP="008B7372">
      <w:pPr>
        <w:pStyle w:val="NormalWeb"/>
        <w:spacing w:before="0" w:beforeAutospacing="0" w:after="0" w:afterAutospacing="0"/>
        <w:jc w:val="both"/>
      </w:pPr>
      <w:r>
        <w:rPr>
          <w:b/>
        </w:rPr>
        <w:t xml:space="preserve">Figure </w:t>
      </w:r>
      <w:r w:rsidR="0095628F">
        <w:rPr>
          <w:b/>
        </w:rPr>
        <w:t>6</w:t>
      </w:r>
      <w:r>
        <w:rPr>
          <w:b/>
        </w:rPr>
        <w:t xml:space="preserve">: </w:t>
      </w:r>
      <w:r>
        <w:rPr>
          <w:rStyle w:val="Strong"/>
        </w:rPr>
        <w:t xml:space="preserve">Monthly Variations in Biological Oxygen Demand Levels of </w:t>
      </w:r>
      <w:proofErr w:type="spellStart"/>
      <w:r>
        <w:rPr>
          <w:rStyle w:val="Strong"/>
        </w:rPr>
        <w:t>Owala</w:t>
      </w:r>
      <w:proofErr w:type="spellEnd"/>
      <w:r>
        <w:rPr>
          <w:rStyle w:val="Strong"/>
        </w:rPr>
        <w:t xml:space="preserve"> Dam across Three Consecutive Years (2021–2024)</w:t>
      </w:r>
    </w:p>
    <w:p w14:paraId="2D0EF08A" w14:textId="77777777" w:rsidR="008B7372" w:rsidRDefault="008B7372" w:rsidP="008B7372"/>
    <w:p w14:paraId="312EB6ED" w14:textId="77777777" w:rsidR="008B7372" w:rsidRDefault="008B7372" w:rsidP="008B7372"/>
    <w:p w14:paraId="682C5EF0" w14:textId="77777777" w:rsidR="008B7372" w:rsidRDefault="008B7372" w:rsidP="008B7372">
      <w:pPr>
        <w:rPr>
          <w:noProof/>
          <w:lang w:eastAsia="en-GB"/>
        </w:rPr>
      </w:pPr>
    </w:p>
    <w:p w14:paraId="094309EA" w14:textId="77777777" w:rsidR="008B7372" w:rsidRDefault="008B7372" w:rsidP="008B7372">
      <w:pPr>
        <w:spacing w:after="0" w:line="240" w:lineRule="auto"/>
      </w:pPr>
      <w:r>
        <w:rPr>
          <w:noProof/>
          <w:lang w:val="en-US"/>
        </w:rPr>
        <w:lastRenderedPageBreak/>
        <w:drawing>
          <wp:inline distT="0" distB="0" distL="0" distR="0" wp14:anchorId="35CABF53" wp14:editId="3E1A93F7">
            <wp:extent cx="4200525" cy="2752725"/>
            <wp:effectExtent l="0" t="0" r="0" b="0"/>
            <wp:docPr id="1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BDFF89F" w14:textId="57040323" w:rsidR="008B7372" w:rsidRDefault="008B7372" w:rsidP="008B7372">
      <w:pPr>
        <w:pStyle w:val="NormalWeb"/>
        <w:spacing w:before="0" w:beforeAutospacing="0" w:after="0" w:afterAutospacing="0"/>
        <w:jc w:val="both"/>
      </w:pPr>
      <w:r>
        <w:rPr>
          <w:b/>
        </w:rPr>
        <w:t xml:space="preserve">Figure </w:t>
      </w:r>
      <w:r w:rsidR="0095628F">
        <w:rPr>
          <w:b/>
        </w:rPr>
        <w:t>7</w:t>
      </w:r>
      <w:r>
        <w:rPr>
          <w:b/>
        </w:rPr>
        <w:t xml:space="preserve">: </w:t>
      </w:r>
      <w:r>
        <w:rPr>
          <w:rStyle w:val="Strong"/>
        </w:rPr>
        <w:t xml:space="preserve">Monthly Variations in Dissolved Oxygen Levels of </w:t>
      </w:r>
      <w:proofErr w:type="spellStart"/>
      <w:r>
        <w:rPr>
          <w:rStyle w:val="Strong"/>
        </w:rPr>
        <w:t>Owala</w:t>
      </w:r>
      <w:proofErr w:type="spellEnd"/>
      <w:r>
        <w:rPr>
          <w:rStyle w:val="Strong"/>
        </w:rPr>
        <w:t xml:space="preserve"> Dam across Three Consecutive Years (2021–2024)</w:t>
      </w:r>
    </w:p>
    <w:p w14:paraId="0A51E8D2" w14:textId="77777777" w:rsidR="008B7372" w:rsidRDefault="008B7372" w:rsidP="008B7372">
      <w:pPr>
        <w:spacing w:after="0"/>
      </w:pPr>
    </w:p>
    <w:p w14:paraId="035D79EA" w14:textId="77777777" w:rsidR="008B7372" w:rsidRDefault="008B7372" w:rsidP="008B7372"/>
    <w:p w14:paraId="341AAD45" w14:textId="77777777" w:rsidR="008B7372" w:rsidRDefault="008B7372" w:rsidP="008B7372"/>
    <w:p w14:paraId="7E7610CC" w14:textId="77777777" w:rsidR="008B7372" w:rsidRDefault="008B7372" w:rsidP="008B7372">
      <w:r>
        <w:rPr>
          <w:noProof/>
          <w:lang w:val="en-US"/>
        </w:rPr>
        <w:drawing>
          <wp:inline distT="0" distB="0" distL="0" distR="0" wp14:anchorId="1CAB4925" wp14:editId="7221BED2">
            <wp:extent cx="4876800" cy="3457575"/>
            <wp:effectExtent l="0" t="0" r="0" b="0"/>
            <wp:docPr id="1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6F4F0F" w14:textId="77777777" w:rsidR="008B7372" w:rsidRDefault="008B7372" w:rsidP="008B7372"/>
    <w:p w14:paraId="5338AA1F" w14:textId="28C7080C" w:rsidR="008B7372" w:rsidRDefault="008B7372" w:rsidP="008B7372">
      <w:pPr>
        <w:pStyle w:val="NormalWeb"/>
        <w:spacing w:before="0" w:beforeAutospacing="0" w:after="0" w:afterAutospacing="0"/>
        <w:jc w:val="both"/>
      </w:pPr>
      <w:r>
        <w:rPr>
          <w:b/>
        </w:rPr>
        <w:t xml:space="preserve">Figure </w:t>
      </w:r>
      <w:r w:rsidR="0095628F">
        <w:rPr>
          <w:b/>
        </w:rPr>
        <w:t>8</w:t>
      </w:r>
      <w:r>
        <w:rPr>
          <w:b/>
        </w:rPr>
        <w:t xml:space="preserve">: </w:t>
      </w:r>
      <w:r>
        <w:rPr>
          <w:rStyle w:val="Strong"/>
        </w:rPr>
        <w:t xml:space="preserve">Monthly Variations in Transparency Values of </w:t>
      </w:r>
      <w:proofErr w:type="spellStart"/>
      <w:r>
        <w:rPr>
          <w:rStyle w:val="Strong"/>
        </w:rPr>
        <w:t>Owala</w:t>
      </w:r>
      <w:proofErr w:type="spellEnd"/>
      <w:r>
        <w:rPr>
          <w:rStyle w:val="Strong"/>
        </w:rPr>
        <w:t xml:space="preserve"> Dam across Three Consecutive Years (2021–2024)</w:t>
      </w:r>
    </w:p>
    <w:p w14:paraId="3FE33F87" w14:textId="77777777" w:rsidR="008B7372" w:rsidRDefault="008B7372" w:rsidP="008B7372"/>
    <w:p w14:paraId="0C08F6D6" w14:textId="77777777" w:rsidR="008B7372" w:rsidRDefault="008B7372" w:rsidP="008B7372"/>
    <w:p w14:paraId="4EF22C95" w14:textId="77777777" w:rsidR="008B7372" w:rsidRDefault="008B7372" w:rsidP="008B7372"/>
    <w:p w14:paraId="3BA53CDA" w14:textId="77777777" w:rsidR="008B7372" w:rsidRDefault="008B7372" w:rsidP="008B7372">
      <w:pPr>
        <w:spacing w:after="0" w:line="240" w:lineRule="auto"/>
      </w:pPr>
      <w:r>
        <w:rPr>
          <w:noProof/>
          <w:lang w:val="en-US"/>
        </w:rPr>
        <w:lastRenderedPageBreak/>
        <w:drawing>
          <wp:inline distT="0" distB="0" distL="0" distR="0" wp14:anchorId="13A268D7" wp14:editId="589CBEF8">
            <wp:extent cx="4381500" cy="3600450"/>
            <wp:effectExtent l="0" t="0" r="0" b="0"/>
            <wp:docPr id="1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D1C402D" w14:textId="08B3D227" w:rsidR="008B7372" w:rsidRDefault="008B7372" w:rsidP="008B7372">
      <w:pPr>
        <w:pStyle w:val="NormalWeb"/>
        <w:spacing w:before="0" w:beforeAutospacing="0" w:after="0" w:afterAutospacing="0"/>
        <w:jc w:val="both"/>
      </w:pPr>
      <w:r>
        <w:rPr>
          <w:b/>
        </w:rPr>
        <w:t xml:space="preserve">Figure </w:t>
      </w:r>
      <w:r w:rsidR="0095628F">
        <w:rPr>
          <w:b/>
        </w:rPr>
        <w:t>9</w:t>
      </w:r>
      <w:r>
        <w:rPr>
          <w:b/>
        </w:rPr>
        <w:t xml:space="preserve">: </w:t>
      </w:r>
      <w:r>
        <w:rPr>
          <w:rStyle w:val="Strong"/>
        </w:rPr>
        <w:t xml:space="preserve">Monthly Variations in Electrical Conductivity Values of </w:t>
      </w:r>
      <w:proofErr w:type="spellStart"/>
      <w:r>
        <w:rPr>
          <w:rStyle w:val="Strong"/>
        </w:rPr>
        <w:t>Owala</w:t>
      </w:r>
      <w:proofErr w:type="spellEnd"/>
      <w:r>
        <w:rPr>
          <w:rStyle w:val="Strong"/>
        </w:rPr>
        <w:t xml:space="preserve"> Dam across Three Consecutive Years (2021–2024)</w:t>
      </w:r>
    </w:p>
    <w:p w14:paraId="4FD6D50A" w14:textId="77777777" w:rsidR="008B7372" w:rsidRDefault="008B7372" w:rsidP="008B7372">
      <w:pPr>
        <w:spacing w:after="0"/>
      </w:pPr>
    </w:p>
    <w:p w14:paraId="7FB7C08A" w14:textId="77777777" w:rsidR="008B7372" w:rsidRDefault="008B7372" w:rsidP="008B7372">
      <w:pPr>
        <w:spacing w:after="0"/>
      </w:pPr>
      <w:r>
        <w:rPr>
          <w:noProof/>
          <w:lang w:val="en-US"/>
        </w:rPr>
        <w:drawing>
          <wp:inline distT="0" distB="0" distL="0" distR="0" wp14:anchorId="10571925" wp14:editId="786C6D3D">
            <wp:extent cx="5000625" cy="3562350"/>
            <wp:effectExtent l="0" t="0" r="0" b="0"/>
            <wp:docPr id="1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625B27" w14:textId="6D443882" w:rsidR="008B7372" w:rsidRDefault="008B7372" w:rsidP="008B7372">
      <w:pPr>
        <w:pStyle w:val="NormalWeb"/>
        <w:spacing w:before="0" w:beforeAutospacing="0" w:after="0" w:afterAutospacing="0" w:line="480" w:lineRule="auto"/>
        <w:jc w:val="both"/>
      </w:pPr>
      <w:r>
        <w:rPr>
          <w:b/>
        </w:rPr>
        <w:t xml:space="preserve">Figure </w:t>
      </w:r>
      <w:r w:rsidR="0095628F">
        <w:rPr>
          <w:b/>
        </w:rPr>
        <w:t>10</w:t>
      </w:r>
      <w:r>
        <w:rPr>
          <w:b/>
        </w:rPr>
        <w:t xml:space="preserve">: </w:t>
      </w:r>
      <w:r>
        <w:rPr>
          <w:rStyle w:val="Strong"/>
        </w:rPr>
        <w:t xml:space="preserve">Monthly Variations in Nitrate Levels of </w:t>
      </w:r>
      <w:proofErr w:type="spellStart"/>
      <w:r>
        <w:rPr>
          <w:rStyle w:val="Strong"/>
        </w:rPr>
        <w:t>Owala</w:t>
      </w:r>
      <w:proofErr w:type="spellEnd"/>
      <w:r>
        <w:rPr>
          <w:rStyle w:val="Strong"/>
        </w:rPr>
        <w:t xml:space="preserve"> Dam across Three Consecutive Years (2021–2024)</w:t>
      </w:r>
    </w:p>
    <w:p w14:paraId="234FCC19" w14:textId="77777777" w:rsidR="008B7372" w:rsidRDefault="008B7372" w:rsidP="008B7372">
      <w:pPr>
        <w:spacing w:after="0"/>
      </w:pPr>
    </w:p>
    <w:p w14:paraId="4755A842" w14:textId="77777777" w:rsidR="008B7372" w:rsidRDefault="008B7372" w:rsidP="008B7372">
      <w:pPr>
        <w:spacing w:after="0" w:line="240" w:lineRule="auto"/>
      </w:pPr>
      <w:r>
        <w:rPr>
          <w:noProof/>
          <w:lang w:val="en-US"/>
        </w:rPr>
        <w:lastRenderedPageBreak/>
        <w:drawing>
          <wp:inline distT="0" distB="0" distL="0" distR="0" wp14:anchorId="72A7C454" wp14:editId="2923BE6E">
            <wp:extent cx="4838700" cy="4143375"/>
            <wp:effectExtent l="0" t="0" r="0" b="0"/>
            <wp:docPr id="1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C24C943" w14:textId="2FEA6C5F" w:rsidR="008B7372" w:rsidRDefault="008B7372" w:rsidP="008B7372">
      <w:pPr>
        <w:pStyle w:val="NormalWeb"/>
        <w:spacing w:before="0" w:beforeAutospacing="0" w:after="0" w:afterAutospacing="0"/>
        <w:jc w:val="both"/>
      </w:pPr>
      <w:r>
        <w:rPr>
          <w:b/>
        </w:rPr>
        <w:t xml:space="preserve">Figure </w:t>
      </w:r>
      <w:r w:rsidR="0095628F">
        <w:rPr>
          <w:b/>
        </w:rPr>
        <w:t>11</w:t>
      </w:r>
      <w:r>
        <w:rPr>
          <w:b/>
        </w:rPr>
        <w:t xml:space="preserve">: </w:t>
      </w:r>
      <w:r>
        <w:rPr>
          <w:rStyle w:val="Strong"/>
        </w:rPr>
        <w:t xml:space="preserve">Monthly Variations in Phosphate Levels of </w:t>
      </w:r>
      <w:proofErr w:type="spellStart"/>
      <w:r>
        <w:rPr>
          <w:rStyle w:val="Strong"/>
        </w:rPr>
        <w:t>Owala</w:t>
      </w:r>
      <w:proofErr w:type="spellEnd"/>
      <w:r>
        <w:rPr>
          <w:rStyle w:val="Strong"/>
        </w:rPr>
        <w:t xml:space="preserve"> Dam across Three Consecutive Years (2021–2024)</w:t>
      </w:r>
    </w:p>
    <w:p w14:paraId="6A49EEA5" w14:textId="77777777" w:rsidR="008B7372" w:rsidRDefault="008B7372" w:rsidP="008B7372">
      <w:pPr>
        <w:tabs>
          <w:tab w:val="left" w:pos="2880"/>
        </w:tabs>
        <w:spacing w:after="0"/>
      </w:pPr>
    </w:p>
    <w:p w14:paraId="315531F1" w14:textId="77777777" w:rsidR="008B7372" w:rsidRDefault="008B7372" w:rsidP="008B7372">
      <w:pPr>
        <w:spacing w:after="0" w:line="240" w:lineRule="auto"/>
      </w:pPr>
      <w:r>
        <w:rPr>
          <w:noProof/>
          <w:lang w:val="en-US"/>
        </w:rPr>
        <w:drawing>
          <wp:inline distT="0" distB="0" distL="0" distR="0" wp14:anchorId="5B4D5BCC" wp14:editId="41C79925">
            <wp:extent cx="5257800" cy="3810000"/>
            <wp:effectExtent l="0" t="0" r="0" b="0"/>
            <wp:docPr id="2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C69CA03" w14:textId="07CEF343" w:rsidR="008B7372" w:rsidRPr="003E493F" w:rsidRDefault="008B7372" w:rsidP="008B7372">
      <w:pPr>
        <w:pStyle w:val="NormalWeb"/>
        <w:spacing w:before="0" w:beforeAutospacing="0" w:after="0" w:afterAutospacing="0"/>
        <w:jc w:val="both"/>
      </w:pPr>
      <w:r>
        <w:rPr>
          <w:b/>
        </w:rPr>
        <w:t xml:space="preserve">Figure </w:t>
      </w:r>
      <w:r w:rsidR="0095628F">
        <w:rPr>
          <w:b/>
        </w:rPr>
        <w:t>12</w:t>
      </w:r>
      <w:r>
        <w:rPr>
          <w:b/>
        </w:rPr>
        <w:t xml:space="preserve">: </w:t>
      </w:r>
      <w:r>
        <w:rPr>
          <w:rStyle w:val="Strong"/>
        </w:rPr>
        <w:t xml:space="preserve">Monthly Variations in Chloride Levels of </w:t>
      </w:r>
      <w:proofErr w:type="spellStart"/>
      <w:r>
        <w:rPr>
          <w:rStyle w:val="Strong"/>
        </w:rPr>
        <w:t>Owala</w:t>
      </w:r>
      <w:proofErr w:type="spellEnd"/>
      <w:r>
        <w:rPr>
          <w:rStyle w:val="Strong"/>
        </w:rPr>
        <w:t xml:space="preserve"> Dam across Three Consecutive Years (2021–2024)</w:t>
      </w:r>
    </w:p>
    <w:p w14:paraId="7177984C" w14:textId="77777777" w:rsidR="008B7372" w:rsidRPr="00A03415" w:rsidRDefault="008B7372" w:rsidP="008B7372">
      <w:pPr>
        <w:spacing w:after="0" w:line="240" w:lineRule="auto"/>
        <w:rPr>
          <w:b/>
        </w:rPr>
      </w:pPr>
      <w:r>
        <w:rPr>
          <w:b/>
        </w:rPr>
        <w:lastRenderedPageBreak/>
        <w:t>DISCUSSIONS</w:t>
      </w:r>
    </w:p>
    <w:p w14:paraId="141A9931" w14:textId="77777777" w:rsidR="008B7372" w:rsidRDefault="008B7372" w:rsidP="008B7372">
      <w:pPr>
        <w:spacing w:line="240" w:lineRule="auto"/>
        <w:rPr>
          <w:b/>
          <w:i/>
        </w:rPr>
      </w:pPr>
      <w:r>
        <w:rPr>
          <w:b/>
          <w:i/>
        </w:rPr>
        <w:t>Yearly Variations</w:t>
      </w:r>
    </w:p>
    <w:p w14:paraId="5B73B0C2" w14:textId="77777777" w:rsidR="008B7372" w:rsidRDefault="008B7372" w:rsidP="008B7372">
      <w:pPr>
        <w:spacing w:after="0" w:line="240" w:lineRule="auto"/>
        <w:ind w:firstLine="720"/>
        <w:jc w:val="both"/>
        <w:rPr>
          <w:rFonts w:eastAsia="Times New Roman"/>
          <w:lang w:eastAsia="en-GB"/>
        </w:rPr>
      </w:pPr>
      <w:r w:rsidRPr="00DC4C42">
        <w:rPr>
          <w:rFonts w:eastAsia="Times New Roman"/>
          <w:lang w:eastAsia="en-GB"/>
        </w:rPr>
        <w:t xml:space="preserve">The </w:t>
      </w:r>
      <w:r>
        <w:rPr>
          <w:rFonts w:eastAsia="Times New Roman"/>
          <w:lang w:eastAsia="en-GB"/>
        </w:rPr>
        <w:t xml:space="preserve">yearly </w:t>
      </w:r>
      <w:r w:rsidRPr="00DC4C42">
        <w:rPr>
          <w:rFonts w:eastAsia="Times New Roman"/>
          <w:lang w:eastAsia="en-GB"/>
        </w:rPr>
        <w:t xml:space="preserve">mean temperature's slight increase suggests seasonal or environmental variations rather than anthropogenic effects. </w:t>
      </w:r>
      <w:r>
        <w:t>The temperature</w:t>
      </w:r>
      <w:r w:rsidRPr="00DC4C42">
        <w:t xml:space="preserve"> change </w:t>
      </w:r>
      <w:r>
        <w:t xml:space="preserve">however </w:t>
      </w:r>
      <w:r w:rsidRPr="00DC4C42">
        <w:t>was not statistically significant, indicating that the temperature remains stable within the ambient range acceptable for aquatic life and human consumption.</w:t>
      </w:r>
      <w:r>
        <w:t xml:space="preserve"> </w:t>
      </w:r>
      <w:r w:rsidRPr="00DC4C42">
        <w:rPr>
          <w:rFonts w:eastAsia="Times New Roman"/>
          <w:lang w:eastAsia="en-GB"/>
        </w:rPr>
        <w:t>Comparable studies by Ayoade</w:t>
      </w:r>
      <w:r>
        <w:rPr>
          <w:rFonts w:eastAsia="Times New Roman"/>
          <w:lang w:eastAsia="en-GB"/>
        </w:rPr>
        <w:t xml:space="preserve"> </w:t>
      </w:r>
      <w:r w:rsidRPr="00DE4B91">
        <w:rPr>
          <w:rFonts w:eastAsia="Times New Roman"/>
          <w:i/>
          <w:lang w:eastAsia="en-GB"/>
        </w:rPr>
        <w:t>et al</w:t>
      </w:r>
      <w:r w:rsidRPr="00DC4C42">
        <w:rPr>
          <w:rFonts w:eastAsia="Times New Roman"/>
          <w:lang w:eastAsia="en-GB"/>
        </w:rPr>
        <w:t xml:space="preserve">. (2022) on </w:t>
      </w:r>
      <w:proofErr w:type="spellStart"/>
      <w:r w:rsidRPr="00DC4C42">
        <w:rPr>
          <w:rFonts w:eastAsia="Times New Roman"/>
          <w:lang w:eastAsia="en-GB"/>
        </w:rPr>
        <w:t>Oyan</w:t>
      </w:r>
      <w:proofErr w:type="spellEnd"/>
      <w:r w:rsidRPr="00DC4C42">
        <w:rPr>
          <w:rFonts w:eastAsia="Times New Roman"/>
          <w:lang w:eastAsia="en-GB"/>
        </w:rPr>
        <w:t xml:space="preserve"> Dam, Nigeria, reported similar non-significant temperature variations over time, affirming the stability of water temperature in tropical climates.</w:t>
      </w:r>
    </w:p>
    <w:p w14:paraId="0050F904" w14:textId="77777777" w:rsidR="008B7372" w:rsidRDefault="008B7372" w:rsidP="008B7372">
      <w:pPr>
        <w:spacing w:after="0" w:line="240" w:lineRule="auto"/>
        <w:ind w:firstLine="720"/>
        <w:jc w:val="both"/>
      </w:pPr>
      <w:r>
        <w:t>Although, t</w:t>
      </w:r>
      <w:r w:rsidRPr="00DC4C42">
        <w:t>he pH values</w:t>
      </w:r>
      <w:r>
        <w:t xml:space="preserve"> exhibited slight fluctuations </w:t>
      </w:r>
      <w:r w:rsidRPr="00DC4C42">
        <w:t xml:space="preserve">with a notable decrease </w:t>
      </w:r>
      <w:r>
        <w:t>in 2023/2024, t</w:t>
      </w:r>
      <w:r w:rsidRPr="00DC4C42">
        <w:t xml:space="preserve">his value is still within the acceptable range of 6.5-8.5 set by both NSDWQ and WHO. </w:t>
      </w:r>
      <w:r w:rsidRPr="00DC4C42">
        <w:rPr>
          <w:rFonts w:eastAsia="Times New Roman"/>
          <w:lang w:eastAsia="en-GB"/>
        </w:rPr>
        <w:t>The decrease in pH to 6.62 in 2023/2024</w:t>
      </w:r>
      <w:r>
        <w:rPr>
          <w:rFonts w:eastAsia="Times New Roman"/>
          <w:lang w:eastAsia="en-GB"/>
        </w:rPr>
        <w:t xml:space="preserve"> </w:t>
      </w:r>
      <w:r w:rsidRPr="00DC4C42">
        <w:rPr>
          <w:rFonts w:eastAsia="Times New Roman"/>
          <w:lang w:eastAsia="en-GB"/>
        </w:rPr>
        <w:t>indicates a trend toward increased acidity.</w:t>
      </w:r>
      <w:r>
        <w:rPr>
          <w:rFonts w:eastAsia="Times New Roman"/>
          <w:lang w:eastAsia="en-GB"/>
        </w:rPr>
        <w:t xml:space="preserve"> </w:t>
      </w:r>
      <w:r w:rsidRPr="00DC4C42">
        <w:rPr>
          <w:rFonts w:eastAsia="Times New Roman"/>
          <w:lang w:eastAsia="en-GB"/>
        </w:rPr>
        <w:t>Ogundele</w:t>
      </w:r>
      <w:r>
        <w:rPr>
          <w:rFonts w:eastAsia="Times New Roman"/>
          <w:lang w:eastAsia="en-GB"/>
        </w:rPr>
        <w:t xml:space="preserve"> </w:t>
      </w:r>
      <w:r w:rsidRPr="00DE4B91">
        <w:rPr>
          <w:rFonts w:eastAsia="Times New Roman"/>
          <w:i/>
          <w:lang w:eastAsia="en-GB"/>
        </w:rPr>
        <w:t>et al</w:t>
      </w:r>
      <w:r w:rsidRPr="00DC4C42">
        <w:rPr>
          <w:rFonts w:eastAsia="Times New Roman"/>
          <w:lang w:eastAsia="en-GB"/>
        </w:rPr>
        <w:t>. (2023) reported similar findings in their study of Ero Dam, where declining pH values were attributed to natural organic load increases.</w:t>
      </w:r>
      <w:r>
        <w:rPr>
          <w:rFonts w:eastAsia="Times New Roman"/>
          <w:lang w:eastAsia="en-GB"/>
        </w:rPr>
        <w:t xml:space="preserve"> </w:t>
      </w:r>
      <w:r w:rsidRPr="00DC4C42">
        <w:t>Comparatively, other studies have shown pH levels in similar water bodies fluctuating due to anthropogenic influences, often exceeding recommended limits (</w:t>
      </w:r>
      <w:proofErr w:type="spellStart"/>
      <w:r w:rsidRPr="00DC4C42">
        <w:t>Ogunfowokan</w:t>
      </w:r>
      <w:proofErr w:type="spellEnd"/>
      <w:r>
        <w:t xml:space="preserve"> </w:t>
      </w:r>
      <w:r w:rsidRPr="00DE4B91">
        <w:rPr>
          <w:i/>
        </w:rPr>
        <w:t>et al</w:t>
      </w:r>
      <w:r w:rsidRPr="00DC4C42">
        <w:t>., 2021).</w:t>
      </w:r>
    </w:p>
    <w:p w14:paraId="3D6DCF91" w14:textId="77777777" w:rsidR="008B7372" w:rsidRDefault="008B7372" w:rsidP="008B7372">
      <w:pPr>
        <w:spacing w:after="0" w:line="240" w:lineRule="auto"/>
        <w:ind w:firstLine="720"/>
        <w:jc w:val="both"/>
        <w:rPr>
          <w:rFonts w:eastAsia="Times New Roman"/>
          <w:lang w:eastAsia="en-GB"/>
        </w:rPr>
      </w:pPr>
      <w:r w:rsidRPr="00DC4C42">
        <w:rPr>
          <w:rFonts w:eastAsia="Times New Roman"/>
          <w:lang w:eastAsia="en-GB"/>
        </w:rPr>
        <w:t xml:space="preserve">The consistent </w:t>
      </w:r>
      <w:r w:rsidRPr="00DC4C42">
        <w:t>total dissolved solids (TDS) </w:t>
      </w:r>
      <w:r w:rsidRPr="00DC4C42">
        <w:rPr>
          <w:rFonts w:eastAsia="Times New Roman"/>
          <w:lang w:eastAsia="en-GB"/>
        </w:rPr>
        <w:t xml:space="preserve">values (~0.57 mg/L) well below the regulatory limit (500 mg/L) suggest minimal anthropogenic contamination and </w:t>
      </w:r>
      <w:proofErr w:type="gramStart"/>
      <w:r w:rsidRPr="00DC4C42">
        <w:rPr>
          <w:rFonts w:eastAsia="Times New Roman"/>
          <w:lang w:eastAsia="en-GB"/>
        </w:rPr>
        <w:t>high water</w:t>
      </w:r>
      <w:proofErr w:type="gramEnd"/>
      <w:r w:rsidRPr="00DC4C42">
        <w:rPr>
          <w:rFonts w:eastAsia="Times New Roman"/>
          <w:lang w:eastAsia="en-GB"/>
        </w:rPr>
        <w:t xml:space="preserve"> quality concerning dissolved solids. This is consistent with Adetola</w:t>
      </w:r>
      <w:r>
        <w:rPr>
          <w:rFonts w:eastAsia="Times New Roman"/>
          <w:lang w:eastAsia="en-GB"/>
        </w:rPr>
        <w:t xml:space="preserve"> </w:t>
      </w:r>
      <w:r w:rsidRPr="00DE4B91">
        <w:rPr>
          <w:rFonts w:eastAsia="Times New Roman"/>
          <w:i/>
          <w:lang w:eastAsia="en-GB"/>
        </w:rPr>
        <w:t>et al</w:t>
      </w:r>
      <w:r w:rsidRPr="00DC4C42">
        <w:rPr>
          <w:rFonts w:eastAsia="Times New Roman"/>
          <w:lang w:eastAsia="en-GB"/>
        </w:rPr>
        <w:t>. (2021), who reported similar TDS stability in Kainji Lake over several years, highlighting effective watershed management practices.</w:t>
      </w:r>
    </w:p>
    <w:p w14:paraId="38C0C199" w14:textId="77777777" w:rsidR="008B7372" w:rsidRPr="005D2896" w:rsidRDefault="008B7372" w:rsidP="008B7372">
      <w:pPr>
        <w:spacing w:after="0" w:line="240" w:lineRule="auto"/>
        <w:ind w:firstLine="720"/>
        <w:jc w:val="both"/>
        <w:rPr>
          <w:rFonts w:eastAsia="Times New Roman"/>
          <w:lang w:eastAsia="en-GB"/>
        </w:rPr>
      </w:pPr>
      <w:r>
        <w:t xml:space="preserve">The </w:t>
      </w:r>
      <w:r w:rsidRPr="00DC4C42">
        <w:rPr>
          <w:rFonts w:eastAsia="Times New Roman"/>
          <w:lang w:eastAsia="en-GB"/>
        </w:rPr>
        <w:t>significant</w:t>
      </w:r>
      <w:r w:rsidRPr="00DC4C42">
        <w:t xml:space="preserve"> reduction in biological oxygen demand (BOD)</w:t>
      </w:r>
      <w:r>
        <w:t xml:space="preserve"> </w:t>
      </w:r>
      <w:r>
        <w:rPr>
          <w:rFonts w:eastAsia="Times New Roman"/>
          <w:lang w:eastAsia="en-GB"/>
        </w:rPr>
        <w:t>across the years</w:t>
      </w:r>
      <w:r w:rsidRPr="00DC4C42">
        <w:t xml:space="preserve"> suggests improved organic matter decomposition rates or lower pollution levels over time, which is crucial for maintaining aquatic health (Olaniyan</w:t>
      </w:r>
      <w:r>
        <w:t xml:space="preserve"> </w:t>
      </w:r>
      <w:r w:rsidRPr="00DE4B91">
        <w:rPr>
          <w:i/>
        </w:rPr>
        <w:t>et al</w:t>
      </w:r>
      <w:r w:rsidRPr="00DC4C42">
        <w:t>., 2023).</w:t>
      </w:r>
      <w:r>
        <w:t xml:space="preserve"> </w:t>
      </w:r>
      <w:r>
        <w:rPr>
          <w:rFonts w:eastAsia="Times New Roman"/>
          <w:lang w:eastAsia="en-GB"/>
        </w:rPr>
        <w:t>In contrast, a</w:t>
      </w:r>
      <w:r w:rsidRPr="00DC4C42">
        <w:rPr>
          <w:rFonts w:eastAsia="Times New Roman"/>
          <w:lang w:eastAsia="en-GB"/>
        </w:rPr>
        <w:t xml:space="preserve"> related study by Adekunle and </w:t>
      </w:r>
      <w:proofErr w:type="spellStart"/>
      <w:r w:rsidRPr="00DC4C42">
        <w:rPr>
          <w:rFonts w:eastAsia="Times New Roman"/>
          <w:lang w:eastAsia="en-GB"/>
        </w:rPr>
        <w:t>Fagbohun</w:t>
      </w:r>
      <w:proofErr w:type="spellEnd"/>
      <w:r w:rsidRPr="00DC4C42">
        <w:rPr>
          <w:rFonts w:eastAsia="Times New Roman"/>
          <w:lang w:eastAsia="en-GB"/>
        </w:rPr>
        <w:t xml:space="preserve"> (2022) on the Osun River found elevated BOD levels linked to nearby agricultural runoff and untreated sewage discharges, underscoring the impact of land use activities.</w:t>
      </w:r>
      <w:r>
        <w:rPr>
          <w:rFonts w:eastAsia="Times New Roman"/>
          <w:lang w:eastAsia="en-GB"/>
        </w:rPr>
        <w:t xml:space="preserve"> </w:t>
      </w:r>
      <w:r w:rsidRPr="00DC4C42">
        <w:rPr>
          <w:rFonts w:eastAsia="Times New Roman"/>
          <w:lang w:eastAsia="en-GB"/>
        </w:rPr>
        <w:t>The observed values, however, exceed the WHO recommended threshold (≤5 mg/L), indicating a critical need for intervention.</w:t>
      </w:r>
    </w:p>
    <w:p w14:paraId="55CFDD3A" w14:textId="77777777" w:rsidR="008B7372" w:rsidRDefault="008B7372" w:rsidP="008B7372">
      <w:pPr>
        <w:spacing w:after="0" w:line="240" w:lineRule="auto"/>
        <w:ind w:firstLine="720"/>
        <w:jc w:val="both"/>
        <w:rPr>
          <w:rFonts w:eastAsia="Times New Roman"/>
          <w:lang w:eastAsia="en-GB"/>
        </w:rPr>
      </w:pPr>
      <w:r w:rsidRPr="00DC4C42">
        <w:t>The average dissolved oxygen (DO) levels were high across all years, which is well above the WHO minimum requirement of 6 mg/L. High DO levels are indicative of good water quality and support diverse aquatic life (</w:t>
      </w:r>
      <w:proofErr w:type="spellStart"/>
      <w:r w:rsidRPr="00DC4C42">
        <w:t>Mogaji</w:t>
      </w:r>
      <w:proofErr w:type="spellEnd"/>
      <w:r>
        <w:t xml:space="preserve"> </w:t>
      </w:r>
      <w:r w:rsidRPr="00DE4B91">
        <w:rPr>
          <w:i/>
        </w:rPr>
        <w:t>et al</w:t>
      </w:r>
      <w:r w:rsidRPr="00DC4C42">
        <w:t xml:space="preserve">., 2020). </w:t>
      </w:r>
      <w:r w:rsidRPr="00DC4C42">
        <w:rPr>
          <w:rFonts w:eastAsia="Times New Roman"/>
          <w:lang w:eastAsia="en-GB"/>
        </w:rPr>
        <w:t xml:space="preserve">This is consistent with a study on the </w:t>
      </w:r>
      <w:proofErr w:type="spellStart"/>
      <w:r w:rsidRPr="00DC4C42">
        <w:rPr>
          <w:rFonts w:eastAsia="Times New Roman"/>
          <w:lang w:eastAsia="en-GB"/>
        </w:rPr>
        <w:t>Eleyele</w:t>
      </w:r>
      <w:proofErr w:type="spellEnd"/>
      <w:r w:rsidRPr="00DC4C42">
        <w:rPr>
          <w:rFonts w:eastAsia="Times New Roman"/>
          <w:lang w:eastAsia="en-GB"/>
        </w:rPr>
        <w:t xml:space="preserve"> Dam (Lawal</w:t>
      </w:r>
      <w:r>
        <w:rPr>
          <w:rFonts w:eastAsia="Times New Roman"/>
          <w:lang w:eastAsia="en-GB"/>
        </w:rPr>
        <w:t xml:space="preserve"> </w:t>
      </w:r>
      <w:r w:rsidRPr="00DE4B91">
        <w:rPr>
          <w:rFonts w:eastAsia="Times New Roman"/>
          <w:i/>
          <w:lang w:eastAsia="en-GB"/>
        </w:rPr>
        <w:t>et al</w:t>
      </w:r>
      <w:r w:rsidRPr="00DC4C42">
        <w:rPr>
          <w:rFonts w:eastAsia="Times New Roman"/>
          <w:lang w:eastAsia="en-GB"/>
        </w:rPr>
        <w:t>., 2023), which reported high DO levels due to frequent aeration from natural and artificial inflows.</w:t>
      </w:r>
      <w:r>
        <w:rPr>
          <w:rFonts w:eastAsia="Times New Roman"/>
          <w:lang w:eastAsia="en-GB"/>
        </w:rPr>
        <w:t xml:space="preserve"> </w:t>
      </w:r>
      <w:r w:rsidRPr="00DC4C42">
        <w:t>Other studies have similarly found high DO levels in less polluted freshwater systems, emphasizing their ecological health.</w:t>
      </w:r>
    </w:p>
    <w:p w14:paraId="2266E153" w14:textId="77777777" w:rsidR="008B7372" w:rsidRDefault="008B7372" w:rsidP="008B7372">
      <w:pPr>
        <w:spacing w:after="0" w:line="240" w:lineRule="auto"/>
        <w:ind w:firstLine="720"/>
        <w:jc w:val="both"/>
        <w:rPr>
          <w:rFonts w:eastAsia="Times New Roman"/>
          <w:lang w:eastAsia="en-GB"/>
        </w:rPr>
      </w:pPr>
      <w:r w:rsidRPr="00DC4C42">
        <w:rPr>
          <w:rFonts w:eastAsia="Times New Roman"/>
          <w:lang w:eastAsia="en-GB"/>
        </w:rPr>
        <w:t xml:space="preserve">The significant decrease in transparency </w:t>
      </w:r>
      <w:r>
        <w:rPr>
          <w:rFonts w:eastAsia="Times New Roman"/>
          <w:lang w:eastAsia="en-GB"/>
        </w:rPr>
        <w:t>across the years</w:t>
      </w:r>
      <w:r w:rsidRPr="00DC4C42">
        <w:rPr>
          <w:rFonts w:eastAsia="Times New Roman"/>
          <w:lang w:eastAsia="en-GB"/>
        </w:rPr>
        <w:t xml:space="preserve"> raises concerns about increased turbidity, potentially from sedimentation or organic load. </w:t>
      </w:r>
      <w:r w:rsidRPr="00DC4C42">
        <w:t xml:space="preserve">This decline may suggest increased particulate matter or algal blooms affecting water clarity (Adebayo </w:t>
      </w:r>
      <w:r w:rsidRPr="00DE4B91">
        <w:rPr>
          <w:i/>
        </w:rPr>
        <w:t>et al</w:t>
      </w:r>
      <w:r w:rsidRPr="00DC4C42">
        <w:t xml:space="preserve">., 2019). </w:t>
      </w:r>
      <w:r w:rsidRPr="00DC4C42">
        <w:rPr>
          <w:rFonts w:eastAsia="Times New Roman"/>
          <w:lang w:eastAsia="en-GB"/>
        </w:rPr>
        <w:t>Such a decline can adversely affect aquatic habitats and photosynthetic activity. Okeke</w:t>
      </w:r>
      <w:r>
        <w:rPr>
          <w:rFonts w:eastAsia="Times New Roman"/>
          <w:lang w:eastAsia="en-GB"/>
        </w:rPr>
        <w:t xml:space="preserve"> </w:t>
      </w:r>
      <w:r w:rsidRPr="00DE4B91">
        <w:rPr>
          <w:rFonts w:eastAsia="Times New Roman"/>
          <w:i/>
          <w:lang w:eastAsia="en-GB"/>
        </w:rPr>
        <w:t>et al</w:t>
      </w:r>
      <w:r w:rsidRPr="00DC4C42">
        <w:rPr>
          <w:rFonts w:eastAsia="Times New Roman"/>
          <w:lang w:eastAsia="en-GB"/>
        </w:rPr>
        <w:t xml:space="preserve">. (2021) reported a comparable reduction in the </w:t>
      </w:r>
      <w:proofErr w:type="spellStart"/>
      <w:r w:rsidRPr="00DC4C42">
        <w:rPr>
          <w:rFonts w:eastAsia="Times New Roman"/>
          <w:lang w:eastAsia="en-GB"/>
        </w:rPr>
        <w:t>Oguta</w:t>
      </w:r>
      <w:proofErr w:type="spellEnd"/>
      <w:r w:rsidRPr="00DC4C42">
        <w:rPr>
          <w:rFonts w:eastAsia="Times New Roman"/>
          <w:lang w:eastAsia="en-GB"/>
        </w:rPr>
        <w:t xml:space="preserve"> Lake study, where deforestation and soil erosion contributed to increased sediment loads.</w:t>
      </w:r>
    </w:p>
    <w:p w14:paraId="5FDEEC2A" w14:textId="77777777" w:rsidR="008B7372" w:rsidRDefault="008B7372" w:rsidP="008B7372">
      <w:pPr>
        <w:spacing w:after="0" w:line="240" w:lineRule="auto"/>
        <w:ind w:firstLine="720"/>
        <w:jc w:val="both"/>
        <w:rPr>
          <w:rFonts w:eastAsia="Times New Roman"/>
          <w:lang w:eastAsia="en-GB"/>
        </w:rPr>
      </w:pPr>
      <w:r w:rsidRPr="00DC4C42">
        <w:rPr>
          <w:rFonts w:eastAsia="Times New Roman"/>
          <w:lang w:eastAsia="en-GB"/>
        </w:rPr>
        <w:t>The stable electric</w:t>
      </w:r>
      <w:r>
        <w:rPr>
          <w:rFonts w:eastAsia="Times New Roman"/>
          <w:lang w:eastAsia="en-GB"/>
        </w:rPr>
        <w:t>al conductivity</w:t>
      </w:r>
      <w:r w:rsidRPr="00DC4C42">
        <w:rPr>
          <w:rFonts w:eastAsia="Times New Roman"/>
          <w:lang w:eastAsia="en-GB"/>
        </w:rPr>
        <w:t xml:space="preserve"> far below the regulatory limit (1000 ds/m) suggests low ionic contamination, corroborating findings by Onyekachi</w:t>
      </w:r>
      <w:r>
        <w:rPr>
          <w:rFonts w:eastAsia="Times New Roman"/>
          <w:lang w:eastAsia="en-GB"/>
        </w:rPr>
        <w:t xml:space="preserve"> </w:t>
      </w:r>
      <w:r w:rsidRPr="00DE4B91">
        <w:rPr>
          <w:rFonts w:eastAsia="Times New Roman"/>
          <w:i/>
          <w:lang w:eastAsia="en-GB"/>
        </w:rPr>
        <w:t>et al</w:t>
      </w:r>
      <w:r w:rsidRPr="00DC4C42">
        <w:rPr>
          <w:rFonts w:eastAsia="Times New Roman"/>
          <w:lang w:eastAsia="en-GB"/>
        </w:rPr>
        <w:t xml:space="preserve">. (2022) in their study of </w:t>
      </w:r>
      <w:proofErr w:type="spellStart"/>
      <w:r w:rsidRPr="00DC4C42">
        <w:rPr>
          <w:rFonts w:eastAsia="Times New Roman"/>
          <w:lang w:eastAsia="en-GB"/>
        </w:rPr>
        <w:t>Ikom</w:t>
      </w:r>
      <w:proofErr w:type="spellEnd"/>
      <w:r w:rsidRPr="00DC4C42">
        <w:rPr>
          <w:rFonts w:eastAsia="Times New Roman"/>
          <w:lang w:eastAsia="en-GB"/>
        </w:rPr>
        <w:t xml:space="preserve"> River, where low conductivity reflected minimal industrial or agricultural inputs.</w:t>
      </w:r>
      <w:r>
        <w:rPr>
          <w:rFonts w:eastAsia="Times New Roman"/>
          <w:lang w:eastAsia="en-GB"/>
        </w:rPr>
        <w:t xml:space="preserve"> The consistent nitrate</w:t>
      </w:r>
      <w:r w:rsidRPr="00DC4C42">
        <w:rPr>
          <w:rFonts w:eastAsia="Times New Roman"/>
          <w:lang w:eastAsia="en-GB"/>
        </w:rPr>
        <w:t xml:space="preserve"> and phosphate levels, both significantly below their respective limits</w:t>
      </w:r>
      <w:r>
        <w:rPr>
          <w:rFonts w:eastAsia="Times New Roman"/>
          <w:lang w:eastAsia="en-GB"/>
        </w:rPr>
        <w:t xml:space="preserve"> in this study</w:t>
      </w:r>
      <w:r w:rsidRPr="00DC4C42">
        <w:rPr>
          <w:rFonts w:eastAsia="Times New Roman"/>
          <w:lang w:eastAsia="en-GB"/>
        </w:rPr>
        <w:t>, indicate limited agricultural or industrial runoff into the dam</w:t>
      </w:r>
      <w:r>
        <w:rPr>
          <w:rFonts w:eastAsia="Times New Roman"/>
          <w:lang w:eastAsia="en-GB"/>
        </w:rPr>
        <w:t xml:space="preserve"> </w:t>
      </w:r>
      <w:r w:rsidRPr="00DC4C42">
        <w:t>(</w:t>
      </w:r>
      <w:proofErr w:type="spellStart"/>
      <w:r w:rsidRPr="00DC4C42">
        <w:t>Akinbile</w:t>
      </w:r>
      <w:proofErr w:type="spellEnd"/>
      <w:r>
        <w:t xml:space="preserve"> and </w:t>
      </w:r>
      <w:proofErr w:type="spellStart"/>
      <w:r w:rsidRPr="00DC4C42">
        <w:t>Yusoff</w:t>
      </w:r>
      <w:proofErr w:type="spellEnd"/>
      <w:r w:rsidRPr="00DC4C42">
        <w:t>, 2019)</w:t>
      </w:r>
      <w:r w:rsidRPr="00DC4C42">
        <w:rPr>
          <w:rFonts w:eastAsia="Times New Roman"/>
          <w:lang w:eastAsia="en-GB"/>
        </w:rPr>
        <w:t>. These findings agree with Nwankwo</w:t>
      </w:r>
      <w:r>
        <w:rPr>
          <w:rFonts w:eastAsia="Times New Roman"/>
          <w:lang w:eastAsia="en-GB"/>
        </w:rPr>
        <w:t xml:space="preserve"> </w:t>
      </w:r>
      <w:r w:rsidRPr="00DE4B91">
        <w:rPr>
          <w:rFonts w:eastAsia="Times New Roman"/>
          <w:i/>
          <w:lang w:eastAsia="en-GB"/>
        </w:rPr>
        <w:t>et al</w:t>
      </w:r>
      <w:r w:rsidRPr="00DC4C42">
        <w:rPr>
          <w:rFonts w:eastAsia="Times New Roman"/>
          <w:lang w:eastAsia="en-GB"/>
        </w:rPr>
        <w:t xml:space="preserve">. (2023), who observed low nutrient loads in the </w:t>
      </w:r>
      <w:proofErr w:type="gramStart"/>
      <w:r w:rsidRPr="00DC4C42">
        <w:rPr>
          <w:rFonts w:eastAsia="Times New Roman"/>
          <w:lang w:eastAsia="en-GB"/>
        </w:rPr>
        <w:t>Cross River</w:t>
      </w:r>
      <w:proofErr w:type="gramEnd"/>
      <w:r w:rsidRPr="00DC4C42">
        <w:rPr>
          <w:rFonts w:eastAsia="Times New Roman"/>
          <w:lang w:eastAsia="en-GB"/>
        </w:rPr>
        <w:t xml:space="preserve"> basin, attributed to sustainable agricultural practices in the area.</w:t>
      </w:r>
    </w:p>
    <w:p w14:paraId="0616FE3F" w14:textId="77777777" w:rsidR="008B7372" w:rsidRPr="00DC4C42" w:rsidRDefault="008B7372" w:rsidP="008B7372">
      <w:pPr>
        <w:spacing w:after="0" w:line="240" w:lineRule="auto"/>
        <w:ind w:firstLine="720"/>
        <w:jc w:val="both"/>
      </w:pPr>
      <w:r w:rsidRPr="00DC4C42">
        <w:rPr>
          <w:rFonts w:eastAsia="Times New Roman"/>
          <w:lang w:eastAsia="en-GB"/>
        </w:rPr>
        <w:t xml:space="preserve">The stable chloride levels (~40 mg/L) </w:t>
      </w:r>
      <w:r>
        <w:rPr>
          <w:rFonts w:eastAsia="Times New Roman"/>
          <w:lang w:eastAsia="en-GB"/>
        </w:rPr>
        <w:t xml:space="preserve">in this study </w:t>
      </w:r>
      <w:r w:rsidRPr="00DC4C42">
        <w:rPr>
          <w:rFonts w:eastAsia="Times New Roman"/>
          <w:lang w:eastAsia="en-GB"/>
        </w:rPr>
        <w:t xml:space="preserve">well below the WHO limit (250 mg/L) reflect minimal salinity concerns. Oladimeji and Adebayo (2021) noted similar results in their study of Tiga Dam, where controlled salinity was linked to the absence of industrial </w:t>
      </w:r>
      <w:r w:rsidRPr="00DC4C42">
        <w:rPr>
          <w:rFonts w:eastAsia="Times New Roman"/>
          <w:lang w:eastAsia="en-GB"/>
        </w:rPr>
        <w:lastRenderedPageBreak/>
        <w:t>effluents.</w:t>
      </w:r>
      <w:r>
        <w:rPr>
          <w:rFonts w:eastAsia="Times New Roman"/>
          <w:lang w:eastAsia="en-GB"/>
        </w:rPr>
        <w:t xml:space="preserve"> </w:t>
      </w:r>
      <w:r w:rsidRPr="00DC4C42">
        <w:t xml:space="preserve">Chloride levels are often used as indicators of salinity and potential contamination; thus, their stability is a positive indicator for water quality at </w:t>
      </w:r>
      <w:proofErr w:type="spellStart"/>
      <w:r>
        <w:t>Owala</w:t>
      </w:r>
      <w:proofErr w:type="spellEnd"/>
      <w:r w:rsidRPr="00DC4C42">
        <w:t xml:space="preserve"> Dam.</w:t>
      </w:r>
    </w:p>
    <w:p w14:paraId="3B247B72" w14:textId="77777777" w:rsidR="008B7372" w:rsidRDefault="008B7372" w:rsidP="008B7372">
      <w:pPr>
        <w:spacing w:after="0" w:line="240" w:lineRule="auto"/>
        <w:jc w:val="both"/>
        <w:rPr>
          <w:b/>
          <w:i/>
        </w:rPr>
      </w:pPr>
      <w:r>
        <w:rPr>
          <w:b/>
          <w:i/>
        </w:rPr>
        <w:t>Spatial and Temporal Variations</w:t>
      </w:r>
    </w:p>
    <w:p w14:paraId="01A0A5FA" w14:textId="77777777" w:rsidR="008B7372" w:rsidRPr="0010002C" w:rsidRDefault="008B7372" w:rsidP="008B7372">
      <w:pPr>
        <w:spacing w:after="0" w:line="240" w:lineRule="auto"/>
        <w:ind w:firstLine="720"/>
        <w:jc w:val="both"/>
        <w:rPr>
          <w:rFonts w:eastAsia="Times New Roman"/>
          <w:lang w:eastAsia="en-GB"/>
        </w:rPr>
      </w:pPr>
      <w:r w:rsidRPr="0010002C">
        <w:rPr>
          <w:rFonts w:eastAsia="Times New Roman"/>
          <w:lang w:eastAsia="en-GB"/>
        </w:rPr>
        <w:t xml:space="preserve">The spatial and temporal variations in water quality parameters at </w:t>
      </w:r>
      <w:proofErr w:type="spellStart"/>
      <w:r>
        <w:rPr>
          <w:rFonts w:eastAsia="Times New Roman"/>
          <w:lang w:eastAsia="en-GB"/>
        </w:rPr>
        <w:t>Owala</w:t>
      </w:r>
      <w:proofErr w:type="spellEnd"/>
      <w:r w:rsidRPr="0010002C">
        <w:rPr>
          <w:rFonts w:eastAsia="Times New Roman"/>
          <w:lang w:eastAsia="en-GB"/>
        </w:rPr>
        <w:t xml:space="preserve"> Dam</w:t>
      </w:r>
      <w:r>
        <w:rPr>
          <w:rFonts w:eastAsia="Times New Roman"/>
          <w:lang w:eastAsia="en-GB"/>
        </w:rPr>
        <w:t xml:space="preserve"> </w:t>
      </w:r>
      <w:r w:rsidRPr="0010002C">
        <w:rPr>
          <w:rFonts w:eastAsia="Times New Roman"/>
          <w:lang w:eastAsia="en-GB"/>
        </w:rPr>
        <w:t xml:space="preserve">reveal important insights into the dam's ecological dynamics. </w:t>
      </w:r>
    </w:p>
    <w:p w14:paraId="0B0C07F8" w14:textId="77777777" w:rsidR="008B7372" w:rsidRPr="0010002C" w:rsidRDefault="008B7372" w:rsidP="008B7372">
      <w:pPr>
        <w:spacing w:after="0" w:line="240" w:lineRule="auto"/>
        <w:ind w:firstLine="720"/>
        <w:jc w:val="both"/>
      </w:pPr>
      <w:r w:rsidRPr="0010002C">
        <w:rPr>
          <w:rFonts w:eastAsia="Times New Roman"/>
          <w:lang w:eastAsia="en-GB"/>
        </w:rPr>
        <w:t>The minor fluctuati</w:t>
      </w:r>
      <w:r>
        <w:rPr>
          <w:rFonts w:eastAsia="Times New Roman"/>
          <w:lang w:eastAsia="en-GB"/>
        </w:rPr>
        <w:t>ons in temperature across sites</w:t>
      </w:r>
      <w:r w:rsidRPr="0010002C">
        <w:rPr>
          <w:rFonts w:eastAsia="Times New Roman"/>
          <w:lang w:eastAsia="en-GB"/>
        </w:rPr>
        <w:t xml:space="preserve"> and years, with no significant differences, suggest stable thermal conditions, which are typical for tropical aquatic systems. </w:t>
      </w:r>
      <w:r w:rsidRPr="0010002C">
        <w:rPr>
          <w:rFonts w:eastAsia="Times New Roman"/>
          <w:bCs/>
          <w:lang w:eastAsia="en-GB"/>
        </w:rPr>
        <w:t>Nwachukwu</w:t>
      </w:r>
      <w:r>
        <w:rPr>
          <w:rFonts w:eastAsia="Times New Roman"/>
          <w:bCs/>
          <w:lang w:eastAsia="en-GB"/>
        </w:rPr>
        <w:t xml:space="preserve"> </w:t>
      </w:r>
      <w:r w:rsidRPr="00DE4B91">
        <w:rPr>
          <w:rFonts w:eastAsia="Times New Roman"/>
          <w:bCs/>
          <w:i/>
          <w:lang w:eastAsia="en-GB"/>
        </w:rPr>
        <w:t>et al</w:t>
      </w:r>
      <w:r w:rsidRPr="0010002C">
        <w:rPr>
          <w:rFonts w:eastAsia="Times New Roman"/>
          <w:bCs/>
          <w:lang w:eastAsia="en-GB"/>
        </w:rPr>
        <w:t>. (2021)</w:t>
      </w:r>
      <w:r w:rsidRPr="0010002C">
        <w:rPr>
          <w:rFonts w:eastAsia="Times New Roman"/>
          <w:lang w:eastAsia="en-GB"/>
        </w:rPr>
        <w:t xml:space="preserve"> observed similar stability in the Imo River, attributing it to consistent climatic influences and limited thermal pollution. </w:t>
      </w:r>
      <w:r w:rsidRPr="0010002C">
        <w:t>In contrast, some studies have noted greater temperature variability in more polluted water bodies, which can lead to ecological stress (</w:t>
      </w:r>
      <w:proofErr w:type="spellStart"/>
      <w:r w:rsidRPr="0010002C">
        <w:t>Atobatele</w:t>
      </w:r>
      <w:proofErr w:type="spellEnd"/>
      <w:r>
        <w:t xml:space="preserve"> and </w:t>
      </w:r>
      <w:proofErr w:type="spellStart"/>
      <w:r w:rsidRPr="0010002C">
        <w:t>Ugwumba</w:t>
      </w:r>
      <w:proofErr w:type="spellEnd"/>
      <w:r w:rsidRPr="0010002C">
        <w:t>, 2016).</w:t>
      </w:r>
      <w:r>
        <w:t xml:space="preserve"> </w:t>
      </w:r>
      <w:r>
        <w:rPr>
          <w:rFonts w:eastAsia="Times New Roman"/>
          <w:lang w:eastAsia="en-GB"/>
        </w:rPr>
        <w:t>For instance</w:t>
      </w:r>
      <w:r w:rsidRPr="0010002C">
        <w:rPr>
          <w:rFonts w:eastAsia="Times New Roman"/>
          <w:lang w:eastAsia="en-GB"/>
        </w:rPr>
        <w:t xml:space="preserve">, </w:t>
      </w:r>
      <w:r w:rsidRPr="0010002C">
        <w:rPr>
          <w:rFonts w:eastAsia="Times New Roman"/>
          <w:bCs/>
          <w:lang w:eastAsia="en-GB"/>
        </w:rPr>
        <w:t>Adeyemi and Bello (2022)</w:t>
      </w:r>
      <w:r w:rsidRPr="0010002C">
        <w:rPr>
          <w:rFonts w:eastAsia="Times New Roman"/>
          <w:lang w:eastAsia="en-GB"/>
        </w:rPr>
        <w:t xml:space="preserve"> noted significant temperature variations in </w:t>
      </w:r>
      <w:proofErr w:type="spellStart"/>
      <w:r w:rsidRPr="0010002C">
        <w:rPr>
          <w:rFonts w:eastAsia="Times New Roman"/>
          <w:lang w:eastAsia="en-GB"/>
        </w:rPr>
        <w:t>Ogbese</w:t>
      </w:r>
      <w:proofErr w:type="spellEnd"/>
      <w:r w:rsidRPr="0010002C">
        <w:rPr>
          <w:rFonts w:eastAsia="Times New Roman"/>
          <w:lang w:eastAsia="en-GB"/>
        </w:rPr>
        <w:t xml:space="preserve"> River due to industrial discharges, highlighting the role of anthropogenic factors in destabilizing thermal regimes.</w:t>
      </w:r>
    </w:p>
    <w:p w14:paraId="679A65A5" w14:textId="77777777" w:rsidR="008B7372" w:rsidRPr="0010002C" w:rsidRDefault="008B7372" w:rsidP="008B7372">
      <w:pPr>
        <w:spacing w:after="0" w:line="240" w:lineRule="auto"/>
        <w:ind w:firstLine="720"/>
        <w:jc w:val="both"/>
        <w:rPr>
          <w:rFonts w:eastAsia="Times New Roman"/>
          <w:lang w:eastAsia="en-GB"/>
        </w:rPr>
      </w:pPr>
      <w:r w:rsidRPr="0010002C">
        <w:rPr>
          <w:rFonts w:eastAsia="Times New Roman"/>
          <w:lang w:eastAsia="en-GB"/>
        </w:rPr>
        <w:t xml:space="preserve">The pH levels remained within acceptable limits for aquatic life and regulatory standards, with no significant spatial or temporal differences. These results align with </w:t>
      </w:r>
      <w:r w:rsidRPr="004F5FC9">
        <w:rPr>
          <w:rFonts w:eastAsia="Times New Roman"/>
          <w:bCs/>
          <w:lang w:eastAsia="en-GB"/>
        </w:rPr>
        <w:t>Ekwueme</w:t>
      </w:r>
      <w:r>
        <w:rPr>
          <w:rFonts w:eastAsia="Times New Roman"/>
          <w:bCs/>
          <w:lang w:eastAsia="en-GB"/>
        </w:rPr>
        <w:t xml:space="preserve"> </w:t>
      </w:r>
      <w:r w:rsidRPr="00DE4B91">
        <w:rPr>
          <w:rFonts w:eastAsia="Times New Roman"/>
          <w:bCs/>
          <w:i/>
          <w:lang w:eastAsia="en-GB"/>
        </w:rPr>
        <w:t>et al</w:t>
      </w:r>
      <w:r w:rsidRPr="004F5FC9">
        <w:rPr>
          <w:rFonts w:eastAsia="Times New Roman"/>
          <w:bCs/>
          <w:lang w:eastAsia="en-GB"/>
        </w:rPr>
        <w:t>. (2022)</w:t>
      </w:r>
      <w:r w:rsidRPr="0010002C">
        <w:rPr>
          <w:rFonts w:eastAsia="Times New Roman"/>
          <w:lang w:eastAsia="en-GB"/>
        </w:rPr>
        <w:t xml:space="preserve">, who reported stable pH in Anambra River, primarily due to the natural buffering capacity of the water and minimal agricultural runoff. However, </w:t>
      </w:r>
      <w:r w:rsidRPr="004F5FC9">
        <w:rPr>
          <w:rFonts w:eastAsia="Times New Roman"/>
          <w:bCs/>
          <w:lang w:eastAsia="en-GB"/>
        </w:rPr>
        <w:t>Olawale and Idowu (2021)</w:t>
      </w:r>
      <w:r w:rsidRPr="0010002C">
        <w:rPr>
          <w:rFonts w:eastAsia="Times New Roman"/>
          <w:lang w:eastAsia="en-GB"/>
        </w:rPr>
        <w:t xml:space="preserve"> found significant pH fluctuations in </w:t>
      </w:r>
      <w:proofErr w:type="spellStart"/>
      <w:r w:rsidRPr="0010002C">
        <w:rPr>
          <w:rFonts w:eastAsia="Times New Roman"/>
          <w:lang w:eastAsia="en-GB"/>
        </w:rPr>
        <w:t>Ogunpa</w:t>
      </w:r>
      <w:proofErr w:type="spellEnd"/>
      <w:r w:rsidRPr="0010002C">
        <w:rPr>
          <w:rFonts w:eastAsia="Times New Roman"/>
          <w:lang w:eastAsia="en-GB"/>
        </w:rPr>
        <w:t xml:space="preserve"> River due to wastewater discharge, underscoring the impact of untreated effluents.</w:t>
      </w:r>
    </w:p>
    <w:p w14:paraId="293A6B42" w14:textId="77777777" w:rsidR="008B7372" w:rsidRPr="003018D6" w:rsidRDefault="008B7372" w:rsidP="008B7372">
      <w:pPr>
        <w:spacing w:after="0" w:line="240" w:lineRule="auto"/>
        <w:ind w:firstLine="720"/>
        <w:jc w:val="both"/>
        <w:rPr>
          <w:rFonts w:eastAsia="Times New Roman"/>
          <w:lang w:eastAsia="en-GB"/>
        </w:rPr>
      </w:pPr>
      <w:r w:rsidRPr="0010002C">
        <w:rPr>
          <w:rFonts w:eastAsia="Times New Roman"/>
          <w:lang w:eastAsia="en-GB"/>
        </w:rPr>
        <w:t xml:space="preserve">The consistently low TDS values </w:t>
      </w:r>
      <w:r>
        <w:rPr>
          <w:rFonts w:eastAsia="Times New Roman"/>
          <w:lang w:eastAsia="en-GB"/>
        </w:rPr>
        <w:t xml:space="preserve">in this study </w:t>
      </w:r>
      <w:r w:rsidRPr="0010002C">
        <w:rPr>
          <w:rFonts w:eastAsia="Times New Roman"/>
          <w:lang w:eastAsia="en-GB"/>
        </w:rPr>
        <w:t>well below the regulatory limit of 500 mg/L indicate good water quality in terms of disso</w:t>
      </w:r>
      <w:r>
        <w:rPr>
          <w:rFonts w:eastAsia="Times New Roman"/>
          <w:lang w:eastAsia="en-GB"/>
        </w:rPr>
        <w:t xml:space="preserve">lved solids. </w:t>
      </w:r>
      <w:r w:rsidRPr="0010002C">
        <w:t>The lack of significant spatial or temporal variations</w:t>
      </w:r>
      <w:r>
        <w:t xml:space="preserve"> in the </w:t>
      </w:r>
      <w:r w:rsidRPr="0010002C">
        <w:t xml:space="preserve">TDS values reinforces the </w:t>
      </w:r>
      <w:r>
        <w:t>fact</w:t>
      </w:r>
      <w:r w:rsidRPr="0010002C">
        <w:t xml:space="preserve"> that water quality regarding dissolved solids is stable at </w:t>
      </w:r>
      <w:proofErr w:type="spellStart"/>
      <w:r>
        <w:t>Owala</w:t>
      </w:r>
      <w:proofErr w:type="spellEnd"/>
      <w:r w:rsidRPr="0010002C">
        <w:t xml:space="preserve"> Dam. This finding aligns with studies from Osun State that reported similarly low TDS values in borehole water samples (Sule</w:t>
      </w:r>
      <w:r>
        <w:t xml:space="preserve"> </w:t>
      </w:r>
      <w:r w:rsidRPr="00DE4B91">
        <w:rPr>
          <w:i/>
        </w:rPr>
        <w:t>et al</w:t>
      </w:r>
      <w:r w:rsidRPr="0010002C">
        <w:t xml:space="preserve">., 2015). In contrast, higher TDS levels have been observed in areas with significant </w:t>
      </w:r>
      <w:r w:rsidRPr="0010002C">
        <w:rPr>
          <w:rFonts w:eastAsia="Times New Roman"/>
          <w:lang w:eastAsia="en-GB"/>
        </w:rPr>
        <w:t xml:space="preserve">sand mining activities, highlighting how human activities can influence dissolved solids </w:t>
      </w:r>
      <w:r>
        <w:rPr>
          <w:rFonts w:eastAsia="Times New Roman"/>
          <w:lang w:eastAsia="en-GB"/>
        </w:rPr>
        <w:t>(</w:t>
      </w:r>
      <w:r>
        <w:rPr>
          <w:rFonts w:eastAsia="Times New Roman"/>
          <w:bCs/>
          <w:lang w:eastAsia="en-GB"/>
        </w:rPr>
        <w:t xml:space="preserve">Okafor and Uche, </w:t>
      </w:r>
      <w:r w:rsidRPr="003018D6">
        <w:rPr>
          <w:rFonts w:eastAsia="Times New Roman"/>
          <w:bCs/>
          <w:lang w:eastAsia="en-GB"/>
        </w:rPr>
        <w:t>2021)</w:t>
      </w:r>
      <w:r w:rsidRPr="0010002C">
        <w:t>.</w:t>
      </w:r>
    </w:p>
    <w:p w14:paraId="41318BF5" w14:textId="77777777" w:rsidR="008B7372" w:rsidRDefault="008B7372" w:rsidP="008B7372">
      <w:pPr>
        <w:spacing w:after="0" w:line="240" w:lineRule="auto"/>
        <w:ind w:firstLine="720"/>
        <w:jc w:val="both"/>
        <w:rPr>
          <w:rFonts w:eastAsia="Times New Roman"/>
          <w:b/>
          <w:bCs/>
          <w:lang w:eastAsia="en-GB"/>
        </w:rPr>
      </w:pPr>
      <w:r w:rsidRPr="0010002C">
        <w:rPr>
          <w:rFonts w:eastAsia="Times New Roman"/>
          <w:lang w:eastAsia="en-GB"/>
        </w:rPr>
        <w:t xml:space="preserve">The significant decrease in BOD at Site B suggests improved organic matter degradation, potentially due to localized hydrodynamic changes or reduced organic pollution. However, overall BOD levels remain high compared to regulatory standards. This trend is consistent with findings by </w:t>
      </w:r>
      <w:r>
        <w:rPr>
          <w:rFonts w:eastAsia="Times New Roman"/>
          <w:bCs/>
          <w:lang w:eastAsia="en-GB"/>
        </w:rPr>
        <w:t>Ibrahim and Yakubu</w:t>
      </w:r>
      <w:r w:rsidRPr="003018D6">
        <w:rPr>
          <w:rFonts w:eastAsia="Times New Roman"/>
          <w:bCs/>
          <w:lang w:eastAsia="en-GB"/>
        </w:rPr>
        <w:t xml:space="preserve"> (2022)</w:t>
      </w:r>
      <w:r w:rsidRPr="0010002C">
        <w:rPr>
          <w:rFonts w:eastAsia="Times New Roman"/>
          <w:lang w:eastAsia="en-GB"/>
        </w:rPr>
        <w:t xml:space="preserve"> in </w:t>
      </w:r>
      <w:proofErr w:type="spellStart"/>
      <w:r w:rsidRPr="0010002C">
        <w:rPr>
          <w:rFonts w:eastAsia="Times New Roman"/>
          <w:lang w:eastAsia="en-GB"/>
        </w:rPr>
        <w:t>Hadejia</w:t>
      </w:r>
      <w:proofErr w:type="spellEnd"/>
      <w:r w:rsidRPr="0010002C">
        <w:rPr>
          <w:rFonts w:eastAsia="Times New Roman"/>
          <w:lang w:eastAsia="en-GB"/>
        </w:rPr>
        <w:t xml:space="preserve"> River, where high BOD levels were attributed to agricultural and urban runoff. </w:t>
      </w:r>
    </w:p>
    <w:p w14:paraId="24D30CB3" w14:textId="77777777" w:rsidR="008B7372" w:rsidRPr="0010002C" w:rsidRDefault="008B7372" w:rsidP="008B7372">
      <w:pPr>
        <w:spacing w:after="0" w:line="240" w:lineRule="auto"/>
        <w:ind w:firstLine="720"/>
        <w:jc w:val="both"/>
      </w:pPr>
      <w:r w:rsidRPr="0010002C">
        <w:t>DO leve</w:t>
      </w:r>
      <w:r>
        <w:t xml:space="preserve">ls varied slightly among sites and </w:t>
      </w:r>
      <w:r w:rsidRPr="0010002C">
        <w:t>consistently above the WHO minimum requirement of 6 mg/L</w:t>
      </w:r>
      <w:r>
        <w:t xml:space="preserve">. This indicates </w:t>
      </w:r>
      <w:r w:rsidRPr="0010002C">
        <w:rPr>
          <w:rFonts w:eastAsia="Times New Roman"/>
          <w:lang w:eastAsia="en-GB"/>
        </w:rPr>
        <w:t>a well-aerated system supportive of aquatic life</w:t>
      </w:r>
      <w:r>
        <w:rPr>
          <w:rFonts w:eastAsia="Times New Roman"/>
          <w:lang w:eastAsia="en-GB"/>
        </w:rPr>
        <w:t xml:space="preserve">. </w:t>
      </w:r>
      <w:r w:rsidRPr="0010002C">
        <w:rPr>
          <w:rFonts w:eastAsia="Times New Roman"/>
          <w:lang w:eastAsia="en-GB"/>
        </w:rPr>
        <w:t>Ajayi and Akinola (2022) in Jabi Lake, where natural aeration processes and minimal pollutant loads contributed to high DO levels, observed similar trends.</w:t>
      </w:r>
      <w:r>
        <w:rPr>
          <w:rFonts w:eastAsia="Times New Roman"/>
          <w:lang w:eastAsia="en-GB"/>
        </w:rPr>
        <w:t xml:space="preserve"> </w:t>
      </w:r>
      <w:r w:rsidRPr="0010002C">
        <w:t>Conversely, lower DO levels have been associated with eutrophication in heavily polluted waters (</w:t>
      </w:r>
      <w:proofErr w:type="spellStart"/>
      <w:r w:rsidRPr="0010002C">
        <w:t>Atobatele</w:t>
      </w:r>
      <w:proofErr w:type="spellEnd"/>
      <w:r>
        <w:t xml:space="preserve"> and </w:t>
      </w:r>
      <w:proofErr w:type="spellStart"/>
      <w:r w:rsidRPr="0010002C">
        <w:t>Ugwumba</w:t>
      </w:r>
      <w:proofErr w:type="spellEnd"/>
      <w:r w:rsidRPr="0010002C">
        <w:t>, 2016).</w:t>
      </w:r>
    </w:p>
    <w:p w14:paraId="4F9AE892" w14:textId="77777777" w:rsidR="008B7372" w:rsidRPr="0010002C" w:rsidRDefault="008B7372" w:rsidP="008B7372">
      <w:pPr>
        <w:spacing w:after="0" w:line="240" w:lineRule="auto"/>
        <w:ind w:firstLine="720"/>
        <w:jc w:val="both"/>
      </w:pPr>
      <w:r w:rsidRPr="0010002C">
        <w:rPr>
          <w:rFonts w:eastAsia="Times New Roman"/>
          <w:lang w:eastAsia="en-GB"/>
        </w:rPr>
        <w:t xml:space="preserve">The significant spatial and temporal variations in transparency, particularly the increase at Site </w:t>
      </w:r>
      <w:proofErr w:type="spellStart"/>
      <w:r w:rsidRPr="0010002C">
        <w:rPr>
          <w:rFonts w:eastAsia="Times New Roman"/>
          <w:lang w:eastAsia="en-GB"/>
        </w:rPr>
        <w:t>C</w:t>
      </w:r>
      <w:r w:rsidRPr="0010002C">
        <w:t>overtime</w:t>
      </w:r>
      <w:proofErr w:type="spellEnd"/>
      <w:r w:rsidRPr="0010002C">
        <w:t xml:space="preserve"> compared to Sites A and B</w:t>
      </w:r>
      <w:r w:rsidRPr="0010002C">
        <w:rPr>
          <w:rFonts w:eastAsia="Times New Roman"/>
          <w:lang w:eastAsia="en-GB"/>
        </w:rPr>
        <w:t xml:space="preserve">, suggest localized reductions in sedimentation or organic input. </w:t>
      </w:r>
      <w:r w:rsidRPr="0010002C">
        <w:t xml:space="preserve">Enhanced transparency can indicate reduced particulate matter or algal blooms affecting light penetration and photosynthesis in aquatic systems (Abdus-Salam </w:t>
      </w:r>
      <w:r w:rsidRPr="00DE4B91">
        <w:rPr>
          <w:i/>
        </w:rPr>
        <w:t>et al</w:t>
      </w:r>
      <w:r w:rsidRPr="0010002C">
        <w:t>., 2021).</w:t>
      </w:r>
      <w:r>
        <w:t xml:space="preserve"> </w:t>
      </w:r>
      <w:r w:rsidRPr="000B463E">
        <w:rPr>
          <w:rFonts w:eastAsia="Times New Roman"/>
          <w:bCs/>
          <w:lang w:eastAsia="en-GB"/>
        </w:rPr>
        <w:t>Umar and Yakubu (2023)</w:t>
      </w:r>
      <w:r w:rsidRPr="0010002C">
        <w:rPr>
          <w:rFonts w:eastAsia="Times New Roman"/>
          <w:lang w:eastAsia="en-GB"/>
        </w:rPr>
        <w:t xml:space="preserve"> reported comparable trends in </w:t>
      </w:r>
      <w:proofErr w:type="spellStart"/>
      <w:r w:rsidRPr="0010002C">
        <w:rPr>
          <w:rFonts w:eastAsia="Times New Roman"/>
          <w:lang w:eastAsia="en-GB"/>
        </w:rPr>
        <w:t>KafinZaki</w:t>
      </w:r>
      <w:proofErr w:type="spellEnd"/>
      <w:r w:rsidRPr="0010002C">
        <w:rPr>
          <w:rFonts w:eastAsia="Times New Roman"/>
          <w:lang w:eastAsia="en-GB"/>
        </w:rPr>
        <w:t xml:space="preserve"> Dam, where transparency improvements were attributed to sediment </w:t>
      </w:r>
      <w:r>
        <w:rPr>
          <w:rFonts w:eastAsia="Times New Roman"/>
          <w:lang w:eastAsia="en-GB"/>
        </w:rPr>
        <w:t xml:space="preserve">settling during the dry season. </w:t>
      </w:r>
      <w:r w:rsidRPr="0010002C">
        <w:t>In contrast, other studies have reported decreased transparency in reservoirs experiencing high nutrient loads leading to algal growth (</w:t>
      </w:r>
      <w:proofErr w:type="spellStart"/>
      <w:r w:rsidRPr="0010002C">
        <w:t>Ehiagbonare</w:t>
      </w:r>
      <w:proofErr w:type="spellEnd"/>
      <w:r>
        <w:t xml:space="preserve"> and </w:t>
      </w:r>
      <w:proofErr w:type="spellStart"/>
      <w:r w:rsidRPr="0010002C">
        <w:t>Ogunride</w:t>
      </w:r>
      <w:proofErr w:type="spellEnd"/>
      <w:r w:rsidRPr="0010002C">
        <w:t>, 2010).</w:t>
      </w:r>
    </w:p>
    <w:p w14:paraId="04D91610" w14:textId="77777777" w:rsidR="008B7372" w:rsidRPr="0010002C" w:rsidRDefault="008B7372" w:rsidP="008B7372">
      <w:pPr>
        <w:spacing w:after="0" w:line="240" w:lineRule="auto"/>
        <w:ind w:firstLine="720"/>
        <w:jc w:val="both"/>
      </w:pPr>
      <w:r w:rsidRPr="0010002C">
        <w:t>Conductivity values remained s</w:t>
      </w:r>
      <w:r>
        <w:t>table across all sites and years with</w:t>
      </w:r>
      <w:r w:rsidRPr="0010002C">
        <w:t xml:space="preserve"> no significant differences. This stability suggests low ionic concentration in the water and aligns with findings </w:t>
      </w:r>
      <w:r>
        <w:rPr>
          <w:rFonts w:eastAsia="Times New Roman"/>
          <w:lang w:eastAsia="en-GB"/>
        </w:rPr>
        <w:t xml:space="preserve">of </w:t>
      </w:r>
      <w:r w:rsidRPr="00360E1F">
        <w:rPr>
          <w:rFonts w:eastAsia="Times New Roman"/>
          <w:bCs/>
          <w:lang w:eastAsia="en-GB"/>
        </w:rPr>
        <w:t>Musa and Adamu (2021)</w:t>
      </w:r>
      <w:r w:rsidRPr="0010002C">
        <w:rPr>
          <w:rFonts w:eastAsia="Times New Roman"/>
          <w:lang w:eastAsia="en-GB"/>
        </w:rPr>
        <w:t>, who reported similar conductivity stability in the Gongola River due to low industrial activity.</w:t>
      </w:r>
      <w:r w:rsidRPr="0010002C">
        <w:t xml:space="preserve"> Higher conductivity values have be</w:t>
      </w:r>
      <w:r>
        <w:t xml:space="preserve">en linked to </w:t>
      </w:r>
      <w:r>
        <w:lastRenderedPageBreak/>
        <w:t xml:space="preserve">increased salinity, </w:t>
      </w:r>
      <w:r w:rsidRPr="0010002C">
        <w:t>pollution from runoff</w:t>
      </w:r>
      <w:r>
        <w:t xml:space="preserve"> or </w:t>
      </w:r>
      <w:r w:rsidRPr="0010002C">
        <w:rPr>
          <w:rFonts w:eastAsia="Times New Roman"/>
          <w:lang w:eastAsia="en-GB"/>
        </w:rPr>
        <w:t>oil exploration activities</w:t>
      </w:r>
      <w:r>
        <w:rPr>
          <w:rFonts w:eastAsia="Times New Roman"/>
          <w:lang w:eastAsia="en-GB"/>
        </w:rPr>
        <w:t xml:space="preserve"> (</w:t>
      </w:r>
      <w:r>
        <w:rPr>
          <w:rFonts w:eastAsia="Times New Roman"/>
          <w:bCs/>
          <w:lang w:eastAsia="en-GB"/>
        </w:rPr>
        <w:t xml:space="preserve">Amadi and Nwogu, </w:t>
      </w:r>
      <w:r w:rsidRPr="00360E1F">
        <w:rPr>
          <w:rFonts w:eastAsia="Times New Roman"/>
          <w:bCs/>
          <w:lang w:eastAsia="en-GB"/>
        </w:rPr>
        <w:t>2022)</w:t>
      </w:r>
      <w:r w:rsidRPr="0010002C">
        <w:t>.</w:t>
      </w:r>
    </w:p>
    <w:p w14:paraId="1730224E" w14:textId="77777777" w:rsidR="008B7372" w:rsidRPr="00A90CC3" w:rsidRDefault="008B7372" w:rsidP="008B7372">
      <w:pPr>
        <w:spacing w:after="0" w:line="240" w:lineRule="auto"/>
        <w:ind w:firstLine="720"/>
        <w:jc w:val="both"/>
        <w:rPr>
          <w:rFonts w:eastAsia="Times New Roman"/>
          <w:lang w:eastAsia="en-GB"/>
        </w:rPr>
      </w:pPr>
      <w:r w:rsidRPr="0010002C">
        <w:rPr>
          <w:rFonts w:eastAsia="Times New Roman"/>
          <w:lang w:eastAsia="en-GB"/>
        </w:rPr>
        <w:t>The low</w:t>
      </w:r>
      <w:r>
        <w:rPr>
          <w:rFonts w:eastAsia="Times New Roman"/>
          <w:lang w:eastAsia="en-GB"/>
        </w:rPr>
        <w:t xml:space="preserve"> and consistent nitrate levels </w:t>
      </w:r>
      <w:r w:rsidRPr="0010002C">
        <w:t>across all sites and years</w:t>
      </w:r>
      <w:r>
        <w:t xml:space="preserve"> </w:t>
      </w:r>
      <w:r w:rsidRPr="0010002C">
        <w:rPr>
          <w:rFonts w:eastAsia="Times New Roman"/>
          <w:lang w:eastAsia="en-GB"/>
        </w:rPr>
        <w:t>are indicative of limited nutrient pollution</w:t>
      </w:r>
      <w:r>
        <w:rPr>
          <w:rFonts w:eastAsia="Times New Roman"/>
          <w:lang w:eastAsia="en-GB"/>
        </w:rPr>
        <w:t xml:space="preserve"> </w:t>
      </w:r>
      <w:r w:rsidRPr="0010002C">
        <w:t>from agricultural runoff or sewage discharges</w:t>
      </w:r>
      <w:r w:rsidRPr="0010002C">
        <w:rPr>
          <w:rFonts w:eastAsia="Times New Roman"/>
          <w:lang w:eastAsia="en-GB"/>
        </w:rPr>
        <w:t xml:space="preserve">, aligning with findings by </w:t>
      </w:r>
      <w:proofErr w:type="spellStart"/>
      <w:r>
        <w:rPr>
          <w:rFonts w:eastAsia="Times New Roman"/>
          <w:bCs/>
          <w:lang w:eastAsia="en-GB"/>
        </w:rPr>
        <w:t>Fasakin</w:t>
      </w:r>
      <w:proofErr w:type="spellEnd"/>
      <w:r>
        <w:rPr>
          <w:rFonts w:eastAsia="Times New Roman"/>
          <w:bCs/>
          <w:lang w:eastAsia="en-GB"/>
        </w:rPr>
        <w:t xml:space="preserve"> and </w:t>
      </w:r>
      <w:proofErr w:type="spellStart"/>
      <w:r>
        <w:rPr>
          <w:rFonts w:eastAsia="Times New Roman"/>
          <w:bCs/>
          <w:lang w:eastAsia="en-GB"/>
        </w:rPr>
        <w:t>Ogunlade</w:t>
      </w:r>
      <w:proofErr w:type="spellEnd"/>
      <w:r w:rsidRPr="00A90CC3">
        <w:rPr>
          <w:rFonts w:eastAsia="Times New Roman"/>
          <w:bCs/>
          <w:lang w:eastAsia="en-GB"/>
        </w:rPr>
        <w:t xml:space="preserve"> (2023)</w:t>
      </w:r>
      <w:r w:rsidRPr="0010002C">
        <w:rPr>
          <w:rFonts w:eastAsia="Times New Roman"/>
          <w:lang w:eastAsia="en-GB"/>
        </w:rPr>
        <w:t xml:space="preserve"> in Osse River. The significant decline in phos</w:t>
      </w:r>
      <w:r>
        <w:rPr>
          <w:rFonts w:eastAsia="Times New Roman"/>
          <w:lang w:eastAsia="en-GB"/>
        </w:rPr>
        <w:t xml:space="preserve">phate levels at Site B </w:t>
      </w:r>
      <w:r w:rsidRPr="0010002C">
        <w:rPr>
          <w:rFonts w:eastAsia="Times New Roman"/>
          <w:lang w:eastAsia="en-GB"/>
        </w:rPr>
        <w:t xml:space="preserve">could reflect reduced agricultural runoff, a trend also observed by </w:t>
      </w:r>
      <w:r w:rsidRPr="00A90CC3">
        <w:rPr>
          <w:rFonts w:eastAsia="Times New Roman"/>
          <w:bCs/>
          <w:lang w:eastAsia="en-GB"/>
        </w:rPr>
        <w:t xml:space="preserve">Ifeanyi and </w:t>
      </w:r>
      <w:proofErr w:type="spellStart"/>
      <w:r w:rsidRPr="00A90CC3">
        <w:rPr>
          <w:rFonts w:eastAsia="Times New Roman"/>
          <w:bCs/>
          <w:lang w:eastAsia="en-GB"/>
        </w:rPr>
        <w:t>Okon</w:t>
      </w:r>
      <w:proofErr w:type="spellEnd"/>
      <w:r w:rsidRPr="00A90CC3">
        <w:rPr>
          <w:rFonts w:eastAsia="Times New Roman"/>
          <w:bCs/>
          <w:lang w:eastAsia="en-GB"/>
        </w:rPr>
        <w:t xml:space="preserve"> (2021)</w:t>
      </w:r>
      <w:r w:rsidRPr="0010002C">
        <w:rPr>
          <w:rFonts w:eastAsia="Times New Roman"/>
          <w:lang w:eastAsia="en-GB"/>
        </w:rPr>
        <w:t xml:space="preserve"> in </w:t>
      </w:r>
      <w:proofErr w:type="spellStart"/>
      <w:r w:rsidRPr="0010002C">
        <w:rPr>
          <w:rFonts w:eastAsia="Times New Roman"/>
          <w:lang w:eastAsia="en-GB"/>
        </w:rPr>
        <w:t>Ase</w:t>
      </w:r>
      <w:proofErr w:type="spellEnd"/>
      <w:r w:rsidRPr="0010002C">
        <w:rPr>
          <w:rFonts w:eastAsia="Times New Roman"/>
          <w:lang w:eastAsia="en-GB"/>
        </w:rPr>
        <w:t xml:space="preserve"> River following improved land management practices. However, </w:t>
      </w:r>
      <w:r w:rsidRPr="00A90CC3">
        <w:rPr>
          <w:rFonts w:eastAsia="Times New Roman"/>
          <w:bCs/>
          <w:lang w:eastAsia="en-GB"/>
        </w:rPr>
        <w:t>Okoro and Nnamani (2022)</w:t>
      </w:r>
      <w:r w:rsidRPr="0010002C">
        <w:rPr>
          <w:rFonts w:eastAsia="Times New Roman"/>
          <w:lang w:eastAsia="en-GB"/>
        </w:rPr>
        <w:t xml:space="preserve"> documented rising phosphate levels in </w:t>
      </w:r>
      <w:proofErr w:type="spellStart"/>
      <w:r w:rsidRPr="0010002C">
        <w:rPr>
          <w:rFonts w:eastAsia="Times New Roman"/>
          <w:lang w:eastAsia="en-GB"/>
        </w:rPr>
        <w:t>Otamiri</w:t>
      </w:r>
      <w:proofErr w:type="spellEnd"/>
      <w:r w:rsidRPr="0010002C">
        <w:rPr>
          <w:rFonts w:eastAsia="Times New Roman"/>
          <w:lang w:eastAsia="en-GB"/>
        </w:rPr>
        <w:t xml:space="preserve"> River due to extensive fertilizer application.</w:t>
      </w:r>
    </w:p>
    <w:p w14:paraId="2CA0D08C" w14:textId="77777777" w:rsidR="008B7372" w:rsidRDefault="008B7372" w:rsidP="008B7372">
      <w:pPr>
        <w:spacing w:after="0" w:line="240" w:lineRule="auto"/>
        <w:ind w:firstLine="720"/>
        <w:jc w:val="both"/>
      </w:pPr>
      <w:r w:rsidRPr="0010002C">
        <w:rPr>
          <w:rFonts w:eastAsia="Times New Roman"/>
          <w:lang w:eastAsia="en-GB"/>
        </w:rPr>
        <w:t>The stable chloride levels, with a near-significant trend at Site B (</w:t>
      </w:r>
      <w:r w:rsidRPr="00A63CBC">
        <w:rPr>
          <w:rFonts w:eastAsia="Times New Roman"/>
          <w:i/>
          <w:iCs/>
          <w:lang w:eastAsia="en-GB"/>
        </w:rPr>
        <w:t>p</w:t>
      </w:r>
      <w:r w:rsidRPr="0010002C">
        <w:rPr>
          <w:rFonts w:eastAsia="Times New Roman"/>
          <w:lang w:eastAsia="en-GB"/>
        </w:rPr>
        <w:t xml:space="preserve">=0.051) in the second year, indicate limited salinity concerns. </w:t>
      </w:r>
      <w:r w:rsidRPr="007D2CE6">
        <w:rPr>
          <w:rFonts w:eastAsia="Times New Roman"/>
          <w:bCs/>
          <w:lang w:eastAsia="en-GB"/>
        </w:rPr>
        <w:t>Balogun</w:t>
      </w:r>
      <w:r>
        <w:rPr>
          <w:rFonts w:eastAsia="Times New Roman"/>
          <w:bCs/>
          <w:lang w:eastAsia="en-GB"/>
        </w:rPr>
        <w:t xml:space="preserve"> </w:t>
      </w:r>
      <w:r w:rsidRPr="00DE4B91">
        <w:rPr>
          <w:rFonts w:eastAsia="Times New Roman"/>
          <w:bCs/>
          <w:i/>
          <w:lang w:eastAsia="en-GB"/>
        </w:rPr>
        <w:t>et al</w:t>
      </w:r>
      <w:r w:rsidRPr="007D2CE6">
        <w:rPr>
          <w:rFonts w:eastAsia="Times New Roman"/>
          <w:bCs/>
          <w:lang w:eastAsia="en-GB"/>
        </w:rPr>
        <w:t>. (2022)</w:t>
      </w:r>
      <w:r w:rsidRPr="0010002C">
        <w:rPr>
          <w:rFonts w:eastAsia="Times New Roman"/>
          <w:lang w:eastAsia="en-GB"/>
        </w:rPr>
        <w:t xml:space="preserve"> found comparable results in </w:t>
      </w:r>
      <w:proofErr w:type="spellStart"/>
      <w:r w:rsidRPr="0010002C">
        <w:rPr>
          <w:rFonts w:eastAsia="Times New Roman"/>
          <w:lang w:eastAsia="en-GB"/>
        </w:rPr>
        <w:t>Yewa</w:t>
      </w:r>
      <w:proofErr w:type="spellEnd"/>
      <w:r w:rsidRPr="0010002C">
        <w:rPr>
          <w:rFonts w:eastAsia="Times New Roman"/>
          <w:lang w:eastAsia="en-GB"/>
        </w:rPr>
        <w:t xml:space="preserve"> River, where chloride stability was attribut</w:t>
      </w:r>
      <w:r>
        <w:rPr>
          <w:rFonts w:eastAsia="Times New Roman"/>
          <w:lang w:eastAsia="en-GB"/>
        </w:rPr>
        <w:t xml:space="preserve">ed to minimal saline intrusion. </w:t>
      </w:r>
      <w:r w:rsidRPr="0010002C">
        <w:t>Chloride is often used as an indicator of salinity and potential contamination; thus, monitoring these levels is essential for assessing water quality trends over time.</w:t>
      </w:r>
    </w:p>
    <w:p w14:paraId="306D45E7" w14:textId="77777777" w:rsidR="008B7372" w:rsidRPr="00FE6758" w:rsidRDefault="008B7372" w:rsidP="008B7372">
      <w:pPr>
        <w:spacing w:after="0" w:line="240" w:lineRule="auto"/>
        <w:jc w:val="both"/>
        <w:rPr>
          <w:b/>
        </w:rPr>
      </w:pPr>
      <w:r w:rsidRPr="00FE6758">
        <w:rPr>
          <w:b/>
        </w:rPr>
        <w:t xml:space="preserve">Seasonal Variations </w:t>
      </w:r>
    </w:p>
    <w:p w14:paraId="6B1F8DDA" w14:textId="77777777" w:rsidR="008B7372" w:rsidRPr="00FE6758" w:rsidRDefault="008B7372" w:rsidP="008B7372">
      <w:pPr>
        <w:spacing w:after="0" w:line="240" w:lineRule="auto"/>
        <w:ind w:firstLine="720"/>
        <w:jc w:val="both"/>
      </w:pPr>
      <w:r w:rsidRPr="00FE6758">
        <w:t>The temperature was significantly higher during the dry season compared to the</w:t>
      </w:r>
      <w:r>
        <w:t xml:space="preserve"> rainy season across all years. </w:t>
      </w:r>
      <w:r w:rsidRPr="00FE6758">
        <w:t xml:space="preserve">For instance, in 2021/2022, the temperature recorded was 27.24°C in the dry season versus 24.47°C in the rainy season. This trend is consistent with findings from studies conducted in similar tropical environments, such as the </w:t>
      </w:r>
      <w:proofErr w:type="spellStart"/>
      <w:r w:rsidRPr="00FE6758">
        <w:t>Hathaikheda</w:t>
      </w:r>
      <w:proofErr w:type="spellEnd"/>
      <w:r w:rsidRPr="00FE6758">
        <w:t xml:space="preserve"> Reservoir in Bhopal, India, where seasonal temperature variations were also significant, reflecting typical climatic patterns (Dey</w:t>
      </w:r>
      <w:r>
        <w:t xml:space="preserve"> </w:t>
      </w:r>
      <w:r w:rsidRPr="00DE4B91">
        <w:rPr>
          <w:i/>
        </w:rPr>
        <w:t>et al</w:t>
      </w:r>
      <w:r w:rsidRPr="00FE6758">
        <w:t>., 2023). Higher temperatures during dry seasons can lead to increased evaporation rates and potential impacts on aquatic life due to thermal stress (Olalekan</w:t>
      </w:r>
      <w:r>
        <w:t xml:space="preserve"> </w:t>
      </w:r>
      <w:r w:rsidRPr="00DE4B91">
        <w:rPr>
          <w:i/>
        </w:rPr>
        <w:t>et al</w:t>
      </w:r>
      <w:r w:rsidRPr="00FE6758">
        <w:t>., 2023).</w:t>
      </w:r>
    </w:p>
    <w:p w14:paraId="3491C35B" w14:textId="77777777" w:rsidR="008B7372" w:rsidRPr="00FE6758" w:rsidRDefault="008B7372" w:rsidP="008B7372">
      <w:pPr>
        <w:spacing w:after="0" w:line="240" w:lineRule="auto"/>
        <w:ind w:firstLine="720"/>
        <w:jc w:val="both"/>
      </w:pPr>
      <w:r w:rsidRPr="00FE6758">
        <w:t xml:space="preserve">pH levels were significantly lower during the dry season compared to the rainy season in the first two years. However, in 2023/2024, </w:t>
      </w:r>
      <w:r>
        <w:t>there is</w:t>
      </w:r>
      <w:r w:rsidRPr="00FE6758">
        <w:t xml:space="preserve"> no significant difference between seasons. These findings align with research conducted on water bodies in Osun State, Nigeria, where seasonal pH fluctuations were observed due to varying biological activity and runoff effects during different seasons (</w:t>
      </w:r>
      <w:proofErr w:type="spellStart"/>
      <w:r w:rsidRPr="00FE6758">
        <w:t>Awogbami</w:t>
      </w:r>
      <w:proofErr w:type="spellEnd"/>
      <w:r>
        <w:t xml:space="preserve"> </w:t>
      </w:r>
      <w:r w:rsidRPr="00DE4B91">
        <w:rPr>
          <w:i/>
        </w:rPr>
        <w:t>et al</w:t>
      </w:r>
      <w:r w:rsidRPr="00FE6758">
        <w:t>., 2024). The lower pH during dry seasons may be attributed to increased organic matter decomposition and reduced dilution from rainfall.</w:t>
      </w:r>
    </w:p>
    <w:p w14:paraId="570047E8" w14:textId="77777777" w:rsidR="008B7372" w:rsidRPr="00FE6758" w:rsidRDefault="008B7372" w:rsidP="008B7372">
      <w:pPr>
        <w:spacing w:after="0" w:line="240" w:lineRule="auto"/>
        <w:ind w:firstLine="720"/>
        <w:jc w:val="both"/>
      </w:pPr>
      <w:r w:rsidRPr="00FE6758">
        <w:t>TDS values were significantly higher during the rainy season in 2021/2022 and showed a notable increase in 2023/2024. This observation is consistent with studies from other regions where TDS levels tend to rise during rainy seasons due to increased runoff carrying dissolved sub</w:t>
      </w:r>
      <w:r>
        <w:t>stances into water bodies</w:t>
      </w:r>
      <w:r w:rsidRPr="00FE6758">
        <w:t>. Elevated TDS can indicate potential pollution sources and may affect aquatic life by altering osmoregulation processes.</w:t>
      </w:r>
    </w:p>
    <w:p w14:paraId="40D384EB" w14:textId="77777777" w:rsidR="008B7372" w:rsidRPr="00FE6758" w:rsidRDefault="008B7372" w:rsidP="008B7372">
      <w:pPr>
        <w:spacing w:after="0" w:line="240" w:lineRule="auto"/>
        <w:ind w:firstLine="720"/>
        <w:jc w:val="both"/>
      </w:pPr>
      <w:r w:rsidRPr="00FE6758">
        <w:t>Biological Oxygen Demand levels were significantly higher during the rainy season across all years analyzed. This trend is similar to findings from studies on freshwater lakes where increased rainfall led to higher organic matter inputs from runoff, resulting in elevated BOD levels (Anyanwu</w:t>
      </w:r>
      <w:r>
        <w:t xml:space="preserve"> and </w:t>
      </w:r>
      <w:r w:rsidRPr="00FE6758">
        <w:t>Ezema, 2021). High BOD can be detrimental as it indicates lower oxygen availability for aquatic organisms.</w:t>
      </w:r>
    </w:p>
    <w:p w14:paraId="0D9F0BF5" w14:textId="77777777" w:rsidR="008B7372" w:rsidRPr="00FE6758" w:rsidRDefault="008B7372" w:rsidP="008B7372">
      <w:pPr>
        <w:spacing w:after="0" w:line="240" w:lineRule="auto"/>
        <w:ind w:firstLine="720"/>
        <w:jc w:val="both"/>
      </w:pPr>
      <w:r w:rsidRPr="00FE6758">
        <w:t>Dissolved Oxygen levels were significantly lower in the dry season compared to the rainy season for all years analyzed. This pattern aligns with research indicating that lower water levels and higher temperatures during dry periods can reduce oxygen solubility and availability (</w:t>
      </w:r>
      <w:r w:rsidRPr="00AB54F8">
        <w:rPr>
          <w:rStyle w:val="Strong"/>
          <w:b w:val="0"/>
          <w:bCs w:val="0"/>
        </w:rPr>
        <w:t>Oyedeji</w:t>
      </w:r>
      <w:r>
        <w:t xml:space="preserve"> </w:t>
      </w:r>
      <w:r w:rsidRPr="00DE4B91">
        <w:rPr>
          <w:i/>
        </w:rPr>
        <w:t>et al</w:t>
      </w:r>
      <w:r w:rsidRPr="00FE6758">
        <w:t>., 2023). Conversely, higher DO levels during rainy seasons are often linked to increased turbulence and mixing of water.</w:t>
      </w:r>
    </w:p>
    <w:p w14:paraId="299A6EA7" w14:textId="77777777" w:rsidR="008B7372" w:rsidRPr="00FE6758" w:rsidRDefault="008B7372" w:rsidP="008B7372">
      <w:pPr>
        <w:spacing w:after="0" w:line="240" w:lineRule="auto"/>
        <w:ind w:firstLine="720"/>
        <w:jc w:val="both"/>
      </w:pPr>
      <w:r w:rsidRPr="00FE6758">
        <w:t xml:space="preserve">Transparency did not show significant differences between seasons in most years except for a significant difference in 2023/2024. This finding contrasts with studies conducted at </w:t>
      </w:r>
      <w:proofErr w:type="spellStart"/>
      <w:r w:rsidRPr="00FE6758">
        <w:t>Hathaikheda</w:t>
      </w:r>
      <w:proofErr w:type="spellEnd"/>
      <w:r w:rsidRPr="00FE6758">
        <w:t xml:space="preserve"> Reservoir, where high turbidity was noted during rainy seasons due to increased sediment runoff (Dey</w:t>
      </w:r>
      <w:r>
        <w:t xml:space="preserve"> </w:t>
      </w:r>
      <w:r w:rsidRPr="00DE4B91">
        <w:rPr>
          <w:i/>
        </w:rPr>
        <w:t>et al</w:t>
      </w:r>
      <w:r w:rsidRPr="00FE6758">
        <w:t xml:space="preserve">., 2023). The lack of significant variation at </w:t>
      </w:r>
      <w:proofErr w:type="spellStart"/>
      <w:r>
        <w:t>Owala</w:t>
      </w:r>
      <w:proofErr w:type="spellEnd"/>
      <w:r w:rsidRPr="00FE6758">
        <w:t xml:space="preserve"> Dam suggests stable sediment conditions or effective sedimentation processes.</w:t>
      </w:r>
    </w:p>
    <w:p w14:paraId="2493BC6F" w14:textId="77777777" w:rsidR="008B7372" w:rsidRPr="00FE6758" w:rsidRDefault="008B7372" w:rsidP="008B7372">
      <w:pPr>
        <w:spacing w:after="0" w:line="240" w:lineRule="auto"/>
        <w:ind w:firstLine="720"/>
        <w:jc w:val="both"/>
      </w:pPr>
      <w:r w:rsidRPr="00FE6758">
        <w:lastRenderedPageBreak/>
        <w:t>Electrical conductivity was significantly higher during the rainy season across all years analyzed. This trend is consistent with findings from other studies that report increased conductivity during wet periods due to higher concentrations of dissolved ions from surface runoff (</w:t>
      </w:r>
      <w:proofErr w:type="spellStart"/>
      <w:r w:rsidRPr="00FE6758">
        <w:t>Awogbami</w:t>
      </w:r>
      <w:proofErr w:type="spellEnd"/>
      <w:r>
        <w:t xml:space="preserve"> </w:t>
      </w:r>
      <w:r w:rsidRPr="00DE4B91">
        <w:rPr>
          <w:i/>
        </w:rPr>
        <w:t>et al</w:t>
      </w:r>
      <w:r w:rsidRPr="00FE6758">
        <w:t>., 2024). Elevated conductivity can indicate potential salinity issues affecting aquatic ecosystems.</w:t>
      </w:r>
    </w:p>
    <w:p w14:paraId="52B0B7E7" w14:textId="77777777" w:rsidR="008B7372" w:rsidRPr="00FE6758" w:rsidRDefault="008B7372" w:rsidP="008B7372">
      <w:pPr>
        <w:spacing w:after="0" w:line="240" w:lineRule="auto"/>
        <w:ind w:firstLine="720"/>
        <w:jc w:val="both"/>
      </w:pPr>
      <w:r w:rsidRPr="00FE6758">
        <w:t>Nitrate levels showed no significant differences between dry and rainy seasons in earlier years but had a significant difference in 2023/2024. Phosphate levels were significantly higher during the rainy season across all years analyzed. These findings are consistent with studies indicating that nutrient levels often spike during rainy seasons due to agricultural runoff and urban drainage systems contributing excess nutrients into water bodies (Dey</w:t>
      </w:r>
      <w:r>
        <w:t xml:space="preserve"> </w:t>
      </w:r>
      <w:r w:rsidRPr="00DE4B91">
        <w:rPr>
          <w:i/>
        </w:rPr>
        <w:t>et al</w:t>
      </w:r>
      <w:r w:rsidRPr="00FE6758">
        <w:t>., 2023).</w:t>
      </w:r>
    </w:p>
    <w:p w14:paraId="608C00FE" w14:textId="77777777" w:rsidR="008B7372" w:rsidRPr="00FE6758" w:rsidRDefault="008B7372" w:rsidP="008B7372">
      <w:pPr>
        <w:spacing w:after="0" w:line="240" w:lineRule="auto"/>
        <w:ind w:firstLine="720"/>
        <w:jc w:val="both"/>
      </w:pPr>
      <w:r w:rsidRPr="00FE6758">
        <w:t>Chloride concentrations were generally higher during the rainy season, particularly</w:t>
      </w:r>
      <w:r>
        <w:t xml:space="preserve"> significant in the second year</w:t>
      </w:r>
      <w:r w:rsidRPr="00FE6758">
        <w:t xml:space="preserve"> and third year. This trend aligns with research indicating that chloride levels can increase due to storm</w:t>
      </w:r>
      <w:r>
        <w:t xml:space="preserve"> </w:t>
      </w:r>
      <w:r w:rsidRPr="00FE6758">
        <w:t>water runoff containing road salts and other contaminants commonly washed into aquatic systems during rainfall events (</w:t>
      </w:r>
      <w:proofErr w:type="spellStart"/>
      <w:r w:rsidRPr="00FE6758">
        <w:t>Awogbami</w:t>
      </w:r>
      <w:proofErr w:type="spellEnd"/>
      <w:r>
        <w:t xml:space="preserve"> </w:t>
      </w:r>
      <w:r w:rsidRPr="00DE4B91">
        <w:rPr>
          <w:i/>
        </w:rPr>
        <w:t>et al</w:t>
      </w:r>
      <w:r w:rsidRPr="00FE6758">
        <w:t>., 2024).</w:t>
      </w:r>
    </w:p>
    <w:p w14:paraId="760EF593" w14:textId="77777777" w:rsidR="008B7372" w:rsidRDefault="008B7372" w:rsidP="008B7372">
      <w:pPr>
        <w:spacing w:after="0" w:line="240" w:lineRule="auto"/>
        <w:jc w:val="both"/>
        <w:rPr>
          <w:b/>
          <w:i/>
        </w:rPr>
      </w:pPr>
      <w:r>
        <w:rPr>
          <w:b/>
          <w:i/>
        </w:rPr>
        <w:t>Monthly Variations</w:t>
      </w:r>
    </w:p>
    <w:p w14:paraId="36EFF86C" w14:textId="77777777" w:rsidR="008B7372" w:rsidRPr="00EC32FD" w:rsidRDefault="008B7372" w:rsidP="008B7372">
      <w:pPr>
        <w:spacing w:after="0" w:line="240" w:lineRule="auto"/>
        <w:ind w:firstLine="720"/>
        <w:jc w:val="both"/>
      </w:pPr>
      <w:r w:rsidRPr="00EC32FD">
        <w:t>The consistently stable temperatures</w:t>
      </w:r>
      <w:r>
        <w:t xml:space="preserve"> </w:t>
      </w:r>
      <w:r w:rsidRPr="00EC32FD">
        <w:t xml:space="preserve">(26.90°C) in </w:t>
      </w:r>
      <w:proofErr w:type="spellStart"/>
      <w:r w:rsidRPr="00EC32FD">
        <w:t>November</w:t>
      </w:r>
      <w:r w:rsidRPr="00FB3E17">
        <w:t>both</w:t>
      </w:r>
      <w:proofErr w:type="spellEnd"/>
      <w:r w:rsidRPr="00FB3E17">
        <w:t xml:space="preserve"> 2021 and 2023</w:t>
      </w:r>
      <w:r w:rsidRPr="00EC32FD">
        <w:t xml:space="preserve"> and peak values in March (28.73°C in 2021/2022) align with expected dry-season heat intensification. The lowest values recorded in July–August correspond to the cooling effects of rainfall and reduced solar radiation during the rainy season. These trends are similar to findings at Owena Reservoir, where dry-season temperatures peaked in March and rainy-season cooling was observed (Ajibola and Akinwale, 2022). The slight elevation in temperatures in August–September 2023/2024 may reflect climate variability or anthropogenic influences, as reported by Anyanwu</w:t>
      </w:r>
      <w:r>
        <w:t xml:space="preserve"> </w:t>
      </w:r>
      <w:r w:rsidRPr="00DE4B91">
        <w:rPr>
          <w:i/>
        </w:rPr>
        <w:t>et al</w:t>
      </w:r>
      <w:r w:rsidRPr="00EC32FD">
        <w:t>. (2023) in Nigerian inland waters.</w:t>
      </w:r>
    </w:p>
    <w:p w14:paraId="2F1A0FFE" w14:textId="77777777" w:rsidR="008B7372" w:rsidRPr="00EC32FD" w:rsidRDefault="008B7372" w:rsidP="008B7372">
      <w:pPr>
        <w:spacing w:after="0" w:line="240" w:lineRule="auto"/>
        <w:ind w:firstLine="720"/>
        <w:jc w:val="both"/>
      </w:pPr>
      <w:r w:rsidRPr="00EC32FD">
        <w:t xml:space="preserve">The monthly pH fluctuations from slightly acidic to neutral during the dry season and more alkaline conditions during the rainy season reflect buffering from rainfall and dilution of acidic inputs. Similar patterns were observed in Tiga Dam, where rainy seasons improved water alkalinity (Ibrahim and Adamu, 2022). The pH </w:t>
      </w:r>
      <w:proofErr w:type="gramStart"/>
      <w:r w:rsidRPr="00EC32FD">
        <w:t>drop</w:t>
      </w:r>
      <w:proofErr w:type="gramEnd"/>
      <w:r w:rsidRPr="00EC32FD">
        <w:t xml:space="preserve"> in July–August 2023/2024 is concerning and could be linked to organic matter decomposition, as noted in studies of River Benue (</w:t>
      </w:r>
      <w:proofErr w:type="spellStart"/>
      <w:r w:rsidRPr="00EC32FD">
        <w:t>Ogundele</w:t>
      </w:r>
      <w:proofErr w:type="spellEnd"/>
      <w:r w:rsidRPr="00EC32FD">
        <w:t xml:space="preserve"> and </w:t>
      </w:r>
      <w:proofErr w:type="spellStart"/>
      <w:r w:rsidRPr="00EC32FD">
        <w:t>Obasola</w:t>
      </w:r>
      <w:proofErr w:type="spellEnd"/>
      <w:r w:rsidRPr="00EC32FD">
        <w:t>, 2023).</w:t>
      </w:r>
    </w:p>
    <w:p w14:paraId="15E44510" w14:textId="77777777" w:rsidR="008B7372" w:rsidRPr="00EC32FD" w:rsidRDefault="008B7372" w:rsidP="008B7372">
      <w:pPr>
        <w:spacing w:after="0" w:line="240" w:lineRule="auto"/>
        <w:ind w:firstLine="720"/>
        <w:jc w:val="both"/>
      </w:pPr>
      <w:r w:rsidRPr="00EC32FD">
        <w:t xml:space="preserve">The consistent peak TDS in April </w:t>
      </w:r>
      <w:r>
        <w:t>2021/2022</w:t>
      </w:r>
      <w:r w:rsidRPr="00EC32FD">
        <w:t xml:space="preserve"> is likely due to evaporation and the concentration of dissolved minerals during the dry season. The observed increase in TDS during September–October 2023/2024 may reflect agricultural runoff following the onset of rains. A similar seasonal TDS pattern was reported in Ogun River, where runoff during rainy months elevated dissolved solids (Balogun and Adewale, 2022).</w:t>
      </w:r>
    </w:p>
    <w:p w14:paraId="713A3CB8" w14:textId="77777777" w:rsidR="008B7372" w:rsidRPr="00EC32FD" w:rsidRDefault="008B7372" w:rsidP="008B7372">
      <w:pPr>
        <w:spacing w:after="0" w:line="240" w:lineRule="auto"/>
        <w:ind w:firstLine="720"/>
        <w:jc w:val="both"/>
      </w:pPr>
      <w:r w:rsidRPr="00EC32FD">
        <w:t>The peak BOD levels during the wet season, particularly in August (171.33 mg/L in 2021/2022), indicate increased organic matter input from runoff, consistent with findings in Anambra River (Ekwueme and Udeh, 2022). Rising BOD values in September 2023/2024 highlight potential pollution from agricultural or urban activities, similar to observations in River Niger (Okoro</w:t>
      </w:r>
      <w:r>
        <w:t xml:space="preserve"> </w:t>
      </w:r>
      <w:r w:rsidRPr="00DE4B91">
        <w:rPr>
          <w:i/>
        </w:rPr>
        <w:t>et al</w:t>
      </w:r>
      <w:r w:rsidRPr="00EC32FD">
        <w:t>., 2023).</w:t>
      </w:r>
    </w:p>
    <w:p w14:paraId="62384ABD" w14:textId="77777777" w:rsidR="008B7372" w:rsidRPr="00EC32FD" w:rsidRDefault="008B7372" w:rsidP="008B7372">
      <w:pPr>
        <w:spacing w:after="0" w:line="240" w:lineRule="auto"/>
        <w:ind w:firstLine="720"/>
        <w:jc w:val="both"/>
      </w:pPr>
      <w:r w:rsidRPr="00EC32FD">
        <w:t xml:space="preserve">Dissolved Oxygen levels peaking in July–August 2021/2022 underscore the influence of aeration from rainfall and reduced temperature, which enhances oxygen solubility. Declining DO in April–May, particularly in 2023/2024, aligns with increased microbial activity and oxygen consumption. This trend mirrors findings in the </w:t>
      </w:r>
      <w:proofErr w:type="spellStart"/>
      <w:r w:rsidRPr="00EC32FD">
        <w:t>Hadejia-Nguru</w:t>
      </w:r>
      <w:proofErr w:type="spellEnd"/>
      <w:r w:rsidRPr="00EC32FD">
        <w:t xml:space="preserve"> wetlands (Musa and Adamu, 2022).</w:t>
      </w:r>
    </w:p>
    <w:p w14:paraId="24982415" w14:textId="77777777" w:rsidR="008B7372" w:rsidRPr="00EC32FD" w:rsidRDefault="008B7372" w:rsidP="008B7372">
      <w:pPr>
        <w:spacing w:after="0" w:line="240" w:lineRule="auto"/>
        <w:ind w:firstLine="720"/>
        <w:jc w:val="both"/>
      </w:pPr>
      <w:r w:rsidRPr="00EC32FD">
        <w:t>Transparency peaks in August 2021/2022 (1.60 m) suggest sediment settling during the wet season, while declines in subsequent years indicate sustained sediment influx. The clearer waters in November and December are consistent with dry-season sedimentation dynamics observed in Lake Chad (Yakubu</w:t>
      </w:r>
      <w:r>
        <w:t xml:space="preserve"> </w:t>
      </w:r>
      <w:r w:rsidRPr="00DE4B91">
        <w:rPr>
          <w:i/>
        </w:rPr>
        <w:t>et al</w:t>
      </w:r>
      <w:r w:rsidRPr="00EC32FD">
        <w:t>., 2022</w:t>
      </w:r>
      <w:proofErr w:type="gramStart"/>
      <w:r w:rsidRPr="00EC32FD">
        <w:t>).The</w:t>
      </w:r>
      <w:proofErr w:type="gramEnd"/>
      <w:r w:rsidRPr="00EC32FD">
        <w:t xml:space="preserve"> elevated EC in September–</w:t>
      </w:r>
      <w:r w:rsidRPr="00EC32FD">
        <w:lastRenderedPageBreak/>
        <w:t>October 2023/2024 (0.64–0.71 mS/cm) likely reflects increased ion concentrations from agricultural runoff. This pattern aligns with studies in Gongola River, where rainy-season runoff increased ionic conductivity (Anyanwu</w:t>
      </w:r>
      <w:r>
        <w:t xml:space="preserve"> </w:t>
      </w:r>
      <w:r w:rsidRPr="00DE4B91">
        <w:rPr>
          <w:i/>
        </w:rPr>
        <w:t>et al</w:t>
      </w:r>
      <w:r w:rsidRPr="00EC32FD">
        <w:t>., 2023).</w:t>
      </w:r>
    </w:p>
    <w:p w14:paraId="7BACF0EC" w14:textId="77777777" w:rsidR="008B7372" w:rsidRPr="00EC32FD" w:rsidRDefault="008B7372" w:rsidP="008B7372">
      <w:pPr>
        <w:spacing w:after="0" w:line="240" w:lineRule="auto"/>
        <w:ind w:firstLine="720"/>
        <w:jc w:val="both"/>
      </w:pPr>
      <w:r w:rsidRPr="00EC32FD">
        <w:t xml:space="preserve">Highest nitrate values in August–October (0.06 mg/L) correspond to agricultural runoff, consistent with findings in </w:t>
      </w:r>
      <w:proofErr w:type="spellStart"/>
      <w:r w:rsidRPr="00EC32FD">
        <w:t>Otamiri</w:t>
      </w:r>
      <w:proofErr w:type="spellEnd"/>
      <w:r w:rsidRPr="00EC32FD">
        <w:t xml:space="preserve"> River (Okoro and Nnamani, 2022). The minimal nitrate concentrations in June–July reflect lower fertilizer application rates during planting.</w:t>
      </w:r>
      <w:r>
        <w:t xml:space="preserve"> </w:t>
      </w:r>
      <w:r w:rsidRPr="00EC32FD">
        <w:t>Stable phosp</w:t>
      </w:r>
      <w:r>
        <w:t>hate values in August–September</w:t>
      </w:r>
      <w:r w:rsidRPr="00EC32FD">
        <w:t xml:space="preserve"> across years indicate consistent agricultural inputs. The highest phosphate in March 2021/2022 (0.44 mg/L) could result from residual fertilizer runoff after planting, a pattern also observed in </w:t>
      </w:r>
      <w:proofErr w:type="spellStart"/>
      <w:r w:rsidRPr="00EC32FD">
        <w:t>Orashi</w:t>
      </w:r>
      <w:proofErr w:type="spellEnd"/>
      <w:r w:rsidRPr="00EC32FD">
        <w:t xml:space="preserve"> River (Chukwuma</w:t>
      </w:r>
      <w:r>
        <w:t xml:space="preserve"> </w:t>
      </w:r>
      <w:r w:rsidRPr="00DE4B91">
        <w:rPr>
          <w:i/>
        </w:rPr>
        <w:t>et al</w:t>
      </w:r>
      <w:r w:rsidRPr="00EC32FD">
        <w:t>., 2022).</w:t>
      </w:r>
    </w:p>
    <w:p w14:paraId="34A38FE3" w14:textId="77777777" w:rsidR="008B7372" w:rsidRDefault="008B7372" w:rsidP="008B7372">
      <w:pPr>
        <w:spacing w:after="0" w:line="240" w:lineRule="auto"/>
        <w:jc w:val="both"/>
      </w:pPr>
      <w:r w:rsidRPr="00EC32FD">
        <w:t xml:space="preserve">The rising chloride levels in September–October 2023/2024 (49.28 mg/L) suggest saline intrusion or runoff containing salts, similar to trends in </w:t>
      </w:r>
      <w:proofErr w:type="spellStart"/>
      <w:r w:rsidRPr="00EC32FD">
        <w:t>Yewa</w:t>
      </w:r>
      <w:proofErr w:type="spellEnd"/>
      <w:r w:rsidRPr="00EC32FD">
        <w:t xml:space="preserve"> River (Balogun</w:t>
      </w:r>
      <w:r>
        <w:t xml:space="preserve"> </w:t>
      </w:r>
      <w:r w:rsidRPr="00DE4B91">
        <w:rPr>
          <w:i/>
        </w:rPr>
        <w:t>et al</w:t>
      </w:r>
      <w:r w:rsidRPr="00EC32FD">
        <w:t>., 2022). The lowe</w:t>
      </w:r>
      <w:r>
        <w:t xml:space="preserve">st values in December 2021/2022 </w:t>
      </w:r>
      <w:r w:rsidRPr="00EC32FD">
        <w:t>reflect reduced anthropogenic inputs during the dry season.</w:t>
      </w:r>
    </w:p>
    <w:p w14:paraId="01D3BE93" w14:textId="77777777" w:rsidR="008B7372" w:rsidRDefault="008B7372" w:rsidP="008B7372">
      <w:pPr>
        <w:spacing w:after="0" w:line="240" w:lineRule="auto"/>
        <w:jc w:val="both"/>
        <w:rPr>
          <w:b/>
        </w:rPr>
      </w:pPr>
      <w:r>
        <w:rPr>
          <w:b/>
        </w:rPr>
        <w:t>CONCLUSION</w:t>
      </w:r>
    </w:p>
    <w:p w14:paraId="3342CF57" w14:textId="77777777" w:rsidR="008B7372" w:rsidRDefault="008B7372" w:rsidP="008B7372">
      <w:pPr>
        <w:spacing w:after="0" w:line="240" w:lineRule="auto"/>
        <w:ind w:firstLine="720"/>
        <w:jc w:val="both"/>
        <w:rPr>
          <w:rFonts w:eastAsia="Times New Roman" w:cs="Times New Roman"/>
          <w:szCs w:val="24"/>
          <w:lang w:eastAsia="en-GB"/>
        </w:rPr>
      </w:pPr>
      <w:r w:rsidRPr="00715687">
        <w:rPr>
          <w:rFonts w:eastAsia="Times New Roman" w:cs="Times New Roman"/>
          <w:szCs w:val="24"/>
          <w:lang w:eastAsia="en-GB"/>
        </w:rPr>
        <w:t xml:space="preserve">The water quality at </w:t>
      </w:r>
      <w:proofErr w:type="spellStart"/>
      <w:r w:rsidRPr="00715687">
        <w:rPr>
          <w:rFonts w:eastAsia="Times New Roman" w:cs="Times New Roman"/>
          <w:szCs w:val="24"/>
          <w:lang w:eastAsia="en-GB"/>
        </w:rPr>
        <w:t>Owala</w:t>
      </w:r>
      <w:proofErr w:type="spellEnd"/>
      <w:r w:rsidRPr="00715687">
        <w:rPr>
          <w:rFonts w:eastAsia="Times New Roman" w:cs="Times New Roman"/>
          <w:szCs w:val="24"/>
          <w:lang w:eastAsia="en-GB"/>
        </w:rPr>
        <w:t xml:space="preserve"> Dam is generally satisfactory, with consistent dissolved solids, pH, and temperature. Rising BOD and decreasing transparency, however, draw attention to new dangers posed by organic pollution and sedimentation. Seasonal increases in conductivity and nutrients highlight the effects of runoff and land usage. Therefore, it is advised that sources of organic contamination, such as runoff from cities and farms, be monitored.</w:t>
      </w:r>
    </w:p>
    <w:p w14:paraId="3F98FEA8" w14:textId="77777777" w:rsidR="00DD53D4" w:rsidRDefault="00DD53D4" w:rsidP="00DD53D4">
      <w:pPr>
        <w:spacing w:after="0" w:line="240" w:lineRule="auto"/>
        <w:rPr>
          <w:b/>
          <w:bCs/>
          <w:i/>
          <w:color w:val="222222"/>
          <w:szCs w:val="24"/>
          <w:shd w:val="clear" w:color="auto" w:fill="FFFFFF"/>
        </w:rPr>
      </w:pPr>
      <w:bookmarkStart w:id="5" w:name="_GoBack"/>
      <w:bookmarkEnd w:id="5"/>
    </w:p>
    <w:p w14:paraId="57781B3E" w14:textId="77777777" w:rsidR="00DD53D4" w:rsidRPr="00F84A07" w:rsidRDefault="00DD53D4" w:rsidP="008B7372">
      <w:pPr>
        <w:spacing w:after="0" w:line="240" w:lineRule="auto"/>
        <w:ind w:firstLine="720"/>
        <w:jc w:val="both"/>
        <w:rPr>
          <w:b/>
        </w:rPr>
      </w:pPr>
    </w:p>
    <w:p w14:paraId="25191074" w14:textId="77777777" w:rsidR="008B7372" w:rsidRDefault="008B7372" w:rsidP="008B7372">
      <w:pPr>
        <w:spacing w:after="0" w:line="240" w:lineRule="auto"/>
        <w:jc w:val="both"/>
        <w:rPr>
          <w:rStyle w:val="Strong"/>
        </w:rPr>
      </w:pPr>
      <w:r w:rsidRPr="00781CD6">
        <w:rPr>
          <w:rStyle w:val="Strong"/>
          <w:rFonts w:cs="Times New Roman"/>
          <w:szCs w:val="24"/>
        </w:rPr>
        <w:t>REFERENCES</w:t>
      </w:r>
    </w:p>
    <w:p w14:paraId="4D99066F" w14:textId="77777777" w:rsidR="00FE51D1" w:rsidRPr="00FE51D1" w:rsidRDefault="00FE51D1" w:rsidP="00FE51D1">
      <w:pPr>
        <w:spacing w:after="0" w:line="240" w:lineRule="auto"/>
        <w:jc w:val="both"/>
        <w:rPr>
          <w:rFonts w:asciiTheme="majorBidi" w:hAnsiTheme="majorBidi" w:cstheme="majorBidi"/>
          <w:b/>
          <w:bCs/>
          <w:szCs w:val="24"/>
        </w:rPr>
      </w:pPr>
      <w:r w:rsidRPr="00FE51D1">
        <w:rPr>
          <w:rFonts w:asciiTheme="majorBidi" w:hAnsiTheme="majorBidi" w:cstheme="majorBidi"/>
          <w:szCs w:val="24"/>
        </w:rPr>
        <w:t xml:space="preserve">Abdus-Salam, N., Bale, R.B., </w:t>
      </w:r>
      <w:proofErr w:type="spellStart"/>
      <w:r w:rsidRPr="00FE51D1">
        <w:rPr>
          <w:rFonts w:asciiTheme="majorBidi" w:hAnsiTheme="majorBidi" w:cstheme="majorBidi"/>
          <w:szCs w:val="24"/>
        </w:rPr>
        <w:t>Taorid</w:t>
      </w:r>
      <w:proofErr w:type="spellEnd"/>
      <w:r w:rsidRPr="00FE51D1">
        <w:rPr>
          <w:rFonts w:asciiTheme="majorBidi" w:hAnsiTheme="majorBidi" w:cstheme="majorBidi"/>
          <w:szCs w:val="24"/>
        </w:rPr>
        <w:t xml:space="preserve">, R., </w:t>
      </w:r>
      <w:proofErr w:type="spellStart"/>
      <w:r w:rsidRPr="00FE51D1">
        <w:rPr>
          <w:rFonts w:asciiTheme="majorBidi" w:hAnsiTheme="majorBidi" w:cstheme="majorBidi"/>
          <w:szCs w:val="24"/>
        </w:rPr>
        <w:t>andAdeniyi</w:t>
      </w:r>
      <w:proofErr w:type="spellEnd"/>
      <w:r w:rsidRPr="00FE51D1">
        <w:rPr>
          <w:rFonts w:asciiTheme="majorBidi" w:hAnsiTheme="majorBidi" w:cstheme="majorBidi"/>
          <w:szCs w:val="24"/>
        </w:rPr>
        <w:t xml:space="preserve">, O.O. (2021). Studies of Water </w:t>
      </w:r>
      <w:r w:rsidRPr="00FE51D1">
        <w:rPr>
          <w:rFonts w:asciiTheme="majorBidi" w:hAnsiTheme="majorBidi" w:cstheme="majorBidi"/>
          <w:szCs w:val="24"/>
        </w:rPr>
        <w:tab/>
        <w:t xml:space="preserve">and </w:t>
      </w:r>
      <w:r w:rsidRPr="00FE51D1">
        <w:rPr>
          <w:rFonts w:asciiTheme="majorBidi" w:hAnsiTheme="majorBidi" w:cstheme="majorBidi"/>
          <w:szCs w:val="24"/>
        </w:rPr>
        <w:tab/>
        <w:t xml:space="preserve">Sediment Quality of </w:t>
      </w:r>
      <w:proofErr w:type="spellStart"/>
      <w:r w:rsidRPr="00FE51D1">
        <w:rPr>
          <w:rFonts w:asciiTheme="majorBidi" w:hAnsiTheme="majorBidi" w:cstheme="majorBidi"/>
          <w:szCs w:val="24"/>
        </w:rPr>
        <w:t>Owalla</w:t>
      </w:r>
      <w:proofErr w:type="spellEnd"/>
      <w:r w:rsidRPr="00FE51D1">
        <w:rPr>
          <w:rFonts w:asciiTheme="majorBidi" w:hAnsiTheme="majorBidi" w:cstheme="majorBidi"/>
          <w:szCs w:val="24"/>
        </w:rPr>
        <w:t xml:space="preserve"> Dam, Osun State, Nigeria. </w:t>
      </w:r>
      <w:r w:rsidRPr="00FE51D1">
        <w:rPr>
          <w:rFonts w:asciiTheme="majorBidi" w:hAnsiTheme="majorBidi" w:cstheme="majorBidi"/>
          <w:i/>
          <w:szCs w:val="24"/>
        </w:rPr>
        <w:t xml:space="preserve">Fountain Journal of </w:t>
      </w:r>
      <w:r w:rsidRPr="00FE51D1">
        <w:rPr>
          <w:rFonts w:asciiTheme="majorBidi" w:hAnsiTheme="majorBidi" w:cstheme="majorBidi"/>
          <w:i/>
          <w:szCs w:val="24"/>
        </w:rPr>
        <w:tab/>
        <w:t>Natural Sciences</w:t>
      </w:r>
      <w:r w:rsidRPr="00FE51D1">
        <w:rPr>
          <w:rFonts w:asciiTheme="majorBidi" w:hAnsiTheme="majorBidi" w:cstheme="majorBidi"/>
          <w:szCs w:val="24"/>
        </w:rPr>
        <w:t>, 8(2), 22-30.</w:t>
      </w:r>
    </w:p>
    <w:p w14:paraId="0298B76E" w14:textId="77777777" w:rsidR="00FE51D1" w:rsidRPr="00FE51D1" w:rsidRDefault="00FE51D1" w:rsidP="00FE51D1">
      <w:pPr>
        <w:spacing w:after="0" w:line="240" w:lineRule="auto"/>
        <w:rPr>
          <w:rFonts w:asciiTheme="majorBidi" w:hAnsiTheme="majorBidi" w:cstheme="majorBidi"/>
          <w:szCs w:val="24"/>
        </w:rPr>
      </w:pPr>
      <w:r w:rsidRPr="00FE51D1">
        <w:rPr>
          <w:rStyle w:val="Strong"/>
          <w:rFonts w:asciiTheme="majorBidi" w:hAnsiTheme="majorBidi" w:cstheme="majorBidi"/>
          <w:b w:val="0"/>
          <w:bCs w:val="0"/>
          <w:szCs w:val="24"/>
        </w:rPr>
        <w:t xml:space="preserve">Adekunle, I. M., &amp; </w:t>
      </w:r>
      <w:proofErr w:type="spellStart"/>
      <w:r w:rsidRPr="00FE51D1">
        <w:rPr>
          <w:rStyle w:val="Strong"/>
          <w:rFonts w:asciiTheme="majorBidi" w:hAnsiTheme="majorBidi" w:cstheme="majorBidi"/>
          <w:b w:val="0"/>
          <w:bCs w:val="0"/>
          <w:szCs w:val="24"/>
        </w:rPr>
        <w:t>Fagbohun</w:t>
      </w:r>
      <w:proofErr w:type="spellEnd"/>
      <w:r w:rsidRPr="00FE51D1">
        <w:rPr>
          <w:rStyle w:val="Strong"/>
          <w:rFonts w:asciiTheme="majorBidi" w:hAnsiTheme="majorBidi" w:cstheme="majorBidi"/>
          <w:b w:val="0"/>
          <w:bCs w:val="0"/>
          <w:szCs w:val="24"/>
        </w:rPr>
        <w:t>, B. J. (2022).</w:t>
      </w:r>
      <w:r w:rsidRPr="00FE51D1">
        <w:rPr>
          <w:rFonts w:asciiTheme="majorBidi" w:hAnsiTheme="majorBidi" w:cstheme="majorBidi"/>
          <w:szCs w:val="24"/>
        </w:rPr>
        <w:t xml:space="preserve"> Assessment of biochemical oxygen </w:t>
      </w:r>
      <w:r w:rsidRPr="00FE51D1">
        <w:rPr>
          <w:rFonts w:asciiTheme="majorBidi" w:hAnsiTheme="majorBidi" w:cstheme="majorBidi"/>
          <w:szCs w:val="24"/>
        </w:rPr>
        <w:tab/>
        <w:t xml:space="preserve">demand </w:t>
      </w:r>
      <w:r w:rsidRPr="00FE51D1">
        <w:rPr>
          <w:rFonts w:asciiTheme="majorBidi" w:hAnsiTheme="majorBidi" w:cstheme="majorBidi"/>
          <w:szCs w:val="24"/>
        </w:rPr>
        <w:tab/>
        <w:t xml:space="preserve">(BOD) and water quality status of Osun River in relation to land use </w:t>
      </w:r>
      <w:r w:rsidRPr="00FE51D1">
        <w:rPr>
          <w:rFonts w:asciiTheme="majorBidi" w:hAnsiTheme="majorBidi" w:cstheme="majorBidi"/>
          <w:szCs w:val="24"/>
        </w:rPr>
        <w:tab/>
        <w:t xml:space="preserve">activities. </w:t>
      </w:r>
      <w:r w:rsidRPr="00FE51D1">
        <w:rPr>
          <w:rFonts w:asciiTheme="majorBidi" w:hAnsiTheme="majorBidi" w:cstheme="majorBidi"/>
          <w:szCs w:val="24"/>
        </w:rPr>
        <w:tab/>
      </w:r>
      <w:r w:rsidRPr="00FE51D1">
        <w:rPr>
          <w:rStyle w:val="Emphasis"/>
          <w:rFonts w:asciiTheme="majorBidi" w:hAnsiTheme="majorBidi" w:cstheme="majorBidi"/>
          <w:szCs w:val="24"/>
        </w:rPr>
        <w:t>[Journal Name]</w:t>
      </w:r>
      <w:r w:rsidRPr="00FE51D1">
        <w:rPr>
          <w:rFonts w:asciiTheme="majorBidi" w:hAnsiTheme="majorBidi" w:cstheme="majorBidi"/>
          <w:szCs w:val="24"/>
        </w:rPr>
        <w:t xml:space="preserve">, </w:t>
      </w:r>
      <w:r w:rsidRPr="00FE51D1">
        <w:rPr>
          <w:rStyle w:val="Emphasis"/>
          <w:rFonts w:asciiTheme="majorBidi" w:hAnsiTheme="majorBidi" w:cstheme="majorBidi"/>
          <w:szCs w:val="24"/>
        </w:rPr>
        <w:t>[Volume (Issue)]</w:t>
      </w:r>
      <w:r w:rsidRPr="00FE51D1">
        <w:rPr>
          <w:rFonts w:asciiTheme="majorBidi" w:hAnsiTheme="majorBidi" w:cstheme="majorBidi"/>
          <w:szCs w:val="24"/>
        </w:rPr>
        <w:t xml:space="preserve">, [Page range]. </w:t>
      </w:r>
      <w:proofErr w:type="gramStart"/>
      <w:r w:rsidRPr="00FE51D1">
        <w:rPr>
          <w:rFonts w:asciiTheme="majorBidi" w:hAnsiTheme="majorBidi" w:cstheme="majorBidi"/>
          <w:szCs w:val="24"/>
        </w:rPr>
        <w:t>https://doi.org/[</w:t>
      </w:r>
      <w:proofErr w:type="gramEnd"/>
      <w:r w:rsidRPr="00FE51D1">
        <w:rPr>
          <w:rFonts w:asciiTheme="majorBidi" w:hAnsiTheme="majorBidi" w:cstheme="majorBidi"/>
          <w:szCs w:val="24"/>
        </w:rPr>
        <w:t xml:space="preserve">DOI if </w:t>
      </w:r>
      <w:r w:rsidRPr="00FE51D1">
        <w:rPr>
          <w:rFonts w:asciiTheme="majorBidi" w:hAnsiTheme="majorBidi" w:cstheme="majorBidi"/>
          <w:szCs w:val="24"/>
        </w:rPr>
        <w:tab/>
        <w:t>available]</w:t>
      </w:r>
    </w:p>
    <w:p w14:paraId="37C1A80A" w14:textId="77777777" w:rsidR="00FE51D1" w:rsidRPr="00FE51D1" w:rsidRDefault="00FE51D1" w:rsidP="00583BA6">
      <w:pPr>
        <w:spacing w:after="0" w:line="240" w:lineRule="auto"/>
        <w:jc w:val="both"/>
        <w:rPr>
          <w:rFonts w:asciiTheme="majorBidi" w:hAnsiTheme="majorBidi" w:cstheme="majorBidi"/>
          <w:b/>
          <w:bCs/>
          <w:szCs w:val="24"/>
        </w:rPr>
      </w:pPr>
      <w:r w:rsidRPr="00FE51D1">
        <w:rPr>
          <w:rFonts w:asciiTheme="majorBidi" w:hAnsiTheme="majorBidi" w:cstheme="majorBidi"/>
          <w:szCs w:val="24"/>
        </w:rPr>
        <w:t xml:space="preserve">Adetola, B. O., Olowu, R. O., and Ogunleye, O. (2021). Long-term evaluation of </w:t>
      </w:r>
      <w:r w:rsidRPr="00FE51D1">
        <w:rPr>
          <w:rFonts w:asciiTheme="majorBidi" w:hAnsiTheme="majorBidi" w:cstheme="majorBidi"/>
          <w:szCs w:val="24"/>
        </w:rPr>
        <w:tab/>
        <w:t xml:space="preserve">water </w:t>
      </w:r>
      <w:r w:rsidRPr="00FE51D1">
        <w:rPr>
          <w:rFonts w:asciiTheme="majorBidi" w:hAnsiTheme="majorBidi" w:cstheme="majorBidi"/>
          <w:szCs w:val="24"/>
        </w:rPr>
        <w:tab/>
        <w:t xml:space="preserve">quality in Kainji Lake: Implications for aquatic life and human consumption. </w:t>
      </w:r>
      <w:r w:rsidRPr="00FE51D1">
        <w:rPr>
          <w:rFonts w:asciiTheme="majorBidi" w:hAnsiTheme="majorBidi" w:cstheme="majorBidi"/>
          <w:szCs w:val="24"/>
        </w:rPr>
        <w:tab/>
      </w:r>
      <w:r w:rsidRPr="00FE51D1">
        <w:rPr>
          <w:rStyle w:val="Emphasis"/>
          <w:rFonts w:asciiTheme="majorBidi" w:hAnsiTheme="majorBidi" w:cstheme="majorBidi"/>
          <w:szCs w:val="24"/>
        </w:rPr>
        <w:t>African Journal of Aquatic Science, 46</w:t>
      </w:r>
      <w:r w:rsidRPr="00FE51D1">
        <w:rPr>
          <w:rFonts w:asciiTheme="majorBidi" w:hAnsiTheme="majorBidi" w:cstheme="majorBidi"/>
          <w:szCs w:val="24"/>
        </w:rPr>
        <w:t>(2), 215–224.</w:t>
      </w:r>
    </w:p>
    <w:p w14:paraId="1B586081" w14:textId="77777777" w:rsidR="00FE51D1" w:rsidRPr="00FE51D1" w:rsidRDefault="00FE51D1" w:rsidP="00FE51D1">
      <w:pPr>
        <w:spacing w:after="0" w:line="240" w:lineRule="auto"/>
        <w:jc w:val="both"/>
        <w:rPr>
          <w:rFonts w:asciiTheme="majorBidi" w:hAnsiTheme="majorBidi" w:cstheme="majorBidi"/>
          <w:szCs w:val="24"/>
        </w:rPr>
      </w:pPr>
      <w:r w:rsidRPr="00FE51D1">
        <w:rPr>
          <w:rStyle w:val="Strong"/>
          <w:rFonts w:asciiTheme="majorBidi" w:hAnsiTheme="majorBidi" w:cstheme="majorBidi"/>
          <w:b w:val="0"/>
          <w:bCs w:val="0"/>
          <w:szCs w:val="24"/>
        </w:rPr>
        <w:t>Adeyemi, A. A., &amp; Bello, T. M. (2022).</w:t>
      </w:r>
      <w:r w:rsidRPr="00FE51D1">
        <w:rPr>
          <w:rFonts w:asciiTheme="majorBidi" w:hAnsiTheme="majorBidi" w:cstheme="majorBidi"/>
          <w:szCs w:val="24"/>
        </w:rPr>
        <w:t xml:space="preserve"> Impact of industrial discharges on </w:t>
      </w:r>
      <w:r w:rsidRPr="00FE51D1">
        <w:rPr>
          <w:rFonts w:asciiTheme="majorBidi" w:hAnsiTheme="majorBidi" w:cstheme="majorBidi"/>
          <w:szCs w:val="24"/>
        </w:rPr>
        <w:tab/>
        <w:t xml:space="preserve">temperature variation in </w:t>
      </w:r>
      <w:proofErr w:type="spellStart"/>
      <w:r w:rsidRPr="00FE51D1">
        <w:rPr>
          <w:rFonts w:asciiTheme="majorBidi" w:hAnsiTheme="majorBidi" w:cstheme="majorBidi"/>
          <w:szCs w:val="24"/>
        </w:rPr>
        <w:t>Ogbese</w:t>
      </w:r>
      <w:proofErr w:type="spellEnd"/>
      <w:r w:rsidRPr="00FE51D1">
        <w:rPr>
          <w:rFonts w:asciiTheme="majorBidi" w:hAnsiTheme="majorBidi" w:cstheme="majorBidi"/>
          <w:szCs w:val="24"/>
        </w:rPr>
        <w:t xml:space="preserve"> River, Nigeria. </w:t>
      </w:r>
      <w:r w:rsidRPr="00FE51D1">
        <w:rPr>
          <w:rStyle w:val="Emphasis"/>
          <w:rFonts w:asciiTheme="majorBidi" w:hAnsiTheme="majorBidi" w:cstheme="majorBidi"/>
          <w:szCs w:val="24"/>
        </w:rPr>
        <w:t>[Journal Name]</w:t>
      </w:r>
      <w:r w:rsidRPr="00FE51D1">
        <w:rPr>
          <w:rFonts w:asciiTheme="majorBidi" w:hAnsiTheme="majorBidi" w:cstheme="majorBidi"/>
          <w:szCs w:val="24"/>
        </w:rPr>
        <w:t xml:space="preserve">, </w:t>
      </w:r>
      <w:r w:rsidRPr="00FE51D1">
        <w:rPr>
          <w:rStyle w:val="Emphasis"/>
          <w:rFonts w:asciiTheme="majorBidi" w:hAnsiTheme="majorBidi" w:cstheme="majorBidi"/>
          <w:szCs w:val="24"/>
        </w:rPr>
        <w:t>[</w:t>
      </w:r>
      <w:proofErr w:type="gramStart"/>
      <w:r w:rsidRPr="00FE51D1">
        <w:rPr>
          <w:rStyle w:val="Emphasis"/>
          <w:rFonts w:asciiTheme="majorBidi" w:hAnsiTheme="majorBidi" w:cstheme="majorBidi"/>
          <w:szCs w:val="24"/>
        </w:rPr>
        <w:t>Volume(</w:t>
      </w:r>
      <w:proofErr w:type="gramEnd"/>
      <w:r w:rsidRPr="00FE51D1">
        <w:rPr>
          <w:rStyle w:val="Emphasis"/>
          <w:rFonts w:asciiTheme="majorBidi" w:hAnsiTheme="majorBidi" w:cstheme="majorBidi"/>
          <w:szCs w:val="24"/>
        </w:rPr>
        <w:t>Issue)]</w:t>
      </w:r>
      <w:r w:rsidRPr="00FE51D1">
        <w:rPr>
          <w:rFonts w:asciiTheme="majorBidi" w:hAnsiTheme="majorBidi" w:cstheme="majorBidi"/>
          <w:szCs w:val="24"/>
        </w:rPr>
        <w:t xml:space="preserve">, </w:t>
      </w:r>
      <w:r w:rsidRPr="00FE51D1">
        <w:rPr>
          <w:rFonts w:asciiTheme="majorBidi" w:hAnsiTheme="majorBidi" w:cstheme="majorBidi"/>
          <w:szCs w:val="24"/>
        </w:rPr>
        <w:tab/>
        <w:t xml:space="preserve">[Page range]. </w:t>
      </w:r>
      <w:r w:rsidRPr="00FE51D1">
        <w:rPr>
          <w:rFonts w:asciiTheme="majorBidi" w:hAnsiTheme="majorBidi" w:cstheme="majorBidi"/>
          <w:szCs w:val="24"/>
        </w:rPr>
        <w:tab/>
      </w:r>
      <w:proofErr w:type="gramStart"/>
      <w:r w:rsidRPr="00FE51D1">
        <w:rPr>
          <w:rFonts w:asciiTheme="majorBidi" w:hAnsiTheme="majorBidi" w:cstheme="majorBidi"/>
          <w:szCs w:val="24"/>
        </w:rPr>
        <w:t>https://doi.org/[</w:t>
      </w:r>
      <w:proofErr w:type="gramEnd"/>
      <w:r w:rsidRPr="00FE51D1">
        <w:rPr>
          <w:rFonts w:asciiTheme="majorBidi" w:hAnsiTheme="majorBidi" w:cstheme="majorBidi"/>
          <w:szCs w:val="24"/>
        </w:rPr>
        <w:t>DOI if available]</w:t>
      </w:r>
    </w:p>
    <w:p w14:paraId="287AE951" w14:textId="77777777" w:rsidR="00FE51D1" w:rsidRPr="00FE51D1" w:rsidRDefault="00FE51D1" w:rsidP="008B7372">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Agbozu</w:t>
      </w:r>
      <w:proofErr w:type="spellEnd"/>
      <w:r w:rsidRPr="00FE51D1">
        <w:rPr>
          <w:rFonts w:asciiTheme="majorBidi" w:hAnsiTheme="majorBidi" w:cstheme="majorBidi"/>
          <w:szCs w:val="24"/>
        </w:rPr>
        <w:t>, I. E. (2001). </w:t>
      </w:r>
      <w:r w:rsidRPr="00FE51D1">
        <w:rPr>
          <w:rStyle w:val="Emphasis"/>
          <w:rFonts w:asciiTheme="majorBidi" w:hAnsiTheme="majorBidi" w:cstheme="majorBidi"/>
          <w:szCs w:val="24"/>
        </w:rPr>
        <w:t xml:space="preserve">Determination of sulphate levels in industrial effluents and </w:t>
      </w:r>
      <w:r w:rsidRPr="00FE51D1">
        <w:rPr>
          <w:rStyle w:val="Emphasis"/>
          <w:rFonts w:asciiTheme="majorBidi" w:hAnsiTheme="majorBidi" w:cstheme="majorBidi"/>
          <w:szCs w:val="24"/>
        </w:rPr>
        <w:tab/>
        <w:t xml:space="preserve">water </w:t>
      </w:r>
      <w:r w:rsidRPr="00FE51D1">
        <w:rPr>
          <w:rStyle w:val="Emphasis"/>
          <w:rFonts w:asciiTheme="majorBidi" w:hAnsiTheme="majorBidi" w:cstheme="majorBidi"/>
          <w:szCs w:val="24"/>
        </w:rPr>
        <w:tab/>
        <w:t>bodies using spectrophotometric methods</w:t>
      </w:r>
      <w:r w:rsidRPr="00FE51D1">
        <w:rPr>
          <w:rFonts w:asciiTheme="majorBidi" w:hAnsiTheme="majorBidi" w:cstheme="majorBidi"/>
          <w:szCs w:val="24"/>
        </w:rPr>
        <w:t xml:space="preserve"> [Unpublished master's thesis]. </w:t>
      </w:r>
      <w:r w:rsidRPr="00FE51D1">
        <w:rPr>
          <w:rFonts w:asciiTheme="majorBidi" w:hAnsiTheme="majorBidi" w:cstheme="majorBidi"/>
          <w:szCs w:val="24"/>
        </w:rPr>
        <w:tab/>
        <w:t xml:space="preserve">University </w:t>
      </w:r>
      <w:r w:rsidRPr="00FE51D1">
        <w:rPr>
          <w:rFonts w:asciiTheme="majorBidi" w:hAnsiTheme="majorBidi" w:cstheme="majorBidi"/>
          <w:szCs w:val="24"/>
        </w:rPr>
        <w:tab/>
        <w:t>of Port Harcourt.</w:t>
      </w:r>
    </w:p>
    <w:p w14:paraId="0E558199"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Ajayi, O., and Akinola, B. (2022). Assessment of water quality in Jabi Lake, Abuja, </w:t>
      </w:r>
      <w:r w:rsidRPr="00FE51D1">
        <w:rPr>
          <w:rFonts w:asciiTheme="majorBidi" w:hAnsiTheme="majorBidi" w:cstheme="majorBidi"/>
          <w:szCs w:val="24"/>
        </w:rPr>
        <w:tab/>
        <w:t xml:space="preserve">Nigeria. </w:t>
      </w:r>
      <w:r w:rsidRPr="00FE51D1">
        <w:rPr>
          <w:rStyle w:val="Emphasis"/>
          <w:rFonts w:asciiTheme="majorBidi" w:hAnsiTheme="majorBidi" w:cstheme="majorBidi"/>
          <w:szCs w:val="24"/>
        </w:rPr>
        <w:t>African Journal of Environmental Science and Technology</w:t>
      </w:r>
      <w:r w:rsidRPr="00FE51D1">
        <w:rPr>
          <w:rFonts w:asciiTheme="majorBidi" w:hAnsiTheme="majorBidi" w:cstheme="majorBidi"/>
          <w:szCs w:val="24"/>
        </w:rPr>
        <w:t xml:space="preserve">, </w:t>
      </w:r>
      <w:r w:rsidRPr="00FE51D1">
        <w:rPr>
          <w:rStyle w:val="Emphasis"/>
          <w:rFonts w:asciiTheme="majorBidi" w:hAnsiTheme="majorBidi" w:cstheme="majorBidi"/>
          <w:szCs w:val="24"/>
        </w:rPr>
        <w:t>16</w:t>
      </w:r>
      <w:r w:rsidRPr="00FE51D1">
        <w:rPr>
          <w:rFonts w:asciiTheme="majorBidi" w:hAnsiTheme="majorBidi" w:cstheme="majorBidi"/>
          <w:szCs w:val="24"/>
        </w:rPr>
        <w:t xml:space="preserve">(3), 115-126. </w:t>
      </w:r>
      <w:r w:rsidRPr="00FE51D1">
        <w:rPr>
          <w:rFonts w:asciiTheme="majorBidi" w:hAnsiTheme="majorBidi" w:cstheme="majorBidi"/>
          <w:szCs w:val="24"/>
        </w:rPr>
        <w:tab/>
      </w:r>
      <w:hyperlink r:id="rId25" w:history="1">
        <w:r w:rsidRPr="00FE51D1">
          <w:rPr>
            <w:rStyle w:val="Hyperlink"/>
            <w:rFonts w:asciiTheme="majorBidi" w:hAnsiTheme="majorBidi" w:cstheme="majorBidi"/>
            <w:szCs w:val="24"/>
          </w:rPr>
          <w:t>https://doi.org/10.5897/AJEST2022.3045</w:t>
        </w:r>
      </w:hyperlink>
    </w:p>
    <w:p w14:paraId="015994C4" w14:textId="77777777" w:rsidR="00FE51D1" w:rsidRPr="00FE51D1" w:rsidRDefault="00FE51D1" w:rsidP="00FE51D1">
      <w:pPr>
        <w:pStyle w:val="NormalWeb"/>
        <w:spacing w:before="0" w:beforeAutospacing="0" w:after="0" w:afterAutospacing="0"/>
        <w:jc w:val="both"/>
        <w:rPr>
          <w:rFonts w:asciiTheme="majorBidi" w:hAnsiTheme="majorBidi" w:cstheme="majorBidi"/>
        </w:rPr>
      </w:pPr>
      <w:r w:rsidRPr="00FE51D1">
        <w:rPr>
          <w:rFonts w:asciiTheme="majorBidi" w:hAnsiTheme="majorBidi" w:cstheme="majorBidi"/>
        </w:rPr>
        <w:t xml:space="preserve">Ajibola, O. M. and Akinwale, R. F. (2022). Seasonal variations in physicochemical </w:t>
      </w:r>
      <w:r w:rsidRPr="00FE51D1">
        <w:rPr>
          <w:rFonts w:asciiTheme="majorBidi" w:hAnsiTheme="majorBidi" w:cstheme="majorBidi"/>
        </w:rPr>
        <w:tab/>
        <w:t xml:space="preserve">parameters of Owena Reservoir, Nigeria. </w:t>
      </w:r>
      <w:r w:rsidRPr="00FE51D1">
        <w:rPr>
          <w:rStyle w:val="Emphasis"/>
          <w:rFonts w:asciiTheme="majorBidi" w:hAnsiTheme="majorBidi" w:cstheme="majorBidi"/>
        </w:rPr>
        <w:t>Journal of Aquatic Science</w:t>
      </w:r>
      <w:r w:rsidRPr="00FE51D1">
        <w:rPr>
          <w:rFonts w:asciiTheme="majorBidi" w:hAnsiTheme="majorBidi" w:cstheme="majorBidi"/>
        </w:rPr>
        <w:t>, 37(1), 45-56.</w:t>
      </w:r>
    </w:p>
    <w:p w14:paraId="64ACCFEF" w14:textId="77777777" w:rsidR="00FE51D1" w:rsidRPr="00FE51D1" w:rsidRDefault="00FE51D1" w:rsidP="00FE51D1">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Akinbile</w:t>
      </w:r>
      <w:proofErr w:type="spellEnd"/>
      <w:r w:rsidRPr="00FE51D1">
        <w:rPr>
          <w:rFonts w:asciiTheme="majorBidi" w:hAnsiTheme="majorBidi" w:cstheme="majorBidi"/>
          <w:szCs w:val="24"/>
        </w:rPr>
        <w:t xml:space="preserve">, L. A., </w:t>
      </w:r>
      <w:proofErr w:type="spellStart"/>
      <w:r w:rsidRPr="00FE51D1">
        <w:rPr>
          <w:rFonts w:asciiTheme="majorBidi" w:hAnsiTheme="majorBidi" w:cstheme="majorBidi"/>
          <w:szCs w:val="24"/>
        </w:rPr>
        <w:t>andYusoff</w:t>
      </w:r>
      <w:proofErr w:type="spellEnd"/>
      <w:r w:rsidRPr="00FE51D1">
        <w:rPr>
          <w:rFonts w:asciiTheme="majorBidi" w:hAnsiTheme="majorBidi" w:cstheme="majorBidi"/>
          <w:szCs w:val="24"/>
        </w:rPr>
        <w:t xml:space="preserve">, M. K. (2019). Assessment of surface water quality in </w:t>
      </w:r>
      <w:r w:rsidRPr="00FE51D1">
        <w:rPr>
          <w:rFonts w:asciiTheme="majorBidi" w:hAnsiTheme="majorBidi" w:cstheme="majorBidi"/>
          <w:szCs w:val="24"/>
        </w:rPr>
        <w:tab/>
        <w:t xml:space="preserve">Nigeria: A </w:t>
      </w:r>
      <w:r w:rsidRPr="00FE51D1">
        <w:rPr>
          <w:rFonts w:asciiTheme="majorBidi" w:hAnsiTheme="majorBidi" w:cstheme="majorBidi"/>
          <w:szCs w:val="24"/>
        </w:rPr>
        <w:tab/>
        <w:t xml:space="preserve">review on physicochemical parameters and their implications for public </w:t>
      </w:r>
      <w:r w:rsidRPr="00FE51D1">
        <w:rPr>
          <w:rFonts w:asciiTheme="majorBidi" w:hAnsiTheme="majorBidi" w:cstheme="majorBidi"/>
          <w:szCs w:val="24"/>
        </w:rPr>
        <w:tab/>
        <w:t>health. </w:t>
      </w:r>
      <w:r w:rsidRPr="00FE51D1">
        <w:rPr>
          <w:rFonts w:asciiTheme="majorBidi" w:hAnsiTheme="majorBidi" w:cstheme="majorBidi"/>
          <w:i/>
          <w:szCs w:val="24"/>
        </w:rPr>
        <w:t>Journal of Environmental Management</w:t>
      </w:r>
      <w:r w:rsidRPr="00FE51D1">
        <w:rPr>
          <w:rFonts w:asciiTheme="majorBidi" w:hAnsiTheme="majorBidi" w:cstheme="majorBidi"/>
          <w:szCs w:val="24"/>
        </w:rPr>
        <w:t>, 245, 152-162.</w:t>
      </w:r>
    </w:p>
    <w:p w14:paraId="54B1EE86"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Amadi, P., and Nwogu, C. (2022). Analysis of ionic pollution in the Niger Delta: </w:t>
      </w:r>
      <w:r w:rsidRPr="00FE51D1">
        <w:rPr>
          <w:rFonts w:asciiTheme="majorBidi" w:hAnsiTheme="majorBidi" w:cstheme="majorBidi"/>
          <w:szCs w:val="24"/>
        </w:rPr>
        <w:tab/>
        <w:t xml:space="preserve">Implications for water conductivity. </w:t>
      </w:r>
      <w:r w:rsidRPr="00FE51D1">
        <w:rPr>
          <w:rStyle w:val="Emphasis"/>
          <w:rFonts w:asciiTheme="majorBidi" w:hAnsiTheme="majorBidi" w:cstheme="majorBidi"/>
          <w:szCs w:val="24"/>
        </w:rPr>
        <w:t>Environmental Research and Pollution</w:t>
      </w:r>
      <w:r w:rsidRPr="00FE51D1">
        <w:rPr>
          <w:rFonts w:asciiTheme="majorBidi" w:hAnsiTheme="majorBidi" w:cstheme="majorBidi"/>
          <w:szCs w:val="24"/>
        </w:rPr>
        <w:t xml:space="preserve">, </w:t>
      </w:r>
      <w:r w:rsidRPr="00FE51D1">
        <w:rPr>
          <w:rStyle w:val="Emphasis"/>
          <w:rFonts w:asciiTheme="majorBidi" w:hAnsiTheme="majorBidi" w:cstheme="majorBidi"/>
          <w:szCs w:val="24"/>
        </w:rPr>
        <w:t>19</w:t>
      </w:r>
      <w:r w:rsidRPr="00FE51D1">
        <w:rPr>
          <w:rFonts w:asciiTheme="majorBidi" w:hAnsiTheme="majorBidi" w:cstheme="majorBidi"/>
          <w:szCs w:val="24"/>
        </w:rPr>
        <w:t xml:space="preserve">(4), </w:t>
      </w:r>
      <w:r w:rsidRPr="00FE51D1">
        <w:rPr>
          <w:rFonts w:asciiTheme="majorBidi" w:hAnsiTheme="majorBidi" w:cstheme="majorBidi"/>
          <w:szCs w:val="24"/>
        </w:rPr>
        <w:tab/>
        <w:t>312-326.</w:t>
      </w:r>
    </w:p>
    <w:p w14:paraId="491862CC" w14:textId="77777777" w:rsidR="00FE51D1" w:rsidRPr="00FE51D1" w:rsidRDefault="00FE51D1" w:rsidP="008B7372">
      <w:pPr>
        <w:spacing w:after="0" w:line="240" w:lineRule="auto"/>
        <w:jc w:val="both"/>
        <w:rPr>
          <w:rFonts w:asciiTheme="majorBidi" w:hAnsiTheme="majorBidi" w:cstheme="majorBidi"/>
          <w:szCs w:val="24"/>
        </w:rPr>
      </w:pPr>
      <w:r w:rsidRPr="00FE51D1">
        <w:rPr>
          <w:rStyle w:val="Strong"/>
          <w:rFonts w:asciiTheme="majorBidi" w:hAnsiTheme="majorBidi" w:cstheme="majorBidi"/>
          <w:b w:val="0"/>
          <w:bCs w:val="0"/>
          <w:szCs w:val="24"/>
        </w:rPr>
        <w:lastRenderedPageBreak/>
        <w:t xml:space="preserve">American Public Health Association (APHA), American Water Works Association </w:t>
      </w:r>
      <w:r w:rsidRPr="00FE51D1">
        <w:rPr>
          <w:rStyle w:val="Strong"/>
          <w:rFonts w:asciiTheme="majorBidi" w:hAnsiTheme="majorBidi" w:cstheme="majorBidi"/>
          <w:b w:val="0"/>
          <w:bCs w:val="0"/>
          <w:szCs w:val="24"/>
        </w:rPr>
        <w:tab/>
        <w:t>(AWWA), &amp; Water Environment Federation (WEF). (1992).</w:t>
      </w:r>
      <w:r w:rsidRPr="00FE51D1">
        <w:rPr>
          <w:rFonts w:asciiTheme="majorBidi" w:hAnsiTheme="majorBidi" w:cstheme="majorBidi"/>
          <w:b/>
          <w:bCs/>
          <w:szCs w:val="24"/>
        </w:rPr>
        <w:t xml:space="preserve"> </w:t>
      </w:r>
      <w:r w:rsidRPr="00FE51D1">
        <w:rPr>
          <w:rStyle w:val="Emphasis"/>
          <w:rFonts w:asciiTheme="majorBidi" w:hAnsiTheme="majorBidi" w:cstheme="majorBidi"/>
          <w:b/>
          <w:bCs/>
          <w:szCs w:val="24"/>
        </w:rPr>
        <w:t xml:space="preserve">Standard methods for </w:t>
      </w:r>
      <w:r w:rsidRPr="00FE51D1">
        <w:rPr>
          <w:rStyle w:val="Emphasis"/>
          <w:rFonts w:asciiTheme="majorBidi" w:hAnsiTheme="majorBidi" w:cstheme="majorBidi"/>
          <w:b/>
          <w:bCs/>
          <w:szCs w:val="24"/>
        </w:rPr>
        <w:tab/>
        <w:t xml:space="preserve">the </w:t>
      </w:r>
      <w:r w:rsidRPr="00FE51D1">
        <w:rPr>
          <w:rStyle w:val="Emphasis"/>
          <w:rFonts w:asciiTheme="majorBidi" w:hAnsiTheme="majorBidi" w:cstheme="majorBidi"/>
          <w:szCs w:val="24"/>
        </w:rPr>
        <w:t>examination of water and wastewater</w:t>
      </w:r>
      <w:r w:rsidRPr="00FE51D1">
        <w:rPr>
          <w:rFonts w:asciiTheme="majorBidi" w:hAnsiTheme="majorBidi" w:cstheme="majorBidi"/>
          <w:szCs w:val="24"/>
        </w:rPr>
        <w:t xml:space="preserve"> (18th ed.). Washington, DC: American </w:t>
      </w:r>
      <w:r w:rsidRPr="00FE51D1">
        <w:rPr>
          <w:rFonts w:asciiTheme="majorBidi" w:hAnsiTheme="majorBidi" w:cstheme="majorBidi"/>
          <w:szCs w:val="24"/>
        </w:rPr>
        <w:tab/>
        <w:t xml:space="preserve">Public </w:t>
      </w:r>
      <w:r w:rsidRPr="00FE51D1">
        <w:rPr>
          <w:rFonts w:asciiTheme="majorBidi" w:hAnsiTheme="majorBidi" w:cstheme="majorBidi"/>
          <w:szCs w:val="24"/>
        </w:rPr>
        <w:tab/>
        <w:t>Health Association.</w:t>
      </w:r>
    </w:p>
    <w:p w14:paraId="4792F6F6"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Anyanwu, C.U., </w:t>
      </w:r>
      <w:proofErr w:type="spellStart"/>
      <w:r w:rsidRPr="00FE51D1">
        <w:rPr>
          <w:rFonts w:asciiTheme="majorBidi" w:hAnsiTheme="majorBidi" w:cstheme="majorBidi"/>
          <w:szCs w:val="24"/>
        </w:rPr>
        <w:t>andEzema</w:t>
      </w:r>
      <w:proofErr w:type="spellEnd"/>
      <w:r w:rsidRPr="00FE51D1">
        <w:rPr>
          <w:rFonts w:asciiTheme="majorBidi" w:hAnsiTheme="majorBidi" w:cstheme="majorBidi"/>
          <w:szCs w:val="24"/>
        </w:rPr>
        <w:t xml:space="preserve">, </w:t>
      </w:r>
      <w:proofErr w:type="gramStart"/>
      <w:r w:rsidRPr="00FE51D1">
        <w:rPr>
          <w:rFonts w:asciiTheme="majorBidi" w:hAnsiTheme="majorBidi" w:cstheme="majorBidi"/>
          <w:szCs w:val="24"/>
        </w:rPr>
        <w:t>W.O.(</w:t>
      </w:r>
      <w:proofErr w:type="gramEnd"/>
      <w:r w:rsidRPr="00FE51D1">
        <w:rPr>
          <w:rFonts w:asciiTheme="majorBidi" w:hAnsiTheme="majorBidi" w:cstheme="majorBidi"/>
          <w:szCs w:val="24"/>
        </w:rPr>
        <w:t xml:space="preserve">2021). Seasonal variation in water quality, </w:t>
      </w:r>
      <w:r w:rsidRPr="00FE51D1">
        <w:rPr>
          <w:rFonts w:asciiTheme="majorBidi" w:hAnsiTheme="majorBidi" w:cstheme="majorBidi"/>
          <w:szCs w:val="24"/>
        </w:rPr>
        <w:tab/>
        <w:t xml:space="preserve">plankton </w:t>
      </w:r>
      <w:r w:rsidRPr="00FE51D1">
        <w:rPr>
          <w:rFonts w:asciiTheme="majorBidi" w:hAnsiTheme="majorBidi" w:cstheme="majorBidi"/>
          <w:szCs w:val="24"/>
        </w:rPr>
        <w:tab/>
        <w:t xml:space="preserve">diversity and microbial load of tropical freshwater lakes in Nigeria. </w:t>
      </w:r>
      <w:r w:rsidRPr="00FE51D1">
        <w:rPr>
          <w:rFonts w:asciiTheme="majorBidi" w:hAnsiTheme="majorBidi" w:cstheme="majorBidi"/>
          <w:szCs w:val="24"/>
        </w:rPr>
        <w:tab/>
      </w:r>
      <w:r w:rsidRPr="00FE51D1">
        <w:rPr>
          <w:rFonts w:asciiTheme="majorBidi" w:hAnsiTheme="majorBidi" w:cstheme="majorBidi"/>
          <w:i/>
          <w:szCs w:val="24"/>
        </w:rPr>
        <w:t>Environmental Monitoring and Assessment</w:t>
      </w:r>
      <w:r w:rsidRPr="00FE51D1">
        <w:rPr>
          <w:rFonts w:asciiTheme="majorBidi" w:hAnsiTheme="majorBidi" w:cstheme="majorBidi"/>
          <w:szCs w:val="24"/>
        </w:rPr>
        <w:t>, 193(6),295.</w:t>
      </w:r>
    </w:p>
    <w:p w14:paraId="6C1926D0"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Anyanwu, N. C., Adamu, A. S. and Yakubu, M. T. (2023). Influence of agricultural </w:t>
      </w:r>
      <w:r w:rsidRPr="00FE51D1">
        <w:rPr>
          <w:rFonts w:asciiTheme="majorBidi" w:hAnsiTheme="majorBidi" w:cstheme="majorBidi"/>
          <w:szCs w:val="24"/>
        </w:rPr>
        <w:tab/>
        <w:t xml:space="preserve">activities on water quality in Gongola River, Nigeria. </w:t>
      </w:r>
      <w:r w:rsidRPr="00FE51D1">
        <w:rPr>
          <w:rStyle w:val="Emphasis"/>
          <w:rFonts w:asciiTheme="majorBidi" w:hAnsiTheme="majorBidi" w:cstheme="majorBidi"/>
          <w:szCs w:val="24"/>
        </w:rPr>
        <w:t xml:space="preserve">Environmental Monitoring and </w:t>
      </w:r>
      <w:r w:rsidRPr="00FE51D1">
        <w:rPr>
          <w:rStyle w:val="Emphasis"/>
          <w:rFonts w:asciiTheme="majorBidi" w:hAnsiTheme="majorBidi" w:cstheme="majorBidi"/>
          <w:szCs w:val="24"/>
        </w:rPr>
        <w:tab/>
        <w:t>Assessment</w:t>
      </w:r>
      <w:r w:rsidRPr="00FE51D1">
        <w:rPr>
          <w:rFonts w:asciiTheme="majorBidi" w:hAnsiTheme="majorBidi" w:cstheme="majorBidi"/>
          <w:szCs w:val="24"/>
        </w:rPr>
        <w:t>, 195(6), 345-358.</w:t>
      </w:r>
    </w:p>
    <w:p w14:paraId="1BF2E589" w14:textId="77777777" w:rsidR="00FE51D1" w:rsidRPr="00FE51D1" w:rsidRDefault="00FE51D1" w:rsidP="00FE51D1">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Atobatele</w:t>
      </w:r>
      <w:proofErr w:type="spellEnd"/>
      <w:r w:rsidRPr="00FE51D1">
        <w:rPr>
          <w:rFonts w:asciiTheme="majorBidi" w:hAnsiTheme="majorBidi" w:cstheme="majorBidi"/>
          <w:szCs w:val="24"/>
        </w:rPr>
        <w:t xml:space="preserve">, O.E., and </w:t>
      </w:r>
      <w:proofErr w:type="spellStart"/>
      <w:r w:rsidRPr="00FE51D1">
        <w:rPr>
          <w:rFonts w:asciiTheme="majorBidi" w:hAnsiTheme="majorBidi" w:cstheme="majorBidi"/>
          <w:szCs w:val="24"/>
        </w:rPr>
        <w:t>Ugwumba</w:t>
      </w:r>
      <w:proofErr w:type="spellEnd"/>
      <w:r w:rsidRPr="00FE51D1">
        <w:rPr>
          <w:rFonts w:asciiTheme="majorBidi" w:hAnsiTheme="majorBidi" w:cstheme="majorBidi"/>
          <w:szCs w:val="24"/>
        </w:rPr>
        <w:t xml:space="preserve">, </w:t>
      </w:r>
      <w:proofErr w:type="gramStart"/>
      <w:r w:rsidRPr="00FE51D1">
        <w:rPr>
          <w:rFonts w:asciiTheme="majorBidi" w:hAnsiTheme="majorBidi" w:cstheme="majorBidi"/>
          <w:szCs w:val="24"/>
        </w:rPr>
        <w:t>A.A.A.(</w:t>
      </w:r>
      <w:proofErr w:type="gramEnd"/>
      <w:r w:rsidRPr="00FE51D1">
        <w:rPr>
          <w:rFonts w:asciiTheme="majorBidi" w:hAnsiTheme="majorBidi" w:cstheme="majorBidi"/>
          <w:szCs w:val="24"/>
        </w:rPr>
        <w:t xml:space="preserve">2016). A review of the effects of dams on the </w:t>
      </w:r>
      <w:r w:rsidRPr="00FE51D1">
        <w:rPr>
          <w:rFonts w:asciiTheme="majorBidi" w:hAnsiTheme="majorBidi" w:cstheme="majorBidi"/>
          <w:szCs w:val="24"/>
        </w:rPr>
        <w:tab/>
        <w:t xml:space="preserve">hydrology, water quality and aquatic life: Implications for management strategies in </w:t>
      </w:r>
      <w:r w:rsidRPr="00FE51D1">
        <w:rPr>
          <w:rFonts w:asciiTheme="majorBidi" w:hAnsiTheme="majorBidi" w:cstheme="majorBidi"/>
          <w:szCs w:val="24"/>
        </w:rPr>
        <w:tab/>
        <w:t>Nigeria's freshwater systems. </w:t>
      </w:r>
      <w:r w:rsidRPr="00FE51D1">
        <w:rPr>
          <w:rFonts w:asciiTheme="majorBidi" w:hAnsiTheme="majorBidi" w:cstheme="majorBidi"/>
          <w:i/>
          <w:szCs w:val="24"/>
        </w:rPr>
        <w:t>African Journal of Aquatic Science</w:t>
      </w:r>
      <w:r w:rsidRPr="00FE51D1">
        <w:rPr>
          <w:rFonts w:asciiTheme="majorBidi" w:hAnsiTheme="majorBidi" w:cstheme="majorBidi"/>
          <w:szCs w:val="24"/>
        </w:rPr>
        <w:t>, 41(2), 143-157.</w:t>
      </w:r>
    </w:p>
    <w:p w14:paraId="505C88DE" w14:textId="77777777" w:rsidR="00FE51D1" w:rsidRPr="00FE51D1" w:rsidRDefault="00FE51D1" w:rsidP="00FE51D1">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Awogbami</w:t>
      </w:r>
      <w:proofErr w:type="spellEnd"/>
      <w:r w:rsidRPr="00FE51D1">
        <w:rPr>
          <w:rFonts w:asciiTheme="majorBidi" w:hAnsiTheme="majorBidi" w:cstheme="majorBidi"/>
          <w:szCs w:val="24"/>
        </w:rPr>
        <w:t xml:space="preserve">, S.O., </w:t>
      </w:r>
      <w:proofErr w:type="spellStart"/>
      <w:r w:rsidRPr="00FE51D1">
        <w:rPr>
          <w:rFonts w:asciiTheme="majorBidi" w:hAnsiTheme="majorBidi" w:cstheme="majorBidi"/>
          <w:szCs w:val="24"/>
        </w:rPr>
        <w:t>Adewoye</w:t>
      </w:r>
      <w:proofErr w:type="spellEnd"/>
      <w:r w:rsidRPr="00FE51D1">
        <w:rPr>
          <w:rFonts w:asciiTheme="majorBidi" w:hAnsiTheme="majorBidi" w:cstheme="majorBidi"/>
          <w:szCs w:val="24"/>
        </w:rPr>
        <w:t xml:space="preserve">, S.O., and Raimi, </w:t>
      </w:r>
      <w:proofErr w:type="gramStart"/>
      <w:r w:rsidRPr="00FE51D1">
        <w:rPr>
          <w:rFonts w:asciiTheme="majorBidi" w:hAnsiTheme="majorBidi" w:cstheme="majorBidi"/>
          <w:szCs w:val="24"/>
        </w:rPr>
        <w:t>M.O.(</w:t>
      </w:r>
      <w:proofErr w:type="gramEnd"/>
      <w:r w:rsidRPr="00FE51D1">
        <w:rPr>
          <w:rFonts w:asciiTheme="majorBidi" w:hAnsiTheme="majorBidi" w:cstheme="majorBidi"/>
          <w:szCs w:val="24"/>
        </w:rPr>
        <w:t xml:space="preserve">2024). Comparative Assessment </w:t>
      </w:r>
      <w:r w:rsidRPr="00FE51D1">
        <w:rPr>
          <w:rFonts w:asciiTheme="majorBidi" w:hAnsiTheme="majorBidi" w:cstheme="majorBidi"/>
          <w:szCs w:val="24"/>
        </w:rPr>
        <w:tab/>
        <w:t xml:space="preserve">of </w:t>
      </w:r>
      <w:r w:rsidRPr="00FE51D1">
        <w:rPr>
          <w:rFonts w:asciiTheme="majorBidi" w:hAnsiTheme="majorBidi" w:cstheme="majorBidi"/>
          <w:szCs w:val="24"/>
        </w:rPr>
        <w:tab/>
        <w:t xml:space="preserve">Seasonal Variations in the Quality of Surface Water and Its Associated Health </w:t>
      </w:r>
      <w:r w:rsidRPr="00FE51D1">
        <w:rPr>
          <w:rFonts w:asciiTheme="majorBidi" w:hAnsiTheme="majorBidi" w:cstheme="majorBidi"/>
          <w:szCs w:val="24"/>
        </w:rPr>
        <w:tab/>
        <w:t xml:space="preserve">Hazards in </w:t>
      </w:r>
      <w:r w:rsidRPr="00FE51D1">
        <w:rPr>
          <w:rFonts w:asciiTheme="majorBidi" w:hAnsiTheme="majorBidi" w:cstheme="majorBidi"/>
          <w:szCs w:val="24"/>
        </w:rPr>
        <w:tab/>
        <w:t xml:space="preserve">Gold Mining Areas of Osun State, South-West </w:t>
      </w:r>
      <w:proofErr w:type="spellStart"/>
      <w:r w:rsidRPr="00FE51D1">
        <w:rPr>
          <w:rFonts w:asciiTheme="majorBidi" w:hAnsiTheme="majorBidi" w:cstheme="majorBidi"/>
          <w:szCs w:val="24"/>
        </w:rPr>
        <w:t>Nigeria.</w:t>
      </w:r>
      <w:r w:rsidRPr="00FE51D1">
        <w:rPr>
          <w:rFonts w:asciiTheme="majorBidi" w:hAnsiTheme="majorBidi" w:cstheme="majorBidi"/>
          <w:i/>
          <w:szCs w:val="24"/>
        </w:rPr>
        <w:t>Environmental</w:t>
      </w:r>
      <w:proofErr w:type="spellEnd"/>
      <w:r w:rsidRPr="00FE51D1">
        <w:rPr>
          <w:rFonts w:asciiTheme="majorBidi" w:hAnsiTheme="majorBidi" w:cstheme="majorBidi"/>
          <w:i/>
          <w:szCs w:val="24"/>
        </w:rPr>
        <w:t xml:space="preserve"> </w:t>
      </w:r>
      <w:r w:rsidRPr="00FE51D1">
        <w:rPr>
          <w:rFonts w:asciiTheme="majorBidi" w:hAnsiTheme="majorBidi" w:cstheme="majorBidi"/>
          <w:i/>
          <w:szCs w:val="24"/>
        </w:rPr>
        <w:tab/>
        <w:t xml:space="preserve">Health </w:t>
      </w:r>
      <w:r w:rsidRPr="00FE51D1">
        <w:rPr>
          <w:rFonts w:asciiTheme="majorBidi" w:hAnsiTheme="majorBidi" w:cstheme="majorBidi"/>
          <w:i/>
          <w:szCs w:val="24"/>
        </w:rPr>
        <w:tab/>
        <w:t>Insights</w:t>
      </w:r>
      <w:r w:rsidRPr="00FE51D1">
        <w:rPr>
          <w:rFonts w:asciiTheme="majorBidi" w:hAnsiTheme="majorBidi" w:cstheme="majorBidi"/>
          <w:szCs w:val="24"/>
        </w:rPr>
        <w:t>, 18,11786302231153356.</w:t>
      </w:r>
    </w:p>
    <w:p w14:paraId="08FB8D29" w14:textId="77777777" w:rsidR="00FE51D1" w:rsidRPr="00FE51D1" w:rsidRDefault="00FE51D1" w:rsidP="008B7372">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Ayoade, J. O., Balogun, M. A., and Ojo, O. P. (2022). Assessment of </w:t>
      </w:r>
      <w:r w:rsidRPr="00FE51D1">
        <w:rPr>
          <w:rFonts w:asciiTheme="majorBidi" w:hAnsiTheme="majorBidi" w:cstheme="majorBidi"/>
          <w:szCs w:val="24"/>
        </w:rPr>
        <w:tab/>
        <w:t xml:space="preserve">physicochemical </w:t>
      </w:r>
      <w:r w:rsidRPr="00FE51D1">
        <w:rPr>
          <w:rFonts w:asciiTheme="majorBidi" w:hAnsiTheme="majorBidi" w:cstheme="majorBidi"/>
          <w:szCs w:val="24"/>
        </w:rPr>
        <w:tab/>
        <w:t xml:space="preserve">parameters of </w:t>
      </w:r>
      <w:proofErr w:type="spellStart"/>
      <w:r w:rsidRPr="00FE51D1">
        <w:rPr>
          <w:rFonts w:asciiTheme="majorBidi" w:hAnsiTheme="majorBidi" w:cstheme="majorBidi"/>
          <w:szCs w:val="24"/>
        </w:rPr>
        <w:t>Oyan</w:t>
      </w:r>
      <w:proofErr w:type="spellEnd"/>
      <w:r w:rsidRPr="00FE51D1">
        <w:rPr>
          <w:rFonts w:asciiTheme="majorBidi" w:hAnsiTheme="majorBidi" w:cstheme="majorBidi"/>
          <w:szCs w:val="24"/>
        </w:rPr>
        <w:t xml:space="preserve"> Dam in Ogun State, Nigeria. </w:t>
      </w:r>
      <w:r w:rsidRPr="00FE51D1">
        <w:rPr>
          <w:rStyle w:val="Emphasis"/>
          <w:rFonts w:asciiTheme="majorBidi" w:hAnsiTheme="majorBidi" w:cstheme="majorBidi"/>
          <w:szCs w:val="24"/>
        </w:rPr>
        <w:t xml:space="preserve">Journal of Water </w:t>
      </w:r>
      <w:r w:rsidRPr="00FE51D1">
        <w:rPr>
          <w:rStyle w:val="Emphasis"/>
          <w:rFonts w:asciiTheme="majorBidi" w:hAnsiTheme="majorBidi" w:cstheme="majorBidi"/>
          <w:szCs w:val="24"/>
        </w:rPr>
        <w:tab/>
        <w:t xml:space="preserve">Quality Research, </w:t>
      </w:r>
      <w:r w:rsidRPr="00FE51D1">
        <w:rPr>
          <w:rStyle w:val="Emphasis"/>
          <w:rFonts w:asciiTheme="majorBidi" w:hAnsiTheme="majorBidi" w:cstheme="majorBidi"/>
          <w:szCs w:val="24"/>
        </w:rPr>
        <w:tab/>
        <w:t>38</w:t>
      </w:r>
      <w:r w:rsidRPr="00FE51D1">
        <w:rPr>
          <w:rFonts w:asciiTheme="majorBidi" w:hAnsiTheme="majorBidi" w:cstheme="majorBidi"/>
          <w:szCs w:val="24"/>
        </w:rPr>
        <w:t>(3), 120–127.</w:t>
      </w:r>
    </w:p>
    <w:p w14:paraId="35630F93" w14:textId="77777777" w:rsidR="00FE51D1" w:rsidRPr="00FE51D1" w:rsidRDefault="00FE51D1" w:rsidP="00FE51D1">
      <w:pPr>
        <w:pStyle w:val="NormalWeb"/>
        <w:spacing w:before="0" w:beforeAutospacing="0" w:after="0" w:afterAutospacing="0"/>
        <w:jc w:val="both"/>
        <w:rPr>
          <w:rFonts w:asciiTheme="majorBidi" w:hAnsiTheme="majorBidi" w:cstheme="majorBidi"/>
        </w:rPr>
      </w:pPr>
      <w:r w:rsidRPr="00FE51D1">
        <w:rPr>
          <w:rFonts w:asciiTheme="majorBidi" w:hAnsiTheme="majorBidi" w:cstheme="majorBidi"/>
        </w:rPr>
        <w:t xml:space="preserve">Balogun, T. O. and Adewale, B. A. (2022). Assessing water quality dynamics in Ogun </w:t>
      </w:r>
      <w:r w:rsidRPr="00FE51D1">
        <w:rPr>
          <w:rFonts w:asciiTheme="majorBidi" w:hAnsiTheme="majorBidi" w:cstheme="majorBidi"/>
        </w:rPr>
        <w:tab/>
        <w:t xml:space="preserve">River under varying seasonal conditions. </w:t>
      </w:r>
      <w:r w:rsidRPr="00FE51D1">
        <w:rPr>
          <w:rStyle w:val="Emphasis"/>
          <w:rFonts w:asciiTheme="majorBidi" w:hAnsiTheme="majorBidi" w:cstheme="majorBidi"/>
        </w:rPr>
        <w:t>Water Resources Research</w:t>
      </w:r>
      <w:r w:rsidRPr="00FE51D1">
        <w:rPr>
          <w:rFonts w:asciiTheme="majorBidi" w:hAnsiTheme="majorBidi" w:cstheme="majorBidi"/>
        </w:rPr>
        <w:t>, 58(4), 678-690.</w:t>
      </w:r>
    </w:p>
    <w:p w14:paraId="34593E4A"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Balogun, T. O., Akinwande, I., and Adewale, L. (2022). Seasonal variation of </w:t>
      </w:r>
      <w:r w:rsidRPr="00FE51D1">
        <w:rPr>
          <w:rFonts w:asciiTheme="majorBidi" w:hAnsiTheme="majorBidi" w:cstheme="majorBidi"/>
          <w:szCs w:val="24"/>
        </w:rPr>
        <w:tab/>
        <w:t xml:space="preserve">chloride </w:t>
      </w:r>
      <w:r w:rsidRPr="00FE51D1">
        <w:rPr>
          <w:rFonts w:asciiTheme="majorBidi" w:hAnsiTheme="majorBidi" w:cstheme="majorBidi"/>
          <w:szCs w:val="24"/>
        </w:rPr>
        <w:tab/>
        <w:t xml:space="preserve">levels in </w:t>
      </w:r>
      <w:proofErr w:type="spellStart"/>
      <w:r w:rsidRPr="00FE51D1">
        <w:rPr>
          <w:rFonts w:asciiTheme="majorBidi" w:hAnsiTheme="majorBidi" w:cstheme="majorBidi"/>
          <w:szCs w:val="24"/>
        </w:rPr>
        <w:t>Yewa</w:t>
      </w:r>
      <w:proofErr w:type="spellEnd"/>
      <w:r w:rsidRPr="00FE51D1">
        <w:rPr>
          <w:rFonts w:asciiTheme="majorBidi" w:hAnsiTheme="majorBidi" w:cstheme="majorBidi"/>
          <w:szCs w:val="24"/>
        </w:rPr>
        <w:t xml:space="preserve"> River, Southwestern Nigeria. </w:t>
      </w:r>
      <w:r w:rsidRPr="00FE51D1">
        <w:rPr>
          <w:rStyle w:val="Emphasis"/>
          <w:rFonts w:asciiTheme="majorBidi" w:hAnsiTheme="majorBidi" w:cstheme="majorBidi"/>
          <w:szCs w:val="24"/>
        </w:rPr>
        <w:t>Nigerian Journal of Hydrology</w:t>
      </w:r>
      <w:r w:rsidRPr="00FE51D1">
        <w:rPr>
          <w:rFonts w:asciiTheme="majorBidi" w:hAnsiTheme="majorBidi" w:cstheme="majorBidi"/>
          <w:szCs w:val="24"/>
        </w:rPr>
        <w:t xml:space="preserve">, </w:t>
      </w:r>
      <w:r w:rsidRPr="00FE51D1">
        <w:rPr>
          <w:rFonts w:asciiTheme="majorBidi" w:hAnsiTheme="majorBidi" w:cstheme="majorBidi"/>
          <w:szCs w:val="24"/>
        </w:rPr>
        <w:tab/>
      </w:r>
      <w:r w:rsidRPr="00FE51D1">
        <w:rPr>
          <w:rStyle w:val="Emphasis"/>
          <w:rFonts w:asciiTheme="majorBidi" w:hAnsiTheme="majorBidi" w:cstheme="majorBidi"/>
          <w:szCs w:val="24"/>
        </w:rPr>
        <w:t>9</w:t>
      </w:r>
      <w:r w:rsidRPr="00FE51D1">
        <w:rPr>
          <w:rFonts w:asciiTheme="majorBidi" w:hAnsiTheme="majorBidi" w:cstheme="majorBidi"/>
          <w:szCs w:val="24"/>
        </w:rPr>
        <w:t>(1), 45-59.</w:t>
      </w:r>
    </w:p>
    <w:p w14:paraId="5EB76616" w14:textId="77777777" w:rsidR="00FE51D1" w:rsidRPr="00FE51D1" w:rsidRDefault="00FE51D1" w:rsidP="008B7372">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Bilewu</w:t>
      </w:r>
      <w:proofErr w:type="spellEnd"/>
      <w:r w:rsidRPr="00FE51D1">
        <w:rPr>
          <w:rFonts w:asciiTheme="majorBidi" w:hAnsiTheme="majorBidi" w:cstheme="majorBidi"/>
          <w:szCs w:val="24"/>
        </w:rPr>
        <w:t xml:space="preserve">, O. F., Ayanda, I. O., and Ajayi, T. O. (2022). Assessment of physicochemical </w:t>
      </w:r>
      <w:r w:rsidRPr="00FE51D1">
        <w:rPr>
          <w:rFonts w:asciiTheme="majorBidi" w:hAnsiTheme="majorBidi" w:cstheme="majorBidi"/>
          <w:szCs w:val="24"/>
        </w:rPr>
        <w:tab/>
        <w:t>parameters in selected water bodies in Oyo and Lagos States. </w:t>
      </w:r>
      <w:r w:rsidRPr="00FE51D1">
        <w:rPr>
          <w:rStyle w:val="Emphasis"/>
          <w:rFonts w:asciiTheme="majorBidi" w:hAnsiTheme="majorBidi" w:cstheme="majorBidi"/>
          <w:szCs w:val="24"/>
        </w:rPr>
        <w:t xml:space="preserve">IOP Conference Series: </w:t>
      </w:r>
      <w:r w:rsidRPr="00FE51D1">
        <w:rPr>
          <w:rStyle w:val="Emphasis"/>
          <w:rFonts w:asciiTheme="majorBidi" w:hAnsiTheme="majorBidi" w:cstheme="majorBidi"/>
          <w:szCs w:val="24"/>
        </w:rPr>
        <w:tab/>
        <w:t>Earth and Environmental Science, 1054</w:t>
      </w:r>
      <w:r w:rsidRPr="00FE51D1">
        <w:rPr>
          <w:rFonts w:asciiTheme="majorBidi" w:hAnsiTheme="majorBidi" w:cstheme="majorBidi"/>
          <w:szCs w:val="24"/>
        </w:rPr>
        <w:t>(1), 012045. </w:t>
      </w:r>
      <w:hyperlink r:id="rId26" w:history="1">
        <w:r w:rsidRPr="00FE51D1">
          <w:rPr>
            <w:rStyle w:val="Hyperlink"/>
            <w:rFonts w:asciiTheme="majorBidi" w:hAnsiTheme="majorBidi" w:cstheme="majorBidi"/>
            <w:szCs w:val="24"/>
          </w:rPr>
          <w:t>https://doi.org/10.1088/1755-</w:t>
        </w:r>
        <w:r w:rsidRPr="00FE51D1">
          <w:rPr>
            <w:rStyle w:val="Hyperlink"/>
            <w:rFonts w:asciiTheme="majorBidi" w:hAnsiTheme="majorBidi" w:cstheme="majorBidi"/>
            <w:szCs w:val="24"/>
          </w:rPr>
          <w:tab/>
          <w:t>1315/1054/1/012045</w:t>
        </w:r>
      </w:hyperlink>
    </w:p>
    <w:p w14:paraId="3CD44597" w14:textId="77777777" w:rsidR="00FE51D1" w:rsidRPr="00FE51D1" w:rsidRDefault="00FE51D1" w:rsidP="00FE51D1">
      <w:pPr>
        <w:pStyle w:val="NormalWeb"/>
        <w:spacing w:before="0" w:beforeAutospacing="0" w:after="0" w:afterAutospacing="0"/>
        <w:jc w:val="both"/>
        <w:rPr>
          <w:rFonts w:asciiTheme="majorBidi" w:hAnsiTheme="majorBidi" w:cstheme="majorBidi"/>
        </w:rPr>
      </w:pPr>
      <w:r w:rsidRPr="00FE51D1">
        <w:rPr>
          <w:rFonts w:asciiTheme="majorBidi" w:hAnsiTheme="majorBidi" w:cstheme="majorBidi"/>
        </w:rPr>
        <w:t xml:space="preserve">Chukwuma, I. N., Eze, F. O. and Okafor, C. J. (2022). Nutrient influx and its effect on </w:t>
      </w:r>
      <w:r w:rsidRPr="00FE51D1">
        <w:rPr>
          <w:rFonts w:asciiTheme="majorBidi" w:hAnsiTheme="majorBidi" w:cstheme="majorBidi"/>
        </w:rPr>
        <w:tab/>
        <w:t xml:space="preserve">water quality in </w:t>
      </w:r>
      <w:proofErr w:type="spellStart"/>
      <w:r w:rsidRPr="00FE51D1">
        <w:rPr>
          <w:rFonts w:asciiTheme="majorBidi" w:hAnsiTheme="majorBidi" w:cstheme="majorBidi"/>
        </w:rPr>
        <w:t>Orashi</w:t>
      </w:r>
      <w:proofErr w:type="spellEnd"/>
      <w:r w:rsidRPr="00FE51D1">
        <w:rPr>
          <w:rFonts w:asciiTheme="majorBidi" w:hAnsiTheme="majorBidi" w:cstheme="majorBidi"/>
        </w:rPr>
        <w:t xml:space="preserve"> River, Nigeria. </w:t>
      </w:r>
      <w:r w:rsidRPr="00FE51D1">
        <w:rPr>
          <w:rStyle w:val="Emphasis"/>
          <w:rFonts w:asciiTheme="majorBidi" w:hAnsiTheme="majorBidi" w:cstheme="majorBidi"/>
        </w:rPr>
        <w:t>African Journal of Environmental Science</w:t>
      </w:r>
      <w:r w:rsidRPr="00FE51D1">
        <w:rPr>
          <w:rFonts w:asciiTheme="majorBidi" w:hAnsiTheme="majorBidi" w:cstheme="majorBidi"/>
        </w:rPr>
        <w:t xml:space="preserve">, </w:t>
      </w:r>
      <w:r w:rsidRPr="00FE51D1">
        <w:rPr>
          <w:rFonts w:asciiTheme="majorBidi" w:hAnsiTheme="majorBidi" w:cstheme="majorBidi"/>
        </w:rPr>
        <w:tab/>
        <w:t xml:space="preserve">18(2), </w:t>
      </w:r>
      <w:r w:rsidRPr="00FE51D1">
        <w:rPr>
          <w:rFonts w:asciiTheme="majorBidi" w:hAnsiTheme="majorBidi" w:cstheme="majorBidi"/>
        </w:rPr>
        <w:tab/>
        <w:t>123-133.</w:t>
      </w:r>
    </w:p>
    <w:p w14:paraId="367E8567" w14:textId="77777777" w:rsidR="00FE51D1" w:rsidRPr="00FE51D1" w:rsidRDefault="00FE51D1" w:rsidP="008B7372">
      <w:pPr>
        <w:spacing w:after="0" w:line="240" w:lineRule="auto"/>
        <w:jc w:val="both"/>
        <w:rPr>
          <w:rFonts w:asciiTheme="majorBidi" w:hAnsiTheme="majorBidi" w:cstheme="majorBidi"/>
          <w:szCs w:val="24"/>
        </w:rPr>
      </w:pPr>
      <w:r w:rsidRPr="00FE51D1">
        <w:rPr>
          <w:rFonts w:asciiTheme="majorBidi" w:hAnsiTheme="majorBidi" w:cstheme="majorBidi"/>
          <w:szCs w:val="24"/>
        </w:rPr>
        <w:t>Clesceri, L. S., Greenberg, A. E., and Eaton, A. D. (Eds.). (1998). </w:t>
      </w:r>
      <w:r w:rsidRPr="00FE51D1">
        <w:rPr>
          <w:rStyle w:val="Emphasis"/>
          <w:rFonts w:asciiTheme="majorBidi" w:hAnsiTheme="majorBidi" w:cstheme="majorBidi"/>
          <w:szCs w:val="24"/>
        </w:rPr>
        <w:t xml:space="preserve">Standard methods </w:t>
      </w:r>
      <w:r w:rsidRPr="00FE51D1">
        <w:rPr>
          <w:rStyle w:val="Emphasis"/>
          <w:rFonts w:asciiTheme="majorBidi" w:hAnsiTheme="majorBidi" w:cstheme="majorBidi"/>
          <w:szCs w:val="24"/>
        </w:rPr>
        <w:tab/>
        <w:t xml:space="preserve">for </w:t>
      </w:r>
      <w:r w:rsidRPr="00FE51D1">
        <w:rPr>
          <w:rStyle w:val="Emphasis"/>
          <w:rFonts w:asciiTheme="majorBidi" w:hAnsiTheme="majorBidi" w:cstheme="majorBidi"/>
          <w:szCs w:val="24"/>
        </w:rPr>
        <w:tab/>
        <w:t>the examination of water and wastewater</w:t>
      </w:r>
      <w:r w:rsidRPr="00FE51D1">
        <w:rPr>
          <w:rFonts w:asciiTheme="majorBidi" w:hAnsiTheme="majorBidi" w:cstheme="majorBidi"/>
          <w:szCs w:val="24"/>
        </w:rPr>
        <w:t xml:space="preserve"> (20th ed.). American Public Health </w:t>
      </w:r>
      <w:r w:rsidRPr="00FE51D1">
        <w:rPr>
          <w:rFonts w:asciiTheme="majorBidi" w:hAnsiTheme="majorBidi" w:cstheme="majorBidi"/>
          <w:szCs w:val="24"/>
        </w:rPr>
        <w:tab/>
        <w:t>Association.</w:t>
      </w:r>
    </w:p>
    <w:p w14:paraId="2ED08833"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Dey, A., Kumar, P., and Sharma, </w:t>
      </w:r>
      <w:proofErr w:type="gramStart"/>
      <w:r w:rsidRPr="00FE51D1">
        <w:rPr>
          <w:rFonts w:asciiTheme="majorBidi" w:hAnsiTheme="majorBidi" w:cstheme="majorBidi"/>
          <w:szCs w:val="24"/>
        </w:rPr>
        <w:t>S.K.(</w:t>
      </w:r>
      <w:proofErr w:type="gramEnd"/>
      <w:r w:rsidRPr="00FE51D1">
        <w:rPr>
          <w:rFonts w:asciiTheme="majorBidi" w:hAnsiTheme="majorBidi" w:cstheme="majorBidi"/>
          <w:szCs w:val="24"/>
        </w:rPr>
        <w:t xml:space="preserve">2023). Assessment of Seasonal Variations of </w:t>
      </w:r>
      <w:r w:rsidRPr="00FE51D1">
        <w:rPr>
          <w:rFonts w:asciiTheme="majorBidi" w:hAnsiTheme="majorBidi" w:cstheme="majorBidi"/>
          <w:szCs w:val="24"/>
        </w:rPr>
        <w:tab/>
        <w:t xml:space="preserve">Heavy Metals and Microbial Parameters in Water Quality: A Case Study on </w:t>
      </w:r>
      <w:r w:rsidRPr="00FE51D1">
        <w:rPr>
          <w:rFonts w:asciiTheme="majorBidi" w:hAnsiTheme="majorBidi" w:cstheme="majorBidi"/>
          <w:szCs w:val="24"/>
        </w:rPr>
        <w:tab/>
      </w:r>
      <w:proofErr w:type="spellStart"/>
      <w:r w:rsidRPr="00FE51D1">
        <w:rPr>
          <w:rFonts w:asciiTheme="majorBidi" w:hAnsiTheme="majorBidi" w:cstheme="majorBidi"/>
          <w:szCs w:val="24"/>
        </w:rPr>
        <w:t>Gudlavalleru</w:t>
      </w:r>
      <w:proofErr w:type="spellEnd"/>
      <w:r w:rsidRPr="00FE51D1">
        <w:rPr>
          <w:rFonts w:asciiTheme="majorBidi" w:hAnsiTheme="majorBidi" w:cstheme="majorBidi"/>
          <w:szCs w:val="24"/>
        </w:rPr>
        <w:t xml:space="preserve"> </w:t>
      </w:r>
      <w:r w:rsidRPr="00FE51D1">
        <w:rPr>
          <w:rFonts w:asciiTheme="majorBidi" w:hAnsiTheme="majorBidi" w:cstheme="majorBidi"/>
          <w:szCs w:val="24"/>
        </w:rPr>
        <w:tab/>
        <w:t xml:space="preserve">Engineering </w:t>
      </w:r>
      <w:proofErr w:type="spellStart"/>
      <w:r w:rsidRPr="00FE51D1">
        <w:rPr>
          <w:rFonts w:asciiTheme="majorBidi" w:hAnsiTheme="majorBidi" w:cstheme="majorBidi"/>
          <w:szCs w:val="24"/>
        </w:rPr>
        <w:t>Pond.</w:t>
      </w:r>
      <w:r w:rsidRPr="00FE51D1">
        <w:rPr>
          <w:rFonts w:asciiTheme="majorBidi" w:hAnsiTheme="majorBidi" w:cstheme="majorBidi"/>
          <w:i/>
          <w:szCs w:val="24"/>
        </w:rPr>
        <w:t>Journal</w:t>
      </w:r>
      <w:proofErr w:type="spellEnd"/>
      <w:r w:rsidRPr="00FE51D1">
        <w:rPr>
          <w:rFonts w:asciiTheme="majorBidi" w:hAnsiTheme="majorBidi" w:cstheme="majorBidi"/>
          <w:i/>
          <w:szCs w:val="24"/>
        </w:rPr>
        <w:t xml:space="preserve"> of Environmental </w:t>
      </w:r>
      <w:r w:rsidRPr="00FE51D1">
        <w:rPr>
          <w:rFonts w:asciiTheme="majorBidi" w:hAnsiTheme="majorBidi" w:cstheme="majorBidi"/>
          <w:i/>
          <w:szCs w:val="24"/>
        </w:rPr>
        <w:tab/>
        <w:t>Management</w:t>
      </w:r>
      <w:r w:rsidRPr="00FE51D1">
        <w:rPr>
          <w:rFonts w:asciiTheme="majorBidi" w:hAnsiTheme="majorBidi" w:cstheme="majorBidi"/>
          <w:szCs w:val="24"/>
        </w:rPr>
        <w:t>, 325,116799.</w:t>
      </w:r>
    </w:p>
    <w:p w14:paraId="1105E6D2"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Duman, H., Yilmazer, M., </w:t>
      </w:r>
      <w:proofErr w:type="spellStart"/>
      <w:r w:rsidRPr="00FE51D1">
        <w:rPr>
          <w:rFonts w:asciiTheme="majorBidi" w:hAnsiTheme="majorBidi" w:cstheme="majorBidi"/>
          <w:szCs w:val="24"/>
        </w:rPr>
        <w:t>andYilmazer</w:t>
      </w:r>
      <w:proofErr w:type="spellEnd"/>
      <w:r w:rsidRPr="00FE51D1">
        <w:rPr>
          <w:rFonts w:asciiTheme="majorBidi" w:hAnsiTheme="majorBidi" w:cstheme="majorBidi"/>
          <w:szCs w:val="24"/>
        </w:rPr>
        <w:t xml:space="preserve">, </w:t>
      </w:r>
      <w:proofErr w:type="gramStart"/>
      <w:r w:rsidRPr="00FE51D1">
        <w:rPr>
          <w:rFonts w:asciiTheme="majorBidi" w:hAnsiTheme="majorBidi" w:cstheme="majorBidi"/>
          <w:szCs w:val="24"/>
        </w:rPr>
        <w:t>A.(</w:t>
      </w:r>
      <w:proofErr w:type="gramEnd"/>
      <w:r w:rsidRPr="00FE51D1">
        <w:rPr>
          <w:rFonts w:asciiTheme="majorBidi" w:hAnsiTheme="majorBidi" w:cstheme="majorBidi"/>
          <w:szCs w:val="24"/>
        </w:rPr>
        <w:t xml:space="preserve">2021). Investigation of Environmental </w:t>
      </w:r>
      <w:r w:rsidRPr="00FE51D1">
        <w:rPr>
          <w:rFonts w:asciiTheme="majorBidi" w:hAnsiTheme="majorBidi" w:cstheme="majorBidi"/>
          <w:szCs w:val="24"/>
        </w:rPr>
        <w:tab/>
        <w:t xml:space="preserve">Quality of </w:t>
      </w:r>
      <w:proofErr w:type="spellStart"/>
      <w:r w:rsidRPr="00FE51D1">
        <w:rPr>
          <w:rFonts w:asciiTheme="majorBidi" w:hAnsiTheme="majorBidi" w:cstheme="majorBidi"/>
          <w:szCs w:val="24"/>
        </w:rPr>
        <w:t>Yuvacik</w:t>
      </w:r>
      <w:proofErr w:type="spellEnd"/>
      <w:r w:rsidRPr="00FE51D1">
        <w:rPr>
          <w:rFonts w:asciiTheme="majorBidi" w:hAnsiTheme="majorBidi" w:cstheme="majorBidi"/>
          <w:szCs w:val="24"/>
        </w:rPr>
        <w:t xml:space="preserve"> Dam Basin Groundwater: Implications for Sustainable Water </w:t>
      </w:r>
      <w:r w:rsidRPr="00FE51D1">
        <w:rPr>
          <w:rFonts w:asciiTheme="majorBidi" w:hAnsiTheme="majorBidi" w:cstheme="majorBidi"/>
          <w:szCs w:val="24"/>
        </w:rPr>
        <w:tab/>
        <w:t xml:space="preserve">Management </w:t>
      </w:r>
      <w:proofErr w:type="spellStart"/>
      <w:r w:rsidRPr="00FE51D1">
        <w:rPr>
          <w:rFonts w:asciiTheme="majorBidi" w:hAnsiTheme="majorBidi" w:cstheme="majorBidi"/>
          <w:szCs w:val="24"/>
        </w:rPr>
        <w:t>Practices.</w:t>
      </w:r>
      <w:r w:rsidRPr="00FE51D1">
        <w:rPr>
          <w:rFonts w:asciiTheme="majorBidi" w:hAnsiTheme="majorBidi" w:cstheme="majorBidi"/>
          <w:i/>
          <w:szCs w:val="24"/>
        </w:rPr>
        <w:t>International</w:t>
      </w:r>
      <w:proofErr w:type="spellEnd"/>
      <w:r w:rsidRPr="00FE51D1">
        <w:rPr>
          <w:rFonts w:asciiTheme="majorBidi" w:hAnsiTheme="majorBidi" w:cstheme="majorBidi"/>
          <w:i/>
          <w:szCs w:val="24"/>
        </w:rPr>
        <w:t xml:space="preserve"> Journal of Environmental Trends</w:t>
      </w:r>
      <w:r w:rsidRPr="00FE51D1">
        <w:rPr>
          <w:rFonts w:asciiTheme="majorBidi" w:hAnsiTheme="majorBidi" w:cstheme="majorBidi"/>
          <w:szCs w:val="24"/>
        </w:rPr>
        <w:t>, 5(2),100-114.</w:t>
      </w:r>
    </w:p>
    <w:p w14:paraId="2A74B50C" w14:textId="77777777" w:rsidR="00FE51D1" w:rsidRPr="00FE51D1" w:rsidRDefault="00FE51D1" w:rsidP="00FE51D1">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Ehiagbonare</w:t>
      </w:r>
      <w:proofErr w:type="spellEnd"/>
      <w:r w:rsidRPr="00FE51D1">
        <w:rPr>
          <w:rFonts w:asciiTheme="majorBidi" w:hAnsiTheme="majorBidi" w:cstheme="majorBidi"/>
          <w:szCs w:val="24"/>
        </w:rPr>
        <w:t xml:space="preserve">, J.E., </w:t>
      </w:r>
      <w:proofErr w:type="spellStart"/>
      <w:r w:rsidRPr="00FE51D1">
        <w:rPr>
          <w:rFonts w:asciiTheme="majorBidi" w:hAnsiTheme="majorBidi" w:cstheme="majorBidi"/>
          <w:szCs w:val="24"/>
        </w:rPr>
        <w:t>andOgunride</w:t>
      </w:r>
      <w:proofErr w:type="spellEnd"/>
      <w:r w:rsidRPr="00FE51D1">
        <w:rPr>
          <w:rFonts w:asciiTheme="majorBidi" w:hAnsiTheme="majorBidi" w:cstheme="majorBidi"/>
          <w:szCs w:val="24"/>
        </w:rPr>
        <w:t xml:space="preserve">, </w:t>
      </w:r>
      <w:proofErr w:type="gramStart"/>
      <w:r w:rsidRPr="00FE51D1">
        <w:rPr>
          <w:rFonts w:asciiTheme="majorBidi" w:hAnsiTheme="majorBidi" w:cstheme="majorBidi"/>
          <w:szCs w:val="24"/>
        </w:rPr>
        <w:t>O.A.(</w:t>
      </w:r>
      <w:proofErr w:type="gramEnd"/>
      <w:r w:rsidRPr="00FE51D1">
        <w:rPr>
          <w:rFonts w:asciiTheme="majorBidi" w:hAnsiTheme="majorBidi" w:cstheme="majorBidi"/>
          <w:szCs w:val="24"/>
        </w:rPr>
        <w:t xml:space="preserve">2010). Environmental impacts on water </w:t>
      </w:r>
      <w:r w:rsidRPr="00FE51D1">
        <w:rPr>
          <w:rFonts w:asciiTheme="majorBidi" w:hAnsiTheme="majorBidi" w:cstheme="majorBidi"/>
          <w:szCs w:val="24"/>
        </w:rPr>
        <w:tab/>
        <w:t xml:space="preserve">quality: A </w:t>
      </w:r>
      <w:r w:rsidRPr="00FE51D1">
        <w:rPr>
          <w:rFonts w:asciiTheme="majorBidi" w:hAnsiTheme="majorBidi" w:cstheme="majorBidi"/>
          <w:szCs w:val="24"/>
        </w:rPr>
        <w:tab/>
        <w:t xml:space="preserve">case study of selected rivers in </w:t>
      </w:r>
      <w:proofErr w:type="spellStart"/>
      <w:r w:rsidRPr="00FE51D1">
        <w:rPr>
          <w:rFonts w:asciiTheme="majorBidi" w:hAnsiTheme="majorBidi" w:cstheme="majorBidi"/>
          <w:szCs w:val="24"/>
        </w:rPr>
        <w:t>Nigeria.</w:t>
      </w:r>
      <w:r w:rsidRPr="00FE51D1">
        <w:rPr>
          <w:rFonts w:asciiTheme="majorBidi" w:hAnsiTheme="majorBidi" w:cstheme="majorBidi"/>
          <w:i/>
          <w:szCs w:val="24"/>
        </w:rPr>
        <w:t>African</w:t>
      </w:r>
      <w:proofErr w:type="spellEnd"/>
      <w:r w:rsidRPr="00FE51D1">
        <w:rPr>
          <w:rFonts w:asciiTheme="majorBidi" w:hAnsiTheme="majorBidi" w:cstheme="majorBidi"/>
          <w:i/>
          <w:szCs w:val="24"/>
        </w:rPr>
        <w:t xml:space="preserve"> Journal of Environmental </w:t>
      </w:r>
      <w:r w:rsidRPr="00FE51D1">
        <w:rPr>
          <w:rFonts w:asciiTheme="majorBidi" w:hAnsiTheme="majorBidi" w:cstheme="majorBidi"/>
          <w:i/>
          <w:szCs w:val="24"/>
        </w:rPr>
        <w:tab/>
        <w:t xml:space="preserve">Science </w:t>
      </w:r>
      <w:r w:rsidRPr="00FE51D1">
        <w:rPr>
          <w:rFonts w:asciiTheme="majorBidi" w:hAnsiTheme="majorBidi" w:cstheme="majorBidi"/>
          <w:i/>
          <w:szCs w:val="24"/>
        </w:rPr>
        <w:tab/>
        <w:t>and Technology</w:t>
      </w:r>
      <w:r w:rsidRPr="00FE51D1">
        <w:rPr>
          <w:rFonts w:asciiTheme="majorBidi" w:hAnsiTheme="majorBidi" w:cstheme="majorBidi"/>
          <w:szCs w:val="24"/>
        </w:rPr>
        <w:t>, 4(10),675-684.</w:t>
      </w:r>
    </w:p>
    <w:p w14:paraId="5A524E05"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Ekwueme, C. I., and Udeh, P. (2022). Buffering capacity and pH stability in Anambra </w:t>
      </w:r>
      <w:r w:rsidRPr="00FE51D1">
        <w:rPr>
          <w:rFonts w:asciiTheme="majorBidi" w:hAnsiTheme="majorBidi" w:cstheme="majorBidi"/>
          <w:szCs w:val="24"/>
        </w:rPr>
        <w:tab/>
        <w:t xml:space="preserve">River. </w:t>
      </w:r>
      <w:r w:rsidRPr="00FE51D1">
        <w:rPr>
          <w:rStyle w:val="Emphasis"/>
          <w:rFonts w:asciiTheme="majorBidi" w:hAnsiTheme="majorBidi" w:cstheme="majorBidi"/>
          <w:szCs w:val="24"/>
        </w:rPr>
        <w:t>Journal of Aquatic Ecosystem Management</w:t>
      </w:r>
      <w:r w:rsidRPr="00FE51D1">
        <w:rPr>
          <w:rFonts w:asciiTheme="majorBidi" w:hAnsiTheme="majorBidi" w:cstheme="majorBidi"/>
          <w:szCs w:val="24"/>
        </w:rPr>
        <w:t xml:space="preserve">, </w:t>
      </w:r>
      <w:r w:rsidRPr="00FE51D1">
        <w:rPr>
          <w:rStyle w:val="Emphasis"/>
          <w:rFonts w:asciiTheme="majorBidi" w:hAnsiTheme="majorBidi" w:cstheme="majorBidi"/>
          <w:szCs w:val="24"/>
        </w:rPr>
        <w:t>8</w:t>
      </w:r>
      <w:r w:rsidRPr="00FE51D1">
        <w:rPr>
          <w:rFonts w:asciiTheme="majorBidi" w:hAnsiTheme="majorBidi" w:cstheme="majorBidi"/>
          <w:szCs w:val="24"/>
        </w:rPr>
        <w:t>(2), 203-215.</w:t>
      </w:r>
    </w:p>
    <w:p w14:paraId="22880CA8" w14:textId="77777777" w:rsidR="00FE51D1" w:rsidRPr="00FE51D1" w:rsidRDefault="00FE51D1" w:rsidP="00FE51D1">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Fasakin</w:t>
      </w:r>
      <w:proofErr w:type="spellEnd"/>
      <w:r w:rsidRPr="00FE51D1">
        <w:rPr>
          <w:rFonts w:asciiTheme="majorBidi" w:hAnsiTheme="majorBidi" w:cstheme="majorBidi"/>
          <w:szCs w:val="24"/>
        </w:rPr>
        <w:t xml:space="preserve">, A. A., and Ogunlade, O. (2023). Nutrient pollution levels in Osse River: A </w:t>
      </w:r>
      <w:r w:rsidRPr="00FE51D1">
        <w:rPr>
          <w:rFonts w:asciiTheme="majorBidi" w:hAnsiTheme="majorBidi" w:cstheme="majorBidi"/>
          <w:szCs w:val="24"/>
        </w:rPr>
        <w:tab/>
        <w:t xml:space="preserve">comparative study. </w:t>
      </w:r>
      <w:r w:rsidRPr="00FE51D1">
        <w:rPr>
          <w:rStyle w:val="Emphasis"/>
          <w:rFonts w:asciiTheme="majorBidi" w:hAnsiTheme="majorBidi" w:cstheme="majorBidi"/>
          <w:szCs w:val="24"/>
        </w:rPr>
        <w:t>Nigerian Journal of Environmental Pollution Studies</w:t>
      </w:r>
      <w:r w:rsidRPr="00FE51D1">
        <w:rPr>
          <w:rFonts w:asciiTheme="majorBidi" w:hAnsiTheme="majorBidi" w:cstheme="majorBidi"/>
          <w:szCs w:val="24"/>
        </w:rPr>
        <w:t xml:space="preserve">, </w:t>
      </w:r>
      <w:r w:rsidRPr="00FE51D1">
        <w:rPr>
          <w:rStyle w:val="Emphasis"/>
          <w:rFonts w:asciiTheme="majorBidi" w:hAnsiTheme="majorBidi" w:cstheme="majorBidi"/>
          <w:szCs w:val="24"/>
        </w:rPr>
        <w:t>11</w:t>
      </w:r>
      <w:r w:rsidRPr="00FE51D1">
        <w:rPr>
          <w:rFonts w:asciiTheme="majorBidi" w:hAnsiTheme="majorBidi" w:cstheme="majorBidi"/>
          <w:szCs w:val="24"/>
        </w:rPr>
        <w:t>(1), 38-</w:t>
      </w:r>
      <w:r w:rsidRPr="00FE51D1">
        <w:rPr>
          <w:rFonts w:asciiTheme="majorBidi" w:hAnsiTheme="majorBidi" w:cstheme="majorBidi"/>
          <w:szCs w:val="24"/>
        </w:rPr>
        <w:tab/>
        <w:t>50.</w:t>
      </w:r>
    </w:p>
    <w:p w14:paraId="585A3FA7" w14:textId="77777777" w:rsidR="00FE51D1" w:rsidRPr="00FE51D1" w:rsidRDefault="00FE51D1" w:rsidP="008B7372">
      <w:pPr>
        <w:spacing w:after="0" w:line="240" w:lineRule="auto"/>
        <w:jc w:val="both"/>
        <w:rPr>
          <w:rFonts w:asciiTheme="majorBidi" w:hAnsiTheme="majorBidi" w:cstheme="majorBidi"/>
          <w:szCs w:val="24"/>
        </w:rPr>
      </w:pPr>
      <w:r w:rsidRPr="00FE51D1">
        <w:rPr>
          <w:rFonts w:asciiTheme="majorBidi" w:hAnsiTheme="majorBidi" w:cstheme="majorBidi"/>
          <w:szCs w:val="24"/>
        </w:rPr>
        <w:lastRenderedPageBreak/>
        <w:t xml:space="preserve">Hubert, E., and </w:t>
      </w:r>
      <w:proofErr w:type="spellStart"/>
      <w:r w:rsidRPr="00FE51D1">
        <w:rPr>
          <w:rFonts w:asciiTheme="majorBidi" w:hAnsiTheme="majorBidi" w:cstheme="majorBidi"/>
          <w:szCs w:val="24"/>
        </w:rPr>
        <w:t>Wolkersdorfer</w:t>
      </w:r>
      <w:proofErr w:type="spellEnd"/>
      <w:r w:rsidRPr="00FE51D1">
        <w:rPr>
          <w:rFonts w:asciiTheme="majorBidi" w:hAnsiTheme="majorBidi" w:cstheme="majorBidi"/>
          <w:szCs w:val="24"/>
        </w:rPr>
        <w:t xml:space="preserve">, C. (2015). Establishing a conversion factor between </w:t>
      </w:r>
      <w:r w:rsidRPr="00FE51D1">
        <w:rPr>
          <w:rFonts w:asciiTheme="majorBidi" w:hAnsiTheme="majorBidi" w:cstheme="majorBidi"/>
          <w:szCs w:val="24"/>
        </w:rPr>
        <w:tab/>
        <w:t>electrical conductivity and total dissolved solids in South African mine waters. </w:t>
      </w:r>
      <w:r w:rsidRPr="00FE51D1">
        <w:rPr>
          <w:rStyle w:val="Emphasis"/>
          <w:rFonts w:asciiTheme="majorBidi" w:hAnsiTheme="majorBidi" w:cstheme="majorBidi"/>
          <w:szCs w:val="24"/>
        </w:rPr>
        <w:t xml:space="preserve">Water </w:t>
      </w:r>
      <w:r w:rsidRPr="00FE51D1">
        <w:rPr>
          <w:rStyle w:val="Emphasis"/>
          <w:rFonts w:asciiTheme="majorBidi" w:hAnsiTheme="majorBidi" w:cstheme="majorBidi"/>
          <w:szCs w:val="24"/>
        </w:rPr>
        <w:tab/>
        <w:t>SA, 41</w:t>
      </w:r>
      <w:r w:rsidRPr="00FE51D1">
        <w:rPr>
          <w:rFonts w:asciiTheme="majorBidi" w:hAnsiTheme="majorBidi" w:cstheme="majorBidi"/>
          <w:szCs w:val="24"/>
        </w:rPr>
        <w:t>(4), 490–500. </w:t>
      </w:r>
      <w:hyperlink r:id="rId27" w:tgtFrame="_blank" w:history="1">
        <w:r w:rsidRPr="00FE51D1">
          <w:rPr>
            <w:rStyle w:val="Hyperlink"/>
            <w:rFonts w:asciiTheme="majorBidi" w:hAnsiTheme="majorBidi" w:cstheme="majorBidi"/>
            <w:szCs w:val="24"/>
          </w:rPr>
          <w:t>https://doi.org/10.4314/wsa.v41i4.05</w:t>
        </w:r>
      </w:hyperlink>
    </w:p>
    <w:p w14:paraId="1948D378" w14:textId="77777777" w:rsidR="00FE51D1" w:rsidRPr="00FE51D1" w:rsidRDefault="00FE51D1" w:rsidP="00FE51D1">
      <w:pPr>
        <w:pStyle w:val="NormalWeb"/>
        <w:spacing w:before="0" w:beforeAutospacing="0" w:after="0" w:afterAutospacing="0"/>
        <w:jc w:val="both"/>
        <w:rPr>
          <w:rFonts w:asciiTheme="majorBidi" w:hAnsiTheme="majorBidi" w:cstheme="majorBidi"/>
        </w:rPr>
      </w:pPr>
      <w:r w:rsidRPr="00FE51D1">
        <w:rPr>
          <w:rFonts w:asciiTheme="majorBidi" w:hAnsiTheme="majorBidi" w:cstheme="majorBidi"/>
        </w:rPr>
        <w:t xml:space="preserve">Ibrahim, M. T. and Adamu, H. S. (2022). Seasonal trends in water quality parameters </w:t>
      </w:r>
      <w:r w:rsidRPr="00FE51D1">
        <w:rPr>
          <w:rFonts w:asciiTheme="majorBidi" w:hAnsiTheme="majorBidi" w:cstheme="majorBidi"/>
        </w:rPr>
        <w:tab/>
        <w:t xml:space="preserve">at </w:t>
      </w:r>
      <w:r w:rsidRPr="00FE51D1">
        <w:rPr>
          <w:rFonts w:asciiTheme="majorBidi" w:hAnsiTheme="majorBidi" w:cstheme="majorBidi"/>
        </w:rPr>
        <w:tab/>
        <w:t xml:space="preserve">Tiga Dam, Nigeria. </w:t>
      </w:r>
      <w:r w:rsidRPr="00FE51D1">
        <w:rPr>
          <w:rStyle w:val="Emphasis"/>
          <w:rFonts w:asciiTheme="majorBidi" w:hAnsiTheme="majorBidi" w:cstheme="majorBidi"/>
        </w:rPr>
        <w:t>Journal of Environmental Hydrology</w:t>
      </w:r>
      <w:r w:rsidRPr="00FE51D1">
        <w:rPr>
          <w:rFonts w:asciiTheme="majorBidi" w:hAnsiTheme="majorBidi" w:cstheme="majorBidi"/>
        </w:rPr>
        <w:t>, 30(5), 23-34.</w:t>
      </w:r>
    </w:p>
    <w:p w14:paraId="19E5685B" w14:textId="77777777" w:rsidR="00FE51D1" w:rsidRPr="00FE51D1" w:rsidRDefault="00FE51D1" w:rsidP="00FE51D1">
      <w:pPr>
        <w:spacing w:after="0" w:line="240" w:lineRule="auto"/>
        <w:jc w:val="both"/>
        <w:rPr>
          <w:rFonts w:asciiTheme="majorBidi" w:hAnsiTheme="majorBidi" w:cstheme="majorBidi"/>
          <w:szCs w:val="24"/>
        </w:rPr>
      </w:pPr>
      <w:r w:rsidRPr="00FE51D1">
        <w:rPr>
          <w:rStyle w:val="Strong"/>
          <w:rFonts w:asciiTheme="majorBidi" w:hAnsiTheme="majorBidi" w:cstheme="majorBidi"/>
          <w:b w:val="0"/>
          <w:bCs w:val="0"/>
          <w:szCs w:val="24"/>
        </w:rPr>
        <w:t>Ifeanyi, C. E., &amp; Okon, E. A. (2021).</w:t>
      </w:r>
      <w:r w:rsidRPr="00FE51D1">
        <w:rPr>
          <w:rFonts w:asciiTheme="majorBidi" w:hAnsiTheme="majorBidi" w:cstheme="majorBidi"/>
          <w:szCs w:val="24"/>
        </w:rPr>
        <w:t xml:space="preserve"> Effects of land management practices on </w:t>
      </w:r>
      <w:r w:rsidRPr="00FE51D1">
        <w:rPr>
          <w:rFonts w:asciiTheme="majorBidi" w:hAnsiTheme="majorBidi" w:cstheme="majorBidi"/>
          <w:szCs w:val="24"/>
        </w:rPr>
        <w:tab/>
        <w:t xml:space="preserve">phosphate </w:t>
      </w:r>
      <w:r w:rsidRPr="00FE51D1">
        <w:rPr>
          <w:rFonts w:asciiTheme="majorBidi" w:hAnsiTheme="majorBidi" w:cstheme="majorBidi"/>
          <w:szCs w:val="24"/>
        </w:rPr>
        <w:tab/>
        <w:t xml:space="preserve">levels in </w:t>
      </w:r>
      <w:proofErr w:type="spellStart"/>
      <w:r w:rsidRPr="00FE51D1">
        <w:rPr>
          <w:rFonts w:asciiTheme="majorBidi" w:hAnsiTheme="majorBidi" w:cstheme="majorBidi"/>
          <w:szCs w:val="24"/>
        </w:rPr>
        <w:t>Ase</w:t>
      </w:r>
      <w:proofErr w:type="spellEnd"/>
      <w:r w:rsidRPr="00FE51D1">
        <w:rPr>
          <w:rFonts w:asciiTheme="majorBidi" w:hAnsiTheme="majorBidi" w:cstheme="majorBidi"/>
          <w:szCs w:val="24"/>
        </w:rPr>
        <w:t xml:space="preserve"> River, Nigeria. </w:t>
      </w:r>
      <w:r w:rsidRPr="00FE51D1">
        <w:rPr>
          <w:rStyle w:val="Emphasis"/>
          <w:rFonts w:asciiTheme="majorBidi" w:hAnsiTheme="majorBidi" w:cstheme="majorBidi"/>
          <w:szCs w:val="24"/>
        </w:rPr>
        <w:t>[Journal Name]</w:t>
      </w:r>
      <w:r w:rsidRPr="00FE51D1">
        <w:rPr>
          <w:rFonts w:asciiTheme="majorBidi" w:hAnsiTheme="majorBidi" w:cstheme="majorBidi"/>
          <w:szCs w:val="24"/>
        </w:rPr>
        <w:t xml:space="preserve">, </w:t>
      </w:r>
      <w:r w:rsidRPr="00FE51D1">
        <w:rPr>
          <w:rStyle w:val="Emphasis"/>
          <w:rFonts w:asciiTheme="majorBidi" w:hAnsiTheme="majorBidi" w:cstheme="majorBidi"/>
          <w:szCs w:val="24"/>
        </w:rPr>
        <w:t>[</w:t>
      </w:r>
      <w:proofErr w:type="gramStart"/>
      <w:r w:rsidRPr="00FE51D1">
        <w:rPr>
          <w:rStyle w:val="Emphasis"/>
          <w:rFonts w:asciiTheme="majorBidi" w:hAnsiTheme="majorBidi" w:cstheme="majorBidi"/>
          <w:szCs w:val="24"/>
        </w:rPr>
        <w:t>Volume(</w:t>
      </w:r>
      <w:proofErr w:type="gramEnd"/>
      <w:r w:rsidRPr="00FE51D1">
        <w:rPr>
          <w:rStyle w:val="Emphasis"/>
          <w:rFonts w:asciiTheme="majorBidi" w:hAnsiTheme="majorBidi" w:cstheme="majorBidi"/>
          <w:szCs w:val="24"/>
        </w:rPr>
        <w:t>Issue)]</w:t>
      </w:r>
      <w:r w:rsidRPr="00FE51D1">
        <w:rPr>
          <w:rFonts w:asciiTheme="majorBidi" w:hAnsiTheme="majorBidi" w:cstheme="majorBidi"/>
          <w:szCs w:val="24"/>
        </w:rPr>
        <w:t xml:space="preserve">, [Page </w:t>
      </w:r>
      <w:r w:rsidRPr="00FE51D1">
        <w:rPr>
          <w:rFonts w:asciiTheme="majorBidi" w:hAnsiTheme="majorBidi" w:cstheme="majorBidi"/>
          <w:szCs w:val="24"/>
        </w:rPr>
        <w:tab/>
        <w:t xml:space="preserve">range]. </w:t>
      </w:r>
      <w:r w:rsidRPr="00FE51D1">
        <w:rPr>
          <w:rFonts w:asciiTheme="majorBidi" w:hAnsiTheme="majorBidi" w:cstheme="majorBidi"/>
          <w:szCs w:val="24"/>
        </w:rPr>
        <w:tab/>
      </w:r>
      <w:proofErr w:type="gramStart"/>
      <w:r w:rsidRPr="00FE51D1">
        <w:rPr>
          <w:rFonts w:asciiTheme="majorBidi" w:hAnsiTheme="majorBidi" w:cstheme="majorBidi"/>
          <w:szCs w:val="24"/>
        </w:rPr>
        <w:t>https://doi.org/[</w:t>
      </w:r>
      <w:proofErr w:type="gramEnd"/>
      <w:r w:rsidRPr="00FE51D1">
        <w:rPr>
          <w:rFonts w:asciiTheme="majorBidi" w:hAnsiTheme="majorBidi" w:cstheme="majorBidi"/>
          <w:szCs w:val="24"/>
        </w:rPr>
        <w:t>DOI if available]</w:t>
      </w:r>
    </w:p>
    <w:p w14:paraId="10E122A9"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Lawal, I. O., Afolabi, A. O., and Shittu, B. B. (2023). Influence of hydrological </w:t>
      </w:r>
      <w:r w:rsidRPr="00FE51D1">
        <w:rPr>
          <w:rFonts w:asciiTheme="majorBidi" w:hAnsiTheme="majorBidi" w:cstheme="majorBidi"/>
          <w:szCs w:val="24"/>
        </w:rPr>
        <w:tab/>
        <w:t xml:space="preserve">inflows on </w:t>
      </w:r>
      <w:r w:rsidRPr="00FE51D1">
        <w:rPr>
          <w:rFonts w:asciiTheme="majorBidi" w:hAnsiTheme="majorBidi" w:cstheme="majorBidi"/>
          <w:szCs w:val="24"/>
        </w:rPr>
        <w:tab/>
        <w:t xml:space="preserve">dissolved oxygen levels in </w:t>
      </w:r>
      <w:proofErr w:type="spellStart"/>
      <w:r w:rsidRPr="00FE51D1">
        <w:rPr>
          <w:rFonts w:asciiTheme="majorBidi" w:hAnsiTheme="majorBidi" w:cstheme="majorBidi"/>
          <w:szCs w:val="24"/>
        </w:rPr>
        <w:t>Eleyele</w:t>
      </w:r>
      <w:proofErr w:type="spellEnd"/>
      <w:r w:rsidRPr="00FE51D1">
        <w:rPr>
          <w:rFonts w:asciiTheme="majorBidi" w:hAnsiTheme="majorBidi" w:cstheme="majorBidi"/>
          <w:szCs w:val="24"/>
        </w:rPr>
        <w:t xml:space="preserve"> Dam, Oyo State. </w:t>
      </w:r>
      <w:r w:rsidRPr="00FE51D1">
        <w:rPr>
          <w:rStyle w:val="Emphasis"/>
          <w:rFonts w:asciiTheme="majorBidi" w:hAnsiTheme="majorBidi" w:cstheme="majorBidi"/>
          <w:szCs w:val="24"/>
        </w:rPr>
        <w:t xml:space="preserve">International Journal </w:t>
      </w:r>
      <w:r w:rsidRPr="00FE51D1">
        <w:rPr>
          <w:rStyle w:val="Emphasis"/>
          <w:rFonts w:asciiTheme="majorBidi" w:hAnsiTheme="majorBidi" w:cstheme="majorBidi"/>
          <w:szCs w:val="24"/>
        </w:rPr>
        <w:tab/>
        <w:t xml:space="preserve">of </w:t>
      </w:r>
      <w:r w:rsidRPr="00FE51D1">
        <w:rPr>
          <w:rStyle w:val="Emphasis"/>
          <w:rFonts w:asciiTheme="majorBidi" w:hAnsiTheme="majorBidi" w:cstheme="majorBidi"/>
          <w:szCs w:val="24"/>
        </w:rPr>
        <w:tab/>
        <w:t>Hydrology, 7</w:t>
      </w:r>
      <w:r w:rsidRPr="00FE51D1">
        <w:rPr>
          <w:rFonts w:asciiTheme="majorBidi" w:hAnsiTheme="majorBidi" w:cstheme="majorBidi"/>
          <w:szCs w:val="24"/>
        </w:rPr>
        <w:t>(4), 96–102.</w:t>
      </w:r>
    </w:p>
    <w:p w14:paraId="27FB5855" w14:textId="77777777" w:rsidR="00FE51D1" w:rsidRPr="00FE51D1" w:rsidRDefault="00FE51D1" w:rsidP="00FE51D1">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Mogaji</w:t>
      </w:r>
      <w:proofErr w:type="spellEnd"/>
      <w:r w:rsidRPr="00FE51D1">
        <w:rPr>
          <w:rFonts w:asciiTheme="majorBidi" w:hAnsiTheme="majorBidi" w:cstheme="majorBidi"/>
          <w:szCs w:val="24"/>
        </w:rPr>
        <w:t xml:space="preserve">, K., </w:t>
      </w:r>
      <w:proofErr w:type="spellStart"/>
      <w:r w:rsidRPr="00FE51D1">
        <w:rPr>
          <w:rFonts w:asciiTheme="majorBidi" w:hAnsiTheme="majorBidi" w:cstheme="majorBidi"/>
          <w:szCs w:val="24"/>
        </w:rPr>
        <w:t>Abiola-Oloke</w:t>
      </w:r>
      <w:proofErr w:type="spellEnd"/>
      <w:r w:rsidRPr="00FE51D1">
        <w:rPr>
          <w:rFonts w:asciiTheme="majorBidi" w:hAnsiTheme="majorBidi" w:cstheme="majorBidi"/>
          <w:szCs w:val="24"/>
        </w:rPr>
        <w:t xml:space="preserve">, E., </w:t>
      </w:r>
      <w:proofErr w:type="spellStart"/>
      <w:r w:rsidRPr="00FE51D1">
        <w:rPr>
          <w:rFonts w:asciiTheme="majorBidi" w:hAnsiTheme="majorBidi" w:cstheme="majorBidi"/>
          <w:szCs w:val="24"/>
        </w:rPr>
        <w:t>andOlayemi</w:t>
      </w:r>
      <w:proofErr w:type="spellEnd"/>
      <w:r w:rsidRPr="00FE51D1">
        <w:rPr>
          <w:rFonts w:asciiTheme="majorBidi" w:hAnsiTheme="majorBidi" w:cstheme="majorBidi"/>
          <w:szCs w:val="24"/>
        </w:rPr>
        <w:t xml:space="preserve">, F. F. (2020). Physicochemical assessment </w:t>
      </w:r>
      <w:r w:rsidRPr="00FE51D1">
        <w:rPr>
          <w:rFonts w:asciiTheme="majorBidi" w:hAnsiTheme="majorBidi" w:cstheme="majorBidi"/>
          <w:szCs w:val="24"/>
        </w:rPr>
        <w:tab/>
        <w:t xml:space="preserve">of </w:t>
      </w:r>
      <w:r w:rsidRPr="00FE51D1">
        <w:rPr>
          <w:rFonts w:asciiTheme="majorBidi" w:hAnsiTheme="majorBidi" w:cstheme="majorBidi"/>
          <w:szCs w:val="24"/>
        </w:rPr>
        <w:tab/>
        <w:t>surface water quality: A case study of Lagos Lagoon in Nigeria. </w:t>
      </w:r>
      <w:r w:rsidRPr="00FE51D1">
        <w:rPr>
          <w:rFonts w:asciiTheme="majorBidi" w:hAnsiTheme="majorBidi" w:cstheme="majorBidi"/>
          <w:i/>
          <w:szCs w:val="24"/>
        </w:rPr>
        <w:t xml:space="preserve">Journal of Water </w:t>
      </w:r>
      <w:r w:rsidRPr="00FE51D1">
        <w:rPr>
          <w:rFonts w:asciiTheme="majorBidi" w:hAnsiTheme="majorBidi" w:cstheme="majorBidi"/>
          <w:i/>
          <w:szCs w:val="24"/>
        </w:rPr>
        <w:tab/>
        <w:t>Resource and Protection</w:t>
      </w:r>
      <w:r w:rsidRPr="00FE51D1">
        <w:rPr>
          <w:rFonts w:asciiTheme="majorBidi" w:hAnsiTheme="majorBidi" w:cstheme="majorBidi"/>
          <w:szCs w:val="24"/>
        </w:rPr>
        <w:t>, 12(10), 883-895.</w:t>
      </w:r>
    </w:p>
    <w:p w14:paraId="70786B6D" w14:textId="77777777" w:rsidR="00FE51D1" w:rsidRPr="00FE51D1" w:rsidRDefault="00FE51D1" w:rsidP="00FE51D1">
      <w:pPr>
        <w:pStyle w:val="NormalWeb"/>
        <w:spacing w:before="0" w:beforeAutospacing="0" w:after="0" w:afterAutospacing="0"/>
        <w:jc w:val="both"/>
        <w:rPr>
          <w:rFonts w:asciiTheme="majorBidi" w:hAnsiTheme="majorBidi" w:cstheme="majorBidi"/>
        </w:rPr>
      </w:pPr>
      <w:r w:rsidRPr="00FE51D1">
        <w:rPr>
          <w:rFonts w:asciiTheme="majorBidi" w:hAnsiTheme="majorBidi" w:cstheme="majorBidi"/>
        </w:rPr>
        <w:t xml:space="preserve">Musa, A. G. and Adamu, M. B. (2022). Dissolved oxygen and seasonal variability in </w:t>
      </w:r>
      <w:r w:rsidRPr="00FE51D1">
        <w:rPr>
          <w:rFonts w:asciiTheme="majorBidi" w:hAnsiTheme="majorBidi" w:cstheme="majorBidi"/>
        </w:rPr>
        <w:tab/>
      </w:r>
      <w:proofErr w:type="spellStart"/>
      <w:r w:rsidRPr="00FE51D1">
        <w:rPr>
          <w:rFonts w:asciiTheme="majorBidi" w:hAnsiTheme="majorBidi" w:cstheme="majorBidi"/>
        </w:rPr>
        <w:t>Hadejia-Nguru</w:t>
      </w:r>
      <w:proofErr w:type="spellEnd"/>
      <w:r w:rsidRPr="00FE51D1">
        <w:rPr>
          <w:rFonts w:asciiTheme="majorBidi" w:hAnsiTheme="majorBidi" w:cstheme="majorBidi"/>
        </w:rPr>
        <w:t xml:space="preserve"> wetlands, Nigeria. </w:t>
      </w:r>
      <w:r w:rsidRPr="00FE51D1">
        <w:rPr>
          <w:rStyle w:val="Emphasis"/>
          <w:rFonts w:asciiTheme="majorBidi" w:hAnsiTheme="majorBidi" w:cstheme="majorBidi"/>
        </w:rPr>
        <w:t>Wetlands Ecology and Management</w:t>
      </w:r>
      <w:r w:rsidRPr="00FE51D1">
        <w:rPr>
          <w:rFonts w:asciiTheme="majorBidi" w:hAnsiTheme="majorBidi" w:cstheme="majorBidi"/>
        </w:rPr>
        <w:t>, 30(2), 245-</w:t>
      </w:r>
      <w:r w:rsidRPr="00FE51D1">
        <w:rPr>
          <w:rFonts w:asciiTheme="majorBidi" w:hAnsiTheme="majorBidi" w:cstheme="majorBidi"/>
        </w:rPr>
        <w:tab/>
        <w:t>257.</w:t>
      </w:r>
    </w:p>
    <w:p w14:paraId="56BE176D"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Nwachukwu, S. C., and Adiele, O. (2021). Thermal stability in Imo River: Climatic </w:t>
      </w:r>
      <w:r w:rsidRPr="00FE51D1">
        <w:rPr>
          <w:rFonts w:asciiTheme="majorBidi" w:hAnsiTheme="majorBidi" w:cstheme="majorBidi"/>
          <w:szCs w:val="24"/>
        </w:rPr>
        <w:tab/>
        <w:t xml:space="preserve">and </w:t>
      </w:r>
      <w:r w:rsidRPr="00FE51D1">
        <w:rPr>
          <w:rFonts w:asciiTheme="majorBidi" w:hAnsiTheme="majorBidi" w:cstheme="majorBidi"/>
          <w:szCs w:val="24"/>
        </w:rPr>
        <w:tab/>
        <w:t xml:space="preserve">hydrological influences. </w:t>
      </w:r>
      <w:r w:rsidRPr="00FE51D1">
        <w:rPr>
          <w:rStyle w:val="Emphasis"/>
          <w:rFonts w:asciiTheme="majorBidi" w:hAnsiTheme="majorBidi" w:cstheme="majorBidi"/>
          <w:szCs w:val="24"/>
        </w:rPr>
        <w:t>Journal of Climate and Water Resources</w:t>
      </w:r>
      <w:r w:rsidRPr="00FE51D1">
        <w:rPr>
          <w:rFonts w:asciiTheme="majorBidi" w:hAnsiTheme="majorBidi" w:cstheme="majorBidi"/>
          <w:szCs w:val="24"/>
        </w:rPr>
        <w:t xml:space="preserve">, </w:t>
      </w:r>
      <w:r w:rsidRPr="00FE51D1">
        <w:rPr>
          <w:rStyle w:val="Emphasis"/>
          <w:rFonts w:asciiTheme="majorBidi" w:hAnsiTheme="majorBidi" w:cstheme="majorBidi"/>
          <w:szCs w:val="24"/>
        </w:rPr>
        <w:t>12</w:t>
      </w:r>
      <w:r w:rsidRPr="00FE51D1">
        <w:rPr>
          <w:rFonts w:asciiTheme="majorBidi" w:hAnsiTheme="majorBidi" w:cstheme="majorBidi"/>
          <w:szCs w:val="24"/>
        </w:rPr>
        <w:t>(3), 89-</w:t>
      </w:r>
      <w:r w:rsidRPr="00FE51D1">
        <w:rPr>
          <w:rFonts w:asciiTheme="majorBidi" w:hAnsiTheme="majorBidi" w:cstheme="majorBidi"/>
          <w:szCs w:val="24"/>
        </w:rPr>
        <w:tab/>
        <w:t>102.</w:t>
      </w:r>
    </w:p>
    <w:p w14:paraId="5595A0EA"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Nwankwo, S. C., Edem, E. E., and Udo, E. U. (2023). Nutrient dynamics in the </w:t>
      </w:r>
      <w:proofErr w:type="gramStart"/>
      <w:r w:rsidRPr="00FE51D1">
        <w:rPr>
          <w:rFonts w:asciiTheme="majorBidi" w:hAnsiTheme="majorBidi" w:cstheme="majorBidi"/>
          <w:szCs w:val="24"/>
        </w:rPr>
        <w:t xml:space="preserve">Cross </w:t>
      </w:r>
      <w:r w:rsidRPr="00FE51D1">
        <w:rPr>
          <w:rFonts w:asciiTheme="majorBidi" w:hAnsiTheme="majorBidi" w:cstheme="majorBidi"/>
          <w:szCs w:val="24"/>
        </w:rPr>
        <w:tab/>
        <w:t>River</w:t>
      </w:r>
      <w:proofErr w:type="gramEnd"/>
      <w:r w:rsidRPr="00FE51D1">
        <w:rPr>
          <w:rFonts w:asciiTheme="majorBidi" w:hAnsiTheme="majorBidi" w:cstheme="majorBidi"/>
          <w:szCs w:val="24"/>
        </w:rPr>
        <w:t xml:space="preserve"> basin: A comparative study. </w:t>
      </w:r>
      <w:r w:rsidRPr="00FE51D1">
        <w:rPr>
          <w:rStyle w:val="Emphasis"/>
          <w:rFonts w:asciiTheme="majorBidi" w:hAnsiTheme="majorBidi" w:cstheme="majorBidi"/>
          <w:szCs w:val="24"/>
        </w:rPr>
        <w:t xml:space="preserve">African Journal of Environmental Science and </w:t>
      </w:r>
      <w:r w:rsidRPr="00FE51D1">
        <w:rPr>
          <w:rStyle w:val="Emphasis"/>
          <w:rFonts w:asciiTheme="majorBidi" w:hAnsiTheme="majorBidi" w:cstheme="majorBidi"/>
          <w:szCs w:val="24"/>
        </w:rPr>
        <w:tab/>
        <w:t>Technology, 17</w:t>
      </w:r>
      <w:r w:rsidRPr="00FE51D1">
        <w:rPr>
          <w:rFonts w:asciiTheme="majorBidi" w:hAnsiTheme="majorBidi" w:cstheme="majorBidi"/>
          <w:szCs w:val="24"/>
        </w:rPr>
        <w:t>(2), 88–96.</w:t>
      </w:r>
    </w:p>
    <w:p w14:paraId="684B158F" w14:textId="77777777" w:rsidR="00FE51D1" w:rsidRPr="00FE51D1" w:rsidRDefault="00FE51D1" w:rsidP="008B7372">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Odewumi</w:t>
      </w:r>
      <w:proofErr w:type="spellEnd"/>
      <w:r w:rsidRPr="00FE51D1">
        <w:rPr>
          <w:rFonts w:asciiTheme="majorBidi" w:hAnsiTheme="majorBidi" w:cstheme="majorBidi"/>
          <w:szCs w:val="24"/>
        </w:rPr>
        <w:t xml:space="preserve">, O. S., Olaleye, O. S., and Owolabi, B. A. (2019). Diversity and richness of </w:t>
      </w:r>
      <w:r w:rsidRPr="00FE51D1">
        <w:rPr>
          <w:rFonts w:asciiTheme="majorBidi" w:hAnsiTheme="majorBidi" w:cstheme="majorBidi"/>
          <w:szCs w:val="24"/>
        </w:rPr>
        <w:tab/>
        <w:t xml:space="preserve">avian community in </w:t>
      </w:r>
      <w:proofErr w:type="spellStart"/>
      <w:r w:rsidRPr="00FE51D1">
        <w:rPr>
          <w:rFonts w:asciiTheme="majorBidi" w:hAnsiTheme="majorBidi" w:cstheme="majorBidi"/>
          <w:szCs w:val="24"/>
        </w:rPr>
        <w:t>Ekonde</w:t>
      </w:r>
      <w:proofErr w:type="spellEnd"/>
      <w:r w:rsidRPr="00FE51D1">
        <w:rPr>
          <w:rFonts w:asciiTheme="majorBidi" w:hAnsiTheme="majorBidi" w:cstheme="majorBidi"/>
          <w:szCs w:val="24"/>
        </w:rPr>
        <w:t xml:space="preserve"> and </w:t>
      </w:r>
      <w:proofErr w:type="spellStart"/>
      <w:r w:rsidRPr="00FE51D1">
        <w:rPr>
          <w:rFonts w:asciiTheme="majorBidi" w:hAnsiTheme="majorBidi" w:cstheme="majorBidi"/>
          <w:szCs w:val="24"/>
        </w:rPr>
        <w:t>Owala</w:t>
      </w:r>
      <w:proofErr w:type="spellEnd"/>
      <w:r w:rsidRPr="00FE51D1">
        <w:rPr>
          <w:rFonts w:asciiTheme="majorBidi" w:hAnsiTheme="majorBidi" w:cstheme="majorBidi"/>
          <w:szCs w:val="24"/>
        </w:rPr>
        <w:t xml:space="preserve"> dams, Osun State, Nigeria. </w:t>
      </w:r>
      <w:r w:rsidRPr="00FE51D1">
        <w:rPr>
          <w:rStyle w:val="Emphasis"/>
          <w:rFonts w:asciiTheme="majorBidi" w:hAnsiTheme="majorBidi" w:cstheme="majorBidi"/>
          <w:szCs w:val="24"/>
        </w:rPr>
        <w:t xml:space="preserve">Ruhuna Journal of </w:t>
      </w:r>
      <w:r w:rsidRPr="00FE51D1">
        <w:rPr>
          <w:rStyle w:val="Emphasis"/>
          <w:rFonts w:asciiTheme="majorBidi" w:hAnsiTheme="majorBidi" w:cstheme="majorBidi"/>
          <w:szCs w:val="24"/>
        </w:rPr>
        <w:tab/>
        <w:t>Science, 10</w:t>
      </w:r>
      <w:r w:rsidRPr="00FE51D1">
        <w:rPr>
          <w:rFonts w:asciiTheme="majorBidi" w:hAnsiTheme="majorBidi" w:cstheme="majorBidi"/>
          <w:szCs w:val="24"/>
        </w:rPr>
        <w:t>(2), 135–148.</w:t>
      </w:r>
    </w:p>
    <w:p w14:paraId="23870603" w14:textId="77777777" w:rsidR="00FE51D1" w:rsidRPr="00FE51D1" w:rsidRDefault="00FE51D1" w:rsidP="008B7372">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Ogundele, O., Ajiboye, A. O., and Falade, J. (2023). Seasonal variations in water </w:t>
      </w:r>
      <w:r w:rsidRPr="00FE51D1">
        <w:rPr>
          <w:rFonts w:asciiTheme="majorBidi" w:hAnsiTheme="majorBidi" w:cstheme="majorBidi"/>
          <w:szCs w:val="24"/>
        </w:rPr>
        <w:tab/>
        <w:t xml:space="preserve">quality </w:t>
      </w:r>
      <w:r w:rsidRPr="00FE51D1">
        <w:rPr>
          <w:rFonts w:asciiTheme="majorBidi" w:hAnsiTheme="majorBidi" w:cstheme="majorBidi"/>
          <w:szCs w:val="24"/>
        </w:rPr>
        <w:tab/>
        <w:t xml:space="preserve">parameters of Ero Dam, Ekiti State, Nigeria. </w:t>
      </w:r>
      <w:r w:rsidRPr="00FE51D1">
        <w:rPr>
          <w:rStyle w:val="Emphasis"/>
          <w:rFonts w:asciiTheme="majorBidi" w:hAnsiTheme="majorBidi" w:cstheme="majorBidi"/>
          <w:szCs w:val="24"/>
        </w:rPr>
        <w:t xml:space="preserve">Environmental Monitoring and </w:t>
      </w:r>
      <w:r w:rsidRPr="00FE51D1">
        <w:rPr>
          <w:rStyle w:val="Emphasis"/>
          <w:rFonts w:asciiTheme="majorBidi" w:hAnsiTheme="majorBidi" w:cstheme="majorBidi"/>
          <w:szCs w:val="24"/>
        </w:rPr>
        <w:tab/>
        <w:t>Assessment, 195</w:t>
      </w:r>
      <w:r w:rsidRPr="00FE51D1">
        <w:rPr>
          <w:rFonts w:asciiTheme="majorBidi" w:hAnsiTheme="majorBidi" w:cstheme="majorBidi"/>
          <w:szCs w:val="24"/>
        </w:rPr>
        <w:t>, 524.</w:t>
      </w:r>
    </w:p>
    <w:p w14:paraId="0DFE6C9F" w14:textId="77777777" w:rsidR="00FE51D1" w:rsidRPr="00FE51D1" w:rsidRDefault="00FE51D1" w:rsidP="00FE51D1">
      <w:pPr>
        <w:pStyle w:val="NormalWeb"/>
        <w:spacing w:before="0" w:beforeAutospacing="0" w:after="0" w:afterAutospacing="0"/>
        <w:jc w:val="both"/>
        <w:rPr>
          <w:rFonts w:asciiTheme="majorBidi" w:hAnsiTheme="majorBidi" w:cstheme="majorBidi"/>
        </w:rPr>
      </w:pPr>
      <w:r w:rsidRPr="00FE51D1">
        <w:rPr>
          <w:rFonts w:asciiTheme="majorBidi" w:hAnsiTheme="majorBidi" w:cstheme="majorBidi"/>
        </w:rPr>
        <w:t xml:space="preserve">Ogundele, S. A. and </w:t>
      </w:r>
      <w:proofErr w:type="spellStart"/>
      <w:r w:rsidRPr="00FE51D1">
        <w:rPr>
          <w:rFonts w:asciiTheme="majorBidi" w:hAnsiTheme="majorBidi" w:cstheme="majorBidi"/>
        </w:rPr>
        <w:t>Obasola</w:t>
      </w:r>
      <w:proofErr w:type="spellEnd"/>
      <w:r w:rsidRPr="00FE51D1">
        <w:rPr>
          <w:rFonts w:asciiTheme="majorBidi" w:hAnsiTheme="majorBidi" w:cstheme="majorBidi"/>
        </w:rPr>
        <w:t xml:space="preserve">, T. K. (2023). pH variability and organic matter </w:t>
      </w:r>
      <w:r w:rsidRPr="00FE51D1">
        <w:rPr>
          <w:rFonts w:asciiTheme="majorBidi" w:hAnsiTheme="majorBidi" w:cstheme="majorBidi"/>
        </w:rPr>
        <w:tab/>
        <w:t xml:space="preserve">decomposition in River Benue, Nigeria. </w:t>
      </w:r>
      <w:r w:rsidRPr="00FE51D1">
        <w:rPr>
          <w:rStyle w:val="Emphasis"/>
          <w:rFonts w:asciiTheme="majorBidi" w:hAnsiTheme="majorBidi" w:cstheme="majorBidi"/>
        </w:rPr>
        <w:t>Journal of Environmental Studies</w:t>
      </w:r>
      <w:r w:rsidRPr="00FE51D1">
        <w:rPr>
          <w:rFonts w:asciiTheme="majorBidi" w:hAnsiTheme="majorBidi" w:cstheme="majorBidi"/>
        </w:rPr>
        <w:t xml:space="preserve">, 29(1), </w:t>
      </w:r>
      <w:r w:rsidRPr="00FE51D1">
        <w:rPr>
          <w:rFonts w:asciiTheme="majorBidi" w:hAnsiTheme="majorBidi" w:cstheme="majorBidi"/>
        </w:rPr>
        <w:tab/>
        <w:t>101-115.</w:t>
      </w:r>
    </w:p>
    <w:p w14:paraId="7499C6D5" w14:textId="77777777" w:rsidR="00FE51D1" w:rsidRPr="00FE51D1" w:rsidRDefault="00FE51D1" w:rsidP="008B7372">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Ogunfowokan</w:t>
      </w:r>
      <w:proofErr w:type="spellEnd"/>
      <w:r w:rsidRPr="00FE51D1">
        <w:rPr>
          <w:rFonts w:asciiTheme="majorBidi" w:hAnsiTheme="majorBidi" w:cstheme="majorBidi"/>
          <w:szCs w:val="24"/>
        </w:rPr>
        <w:t xml:space="preserve">, A.O., </w:t>
      </w:r>
      <w:proofErr w:type="spellStart"/>
      <w:r w:rsidRPr="00FE51D1">
        <w:rPr>
          <w:rFonts w:asciiTheme="majorBidi" w:hAnsiTheme="majorBidi" w:cstheme="majorBidi"/>
          <w:szCs w:val="24"/>
        </w:rPr>
        <w:t>Olayemi</w:t>
      </w:r>
      <w:proofErr w:type="spellEnd"/>
      <w:r w:rsidRPr="00FE51D1">
        <w:rPr>
          <w:rFonts w:asciiTheme="majorBidi" w:hAnsiTheme="majorBidi" w:cstheme="majorBidi"/>
          <w:szCs w:val="24"/>
        </w:rPr>
        <w:t xml:space="preserve">, F.F., and Adesina, S.A. (2021). Assessment of Water </w:t>
      </w:r>
      <w:r w:rsidRPr="00FE51D1">
        <w:rPr>
          <w:rFonts w:asciiTheme="majorBidi" w:hAnsiTheme="majorBidi" w:cstheme="majorBidi"/>
          <w:szCs w:val="24"/>
        </w:rPr>
        <w:tab/>
        <w:t xml:space="preserve">Quality Parameters in Nigerian Rivers: Implications for Public Health and </w:t>
      </w:r>
      <w:r w:rsidRPr="00FE51D1">
        <w:rPr>
          <w:rFonts w:asciiTheme="majorBidi" w:hAnsiTheme="majorBidi" w:cstheme="majorBidi"/>
          <w:szCs w:val="24"/>
        </w:rPr>
        <w:tab/>
        <w:t xml:space="preserve">Management </w:t>
      </w:r>
      <w:r w:rsidRPr="00FE51D1">
        <w:rPr>
          <w:rFonts w:asciiTheme="majorBidi" w:hAnsiTheme="majorBidi" w:cstheme="majorBidi"/>
          <w:szCs w:val="24"/>
        </w:rPr>
        <w:tab/>
      </w:r>
      <w:proofErr w:type="spellStart"/>
      <w:r w:rsidRPr="00FE51D1">
        <w:rPr>
          <w:rFonts w:asciiTheme="majorBidi" w:hAnsiTheme="majorBidi" w:cstheme="majorBidi"/>
          <w:szCs w:val="24"/>
        </w:rPr>
        <w:t>Strategies.</w:t>
      </w:r>
      <w:r w:rsidRPr="00FE51D1">
        <w:rPr>
          <w:rFonts w:asciiTheme="majorBidi" w:hAnsiTheme="majorBidi" w:cstheme="majorBidi"/>
          <w:i/>
          <w:szCs w:val="24"/>
        </w:rPr>
        <w:t>Journal</w:t>
      </w:r>
      <w:proofErr w:type="spellEnd"/>
      <w:r w:rsidRPr="00FE51D1">
        <w:rPr>
          <w:rFonts w:asciiTheme="majorBidi" w:hAnsiTheme="majorBidi" w:cstheme="majorBidi"/>
          <w:i/>
          <w:szCs w:val="24"/>
        </w:rPr>
        <w:t xml:space="preserve"> of Environmental Management</w:t>
      </w:r>
      <w:r w:rsidRPr="00FE51D1">
        <w:rPr>
          <w:rFonts w:asciiTheme="majorBidi" w:hAnsiTheme="majorBidi" w:cstheme="majorBidi"/>
          <w:szCs w:val="24"/>
        </w:rPr>
        <w:t>, 287, 112313.</w:t>
      </w:r>
    </w:p>
    <w:p w14:paraId="4A6DC6A0"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Okafor, J. O., and Uche, E. (2021). Anthropogenic influences on total dissolved solids </w:t>
      </w:r>
      <w:r w:rsidRPr="00FE51D1">
        <w:rPr>
          <w:rFonts w:asciiTheme="majorBidi" w:hAnsiTheme="majorBidi" w:cstheme="majorBidi"/>
          <w:szCs w:val="24"/>
        </w:rPr>
        <w:tab/>
        <w:t xml:space="preserve">in </w:t>
      </w:r>
      <w:r w:rsidRPr="00FE51D1">
        <w:rPr>
          <w:rFonts w:asciiTheme="majorBidi" w:hAnsiTheme="majorBidi" w:cstheme="majorBidi"/>
          <w:szCs w:val="24"/>
        </w:rPr>
        <w:tab/>
        <w:t xml:space="preserve">Oji River. </w:t>
      </w:r>
      <w:r w:rsidRPr="00FE51D1">
        <w:rPr>
          <w:rStyle w:val="Emphasis"/>
          <w:rFonts w:asciiTheme="majorBidi" w:hAnsiTheme="majorBidi" w:cstheme="majorBidi"/>
          <w:szCs w:val="24"/>
        </w:rPr>
        <w:t>International Journal of Water Science and Technology</w:t>
      </w:r>
      <w:r w:rsidRPr="00FE51D1">
        <w:rPr>
          <w:rFonts w:asciiTheme="majorBidi" w:hAnsiTheme="majorBidi" w:cstheme="majorBidi"/>
          <w:szCs w:val="24"/>
        </w:rPr>
        <w:t xml:space="preserve">, </w:t>
      </w:r>
      <w:r w:rsidRPr="00FE51D1">
        <w:rPr>
          <w:rStyle w:val="Emphasis"/>
          <w:rFonts w:asciiTheme="majorBidi" w:hAnsiTheme="majorBidi" w:cstheme="majorBidi"/>
          <w:szCs w:val="24"/>
        </w:rPr>
        <w:t>18</w:t>
      </w:r>
      <w:r w:rsidRPr="00FE51D1">
        <w:rPr>
          <w:rFonts w:asciiTheme="majorBidi" w:hAnsiTheme="majorBidi" w:cstheme="majorBidi"/>
          <w:szCs w:val="24"/>
        </w:rPr>
        <w:t>(4), 312-326.</w:t>
      </w:r>
    </w:p>
    <w:p w14:paraId="7069BBAB"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Okeke, I. C., Nnamani, C. E., and Udeh, I. E. (2021). Analysis of sedimentation and </w:t>
      </w:r>
      <w:r w:rsidRPr="00FE51D1">
        <w:rPr>
          <w:rFonts w:asciiTheme="majorBidi" w:hAnsiTheme="majorBidi" w:cstheme="majorBidi"/>
          <w:szCs w:val="24"/>
        </w:rPr>
        <w:tab/>
        <w:t xml:space="preserve">turbidity in </w:t>
      </w:r>
      <w:proofErr w:type="spellStart"/>
      <w:r w:rsidRPr="00FE51D1">
        <w:rPr>
          <w:rFonts w:asciiTheme="majorBidi" w:hAnsiTheme="majorBidi" w:cstheme="majorBidi"/>
          <w:szCs w:val="24"/>
        </w:rPr>
        <w:t>Oguta</w:t>
      </w:r>
      <w:proofErr w:type="spellEnd"/>
      <w:r w:rsidRPr="00FE51D1">
        <w:rPr>
          <w:rFonts w:asciiTheme="majorBidi" w:hAnsiTheme="majorBidi" w:cstheme="majorBidi"/>
          <w:szCs w:val="24"/>
        </w:rPr>
        <w:t xml:space="preserve"> Lake: Effects on ecosystem health. </w:t>
      </w:r>
      <w:r w:rsidRPr="00FE51D1">
        <w:rPr>
          <w:rStyle w:val="Emphasis"/>
          <w:rFonts w:asciiTheme="majorBidi" w:hAnsiTheme="majorBidi" w:cstheme="majorBidi"/>
          <w:szCs w:val="24"/>
        </w:rPr>
        <w:tab/>
      </w:r>
    </w:p>
    <w:p w14:paraId="23517D45"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Okoro, U. B., and Nnamani, I. (2022). Fertilizer-induced phosphate pollution in </w:t>
      </w:r>
      <w:r w:rsidRPr="00FE51D1">
        <w:rPr>
          <w:rFonts w:asciiTheme="majorBidi" w:hAnsiTheme="majorBidi" w:cstheme="majorBidi"/>
          <w:szCs w:val="24"/>
        </w:rPr>
        <w:tab/>
      </w:r>
      <w:proofErr w:type="spellStart"/>
      <w:r w:rsidRPr="00FE51D1">
        <w:rPr>
          <w:rFonts w:asciiTheme="majorBidi" w:hAnsiTheme="majorBidi" w:cstheme="majorBidi"/>
          <w:szCs w:val="24"/>
        </w:rPr>
        <w:t>Otamiri</w:t>
      </w:r>
      <w:proofErr w:type="spellEnd"/>
      <w:r w:rsidRPr="00FE51D1">
        <w:rPr>
          <w:rFonts w:asciiTheme="majorBidi" w:hAnsiTheme="majorBidi" w:cstheme="majorBidi"/>
          <w:szCs w:val="24"/>
        </w:rPr>
        <w:t xml:space="preserve"> </w:t>
      </w:r>
      <w:r w:rsidRPr="00FE51D1">
        <w:rPr>
          <w:rFonts w:asciiTheme="majorBidi" w:hAnsiTheme="majorBidi" w:cstheme="majorBidi"/>
          <w:szCs w:val="24"/>
        </w:rPr>
        <w:tab/>
        <w:t xml:space="preserve">River. </w:t>
      </w:r>
      <w:r w:rsidRPr="00FE51D1">
        <w:rPr>
          <w:rStyle w:val="Emphasis"/>
          <w:rFonts w:asciiTheme="majorBidi" w:hAnsiTheme="majorBidi" w:cstheme="majorBidi"/>
          <w:szCs w:val="24"/>
        </w:rPr>
        <w:t>Journal of Nigerian Agriculture and Environmental Research</w:t>
      </w:r>
      <w:r w:rsidRPr="00FE51D1">
        <w:rPr>
          <w:rFonts w:asciiTheme="majorBidi" w:hAnsiTheme="majorBidi" w:cstheme="majorBidi"/>
          <w:szCs w:val="24"/>
        </w:rPr>
        <w:t xml:space="preserve">, </w:t>
      </w:r>
      <w:r w:rsidRPr="00FE51D1">
        <w:rPr>
          <w:rStyle w:val="Emphasis"/>
          <w:rFonts w:asciiTheme="majorBidi" w:hAnsiTheme="majorBidi" w:cstheme="majorBidi"/>
          <w:szCs w:val="24"/>
        </w:rPr>
        <w:t>9</w:t>
      </w:r>
      <w:r w:rsidRPr="00FE51D1">
        <w:rPr>
          <w:rFonts w:asciiTheme="majorBidi" w:hAnsiTheme="majorBidi" w:cstheme="majorBidi"/>
          <w:szCs w:val="24"/>
        </w:rPr>
        <w:t xml:space="preserve">(2), </w:t>
      </w:r>
      <w:r w:rsidRPr="00FE51D1">
        <w:rPr>
          <w:rFonts w:asciiTheme="majorBidi" w:hAnsiTheme="majorBidi" w:cstheme="majorBidi"/>
          <w:szCs w:val="24"/>
        </w:rPr>
        <w:tab/>
        <w:t>123-135.</w:t>
      </w:r>
    </w:p>
    <w:p w14:paraId="083F7425" w14:textId="77777777" w:rsidR="00FE51D1" w:rsidRPr="00FE51D1" w:rsidRDefault="00FE51D1" w:rsidP="008B7372">
      <w:pPr>
        <w:pStyle w:val="NormalWeb"/>
        <w:spacing w:after="0" w:afterAutospacing="0"/>
        <w:rPr>
          <w:rFonts w:asciiTheme="majorBidi" w:hAnsiTheme="majorBidi" w:cstheme="majorBidi"/>
        </w:rPr>
      </w:pPr>
      <w:r w:rsidRPr="00FE51D1">
        <w:rPr>
          <w:rFonts w:asciiTheme="majorBidi" w:hAnsiTheme="majorBidi" w:cstheme="majorBidi"/>
        </w:rPr>
        <w:t xml:space="preserve">Oladejo, S. O., and Olaleye, R. S. (2006). </w:t>
      </w:r>
      <w:r w:rsidRPr="00FE51D1">
        <w:rPr>
          <w:rFonts w:asciiTheme="majorBidi" w:hAnsiTheme="majorBidi" w:cstheme="majorBidi"/>
          <w:i/>
          <w:iCs/>
        </w:rPr>
        <w:t xml:space="preserve">Impact of dam construction on the </w:t>
      </w:r>
      <w:r w:rsidRPr="00FE51D1">
        <w:rPr>
          <w:rFonts w:asciiTheme="majorBidi" w:hAnsiTheme="majorBidi" w:cstheme="majorBidi"/>
          <w:i/>
          <w:iCs/>
        </w:rPr>
        <w:tab/>
        <w:t xml:space="preserve">prevalence </w:t>
      </w:r>
      <w:r w:rsidRPr="00FE51D1">
        <w:rPr>
          <w:rFonts w:asciiTheme="majorBidi" w:hAnsiTheme="majorBidi" w:cstheme="majorBidi"/>
          <w:i/>
          <w:iCs/>
        </w:rPr>
        <w:tab/>
        <w:t xml:space="preserve">of schistosomiasis in Nigeria: A case study of the </w:t>
      </w:r>
      <w:proofErr w:type="spellStart"/>
      <w:r w:rsidRPr="00FE51D1">
        <w:rPr>
          <w:rFonts w:asciiTheme="majorBidi" w:hAnsiTheme="majorBidi" w:cstheme="majorBidi"/>
          <w:i/>
          <w:iCs/>
        </w:rPr>
        <w:t>Oyan</w:t>
      </w:r>
      <w:proofErr w:type="spellEnd"/>
      <w:r w:rsidRPr="00FE51D1">
        <w:rPr>
          <w:rFonts w:asciiTheme="majorBidi" w:hAnsiTheme="majorBidi" w:cstheme="majorBidi"/>
          <w:i/>
          <w:iCs/>
        </w:rPr>
        <w:t xml:space="preserve"> Dam in Ogun </w:t>
      </w:r>
      <w:r w:rsidRPr="00FE51D1">
        <w:rPr>
          <w:rFonts w:asciiTheme="majorBidi" w:hAnsiTheme="majorBidi" w:cstheme="majorBidi"/>
          <w:i/>
          <w:iCs/>
        </w:rPr>
        <w:tab/>
        <w:t>State.</w:t>
      </w:r>
      <w:r w:rsidRPr="00FE51D1">
        <w:rPr>
          <w:rFonts w:asciiTheme="majorBidi" w:hAnsiTheme="majorBidi" w:cstheme="majorBidi"/>
        </w:rPr>
        <w:t xml:space="preserve"> </w:t>
      </w:r>
      <w:r w:rsidRPr="00FE51D1">
        <w:rPr>
          <w:rFonts w:asciiTheme="majorBidi" w:hAnsiTheme="majorBidi" w:cstheme="majorBidi"/>
        </w:rPr>
        <w:tab/>
        <w:t xml:space="preserve">African </w:t>
      </w:r>
      <w:r w:rsidRPr="00FE51D1">
        <w:rPr>
          <w:rFonts w:asciiTheme="majorBidi" w:hAnsiTheme="majorBidi" w:cstheme="majorBidi"/>
          <w:i/>
          <w:iCs/>
        </w:rPr>
        <w:t>Journal of Biomedical Research</w:t>
      </w:r>
      <w:r w:rsidRPr="00FE51D1">
        <w:rPr>
          <w:rFonts w:asciiTheme="majorBidi" w:hAnsiTheme="majorBidi" w:cstheme="majorBidi"/>
        </w:rPr>
        <w:t xml:space="preserve">, </w:t>
      </w:r>
      <w:r w:rsidRPr="00FE51D1">
        <w:rPr>
          <w:rFonts w:asciiTheme="majorBidi" w:hAnsiTheme="majorBidi" w:cstheme="majorBidi"/>
          <w:b/>
          <w:bCs/>
        </w:rPr>
        <w:t xml:space="preserve">9 </w:t>
      </w:r>
      <w:r w:rsidRPr="00FE51D1">
        <w:rPr>
          <w:rFonts w:asciiTheme="majorBidi" w:hAnsiTheme="majorBidi" w:cstheme="majorBidi"/>
        </w:rPr>
        <w:t>(3), 149–153.</w:t>
      </w:r>
    </w:p>
    <w:p w14:paraId="05576C23"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Oladimeji, A. O., and Adebayo, O. S. (2021). Salinity control measures and water </w:t>
      </w:r>
      <w:r w:rsidRPr="00FE51D1">
        <w:rPr>
          <w:rFonts w:asciiTheme="majorBidi" w:hAnsiTheme="majorBidi" w:cstheme="majorBidi"/>
          <w:szCs w:val="24"/>
        </w:rPr>
        <w:tab/>
        <w:t xml:space="preserve">quality analysis of Tiga Dam, Kano State. </w:t>
      </w:r>
      <w:r w:rsidRPr="00FE51D1">
        <w:rPr>
          <w:rStyle w:val="Emphasis"/>
          <w:rFonts w:asciiTheme="majorBidi" w:hAnsiTheme="majorBidi" w:cstheme="majorBidi"/>
          <w:szCs w:val="24"/>
        </w:rPr>
        <w:t xml:space="preserve">Environmental Management Journal, </w:t>
      </w:r>
      <w:r w:rsidRPr="00FE51D1">
        <w:rPr>
          <w:rStyle w:val="Emphasis"/>
          <w:rFonts w:asciiTheme="majorBidi" w:hAnsiTheme="majorBidi" w:cstheme="majorBidi"/>
          <w:szCs w:val="24"/>
        </w:rPr>
        <w:tab/>
        <w:t>42</w:t>
      </w:r>
      <w:r w:rsidRPr="00FE51D1">
        <w:rPr>
          <w:rFonts w:asciiTheme="majorBidi" w:hAnsiTheme="majorBidi" w:cstheme="majorBidi"/>
          <w:szCs w:val="24"/>
        </w:rPr>
        <w:t>(1), 67–74.</w:t>
      </w:r>
    </w:p>
    <w:p w14:paraId="05DC3324"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lastRenderedPageBreak/>
        <w:t xml:space="preserve">Olalekan, M.O., </w:t>
      </w:r>
      <w:proofErr w:type="spellStart"/>
      <w:proofErr w:type="gramStart"/>
      <w:r w:rsidRPr="00FE51D1">
        <w:rPr>
          <w:rFonts w:asciiTheme="majorBidi" w:hAnsiTheme="majorBidi" w:cstheme="majorBidi"/>
          <w:szCs w:val="24"/>
        </w:rPr>
        <w:t>Olayinka,A.O</w:t>
      </w:r>
      <w:proofErr w:type="spellEnd"/>
      <w:r w:rsidRPr="00FE51D1">
        <w:rPr>
          <w:rFonts w:asciiTheme="majorBidi" w:hAnsiTheme="majorBidi" w:cstheme="majorBidi"/>
          <w:szCs w:val="24"/>
        </w:rPr>
        <w:t>.</w:t>
      </w:r>
      <w:proofErr w:type="gramEnd"/>
      <w:r w:rsidRPr="00FE51D1">
        <w:rPr>
          <w:rFonts w:asciiTheme="majorBidi" w:hAnsiTheme="majorBidi" w:cstheme="majorBidi"/>
          <w:szCs w:val="24"/>
        </w:rPr>
        <w:t xml:space="preserve">, </w:t>
      </w:r>
      <w:proofErr w:type="spellStart"/>
      <w:r w:rsidRPr="00FE51D1">
        <w:rPr>
          <w:rFonts w:asciiTheme="majorBidi" w:hAnsiTheme="majorBidi" w:cstheme="majorBidi"/>
          <w:szCs w:val="24"/>
        </w:rPr>
        <w:t>andAbubakar,S</w:t>
      </w:r>
      <w:proofErr w:type="spellEnd"/>
      <w:r w:rsidRPr="00FE51D1">
        <w:rPr>
          <w:rFonts w:asciiTheme="majorBidi" w:hAnsiTheme="majorBidi" w:cstheme="majorBidi"/>
          <w:szCs w:val="24"/>
        </w:rPr>
        <w:t xml:space="preserve">.(2023). Impact of Seasonal </w:t>
      </w:r>
      <w:r w:rsidRPr="00FE51D1">
        <w:rPr>
          <w:rFonts w:asciiTheme="majorBidi" w:hAnsiTheme="majorBidi" w:cstheme="majorBidi"/>
          <w:szCs w:val="24"/>
        </w:rPr>
        <w:tab/>
        <w:t xml:space="preserve">Variations </w:t>
      </w:r>
      <w:r w:rsidRPr="00FE51D1">
        <w:rPr>
          <w:rFonts w:asciiTheme="majorBidi" w:hAnsiTheme="majorBidi" w:cstheme="majorBidi"/>
          <w:szCs w:val="24"/>
        </w:rPr>
        <w:tab/>
        <w:t xml:space="preserve">on Water Quality in the Mbo River: A Case Study from </w:t>
      </w:r>
      <w:proofErr w:type="spellStart"/>
      <w:r w:rsidRPr="00FE51D1">
        <w:rPr>
          <w:rFonts w:asciiTheme="majorBidi" w:hAnsiTheme="majorBidi" w:cstheme="majorBidi"/>
          <w:szCs w:val="24"/>
        </w:rPr>
        <w:t>AkwaIbom</w:t>
      </w:r>
      <w:proofErr w:type="spellEnd"/>
      <w:r w:rsidRPr="00FE51D1">
        <w:rPr>
          <w:rFonts w:asciiTheme="majorBidi" w:hAnsiTheme="majorBidi" w:cstheme="majorBidi"/>
          <w:szCs w:val="24"/>
        </w:rPr>
        <w:t xml:space="preserve"> State </w:t>
      </w:r>
      <w:r w:rsidRPr="00FE51D1">
        <w:rPr>
          <w:rFonts w:asciiTheme="majorBidi" w:hAnsiTheme="majorBidi" w:cstheme="majorBidi"/>
          <w:szCs w:val="24"/>
        </w:rPr>
        <w:tab/>
      </w:r>
      <w:proofErr w:type="spellStart"/>
      <w:r w:rsidRPr="00FE51D1">
        <w:rPr>
          <w:rFonts w:asciiTheme="majorBidi" w:hAnsiTheme="majorBidi" w:cstheme="majorBidi"/>
          <w:szCs w:val="24"/>
        </w:rPr>
        <w:t>Nigeria.</w:t>
      </w:r>
      <w:r w:rsidRPr="00FE51D1">
        <w:rPr>
          <w:rFonts w:asciiTheme="majorBidi" w:hAnsiTheme="majorBidi" w:cstheme="majorBidi"/>
          <w:i/>
          <w:szCs w:val="24"/>
        </w:rPr>
        <w:t>International</w:t>
      </w:r>
      <w:proofErr w:type="spellEnd"/>
      <w:r w:rsidRPr="00FE51D1">
        <w:rPr>
          <w:rFonts w:asciiTheme="majorBidi" w:hAnsiTheme="majorBidi" w:cstheme="majorBidi"/>
          <w:i/>
          <w:szCs w:val="24"/>
        </w:rPr>
        <w:t xml:space="preserve"> Journal of Environmental Science and Technology</w:t>
      </w:r>
      <w:r w:rsidRPr="00FE51D1">
        <w:rPr>
          <w:rFonts w:asciiTheme="majorBidi" w:hAnsiTheme="majorBidi" w:cstheme="majorBidi"/>
          <w:szCs w:val="24"/>
        </w:rPr>
        <w:t>, 20(6),2299-</w:t>
      </w:r>
      <w:r w:rsidRPr="00FE51D1">
        <w:rPr>
          <w:rFonts w:asciiTheme="majorBidi" w:hAnsiTheme="majorBidi" w:cstheme="majorBidi"/>
          <w:szCs w:val="24"/>
        </w:rPr>
        <w:tab/>
        <w:t>2312.</w:t>
      </w:r>
    </w:p>
    <w:p w14:paraId="6BA296EF" w14:textId="77777777" w:rsidR="00FE51D1" w:rsidRPr="00FE51D1" w:rsidRDefault="00FE51D1" w:rsidP="00753772">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Olaniyan, O.J., Olabode-Ajayi, O.A., and Adeyemo, </w:t>
      </w:r>
      <w:proofErr w:type="gramStart"/>
      <w:r w:rsidRPr="00FE51D1">
        <w:rPr>
          <w:rFonts w:asciiTheme="majorBidi" w:hAnsiTheme="majorBidi" w:cstheme="majorBidi"/>
          <w:szCs w:val="24"/>
        </w:rPr>
        <w:t>O.K.(</w:t>
      </w:r>
      <w:proofErr w:type="gramEnd"/>
      <w:r w:rsidRPr="00FE51D1">
        <w:rPr>
          <w:rFonts w:asciiTheme="majorBidi" w:hAnsiTheme="majorBidi" w:cstheme="majorBidi"/>
          <w:szCs w:val="24"/>
        </w:rPr>
        <w:t xml:space="preserve">2023). Evaluating changes </w:t>
      </w:r>
      <w:r w:rsidRPr="00FE51D1">
        <w:rPr>
          <w:rFonts w:asciiTheme="majorBidi" w:hAnsiTheme="majorBidi" w:cstheme="majorBidi"/>
          <w:szCs w:val="24"/>
        </w:rPr>
        <w:tab/>
        <w:t xml:space="preserve">in </w:t>
      </w:r>
      <w:r w:rsidRPr="00FE51D1">
        <w:rPr>
          <w:rFonts w:asciiTheme="majorBidi" w:hAnsiTheme="majorBidi" w:cstheme="majorBidi"/>
          <w:szCs w:val="24"/>
        </w:rPr>
        <w:tab/>
        <w:t xml:space="preserve">biological oxygen demand as an indicator of organic pollution in Nigerian </w:t>
      </w:r>
      <w:r w:rsidRPr="00FE51D1">
        <w:rPr>
          <w:rFonts w:asciiTheme="majorBidi" w:hAnsiTheme="majorBidi" w:cstheme="majorBidi"/>
          <w:szCs w:val="24"/>
        </w:rPr>
        <w:tab/>
        <w:t xml:space="preserve">freshwater </w:t>
      </w:r>
      <w:r w:rsidRPr="00FE51D1">
        <w:rPr>
          <w:rFonts w:asciiTheme="majorBidi" w:hAnsiTheme="majorBidi" w:cstheme="majorBidi"/>
          <w:szCs w:val="24"/>
        </w:rPr>
        <w:tab/>
        <w:t>bodies</w:t>
      </w:r>
    </w:p>
    <w:p w14:paraId="57854B21"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Olawale, A., and Idowu, T. (2021). Variations in pH levels in </w:t>
      </w:r>
      <w:proofErr w:type="spellStart"/>
      <w:r w:rsidRPr="00FE51D1">
        <w:rPr>
          <w:rFonts w:asciiTheme="majorBidi" w:hAnsiTheme="majorBidi" w:cstheme="majorBidi"/>
          <w:szCs w:val="24"/>
        </w:rPr>
        <w:t>Ogunpa</w:t>
      </w:r>
      <w:proofErr w:type="spellEnd"/>
      <w:r w:rsidRPr="00FE51D1">
        <w:rPr>
          <w:rFonts w:asciiTheme="majorBidi" w:hAnsiTheme="majorBidi" w:cstheme="majorBidi"/>
          <w:szCs w:val="24"/>
        </w:rPr>
        <w:t xml:space="preserve"> River: Effects </w:t>
      </w:r>
      <w:r w:rsidRPr="00FE51D1">
        <w:rPr>
          <w:rFonts w:asciiTheme="majorBidi" w:hAnsiTheme="majorBidi" w:cstheme="majorBidi"/>
          <w:szCs w:val="24"/>
        </w:rPr>
        <w:tab/>
        <w:t xml:space="preserve">of </w:t>
      </w:r>
      <w:r w:rsidRPr="00FE51D1">
        <w:rPr>
          <w:rFonts w:asciiTheme="majorBidi" w:hAnsiTheme="majorBidi" w:cstheme="majorBidi"/>
          <w:szCs w:val="24"/>
        </w:rPr>
        <w:tab/>
        <w:t xml:space="preserve">urban wastewater. </w:t>
      </w:r>
      <w:r w:rsidRPr="00FE51D1">
        <w:rPr>
          <w:rStyle w:val="Emphasis"/>
          <w:rFonts w:asciiTheme="majorBidi" w:hAnsiTheme="majorBidi" w:cstheme="majorBidi"/>
          <w:szCs w:val="24"/>
        </w:rPr>
        <w:t>Nigerian Journal of Environmental Science</w:t>
      </w:r>
      <w:r w:rsidRPr="00FE51D1">
        <w:rPr>
          <w:rFonts w:asciiTheme="majorBidi" w:hAnsiTheme="majorBidi" w:cstheme="majorBidi"/>
          <w:szCs w:val="24"/>
        </w:rPr>
        <w:t xml:space="preserve">, </w:t>
      </w:r>
      <w:r w:rsidRPr="00FE51D1">
        <w:rPr>
          <w:rStyle w:val="Emphasis"/>
          <w:rFonts w:asciiTheme="majorBidi" w:hAnsiTheme="majorBidi" w:cstheme="majorBidi"/>
          <w:szCs w:val="24"/>
        </w:rPr>
        <w:t>17</w:t>
      </w:r>
      <w:r w:rsidRPr="00FE51D1">
        <w:rPr>
          <w:rFonts w:asciiTheme="majorBidi" w:hAnsiTheme="majorBidi" w:cstheme="majorBidi"/>
          <w:szCs w:val="24"/>
        </w:rPr>
        <w:t>(4), 78-93.</w:t>
      </w:r>
    </w:p>
    <w:p w14:paraId="2FA01804"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Onyekachi, R. E., Ukpong, U., and Eze, C. O. (2022). Water quality assessment of </w:t>
      </w:r>
      <w:r w:rsidRPr="00FE51D1">
        <w:rPr>
          <w:rFonts w:asciiTheme="majorBidi" w:hAnsiTheme="majorBidi" w:cstheme="majorBidi"/>
          <w:szCs w:val="24"/>
        </w:rPr>
        <w:tab/>
      </w:r>
      <w:proofErr w:type="spellStart"/>
      <w:r w:rsidRPr="00FE51D1">
        <w:rPr>
          <w:rFonts w:asciiTheme="majorBidi" w:hAnsiTheme="majorBidi" w:cstheme="majorBidi"/>
          <w:szCs w:val="24"/>
        </w:rPr>
        <w:t>Ikom</w:t>
      </w:r>
      <w:proofErr w:type="spellEnd"/>
      <w:r w:rsidRPr="00FE51D1">
        <w:rPr>
          <w:rFonts w:asciiTheme="majorBidi" w:hAnsiTheme="majorBidi" w:cstheme="majorBidi"/>
          <w:szCs w:val="24"/>
        </w:rPr>
        <w:t xml:space="preserve"> </w:t>
      </w:r>
      <w:r w:rsidRPr="00FE51D1">
        <w:rPr>
          <w:rFonts w:asciiTheme="majorBidi" w:hAnsiTheme="majorBidi" w:cstheme="majorBidi"/>
          <w:szCs w:val="24"/>
        </w:rPr>
        <w:tab/>
        <w:t xml:space="preserve">River: Implications for sustainable development. </w:t>
      </w:r>
      <w:r w:rsidRPr="00FE51D1">
        <w:rPr>
          <w:rStyle w:val="Emphasis"/>
          <w:rFonts w:asciiTheme="majorBidi" w:hAnsiTheme="majorBidi" w:cstheme="majorBidi"/>
          <w:szCs w:val="24"/>
        </w:rPr>
        <w:t xml:space="preserve">Nigerian Journal of </w:t>
      </w:r>
      <w:r w:rsidRPr="00FE51D1">
        <w:rPr>
          <w:rStyle w:val="Emphasis"/>
          <w:rFonts w:asciiTheme="majorBidi" w:hAnsiTheme="majorBidi" w:cstheme="majorBidi"/>
          <w:szCs w:val="24"/>
        </w:rPr>
        <w:tab/>
        <w:t>Hydrology, 14</w:t>
      </w:r>
      <w:r w:rsidRPr="00FE51D1">
        <w:rPr>
          <w:rFonts w:asciiTheme="majorBidi" w:hAnsiTheme="majorBidi" w:cstheme="majorBidi"/>
          <w:szCs w:val="24"/>
        </w:rPr>
        <w:t>(3), 178–183.</w:t>
      </w:r>
    </w:p>
    <w:p w14:paraId="2BC621ED" w14:textId="77777777" w:rsidR="00FE51D1" w:rsidRPr="00FE51D1" w:rsidRDefault="00FE51D1" w:rsidP="00FE51D1">
      <w:pPr>
        <w:pStyle w:val="NormalWeb"/>
        <w:spacing w:before="0" w:beforeAutospacing="0" w:after="0" w:afterAutospacing="0"/>
        <w:jc w:val="both"/>
        <w:rPr>
          <w:rFonts w:asciiTheme="majorBidi" w:hAnsiTheme="majorBidi" w:cstheme="majorBidi"/>
        </w:rPr>
      </w:pPr>
      <w:r w:rsidRPr="00FE51D1">
        <w:rPr>
          <w:rStyle w:val="Strong"/>
          <w:rFonts w:asciiTheme="majorBidi" w:hAnsiTheme="majorBidi" w:cstheme="majorBidi"/>
          <w:b w:val="0"/>
          <w:bCs w:val="0"/>
        </w:rPr>
        <w:t xml:space="preserve">Oyedeji, A. O., Sanusi, M. P., Azeez, L. A., &amp; </w:t>
      </w:r>
      <w:proofErr w:type="spellStart"/>
      <w:r w:rsidRPr="00FE51D1">
        <w:rPr>
          <w:rStyle w:val="Strong"/>
          <w:rFonts w:asciiTheme="majorBidi" w:hAnsiTheme="majorBidi" w:cstheme="majorBidi"/>
          <w:b w:val="0"/>
          <w:bCs w:val="0"/>
        </w:rPr>
        <w:t>Ayedun</w:t>
      </w:r>
      <w:proofErr w:type="spellEnd"/>
      <w:r w:rsidRPr="00FE51D1">
        <w:rPr>
          <w:rStyle w:val="Strong"/>
          <w:rFonts w:asciiTheme="majorBidi" w:hAnsiTheme="majorBidi" w:cstheme="majorBidi"/>
          <w:b w:val="0"/>
          <w:bCs w:val="0"/>
        </w:rPr>
        <w:t>, H. (2023).</w:t>
      </w:r>
      <w:r w:rsidRPr="00FE51D1">
        <w:rPr>
          <w:rFonts w:asciiTheme="majorBidi" w:hAnsiTheme="majorBidi" w:cstheme="majorBidi"/>
        </w:rPr>
        <w:t xml:space="preserve"> Elemental </w:t>
      </w:r>
      <w:r w:rsidRPr="00FE51D1">
        <w:rPr>
          <w:rFonts w:asciiTheme="majorBidi" w:hAnsiTheme="majorBidi" w:cstheme="majorBidi"/>
        </w:rPr>
        <w:tab/>
        <w:t xml:space="preserve">pollution </w:t>
      </w:r>
      <w:r w:rsidRPr="00FE51D1">
        <w:rPr>
          <w:rFonts w:asciiTheme="majorBidi" w:hAnsiTheme="majorBidi" w:cstheme="majorBidi"/>
        </w:rPr>
        <w:tab/>
        <w:t xml:space="preserve">status of different components of </w:t>
      </w:r>
      <w:proofErr w:type="spellStart"/>
      <w:r w:rsidRPr="00FE51D1">
        <w:rPr>
          <w:rFonts w:asciiTheme="majorBidi" w:hAnsiTheme="majorBidi" w:cstheme="majorBidi"/>
        </w:rPr>
        <w:t>Ologe</w:t>
      </w:r>
      <w:proofErr w:type="spellEnd"/>
      <w:r w:rsidRPr="00FE51D1">
        <w:rPr>
          <w:rFonts w:asciiTheme="majorBidi" w:hAnsiTheme="majorBidi" w:cstheme="majorBidi"/>
        </w:rPr>
        <w:t xml:space="preserve"> Lagoon, Lagos, Nigeria. </w:t>
      </w:r>
      <w:r w:rsidRPr="00FE51D1">
        <w:rPr>
          <w:rStyle w:val="Emphasis"/>
          <w:rFonts w:asciiTheme="majorBidi" w:hAnsiTheme="majorBidi" w:cstheme="majorBidi"/>
        </w:rPr>
        <w:t xml:space="preserve">Water </w:t>
      </w:r>
      <w:r w:rsidRPr="00FE51D1">
        <w:rPr>
          <w:rStyle w:val="Emphasis"/>
          <w:rFonts w:asciiTheme="majorBidi" w:hAnsiTheme="majorBidi" w:cstheme="majorBidi"/>
        </w:rPr>
        <w:tab/>
        <w:t xml:space="preserve">Practice </w:t>
      </w:r>
      <w:r w:rsidRPr="00FE51D1">
        <w:rPr>
          <w:rStyle w:val="Emphasis"/>
          <w:rFonts w:asciiTheme="majorBidi" w:hAnsiTheme="majorBidi" w:cstheme="majorBidi"/>
        </w:rPr>
        <w:tab/>
        <w:t>and Technology, 18</w:t>
      </w:r>
      <w:r w:rsidRPr="00FE51D1">
        <w:rPr>
          <w:rFonts w:asciiTheme="majorBidi" w:hAnsiTheme="majorBidi" w:cstheme="majorBidi"/>
        </w:rPr>
        <w:t>(6), 1404–1417. https://doi.org/10.2166/wpt.2023.085</w:t>
      </w:r>
    </w:p>
    <w:p w14:paraId="6B105E15" w14:textId="77777777" w:rsidR="00FE51D1" w:rsidRPr="00FE51D1" w:rsidRDefault="00FE51D1" w:rsidP="008B7372">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Patil, P. N., Sawant, D. V., and Deshmukh, R. N. (2012). </w:t>
      </w:r>
      <w:proofErr w:type="spellStart"/>
      <w:r w:rsidRPr="00FE51D1">
        <w:rPr>
          <w:rFonts w:asciiTheme="majorBidi" w:hAnsiTheme="majorBidi" w:cstheme="majorBidi"/>
          <w:szCs w:val="24"/>
        </w:rPr>
        <w:t>Physico</w:t>
      </w:r>
      <w:proofErr w:type="spellEnd"/>
      <w:r w:rsidRPr="00FE51D1">
        <w:rPr>
          <w:rFonts w:asciiTheme="majorBidi" w:hAnsiTheme="majorBidi" w:cstheme="majorBidi"/>
          <w:szCs w:val="24"/>
        </w:rPr>
        <w:t xml:space="preserve">-chemical </w:t>
      </w:r>
      <w:r w:rsidRPr="00FE51D1">
        <w:rPr>
          <w:rFonts w:asciiTheme="majorBidi" w:hAnsiTheme="majorBidi" w:cstheme="majorBidi"/>
          <w:szCs w:val="24"/>
        </w:rPr>
        <w:tab/>
        <w:t xml:space="preserve">parameters </w:t>
      </w:r>
      <w:r w:rsidRPr="00FE51D1">
        <w:rPr>
          <w:rFonts w:asciiTheme="majorBidi" w:hAnsiTheme="majorBidi" w:cstheme="majorBidi"/>
          <w:szCs w:val="24"/>
        </w:rPr>
        <w:tab/>
        <w:t>for testing of water. A review. </w:t>
      </w:r>
      <w:r w:rsidRPr="00FE51D1">
        <w:rPr>
          <w:rStyle w:val="Emphasis"/>
          <w:rFonts w:asciiTheme="majorBidi" w:hAnsiTheme="majorBidi" w:cstheme="majorBidi"/>
          <w:szCs w:val="24"/>
        </w:rPr>
        <w:t xml:space="preserve">International Journal of Environmental </w:t>
      </w:r>
      <w:r w:rsidRPr="00FE51D1">
        <w:rPr>
          <w:rStyle w:val="Emphasis"/>
          <w:rFonts w:asciiTheme="majorBidi" w:hAnsiTheme="majorBidi" w:cstheme="majorBidi"/>
          <w:szCs w:val="24"/>
        </w:rPr>
        <w:tab/>
        <w:t xml:space="preserve">Science, </w:t>
      </w:r>
      <w:r w:rsidRPr="00FE51D1">
        <w:rPr>
          <w:rStyle w:val="Emphasis"/>
          <w:rFonts w:asciiTheme="majorBidi" w:hAnsiTheme="majorBidi" w:cstheme="majorBidi"/>
          <w:szCs w:val="24"/>
        </w:rPr>
        <w:tab/>
        <w:t>3</w:t>
      </w:r>
      <w:r w:rsidRPr="00FE51D1">
        <w:rPr>
          <w:rFonts w:asciiTheme="majorBidi" w:hAnsiTheme="majorBidi" w:cstheme="majorBidi"/>
          <w:szCs w:val="24"/>
        </w:rPr>
        <w:t xml:space="preserve">(3), </w:t>
      </w:r>
      <w:r w:rsidRPr="00FE51D1">
        <w:rPr>
          <w:rFonts w:asciiTheme="majorBidi" w:hAnsiTheme="majorBidi" w:cstheme="majorBidi"/>
          <w:szCs w:val="24"/>
        </w:rPr>
        <w:tab/>
        <w:t>1194–1207.</w:t>
      </w:r>
    </w:p>
    <w:p w14:paraId="6DF6356D"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Sule, B., </w:t>
      </w:r>
      <w:proofErr w:type="spellStart"/>
      <w:r w:rsidRPr="00FE51D1">
        <w:rPr>
          <w:rFonts w:asciiTheme="majorBidi" w:hAnsiTheme="majorBidi" w:cstheme="majorBidi"/>
          <w:szCs w:val="24"/>
        </w:rPr>
        <w:t>Ojo</w:t>
      </w:r>
      <w:proofErr w:type="spellEnd"/>
      <w:r w:rsidRPr="00FE51D1">
        <w:rPr>
          <w:rFonts w:asciiTheme="majorBidi" w:hAnsiTheme="majorBidi" w:cstheme="majorBidi"/>
          <w:szCs w:val="24"/>
        </w:rPr>
        <w:t xml:space="preserve">, J.A., </w:t>
      </w:r>
      <w:proofErr w:type="spellStart"/>
      <w:proofErr w:type="gramStart"/>
      <w:r w:rsidRPr="00FE51D1">
        <w:rPr>
          <w:rFonts w:asciiTheme="majorBidi" w:hAnsiTheme="majorBidi" w:cstheme="majorBidi"/>
          <w:szCs w:val="24"/>
        </w:rPr>
        <w:t>andAbubakar,S</w:t>
      </w:r>
      <w:proofErr w:type="spellEnd"/>
      <w:r w:rsidRPr="00FE51D1">
        <w:rPr>
          <w:rFonts w:asciiTheme="majorBidi" w:hAnsiTheme="majorBidi" w:cstheme="majorBidi"/>
          <w:szCs w:val="24"/>
        </w:rPr>
        <w:t>.</w:t>
      </w:r>
      <w:proofErr w:type="gramEnd"/>
      <w:r w:rsidRPr="00FE51D1">
        <w:rPr>
          <w:rFonts w:asciiTheme="majorBidi" w:hAnsiTheme="majorBidi" w:cstheme="majorBidi"/>
          <w:szCs w:val="24"/>
        </w:rPr>
        <w:t xml:space="preserve"> (2015). Assessment of the performance of a </w:t>
      </w:r>
      <w:r w:rsidRPr="00FE51D1">
        <w:rPr>
          <w:rFonts w:asciiTheme="majorBidi" w:hAnsiTheme="majorBidi" w:cstheme="majorBidi"/>
          <w:szCs w:val="24"/>
        </w:rPr>
        <w:tab/>
        <w:t xml:space="preserve">regional </w:t>
      </w:r>
      <w:r w:rsidRPr="00FE51D1">
        <w:rPr>
          <w:rFonts w:asciiTheme="majorBidi" w:hAnsiTheme="majorBidi" w:cstheme="majorBidi"/>
          <w:szCs w:val="24"/>
        </w:rPr>
        <w:tab/>
        <w:t xml:space="preserve">water supply scheme in </w:t>
      </w:r>
      <w:proofErr w:type="spellStart"/>
      <w:r w:rsidRPr="00FE51D1">
        <w:rPr>
          <w:rFonts w:asciiTheme="majorBidi" w:hAnsiTheme="majorBidi" w:cstheme="majorBidi"/>
          <w:szCs w:val="24"/>
        </w:rPr>
        <w:t>Kwara</w:t>
      </w:r>
      <w:proofErr w:type="spellEnd"/>
      <w:r w:rsidRPr="00FE51D1">
        <w:rPr>
          <w:rFonts w:asciiTheme="majorBidi" w:hAnsiTheme="majorBidi" w:cstheme="majorBidi"/>
          <w:szCs w:val="24"/>
        </w:rPr>
        <w:t xml:space="preserve"> State </w:t>
      </w:r>
      <w:proofErr w:type="spellStart"/>
      <w:r w:rsidRPr="00FE51D1">
        <w:rPr>
          <w:rFonts w:asciiTheme="majorBidi" w:hAnsiTheme="majorBidi" w:cstheme="majorBidi"/>
          <w:szCs w:val="24"/>
        </w:rPr>
        <w:t>Nigeria.</w:t>
      </w:r>
      <w:r w:rsidRPr="00FE51D1">
        <w:rPr>
          <w:rFonts w:asciiTheme="majorBidi" w:hAnsiTheme="majorBidi" w:cstheme="majorBidi"/>
          <w:i/>
          <w:szCs w:val="24"/>
        </w:rPr>
        <w:t>ResearchGate</w:t>
      </w:r>
      <w:proofErr w:type="spellEnd"/>
      <w:r w:rsidRPr="00FE51D1">
        <w:rPr>
          <w:rFonts w:asciiTheme="majorBidi" w:hAnsiTheme="majorBidi" w:cstheme="majorBidi"/>
          <w:szCs w:val="24"/>
        </w:rPr>
        <w:t xml:space="preserve">. Retrieved </w:t>
      </w:r>
      <w:r w:rsidRPr="00FE51D1">
        <w:rPr>
          <w:rFonts w:asciiTheme="majorBidi" w:hAnsiTheme="majorBidi" w:cstheme="majorBidi"/>
          <w:szCs w:val="24"/>
        </w:rPr>
        <w:tab/>
        <w:t>from </w:t>
      </w:r>
      <w:hyperlink r:id="rId28" w:tgtFrame="_blank" w:history="1">
        <w:r w:rsidRPr="00FE51D1">
          <w:rPr>
            <w:rStyle w:val="Hyperlink"/>
            <w:rFonts w:asciiTheme="majorBidi" w:hAnsiTheme="majorBidi" w:cstheme="majorBidi"/>
            <w:szCs w:val="24"/>
          </w:rPr>
          <w:t>https://www.researchgate.net/publication/268365189</w:t>
        </w:r>
      </w:hyperlink>
    </w:p>
    <w:p w14:paraId="196C82B9" w14:textId="77777777" w:rsidR="00FE51D1" w:rsidRPr="00FE51D1" w:rsidRDefault="00FE51D1" w:rsidP="008B7372">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Taiwo, A. M., Olujimi, O. O., </w:t>
      </w:r>
      <w:proofErr w:type="spellStart"/>
      <w:r w:rsidRPr="00FE51D1">
        <w:rPr>
          <w:rFonts w:asciiTheme="majorBidi" w:hAnsiTheme="majorBidi" w:cstheme="majorBidi"/>
          <w:szCs w:val="24"/>
        </w:rPr>
        <w:t>Bamgbose</w:t>
      </w:r>
      <w:proofErr w:type="spellEnd"/>
      <w:r w:rsidRPr="00FE51D1">
        <w:rPr>
          <w:rFonts w:asciiTheme="majorBidi" w:hAnsiTheme="majorBidi" w:cstheme="majorBidi"/>
          <w:szCs w:val="24"/>
        </w:rPr>
        <w:t xml:space="preserve">, O., and Arowolo, T. A. (2012). Surface </w:t>
      </w:r>
      <w:r w:rsidRPr="00FE51D1">
        <w:rPr>
          <w:rFonts w:asciiTheme="majorBidi" w:hAnsiTheme="majorBidi" w:cstheme="majorBidi"/>
          <w:szCs w:val="24"/>
        </w:rPr>
        <w:tab/>
        <w:t xml:space="preserve">water </w:t>
      </w:r>
      <w:r w:rsidRPr="00FE51D1">
        <w:rPr>
          <w:rFonts w:asciiTheme="majorBidi" w:hAnsiTheme="majorBidi" w:cstheme="majorBidi"/>
          <w:szCs w:val="24"/>
        </w:rPr>
        <w:tab/>
        <w:t xml:space="preserve">quality monitoring in Nigeria: Situational analysis and future management </w:t>
      </w:r>
      <w:r w:rsidRPr="00FE51D1">
        <w:rPr>
          <w:rFonts w:asciiTheme="majorBidi" w:hAnsiTheme="majorBidi" w:cstheme="majorBidi"/>
          <w:szCs w:val="24"/>
        </w:rPr>
        <w:tab/>
        <w:t xml:space="preserve">strategy. In K. </w:t>
      </w:r>
      <w:r w:rsidRPr="00FE51D1">
        <w:rPr>
          <w:rFonts w:asciiTheme="majorBidi" w:hAnsiTheme="majorBidi" w:cstheme="majorBidi"/>
          <w:szCs w:val="24"/>
        </w:rPr>
        <w:tab/>
        <w:t>Voudouris (Ed.), </w:t>
      </w:r>
      <w:r w:rsidRPr="00FE51D1">
        <w:rPr>
          <w:rStyle w:val="Emphasis"/>
          <w:rFonts w:asciiTheme="majorBidi" w:hAnsiTheme="majorBidi" w:cstheme="majorBidi"/>
          <w:szCs w:val="24"/>
        </w:rPr>
        <w:t>Water quality monitoring and assessment</w:t>
      </w:r>
      <w:r w:rsidRPr="00FE51D1">
        <w:rPr>
          <w:rFonts w:asciiTheme="majorBidi" w:hAnsiTheme="majorBidi" w:cstheme="majorBidi"/>
          <w:szCs w:val="24"/>
        </w:rPr>
        <w:t> (pp. 301–</w:t>
      </w:r>
      <w:r w:rsidRPr="00FE51D1">
        <w:rPr>
          <w:rFonts w:asciiTheme="majorBidi" w:hAnsiTheme="majorBidi" w:cstheme="majorBidi"/>
          <w:szCs w:val="24"/>
        </w:rPr>
        <w:tab/>
        <w:t xml:space="preserve">320). </w:t>
      </w:r>
      <w:proofErr w:type="spellStart"/>
      <w:r w:rsidRPr="00FE51D1">
        <w:rPr>
          <w:rFonts w:asciiTheme="majorBidi" w:hAnsiTheme="majorBidi" w:cstheme="majorBidi"/>
          <w:szCs w:val="24"/>
        </w:rPr>
        <w:t>InTechOpen</w:t>
      </w:r>
      <w:proofErr w:type="spellEnd"/>
      <w:r w:rsidRPr="00FE51D1">
        <w:rPr>
          <w:rFonts w:asciiTheme="majorBidi" w:hAnsiTheme="majorBidi" w:cstheme="majorBidi"/>
          <w:szCs w:val="24"/>
        </w:rPr>
        <w:t>.</w:t>
      </w:r>
    </w:p>
    <w:p w14:paraId="72DFAAE0" w14:textId="77777777" w:rsidR="00FE51D1" w:rsidRPr="00FE51D1" w:rsidRDefault="00FE51D1" w:rsidP="008B7372">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Tigabu</w:t>
      </w:r>
      <w:proofErr w:type="spellEnd"/>
      <w:r w:rsidRPr="00FE51D1">
        <w:rPr>
          <w:rFonts w:asciiTheme="majorBidi" w:hAnsiTheme="majorBidi" w:cstheme="majorBidi"/>
          <w:szCs w:val="24"/>
        </w:rPr>
        <w:t xml:space="preserve">, A. D., Nicholson, C. F., Collick, A. S., and Steenhuis, T. S. (2013). </w:t>
      </w:r>
      <w:r w:rsidRPr="00FE51D1">
        <w:rPr>
          <w:rFonts w:asciiTheme="majorBidi" w:hAnsiTheme="majorBidi" w:cstheme="majorBidi"/>
          <w:szCs w:val="24"/>
        </w:rPr>
        <w:tab/>
        <w:t xml:space="preserve">Determinants </w:t>
      </w:r>
      <w:r w:rsidRPr="00FE51D1">
        <w:rPr>
          <w:rFonts w:asciiTheme="majorBidi" w:hAnsiTheme="majorBidi" w:cstheme="majorBidi"/>
          <w:szCs w:val="24"/>
        </w:rPr>
        <w:tab/>
        <w:t xml:space="preserve">of household participation in the management of rural water supply </w:t>
      </w:r>
      <w:r w:rsidRPr="00FE51D1">
        <w:rPr>
          <w:rFonts w:asciiTheme="majorBidi" w:hAnsiTheme="majorBidi" w:cstheme="majorBidi"/>
          <w:szCs w:val="24"/>
        </w:rPr>
        <w:tab/>
        <w:t xml:space="preserve">systems: A case from </w:t>
      </w:r>
      <w:r w:rsidRPr="00FE51D1">
        <w:rPr>
          <w:rFonts w:asciiTheme="majorBidi" w:hAnsiTheme="majorBidi" w:cstheme="majorBidi"/>
          <w:szCs w:val="24"/>
        </w:rPr>
        <w:tab/>
        <w:t>Ethiopia. </w:t>
      </w:r>
      <w:r w:rsidRPr="00FE51D1">
        <w:rPr>
          <w:rStyle w:val="Emphasis"/>
          <w:rFonts w:asciiTheme="majorBidi" w:hAnsiTheme="majorBidi" w:cstheme="majorBidi"/>
          <w:szCs w:val="24"/>
        </w:rPr>
        <w:t>Water Policy, 15</w:t>
      </w:r>
      <w:r w:rsidRPr="00FE51D1">
        <w:rPr>
          <w:rFonts w:asciiTheme="majorBidi" w:hAnsiTheme="majorBidi" w:cstheme="majorBidi"/>
          <w:szCs w:val="24"/>
        </w:rPr>
        <w:t>(6), 985–</w:t>
      </w:r>
      <w:r w:rsidRPr="00FE51D1">
        <w:rPr>
          <w:rFonts w:asciiTheme="majorBidi" w:hAnsiTheme="majorBidi" w:cstheme="majorBidi"/>
          <w:szCs w:val="24"/>
        </w:rPr>
        <w:tab/>
        <w:t>1000. </w:t>
      </w:r>
      <w:hyperlink r:id="rId29" w:tgtFrame="_blank" w:history="1">
        <w:r w:rsidRPr="00FE51D1">
          <w:rPr>
            <w:rStyle w:val="Hyperlink"/>
            <w:rFonts w:asciiTheme="majorBidi" w:hAnsiTheme="majorBidi" w:cstheme="majorBidi"/>
            <w:szCs w:val="24"/>
          </w:rPr>
          <w:t>https://doi.org/10.2166/wp.2013.038</w:t>
        </w:r>
      </w:hyperlink>
    </w:p>
    <w:p w14:paraId="09AB5202"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Umar, K. I., and Yakubu, M. (2023). Seasonal changes in water transparency in </w:t>
      </w:r>
      <w:r w:rsidRPr="00FE51D1">
        <w:rPr>
          <w:rFonts w:asciiTheme="majorBidi" w:hAnsiTheme="majorBidi" w:cstheme="majorBidi"/>
          <w:szCs w:val="24"/>
        </w:rPr>
        <w:tab/>
      </w:r>
      <w:proofErr w:type="spellStart"/>
      <w:r w:rsidRPr="00FE51D1">
        <w:rPr>
          <w:rFonts w:asciiTheme="majorBidi" w:hAnsiTheme="majorBidi" w:cstheme="majorBidi"/>
          <w:szCs w:val="24"/>
        </w:rPr>
        <w:t>KafinZaki</w:t>
      </w:r>
      <w:proofErr w:type="spellEnd"/>
      <w:r w:rsidRPr="00FE51D1">
        <w:rPr>
          <w:rFonts w:asciiTheme="majorBidi" w:hAnsiTheme="majorBidi" w:cstheme="majorBidi"/>
          <w:szCs w:val="24"/>
        </w:rPr>
        <w:t xml:space="preserve"> </w:t>
      </w:r>
      <w:r w:rsidRPr="00FE51D1">
        <w:rPr>
          <w:rFonts w:asciiTheme="majorBidi" w:hAnsiTheme="majorBidi" w:cstheme="majorBidi"/>
          <w:szCs w:val="24"/>
        </w:rPr>
        <w:tab/>
        <w:t xml:space="preserve">Dam, Nigeria. </w:t>
      </w:r>
      <w:r w:rsidRPr="00FE51D1">
        <w:rPr>
          <w:rStyle w:val="Emphasis"/>
          <w:rFonts w:asciiTheme="majorBidi" w:hAnsiTheme="majorBidi" w:cstheme="majorBidi"/>
          <w:szCs w:val="24"/>
        </w:rPr>
        <w:t>Journal of Aquatic Resource Studies</w:t>
      </w:r>
      <w:r w:rsidRPr="00FE51D1">
        <w:rPr>
          <w:rFonts w:asciiTheme="majorBidi" w:hAnsiTheme="majorBidi" w:cstheme="majorBidi"/>
          <w:szCs w:val="24"/>
        </w:rPr>
        <w:t xml:space="preserve">, </w:t>
      </w:r>
      <w:r w:rsidRPr="00FE51D1">
        <w:rPr>
          <w:rStyle w:val="Emphasis"/>
          <w:rFonts w:asciiTheme="majorBidi" w:hAnsiTheme="majorBidi" w:cstheme="majorBidi"/>
          <w:szCs w:val="24"/>
        </w:rPr>
        <w:t>15</w:t>
      </w:r>
      <w:r w:rsidRPr="00FE51D1">
        <w:rPr>
          <w:rFonts w:asciiTheme="majorBidi" w:hAnsiTheme="majorBidi" w:cstheme="majorBidi"/>
          <w:szCs w:val="24"/>
        </w:rPr>
        <w:t>(1), 47-60.</w:t>
      </w:r>
    </w:p>
    <w:p w14:paraId="0C75C94E" w14:textId="77777777" w:rsidR="00FE51D1" w:rsidRPr="00FE51D1" w:rsidRDefault="00FE51D1" w:rsidP="008B7372">
      <w:pPr>
        <w:spacing w:after="0" w:line="240" w:lineRule="auto"/>
        <w:jc w:val="both"/>
        <w:rPr>
          <w:rFonts w:asciiTheme="majorBidi" w:hAnsiTheme="majorBidi" w:cstheme="majorBidi"/>
          <w:szCs w:val="24"/>
        </w:rPr>
      </w:pPr>
      <w:r w:rsidRPr="00FE51D1">
        <w:rPr>
          <w:rStyle w:val="Strong"/>
          <w:rFonts w:asciiTheme="majorBidi" w:hAnsiTheme="majorBidi" w:cstheme="majorBidi"/>
          <w:b w:val="0"/>
          <w:bCs w:val="0"/>
          <w:szCs w:val="24"/>
        </w:rPr>
        <w:t>United Nations General Assembly. (2018)</w:t>
      </w:r>
      <w:r w:rsidRPr="00FE51D1">
        <w:rPr>
          <w:rStyle w:val="Strong"/>
          <w:rFonts w:asciiTheme="majorBidi" w:hAnsiTheme="majorBidi" w:cstheme="majorBidi"/>
          <w:szCs w:val="24"/>
        </w:rPr>
        <w:t>.</w:t>
      </w:r>
      <w:r w:rsidRPr="00FE51D1">
        <w:rPr>
          <w:rFonts w:asciiTheme="majorBidi" w:hAnsiTheme="majorBidi" w:cstheme="majorBidi"/>
          <w:szCs w:val="24"/>
        </w:rPr>
        <w:t xml:space="preserve"> </w:t>
      </w:r>
      <w:r w:rsidRPr="00FE51D1">
        <w:rPr>
          <w:rStyle w:val="Emphasis"/>
          <w:rFonts w:asciiTheme="majorBidi" w:hAnsiTheme="majorBidi" w:cstheme="majorBidi"/>
          <w:szCs w:val="24"/>
        </w:rPr>
        <w:t xml:space="preserve">Resolution adopted by the General Assembly </w:t>
      </w:r>
      <w:r w:rsidRPr="00FE51D1">
        <w:rPr>
          <w:rStyle w:val="Emphasis"/>
          <w:rFonts w:asciiTheme="majorBidi" w:hAnsiTheme="majorBidi" w:cstheme="majorBidi"/>
          <w:szCs w:val="24"/>
        </w:rPr>
        <w:tab/>
        <w:t xml:space="preserve">on </w:t>
      </w:r>
      <w:r w:rsidRPr="00FE51D1">
        <w:rPr>
          <w:rStyle w:val="Emphasis"/>
          <w:rFonts w:asciiTheme="majorBidi" w:hAnsiTheme="majorBidi" w:cstheme="majorBidi"/>
          <w:szCs w:val="24"/>
        </w:rPr>
        <w:tab/>
        <w:t xml:space="preserve">20 December 2018: The human rights to safe drinking water and </w:t>
      </w:r>
      <w:r w:rsidRPr="00FE51D1">
        <w:rPr>
          <w:rStyle w:val="Emphasis"/>
          <w:rFonts w:asciiTheme="majorBidi" w:hAnsiTheme="majorBidi" w:cstheme="majorBidi"/>
          <w:szCs w:val="24"/>
        </w:rPr>
        <w:tab/>
        <w:t>sanitation</w:t>
      </w:r>
      <w:r w:rsidRPr="00FE51D1">
        <w:rPr>
          <w:rFonts w:asciiTheme="majorBidi" w:hAnsiTheme="majorBidi" w:cstheme="majorBidi"/>
          <w:szCs w:val="24"/>
        </w:rPr>
        <w:t xml:space="preserve"> </w:t>
      </w:r>
      <w:r w:rsidRPr="00FE51D1">
        <w:rPr>
          <w:rFonts w:asciiTheme="majorBidi" w:hAnsiTheme="majorBidi" w:cstheme="majorBidi"/>
          <w:szCs w:val="24"/>
        </w:rPr>
        <w:tab/>
        <w:t>(A/RES/73/162). United Nations. https://undocs.org/en/A/RES/73/162</w:t>
      </w:r>
    </w:p>
    <w:p w14:paraId="1DB8801E" w14:textId="77777777" w:rsidR="00FE51D1" w:rsidRPr="00FE51D1" w:rsidRDefault="00FE51D1" w:rsidP="008B7372">
      <w:pPr>
        <w:spacing w:after="0" w:line="240" w:lineRule="auto"/>
        <w:jc w:val="both"/>
        <w:rPr>
          <w:rFonts w:asciiTheme="majorBidi" w:hAnsiTheme="majorBidi" w:cstheme="majorBidi"/>
          <w:szCs w:val="24"/>
        </w:rPr>
      </w:pPr>
      <w:r w:rsidRPr="00FE51D1">
        <w:rPr>
          <w:rFonts w:asciiTheme="majorBidi" w:hAnsiTheme="majorBidi" w:cstheme="majorBidi"/>
          <w:szCs w:val="24"/>
        </w:rPr>
        <w:t>World Health Organization. (2011). </w:t>
      </w:r>
      <w:r w:rsidRPr="00FE51D1">
        <w:rPr>
          <w:rStyle w:val="Emphasis"/>
          <w:rFonts w:asciiTheme="majorBidi" w:hAnsiTheme="majorBidi" w:cstheme="majorBidi"/>
          <w:szCs w:val="24"/>
        </w:rPr>
        <w:t>Guidelines for drinking-water quality</w:t>
      </w:r>
      <w:r w:rsidRPr="00FE51D1">
        <w:rPr>
          <w:rFonts w:asciiTheme="majorBidi" w:hAnsiTheme="majorBidi" w:cstheme="majorBidi"/>
          <w:szCs w:val="24"/>
        </w:rPr>
        <w:t xml:space="preserve"> (4th </w:t>
      </w:r>
      <w:r w:rsidRPr="00FE51D1">
        <w:rPr>
          <w:rFonts w:asciiTheme="majorBidi" w:hAnsiTheme="majorBidi" w:cstheme="majorBidi"/>
          <w:szCs w:val="24"/>
        </w:rPr>
        <w:tab/>
        <w:t>ed.). </w:t>
      </w:r>
      <w:hyperlink r:id="rId30" w:tgtFrame="_blank" w:history="1">
        <w:r w:rsidRPr="00FE51D1">
          <w:rPr>
            <w:rStyle w:val="Hyperlink"/>
            <w:rFonts w:asciiTheme="majorBidi" w:hAnsiTheme="majorBidi" w:cstheme="majorBidi"/>
            <w:szCs w:val="24"/>
          </w:rPr>
          <w:t>https://apps.who.int/iris/bitstream/handle/10665/44584/9789241548151_eng.pdf</w:t>
        </w:r>
      </w:hyperlink>
    </w:p>
    <w:p w14:paraId="4A17BD04" w14:textId="77777777" w:rsidR="00FE51D1" w:rsidRPr="00FE51D1" w:rsidRDefault="00FE51D1" w:rsidP="00FE51D1">
      <w:pPr>
        <w:pStyle w:val="NormalWeb"/>
        <w:spacing w:before="0" w:beforeAutospacing="0" w:after="0" w:afterAutospacing="0"/>
        <w:jc w:val="both"/>
        <w:rPr>
          <w:rFonts w:asciiTheme="majorBidi" w:hAnsiTheme="majorBidi" w:cstheme="majorBidi"/>
        </w:rPr>
      </w:pPr>
      <w:r w:rsidRPr="00FE51D1">
        <w:rPr>
          <w:rFonts w:asciiTheme="majorBidi" w:hAnsiTheme="majorBidi" w:cstheme="majorBidi"/>
        </w:rPr>
        <w:t xml:space="preserve">Yakubu, T. A., Lawal, I. O. and Abdulkareem, A. M. (2022). Seasonal sedimentation </w:t>
      </w:r>
      <w:r w:rsidRPr="00FE51D1">
        <w:rPr>
          <w:rFonts w:asciiTheme="majorBidi" w:hAnsiTheme="majorBidi" w:cstheme="majorBidi"/>
        </w:rPr>
        <w:tab/>
        <w:t xml:space="preserve">patterns in Lake Chad, Nigeria. </w:t>
      </w:r>
      <w:r w:rsidRPr="00FE51D1">
        <w:rPr>
          <w:rStyle w:val="Emphasis"/>
          <w:rFonts w:asciiTheme="majorBidi" w:hAnsiTheme="majorBidi" w:cstheme="majorBidi"/>
        </w:rPr>
        <w:t>Journal of African Hydrology</w:t>
      </w:r>
      <w:r w:rsidRPr="00FE51D1">
        <w:rPr>
          <w:rFonts w:asciiTheme="majorBidi" w:hAnsiTheme="majorBidi" w:cstheme="majorBidi"/>
        </w:rPr>
        <w:t>, 9(3), 79-89.</w:t>
      </w:r>
    </w:p>
    <w:p w14:paraId="062AD2F5" w14:textId="77777777" w:rsidR="008B7372" w:rsidRDefault="008B7372" w:rsidP="008B7372">
      <w:pPr>
        <w:spacing w:after="0" w:line="240" w:lineRule="auto"/>
        <w:jc w:val="both"/>
        <w:rPr>
          <w:b/>
          <w:szCs w:val="24"/>
        </w:rPr>
      </w:pPr>
    </w:p>
    <w:p w14:paraId="33EBC02B" w14:textId="77777777" w:rsidR="008B7372" w:rsidRDefault="008B7372" w:rsidP="008B7372">
      <w:pPr>
        <w:spacing w:after="0" w:line="240" w:lineRule="auto"/>
        <w:jc w:val="both"/>
      </w:pPr>
    </w:p>
    <w:p w14:paraId="7638102D" w14:textId="77777777" w:rsidR="00C735CB" w:rsidRDefault="00C735CB"/>
    <w:sectPr w:rsidR="00C735CB" w:rsidSect="008B7372">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0ACB" w14:textId="77777777" w:rsidR="007C760C" w:rsidRDefault="007C760C" w:rsidP="0090560D">
      <w:pPr>
        <w:spacing w:after="0" w:line="240" w:lineRule="auto"/>
      </w:pPr>
      <w:r>
        <w:separator/>
      </w:r>
    </w:p>
  </w:endnote>
  <w:endnote w:type="continuationSeparator" w:id="0">
    <w:p w14:paraId="7ECDF5EC" w14:textId="77777777" w:rsidR="007C760C" w:rsidRDefault="007C760C" w:rsidP="0090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6A95F" w14:textId="77777777" w:rsidR="0090560D" w:rsidRDefault="00905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9229D" w14:textId="77777777" w:rsidR="0090560D" w:rsidRDefault="00905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1F6B3" w14:textId="77777777" w:rsidR="0090560D" w:rsidRDefault="00905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884BF" w14:textId="77777777" w:rsidR="007C760C" w:rsidRDefault="007C760C" w:rsidP="0090560D">
      <w:pPr>
        <w:spacing w:after="0" w:line="240" w:lineRule="auto"/>
      </w:pPr>
      <w:r>
        <w:separator/>
      </w:r>
    </w:p>
  </w:footnote>
  <w:footnote w:type="continuationSeparator" w:id="0">
    <w:p w14:paraId="51A0D25C" w14:textId="77777777" w:rsidR="007C760C" w:rsidRDefault="007C760C" w:rsidP="00905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00EA1" w14:textId="3EA00FD0" w:rsidR="0090560D" w:rsidRDefault="0090560D">
    <w:pPr>
      <w:pStyle w:val="Header"/>
    </w:pPr>
    <w:r>
      <w:rPr>
        <w:noProof/>
      </w:rPr>
      <w:pict w14:anchorId="3DF36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684641" o:spid="_x0000_s2050"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20D9A" w14:textId="274DAF38" w:rsidR="0090560D" w:rsidRDefault="0090560D">
    <w:pPr>
      <w:pStyle w:val="Header"/>
    </w:pPr>
    <w:r>
      <w:rPr>
        <w:noProof/>
      </w:rPr>
      <w:pict w14:anchorId="29FE9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684642" o:spid="_x0000_s2051"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D0F7" w14:textId="088BA08F" w:rsidR="0090560D" w:rsidRDefault="0090560D">
    <w:pPr>
      <w:pStyle w:val="Header"/>
    </w:pPr>
    <w:r>
      <w:rPr>
        <w:noProof/>
      </w:rPr>
      <w:pict w14:anchorId="45A29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684640" o:spid="_x0000_s2049"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F49E7"/>
    <w:multiLevelType w:val="multilevel"/>
    <w:tmpl w:val="D1EE5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5B6D7F"/>
    <w:multiLevelType w:val="hybridMultilevel"/>
    <w:tmpl w:val="C21C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7372"/>
    <w:rsid w:val="002445A8"/>
    <w:rsid w:val="00325403"/>
    <w:rsid w:val="003948BB"/>
    <w:rsid w:val="00555615"/>
    <w:rsid w:val="00583BA6"/>
    <w:rsid w:val="00753772"/>
    <w:rsid w:val="00786C6F"/>
    <w:rsid w:val="007C760C"/>
    <w:rsid w:val="008B7372"/>
    <w:rsid w:val="0090560D"/>
    <w:rsid w:val="0095628F"/>
    <w:rsid w:val="00A91210"/>
    <w:rsid w:val="00B00ED6"/>
    <w:rsid w:val="00C735CB"/>
    <w:rsid w:val="00CD61DD"/>
    <w:rsid w:val="00DD53D4"/>
    <w:rsid w:val="00E51EAA"/>
    <w:rsid w:val="00FE5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35DC54"/>
  <w15:docId w15:val="{3D92DC5F-C642-4CB6-A7C8-383DA102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372"/>
    <w:pPr>
      <w:spacing w:after="160" w:line="259" w:lineRule="auto"/>
    </w:pPr>
    <w:rPr>
      <w:rFonts w:ascii="Times New Roman" w:hAnsi="Times New Roman"/>
      <w:sz w:val="24"/>
      <w:lang w:val="en-GB"/>
    </w:rPr>
  </w:style>
  <w:style w:type="paragraph" w:styleId="Heading3">
    <w:name w:val="heading 3"/>
    <w:basedOn w:val="Normal"/>
    <w:next w:val="Normal"/>
    <w:link w:val="Heading3Char"/>
    <w:uiPriority w:val="9"/>
    <w:semiHidden/>
    <w:unhideWhenUsed/>
    <w:qFormat/>
    <w:rsid w:val="00A91210"/>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uiPriority w:val="9"/>
    <w:qFormat/>
    <w:rsid w:val="008B7372"/>
    <w:pPr>
      <w:spacing w:before="100" w:beforeAutospacing="1" w:after="100" w:afterAutospacing="1" w:line="240" w:lineRule="auto"/>
      <w:outlineLvl w:val="3"/>
    </w:pPr>
    <w:rPr>
      <w:rFonts w:eastAsia="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B7372"/>
    <w:rPr>
      <w:rFonts w:ascii="Times New Roman" w:eastAsia="Times New Roman" w:hAnsi="Times New Roman" w:cs="Times New Roman"/>
      <w:b/>
      <w:bCs/>
      <w:sz w:val="24"/>
      <w:szCs w:val="24"/>
      <w:lang w:val="en-GB" w:eastAsia="en-GB"/>
    </w:rPr>
  </w:style>
  <w:style w:type="paragraph" w:customStyle="1" w:styleId="my-0">
    <w:name w:val="my-0"/>
    <w:basedOn w:val="Normal"/>
    <w:rsid w:val="008B7372"/>
    <w:pPr>
      <w:spacing w:before="100" w:beforeAutospacing="1" w:after="100" w:afterAutospacing="1" w:line="240" w:lineRule="auto"/>
    </w:pPr>
    <w:rPr>
      <w:rFonts w:eastAsia="Times New Roman" w:cs="Times New Roman"/>
      <w:szCs w:val="24"/>
      <w:lang w:eastAsia="en-GB"/>
    </w:rPr>
  </w:style>
  <w:style w:type="character" w:styleId="Strong">
    <w:name w:val="Strong"/>
    <w:basedOn w:val="DefaultParagraphFont"/>
    <w:uiPriority w:val="22"/>
    <w:qFormat/>
    <w:rsid w:val="008B7372"/>
    <w:rPr>
      <w:b/>
      <w:bCs/>
    </w:rPr>
  </w:style>
  <w:style w:type="character" w:styleId="Hyperlink">
    <w:name w:val="Hyperlink"/>
    <w:basedOn w:val="DefaultParagraphFont"/>
    <w:uiPriority w:val="99"/>
    <w:unhideWhenUsed/>
    <w:rsid w:val="008B7372"/>
    <w:rPr>
      <w:color w:val="0000FF"/>
      <w:u w:val="single"/>
    </w:rPr>
  </w:style>
  <w:style w:type="character" w:customStyle="1" w:styleId="cite-bracket">
    <w:name w:val="cite-bracket"/>
    <w:basedOn w:val="DefaultParagraphFont"/>
    <w:rsid w:val="008B7372"/>
  </w:style>
  <w:style w:type="paragraph" w:styleId="NormalWeb">
    <w:name w:val="Normal (Web)"/>
    <w:basedOn w:val="Normal"/>
    <w:uiPriority w:val="99"/>
    <w:unhideWhenUsed/>
    <w:rsid w:val="008B7372"/>
    <w:pPr>
      <w:spacing w:before="100" w:beforeAutospacing="1" w:after="100" w:afterAutospacing="1" w:line="240" w:lineRule="auto"/>
    </w:pPr>
    <w:rPr>
      <w:rFonts w:eastAsia="Times New Roman" w:cs="Times New Roman"/>
      <w:szCs w:val="24"/>
      <w:lang w:eastAsia="en-GB"/>
    </w:rPr>
  </w:style>
  <w:style w:type="table" w:customStyle="1" w:styleId="PlainTable21">
    <w:name w:val="Plain Table 21"/>
    <w:basedOn w:val="TableNormal"/>
    <w:uiPriority w:val="42"/>
    <w:rsid w:val="008B7372"/>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8B7372"/>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8B7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372"/>
    <w:rPr>
      <w:rFonts w:ascii="Segoe UI" w:hAnsi="Segoe UI" w:cs="Segoe UI"/>
      <w:sz w:val="18"/>
      <w:szCs w:val="18"/>
      <w:lang w:val="en-GB"/>
    </w:rPr>
  </w:style>
  <w:style w:type="character" w:styleId="Emphasis">
    <w:name w:val="Emphasis"/>
    <w:basedOn w:val="DefaultParagraphFont"/>
    <w:uiPriority w:val="20"/>
    <w:qFormat/>
    <w:rsid w:val="008B7372"/>
    <w:rPr>
      <w:i/>
      <w:iCs/>
    </w:rPr>
  </w:style>
  <w:style w:type="paragraph" w:customStyle="1" w:styleId="ds-markdown-paragraph">
    <w:name w:val="ds-markdown-paragraph"/>
    <w:basedOn w:val="Normal"/>
    <w:rsid w:val="008B7372"/>
    <w:pPr>
      <w:spacing w:before="100" w:beforeAutospacing="1" w:after="100" w:afterAutospacing="1" w:line="240" w:lineRule="auto"/>
    </w:pPr>
    <w:rPr>
      <w:rFonts w:eastAsia="Times New Roman" w:cs="Times New Roman"/>
      <w:szCs w:val="24"/>
      <w:lang w:eastAsia="en-GB"/>
    </w:rPr>
  </w:style>
  <w:style w:type="paragraph" w:customStyle="1" w:styleId="MDPI62Acknowledgments">
    <w:name w:val="MDPI_6.2_Acknowledgments"/>
    <w:qFormat/>
    <w:rsid w:val="008B737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eastAsia="de-DE" w:bidi="en-US"/>
    </w:rPr>
  </w:style>
  <w:style w:type="paragraph" w:styleId="ListParagraph">
    <w:name w:val="List Paragraph"/>
    <w:basedOn w:val="Normal"/>
    <w:uiPriority w:val="34"/>
    <w:qFormat/>
    <w:rsid w:val="008B7372"/>
    <w:pPr>
      <w:ind w:left="720"/>
      <w:contextualSpacing/>
    </w:pPr>
  </w:style>
  <w:style w:type="character" w:customStyle="1" w:styleId="Heading3Char">
    <w:name w:val="Heading 3 Char"/>
    <w:basedOn w:val="DefaultParagraphFont"/>
    <w:link w:val="Heading3"/>
    <w:uiPriority w:val="9"/>
    <w:semiHidden/>
    <w:rsid w:val="00A91210"/>
    <w:rPr>
      <w:rFonts w:asciiTheme="majorHAnsi" w:eastAsiaTheme="majorEastAsia" w:hAnsiTheme="majorHAnsi" w:cstheme="majorBidi"/>
      <w:color w:val="243F60" w:themeColor="accent1" w:themeShade="7F"/>
      <w:sz w:val="24"/>
      <w:szCs w:val="24"/>
      <w:lang w:val="en-GB"/>
    </w:rPr>
  </w:style>
  <w:style w:type="character" w:styleId="UnresolvedMention">
    <w:name w:val="Unresolved Mention"/>
    <w:basedOn w:val="DefaultParagraphFont"/>
    <w:uiPriority w:val="99"/>
    <w:semiHidden/>
    <w:unhideWhenUsed/>
    <w:rsid w:val="00A91210"/>
    <w:rPr>
      <w:color w:val="605E5C"/>
      <w:shd w:val="clear" w:color="auto" w:fill="E1DFDD"/>
    </w:rPr>
  </w:style>
  <w:style w:type="paragraph" w:styleId="Header">
    <w:name w:val="header"/>
    <w:basedOn w:val="Normal"/>
    <w:link w:val="HeaderChar"/>
    <w:uiPriority w:val="99"/>
    <w:unhideWhenUsed/>
    <w:rsid w:val="00905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D"/>
    <w:rPr>
      <w:rFonts w:ascii="Times New Roman" w:hAnsi="Times New Roman"/>
      <w:sz w:val="24"/>
      <w:lang w:val="en-GB"/>
    </w:rPr>
  </w:style>
  <w:style w:type="paragraph" w:styleId="Footer">
    <w:name w:val="footer"/>
    <w:basedOn w:val="Normal"/>
    <w:link w:val="FooterChar"/>
    <w:uiPriority w:val="99"/>
    <w:unhideWhenUsed/>
    <w:rsid w:val="00905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D"/>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0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hyperlink" Target="https://doi.org/10.1088/1755-%091315/1054/1/012045" TargetMode="External"/><Relationship Id="rId3" Type="http://schemas.openxmlformats.org/officeDocument/2006/relationships/settings" Target="settings.xml"/><Relationship Id="rId21" Type="http://schemas.openxmlformats.org/officeDocument/2006/relationships/chart" Target="charts/chart7.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yperlink" Target="https://doi.org/10.5897/AJEST2022.3045"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s://doi.org/10.2166/wp.2013.0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s://www.researchgate.net/publication/268365189" TargetMode="External"/><Relationship Id="rId10" Type="http://schemas.openxmlformats.org/officeDocument/2006/relationships/header" Target="header2.xml"/><Relationship Id="rId19" Type="http://schemas.openxmlformats.org/officeDocument/2006/relationships/chart" Target="charts/chart5.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hyperlink" Target="https://doi.org/10.4314/wsa.v41i4.05" TargetMode="External"/><Relationship Id="rId30" Type="http://schemas.openxmlformats.org/officeDocument/2006/relationships/hyperlink" Target="https://apps.who.int/iris/bitstream/handle/10665/44584/9789241548151_eng.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Monthly!$E$5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Monthly!$D$6:$D$17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Monthly!$E$6:$E$17</c:f>
              <c:numCache>
                <c:formatCode>###0.00</c:formatCode>
                <c:ptCount val="12"/>
                <c:pt idx="0">
                  <c:v>26.900000000000002</c:v>
                </c:pt>
                <c:pt idx="1">
                  <c:v>27.933333333333234</c:v>
                </c:pt>
                <c:pt idx="2">
                  <c:v>27.733333333333242</c:v>
                </c:pt>
                <c:pt idx="3">
                  <c:v>27.599999999999987</c:v>
                </c:pt>
                <c:pt idx="4">
                  <c:v>28.733333333333242</c:v>
                </c:pt>
                <c:pt idx="5">
                  <c:v>24.533333333333243</c:v>
                </c:pt>
                <c:pt idx="6">
                  <c:v>25.466666666666669</c:v>
                </c:pt>
                <c:pt idx="7">
                  <c:v>24.433333333333234</c:v>
                </c:pt>
                <c:pt idx="8">
                  <c:v>24.333333333333254</c:v>
                </c:pt>
                <c:pt idx="9">
                  <c:v>23.766666666666666</c:v>
                </c:pt>
                <c:pt idx="10">
                  <c:v>24.366666666666664</c:v>
                </c:pt>
                <c:pt idx="11">
                  <c:v>24.433333333333234</c:v>
                </c:pt>
              </c:numCache>
            </c:numRef>
          </c:val>
          <c:smooth val="0"/>
          <c:extLst>
            <c:ext xmlns:c16="http://schemas.microsoft.com/office/drawing/2014/chart" uri="{C3380CC4-5D6E-409C-BE32-E72D297353CC}">
              <c16:uniqueId val="{00000000-54FF-407E-A8AA-DB8B4B68E778}"/>
            </c:ext>
          </c:extLst>
        </c:ser>
        <c:ser>
          <c:idx val="1"/>
          <c:order val="1"/>
          <c:tx>
            <c:strRef>
              <c:f>Monthly!$F$5</c:f>
              <c:strCache>
                <c:ptCount val="1"/>
                <c:pt idx="0">
                  <c:v>2022/2023</c:v>
                </c:pt>
              </c:strCache>
            </c:strRef>
          </c:tx>
          <c:spPr>
            <a:ln w="28575" cap="rnd">
              <a:solidFill>
                <a:srgbClr val="FF0000"/>
              </a:solidFill>
              <a:round/>
            </a:ln>
            <a:effectLst/>
          </c:spPr>
          <c:marker>
            <c:symbol val="circle"/>
            <c:size val="8"/>
            <c:spPr>
              <a:solidFill>
                <a:srgbClr val="FF0000"/>
              </a:solidFill>
              <a:ln w="9525">
                <a:solidFill>
                  <a:srgbClr val="FF0000"/>
                </a:solidFill>
              </a:ln>
              <a:effectLst/>
            </c:spPr>
          </c:marker>
          <c:cat>
            <c:strRef>
              <c:f>Monthly!$D$6:$D$17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Monthly!$F$6:$F$17</c:f>
              <c:numCache>
                <c:formatCode>###0.00</c:formatCode>
                <c:ptCount val="12"/>
                <c:pt idx="0">
                  <c:v>26.133333333333272</c:v>
                </c:pt>
                <c:pt idx="1">
                  <c:v>27.433333333333234</c:v>
                </c:pt>
                <c:pt idx="2">
                  <c:v>28.066666666666666</c:v>
                </c:pt>
                <c:pt idx="3">
                  <c:v>27.2</c:v>
                </c:pt>
                <c:pt idx="4">
                  <c:v>25.53333333333325</c:v>
                </c:pt>
                <c:pt idx="5">
                  <c:v>25.933333333333234</c:v>
                </c:pt>
                <c:pt idx="6">
                  <c:v>26.466666666666629</c:v>
                </c:pt>
                <c:pt idx="7">
                  <c:v>26.433333333333234</c:v>
                </c:pt>
                <c:pt idx="8">
                  <c:v>24.466666666666629</c:v>
                </c:pt>
                <c:pt idx="9">
                  <c:v>24.3</c:v>
                </c:pt>
                <c:pt idx="10">
                  <c:v>25.366666666666664</c:v>
                </c:pt>
                <c:pt idx="11">
                  <c:v>24.900000000000002</c:v>
                </c:pt>
              </c:numCache>
            </c:numRef>
          </c:val>
          <c:smooth val="0"/>
          <c:extLst>
            <c:ext xmlns:c16="http://schemas.microsoft.com/office/drawing/2014/chart" uri="{C3380CC4-5D6E-409C-BE32-E72D297353CC}">
              <c16:uniqueId val="{00000001-54FF-407E-A8AA-DB8B4B68E778}"/>
            </c:ext>
          </c:extLst>
        </c:ser>
        <c:ser>
          <c:idx val="2"/>
          <c:order val="2"/>
          <c:tx>
            <c:strRef>
              <c:f>Monthly!$G$5</c:f>
              <c:strCache>
                <c:ptCount val="1"/>
                <c:pt idx="0">
                  <c:v>2023/2024</c:v>
                </c:pt>
              </c:strCache>
            </c:strRef>
          </c:tx>
          <c:spPr>
            <a:ln w="28575" cap="rnd">
              <a:solidFill>
                <a:srgbClr val="00B050"/>
              </a:solidFill>
              <a:round/>
            </a:ln>
            <a:effectLst/>
          </c:spPr>
          <c:marker>
            <c:symbol val="diamond"/>
            <c:size val="8"/>
            <c:spPr>
              <a:solidFill>
                <a:srgbClr val="00B050"/>
              </a:solidFill>
              <a:ln w="9525">
                <a:solidFill>
                  <a:srgbClr val="00B050"/>
                </a:solidFill>
              </a:ln>
              <a:effectLst/>
            </c:spPr>
          </c:marker>
          <c:cat>
            <c:strRef>
              <c:f>Monthly!$D$6:$D$17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Monthly!$G$6:$G$17</c:f>
              <c:numCache>
                <c:formatCode>###0.00</c:formatCode>
                <c:ptCount val="12"/>
                <c:pt idx="0">
                  <c:v>26.900000000000002</c:v>
                </c:pt>
                <c:pt idx="1">
                  <c:v>27.866666666666667</c:v>
                </c:pt>
                <c:pt idx="2">
                  <c:v>28.033333333333243</c:v>
                </c:pt>
                <c:pt idx="3">
                  <c:v>27.966666666666669</c:v>
                </c:pt>
                <c:pt idx="4">
                  <c:v>27.099999999999987</c:v>
                </c:pt>
                <c:pt idx="5">
                  <c:v>26.566666666666666</c:v>
                </c:pt>
                <c:pt idx="6">
                  <c:v>25.7</c:v>
                </c:pt>
                <c:pt idx="7">
                  <c:v>26.266666666666666</c:v>
                </c:pt>
                <c:pt idx="8">
                  <c:v>25.466666666666629</c:v>
                </c:pt>
                <c:pt idx="9">
                  <c:v>25.666666666666668</c:v>
                </c:pt>
                <c:pt idx="10">
                  <c:v>24.866666666666667</c:v>
                </c:pt>
                <c:pt idx="11">
                  <c:v>24.233333333333242</c:v>
                </c:pt>
              </c:numCache>
            </c:numRef>
          </c:val>
          <c:smooth val="0"/>
          <c:extLst>
            <c:ext xmlns:c16="http://schemas.microsoft.com/office/drawing/2014/chart" uri="{C3380CC4-5D6E-409C-BE32-E72D297353CC}">
              <c16:uniqueId val="{00000002-54FF-407E-A8AA-DB8B4B68E778}"/>
            </c:ext>
          </c:extLst>
        </c:ser>
        <c:dLbls>
          <c:showLegendKey val="0"/>
          <c:showVal val="0"/>
          <c:showCatName val="0"/>
          <c:showSerName val="0"/>
          <c:showPercent val="0"/>
          <c:showBubbleSize val="0"/>
        </c:dLbls>
        <c:marker val="1"/>
        <c:smooth val="0"/>
        <c:axId val="41880192"/>
        <c:axId val="41904000"/>
      </c:lineChart>
      <c:catAx>
        <c:axId val="41880192"/>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904000"/>
        <c:crosses val="autoZero"/>
        <c:auto val="1"/>
        <c:lblAlgn val="ctr"/>
        <c:lblOffset val="100"/>
        <c:noMultiLvlLbl val="0"/>
      </c:catAx>
      <c:valAx>
        <c:axId val="41904000"/>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Temperature </a:t>
                </a:r>
                <a:r>
                  <a:rPr lang="en-GB" baseline="30000"/>
                  <a:t>o</a:t>
                </a:r>
                <a:r>
                  <a:rPr lang="en-GB"/>
                  <a:t>C </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880192"/>
        <c:crosses val="autoZero"/>
        <c:crossBetween val="between"/>
        <c:majorUnit val="7"/>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Monthly!$AO$5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Monthly!$AN$6:$AN$17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Monthly!$AO$6:$AO$17</c:f>
              <c:numCache>
                <c:formatCode>###0.00</c:formatCode>
                <c:ptCount val="12"/>
                <c:pt idx="0">
                  <c:v>31.286666666666662</c:v>
                </c:pt>
                <c:pt idx="1">
                  <c:v>30.083333333333233</c:v>
                </c:pt>
                <c:pt idx="2">
                  <c:v>32.653333333333336</c:v>
                </c:pt>
                <c:pt idx="3">
                  <c:v>42.353333333333325</c:v>
                </c:pt>
                <c:pt idx="4">
                  <c:v>48.346666666666451</c:v>
                </c:pt>
                <c:pt idx="5">
                  <c:v>41.096666666666529</c:v>
                </c:pt>
                <c:pt idx="6">
                  <c:v>37.71</c:v>
                </c:pt>
                <c:pt idx="7">
                  <c:v>40.583333333333329</c:v>
                </c:pt>
                <c:pt idx="8">
                  <c:v>45.213333333333331</c:v>
                </c:pt>
                <c:pt idx="9">
                  <c:v>35.213333333333331</c:v>
                </c:pt>
                <c:pt idx="10">
                  <c:v>42.513333333333335</c:v>
                </c:pt>
                <c:pt idx="11">
                  <c:v>42.32</c:v>
                </c:pt>
              </c:numCache>
            </c:numRef>
          </c:val>
          <c:smooth val="0"/>
          <c:extLst>
            <c:ext xmlns:c16="http://schemas.microsoft.com/office/drawing/2014/chart" uri="{C3380CC4-5D6E-409C-BE32-E72D297353CC}">
              <c16:uniqueId val="{00000000-9859-4D12-8B41-C2C5D3DFED0E}"/>
            </c:ext>
          </c:extLst>
        </c:ser>
        <c:ser>
          <c:idx val="1"/>
          <c:order val="1"/>
          <c:tx>
            <c:strRef>
              <c:f>Monthly!$AP$5</c:f>
              <c:strCache>
                <c:ptCount val="1"/>
                <c:pt idx="0">
                  <c:v>2022/2023</c:v>
                </c:pt>
              </c:strCache>
            </c:strRef>
          </c:tx>
          <c:spPr>
            <a:ln w="28575" cap="rnd">
              <a:solidFill>
                <a:srgbClr val="FF0000"/>
              </a:solidFill>
              <a:round/>
            </a:ln>
            <a:effectLst/>
          </c:spPr>
          <c:marker>
            <c:symbol val="circle"/>
            <c:size val="8"/>
            <c:spPr>
              <a:solidFill>
                <a:srgbClr val="FF0000"/>
              </a:solidFill>
              <a:ln w="9525">
                <a:solidFill>
                  <a:srgbClr val="FF0000"/>
                </a:solidFill>
              </a:ln>
              <a:effectLst/>
            </c:spPr>
          </c:marker>
          <c:cat>
            <c:strRef>
              <c:f>Monthly!$AN$6:$AN$17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Monthly!$AP$6:$AP$17</c:f>
              <c:numCache>
                <c:formatCode>###0.00</c:formatCode>
                <c:ptCount val="12"/>
                <c:pt idx="0">
                  <c:v>38.15</c:v>
                </c:pt>
                <c:pt idx="1">
                  <c:v>33.773333333333333</c:v>
                </c:pt>
                <c:pt idx="2">
                  <c:v>37.456666666666457</c:v>
                </c:pt>
                <c:pt idx="3">
                  <c:v>38.053333333333335</c:v>
                </c:pt>
                <c:pt idx="4">
                  <c:v>39.78</c:v>
                </c:pt>
                <c:pt idx="5">
                  <c:v>43.706666666666528</c:v>
                </c:pt>
                <c:pt idx="6">
                  <c:v>39.043333333333337</c:v>
                </c:pt>
                <c:pt idx="7">
                  <c:v>42.25</c:v>
                </c:pt>
                <c:pt idx="8">
                  <c:v>44.023333333333333</c:v>
                </c:pt>
                <c:pt idx="9">
                  <c:v>43.879999999999995</c:v>
                </c:pt>
                <c:pt idx="10">
                  <c:v>45.513333333333335</c:v>
                </c:pt>
                <c:pt idx="11">
                  <c:v>43.836666666666467</c:v>
                </c:pt>
              </c:numCache>
            </c:numRef>
          </c:val>
          <c:smooth val="0"/>
          <c:extLst>
            <c:ext xmlns:c16="http://schemas.microsoft.com/office/drawing/2014/chart" uri="{C3380CC4-5D6E-409C-BE32-E72D297353CC}">
              <c16:uniqueId val="{00000001-9859-4D12-8B41-C2C5D3DFED0E}"/>
            </c:ext>
          </c:extLst>
        </c:ser>
        <c:ser>
          <c:idx val="2"/>
          <c:order val="2"/>
          <c:tx>
            <c:strRef>
              <c:f>Monthly!$AQ$5</c:f>
              <c:strCache>
                <c:ptCount val="1"/>
                <c:pt idx="0">
                  <c:v>2023/2024</c:v>
                </c:pt>
              </c:strCache>
            </c:strRef>
          </c:tx>
          <c:spPr>
            <a:ln w="28575" cap="rnd">
              <a:solidFill>
                <a:srgbClr val="00B050"/>
              </a:solidFill>
              <a:round/>
            </a:ln>
            <a:effectLst/>
          </c:spPr>
          <c:marker>
            <c:symbol val="diamond"/>
            <c:size val="8"/>
            <c:spPr>
              <a:solidFill>
                <a:srgbClr val="00B050"/>
              </a:solidFill>
              <a:ln w="9525">
                <a:solidFill>
                  <a:srgbClr val="00B050"/>
                </a:solidFill>
              </a:ln>
              <a:effectLst/>
            </c:spPr>
          </c:marker>
          <c:cat>
            <c:strRef>
              <c:f>Monthly!$AN$6:$AN$17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Monthly!$AQ$6:$AQ$17</c:f>
              <c:numCache>
                <c:formatCode>###0.00</c:formatCode>
                <c:ptCount val="12"/>
                <c:pt idx="0">
                  <c:v>39.39</c:v>
                </c:pt>
                <c:pt idx="1">
                  <c:v>37.216666666666491</c:v>
                </c:pt>
                <c:pt idx="2">
                  <c:v>23.283333333333232</c:v>
                </c:pt>
                <c:pt idx="3">
                  <c:v>40.053333333333335</c:v>
                </c:pt>
                <c:pt idx="4">
                  <c:v>39.446666666666466</c:v>
                </c:pt>
                <c:pt idx="5">
                  <c:v>41.416666666666458</c:v>
                </c:pt>
                <c:pt idx="6">
                  <c:v>43.376666666666466</c:v>
                </c:pt>
                <c:pt idx="7">
                  <c:v>43.276666666666529</c:v>
                </c:pt>
                <c:pt idx="8">
                  <c:v>42.133333333333333</c:v>
                </c:pt>
                <c:pt idx="9">
                  <c:v>45.213333333333331</c:v>
                </c:pt>
                <c:pt idx="10">
                  <c:v>49.28</c:v>
                </c:pt>
                <c:pt idx="11">
                  <c:v>45.57</c:v>
                </c:pt>
              </c:numCache>
            </c:numRef>
          </c:val>
          <c:smooth val="0"/>
          <c:extLst>
            <c:ext xmlns:c16="http://schemas.microsoft.com/office/drawing/2014/chart" uri="{C3380CC4-5D6E-409C-BE32-E72D297353CC}">
              <c16:uniqueId val="{00000002-9859-4D12-8B41-C2C5D3DFED0E}"/>
            </c:ext>
          </c:extLst>
        </c:ser>
        <c:dLbls>
          <c:showLegendKey val="0"/>
          <c:showVal val="0"/>
          <c:showCatName val="0"/>
          <c:showSerName val="0"/>
          <c:showPercent val="0"/>
          <c:showBubbleSize val="0"/>
        </c:dLbls>
        <c:marker val="1"/>
        <c:smooth val="0"/>
        <c:axId val="41929344"/>
        <c:axId val="53585024"/>
      </c:lineChart>
      <c:catAx>
        <c:axId val="4192934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585024"/>
        <c:crosses val="autoZero"/>
        <c:auto val="1"/>
        <c:lblAlgn val="ctr"/>
        <c:lblOffset val="100"/>
        <c:noMultiLvlLbl val="0"/>
      </c:catAx>
      <c:valAx>
        <c:axId val="53585024"/>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Chloride</a:t>
                </a:r>
              </a:p>
            </c:rich>
          </c:tx>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929344"/>
        <c:crosses val="autoZero"/>
        <c:crossBetween val="between"/>
        <c:majorUnit val="15"/>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Monthly!$I$5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Monthly!$H$6:$H$17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Monthly!$I$6:$I$17</c:f>
              <c:numCache>
                <c:formatCode>###0.00</c:formatCode>
                <c:ptCount val="12"/>
                <c:pt idx="0">
                  <c:v>6.1000000000000005</c:v>
                </c:pt>
                <c:pt idx="1">
                  <c:v>5.8</c:v>
                </c:pt>
                <c:pt idx="2">
                  <c:v>5.8999999999999995</c:v>
                </c:pt>
                <c:pt idx="3">
                  <c:v>6.1666666666666661</c:v>
                </c:pt>
                <c:pt idx="4">
                  <c:v>6.2</c:v>
                </c:pt>
                <c:pt idx="5">
                  <c:v>7.6666666666666661</c:v>
                </c:pt>
                <c:pt idx="6">
                  <c:v>7.1333333333333426</c:v>
                </c:pt>
                <c:pt idx="7">
                  <c:v>7.3333333333333437</c:v>
                </c:pt>
                <c:pt idx="8">
                  <c:v>7.6666666666666661</c:v>
                </c:pt>
                <c:pt idx="9">
                  <c:v>7.9333333333333513</c:v>
                </c:pt>
                <c:pt idx="10">
                  <c:v>7.9333333333333513</c:v>
                </c:pt>
                <c:pt idx="11">
                  <c:v>7.3</c:v>
                </c:pt>
              </c:numCache>
            </c:numRef>
          </c:val>
          <c:smooth val="0"/>
          <c:extLst>
            <c:ext xmlns:c16="http://schemas.microsoft.com/office/drawing/2014/chart" uri="{C3380CC4-5D6E-409C-BE32-E72D297353CC}">
              <c16:uniqueId val="{00000000-CE22-4136-ADAB-61D696BAEFF1}"/>
            </c:ext>
          </c:extLst>
        </c:ser>
        <c:ser>
          <c:idx val="1"/>
          <c:order val="1"/>
          <c:tx>
            <c:strRef>
              <c:f>Monthly!$J$5</c:f>
              <c:strCache>
                <c:ptCount val="1"/>
                <c:pt idx="0">
                  <c:v>2022/2023</c:v>
                </c:pt>
              </c:strCache>
            </c:strRef>
          </c:tx>
          <c:spPr>
            <a:ln w="28575" cap="rnd">
              <a:solidFill>
                <a:srgbClr val="FF0000"/>
              </a:solidFill>
              <a:round/>
            </a:ln>
            <a:effectLst/>
          </c:spPr>
          <c:marker>
            <c:symbol val="circle"/>
            <c:size val="8"/>
            <c:spPr>
              <a:solidFill>
                <a:srgbClr val="FF0000"/>
              </a:solidFill>
              <a:ln w="9525">
                <a:solidFill>
                  <a:srgbClr val="FF0000"/>
                </a:solidFill>
              </a:ln>
              <a:effectLst/>
            </c:spPr>
          </c:marker>
          <c:cat>
            <c:strRef>
              <c:f>Monthly!$H$6:$H$17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Monthly!$J$6:$J$17</c:f>
              <c:numCache>
                <c:formatCode>###0.00</c:formatCode>
                <c:ptCount val="12"/>
                <c:pt idx="0">
                  <c:v>6.4666666666666694</c:v>
                </c:pt>
                <c:pt idx="1">
                  <c:v>6.3666666666666663</c:v>
                </c:pt>
                <c:pt idx="2">
                  <c:v>6.1</c:v>
                </c:pt>
                <c:pt idx="3">
                  <c:v>6.6333333333333435</c:v>
                </c:pt>
                <c:pt idx="4">
                  <c:v>7.6000000000000005</c:v>
                </c:pt>
                <c:pt idx="5">
                  <c:v>7.2333333333333476</c:v>
                </c:pt>
                <c:pt idx="6">
                  <c:v>7.3333333333333437</c:v>
                </c:pt>
                <c:pt idx="7">
                  <c:v>6.7333333333333476</c:v>
                </c:pt>
                <c:pt idx="8">
                  <c:v>7.6</c:v>
                </c:pt>
                <c:pt idx="9">
                  <c:v>7.4333333333333513</c:v>
                </c:pt>
                <c:pt idx="10">
                  <c:v>6.9333333333333513</c:v>
                </c:pt>
                <c:pt idx="11">
                  <c:v>7.3666666666666671</c:v>
                </c:pt>
              </c:numCache>
            </c:numRef>
          </c:val>
          <c:smooth val="0"/>
          <c:extLst>
            <c:ext xmlns:c16="http://schemas.microsoft.com/office/drawing/2014/chart" uri="{C3380CC4-5D6E-409C-BE32-E72D297353CC}">
              <c16:uniqueId val="{00000001-CE22-4136-ADAB-61D696BAEFF1}"/>
            </c:ext>
          </c:extLst>
        </c:ser>
        <c:ser>
          <c:idx val="2"/>
          <c:order val="2"/>
          <c:tx>
            <c:strRef>
              <c:f>Monthly!$K$5</c:f>
              <c:strCache>
                <c:ptCount val="1"/>
                <c:pt idx="0">
                  <c:v>2023/2024</c:v>
                </c:pt>
              </c:strCache>
            </c:strRef>
          </c:tx>
          <c:spPr>
            <a:ln w="28575" cap="rnd">
              <a:solidFill>
                <a:srgbClr val="00B050"/>
              </a:solidFill>
              <a:round/>
            </a:ln>
            <a:effectLst/>
          </c:spPr>
          <c:marker>
            <c:symbol val="diamond"/>
            <c:size val="8"/>
            <c:spPr>
              <a:solidFill>
                <a:srgbClr val="00B050"/>
              </a:solidFill>
              <a:ln w="9525">
                <a:solidFill>
                  <a:srgbClr val="00B050"/>
                </a:solidFill>
              </a:ln>
              <a:effectLst/>
            </c:spPr>
          </c:marker>
          <c:cat>
            <c:strRef>
              <c:f>Monthly!$H$6:$H$17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Monthly!$K$6:$K$17</c:f>
              <c:numCache>
                <c:formatCode>###0.00</c:formatCode>
                <c:ptCount val="12"/>
                <c:pt idx="0">
                  <c:v>6.1000000000000005</c:v>
                </c:pt>
                <c:pt idx="1">
                  <c:v>5.6666666666666661</c:v>
                </c:pt>
                <c:pt idx="2">
                  <c:v>5.666666666666667</c:v>
                </c:pt>
                <c:pt idx="3">
                  <c:v>7</c:v>
                </c:pt>
                <c:pt idx="4">
                  <c:v>7.166666666666667</c:v>
                </c:pt>
                <c:pt idx="5">
                  <c:v>7.2666666666666684</c:v>
                </c:pt>
                <c:pt idx="6">
                  <c:v>6.9333333333333513</c:v>
                </c:pt>
                <c:pt idx="7">
                  <c:v>6.7333333333333476</c:v>
                </c:pt>
                <c:pt idx="8">
                  <c:v>6.3333333333333437</c:v>
                </c:pt>
                <c:pt idx="9">
                  <c:v>6.3666666666666663</c:v>
                </c:pt>
                <c:pt idx="10">
                  <c:v>7.0666666666666673</c:v>
                </c:pt>
                <c:pt idx="11">
                  <c:v>7.1333333333333435</c:v>
                </c:pt>
              </c:numCache>
            </c:numRef>
          </c:val>
          <c:smooth val="0"/>
          <c:extLst>
            <c:ext xmlns:c16="http://schemas.microsoft.com/office/drawing/2014/chart" uri="{C3380CC4-5D6E-409C-BE32-E72D297353CC}">
              <c16:uniqueId val="{00000002-CE22-4136-ADAB-61D696BAEFF1}"/>
            </c:ext>
          </c:extLst>
        </c:ser>
        <c:dLbls>
          <c:showLegendKey val="0"/>
          <c:showVal val="0"/>
          <c:showCatName val="0"/>
          <c:showSerName val="0"/>
          <c:showPercent val="0"/>
          <c:showBubbleSize val="0"/>
        </c:dLbls>
        <c:marker val="1"/>
        <c:smooth val="0"/>
        <c:axId val="87741184"/>
        <c:axId val="88091648"/>
      </c:lineChart>
      <c:catAx>
        <c:axId val="8774118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8091648"/>
        <c:crosses val="autoZero"/>
        <c:auto val="1"/>
        <c:lblAlgn val="ctr"/>
        <c:lblOffset val="100"/>
        <c:noMultiLvlLbl val="0"/>
      </c:catAx>
      <c:valAx>
        <c:axId val="88091648"/>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pH</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77411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Monthly!$M$5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Monthly!$L$6:$L$17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Monthly!$M$6:$M$17</c:f>
              <c:numCache>
                <c:formatCode>###0.00</c:formatCode>
                <c:ptCount val="12"/>
                <c:pt idx="0">
                  <c:v>0.56666666666666654</c:v>
                </c:pt>
                <c:pt idx="1">
                  <c:v>0.48000000000000032</c:v>
                </c:pt>
                <c:pt idx="2">
                  <c:v>0.34000000000000008</c:v>
                </c:pt>
                <c:pt idx="3">
                  <c:v>0.34000000000000008</c:v>
                </c:pt>
                <c:pt idx="4">
                  <c:v>0.32333333333333331</c:v>
                </c:pt>
                <c:pt idx="5">
                  <c:v>0.79333333333333333</c:v>
                </c:pt>
                <c:pt idx="6">
                  <c:v>0.65666666666666662</c:v>
                </c:pt>
                <c:pt idx="7">
                  <c:v>0.61333333333333362</c:v>
                </c:pt>
                <c:pt idx="8">
                  <c:v>0.66333333333333444</c:v>
                </c:pt>
                <c:pt idx="9">
                  <c:v>0.72000000000000064</c:v>
                </c:pt>
                <c:pt idx="10">
                  <c:v>0.7133333333333336</c:v>
                </c:pt>
                <c:pt idx="11">
                  <c:v>0.64333333333333365</c:v>
                </c:pt>
              </c:numCache>
            </c:numRef>
          </c:val>
          <c:smooth val="0"/>
          <c:extLst>
            <c:ext xmlns:c16="http://schemas.microsoft.com/office/drawing/2014/chart" uri="{C3380CC4-5D6E-409C-BE32-E72D297353CC}">
              <c16:uniqueId val="{00000000-442F-4C27-8A5F-1A642B41C974}"/>
            </c:ext>
          </c:extLst>
        </c:ser>
        <c:ser>
          <c:idx val="1"/>
          <c:order val="1"/>
          <c:tx>
            <c:strRef>
              <c:f>Monthly!$N$5</c:f>
              <c:strCache>
                <c:ptCount val="1"/>
                <c:pt idx="0">
                  <c:v>2022/2023</c:v>
                </c:pt>
              </c:strCache>
            </c:strRef>
          </c:tx>
          <c:spPr>
            <a:ln w="28575" cap="rnd">
              <a:solidFill>
                <a:srgbClr val="FF0000"/>
              </a:solidFill>
              <a:round/>
            </a:ln>
            <a:effectLst/>
          </c:spPr>
          <c:marker>
            <c:symbol val="circle"/>
            <c:size val="8"/>
            <c:spPr>
              <a:solidFill>
                <a:srgbClr val="FF0000"/>
              </a:solidFill>
              <a:ln w="9525">
                <a:solidFill>
                  <a:srgbClr val="FF0000"/>
                </a:solidFill>
              </a:ln>
              <a:effectLst/>
            </c:spPr>
          </c:marker>
          <c:cat>
            <c:strRef>
              <c:f>Monthly!$L$6:$L$17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Monthly!$N$6:$N$17</c:f>
              <c:numCache>
                <c:formatCode>###0.00</c:formatCode>
                <c:ptCount val="12"/>
                <c:pt idx="0">
                  <c:v>0.59333333333333327</c:v>
                </c:pt>
                <c:pt idx="1">
                  <c:v>0.51333333333333331</c:v>
                </c:pt>
                <c:pt idx="2">
                  <c:v>0.52333333333333332</c:v>
                </c:pt>
                <c:pt idx="3">
                  <c:v>0.49333333333333335</c:v>
                </c:pt>
                <c:pt idx="4">
                  <c:v>0.62666666666666671</c:v>
                </c:pt>
                <c:pt idx="5">
                  <c:v>0.63666666666666671</c:v>
                </c:pt>
                <c:pt idx="6">
                  <c:v>0.55333333333333334</c:v>
                </c:pt>
                <c:pt idx="7">
                  <c:v>0.59</c:v>
                </c:pt>
                <c:pt idx="8">
                  <c:v>0.53333333333333333</c:v>
                </c:pt>
                <c:pt idx="9">
                  <c:v>0.53666666666666651</c:v>
                </c:pt>
                <c:pt idx="10">
                  <c:v>0.55333333333333334</c:v>
                </c:pt>
                <c:pt idx="11">
                  <c:v>0.62666666666666671</c:v>
                </c:pt>
              </c:numCache>
            </c:numRef>
          </c:val>
          <c:smooth val="0"/>
          <c:extLst>
            <c:ext xmlns:c16="http://schemas.microsoft.com/office/drawing/2014/chart" uri="{C3380CC4-5D6E-409C-BE32-E72D297353CC}">
              <c16:uniqueId val="{00000001-442F-4C27-8A5F-1A642B41C974}"/>
            </c:ext>
          </c:extLst>
        </c:ser>
        <c:ser>
          <c:idx val="2"/>
          <c:order val="2"/>
          <c:tx>
            <c:strRef>
              <c:f>Monthly!$O$5</c:f>
              <c:strCache>
                <c:ptCount val="1"/>
                <c:pt idx="0">
                  <c:v>2023/2024</c:v>
                </c:pt>
              </c:strCache>
            </c:strRef>
          </c:tx>
          <c:spPr>
            <a:ln w="28575" cap="rnd">
              <a:solidFill>
                <a:srgbClr val="00B050"/>
              </a:solidFill>
              <a:round/>
            </a:ln>
            <a:effectLst/>
          </c:spPr>
          <c:marker>
            <c:symbol val="diamond"/>
            <c:size val="8"/>
            <c:spPr>
              <a:solidFill>
                <a:srgbClr val="00B050"/>
              </a:solidFill>
              <a:ln w="9525">
                <a:solidFill>
                  <a:srgbClr val="00B050"/>
                </a:solidFill>
              </a:ln>
              <a:effectLst/>
            </c:spPr>
          </c:marker>
          <c:cat>
            <c:strRef>
              <c:f>Monthly!$L$6:$L$17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Monthly!$O$6:$O$17</c:f>
              <c:numCache>
                <c:formatCode>###0.00</c:formatCode>
                <c:ptCount val="12"/>
                <c:pt idx="0">
                  <c:v>0.56666666666666654</c:v>
                </c:pt>
                <c:pt idx="1">
                  <c:v>0.56333333333333335</c:v>
                </c:pt>
                <c:pt idx="2">
                  <c:v>0.31000000000000055</c:v>
                </c:pt>
                <c:pt idx="3">
                  <c:v>0.5033333333333333</c:v>
                </c:pt>
                <c:pt idx="4">
                  <c:v>0.60333333333333361</c:v>
                </c:pt>
                <c:pt idx="5">
                  <c:v>0.59</c:v>
                </c:pt>
                <c:pt idx="6">
                  <c:v>0.58000000000000007</c:v>
                </c:pt>
                <c:pt idx="7">
                  <c:v>0.57333333333333325</c:v>
                </c:pt>
                <c:pt idx="8">
                  <c:v>0.53333333333333333</c:v>
                </c:pt>
                <c:pt idx="9">
                  <c:v>0.56666666666666654</c:v>
                </c:pt>
                <c:pt idx="10">
                  <c:v>0.63666666666666671</c:v>
                </c:pt>
                <c:pt idx="11">
                  <c:v>0.70666666666666667</c:v>
                </c:pt>
              </c:numCache>
            </c:numRef>
          </c:val>
          <c:smooth val="0"/>
          <c:extLst>
            <c:ext xmlns:c16="http://schemas.microsoft.com/office/drawing/2014/chart" uri="{C3380CC4-5D6E-409C-BE32-E72D297353CC}">
              <c16:uniqueId val="{00000002-442F-4C27-8A5F-1A642B41C974}"/>
            </c:ext>
          </c:extLst>
        </c:ser>
        <c:dLbls>
          <c:showLegendKey val="0"/>
          <c:showVal val="0"/>
          <c:showCatName val="0"/>
          <c:showSerName val="0"/>
          <c:showPercent val="0"/>
          <c:showBubbleSize val="0"/>
        </c:dLbls>
        <c:marker val="1"/>
        <c:smooth val="0"/>
        <c:axId val="89408256"/>
        <c:axId val="91160960"/>
      </c:lineChart>
      <c:catAx>
        <c:axId val="89408256"/>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160960"/>
        <c:crosses val="autoZero"/>
        <c:auto val="1"/>
        <c:lblAlgn val="ctr"/>
        <c:lblOffset val="100"/>
        <c:noMultiLvlLbl val="0"/>
      </c:catAx>
      <c:valAx>
        <c:axId val="91160960"/>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Total</a:t>
                </a:r>
                <a:r>
                  <a:rPr lang="en-GB" baseline="0"/>
                  <a:t> Dissolved Solids</a:t>
                </a:r>
                <a:endParaRPr lang="en-GB"/>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408256"/>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Monthly!$Q$5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Monthly!$P$6:$P$17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Monthly!$Q$6:$Q$17</c:f>
              <c:numCache>
                <c:formatCode>###0.00</c:formatCode>
                <c:ptCount val="12"/>
                <c:pt idx="0">
                  <c:v>139</c:v>
                </c:pt>
                <c:pt idx="1">
                  <c:v>132.33333333333363</c:v>
                </c:pt>
                <c:pt idx="2">
                  <c:v>143</c:v>
                </c:pt>
                <c:pt idx="3">
                  <c:v>154.33333333333363</c:v>
                </c:pt>
                <c:pt idx="4">
                  <c:v>144.33333333333363</c:v>
                </c:pt>
                <c:pt idx="5">
                  <c:v>144.33333333333363</c:v>
                </c:pt>
                <c:pt idx="6">
                  <c:v>139</c:v>
                </c:pt>
                <c:pt idx="7">
                  <c:v>146</c:v>
                </c:pt>
                <c:pt idx="8">
                  <c:v>158.33333333333363</c:v>
                </c:pt>
                <c:pt idx="9">
                  <c:v>171.33333333333363</c:v>
                </c:pt>
                <c:pt idx="10">
                  <c:v>170.66666666666652</c:v>
                </c:pt>
                <c:pt idx="11">
                  <c:v>162</c:v>
                </c:pt>
              </c:numCache>
            </c:numRef>
          </c:val>
          <c:smooth val="0"/>
          <c:extLst>
            <c:ext xmlns:c16="http://schemas.microsoft.com/office/drawing/2014/chart" uri="{C3380CC4-5D6E-409C-BE32-E72D297353CC}">
              <c16:uniqueId val="{00000000-A335-4F37-A302-88046FA4485E}"/>
            </c:ext>
          </c:extLst>
        </c:ser>
        <c:ser>
          <c:idx val="1"/>
          <c:order val="1"/>
          <c:tx>
            <c:strRef>
              <c:f>Monthly!$R$5</c:f>
              <c:strCache>
                <c:ptCount val="1"/>
                <c:pt idx="0">
                  <c:v>2022/2023</c:v>
                </c:pt>
              </c:strCache>
            </c:strRef>
          </c:tx>
          <c:spPr>
            <a:ln w="28575" cap="rnd">
              <a:solidFill>
                <a:srgbClr val="FF0000"/>
              </a:solidFill>
              <a:round/>
            </a:ln>
            <a:effectLst/>
          </c:spPr>
          <c:marker>
            <c:symbol val="circle"/>
            <c:size val="8"/>
            <c:spPr>
              <a:solidFill>
                <a:srgbClr val="FF0000"/>
              </a:solidFill>
              <a:ln w="9525">
                <a:solidFill>
                  <a:srgbClr val="FF0000"/>
                </a:solidFill>
              </a:ln>
              <a:effectLst/>
            </c:spPr>
          </c:marker>
          <c:cat>
            <c:strRef>
              <c:f>Monthly!$P$6:$P$17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Monthly!$R$6:$R$17</c:f>
              <c:numCache>
                <c:formatCode>###0.00</c:formatCode>
                <c:ptCount val="12"/>
                <c:pt idx="0">
                  <c:v>140</c:v>
                </c:pt>
                <c:pt idx="1">
                  <c:v>133.66666666666652</c:v>
                </c:pt>
                <c:pt idx="2">
                  <c:v>136</c:v>
                </c:pt>
                <c:pt idx="3">
                  <c:v>139.66666666666652</c:v>
                </c:pt>
                <c:pt idx="4">
                  <c:v>144</c:v>
                </c:pt>
                <c:pt idx="5">
                  <c:v>137.66666666666652</c:v>
                </c:pt>
                <c:pt idx="6">
                  <c:v>139</c:v>
                </c:pt>
                <c:pt idx="7">
                  <c:v>146.66666666666652</c:v>
                </c:pt>
                <c:pt idx="8">
                  <c:v>146.66666666666652</c:v>
                </c:pt>
                <c:pt idx="9">
                  <c:v>148.33333333333363</c:v>
                </c:pt>
                <c:pt idx="10">
                  <c:v>153.33333333333363</c:v>
                </c:pt>
                <c:pt idx="11">
                  <c:v>156</c:v>
                </c:pt>
              </c:numCache>
            </c:numRef>
          </c:val>
          <c:smooth val="0"/>
          <c:extLst>
            <c:ext xmlns:c16="http://schemas.microsoft.com/office/drawing/2014/chart" uri="{C3380CC4-5D6E-409C-BE32-E72D297353CC}">
              <c16:uniqueId val="{00000001-A335-4F37-A302-88046FA4485E}"/>
            </c:ext>
          </c:extLst>
        </c:ser>
        <c:ser>
          <c:idx val="2"/>
          <c:order val="2"/>
          <c:tx>
            <c:strRef>
              <c:f>Monthly!$S$5</c:f>
              <c:strCache>
                <c:ptCount val="1"/>
                <c:pt idx="0">
                  <c:v>2023/2024</c:v>
                </c:pt>
              </c:strCache>
            </c:strRef>
          </c:tx>
          <c:spPr>
            <a:ln w="28575" cap="rnd">
              <a:solidFill>
                <a:srgbClr val="00B050"/>
              </a:solidFill>
              <a:round/>
            </a:ln>
            <a:effectLst/>
          </c:spPr>
          <c:marker>
            <c:symbol val="diamond"/>
            <c:size val="8"/>
            <c:spPr>
              <a:solidFill>
                <a:srgbClr val="00B050"/>
              </a:solidFill>
              <a:ln w="9525">
                <a:solidFill>
                  <a:srgbClr val="00B050"/>
                </a:solidFill>
              </a:ln>
              <a:effectLst/>
            </c:spPr>
          </c:marker>
          <c:cat>
            <c:strRef>
              <c:f>Monthly!$P$6:$P$17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Monthly!$S$6:$S$17</c:f>
              <c:numCache>
                <c:formatCode>###0.00</c:formatCode>
                <c:ptCount val="12"/>
                <c:pt idx="0">
                  <c:v>139</c:v>
                </c:pt>
                <c:pt idx="1">
                  <c:v>137.66666666666652</c:v>
                </c:pt>
                <c:pt idx="2">
                  <c:v>134.33333333333363</c:v>
                </c:pt>
                <c:pt idx="3">
                  <c:v>141</c:v>
                </c:pt>
                <c:pt idx="4">
                  <c:v>141.33333333333363</c:v>
                </c:pt>
                <c:pt idx="5">
                  <c:v>146.66666666666652</c:v>
                </c:pt>
                <c:pt idx="6">
                  <c:v>146.66666666666652</c:v>
                </c:pt>
                <c:pt idx="7">
                  <c:v>146.66666666666652</c:v>
                </c:pt>
                <c:pt idx="8">
                  <c:v>145.66666666666652</c:v>
                </c:pt>
                <c:pt idx="9">
                  <c:v>152.66666666666652</c:v>
                </c:pt>
                <c:pt idx="10">
                  <c:v>159.66666666666652</c:v>
                </c:pt>
                <c:pt idx="11">
                  <c:v>161</c:v>
                </c:pt>
              </c:numCache>
            </c:numRef>
          </c:val>
          <c:smooth val="0"/>
          <c:extLst>
            <c:ext xmlns:c16="http://schemas.microsoft.com/office/drawing/2014/chart" uri="{C3380CC4-5D6E-409C-BE32-E72D297353CC}">
              <c16:uniqueId val="{00000002-A335-4F37-A302-88046FA4485E}"/>
            </c:ext>
          </c:extLst>
        </c:ser>
        <c:dLbls>
          <c:showLegendKey val="0"/>
          <c:showVal val="0"/>
          <c:showCatName val="0"/>
          <c:showSerName val="0"/>
          <c:showPercent val="0"/>
          <c:showBubbleSize val="0"/>
        </c:dLbls>
        <c:marker val="1"/>
        <c:smooth val="0"/>
        <c:axId val="94669824"/>
        <c:axId val="94730112"/>
      </c:lineChart>
      <c:catAx>
        <c:axId val="9466982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4730112"/>
        <c:crosses val="autoZero"/>
        <c:auto val="1"/>
        <c:lblAlgn val="ctr"/>
        <c:lblOffset val="100"/>
        <c:noMultiLvlLbl val="0"/>
      </c:catAx>
      <c:valAx>
        <c:axId val="9473011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Biological Oxygen Demand</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4669824"/>
        <c:crosses val="autoZero"/>
        <c:crossBetween val="between"/>
        <c:majorUnit val="40"/>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57888605181284"/>
          <c:y val="0.13033062626249106"/>
          <c:w val="0.80584715523118455"/>
          <c:h val="0.6213728652677345"/>
        </c:manualLayout>
      </c:layout>
      <c:lineChart>
        <c:grouping val="standard"/>
        <c:varyColors val="0"/>
        <c:ser>
          <c:idx val="0"/>
          <c:order val="0"/>
          <c:tx>
            <c:strRef>
              <c:f>Monthly!$U$5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Monthly!$T$6:$T$17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Monthly!$U$6:$U$17</c:f>
              <c:numCache>
                <c:formatCode>###0.00</c:formatCode>
                <c:ptCount val="12"/>
                <c:pt idx="0">
                  <c:v>59.966666666666491</c:v>
                </c:pt>
                <c:pt idx="1">
                  <c:v>53.1</c:v>
                </c:pt>
                <c:pt idx="2">
                  <c:v>54.4</c:v>
                </c:pt>
                <c:pt idx="3">
                  <c:v>63.4</c:v>
                </c:pt>
                <c:pt idx="4">
                  <c:v>64.233333333333249</c:v>
                </c:pt>
                <c:pt idx="5">
                  <c:v>67.633333333333155</c:v>
                </c:pt>
                <c:pt idx="6">
                  <c:v>68.533333333333289</c:v>
                </c:pt>
                <c:pt idx="7">
                  <c:v>67.133333333333155</c:v>
                </c:pt>
                <c:pt idx="8">
                  <c:v>78.166666666666671</c:v>
                </c:pt>
                <c:pt idx="9">
                  <c:v>78.066666666666663</c:v>
                </c:pt>
                <c:pt idx="10">
                  <c:v>72.8</c:v>
                </c:pt>
                <c:pt idx="11">
                  <c:v>68.533333333333289</c:v>
                </c:pt>
              </c:numCache>
            </c:numRef>
          </c:val>
          <c:smooth val="0"/>
          <c:extLst>
            <c:ext xmlns:c16="http://schemas.microsoft.com/office/drawing/2014/chart" uri="{C3380CC4-5D6E-409C-BE32-E72D297353CC}">
              <c16:uniqueId val="{00000000-91B9-453E-94D2-C2C0769ED8E2}"/>
            </c:ext>
          </c:extLst>
        </c:ser>
        <c:ser>
          <c:idx val="1"/>
          <c:order val="1"/>
          <c:tx>
            <c:strRef>
              <c:f>Monthly!$V$5</c:f>
              <c:strCache>
                <c:ptCount val="1"/>
                <c:pt idx="0">
                  <c:v>2022/2023</c:v>
                </c:pt>
              </c:strCache>
            </c:strRef>
          </c:tx>
          <c:spPr>
            <a:ln w="28575" cap="rnd">
              <a:solidFill>
                <a:srgbClr val="FF0000"/>
              </a:solidFill>
              <a:round/>
            </a:ln>
            <a:effectLst/>
          </c:spPr>
          <c:marker>
            <c:symbol val="diamond"/>
            <c:size val="8"/>
            <c:spPr>
              <a:solidFill>
                <a:srgbClr val="FF0000"/>
              </a:solidFill>
              <a:ln w="9525">
                <a:solidFill>
                  <a:srgbClr val="FF0000"/>
                </a:solidFill>
              </a:ln>
              <a:effectLst/>
            </c:spPr>
          </c:marker>
          <c:cat>
            <c:strRef>
              <c:f>Monthly!$T$6:$T$17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Monthly!$V$6:$V$17</c:f>
              <c:numCache>
                <c:formatCode>###0.00</c:formatCode>
                <c:ptCount val="12"/>
                <c:pt idx="0">
                  <c:v>60.4</c:v>
                </c:pt>
                <c:pt idx="1">
                  <c:v>54.566666666666499</c:v>
                </c:pt>
                <c:pt idx="2">
                  <c:v>57.666666666666536</c:v>
                </c:pt>
                <c:pt idx="3">
                  <c:v>57.533333333333339</c:v>
                </c:pt>
                <c:pt idx="4">
                  <c:v>59</c:v>
                </c:pt>
                <c:pt idx="5">
                  <c:v>64.733333333333249</c:v>
                </c:pt>
                <c:pt idx="6">
                  <c:v>65.466666666666697</c:v>
                </c:pt>
                <c:pt idx="7">
                  <c:v>65.266666666666666</c:v>
                </c:pt>
                <c:pt idx="8">
                  <c:v>75.900000000000006</c:v>
                </c:pt>
                <c:pt idx="9">
                  <c:v>71.733333333333249</c:v>
                </c:pt>
                <c:pt idx="10">
                  <c:v>69</c:v>
                </c:pt>
                <c:pt idx="11">
                  <c:v>68.533333333333289</c:v>
                </c:pt>
              </c:numCache>
            </c:numRef>
          </c:val>
          <c:smooth val="0"/>
          <c:extLst>
            <c:ext xmlns:c16="http://schemas.microsoft.com/office/drawing/2014/chart" uri="{C3380CC4-5D6E-409C-BE32-E72D297353CC}">
              <c16:uniqueId val="{00000001-91B9-453E-94D2-C2C0769ED8E2}"/>
            </c:ext>
          </c:extLst>
        </c:ser>
        <c:ser>
          <c:idx val="2"/>
          <c:order val="2"/>
          <c:tx>
            <c:strRef>
              <c:f>Monthly!$W$5</c:f>
              <c:strCache>
                <c:ptCount val="1"/>
                <c:pt idx="0">
                  <c:v>2023/2024</c:v>
                </c:pt>
              </c:strCache>
            </c:strRef>
          </c:tx>
          <c:spPr>
            <a:ln w="28575" cap="rnd">
              <a:solidFill>
                <a:srgbClr val="00B050"/>
              </a:solidFill>
              <a:round/>
            </a:ln>
            <a:effectLst/>
          </c:spPr>
          <c:marker>
            <c:symbol val="circle"/>
            <c:size val="8"/>
            <c:spPr>
              <a:solidFill>
                <a:srgbClr val="00B050"/>
              </a:solidFill>
              <a:ln w="9525">
                <a:solidFill>
                  <a:srgbClr val="00B050"/>
                </a:solidFill>
              </a:ln>
              <a:effectLst/>
            </c:spPr>
          </c:marker>
          <c:cat>
            <c:strRef>
              <c:f>Monthly!$T$6:$T$17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Monthly!$W$6:$W$17</c:f>
              <c:numCache>
                <c:formatCode>###0.00</c:formatCode>
                <c:ptCount val="12"/>
                <c:pt idx="0">
                  <c:v>59.966666666666491</c:v>
                </c:pt>
                <c:pt idx="1">
                  <c:v>56.566666666666514</c:v>
                </c:pt>
                <c:pt idx="2">
                  <c:v>54.666666666666522</c:v>
                </c:pt>
                <c:pt idx="3">
                  <c:v>60.2</c:v>
                </c:pt>
                <c:pt idx="4">
                  <c:v>59.9</c:v>
                </c:pt>
                <c:pt idx="5">
                  <c:v>56.6</c:v>
                </c:pt>
                <c:pt idx="6">
                  <c:v>66.966666666666697</c:v>
                </c:pt>
                <c:pt idx="7">
                  <c:v>67.933333333333309</c:v>
                </c:pt>
                <c:pt idx="8">
                  <c:v>73.333333333333258</c:v>
                </c:pt>
                <c:pt idx="9">
                  <c:v>67.900000000000006</c:v>
                </c:pt>
                <c:pt idx="10">
                  <c:v>74</c:v>
                </c:pt>
                <c:pt idx="11">
                  <c:v>72.7</c:v>
                </c:pt>
              </c:numCache>
            </c:numRef>
          </c:val>
          <c:smooth val="0"/>
          <c:extLst>
            <c:ext xmlns:c16="http://schemas.microsoft.com/office/drawing/2014/chart" uri="{C3380CC4-5D6E-409C-BE32-E72D297353CC}">
              <c16:uniqueId val="{00000002-91B9-453E-94D2-C2C0769ED8E2}"/>
            </c:ext>
          </c:extLst>
        </c:ser>
        <c:dLbls>
          <c:showLegendKey val="0"/>
          <c:showVal val="0"/>
          <c:showCatName val="0"/>
          <c:showSerName val="0"/>
          <c:showPercent val="0"/>
          <c:showBubbleSize val="0"/>
        </c:dLbls>
        <c:marker val="1"/>
        <c:smooth val="0"/>
        <c:axId val="102438400"/>
        <c:axId val="103536512"/>
      </c:lineChart>
      <c:catAx>
        <c:axId val="10243840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3536512"/>
        <c:crosses val="autoZero"/>
        <c:auto val="1"/>
        <c:lblAlgn val="ctr"/>
        <c:lblOffset val="100"/>
        <c:noMultiLvlLbl val="0"/>
      </c:catAx>
      <c:valAx>
        <c:axId val="103536512"/>
        <c:scaling>
          <c:orientation val="minMax"/>
          <c:max val="90"/>
          <c:min val="0"/>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Dissolved</a:t>
                </a:r>
                <a:r>
                  <a:rPr lang="en-GB" baseline="0"/>
                  <a:t> Oxygen</a:t>
                </a:r>
                <a:endParaRPr lang="en-GB"/>
              </a:p>
            </c:rich>
          </c:tx>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2438400"/>
        <c:crosses val="autoZero"/>
        <c:crossBetween val="between"/>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Monthly!$Y$5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Monthly!$X$6:$X$17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Monthly!$Y$6:$Y$17</c:f>
              <c:numCache>
                <c:formatCode>###0.00</c:formatCode>
                <c:ptCount val="12"/>
                <c:pt idx="0">
                  <c:v>1.3666666666666667</c:v>
                </c:pt>
                <c:pt idx="1">
                  <c:v>1.4333333333333318</c:v>
                </c:pt>
                <c:pt idx="2">
                  <c:v>1.5333333333333334</c:v>
                </c:pt>
                <c:pt idx="3">
                  <c:v>1.5</c:v>
                </c:pt>
                <c:pt idx="4">
                  <c:v>1.4666666666666666</c:v>
                </c:pt>
                <c:pt idx="5">
                  <c:v>1.3266666666666667</c:v>
                </c:pt>
                <c:pt idx="6">
                  <c:v>1.3666666666666667</c:v>
                </c:pt>
                <c:pt idx="7">
                  <c:v>1.2333333333333334</c:v>
                </c:pt>
                <c:pt idx="8">
                  <c:v>1.4133333333333318</c:v>
                </c:pt>
                <c:pt idx="9">
                  <c:v>1.5999999999999972</c:v>
                </c:pt>
                <c:pt idx="10">
                  <c:v>1.3233333333333335</c:v>
                </c:pt>
                <c:pt idx="11">
                  <c:v>1.3133333333333335</c:v>
                </c:pt>
              </c:numCache>
            </c:numRef>
          </c:val>
          <c:smooth val="0"/>
          <c:extLst>
            <c:ext xmlns:c16="http://schemas.microsoft.com/office/drawing/2014/chart" uri="{C3380CC4-5D6E-409C-BE32-E72D297353CC}">
              <c16:uniqueId val="{00000000-8A1A-4158-B436-24793F2D24BE}"/>
            </c:ext>
          </c:extLst>
        </c:ser>
        <c:ser>
          <c:idx val="1"/>
          <c:order val="1"/>
          <c:tx>
            <c:strRef>
              <c:f>Monthly!$Z$5</c:f>
              <c:strCache>
                <c:ptCount val="1"/>
                <c:pt idx="0">
                  <c:v>2022/2023</c:v>
                </c:pt>
              </c:strCache>
            </c:strRef>
          </c:tx>
          <c:spPr>
            <a:ln w="28575" cap="rnd">
              <a:solidFill>
                <a:srgbClr val="FF0000"/>
              </a:solidFill>
              <a:round/>
            </a:ln>
            <a:effectLst/>
          </c:spPr>
          <c:marker>
            <c:symbol val="diamond"/>
            <c:size val="8"/>
            <c:spPr>
              <a:solidFill>
                <a:srgbClr val="FF0000"/>
              </a:solidFill>
              <a:ln w="9525">
                <a:solidFill>
                  <a:srgbClr val="FF0000"/>
                </a:solidFill>
              </a:ln>
              <a:effectLst/>
            </c:spPr>
          </c:marker>
          <c:cat>
            <c:strRef>
              <c:f>Monthly!$X$6:$X$17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Monthly!$Z$6:$Z$17</c:f>
              <c:numCache>
                <c:formatCode>###0.00</c:formatCode>
                <c:ptCount val="12"/>
                <c:pt idx="0">
                  <c:v>1.2</c:v>
                </c:pt>
                <c:pt idx="1">
                  <c:v>1.2</c:v>
                </c:pt>
                <c:pt idx="2">
                  <c:v>1.5333333333333334</c:v>
                </c:pt>
                <c:pt idx="3">
                  <c:v>1.3333333333333333</c:v>
                </c:pt>
                <c:pt idx="4">
                  <c:v>1.3900000000000001</c:v>
                </c:pt>
                <c:pt idx="5">
                  <c:v>1.2733333333333334</c:v>
                </c:pt>
                <c:pt idx="6">
                  <c:v>1.2866666666666666</c:v>
                </c:pt>
                <c:pt idx="7">
                  <c:v>1.2666666666666666</c:v>
                </c:pt>
                <c:pt idx="8">
                  <c:v>1.4166666666666659</c:v>
                </c:pt>
                <c:pt idx="9">
                  <c:v>1.2899999999999967</c:v>
                </c:pt>
                <c:pt idx="10">
                  <c:v>1.2333333333333334</c:v>
                </c:pt>
                <c:pt idx="11">
                  <c:v>1.3266666666666667</c:v>
                </c:pt>
              </c:numCache>
            </c:numRef>
          </c:val>
          <c:smooth val="0"/>
          <c:extLst>
            <c:ext xmlns:c16="http://schemas.microsoft.com/office/drawing/2014/chart" uri="{C3380CC4-5D6E-409C-BE32-E72D297353CC}">
              <c16:uniqueId val="{00000001-8A1A-4158-B436-24793F2D24BE}"/>
            </c:ext>
          </c:extLst>
        </c:ser>
        <c:ser>
          <c:idx val="2"/>
          <c:order val="2"/>
          <c:tx>
            <c:strRef>
              <c:f>Monthly!$AA$5</c:f>
              <c:strCache>
                <c:ptCount val="1"/>
                <c:pt idx="0">
                  <c:v>2023/2024</c:v>
                </c:pt>
              </c:strCache>
            </c:strRef>
          </c:tx>
          <c:spPr>
            <a:ln w="28575" cap="rnd">
              <a:solidFill>
                <a:srgbClr val="00B050"/>
              </a:solidFill>
              <a:round/>
            </a:ln>
            <a:effectLst/>
          </c:spPr>
          <c:marker>
            <c:symbol val="circle"/>
            <c:size val="8"/>
            <c:spPr>
              <a:solidFill>
                <a:srgbClr val="00B050"/>
              </a:solidFill>
              <a:ln w="9525">
                <a:solidFill>
                  <a:srgbClr val="00B050"/>
                </a:solidFill>
              </a:ln>
              <a:effectLst/>
            </c:spPr>
          </c:marker>
          <c:cat>
            <c:strRef>
              <c:f>Monthly!$X$6:$X$17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Monthly!$AA$6:$AA$17</c:f>
              <c:numCache>
                <c:formatCode>###0.00</c:formatCode>
                <c:ptCount val="12"/>
                <c:pt idx="0">
                  <c:v>1.4333333333333318</c:v>
                </c:pt>
                <c:pt idx="1">
                  <c:v>1.4333333333333318</c:v>
                </c:pt>
                <c:pt idx="2">
                  <c:v>1.5666666666666667</c:v>
                </c:pt>
                <c:pt idx="3">
                  <c:v>1.3666666666666667</c:v>
                </c:pt>
                <c:pt idx="4">
                  <c:v>1.3466666666666667</c:v>
                </c:pt>
                <c:pt idx="5">
                  <c:v>1.43</c:v>
                </c:pt>
                <c:pt idx="6">
                  <c:v>1.3666666666666667</c:v>
                </c:pt>
                <c:pt idx="7">
                  <c:v>1.3666666666666667</c:v>
                </c:pt>
                <c:pt idx="8">
                  <c:v>1.3333333333333333</c:v>
                </c:pt>
                <c:pt idx="9">
                  <c:v>1.3666666666666667</c:v>
                </c:pt>
                <c:pt idx="10">
                  <c:v>1.2666666666666668</c:v>
                </c:pt>
                <c:pt idx="11">
                  <c:v>1.3333333333333333</c:v>
                </c:pt>
              </c:numCache>
            </c:numRef>
          </c:val>
          <c:smooth val="0"/>
          <c:extLst>
            <c:ext xmlns:c16="http://schemas.microsoft.com/office/drawing/2014/chart" uri="{C3380CC4-5D6E-409C-BE32-E72D297353CC}">
              <c16:uniqueId val="{00000002-8A1A-4158-B436-24793F2D24BE}"/>
            </c:ext>
          </c:extLst>
        </c:ser>
        <c:dLbls>
          <c:showLegendKey val="0"/>
          <c:showVal val="0"/>
          <c:showCatName val="0"/>
          <c:showSerName val="0"/>
          <c:showPercent val="0"/>
          <c:showBubbleSize val="0"/>
        </c:dLbls>
        <c:marker val="1"/>
        <c:smooth val="0"/>
        <c:axId val="111292800"/>
        <c:axId val="111316992"/>
      </c:lineChart>
      <c:catAx>
        <c:axId val="11129280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1316992"/>
        <c:crosses val="autoZero"/>
        <c:auto val="1"/>
        <c:lblAlgn val="ctr"/>
        <c:lblOffset val="100"/>
        <c:noMultiLvlLbl val="0"/>
      </c:catAx>
      <c:valAx>
        <c:axId val="11131699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Transparency</a:t>
                </a:r>
              </a:p>
            </c:rich>
          </c:tx>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1292800"/>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Monthly!$AC$5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Monthly!$AB$6:$AB$17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Monthly!$AC$6:$AC$17</c:f>
              <c:numCache>
                <c:formatCode>###0.00</c:formatCode>
                <c:ptCount val="12"/>
                <c:pt idx="0">
                  <c:v>0.33000000000000074</c:v>
                </c:pt>
                <c:pt idx="1">
                  <c:v>0.24000000000000021</c:v>
                </c:pt>
                <c:pt idx="2">
                  <c:v>0.31000000000000055</c:v>
                </c:pt>
                <c:pt idx="3">
                  <c:v>0.36333333333333334</c:v>
                </c:pt>
                <c:pt idx="4">
                  <c:v>0.35333333333333333</c:v>
                </c:pt>
                <c:pt idx="5">
                  <c:v>0.34333333333333327</c:v>
                </c:pt>
                <c:pt idx="6">
                  <c:v>0.33666666666666778</c:v>
                </c:pt>
                <c:pt idx="7">
                  <c:v>0.32333333333333336</c:v>
                </c:pt>
                <c:pt idx="8">
                  <c:v>0.36000000000000032</c:v>
                </c:pt>
                <c:pt idx="9">
                  <c:v>0.45333333333333325</c:v>
                </c:pt>
                <c:pt idx="10">
                  <c:v>0.42666666666666747</c:v>
                </c:pt>
                <c:pt idx="11">
                  <c:v>0.35666666666666741</c:v>
                </c:pt>
              </c:numCache>
            </c:numRef>
          </c:val>
          <c:smooth val="0"/>
          <c:extLst>
            <c:ext xmlns:c16="http://schemas.microsoft.com/office/drawing/2014/chart" uri="{C3380CC4-5D6E-409C-BE32-E72D297353CC}">
              <c16:uniqueId val="{00000000-9C0D-4FD8-B2A6-87C4DD7451A7}"/>
            </c:ext>
          </c:extLst>
        </c:ser>
        <c:ser>
          <c:idx val="1"/>
          <c:order val="1"/>
          <c:tx>
            <c:strRef>
              <c:f>Monthly!$AD$5</c:f>
              <c:strCache>
                <c:ptCount val="1"/>
                <c:pt idx="0">
                  <c:v>2022/2023</c:v>
                </c:pt>
              </c:strCache>
            </c:strRef>
          </c:tx>
          <c:spPr>
            <a:ln w="28575" cap="rnd">
              <a:solidFill>
                <a:srgbClr val="FF0000"/>
              </a:solidFill>
              <a:round/>
            </a:ln>
            <a:effectLst/>
          </c:spPr>
          <c:marker>
            <c:symbol val="diamond"/>
            <c:size val="8"/>
            <c:spPr>
              <a:solidFill>
                <a:srgbClr val="FF0000"/>
              </a:solidFill>
              <a:ln w="9525">
                <a:solidFill>
                  <a:srgbClr val="FF0000"/>
                </a:solidFill>
              </a:ln>
              <a:effectLst/>
            </c:spPr>
          </c:marker>
          <c:cat>
            <c:strRef>
              <c:f>Monthly!$AB$6:$AB$17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Monthly!$AD$6:$AD$17</c:f>
              <c:numCache>
                <c:formatCode>###0.00</c:formatCode>
                <c:ptCount val="12"/>
                <c:pt idx="0">
                  <c:v>0.30333333333333334</c:v>
                </c:pt>
                <c:pt idx="1">
                  <c:v>0.31000000000000055</c:v>
                </c:pt>
                <c:pt idx="2">
                  <c:v>0.22000000000000003</c:v>
                </c:pt>
                <c:pt idx="3">
                  <c:v>0.31333333333333335</c:v>
                </c:pt>
                <c:pt idx="4">
                  <c:v>0.34333333333333327</c:v>
                </c:pt>
                <c:pt idx="5">
                  <c:v>0.33333333333333331</c:v>
                </c:pt>
                <c:pt idx="6">
                  <c:v>0.33666666666666778</c:v>
                </c:pt>
                <c:pt idx="7">
                  <c:v>0.33333333333333337</c:v>
                </c:pt>
                <c:pt idx="8">
                  <c:v>0.34000000000000008</c:v>
                </c:pt>
                <c:pt idx="9">
                  <c:v>0.35000000000000031</c:v>
                </c:pt>
                <c:pt idx="10">
                  <c:v>0.44333333333333325</c:v>
                </c:pt>
                <c:pt idx="11">
                  <c:v>0.38666666666666766</c:v>
                </c:pt>
              </c:numCache>
            </c:numRef>
          </c:val>
          <c:smooth val="0"/>
          <c:extLst>
            <c:ext xmlns:c16="http://schemas.microsoft.com/office/drawing/2014/chart" uri="{C3380CC4-5D6E-409C-BE32-E72D297353CC}">
              <c16:uniqueId val="{00000001-9C0D-4FD8-B2A6-87C4DD7451A7}"/>
            </c:ext>
          </c:extLst>
        </c:ser>
        <c:ser>
          <c:idx val="2"/>
          <c:order val="2"/>
          <c:tx>
            <c:strRef>
              <c:f>Monthly!$AE$5</c:f>
              <c:strCache>
                <c:ptCount val="1"/>
                <c:pt idx="0">
                  <c:v>2023/2024</c:v>
                </c:pt>
              </c:strCache>
            </c:strRef>
          </c:tx>
          <c:spPr>
            <a:ln w="28575" cap="rnd">
              <a:solidFill>
                <a:srgbClr val="00B050"/>
              </a:solidFill>
              <a:round/>
            </a:ln>
            <a:effectLst/>
          </c:spPr>
          <c:marker>
            <c:symbol val="circle"/>
            <c:size val="8"/>
            <c:spPr>
              <a:solidFill>
                <a:srgbClr val="00B050"/>
              </a:solidFill>
              <a:ln w="9525">
                <a:solidFill>
                  <a:srgbClr val="00B050"/>
                </a:solidFill>
              </a:ln>
              <a:effectLst/>
            </c:spPr>
          </c:marker>
          <c:cat>
            <c:strRef>
              <c:f>Monthly!$AB$6:$AB$17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Monthly!$AE$6:$AE$17</c:f>
              <c:numCache>
                <c:formatCode>###0.00</c:formatCode>
                <c:ptCount val="12"/>
                <c:pt idx="0">
                  <c:v>0.30000000000000032</c:v>
                </c:pt>
                <c:pt idx="1">
                  <c:v>0.30333333333333334</c:v>
                </c:pt>
                <c:pt idx="2">
                  <c:v>0.21000000000000021</c:v>
                </c:pt>
                <c:pt idx="3">
                  <c:v>0.31333333333333335</c:v>
                </c:pt>
                <c:pt idx="4">
                  <c:v>0.33666666666666778</c:v>
                </c:pt>
                <c:pt idx="5">
                  <c:v>0.34000000000000008</c:v>
                </c:pt>
                <c:pt idx="6">
                  <c:v>0.32666666666666766</c:v>
                </c:pt>
                <c:pt idx="7">
                  <c:v>0.33000000000000074</c:v>
                </c:pt>
                <c:pt idx="8">
                  <c:v>0.34000000000000008</c:v>
                </c:pt>
                <c:pt idx="9">
                  <c:v>0.36000000000000032</c:v>
                </c:pt>
                <c:pt idx="10">
                  <c:v>0.45</c:v>
                </c:pt>
                <c:pt idx="11">
                  <c:v>0.44</c:v>
                </c:pt>
              </c:numCache>
            </c:numRef>
          </c:val>
          <c:smooth val="0"/>
          <c:extLst>
            <c:ext xmlns:c16="http://schemas.microsoft.com/office/drawing/2014/chart" uri="{C3380CC4-5D6E-409C-BE32-E72D297353CC}">
              <c16:uniqueId val="{00000002-9C0D-4FD8-B2A6-87C4DD7451A7}"/>
            </c:ext>
          </c:extLst>
        </c:ser>
        <c:dLbls>
          <c:showLegendKey val="0"/>
          <c:showVal val="0"/>
          <c:showCatName val="0"/>
          <c:showSerName val="0"/>
          <c:showPercent val="0"/>
          <c:showBubbleSize val="0"/>
        </c:dLbls>
        <c:marker val="1"/>
        <c:smooth val="0"/>
        <c:axId val="118467200"/>
        <c:axId val="118481664"/>
      </c:lineChart>
      <c:catAx>
        <c:axId val="11846720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481664"/>
        <c:crosses val="autoZero"/>
        <c:auto val="1"/>
        <c:lblAlgn val="ctr"/>
        <c:lblOffset val="100"/>
        <c:noMultiLvlLbl val="0"/>
      </c:catAx>
      <c:valAx>
        <c:axId val="118481664"/>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Electrical Conductivity</a:t>
                </a:r>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467200"/>
        <c:crosses val="autoZero"/>
        <c:crossBetween val="between"/>
        <c:majorUnit val="0.1"/>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Monthly!$AG$5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Monthly!$AF$6:$AF$17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Monthly!$AG$6:$AG$17</c:f>
              <c:numCache>
                <c:formatCode>###0.00</c:formatCode>
                <c:ptCount val="12"/>
                <c:pt idx="0">
                  <c:v>3.4999999999999996E-2</c:v>
                </c:pt>
                <c:pt idx="1">
                  <c:v>3.2000000000000042E-2</c:v>
                </c:pt>
                <c:pt idx="2">
                  <c:v>2.5666666666666671E-2</c:v>
                </c:pt>
                <c:pt idx="3">
                  <c:v>5.4333333333333553E-2</c:v>
                </c:pt>
                <c:pt idx="4">
                  <c:v>6.2000000000000034E-2</c:v>
                </c:pt>
                <c:pt idx="5">
                  <c:v>5.2666666666666723E-2</c:v>
                </c:pt>
                <c:pt idx="6">
                  <c:v>0.33233333333333337</c:v>
                </c:pt>
                <c:pt idx="7">
                  <c:v>3.4000000000000002E-2</c:v>
                </c:pt>
                <c:pt idx="8">
                  <c:v>6.1999999999999993E-2</c:v>
                </c:pt>
                <c:pt idx="9">
                  <c:v>5.9666666666666771E-2</c:v>
                </c:pt>
                <c:pt idx="10">
                  <c:v>4.4666666666666764E-2</c:v>
                </c:pt>
                <c:pt idx="11">
                  <c:v>6.0000000000000032E-2</c:v>
                </c:pt>
              </c:numCache>
            </c:numRef>
          </c:val>
          <c:smooth val="0"/>
          <c:extLst>
            <c:ext xmlns:c16="http://schemas.microsoft.com/office/drawing/2014/chart" uri="{C3380CC4-5D6E-409C-BE32-E72D297353CC}">
              <c16:uniqueId val="{00000000-D4C4-49CF-B53B-8B9C1CB15ECC}"/>
            </c:ext>
          </c:extLst>
        </c:ser>
        <c:ser>
          <c:idx val="1"/>
          <c:order val="1"/>
          <c:tx>
            <c:strRef>
              <c:f>Monthly!$AH$5</c:f>
              <c:strCache>
                <c:ptCount val="1"/>
                <c:pt idx="0">
                  <c:v>2022/2023</c:v>
                </c:pt>
              </c:strCache>
            </c:strRef>
          </c:tx>
          <c:spPr>
            <a:ln w="28575" cap="rnd">
              <a:solidFill>
                <a:srgbClr val="FF0000"/>
              </a:solidFill>
              <a:round/>
            </a:ln>
            <a:effectLst/>
          </c:spPr>
          <c:marker>
            <c:symbol val="diamond"/>
            <c:size val="8"/>
            <c:spPr>
              <a:solidFill>
                <a:srgbClr val="FF0000"/>
              </a:solidFill>
              <a:ln w="9525">
                <a:solidFill>
                  <a:srgbClr val="FF0000"/>
                </a:solidFill>
              </a:ln>
              <a:effectLst/>
            </c:spPr>
          </c:marker>
          <c:cat>
            <c:strRef>
              <c:f>Monthly!$AF$6:$AF$17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Monthly!$AH$6:$AH$17</c:f>
              <c:numCache>
                <c:formatCode>###0.00</c:formatCode>
                <c:ptCount val="12"/>
                <c:pt idx="0">
                  <c:v>4.0666666666666684E-2</c:v>
                </c:pt>
                <c:pt idx="1">
                  <c:v>3.1333333333333352E-2</c:v>
                </c:pt>
                <c:pt idx="2">
                  <c:v>3.1333333333333352E-2</c:v>
                </c:pt>
                <c:pt idx="3">
                  <c:v>3.2333333333333401E-2</c:v>
                </c:pt>
                <c:pt idx="4">
                  <c:v>4.1999999999999996E-2</c:v>
                </c:pt>
                <c:pt idx="5">
                  <c:v>4.9000000000000092E-2</c:v>
                </c:pt>
                <c:pt idx="6">
                  <c:v>0.34266666666666734</c:v>
                </c:pt>
                <c:pt idx="7">
                  <c:v>4.7000000000000014E-2</c:v>
                </c:pt>
                <c:pt idx="8">
                  <c:v>6.0666666666666723E-2</c:v>
                </c:pt>
                <c:pt idx="9">
                  <c:v>5.7666666666666734E-2</c:v>
                </c:pt>
                <c:pt idx="10">
                  <c:v>5.3333333333333517E-2</c:v>
                </c:pt>
                <c:pt idx="11">
                  <c:v>6.0000000000000032E-2</c:v>
                </c:pt>
              </c:numCache>
            </c:numRef>
          </c:val>
          <c:smooth val="0"/>
          <c:extLst>
            <c:ext xmlns:c16="http://schemas.microsoft.com/office/drawing/2014/chart" uri="{C3380CC4-5D6E-409C-BE32-E72D297353CC}">
              <c16:uniqueId val="{00000001-D4C4-49CF-B53B-8B9C1CB15ECC}"/>
            </c:ext>
          </c:extLst>
        </c:ser>
        <c:ser>
          <c:idx val="2"/>
          <c:order val="2"/>
          <c:tx>
            <c:strRef>
              <c:f>Monthly!$AI$5</c:f>
              <c:strCache>
                <c:ptCount val="1"/>
                <c:pt idx="0">
                  <c:v>2023/2024</c:v>
                </c:pt>
              </c:strCache>
            </c:strRef>
          </c:tx>
          <c:spPr>
            <a:ln w="28575" cap="rnd">
              <a:solidFill>
                <a:srgbClr val="00B050"/>
              </a:solidFill>
              <a:round/>
            </a:ln>
            <a:effectLst/>
          </c:spPr>
          <c:marker>
            <c:symbol val="circle"/>
            <c:size val="8"/>
            <c:spPr>
              <a:solidFill>
                <a:srgbClr val="00B050"/>
              </a:solidFill>
              <a:ln w="9525">
                <a:solidFill>
                  <a:srgbClr val="00B050"/>
                </a:solidFill>
              </a:ln>
              <a:effectLst/>
            </c:spPr>
          </c:marker>
          <c:cat>
            <c:strRef>
              <c:f>Monthly!$AF$6:$AF$17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Monthly!$AI$6:$AI$17</c:f>
              <c:numCache>
                <c:formatCode>###0.00</c:formatCode>
                <c:ptCount val="12"/>
                <c:pt idx="0">
                  <c:v>4.4666666666666764E-2</c:v>
                </c:pt>
                <c:pt idx="1">
                  <c:v>4.1333333333333486E-2</c:v>
                </c:pt>
                <c:pt idx="2">
                  <c:v>2.3333333333333341E-2</c:v>
                </c:pt>
                <c:pt idx="3">
                  <c:v>3.7999999999999999E-2</c:v>
                </c:pt>
                <c:pt idx="4">
                  <c:v>4.0000000000000022E-2</c:v>
                </c:pt>
                <c:pt idx="5">
                  <c:v>4.2666666666666714E-2</c:v>
                </c:pt>
                <c:pt idx="6">
                  <c:v>0.32133333333333336</c:v>
                </c:pt>
                <c:pt idx="7">
                  <c:v>5.7000000000000023E-2</c:v>
                </c:pt>
                <c:pt idx="8">
                  <c:v>6.0666666666666723E-2</c:v>
                </c:pt>
                <c:pt idx="9">
                  <c:v>5.7000000000000023E-2</c:v>
                </c:pt>
                <c:pt idx="10">
                  <c:v>6.133333333333351E-2</c:v>
                </c:pt>
                <c:pt idx="11">
                  <c:v>6.2333333333333553E-2</c:v>
                </c:pt>
              </c:numCache>
            </c:numRef>
          </c:val>
          <c:smooth val="0"/>
          <c:extLst>
            <c:ext xmlns:c16="http://schemas.microsoft.com/office/drawing/2014/chart" uri="{C3380CC4-5D6E-409C-BE32-E72D297353CC}">
              <c16:uniqueId val="{00000002-D4C4-49CF-B53B-8B9C1CB15ECC}"/>
            </c:ext>
          </c:extLst>
        </c:ser>
        <c:dLbls>
          <c:showLegendKey val="0"/>
          <c:showVal val="0"/>
          <c:showCatName val="0"/>
          <c:showSerName val="0"/>
          <c:showPercent val="0"/>
          <c:showBubbleSize val="0"/>
        </c:dLbls>
        <c:marker val="1"/>
        <c:smooth val="0"/>
        <c:axId val="137314688"/>
        <c:axId val="161301248"/>
      </c:lineChart>
      <c:catAx>
        <c:axId val="137314688"/>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1301248"/>
        <c:crosses val="autoZero"/>
        <c:auto val="1"/>
        <c:lblAlgn val="ctr"/>
        <c:lblOffset val="100"/>
        <c:noMultiLvlLbl val="0"/>
      </c:catAx>
      <c:valAx>
        <c:axId val="161301248"/>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Nitrate</a:t>
                </a:r>
              </a:p>
            </c:rich>
          </c:tx>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7314688"/>
        <c:crosses val="autoZero"/>
        <c:crossBetween val="between"/>
        <c:majorUnit val="0.1"/>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Monthly!$AK$5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Monthly!$AJ$6:$AJ$17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Monthly!$AK$6:$AK$17</c:f>
              <c:numCache>
                <c:formatCode>###0.00</c:formatCode>
                <c:ptCount val="12"/>
                <c:pt idx="0">
                  <c:v>0.27333333333333326</c:v>
                </c:pt>
                <c:pt idx="1">
                  <c:v>0.32333333333333331</c:v>
                </c:pt>
                <c:pt idx="2">
                  <c:v>0.23666666666666669</c:v>
                </c:pt>
                <c:pt idx="3">
                  <c:v>0.33666666666666778</c:v>
                </c:pt>
                <c:pt idx="4">
                  <c:v>0.44</c:v>
                </c:pt>
                <c:pt idx="5">
                  <c:v>0.34666666666666734</c:v>
                </c:pt>
                <c:pt idx="6">
                  <c:v>0.36333333333333334</c:v>
                </c:pt>
                <c:pt idx="7">
                  <c:v>0.37000000000000038</c:v>
                </c:pt>
                <c:pt idx="8">
                  <c:v>0.33666666666666778</c:v>
                </c:pt>
                <c:pt idx="9">
                  <c:v>0.39666666666666778</c:v>
                </c:pt>
                <c:pt idx="10">
                  <c:v>0.43666666666666748</c:v>
                </c:pt>
                <c:pt idx="11">
                  <c:v>0.38666666666666766</c:v>
                </c:pt>
              </c:numCache>
            </c:numRef>
          </c:val>
          <c:smooth val="0"/>
          <c:extLst>
            <c:ext xmlns:c16="http://schemas.microsoft.com/office/drawing/2014/chart" uri="{C3380CC4-5D6E-409C-BE32-E72D297353CC}">
              <c16:uniqueId val="{00000000-D860-4EF4-9D9D-87305A76A472}"/>
            </c:ext>
          </c:extLst>
        </c:ser>
        <c:ser>
          <c:idx val="1"/>
          <c:order val="1"/>
          <c:tx>
            <c:strRef>
              <c:f>Monthly!$AL$5</c:f>
              <c:strCache>
                <c:ptCount val="1"/>
                <c:pt idx="0">
                  <c:v>2022/2023</c:v>
                </c:pt>
              </c:strCache>
            </c:strRef>
          </c:tx>
          <c:spPr>
            <a:ln w="28575" cap="rnd">
              <a:solidFill>
                <a:srgbClr val="FF0000"/>
              </a:solidFill>
              <a:round/>
            </a:ln>
            <a:effectLst/>
          </c:spPr>
          <c:marker>
            <c:symbol val="circle"/>
            <c:size val="8"/>
            <c:spPr>
              <a:solidFill>
                <a:srgbClr val="FF0000"/>
              </a:solidFill>
              <a:ln w="9525">
                <a:solidFill>
                  <a:srgbClr val="FF0000"/>
                </a:solidFill>
              </a:ln>
              <a:effectLst/>
            </c:spPr>
          </c:marker>
          <c:cat>
            <c:strRef>
              <c:f>Monthly!$AJ$6:$AJ$17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Monthly!$AL$6:$AL$17</c:f>
              <c:numCache>
                <c:formatCode>###0.00</c:formatCode>
                <c:ptCount val="12"/>
                <c:pt idx="0">
                  <c:v>0.25333333333333324</c:v>
                </c:pt>
                <c:pt idx="1">
                  <c:v>0.25333333333333324</c:v>
                </c:pt>
                <c:pt idx="2">
                  <c:v>0.26</c:v>
                </c:pt>
                <c:pt idx="3">
                  <c:v>0.24000000000000021</c:v>
                </c:pt>
                <c:pt idx="4">
                  <c:v>0.39333333333333337</c:v>
                </c:pt>
                <c:pt idx="5">
                  <c:v>0.34666666666666734</c:v>
                </c:pt>
                <c:pt idx="6">
                  <c:v>0.38000000000000062</c:v>
                </c:pt>
                <c:pt idx="7">
                  <c:v>0.35333333333333333</c:v>
                </c:pt>
                <c:pt idx="8">
                  <c:v>0.35666666666666741</c:v>
                </c:pt>
                <c:pt idx="9">
                  <c:v>0.37333333333333335</c:v>
                </c:pt>
                <c:pt idx="10">
                  <c:v>0.34666666666666734</c:v>
                </c:pt>
                <c:pt idx="11">
                  <c:v>0.35000000000000031</c:v>
                </c:pt>
              </c:numCache>
            </c:numRef>
          </c:val>
          <c:smooth val="0"/>
          <c:extLst>
            <c:ext xmlns:c16="http://schemas.microsoft.com/office/drawing/2014/chart" uri="{C3380CC4-5D6E-409C-BE32-E72D297353CC}">
              <c16:uniqueId val="{00000001-D860-4EF4-9D9D-87305A76A472}"/>
            </c:ext>
          </c:extLst>
        </c:ser>
        <c:ser>
          <c:idx val="2"/>
          <c:order val="2"/>
          <c:tx>
            <c:strRef>
              <c:f>Monthly!$AM$5</c:f>
              <c:strCache>
                <c:ptCount val="1"/>
                <c:pt idx="0">
                  <c:v>2023/2024</c:v>
                </c:pt>
              </c:strCache>
            </c:strRef>
          </c:tx>
          <c:spPr>
            <a:ln w="28575" cap="rnd">
              <a:solidFill>
                <a:srgbClr val="00B050"/>
              </a:solidFill>
              <a:round/>
            </a:ln>
            <a:effectLst/>
          </c:spPr>
          <c:marker>
            <c:symbol val="diamond"/>
            <c:size val="8"/>
            <c:spPr>
              <a:solidFill>
                <a:srgbClr val="00B050"/>
              </a:solidFill>
              <a:ln w="9525">
                <a:solidFill>
                  <a:srgbClr val="00B050"/>
                </a:solidFill>
              </a:ln>
              <a:effectLst/>
            </c:spPr>
          </c:marker>
          <c:cat>
            <c:strRef>
              <c:f>Monthly!$AJ$6:$AJ$17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Monthly!$AM$6:$AM$17</c:f>
              <c:numCache>
                <c:formatCode>###0.00</c:formatCode>
                <c:ptCount val="12"/>
                <c:pt idx="0">
                  <c:v>0.30666666666666748</c:v>
                </c:pt>
                <c:pt idx="1">
                  <c:v>0.29666666666666741</c:v>
                </c:pt>
                <c:pt idx="2">
                  <c:v>0.25333333333333324</c:v>
                </c:pt>
                <c:pt idx="3">
                  <c:v>0.30333333333333334</c:v>
                </c:pt>
                <c:pt idx="4">
                  <c:v>0.36333333333333334</c:v>
                </c:pt>
                <c:pt idx="5">
                  <c:v>0.37333333333333335</c:v>
                </c:pt>
                <c:pt idx="6">
                  <c:v>0.36333333333333334</c:v>
                </c:pt>
                <c:pt idx="7">
                  <c:v>0.35333333333333333</c:v>
                </c:pt>
                <c:pt idx="8">
                  <c:v>0.32666666666666766</c:v>
                </c:pt>
                <c:pt idx="9">
                  <c:v>0.36666666666666747</c:v>
                </c:pt>
                <c:pt idx="10">
                  <c:v>0.40000000000000008</c:v>
                </c:pt>
                <c:pt idx="11">
                  <c:v>0.36666666666666747</c:v>
                </c:pt>
              </c:numCache>
            </c:numRef>
          </c:val>
          <c:smooth val="0"/>
          <c:extLst>
            <c:ext xmlns:c16="http://schemas.microsoft.com/office/drawing/2014/chart" uri="{C3380CC4-5D6E-409C-BE32-E72D297353CC}">
              <c16:uniqueId val="{00000002-D860-4EF4-9D9D-87305A76A472}"/>
            </c:ext>
          </c:extLst>
        </c:ser>
        <c:dLbls>
          <c:showLegendKey val="0"/>
          <c:showVal val="0"/>
          <c:showCatName val="0"/>
          <c:showSerName val="0"/>
          <c:showPercent val="0"/>
          <c:showBubbleSize val="0"/>
        </c:dLbls>
        <c:marker val="1"/>
        <c:smooth val="0"/>
        <c:axId val="230838272"/>
        <c:axId val="244168576"/>
      </c:lineChart>
      <c:catAx>
        <c:axId val="230838272"/>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44168576"/>
        <c:crosses val="autoZero"/>
        <c:auto val="1"/>
        <c:lblAlgn val="ctr"/>
        <c:lblOffset val="100"/>
        <c:noMultiLvlLbl val="0"/>
      </c:catAx>
      <c:valAx>
        <c:axId val="244168576"/>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Phosphate</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0838272"/>
        <c:crosses val="autoZero"/>
        <c:crossBetween val="between"/>
        <c:majorUnit val="0.1"/>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8133</Words>
  <Characters>46360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1180</cp:lastModifiedBy>
  <cp:revision>14</cp:revision>
  <dcterms:created xsi:type="dcterms:W3CDTF">2025-07-16T15:43:00Z</dcterms:created>
  <dcterms:modified xsi:type="dcterms:W3CDTF">2025-07-17T08:33:00Z</dcterms:modified>
</cp:coreProperties>
</file>