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18474" w14:textId="77777777" w:rsidR="00754C9A" w:rsidRDefault="00754C9A" w:rsidP="00441B6F">
      <w:pPr>
        <w:pStyle w:val="Title"/>
        <w:spacing w:after="0"/>
        <w:jc w:val="both"/>
        <w:rPr>
          <w:rFonts w:ascii="Arial" w:hAnsi="Arial" w:cs="Arial"/>
        </w:rPr>
      </w:pPr>
    </w:p>
    <w:p w14:paraId="16531F0C" w14:textId="77777777" w:rsidR="00A258C3" w:rsidRPr="00790ADA" w:rsidRDefault="0040278A" w:rsidP="00441B6F">
      <w:pPr>
        <w:pStyle w:val="Author"/>
        <w:spacing w:line="240" w:lineRule="auto"/>
        <w:jc w:val="both"/>
        <w:rPr>
          <w:rFonts w:ascii="Arial" w:hAnsi="Arial" w:cs="Arial"/>
          <w:sz w:val="36"/>
        </w:rPr>
      </w:pPr>
      <w:r w:rsidRPr="0040278A">
        <w:rPr>
          <w:rFonts w:ascii="Arial" w:hAnsi="Arial" w:cs="Arial"/>
          <w:bCs/>
          <w:iCs/>
          <w:kern w:val="28"/>
          <w:sz w:val="36"/>
        </w:rPr>
        <w:t>Distribution Characteristics of Free-Living Nitrogen-Fixing Bacteria in Solonetz Soil Types</w:t>
      </w:r>
    </w:p>
    <w:p w14:paraId="2CCC089F" w14:textId="77777777" w:rsidR="008910C5" w:rsidRDefault="008910C5" w:rsidP="00A4609D">
      <w:pPr>
        <w:pStyle w:val="Author"/>
        <w:spacing w:line="240" w:lineRule="auto"/>
        <w:rPr>
          <w:rFonts w:ascii="Arial" w:hAnsi="Arial" w:cs="Arial"/>
        </w:rPr>
      </w:pPr>
    </w:p>
    <w:p w14:paraId="403846CB" w14:textId="02D47D00" w:rsidR="00B01FCD" w:rsidRPr="00FB3A86" w:rsidRDefault="006628CD" w:rsidP="00A4609D">
      <w:pPr>
        <w:pStyle w:val="Author"/>
        <w:spacing w:line="240" w:lineRule="auto"/>
        <w:rPr>
          <w:rFonts w:ascii="Arial" w:hAnsi="Arial" w:cs="Arial"/>
        </w:rPr>
        <w:sectPr w:rsidR="00B01FCD" w:rsidRPr="00FB3A86" w:rsidSect="008910C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1502D5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00A66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7D2C2C">
        <w:rPr>
          <w:rFonts w:ascii="Arial" w:hAnsi="Arial" w:cs="Arial"/>
        </w:rPr>
        <w:t xml:space="preserve"> </w:t>
      </w:r>
    </w:p>
    <w:p w14:paraId="15FC69E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CA8C9D8" w14:textId="77777777" w:rsidTr="001E44FE">
        <w:tc>
          <w:tcPr>
            <w:tcW w:w="9576" w:type="dxa"/>
            <w:shd w:val="clear" w:color="auto" w:fill="F2F2F2"/>
          </w:tcPr>
          <w:p w14:paraId="0F787EE5" w14:textId="77777777" w:rsidR="00505F06" w:rsidRPr="00BA1B01" w:rsidRDefault="006E3EC8" w:rsidP="006E3EC8">
            <w:pPr>
              <w:pStyle w:val="Body"/>
              <w:rPr>
                <w:rFonts w:ascii="Arial" w:eastAsia="Calibri" w:hAnsi="Arial" w:cs="Arial"/>
                <w:szCs w:val="22"/>
              </w:rPr>
            </w:pPr>
            <w:r w:rsidRPr="006E3EC8">
              <w:rPr>
                <w:rFonts w:ascii="Arial" w:eastAsiaTheme="minorHAnsi" w:hAnsi="Arial" w:cs="Arial"/>
                <w:sz w:val="22"/>
                <w:szCs w:val="22"/>
              </w:rPr>
              <w:t xml:space="preserve"> </w:t>
            </w:r>
            <w:r w:rsidRPr="006E3EC8">
              <w:rPr>
                <w:rFonts w:ascii="Arial" w:eastAsia="Calibri" w:hAnsi="Arial" w:cs="Arial"/>
                <w:szCs w:val="22"/>
              </w:rPr>
              <w:t>This study investigates the solonetz soil type of Eastern Georgia, characterized by a pH of 6.42, moisture content of 12%, Salinity -0.8</w:t>
            </w:r>
            <w:proofErr w:type="gramStart"/>
            <w:r w:rsidRPr="006E3EC8">
              <w:rPr>
                <w:rFonts w:ascii="Arial" w:eastAsia="Calibri" w:hAnsi="Arial" w:cs="Arial"/>
                <w:szCs w:val="22"/>
              </w:rPr>
              <w:t>% ,</w:t>
            </w:r>
            <w:proofErr w:type="gramEnd"/>
            <w:r w:rsidRPr="006E3EC8">
              <w:rPr>
                <w:rFonts w:ascii="Arial" w:eastAsia="Calibri" w:hAnsi="Arial" w:cs="Arial"/>
                <w:szCs w:val="22"/>
              </w:rPr>
              <w:t xml:space="preserve"> and a </w:t>
            </w:r>
            <w:proofErr w:type="spellStart"/>
            <w:r w:rsidRPr="006E3EC8">
              <w:rPr>
                <w:rFonts w:ascii="Arial" w:eastAsia="Calibri" w:hAnsi="Arial" w:cs="Arial"/>
                <w:szCs w:val="22"/>
              </w:rPr>
              <w:t>hydrolyzable</w:t>
            </w:r>
            <w:proofErr w:type="spellEnd"/>
            <w:r w:rsidRPr="006E3EC8">
              <w:rPr>
                <w:rFonts w:ascii="Arial" w:eastAsia="Calibri" w:hAnsi="Arial" w:cs="Arial"/>
                <w:szCs w:val="22"/>
              </w:rPr>
              <w:t xml:space="preserve"> nitrogen content of 5.2 mg per 100 g of soil. The study determined the population and genera composition of free-living nitrogen-fixing bacteria per gram of dry soil: </w:t>
            </w:r>
            <w:proofErr w:type="spellStart"/>
            <w:r w:rsidRPr="006E3EC8">
              <w:rPr>
                <w:rFonts w:ascii="Arial" w:eastAsia="Calibri" w:hAnsi="Arial" w:cs="Arial"/>
                <w:szCs w:val="22"/>
              </w:rPr>
              <w:t>Azotobacter</w:t>
            </w:r>
            <w:proofErr w:type="spellEnd"/>
            <w:r w:rsidRPr="006E3EC8">
              <w:rPr>
                <w:rFonts w:ascii="Arial" w:eastAsia="Calibri" w:hAnsi="Arial" w:cs="Arial"/>
                <w:szCs w:val="22"/>
              </w:rPr>
              <w:t xml:space="preserve"> (865,155; 22.27%), </w:t>
            </w:r>
            <w:proofErr w:type="spellStart"/>
            <w:r w:rsidRPr="006E3EC8">
              <w:rPr>
                <w:rFonts w:ascii="Arial" w:eastAsia="Calibri" w:hAnsi="Arial" w:cs="Arial"/>
                <w:szCs w:val="22"/>
              </w:rPr>
              <w:t>Beijerinckia</w:t>
            </w:r>
            <w:proofErr w:type="spellEnd"/>
            <w:r w:rsidRPr="006E3EC8">
              <w:rPr>
                <w:rFonts w:ascii="Arial" w:eastAsia="Calibri" w:hAnsi="Arial" w:cs="Arial"/>
                <w:szCs w:val="22"/>
              </w:rPr>
              <w:t xml:space="preserve"> (275,167; 7.08%),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(2,678,150; 68.94%), and </w:t>
            </w:r>
            <w:proofErr w:type="spellStart"/>
            <w:r w:rsidRPr="006E3EC8">
              <w:rPr>
                <w:rFonts w:ascii="Arial" w:eastAsia="Calibri" w:hAnsi="Arial" w:cs="Arial"/>
                <w:szCs w:val="22"/>
              </w:rPr>
              <w:t>Derxia</w:t>
            </w:r>
            <w:proofErr w:type="spellEnd"/>
            <w:r w:rsidRPr="006E3EC8">
              <w:rPr>
                <w:rFonts w:ascii="Arial" w:eastAsia="Calibri" w:hAnsi="Arial" w:cs="Arial"/>
                <w:szCs w:val="22"/>
              </w:rPr>
              <w:t xml:space="preserve"> (65,750; 1.69%).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was found to dominate, which correlates with low </w:t>
            </w:r>
            <w:proofErr w:type="spellStart"/>
            <w:r w:rsidRPr="006E3EC8">
              <w:rPr>
                <w:rFonts w:ascii="Arial" w:eastAsia="Calibri" w:hAnsi="Arial" w:cs="Arial"/>
                <w:szCs w:val="22"/>
              </w:rPr>
              <w:t>hydrolyzable</w:t>
            </w:r>
            <w:proofErr w:type="spellEnd"/>
            <w:r w:rsidRPr="006E3EC8">
              <w:rPr>
                <w:rFonts w:ascii="Arial" w:eastAsia="Calibri" w:hAnsi="Arial" w:cs="Arial"/>
                <w:szCs w:val="22"/>
              </w:rPr>
              <w:t xml:space="preserve"> nitrogen levels. The results suggest a probable link between the concentration of easily </w:t>
            </w:r>
            <w:proofErr w:type="spellStart"/>
            <w:r w:rsidRPr="006E3EC8">
              <w:rPr>
                <w:rFonts w:ascii="Arial" w:eastAsia="Calibri" w:hAnsi="Arial" w:cs="Arial"/>
                <w:szCs w:val="22"/>
              </w:rPr>
              <w:t>hydrolyzable</w:t>
            </w:r>
            <w:proofErr w:type="spellEnd"/>
            <w:r w:rsidRPr="006E3EC8">
              <w:rPr>
                <w:rFonts w:ascii="Arial" w:eastAsia="Calibri" w:hAnsi="Arial" w:cs="Arial"/>
                <w:szCs w:val="22"/>
              </w:rPr>
              <w:t xml:space="preserve"> nitrogen in soil and the distribution of nitrogen-fixing bacteria.</w:t>
            </w:r>
          </w:p>
        </w:tc>
      </w:tr>
    </w:tbl>
    <w:p w14:paraId="12543538" w14:textId="77777777" w:rsidR="00636EB2" w:rsidRDefault="00636EB2" w:rsidP="00441B6F">
      <w:pPr>
        <w:pStyle w:val="Body"/>
        <w:spacing w:after="0"/>
        <w:rPr>
          <w:rFonts w:ascii="Arial" w:hAnsi="Arial" w:cs="Arial"/>
          <w:i/>
        </w:rPr>
      </w:pPr>
    </w:p>
    <w:p w14:paraId="438A5F57" w14:textId="77777777" w:rsidR="00A24E7E" w:rsidRDefault="006E3EC8" w:rsidP="00441B6F">
      <w:pPr>
        <w:pStyle w:val="Body"/>
        <w:spacing w:after="0"/>
        <w:rPr>
          <w:rFonts w:ascii="Arial" w:hAnsi="Arial" w:cs="Arial"/>
          <w:i/>
        </w:rPr>
      </w:pPr>
      <w:r>
        <w:rPr>
          <w:rFonts w:ascii="Arial" w:hAnsi="Arial" w:cs="Arial"/>
          <w:i/>
        </w:rPr>
        <w:t xml:space="preserve">Keywords: </w:t>
      </w:r>
      <w:r w:rsidRPr="006E3EC8">
        <w:rPr>
          <w:rFonts w:ascii="Arial" w:hAnsi="Arial" w:cs="Arial"/>
          <w:i/>
        </w:rPr>
        <w:t>Nitrogen, Soil, Solonetz, Qualitative, Quantitative</w:t>
      </w:r>
      <w:r>
        <w:rPr>
          <w:rFonts w:ascii="Arial" w:hAnsi="Arial" w:cs="Arial"/>
          <w:i/>
        </w:rPr>
        <w:t>.</w:t>
      </w:r>
    </w:p>
    <w:p w14:paraId="2E7856B6" w14:textId="77777777" w:rsidR="00505F06" w:rsidRPr="00A24E7E" w:rsidRDefault="00505F06" w:rsidP="00441B6F">
      <w:pPr>
        <w:pStyle w:val="Body"/>
        <w:spacing w:after="0"/>
        <w:rPr>
          <w:rFonts w:ascii="Arial" w:hAnsi="Arial" w:cs="Arial"/>
          <w:i/>
        </w:rPr>
      </w:pPr>
    </w:p>
    <w:p w14:paraId="59A3503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94A4957" w14:textId="77777777" w:rsidR="00790ADA" w:rsidRPr="00FB3A86" w:rsidRDefault="00790ADA" w:rsidP="00441B6F">
      <w:pPr>
        <w:pStyle w:val="AbstHead"/>
        <w:spacing w:after="0"/>
        <w:jc w:val="both"/>
        <w:rPr>
          <w:rFonts w:ascii="Arial" w:hAnsi="Arial" w:cs="Arial"/>
        </w:rPr>
      </w:pPr>
    </w:p>
    <w:p w14:paraId="61EC813E" w14:textId="77777777" w:rsidR="006E3EC8" w:rsidRPr="006E3EC8" w:rsidRDefault="006E3EC8" w:rsidP="006E3EC8">
      <w:pPr>
        <w:pStyle w:val="Body"/>
        <w:rPr>
          <w:rFonts w:ascii="Arial" w:eastAsia="Calibri" w:hAnsi="Arial" w:cs="Arial"/>
          <w:szCs w:val="22"/>
        </w:rPr>
      </w:pPr>
      <w:r>
        <w:rPr>
          <w:rFonts w:ascii="Arial" w:hAnsi="Arial" w:cs="Arial"/>
        </w:rPr>
        <w:t xml:space="preserve"> </w:t>
      </w:r>
      <w:r w:rsidRPr="006E3EC8">
        <w:rPr>
          <w:rFonts w:ascii="Arial" w:eastAsia="Calibri" w:hAnsi="Arial" w:cs="Arial"/>
          <w:szCs w:val="22"/>
        </w:rPr>
        <w:t>Soil nitrogen (N) dynamics are central to global agricultural productivity and environmental sustainability. Over the past several decades, human interventions—particularly the application of synthetic and mineral nitrogen fertilizers—have dramatically altered the global nitrogen cycle (Galloway et al., 2003; Refsgaard et al., 1998). While these inputs have contributed to enhanced crop yields and food security, they have also led to a cascade of ecological consequences, including nitrate leaching, eutrophication, and increased emissions of nitrous oxide (N2O), a potent greenhouse gas (Erisman et al., 2008; Sutton et al., 2011). Recognizing the unsustainability of current fertilization practices, the scientific community is increasingly turning to alternative, biologically based approaches for enhancing soil nitrogen status, with particular interest in the ecological roles of free-living nitrogen-fixing microorganisms (</w:t>
      </w:r>
      <w:proofErr w:type="spellStart"/>
      <w:r w:rsidRPr="006E3EC8">
        <w:rPr>
          <w:rFonts w:ascii="Arial" w:eastAsia="Calibri" w:hAnsi="Arial" w:cs="Arial"/>
          <w:szCs w:val="22"/>
        </w:rPr>
        <w:t>Vitousek</w:t>
      </w:r>
      <w:proofErr w:type="spellEnd"/>
      <w:r w:rsidRPr="006E3EC8">
        <w:rPr>
          <w:rFonts w:ascii="Arial" w:eastAsia="Calibri" w:hAnsi="Arial" w:cs="Arial"/>
          <w:szCs w:val="22"/>
        </w:rPr>
        <w:t xml:space="preserve"> et al., 2013).</w:t>
      </w:r>
    </w:p>
    <w:p w14:paraId="49272447"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Among biological nitrogen inputs, free-living diazotrophic bacteria represent a critical, yet underutilized, reservoir of nitrogen for terrestrial ecosystems. Unlike their symbiotic counterparts, which form intimate relationships with leguminous hosts, free-living diazotrophs can fix atmospheric nitrogen independently, colonizing a wide range of soil environments, including those considered marginal or degraded (Kennedy &amp; Islam, 2001; Zehr &amp; Turner, 2001). Notable genera in this group include </w:t>
      </w:r>
      <w:proofErr w:type="spellStart"/>
      <w:r w:rsidRPr="006E3EC8">
        <w:rPr>
          <w:rFonts w:ascii="Arial" w:eastAsia="Calibri" w:hAnsi="Arial" w:cs="Arial"/>
          <w:szCs w:val="22"/>
        </w:rPr>
        <w:t>Azotobacter</w:t>
      </w:r>
      <w:proofErr w:type="spellEnd"/>
      <w:r w:rsidRPr="006E3EC8">
        <w:rPr>
          <w:rFonts w:ascii="Arial" w:eastAsia="Calibri" w:hAnsi="Arial" w:cs="Arial"/>
          <w:szCs w:val="22"/>
        </w:rPr>
        <w:t xml:space="preserve">,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and </w:t>
      </w:r>
      <w:proofErr w:type="spellStart"/>
      <w:r w:rsidRPr="006E3EC8">
        <w:rPr>
          <w:rFonts w:ascii="Arial" w:eastAsia="Calibri" w:hAnsi="Arial" w:cs="Arial"/>
          <w:szCs w:val="22"/>
        </w:rPr>
        <w:t>Beijerinckia</w:t>
      </w:r>
      <w:proofErr w:type="spellEnd"/>
      <w:r w:rsidRPr="006E3EC8">
        <w:rPr>
          <w:rFonts w:ascii="Arial" w:eastAsia="Calibri" w:hAnsi="Arial" w:cs="Arial"/>
          <w:szCs w:val="22"/>
        </w:rPr>
        <w:t xml:space="preserve">, each exhibiting distinct physiological and ecological traits that enable them to survive and function across diverse edaphic conditions (Bashan &amp; Holguin, 1997; </w:t>
      </w:r>
      <w:proofErr w:type="spellStart"/>
      <w:r w:rsidRPr="006E3EC8">
        <w:rPr>
          <w:rFonts w:ascii="Arial" w:eastAsia="Calibri" w:hAnsi="Arial" w:cs="Arial"/>
          <w:szCs w:val="22"/>
        </w:rPr>
        <w:t>Steenhoudt</w:t>
      </w:r>
      <w:proofErr w:type="spellEnd"/>
      <w:r w:rsidRPr="006E3EC8">
        <w:rPr>
          <w:rFonts w:ascii="Arial" w:eastAsia="Calibri" w:hAnsi="Arial" w:cs="Arial"/>
          <w:szCs w:val="22"/>
        </w:rPr>
        <w:t xml:space="preserve"> &amp; </w:t>
      </w:r>
      <w:proofErr w:type="spellStart"/>
      <w:r w:rsidRPr="006E3EC8">
        <w:rPr>
          <w:rFonts w:ascii="Arial" w:eastAsia="Calibri" w:hAnsi="Arial" w:cs="Arial"/>
          <w:szCs w:val="22"/>
        </w:rPr>
        <w:t>Vanderleyden</w:t>
      </w:r>
      <w:proofErr w:type="spellEnd"/>
      <w:r w:rsidRPr="006E3EC8">
        <w:rPr>
          <w:rFonts w:ascii="Arial" w:eastAsia="Calibri" w:hAnsi="Arial" w:cs="Arial"/>
          <w:szCs w:val="22"/>
        </w:rPr>
        <w:t>, 2000).</w:t>
      </w:r>
    </w:p>
    <w:p w14:paraId="7DA7A230"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Azotobacter species, for example, are obligate aerobes known for their high respiratory rates, which help maintain intracellular anaerobic conditions suitable for nitrogenase activity despite the presence of oxygen (Thompson et al., 2004). Their production of extracellular polysaccharides also provides resilience under drought and desiccation, enhancing survival in semi-arid and alkaline environments (Arun &amp; Singh, 2004).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spp., on the other hand, are microaerophilic and often associate with the rhizosphere of cereals and grasses, where they contribute not only to nitrogen fixation but also to plant growth through phytohormone production, particularly indole-3-acetic acid (IAA) (Dobbelaere et al., 2003; </w:t>
      </w:r>
      <w:proofErr w:type="spellStart"/>
      <w:r w:rsidRPr="006E3EC8">
        <w:rPr>
          <w:rFonts w:ascii="Arial" w:eastAsia="Calibri" w:hAnsi="Arial" w:cs="Arial"/>
          <w:szCs w:val="22"/>
        </w:rPr>
        <w:t>Okon</w:t>
      </w:r>
      <w:proofErr w:type="spellEnd"/>
      <w:r w:rsidRPr="006E3EC8">
        <w:rPr>
          <w:rFonts w:ascii="Arial" w:eastAsia="Calibri" w:hAnsi="Arial" w:cs="Arial"/>
          <w:szCs w:val="22"/>
        </w:rPr>
        <w:t xml:space="preserve"> &amp; </w:t>
      </w:r>
      <w:proofErr w:type="spellStart"/>
      <w:r w:rsidRPr="006E3EC8">
        <w:rPr>
          <w:rFonts w:ascii="Arial" w:eastAsia="Calibri" w:hAnsi="Arial" w:cs="Arial"/>
          <w:szCs w:val="22"/>
        </w:rPr>
        <w:t>Labandera</w:t>
      </w:r>
      <w:proofErr w:type="spellEnd"/>
      <w:r w:rsidRPr="006E3EC8">
        <w:rPr>
          <w:rFonts w:ascii="Arial" w:eastAsia="Calibri" w:hAnsi="Arial" w:cs="Arial"/>
          <w:szCs w:val="22"/>
        </w:rPr>
        <w:t xml:space="preserve">-Gonzalez, 1994). </w:t>
      </w:r>
      <w:proofErr w:type="spellStart"/>
      <w:r w:rsidRPr="006E3EC8">
        <w:rPr>
          <w:rFonts w:ascii="Arial" w:eastAsia="Calibri" w:hAnsi="Arial" w:cs="Arial"/>
          <w:szCs w:val="22"/>
        </w:rPr>
        <w:t>Beijerinckia</w:t>
      </w:r>
      <w:proofErr w:type="spellEnd"/>
      <w:r w:rsidRPr="006E3EC8">
        <w:rPr>
          <w:rFonts w:ascii="Arial" w:eastAsia="Calibri" w:hAnsi="Arial" w:cs="Arial"/>
          <w:szCs w:val="22"/>
        </w:rPr>
        <w:t xml:space="preserve"> spp. are typically found in acidic or oligotrophic soils, where their nitrogenase activity and acid tolerance make them valuable in soil restoration initiatives (Reinhold-</w:t>
      </w:r>
      <w:proofErr w:type="spellStart"/>
      <w:r w:rsidRPr="006E3EC8">
        <w:rPr>
          <w:rFonts w:ascii="Arial" w:eastAsia="Calibri" w:hAnsi="Arial" w:cs="Arial"/>
          <w:szCs w:val="22"/>
        </w:rPr>
        <w:t>Hurek</w:t>
      </w:r>
      <w:proofErr w:type="spellEnd"/>
      <w:r w:rsidRPr="006E3EC8">
        <w:rPr>
          <w:rFonts w:ascii="Arial" w:eastAsia="Calibri" w:hAnsi="Arial" w:cs="Arial"/>
          <w:szCs w:val="22"/>
        </w:rPr>
        <w:t xml:space="preserve"> &amp; </w:t>
      </w:r>
      <w:proofErr w:type="spellStart"/>
      <w:r w:rsidRPr="006E3EC8">
        <w:rPr>
          <w:rFonts w:ascii="Arial" w:eastAsia="Calibri" w:hAnsi="Arial" w:cs="Arial"/>
          <w:szCs w:val="22"/>
        </w:rPr>
        <w:t>Hurek</w:t>
      </w:r>
      <w:proofErr w:type="spellEnd"/>
      <w:r w:rsidRPr="006E3EC8">
        <w:rPr>
          <w:rFonts w:ascii="Arial" w:eastAsia="Calibri" w:hAnsi="Arial" w:cs="Arial"/>
          <w:szCs w:val="22"/>
        </w:rPr>
        <w:t>, 2000).</w:t>
      </w:r>
    </w:p>
    <w:p w14:paraId="230608F2"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The significance of these genera is especially pronounced in saline-alkaline soils, such as solonetz, which present unique challenges to plant and microbial life due to their high pH, elevated sodium content, and poor physical structure (FAO, 2006; Szabolcs, 1989). These soils are common in arid and semi-arid regions and are often characterized by poor fertility </w:t>
      </w:r>
      <w:r w:rsidRPr="006E3EC8">
        <w:rPr>
          <w:rFonts w:ascii="Arial" w:eastAsia="Calibri" w:hAnsi="Arial" w:cs="Arial"/>
          <w:szCs w:val="22"/>
        </w:rPr>
        <w:lastRenderedPageBreak/>
        <w:t>and low organic matter content—factors that limit the success of conventional agriculture and reduce the efficacy of chemical fertilization (Eswaran et al., 1997; Qadir et al., 2006). Consequently, biological nitrogen fixation via resilient microbial communities may represent one of the most viable pathways for restoring and sustainably managing solonetz soils.</w:t>
      </w:r>
    </w:p>
    <w:p w14:paraId="3991E8FB"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Despite their inhospitable conditions, solonetz soils can support diazotrophic microbial communities, although with reduced diversity and activity compared to more fertile soils (Malaquias et al., 2015; </w:t>
      </w:r>
      <w:proofErr w:type="spellStart"/>
      <w:r w:rsidRPr="006E3EC8">
        <w:rPr>
          <w:rFonts w:ascii="Arial" w:eastAsia="Calibri" w:hAnsi="Arial" w:cs="Arial"/>
          <w:szCs w:val="22"/>
        </w:rPr>
        <w:t>Rousk</w:t>
      </w:r>
      <w:proofErr w:type="spellEnd"/>
      <w:r w:rsidRPr="006E3EC8">
        <w:rPr>
          <w:rFonts w:ascii="Arial" w:eastAsia="Calibri" w:hAnsi="Arial" w:cs="Arial"/>
          <w:szCs w:val="22"/>
        </w:rPr>
        <w:t xml:space="preserve"> et al., 2010). The persistence of Azotobacter in these environments has been attributed to its halotolerance and ability to form protective cysts, which shield cells from osmotic stress and desiccation (Bashan, 1998). Similarly, strains of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isolated from saline soils often exhibit physiological adaptations such as compatible solute accumulation and modifications to membrane fluidity, enhancing their survival and metabolic function under high-salinity stress (Rodriguez-Navarro et al., 2007). </w:t>
      </w:r>
      <w:proofErr w:type="spellStart"/>
      <w:r w:rsidRPr="006E3EC8">
        <w:rPr>
          <w:rFonts w:ascii="Arial" w:eastAsia="Calibri" w:hAnsi="Arial" w:cs="Arial"/>
          <w:szCs w:val="22"/>
        </w:rPr>
        <w:t>Beijerinckia</w:t>
      </w:r>
      <w:proofErr w:type="spellEnd"/>
      <w:r w:rsidRPr="006E3EC8">
        <w:rPr>
          <w:rFonts w:ascii="Arial" w:eastAsia="Calibri" w:hAnsi="Arial" w:cs="Arial"/>
          <w:szCs w:val="22"/>
        </w:rPr>
        <w:t>, while traditionally associated with acidic soils, has also been isolated from neutral to alkaline environments, suggesting a broader ecological amplitude than previously assumed (Martinez-Romero et al., 2001).</w:t>
      </w:r>
    </w:p>
    <w:p w14:paraId="2DA3C073"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The ecological performance of these bacteria in saline-alkaline soils depends on a range of factors, including soil pH, electrical conductivity (EC), organic matter availability, and plant-microbe interactions (Rietz &amp; Haynes, 2003; Vessey, 2003). Soil salinity, in particular, poses a major constraint to microbial activity, often disrupting membrane potential and enzyme function (Ventosa &amp; Nieto, 1995). However, the presence of organic substrates can mitigate these effects by providing energy sources that support microbial respiration and growth. In this context, the addition of organic amendments—such as compost, manure, or green manures—has been shown to stimulate diazotrophic activity, even in saline conditions (Peoples &amp; </w:t>
      </w:r>
      <w:proofErr w:type="spellStart"/>
      <w:r w:rsidRPr="006E3EC8">
        <w:rPr>
          <w:rFonts w:ascii="Arial" w:eastAsia="Calibri" w:hAnsi="Arial" w:cs="Arial"/>
          <w:szCs w:val="22"/>
        </w:rPr>
        <w:t>Craswell</w:t>
      </w:r>
      <w:proofErr w:type="spellEnd"/>
      <w:r w:rsidRPr="006E3EC8">
        <w:rPr>
          <w:rFonts w:ascii="Arial" w:eastAsia="Calibri" w:hAnsi="Arial" w:cs="Arial"/>
          <w:szCs w:val="22"/>
        </w:rPr>
        <w:t>, 1992; Kennedy et al., 2004).</w:t>
      </w:r>
    </w:p>
    <w:p w14:paraId="7E1AB864"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Plant roots also play a central role in shaping microbial communities, especially in stress-prone soils. Through the release of root exudates, plants can selectively enrich for beneficial microorganisms, including nitrogen-fixing bacteria, in the rhizosphere and rhizoplane (Badri &amp; Vivanco, 2009; Mendes et al., 2013). This interaction is particularly important in solonetz soils, where the presence of salt-tolerant vegetation can create microhabitats that buffer against salinity and promote microbial colonization. Studies have shown that certain halophytes and salt-tolerant grasses harbor diverse diazotrophic communities, with implications for revegetation and land reclamation efforts (Mapelli et al., 2013).</w:t>
      </w:r>
    </w:p>
    <w:p w14:paraId="6220D281"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The distribution and abundance of diazotrophic bacteria in saline and alkaline soils also exhibit spatial and temporal variability. Vertical gradients in microbial community composition are often observed, with higher microbial densities and activity in surface layers where root exudates and organic residues are more concentrated (Fierer et al., 2003; Xu et al., 2014). Seasonal fluctuations in temperature and moisture further influence microbial dynamics, often reducing activity during hot, dry periods and promoting growth during cooler, wetter seasons (Bell et al., 2009). These factors must be considered when evaluating the potential of nitrogen-fixing bacteria to contribute to soil fertility in solonetz environments.</w:t>
      </w:r>
    </w:p>
    <w:p w14:paraId="20389A92"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Although the agronomic benefits of inoculating crops with </w:t>
      </w:r>
      <w:proofErr w:type="spellStart"/>
      <w:r w:rsidRPr="006E3EC8">
        <w:rPr>
          <w:rFonts w:ascii="Arial" w:eastAsia="Calibri" w:hAnsi="Arial" w:cs="Arial"/>
          <w:szCs w:val="22"/>
        </w:rPr>
        <w:t>Azotobacter</w:t>
      </w:r>
      <w:proofErr w:type="spellEnd"/>
      <w:r w:rsidRPr="006E3EC8">
        <w:rPr>
          <w:rFonts w:ascii="Arial" w:eastAsia="Calibri" w:hAnsi="Arial" w:cs="Arial"/>
          <w:szCs w:val="22"/>
        </w:rPr>
        <w:t xml:space="preserve"> and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are well documented in conventional systems, their use in saline-alkaline soils remains limited and context-dependent. Field trials have demonstrated variable outcomes, influenced by local soil conditions, microbial compatibility, and crop species (</w:t>
      </w:r>
      <w:proofErr w:type="spellStart"/>
      <w:r w:rsidRPr="006E3EC8">
        <w:rPr>
          <w:rFonts w:ascii="Arial" w:eastAsia="Calibri" w:hAnsi="Arial" w:cs="Arial"/>
          <w:szCs w:val="22"/>
        </w:rPr>
        <w:t>Boddey</w:t>
      </w:r>
      <w:proofErr w:type="spellEnd"/>
      <w:r w:rsidRPr="006E3EC8">
        <w:rPr>
          <w:rFonts w:ascii="Arial" w:eastAsia="Calibri" w:hAnsi="Arial" w:cs="Arial"/>
          <w:szCs w:val="22"/>
        </w:rPr>
        <w:t xml:space="preserve"> et al., 2003; Bhardwaj et al., 2014). Nonetheless, integrated approaches that combine microbial inoculation with organic amendments and salt-tolerant crop varieties hold promise for enhancing nitrogen inputs and improving soil health in degraded lands.</w:t>
      </w:r>
    </w:p>
    <w:p w14:paraId="368EA89C" w14:textId="77777777" w:rsidR="006E3EC8" w:rsidRPr="006E3EC8" w:rsidRDefault="006E3EC8" w:rsidP="006E3EC8">
      <w:pPr>
        <w:pStyle w:val="Body"/>
        <w:rPr>
          <w:rFonts w:ascii="Arial" w:eastAsia="Calibri" w:hAnsi="Arial" w:cs="Arial"/>
          <w:szCs w:val="22"/>
        </w:rPr>
      </w:pPr>
      <w:r w:rsidRPr="006E3EC8">
        <w:rPr>
          <w:rFonts w:ascii="Arial" w:eastAsia="Calibri" w:hAnsi="Arial" w:cs="Arial"/>
          <w:szCs w:val="22"/>
        </w:rPr>
        <w:t xml:space="preserve">In this context, the exploration of free-living diazotrophs in solonetz soils is not only of theoretical interest but also of practical relevance. Understanding the ecological strategies that enable these microbes to persist and function under extreme conditions can inform the development of bio-based soil management practices tailored to saline-alkaline environments. Such knowledge is essential for advancing sustainable agriculture, particularly in regions where chemical inputs are economically or environmentally unfeasible. The current study aims to address this need by investigating the abundance, diversity, and ecological roles of nitrogen-fixing bacteria—especially </w:t>
      </w:r>
      <w:proofErr w:type="spellStart"/>
      <w:r w:rsidRPr="006E3EC8">
        <w:rPr>
          <w:rFonts w:ascii="Arial" w:eastAsia="Calibri" w:hAnsi="Arial" w:cs="Arial"/>
          <w:szCs w:val="22"/>
        </w:rPr>
        <w:t>Azotobacter</w:t>
      </w:r>
      <w:proofErr w:type="spellEnd"/>
      <w:r w:rsidRPr="006E3EC8">
        <w:rPr>
          <w:rFonts w:ascii="Arial" w:eastAsia="Calibri" w:hAnsi="Arial" w:cs="Arial"/>
          <w:szCs w:val="22"/>
        </w:rPr>
        <w:t xml:space="preserve">, </w:t>
      </w:r>
      <w:proofErr w:type="spellStart"/>
      <w:r w:rsidRPr="006E3EC8">
        <w:rPr>
          <w:rFonts w:ascii="Arial" w:eastAsia="Calibri" w:hAnsi="Arial" w:cs="Arial"/>
          <w:szCs w:val="22"/>
        </w:rPr>
        <w:t>Azospirillum</w:t>
      </w:r>
      <w:proofErr w:type="spellEnd"/>
      <w:r w:rsidRPr="006E3EC8">
        <w:rPr>
          <w:rFonts w:ascii="Arial" w:eastAsia="Calibri" w:hAnsi="Arial" w:cs="Arial"/>
          <w:szCs w:val="22"/>
        </w:rPr>
        <w:t xml:space="preserve">, and </w:t>
      </w:r>
      <w:proofErr w:type="spellStart"/>
      <w:r w:rsidRPr="006E3EC8">
        <w:rPr>
          <w:rFonts w:ascii="Arial" w:eastAsia="Calibri" w:hAnsi="Arial" w:cs="Arial"/>
          <w:szCs w:val="22"/>
        </w:rPr>
        <w:t>Beijerinckia</w:t>
      </w:r>
      <w:proofErr w:type="spellEnd"/>
      <w:r w:rsidRPr="006E3EC8">
        <w:rPr>
          <w:rFonts w:ascii="Arial" w:eastAsia="Calibri" w:hAnsi="Arial" w:cs="Arial"/>
          <w:szCs w:val="22"/>
        </w:rPr>
        <w:t>—in nitrogen-deficient solonetz soils. Through this work, we seek to contribute to the broader effort of reducing reliance on synthetic fertilizers while promoting biologically mediated soil fertility restoration.</w:t>
      </w:r>
    </w:p>
    <w:p w14:paraId="19E72CC9" w14:textId="77777777" w:rsidR="00B01FCD" w:rsidRDefault="00B01FCD" w:rsidP="006E3EC8">
      <w:pPr>
        <w:pStyle w:val="Body"/>
        <w:spacing w:after="0"/>
        <w:rPr>
          <w:rFonts w:ascii="Arial" w:hAnsi="Arial" w:cs="Arial"/>
        </w:rPr>
      </w:pPr>
    </w:p>
    <w:p w14:paraId="54ADD2C4" w14:textId="77777777" w:rsidR="00790ADA" w:rsidRPr="00FB3A86" w:rsidRDefault="00790ADA" w:rsidP="00441B6F">
      <w:pPr>
        <w:pStyle w:val="Body"/>
        <w:spacing w:after="0"/>
        <w:rPr>
          <w:rFonts w:ascii="Arial" w:hAnsi="Arial" w:cs="Arial"/>
        </w:rPr>
      </w:pPr>
    </w:p>
    <w:p w14:paraId="2B7B8870" w14:textId="087C45CB"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D2E055B" w14:textId="77777777" w:rsidR="0005530D" w:rsidRDefault="0005530D" w:rsidP="0005530D">
      <w:pPr>
        <w:pStyle w:val="Body"/>
        <w:rPr>
          <w:rFonts w:ascii="Arial" w:hAnsi="Arial" w:cs="Arial"/>
        </w:rPr>
      </w:pPr>
      <w:r w:rsidRPr="0005530D">
        <w:rPr>
          <w:rFonts w:ascii="Arial" w:hAnsi="Arial" w:cs="Arial"/>
        </w:rPr>
        <w:t>Soil samples from the solonetz soil type of Eastern Georgia were collected using the envelope method. Soil moisture, salinity, and pH were measured using a pH meter (Ohaus Starter 2100). The enumeration of bacteria was carried out using the serial dilution method, with results calculated per gram of dry soil (Lomtatidze and Kotia 2018).</w:t>
      </w:r>
    </w:p>
    <w:p w14:paraId="299057A4" w14:textId="77777777" w:rsidR="0005530D" w:rsidRPr="0005530D" w:rsidRDefault="0005530D" w:rsidP="0005530D">
      <w:pPr>
        <w:pStyle w:val="Body"/>
        <w:rPr>
          <w:rFonts w:ascii="Arial" w:hAnsi="Arial" w:cs="Arial"/>
        </w:rPr>
      </w:pPr>
      <w:r>
        <w:rPr>
          <w:rFonts w:ascii="Arial" w:hAnsi="Arial" w:cs="Arial"/>
        </w:rPr>
        <w:lastRenderedPageBreak/>
        <w:t xml:space="preserve">**Determination of </w:t>
      </w:r>
      <w:proofErr w:type="spellStart"/>
      <w:r w:rsidRPr="0005530D">
        <w:rPr>
          <w:rFonts w:ascii="Arial" w:hAnsi="Arial" w:cs="Arial"/>
        </w:rPr>
        <w:t>Hydrolyzable</w:t>
      </w:r>
      <w:proofErr w:type="spellEnd"/>
      <w:r w:rsidRPr="0005530D">
        <w:rPr>
          <w:rFonts w:ascii="Arial" w:hAnsi="Arial" w:cs="Arial"/>
        </w:rPr>
        <w:t xml:space="preserve"> Nitrogen**</w:t>
      </w:r>
      <w:r w:rsidRPr="0005530D">
        <w:rPr>
          <w:rFonts w:ascii="Arial" w:hAnsi="Arial" w:cs="Arial"/>
        </w:rPr>
        <w:br/>
        <w:t xml:space="preserve">Easily </w:t>
      </w:r>
      <w:proofErr w:type="spellStart"/>
      <w:r w:rsidRPr="0005530D">
        <w:rPr>
          <w:rFonts w:ascii="Arial" w:hAnsi="Arial" w:cs="Arial"/>
        </w:rPr>
        <w:t>hydrolyzable</w:t>
      </w:r>
      <w:proofErr w:type="spellEnd"/>
      <w:r w:rsidRPr="0005530D">
        <w:rPr>
          <w:rFonts w:ascii="Arial" w:hAnsi="Arial" w:cs="Arial"/>
        </w:rPr>
        <w:t xml:space="preserve"> nitrogen was measured using the Tyurin and Kononova method.</w:t>
      </w:r>
    </w:p>
    <w:p w14:paraId="217EF16B" w14:textId="77777777" w:rsidR="0005530D" w:rsidRDefault="0005530D" w:rsidP="0005530D">
      <w:pPr>
        <w:pStyle w:val="Body"/>
        <w:rPr>
          <w:rFonts w:ascii="Arial" w:hAnsi="Arial" w:cs="Arial"/>
        </w:rPr>
      </w:pPr>
      <w:r w:rsidRPr="0005530D">
        <w:rPr>
          <w:rFonts w:ascii="Arial" w:hAnsi="Arial" w:cs="Arial"/>
        </w:rPr>
        <w:t>**Bacterial Identification**</w:t>
      </w:r>
      <w:r w:rsidRPr="0005530D">
        <w:rPr>
          <w:rFonts w:ascii="Arial" w:hAnsi="Arial" w:cs="Arial"/>
        </w:rPr>
        <w:br/>
        <w:t>Microbiological methods commonly accepted in the field were employed for bacterial identification.</w:t>
      </w:r>
    </w:p>
    <w:p w14:paraId="1E004A40" w14:textId="77777777" w:rsidR="0005530D" w:rsidRPr="0005530D" w:rsidRDefault="0005530D" w:rsidP="0005530D">
      <w:pPr>
        <w:pStyle w:val="Body"/>
        <w:rPr>
          <w:rFonts w:ascii="Arial" w:hAnsi="Arial" w:cs="Arial"/>
        </w:rPr>
      </w:pPr>
      <w:r w:rsidRPr="0005530D">
        <w:rPr>
          <w:rFonts w:ascii="Arial" w:hAnsi="Arial" w:cs="Arial"/>
        </w:rPr>
        <w:t>**Culture Media**</w:t>
      </w:r>
      <w:r w:rsidRPr="0005530D">
        <w:rPr>
          <w:rFonts w:ascii="Arial" w:hAnsi="Arial" w:cs="Arial"/>
        </w:rPr>
        <w:br/>
        <w:t>- **Ashby’s Medium**: Ingredients (g/L): Mannitol 20, K</w:t>
      </w:r>
      <w:r w:rsidRPr="0005530D">
        <w:rPr>
          <w:rFonts w:ascii="Cambria Math" w:hAnsi="Cambria Math" w:cs="Cambria Math"/>
        </w:rPr>
        <w:t>₂</w:t>
      </w:r>
      <w:r w:rsidRPr="0005530D">
        <w:rPr>
          <w:rFonts w:ascii="Arial" w:hAnsi="Arial" w:cs="Arial"/>
        </w:rPr>
        <w:t>HPO</w:t>
      </w:r>
      <w:r w:rsidRPr="0005530D">
        <w:rPr>
          <w:rFonts w:ascii="Cambria Math" w:hAnsi="Cambria Math" w:cs="Cambria Math"/>
        </w:rPr>
        <w:t>₄</w:t>
      </w:r>
      <w:r w:rsidRPr="0005530D">
        <w:rPr>
          <w:rFonts w:ascii="Arial" w:hAnsi="Arial" w:cs="Arial"/>
        </w:rPr>
        <w:t xml:space="preserve"> 0.2, </w:t>
      </w:r>
      <w:proofErr w:type="spellStart"/>
      <w:r w:rsidRPr="0005530D">
        <w:rPr>
          <w:rFonts w:ascii="Arial" w:hAnsi="Arial" w:cs="Arial"/>
        </w:rPr>
        <w:t>MgSO</w:t>
      </w:r>
      <w:proofErr w:type="spellEnd"/>
      <w:r w:rsidRPr="0005530D">
        <w:rPr>
          <w:rFonts w:ascii="Cambria Math" w:hAnsi="Cambria Math" w:cs="Cambria Math"/>
        </w:rPr>
        <w:t>₄</w:t>
      </w:r>
      <w:r w:rsidRPr="0005530D">
        <w:rPr>
          <w:rFonts w:ascii="Arial" w:hAnsi="Arial" w:cs="Arial"/>
        </w:rPr>
        <w:t xml:space="preserve"> 0.2, NaCl 0.2, K</w:t>
      </w:r>
      <w:r w:rsidRPr="0005530D">
        <w:rPr>
          <w:rFonts w:ascii="Cambria Math" w:hAnsi="Cambria Math" w:cs="Cambria Math"/>
        </w:rPr>
        <w:t>₂</w:t>
      </w:r>
      <w:r w:rsidRPr="0005530D">
        <w:rPr>
          <w:rFonts w:ascii="Arial" w:hAnsi="Arial" w:cs="Arial"/>
        </w:rPr>
        <w:t>SO</w:t>
      </w:r>
      <w:r w:rsidRPr="0005530D">
        <w:rPr>
          <w:rFonts w:ascii="Cambria Math" w:hAnsi="Cambria Math" w:cs="Cambria Math"/>
        </w:rPr>
        <w:t>₄</w:t>
      </w:r>
      <w:r w:rsidRPr="0005530D">
        <w:rPr>
          <w:rFonts w:ascii="Arial" w:hAnsi="Arial" w:cs="Arial"/>
        </w:rPr>
        <w:t xml:space="preserve"> 0.1, </w:t>
      </w:r>
      <w:proofErr w:type="spellStart"/>
      <w:r w:rsidRPr="0005530D">
        <w:rPr>
          <w:rFonts w:ascii="Arial" w:hAnsi="Arial" w:cs="Arial"/>
        </w:rPr>
        <w:t>CaCO</w:t>
      </w:r>
      <w:proofErr w:type="spellEnd"/>
      <w:r w:rsidRPr="0005530D">
        <w:rPr>
          <w:rFonts w:ascii="Cambria Math" w:hAnsi="Cambria Math" w:cs="Cambria Math"/>
        </w:rPr>
        <w:t>₃</w:t>
      </w:r>
      <w:r w:rsidRPr="0005530D">
        <w:rPr>
          <w:rFonts w:ascii="Arial" w:hAnsi="Arial" w:cs="Arial"/>
        </w:rPr>
        <w:t xml:space="preserve"> 5.0, Agar 15.0; Fi</w:t>
      </w:r>
      <w:r>
        <w:rPr>
          <w:rFonts w:ascii="Arial" w:hAnsi="Arial" w:cs="Arial"/>
        </w:rPr>
        <w:t xml:space="preserve">nal pH 7.4 ± </w:t>
      </w:r>
      <w:proofErr w:type="gramStart"/>
      <w:r>
        <w:rPr>
          <w:rFonts w:ascii="Arial" w:hAnsi="Arial" w:cs="Arial"/>
        </w:rPr>
        <w:t xml:space="preserve">0.2 </w:t>
      </w:r>
      <w:r w:rsidRPr="0005530D">
        <w:rPr>
          <w:rFonts w:ascii="Arial" w:hAnsi="Arial" w:cs="Arial"/>
        </w:rPr>
        <w:t>.</w:t>
      </w:r>
      <w:proofErr w:type="gramEnd"/>
    </w:p>
    <w:p w14:paraId="0C2D2B75" w14:textId="77777777" w:rsidR="0005530D" w:rsidRPr="0005530D" w:rsidRDefault="0005530D" w:rsidP="0005530D">
      <w:pPr>
        <w:pStyle w:val="Body"/>
        <w:rPr>
          <w:rFonts w:ascii="Arial" w:hAnsi="Arial" w:cs="Arial"/>
        </w:rPr>
      </w:pPr>
      <w:r w:rsidRPr="0005530D">
        <w:rPr>
          <w:rFonts w:ascii="Arial" w:hAnsi="Arial" w:cs="Arial"/>
        </w:rPr>
        <w:br/>
        <w:t>- **</w:t>
      </w:r>
      <w:proofErr w:type="spellStart"/>
      <w:r w:rsidRPr="0005530D">
        <w:rPr>
          <w:rFonts w:ascii="Arial" w:hAnsi="Arial" w:cs="Arial"/>
        </w:rPr>
        <w:t>Beijerinckia</w:t>
      </w:r>
      <w:proofErr w:type="spellEnd"/>
      <w:r w:rsidRPr="0005530D">
        <w:rPr>
          <w:rFonts w:ascii="Arial" w:hAnsi="Arial" w:cs="Arial"/>
        </w:rPr>
        <w:t xml:space="preserve"> Medium**: Ingredients (g/L): KH</w:t>
      </w:r>
      <w:r w:rsidRPr="0005530D">
        <w:rPr>
          <w:rFonts w:ascii="Cambria Math" w:hAnsi="Cambria Math" w:cs="Cambria Math"/>
        </w:rPr>
        <w:t>₂</w:t>
      </w:r>
      <w:r w:rsidRPr="0005530D">
        <w:rPr>
          <w:rFonts w:ascii="Arial" w:hAnsi="Arial" w:cs="Arial"/>
        </w:rPr>
        <w:t>PO</w:t>
      </w:r>
      <w:r w:rsidRPr="0005530D">
        <w:rPr>
          <w:rFonts w:ascii="Cambria Math" w:hAnsi="Cambria Math" w:cs="Cambria Math"/>
        </w:rPr>
        <w:t>₄</w:t>
      </w:r>
      <w:r w:rsidRPr="0005530D">
        <w:rPr>
          <w:rFonts w:ascii="Arial" w:hAnsi="Arial" w:cs="Arial"/>
        </w:rPr>
        <w:t xml:space="preserve"> 0.8, Sucrose 20.0, K</w:t>
      </w:r>
      <w:r w:rsidRPr="0005530D">
        <w:rPr>
          <w:rFonts w:ascii="Cambria Math" w:hAnsi="Cambria Math" w:cs="Cambria Math"/>
        </w:rPr>
        <w:t>₂</w:t>
      </w:r>
      <w:r w:rsidRPr="0005530D">
        <w:rPr>
          <w:rFonts w:ascii="Arial" w:hAnsi="Arial" w:cs="Arial"/>
        </w:rPr>
        <w:t>HPO</w:t>
      </w:r>
      <w:r w:rsidRPr="0005530D">
        <w:rPr>
          <w:rFonts w:ascii="Cambria Math" w:hAnsi="Cambria Math" w:cs="Cambria Math"/>
        </w:rPr>
        <w:t>₄</w:t>
      </w:r>
      <w:r w:rsidRPr="0005530D">
        <w:rPr>
          <w:rFonts w:ascii="Arial" w:hAnsi="Arial" w:cs="Arial"/>
        </w:rPr>
        <w:t xml:space="preserve"> 0.2, </w:t>
      </w:r>
      <w:proofErr w:type="spellStart"/>
      <w:r w:rsidRPr="0005530D">
        <w:rPr>
          <w:rFonts w:ascii="Arial" w:hAnsi="Arial" w:cs="Arial"/>
        </w:rPr>
        <w:t>MgSO</w:t>
      </w:r>
      <w:proofErr w:type="spellEnd"/>
      <w:r w:rsidRPr="0005530D">
        <w:rPr>
          <w:rFonts w:ascii="Cambria Math" w:hAnsi="Cambria Math" w:cs="Cambria Math"/>
        </w:rPr>
        <w:t>₄</w:t>
      </w:r>
      <w:r w:rsidRPr="0005530D">
        <w:rPr>
          <w:rFonts w:ascii="Arial" w:hAnsi="Arial" w:cs="Arial"/>
        </w:rPr>
        <w:t xml:space="preserve"> 0.5, </w:t>
      </w:r>
      <w:proofErr w:type="spellStart"/>
      <w:r w:rsidRPr="0005530D">
        <w:rPr>
          <w:rFonts w:ascii="Arial" w:hAnsi="Arial" w:cs="Arial"/>
        </w:rPr>
        <w:t>FeCl</w:t>
      </w:r>
      <w:proofErr w:type="spellEnd"/>
      <w:r w:rsidRPr="0005530D">
        <w:rPr>
          <w:rFonts w:ascii="Cambria Math" w:hAnsi="Cambria Math" w:cs="Cambria Math"/>
        </w:rPr>
        <w:t>₃</w:t>
      </w:r>
      <w:r w:rsidRPr="0005530D">
        <w:rPr>
          <w:rFonts w:ascii="Arial" w:hAnsi="Arial" w:cs="Arial"/>
        </w:rPr>
        <w:t xml:space="preserve"> 0.1, </w:t>
      </w:r>
      <w:proofErr w:type="spellStart"/>
      <w:r w:rsidRPr="0005530D">
        <w:rPr>
          <w:rFonts w:ascii="Arial" w:hAnsi="Arial" w:cs="Arial"/>
        </w:rPr>
        <w:t>Na</w:t>
      </w:r>
      <w:r w:rsidRPr="0005530D">
        <w:rPr>
          <w:rFonts w:ascii="Cambria Math" w:hAnsi="Cambria Math" w:cs="Cambria Math"/>
        </w:rPr>
        <w:t>₂</w:t>
      </w:r>
      <w:r w:rsidRPr="0005530D">
        <w:rPr>
          <w:rFonts w:ascii="Arial" w:hAnsi="Arial" w:cs="Arial"/>
        </w:rPr>
        <w:t>MoO</w:t>
      </w:r>
      <w:proofErr w:type="spellEnd"/>
      <w:r w:rsidRPr="0005530D">
        <w:rPr>
          <w:rFonts w:ascii="Cambria Math" w:hAnsi="Cambria Math" w:cs="Cambria Math"/>
        </w:rPr>
        <w:t>₄</w:t>
      </w:r>
      <w:r w:rsidRPr="0005530D">
        <w:rPr>
          <w:rFonts w:ascii="Arial" w:hAnsi="Arial" w:cs="Arial"/>
        </w:rPr>
        <w:t xml:space="preserve"> 0.005, </w:t>
      </w:r>
      <w:r>
        <w:rPr>
          <w:rFonts w:ascii="Arial" w:hAnsi="Arial" w:cs="Arial"/>
        </w:rPr>
        <w:t xml:space="preserve">Agar 15.0; Final pH 6.5 ± </w:t>
      </w:r>
      <w:proofErr w:type="gramStart"/>
      <w:r>
        <w:rPr>
          <w:rFonts w:ascii="Arial" w:hAnsi="Arial" w:cs="Arial"/>
        </w:rPr>
        <w:t xml:space="preserve">0.2 </w:t>
      </w:r>
      <w:r w:rsidRPr="0005530D">
        <w:rPr>
          <w:rFonts w:ascii="Arial" w:hAnsi="Arial" w:cs="Arial"/>
        </w:rPr>
        <w:t>.</w:t>
      </w:r>
      <w:proofErr w:type="gramEnd"/>
      <w:r w:rsidRPr="0005530D">
        <w:rPr>
          <w:rFonts w:ascii="Arial" w:hAnsi="Arial" w:cs="Arial"/>
        </w:rPr>
        <w:br/>
        <w:t xml:space="preserve"> </w:t>
      </w:r>
    </w:p>
    <w:p w14:paraId="3BE8CF71" w14:textId="77777777" w:rsidR="0005530D" w:rsidRPr="0005530D" w:rsidRDefault="0005530D" w:rsidP="0005530D">
      <w:pPr>
        <w:pStyle w:val="Body"/>
        <w:rPr>
          <w:rFonts w:ascii="Arial" w:hAnsi="Arial" w:cs="Arial"/>
        </w:rPr>
      </w:pPr>
      <w:r w:rsidRPr="0005530D">
        <w:rPr>
          <w:rFonts w:ascii="Arial" w:hAnsi="Arial" w:cs="Arial"/>
        </w:rPr>
        <w:t>-**Nitrogen-Free Glucose-Enriched Agar**: Ingredients (g/L): KH</w:t>
      </w:r>
      <w:r w:rsidRPr="0005530D">
        <w:rPr>
          <w:rFonts w:ascii="Cambria Math" w:hAnsi="Cambria Math" w:cs="Cambria Math"/>
        </w:rPr>
        <w:t>₂</w:t>
      </w:r>
      <w:r w:rsidRPr="0005530D">
        <w:rPr>
          <w:rFonts w:ascii="Arial" w:hAnsi="Arial" w:cs="Arial"/>
        </w:rPr>
        <w:t>PO</w:t>
      </w:r>
      <w:r w:rsidRPr="0005530D">
        <w:rPr>
          <w:rFonts w:ascii="Cambria Math" w:hAnsi="Cambria Math" w:cs="Cambria Math"/>
        </w:rPr>
        <w:t>₄</w:t>
      </w:r>
      <w:r w:rsidRPr="0005530D">
        <w:rPr>
          <w:rFonts w:ascii="Arial" w:hAnsi="Arial" w:cs="Arial"/>
        </w:rPr>
        <w:t xml:space="preserve"> 1.0, </w:t>
      </w:r>
      <w:proofErr w:type="spellStart"/>
      <w:r w:rsidRPr="0005530D">
        <w:rPr>
          <w:rFonts w:ascii="Arial" w:hAnsi="Arial" w:cs="Arial"/>
        </w:rPr>
        <w:t>CaCl</w:t>
      </w:r>
      <w:proofErr w:type="spellEnd"/>
      <w:r w:rsidRPr="0005530D">
        <w:rPr>
          <w:rFonts w:ascii="Cambria Math" w:hAnsi="Cambria Math" w:cs="Cambria Math"/>
        </w:rPr>
        <w:t>₂</w:t>
      </w:r>
      <w:r w:rsidRPr="0005530D">
        <w:rPr>
          <w:rFonts w:ascii="Arial" w:hAnsi="Arial" w:cs="Arial"/>
        </w:rPr>
        <w:t xml:space="preserve"> 1.0, </w:t>
      </w:r>
      <w:proofErr w:type="spellStart"/>
      <w:r w:rsidRPr="0005530D">
        <w:rPr>
          <w:rFonts w:ascii="Arial" w:hAnsi="Arial" w:cs="Arial"/>
        </w:rPr>
        <w:t>MgSO</w:t>
      </w:r>
      <w:proofErr w:type="spellEnd"/>
      <w:r w:rsidRPr="0005530D">
        <w:rPr>
          <w:rFonts w:ascii="Cambria Math" w:hAnsi="Cambria Math" w:cs="Cambria Math"/>
        </w:rPr>
        <w:t>₄</w:t>
      </w:r>
      <w:r w:rsidRPr="0005530D">
        <w:rPr>
          <w:rFonts w:ascii="Arial" w:hAnsi="Arial" w:cs="Arial"/>
        </w:rPr>
        <w:t>·7H</w:t>
      </w:r>
      <w:r w:rsidRPr="0005530D">
        <w:rPr>
          <w:rFonts w:ascii="Cambria Math" w:hAnsi="Cambria Math" w:cs="Cambria Math"/>
        </w:rPr>
        <w:t>₂</w:t>
      </w:r>
      <w:r w:rsidRPr="0005530D">
        <w:rPr>
          <w:rFonts w:ascii="Arial" w:hAnsi="Arial" w:cs="Arial"/>
        </w:rPr>
        <w:t xml:space="preserve">O 0.25, NaCl 0.5, </w:t>
      </w:r>
      <w:proofErr w:type="spellStart"/>
      <w:r w:rsidRPr="0005530D">
        <w:rPr>
          <w:rFonts w:ascii="Arial" w:hAnsi="Arial" w:cs="Arial"/>
        </w:rPr>
        <w:t>FeSO</w:t>
      </w:r>
      <w:proofErr w:type="spellEnd"/>
      <w:r w:rsidRPr="0005530D">
        <w:rPr>
          <w:rFonts w:ascii="Cambria Math" w:hAnsi="Cambria Math" w:cs="Cambria Math"/>
        </w:rPr>
        <w:t>₄</w:t>
      </w:r>
      <w:r w:rsidRPr="0005530D">
        <w:rPr>
          <w:rFonts w:ascii="Arial" w:hAnsi="Arial" w:cs="Arial"/>
        </w:rPr>
        <w:t>·7H</w:t>
      </w:r>
      <w:r w:rsidRPr="0005530D">
        <w:rPr>
          <w:rFonts w:ascii="Cambria Math" w:hAnsi="Cambria Math" w:cs="Cambria Math"/>
        </w:rPr>
        <w:t>₂</w:t>
      </w:r>
      <w:r w:rsidRPr="0005530D">
        <w:rPr>
          <w:rFonts w:ascii="Arial" w:hAnsi="Arial" w:cs="Arial"/>
        </w:rPr>
        <w:t xml:space="preserve">O 0.01, </w:t>
      </w:r>
      <w:proofErr w:type="spellStart"/>
      <w:r w:rsidRPr="0005530D">
        <w:rPr>
          <w:rFonts w:ascii="Arial" w:hAnsi="Arial" w:cs="Arial"/>
        </w:rPr>
        <w:t>MnSO</w:t>
      </w:r>
      <w:proofErr w:type="spellEnd"/>
      <w:r w:rsidRPr="0005530D">
        <w:rPr>
          <w:rFonts w:ascii="Cambria Math" w:hAnsi="Cambria Math" w:cs="Cambria Math"/>
        </w:rPr>
        <w:t>₄</w:t>
      </w:r>
      <w:r w:rsidRPr="0005530D">
        <w:rPr>
          <w:rFonts w:ascii="Arial" w:hAnsi="Arial" w:cs="Arial"/>
        </w:rPr>
        <w:t>·H</w:t>
      </w:r>
      <w:r w:rsidRPr="0005530D">
        <w:rPr>
          <w:rFonts w:ascii="Cambria Math" w:hAnsi="Cambria Math" w:cs="Cambria Math"/>
        </w:rPr>
        <w:t>₂</w:t>
      </w:r>
      <w:r w:rsidRPr="0005530D">
        <w:rPr>
          <w:rFonts w:ascii="Arial" w:hAnsi="Arial" w:cs="Arial"/>
        </w:rPr>
        <w:t xml:space="preserve">O 0.01, </w:t>
      </w:r>
      <w:proofErr w:type="spellStart"/>
      <w:r w:rsidRPr="0005530D">
        <w:rPr>
          <w:rFonts w:ascii="Arial" w:hAnsi="Arial" w:cs="Arial"/>
        </w:rPr>
        <w:t>Na</w:t>
      </w:r>
      <w:r w:rsidRPr="0005530D">
        <w:rPr>
          <w:rFonts w:ascii="Cambria Math" w:hAnsi="Cambria Math" w:cs="Cambria Math"/>
        </w:rPr>
        <w:t>₂</w:t>
      </w:r>
      <w:r w:rsidRPr="0005530D">
        <w:rPr>
          <w:rFonts w:ascii="Arial" w:hAnsi="Arial" w:cs="Arial"/>
        </w:rPr>
        <w:t>MoO</w:t>
      </w:r>
      <w:proofErr w:type="spellEnd"/>
      <w:r w:rsidRPr="0005530D">
        <w:rPr>
          <w:rFonts w:ascii="Cambria Math" w:hAnsi="Cambria Math" w:cs="Cambria Math"/>
        </w:rPr>
        <w:t>₄</w:t>
      </w:r>
      <w:r w:rsidRPr="0005530D">
        <w:rPr>
          <w:rFonts w:ascii="Arial" w:hAnsi="Arial" w:cs="Arial"/>
        </w:rPr>
        <w:t xml:space="preserve"> 0.01, Glucose </w:t>
      </w:r>
      <w:proofErr w:type="gramStart"/>
      <w:r w:rsidRPr="0005530D">
        <w:rPr>
          <w:rFonts w:ascii="Arial" w:hAnsi="Arial" w:cs="Arial"/>
        </w:rPr>
        <w:t>7.0,Agar</w:t>
      </w:r>
      <w:proofErr w:type="gramEnd"/>
      <w:r w:rsidRPr="0005530D">
        <w:rPr>
          <w:rFonts w:ascii="Arial" w:hAnsi="Arial" w:cs="Arial"/>
        </w:rPr>
        <w:t xml:space="preserve">20.0  </w:t>
      </w:r>
      <w:r>
        <w:rPr>
          <w:rFonts w:ascii="Arial" w:hAnsi="Arial" w:cs="Arial"/>
        </w:rPr>
        <w:t xml:space="preserve">                        </w:t>
      </w:r>
      <w:r w:rsidRPr="0005530D">
        <w:rPr>
          <w:rFonts w:ascii="Arial" w:hAnsi="Arial" w:cs="Arial"/>
        </w:rPr>
        <w:t>.</w:t>
      </w:r>
      <w:r w:rsidRPr="0005530D">
        <w:rPr>
          <w:rFonts w:ascii="Arial" w:hAnsi="Arial" w:cs="Arial"/>
        </w:rPr>
        <w:br/>
      </w:r>
    </w:p>
    <w:p w14:paraId="6D6AF4C5" w14:textId="77777777" w:rsidR="0005530D" w:rsidRPr="0005530D" w:rsidRDefault="0005530D" w:rsidP="0005530D">
      <w:pPr>
        <w:pStyle w:val="Body"/>
        <w:rPr>
          <w:rFonts w:ascii="Arial" w:hAnsi="Arial" w:cs="Arial"/>
        </w:rPr>
      </w:pPr>
      <w:r w:rsidRPr="0005530D">
        <w:rPr>
          <w:rFonts w:ascii="Arial" w:hAnsi="Arial" w:cs="Arial"/>
        </w:rPr>
        <w:t xml:space="preserve">- **Burk’s Medium**: Ingredients (g/L): </w:t>
      </w:r>
      <w:proofErr w:type="spellStart"/>
      <w:r w:rsidRPr="0005530D">
        <w:rPr>
          <w:rFonts w:ascii="Arial" w:hAnsi="Arial" w:cs="Arial"/>
        </w:rPr>
        <w:t>MgSO</w:t>
      </w:r>
      <w:proofErr w:type="spellEnd"/>
      <w:r w:rsidRPr="0005530D">
        <w:rPr>
          <w:rFonts w:ascii="Cambria Math" w:hAnsi="Cambria Math" w:cs="Cambria Math"/>
        </w:rPr>
        <w:t>₄</w:t>
      </w:r>
      <w:r w:rsidRPr="0005530D">
        <w:rPr>
          <w:rFonts w:ascii="Arial" w:hAnsi="Arial" w:cs="Arial"/>
        </w:rPr>
        <w:t xml:space="preserve"> 0.2, K</w:t>
      </w:r>
      <w:r w:rsidRPr="0005530D">
        <w:rPr>
          <w:rFonts w:ascii="Cambria Math" w:hAnsi="Cambria Math" w:cs="Cambria Math"/>
        </w:rPr>
        <w:t>₂</w:t>
      </w:r>
      <w:r w:rsidRPr="0005530D">
        <w:rPr>
          <w:rFonts w:ascii="Arial" w:hAnsi="Arial" w:cs="Arial"/>
        </w:rPr>
        <w:t>HPO</w:t>
      </w:r>
      <w:r w:rsidRPr="0005530D">
        <w:rPr>
          <w:rFonts w:ascii="Cambria Math" w:hAnsi="Cambria Math" w:cs="Cambria Math"/>
        </w:rPr>
        <w:t>₄</w:t>
      </w:r>
      <w:r w:rsidRPr="0005530D">
        <w:rPr>
          <w:rFonts w:ascii="Arial" w:hAnsi="Arial" w:cs="Arial"/>
        </w:rPr>
        <w:t xml:space="preserve"> 0.8, KH</w:t>
      </w:r>
      <w:r w:rsidRPr="0005530D">
        <w:rPr>
          <w:rFonts w:ascii="Cambria Math" w:hAnsi="Cambria Math" w:cs="Cambria Math"/>
        </w:rPr>
        <w:t>₂</w:t>
      </w:r>
      <w:r w:rsidRPr="0005530D">
        <w:rPr>
          <w:rFonts w:ascii="Arial" w:hAnsi="Arial" w:cs="Arial"/>
        </w:rPr>
        <w:t>PO</w:t>
      </w:r>
      <w:r w:rsidRPr="0005530D">
        <w:rPr>
          <w:rFonts w:ascii="Cambria Math" w:hAnsi="Cambria Math" w:cs="Cambria Math"/>
        </w:rPr>
        <w:t>₄</w:t>
      </w:r>
      <w:r w:rsidRPr="0005530D">
        <w:rPr>
          <w:rFonts w:ascii="Arial" w:hAnsi="Arial" w:cs="Arial"/>
        </w:rPr>
        <w:t xml:space="preserve"> 0.2, </w:t>
      </w:r>
      <w:proofErr w:type="spellStart"/>
      <w:r w:rsidRPr="0005530D">
        <w:rPr>
          <w:rFonts w:ascii="Arial" w:hAnsi="Arial" w:cs="Arial"/>
        </w:rPr>
        <w:t>CaSO</w:t>
      </w:r>
      <w:proofErr w:type="spellEnd"/>
      <w:r w:rsidRPr="0005530D">
        <w:rPr>
          <w:rFonts w:ascii="Cambria Math" w:hAnsi="Cambria Math" w:cs="Cambria Math"/>
        </w:rPr>
        <w:t>₄</w:t>
      </w:r>
      <w:r w:rsidRPr="0005530D">
        <w:rPr>
          <w:rFonts w:ascii="Arial" w:hAnsi="Arial" w:cs="Arial"/>
        </w:rPr>
        <w:t xml:space="preserve"> 0.13, </w:t>
      </w:r>
      <w:proofErr w:type="spellStart"/>
      <w:r w:rsidRPr="0005530D">
        <w:rPr>
          <w:rFonts w:ascii="Arial" w:hAnsi="Arial" w:cs="Arial"/>
        </w:rPr>
        <w:t>FeCl</w:t>
      </w:r>
      <w:proofErr w:type="spellEnd"/>
      <w:r w:rsidRPr="0005530D">
        <w:rPr>
          <w:rFonts w:ascii="Cambria Math" w:hAnsi="Cambria Math" w:cs="Cambria Math"/>
        </w:rPr>
        <w:t>₃</w:t>
      </w:r>
      <w:r w:rsidRPr="0005530D">
        <w:rPr>
          <w:rFonts w:ascii="Arial" w:hAnsi="Arial" w:cs="Arial"/>
        </w:rPr>
        <w:t xml:space="preserve"> 0.00145, </w:t>
      </w:r>
      <w:proofErr w:type="spellStart"/>
      <w:r w:rsidRPr="0005530D">
        <w:rPr>
          <w:rFonts w:ascii="Arial" w:hAnsi="Arial" w:cs="Arial"/>
        </w:rPr>
        <w:t>Na</w:t>
      </w:r>
      <w:r w:rsidRPr="0005530D">
        <w:rPr>
          <w:rFonts w:ascii="Cambria Math" w:hAnsi="Cambria Math" w:cs="Cambria Math"/>
        </w:rPr>
        <w:t>₂</w:t>
      </w:r>
      <w:r w:rsidRPr="0005530D">
        <w:rPr>
          <w:rFonts w:ascii="Arial" w:hAnsi="Arial" w:cs="Arial"/>
        </w:rPr>
        <w:t>MoO</w:t>
      </w:r>
      <w:proofErr w:type="spellEnd"/>
      <w:r w:rsidRPr="0005530D">
        <w:rPr>
          <w:rFonts w:ascii="Cambria Math" w:hAnsi="Cambria Math" w:cs="Cambria Math"/>
        </w:rPr>
        <w:t>₄</w:t>
      </w:r>
      <w:r>
        <w:rPr>
          <w:rFonts w:ascii="Arial" w:hAnsi="Arial" w:cs="Arial"/>
        </w:rPr>
        <w:t xml:space="preserve"> 0.000253, Sucrose </w:t>
      </w:r>
      <w:proofErr w:type="gramStart"/>
      <w:r>
        <w:rPr>
          <w:rFonts w:ascii="Arial" w:hAnsi="Arial" w:cs="Arial"/>
        </w:rPr>
        <w:t xml:space="preserve">20.0 </w:t>
      </w:r>
      <w:r w:rsidRPr="0005530D">
        <w:rPr>
          <w:rFonts w:ascii="Arial" w:hAnsi="Arial" w:cs="Arial"/>
        </w:rPr>
        <w:t>.</w:t>
      </w:r>
      <w:proofErr w:type="gramEnd"/>
      <w:r w:rsidRPr="0005530D">
        <w:rPr>
          <w:rFonts w:ascii="Arial" w:hAnsi="Arial" w:cs="Arial"/>
        </w:rPr>
        <w:br/>
      </w:r>
    </w:p>
    <w:p w14:paraId="3B3D17C9" w14:textId="77777777" w:rsidR="0005530D" w:rsidRDefault="0005530D" w:rsidP="0005530D">
      <w:pPr>
        <w:pStyle w:val="Body"/>
        <w:rPr>
          <w:rFonts w:ascii="Arial" w:hAnsi="Arial" w:cs="Arial"/>
        </w:rPr>
      </w:pPr>
      <w:r w:rsidRPr="0005530D">
        <w:rPr>
          <w:rFonts w:ascii="Arial" w:hAnsi="Arial" w:cs="Arial"/>
        </w:rPr>
        <w:t>- **</w:t>
      </w:r>
      <w:proofErr w:type="spellStart"/>
      <w:r w:rsidRPr="0005530D">
        <w:rPr>
          <w:rFonts w:ascii="Arial" w:hAnsi="Arial" w:cs="Arial"/>
        </w:rPr>
        <w:t>Azospirillum</w:t>
      </w:r>
      <w:proofErr w:type="spellEnd"/>
      <w:r w:rsidRPr="0005530D">
        <w:rPr>
          <w:rFonts w:ascii="Arial" w:hAnsi="Arial" w:cs="Arial"/>
        </w:rPr>
        <w:t xml:space="preserve"> Medium**: Ingredients (g/L): C</w:t>
      </w:r>
      <w:r w:rsidRPr="0005530D">
        <w:rPr>
          <w:rFonts w:ascii="Cambria Math" w:hAnsi="Cambria Math" w:cs="Cambria Math"/>
        </w:rPr>
        <w:t>₄</w:t>
      </w:r>
      <w:r w:rsidRPr="0005530D">
        <w:rPr>
          <w:rFonts w:ascii="Arial" w:hAnsi="Arial" w:cs="Arial"/>
        </w:rPr>
        <w:t>H</w:t>
      </w:r>
      <w:r w:rsidRPr="0005530D">
        <w:rPr>
          <w:rFonts w:ascii="Cambria Math" w:hAnsi="Cambria Math" w:cs="Cambria Math"/>
        </w:rPr>
        <w:t>₆</w:t>
      </w:r>
      <w:r w:rsidRPr="0005530D">
        <w:rPr>
          <w:rFonts w:ascii="Arial" w:hAnsi="Arial" w:cs="Arial"/>
        </w:rPr>
        <w:t>O</w:t>
      </w:r>
      <w:r w:rsidRPr="0005530D">
        <w:rPr>
          <w:rFonts w:ascii="Cambria Math" w:hAnsi="Cambria Math" w:cs="Cambria Math"/>
        </w:rPr>
        <w:t>₅</w:t>
      </w:r>
      <w:r w:rsidRPr="0005530D">
        <w:rPr>
          <w:rFonts w:ascii="Arial" w:hAnsi="Arial" w:cs="Arial"/>
        </w:rPr>
        <w:t xml:space="preserve"> 5.0, K</w:t>
      </w:r>
      <w:r w:rsidRPr="0005530D">
        <w:rPr>
          <w:rFonts w:ascii="Cambria Math" w:hAnsi="Cambria Math" w:cs="Cambria Math"/>
        </w:rPr>
        <w:t>₂</w:t>
      </w:r>
      <w:r w:rsidRPr="0005530D">
        <w:rPr>
          <w:rFonts w:ascii="Arial" w:hAnsi="Arial" w:cs="Arial"/>
        </w:rPr>
        <w:t>HPO</w:t>
      </w:r>
      <w:r w:rsidRPr="0005530D">
        <w:rPr>
          <w:rFonts w:ascii="Cambria Math" w:hAnsi="Cambria Math" w:cs="Cambria Math"/>
        </w:rPr>
        <w:t>₄</w:t>
      </w:r>
      <w:r w:rsidRPr="0005530D">
        <w:rPr>
          <w:rFonts w:ascii="Arial" w:hAnsi="Arial" w:cs="Arial"/>
        </w:rPr>
        <w:t xml:space="preserve"> 0.5, </w:t>
      </w:r>
      <w:proofErr w:type="spellStart"/>
      <w:r w:rsidRPr="0005530D">
        <w:rPr>
          <w:rFonts w:ascii="Arial" w:hAnsi="Arial" w:cs="Arial"/>
        </w:rPr>
        <w:t>FeSO</w:t>
      </w:r>
      <w:proofErr w:type="spellEnd"/>
      <w:r w:rsidRPr="0005530D">
        <w:rPr>
          <w:rFonts w:ascii="Cambria Math" w:hAnsi="Cambria Math" w:cs="Cambria Math"/>
        </w:rPr>
        <w:t>₄</w:t>
      </w:r>
      <w:r w:rsidRPr="0005530D">
        <w:rPr>
          <w:rFonts w:ascii="Arial" w:hAnsi="Arial" w:cs="Arial"/>
        </w:rPr>
        <w:t xml:space="preserve"> 0.5, </w:t>
      </w:r>
      <w:proofErr w:type="spellStart"/>
      <w:r w:rsidRPr="0005530D">
        <w:rPr>
          <w:rFonts w:ascii="Arial" w:hAnsi="Arial" w:cs="Arial"/>
        </w:rPr>
        <w:t>MnSO</w:t>
      </w:r>
      <w:proofErr w:type="spellEnd"/>
      <w:r w:rsidRPr="0005530D">
        <w:rPr>
          <w:rFonts w:ascii="Cambria Math" w:hAnsi="Cambria Math" w:cs="Cambria Math"/>
        </w:rPr>
        <w:t>₄</w:t>
      </w:r>
      <w:r w:rsidRPr="0005530D">
        <w:rPr>
          <w:rFonts w:ascii="Arial" w:hAnsi="Arial" w:cs="Arial"/>
        </w:rPr>
        <w:t>·H</w:t>
      </w:r>
      <w:r w:rsidRPr="0005530D">
        <w:rPr>
          <w:rFonts w:ascii="Cambria Math" w:hAnsi="Cambria Math" w:cs="Cambria Math"/>
        </w:rPr>
        <w:t>₂</w:t>
      </w:r>
      <w:r w:rsidRPr="0005530D">
        <w:rPr>
          <w:rFonts w:ascii="Arial" w:hAnsi="Arial" w:cs="Arial"/>
        </w:rPr>
        <w:t xml:space="preserve">O 0.01, </w:t>
      </w:r>
      <w:proofErr w:type="spellStart"/>
      <w:r w:rsidRPr="0005530D">
        <w:rPr>
          <w:rFonts w:ascii="Arial" w:hAnsi="Arial" w:cs="Arial"/>
        </w:rPr>
        <w:t>MgSO</w:t>
      </w:r>
      <w:proofErr w:type="spellEnd"/>
      <w:r w:rsidRPr="0005530D">
        <w:rPr>
          <w:rFonts w:ascii="Cambria Math" w:hAnsi="Cambria Math" w:cs="Cambria Math"/>
        </w:rPr>
        <w:t>₄</w:t>
      </w:r>
      <w:r w:rsidRPr="0005530D">
        <w:rPr>
          <w:rFonts w:ascii="Arial" w:hAnsi="Arial" w:cs="Arial"/>
        </w:rPr>
        <w:t xml:space="preserve"> 0.2, NaCl 0.1, Bromothymol Blue 0.002, </w:t>
      </w:r>
      <w:proofErr w:type="spellStart"/>
      <w:r w:rsidRPr="0005530D">
        <w:rPr>
          <w:rFonts w:ascii="Arial" w:hAnsi="Arial" w:cs="Arial"/>
        </w:rPr>
        <w:t>Na</w:t>
      </w:r>
      <w:r w:rsidRPr="0005530D">
        <w:rPr>
          <w:rFonts w:ascii="Cambria Math" w:hAnsi="Cambria Math" w:cs="Cambria Math"/>
        </w:rPr>
        <w:t>₂</w:t>
      </w:r>
      <w:r w:rsidRPr="0005530D">
        <w:rPr>
          <w:rFonts w:ascii="Arial" w:hAnsi="Arial" w:cs="Arial"/>
        </w:rPr>
        <w:t>MoO</w:t>
      </w:r>
      <w:proofErr w:type="spellEnd"/>
      <w:r w:rsidRPr="0005530D">
        <w:rPr>
          <w:rFonts w:ascii="Cambria Math" w:hAnsi="Cambria Math" w:cs="Cambria Math"/>
        </w:rPr>
        <w:t>₄</w:t>
      </w:r>
      <w:r w:rsidRPr="0005530D">
        <w:rPr>
          <w:rFonts w:ascii="Arial" w:hAnsi="Arial" w:cs="Arial"/>
        </w:rPr>
        <w:t xml:space="preserve"> 0.002, </w:t>
      </w:r>
      <w:proofErr w:type="spellStart"/>
      <w:r w:rsidRPr="0005530D">
        <w:rPr>
          <w:rFonts w:ascii="Arial" w:hAnsi="Arial" w:cs="Arial"/>
        </w:rPr>
        <w:t>CaCl</w:t>
      </w:r>
      <w:proofErr w:type="spellEnd"/>
      <w:r w:rsidRPr="0005530D">
        <w:rPr>
          <w:rFonts w:ascii="Cambria Math" w:hAnsi="Cambria Math" w:cs="Cambria Math"/>
        </w:rPr>
        <w:t>₂</w:t>
      </w:r>
      <w:r w:rsidRPr="0005530D">
        <w:rPr>
          <w:rFonts w:ascii="Arial" w:hAnsi="Arial" w:cs="Arial"/>
        </w:rPr>
        <w:t xml:space="preserve"> 0.02, Agar 1.75, KOH 4.0; Final pH 6.8 ± </w:t>
      </w:r>
      <w:proofErr w:type="gramStart"/>
      <w:r w:rsidRPr="0005530D">
        <w:rPr>
          <w:rFonts w:ascii="Arial" w:hAnsi="Arial" w:cs="Arial"/>
        </w:rPr>
        <w:t>0</w:t>
      </w:r>
      <w:r>
        <w:rPr>
          <w:rFonts w:ascii="Arial" w:hAnsi="Arial" w:cs="Arial"/>
        </w:rPr>
        <w:t xml:space="preserve">.2 </w:t>
      </w:r>
      <w:r w:rsidRPr="0005530D">
        <w:rPr>
          <w:rFonts w:ascii="Arial" w:hAnsi="Arial" w:cs="Arial"/>
        </w:rPr>
        <w:t>.</w:t>
      </w:r>
      <w:proofErr w:type="gramEnd"/>
    </w:p>
    <w:p w14:paraId="31C65B5A" w14:textId="77777777" w:rsidR="0005530D" w:rsidRDefault="00E32D8C" w:rsidP="0005530D">
      <w:pPr>
        <w:pStyle w:val="Body"/>
        <w:rPr>
          <w:rFonts w:ascii="Arial" w:hAnsi="Arial" w:cs="Arial"/>
        </w:rPr>
      </w:pPr>
      <w:r w:rsidRPr="00E32D8C">
        <w:rPr>
          <w:rFonts w:ascii="Arial" w:hAnsi="Arial" w:cs="Arial"/>
        </w:rPr>
        <w:t xml:space="preserve">To test the ability to produce ammonia, we inoculated the microbes in sterile water with a carbon source, and after 48 hours of cultivation at 28 degrees, we checked the color yellowness with Nessler's reagent. Then, biochemical studies of nitrogen-fixing bacteria were performed to identify them to the genus </w:t>
      </w:r>
      <w:proofErr w:type="spellStart"/>
      <w:proofErr w:type="gramStart"/>
      <w:r w:rsidRPr="00E32D8C">
        <w:rPr>
          <w:rFonts w:ascii="Arial" w:hAnsi="Arial" w:cs="Arial"/>
        </w:rPr>
        <w:t>level.</w:t>
      </w:r>
      <w:r w:rsidR="0005530D" w:rsidRPr="0005530D">
        <w:rPr>
          <w:rFonts w:ascii="Arial" w:hAnsi="Arial" w:cs="Arial"/>
        </w:rPr>
        <w:t>Test</w:t>
      </w:r>
      <w:proofErr w:type="spellEnd"/>
      <w:proofErr w:type="gramEnd"/>
      <w:r w:rsidR="0005530D" w:rsidRPr="0005530D">
        <w:rPr>
          <w:rFonts w:ascii="Arial" w:hAnsi="Arial" w:cs="Arial"/>
        </w:rPr>
        <w:t xml:space="preserve"> for urease activity</w:t>
      </w:r>
    </w:p>
    <w:p w14:paraId="23801B1D" w14:textId="77777777" w:rsidR="00FD7F83" w:rsidRDefault="00E32D8C" w:rsidP="0005530D">
      <w:pPr>
        <w:pStyle w:val="Body"/>
        <w:rPr>
          <w:rFonts w:asciiTheme="minorHAnsi" w:hAnsiTheme="minorHAnsi" w:cs="Arial"/>
          <w:lang w:val="ka-GE"/>
        </w:rPr>
      </w:pPr>
      <w:r>
        <w:rPr>
          <w:rFonts w:asciiTheme="minorHAnsi" w:hAnsiTheme="minorHAnsi" w:cs="Arial"/>
          <w:lang w:val="ka-GE"/>
        </w:rPr>
        <w:t xml:space="preserve">             </w:t>
      </w:r>
      <w:r>
        <w:rPr>
          <w:rFonts w:asciiTheme="minorHAnsi" w:hAnsiTheme="minorHAnsi" w:cs="Arial"/>
          <w:noProof/>
        </w:rPr>
        <w:drawing>
          <wp:inline distT="0" distB="0" distL="0" distR="0" wp14:anchorId="5BE9052D" wp14:editId="157878A0">
            <wp:extent cx="161925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1771650"/>
                    </a:xfrm>
                    <a:prstGeom prst="rect">
                      <a:avLst/>
                    </a:prstGeom>
                    <a:noFill/>
                  </pic:spPr>
                </pic:pic>
              </a:graphicData>
            </a:graphic>
          </wp:inline>
        </w:drawing>
      </w:r>
      <w:r>
        <w:rPr>
          <w:rFonts w:asciiTheme="minorHAnsi" w:hAnsiTheme="minorHAnsi" w:cs="Arial"/>
          <w:lang w:val="ka-GE"/>
        </w:rPr>
        <w:t xml:space="preserve">                           </w:t>
      </w:r>
      <w:r>
        <w:rPr>
          <w:rFonts w:ascii="Arial" w:hAnsi="Arial" w:cs="Arial"/>
          <w:noProof/>
        </w:rPr>
        <w:drawing>
          <wp:inline distT="0" distB="0" distL="0" distR="0" wp14:anchorId="49B84D78" wp14:editId="3E80C90A">
            <wp:extent cx="1807845" cy="1794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1936" cy="1858262"/>
                    </a:xfrm>
                    <a:prstGeom prst="rect">
                      <a:avLst/>
                    </a:prstGeom>
                    <a:noFill/>
                  </pic:spPr>
                </pic:pic>
              </a:graphicData>
            </a:graphic>
          </wp:inline>
        </w:drawing>
      </w:r>
      <w:r>
        <w:rPr>
          <w:rFonts w:asciiTheme="minorHAnsi" w:hAnsiTheme="minorHAnsi" w:cs="Arial"/>
          <w:lang w:val="ka-GE"/>
        </w:rPr>
        <w:t xml:space="preserve">             </w:t>
      </w:r>
    </w:p>
    <w:p w14:paraId="58199606" w14:textId="2866FDA1" w:rsidR="00FD7F83" w:rsidRPr="00301BED" w:rsidRDefault="00FD7F83" w:rsidP="0005530D">
      <w:pPr>
        <w:pStyle w:val="Body"/>
        <w:rPr>
          <w:rFonts w:asciiTheme="minorHAnsi" w:hAnsiTheme="minorHAnsi" w:cs="Arial"/>
          <w:b/>
          <w:bCs/>
          <w:lang w:val="ka-GE"/>
        </w:rPr>
      </w:pPr>
      <w:r w:rsidRPr="00301BED">
        <w:rPr>
          <w:rFonts w:asciiTheme="minorHAnsi" w:hAnsiTheme="minorHAnsi" w:cs="Arial"/>
          <w:b/>
          <w:bCs/>
          <w:lang w:val="ka-GE"/>
        </w:rPr>
        <w:t xml:space="preserve">FIGURE 1. </w:t>
      </w:r>
      <w:r w:rsidR="00301BED" w:rsidRPr="00301BED">
        <w:rPr>
          <w:rFonts w:asciiTheme="minorHAnsi" w:hAnsiTheme="minorHAnsi" w:cs="Arial"/>
          <w:b/>
          <w:bCs/>
          <w:sz w:val="28"/>
          <w:szCs w:val="28"/>
          <w:lang w:val="ka-GE"/>
        </w:rPr>
        <w:t>Test for urease activity</w:t>
      </w:r>
    </w:p>
    <w:p w14:paraId="21AB63AA" w14:textId="18CBA8DB" w:rsidR="00E32D8C" w:rsidRPr="0005530D" w:rsidRDefault="00E32D8C" w:rsidP="0005530D">
      <w:pPr>
        <w:pStyle w:val="Body"/>
        <w:rPr>
          <w:rFonts w:ascii="Arial" w:hAnsi="Arial" w:cs="Arial"/>
        </w:rPr>
      </w:pPr>
      <w:r>
        <w:rPr>
          <w:rFonts w:asciiTheme="minorHAnsi" w:hAnsiTheme="minorHAnsi" w:cs="Arial"/>
          <w:lang w:val="ka-GE"/>
        </w:rPr>
        <w:t xml:space="preserve">                            </w:t>
      </w:r>
    </w:p>
    <w:p w14:paraId="471B2DAD" w14:textId="77777777" w:rsidR="00E32D8C" w:rsidRDefault="00E32D8C" w:rsidP="00E32D8C">
      <w:pPr>
        <w:pStyle w:val="Body"/>
        <w:rPr>
          <w:rFonts w:ascii="Arial" w:hAnsi="Arial" w:cs="Arial"/>
        </w:rPr>
      </w:pPr>
      <w:r w:rsidRPr="00E32D8C">
        <w:rPr>
          <w:rFonts w:ascii="Arial" w:hAnsi="Arial" w:cs="Arial"/>
        </w:rPr>
        <w:t>Test for urease activity</w:t>
      </w:r>
    </w:p>
    <w:p w14:paraId="78B4132C" w14:textId="77777777" w:rsidR="00E32D8C" w:rsidRDefault="00E32D8C" w:rsidP="00E32D8C">
      <w:pPr>
        <w:pStyle w:val="Body"/>
        <w:rPr>
          <w:rFonts w:asciiTheme="minorHAnsi" w:hAnsiTheme="minorHAnsi" w:cs="Arial"/>
          <w:lang w:val="ka-GE"/>
        </w:rPr>
      </w:pPr>
      <w:r w:rsidRPr="00E32D8C">
        <w:rPr>
          <w:rFonts w:ascii="Arial" w:hAnsi="Arial" w:cs="Arial"/>
        </w:rPr>
        <w:t>We plated the isolated cultures on the urea agar test medium available in the laboratory. After 24 hours, we observed the color change</w:t>
      </w:r>
      <w:r>
        <w:rPr>
          <w:rFonts w:asciiTheme="minorHAnsi" w:hAnsiTheme="minorHAnsi" w:cs="Arial"/>
          <w:lang w:val="ka-GE"/>
        </w:rPr>
        <w:t>.</w:t>
      </w:r>
    </w:p>
    <w:p w14:paraId="2F506A35" w14:textId="77777777" w:rsidR="000C23E7" w:rsidRPr="000C23E7" w:rsidRDefault="000C23E7" w:rsidP="000C23E7">
      <w:pPr>
        <w:pStyle w:val="Body"/>
        <w:rPr>
          <w:rFonts w:ascii="Arial" w:hAnsi="Arial" w:cs="Arial"/>
        </w:rPr>
      </w:pPr>
      <w:r w:rsidRPr="000C23E7">
        <w:rPr>
          <w:rFonts w:ascii="Arial" w:hAnsi="Arial" w:cs="Arial"/>
        </w:rPr>
        <w:t>Catalase test</w:t>
      </w:r>
    </w:p>
    <w:p w14:paraId="3B074A65" w14:textId="77777777" w:rsidR="000C23E7" w:rsidRPr="000C23E7" w:rsidRDefault="000C23E7" w:rsidP="000C23E7">
      <w:pPr>
        <w:pStyle w:val="Body"/>
        <w:rPr>
          <w:rFonts w:ascii="Arial" w:hAnsi="Arial" w:cs="Arial"/>
        </w:rPr>
      </w:pPr>
      <w:r w:rsidRPr="000C23E7">
        <w:rPr>
          <w:rFonts w:ascii="Arial" w:hAnsi="Arial" w:cs="Arial"/>
        </w:rPr>
        <w:t xml:space="preserve">We pour 3% hydrogen peroxide into a sterile cup and insert a </w:t>
      </w:r>
      <w:proofErr w:type="gramStart"/>
      <w:r w:rsidRPr="000C23E7">
        <w:rPr>
          <w:rFonts w:ascii="Arial" w:hAnsi="Arial" w:cs="Arial"/>
        </w:rPr>
        <w:t>24-48 hour</w:t>
      </w:r>
      <w:proofErr w:type="gramEnd"/>
      <w:r w:rsidRPr="000C23E7">
        <w:rPr>
          <w:rFonts w:ascii="Arial" w:hAnsi="Arial" w:cs="Arial"/>
        </w:rPr>
        <w:t xml:space="preserve"> bacterial culture with a loop. If bubbles appear within three minutes, the catalase assay is positive.</w:t>
      </w:r>
    </w:p>
    <w:p w14:paraId="21BDE80C" w14:textId="77777777" w:rsidR="000C23E7" w:rsidRPr="000C23E7" w:rsidRDefault="000C23E7" w:rsidP="000C23E7">
      <w:pPr>
        <w:pStyle w:val="Body"/>
        <w:rPr>
          <w:rFonts w:ascii="Arial" w:hAnsi="Arial" w:cs="Arial"/>
        </w:rPr>
      </w:pPr>
      <w:r w:rsidRPr="000C23E7">
        <w:rPr>
          <w:rFonts w:ascii="Arial" w:hAnsi="Arial" w:cs="Arial"/>
        </w:rPr>
        <w:t>Oxidase test</w:t>
      </w:r>
    </w:p>
    <w:p w14:paraId="0D7BE8A8" w14:textId="77777777" w:rsidR="000C23E7" w:rsidRPr="000C23E7" w:rsidRDefault="000C23E7" w:rsidP="000C23E7">
      <w:pPr>
        <w:pStyle w:val="Body"/>
        <w:rPr>
          <w:rFonts w:ascii="Arial" w:hAnsi="Arial" w:cs="Arial"/>
        </w:rPr>
      </w:pPr>
      <w:r w:rsidRPr="000C23E7">
        <w:rPr>
          <w:rFonts w:ascii="Arial" w:hAnsi="Arial" w:cs="Arial"/>
        </w:rPr>
        <w:lastRenderedPageBreak/>
        <w:t xml:space="preserve">We used the oxidase plates available in the laboratory, on which we inserted </w:t>
      </w:r>
      <w:proofErr w:type="gramStart"/>
      <w:r w:rsidRPr="000C23E7">
        <w:rPr>
          <w:rFonts w:ascii="Arial" w:hAnsi="Arial" w:cs="Arial"/>
        </w:rPr>
        <w:t>24 hour</w:t>
      </w:r>
      <w:proofErr w:type="gramEnd"/>
      <w:r w:rsidRPr="000C23E7">
        <w:rPr>
          <w:rFonts w:ascii="Arial" w:hAnsi="Arial" w:cs="Arial"/>
        </w:rPr>
        <w:t xml:space="preserve"> (37 degrees) colonies with a loop. If a purple color develops within 10 seconds, this indicates a positive test.</w:t>
      </w:r>
    </w:p>
    <w:p w14:paraId="659935C4" w14:textId="77777777" w:rsidR="000C23E7" w:rsidRDefault="000C23E7" w:rsidP="000C23E7">
      <w:pPr>
        <w:pStyle w:val="Body"/>
        <w:rPr>
          <w:rFonts w:ascii="Arial" w:hAnsi="Arial" w:cs="Arial"/>
        </w:rPr>
      </w:pPr>
      <w:r w:rsidRPr="000C23E7">
        <w:rPr>
          <w:rFonts w:ascii="Arial" w:hAnsi="Arial" w:cs="Arial"/>
        </w:rPr>
        <w:t>We used the motility tests available in the laboratory, the culture was inserted into the center of the semi-solid agar with a needle. If growth was only in those places where we passed the needle, this indicated the immobility of the microbe. A repeat test was performed after 7 days.</w:t>
      </w:r>
    </w:p>
    <w:p w14:paraId="41B09E02" w14:textId="77777777" w:rsidR="004634ED" w:rsidRDefault="00E32D8C" w:rsidP="00E32D8C">
      <w:pPr>
        <w:pStyle w:val="Body"/>
      </w:pPr>
      <w:r w:rsidRPr="00E32D8C">
        <w:rPr>
          <w:rFonts w:ascii="Arial" w:hAnsi="Arial" w:cs="Arial"/>
        </w:rPr>
        <w:t>The isolated nitrogen-fixing bacteria were tested on 6 sugars. Phenol red was used as a color indicator.</w:t>
      </w:r>
      <w:r w:rsidR="004634ED" w:rsidRPr="004634ED">
        <w:t xml:space="preserve"> </w:t>
      </w:r>
    </w:p>
    <w:p w14:paraId="2FAA8B98"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Determination of soil salinity by the porcelain cup extraction method</w:t>
      </w:r>
    </w:p>
    <w:p w14:paraId="3CBA0A08"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For the initial assessment of the degree of soil salinity, I used the porcelain cup extraction method, which is based on the slow steam drying of the aqueous extract obtained from the soil and the visual assessment of the resulting saline precipitate.</w:t>
      </w:r>
    </w:p>
    <w:p w14:paraId="481F9725"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Methodology:</w:t>
      </w:r>
    </w:p>
    <w:p w14:paraId="7EF62FCB"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For the experiment, I selected an air-dried soil sample passed through a 1 mm sieve. I weighed 50 grams of soil and placed it in a chemically clean glass container. Then I added 50 ml of distilled water (depending on the situation, the mixing ratio was 1:1). I stirred the mixture with a glass rod and left it for 1 hour so that the soluble salts could completely pass into the aqueous phase.</w:t>
      </w:r>
    </w:p>
    <w:p w14:paraId="45947848"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After the time elapsed, I filtered the extract through filter paper and obtained a clear liquid. I placed 5 ml of this extract in a clean porcelain beaker and dried it with slow steam in a warm, dust-free environment (~50°C) to prevent leaching of salts or chemical degradation.</w:t>
      </w:r>
    </w:p>
    <w:p w14:paraId="6BD72D9B"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After drying, a clearly visible white crystalline precipitate appeared on the inner surface of the beaker. The density and uniform distribution of salts indicated a moderately saline soil. The result obtained corresponds to a relatively high concentration of soluble salts, which may indicate the presence of sodium and calcium chlorides and sulfates. After evaporating the extracts from all soils and all depths, I recalculated their percentages according to the method.</w:t>
      </w:r>
    </w:p>
    <w:p w14:paraId="38FD9024"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bCs/>
          <w:szCs w:val="22"/>
        </w:rPr>
        <w:t>Determination of Soil Moisture Content Using the Drying Oven Method</w:t>
      </w:r>
    </w:p>
    <w:p w14:paraId="728F803A"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To determine the moisture content of the soil samples, I used the standard drying oven method. For each sample, I took a clean and dry crucible (weighing dish), recorded its initial weight (M</w:t>
      </w:r>
      <w:r w:rsidRPr="005E347A">
        <w:rPr>
          <w:rFonts w:ascii="Cambria Math" w:eastAsia="Calibri" w:hAnsi="Cambria Math" w:cs="Cambria Math"/>
          <w:szCs w:val="22"/>
        </w:rPr>
        <w:t>₀</w:t>
      </w:r>
      <w:r w:rsidRPr="005E347A">
        <w:rPr>
          <w:rFonts w:ascii="Arial" w:eastAsia="Calibri" w:hAnsi="Arial" w:cs="Arial"/>
          <w:szCs w:val="22"/>
        </w:rPr>
        <w:t>), and then added approximately 10 grams of fresh (wet) soil. I recorded the combined weight of the crucible and moist soil (M</w:t>
      </w:r>
      <w:r w:rsidRPr="005E347A">
        <w:rPr>
          <w:rFonts w:ascii="Cambria Math" w:eastAsia="Calibri" w:hAnsi="Cambria Math" w:cs="Cambria Math"/>
          <w:szCs w:val="22"/>
        </w:rPr>
        <w:t>₁</w:t>
      </w:r>
      <w:r w:rsidRPr="005E347A">
        <w:rPr>
          <w:rFonts w:ascii="Arial" w:eastAsia="Calibri" w:hAnsi="Arial" w:cs="Arial"/>
          <w:szCs w:val="22"/>
        </w:rPr>
        <w:t>).</w:t>
      </w:r>
    </w:p>
    <w:p w14:paraId="06373865"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Next, I placed the open crucibles in a drying oven set at 105 °C and left them for approximately 12 hours, or until constant weight was achieved. After drying, I transferred the crucibles into a desiccator to cool and prevent moisture absorption from the air.</w:t>
      </w:r>
    </w:p>
    <w:p w14:paraId="0F7B2FF8" w14:textId="77777777" w:rsidR="005E347A" w:rsidRPr="005E347A" w:rsidRDefault="005E347A" w:rsidP="005E347A">
      <w:pPr>
        <w:pStyle w:val="Body"/>
        <w:rPr>
          <w:rFonts w:ascii="Arial" w:eastAsia="Calibri" w:hAnsi="Arial" w:cs="Arial"/>
          <w:szCs w:val="22"/>
        </w:rPr>
      </w:pPr>
      <w:r w:rsidRPr="005E347A">
        <w:rPr>
          <w:rFonts w:ascii="Arial" w:eastAsia="Calibri" w:hAnsi="Arial" w:cs="Arial"/>
          <w:szCs w:val="22"/>
        </w:rPr>
        <w:t>Once cooled, I weighed the crucibles again to determine the mass of the dry soil (M</w:t>
      </w:r>
      <w:r w:rsidRPr="005E347A">
        <w:rPr>
          <w:rFonts w:ascii="Cambria Math" w:eastAsia="Calibri" w:hAnsi="Cambria Math" w:cs="Cambria Math"/>
          <w:szCs w:val="22"/>
        </w:rPr>
        <w:t>₂</w:t>
      </w:r>
      <w:r w:rsidRPr="005E347A">
        <w:rPr>
          <w:rFonts w:ascii="Arial" w:eastAsia="Calibri" w:hAnsi="Arial" w:cs="Arial"/>
          <w:szCs w:val="22"/>
        </w:rPr>
        <w:t>). Using these measurements, I calculated the moisture content of each soil sample using the following formula:</w:t>
      </w:r>
    </w:p>
    <w:p w14:paraId="03EBF631" w14:textId="77777777" w:rsidR="005E347A" w:rsidRPr="005E347A" w:rsidRDefault="005E347A" w:rsidP="00E32D8C">
      <w:pPr>
        <w:pStyle w:val="Body"/>
        <w:rPr>
          <w:rFonts w:ascii="Arial" w:eastAsia="Calibri" w:hAnsi="Arial" w:cs="Arial"/>
          <w:szCs w:val="22"/>
        </w:rPr>
      </w:pPr>
      <w:r w:rsidRPr="00965517">
        <w:rPr>
          <w:rFonts w:ascii="Arial" w:eastAsia="Calibri" w:hAnsi="Arial" w:cs="Arial"/>
          <w:szCs w:val="22"/>
        </w:rPr>
        <w:t>Using this method, I successfully determined the moisture content for all the soil samples under investigation.</w:t>
      </w:r>
    </w:p>
    <w:p w14:paraId="0E507904" w14:textId="77777777" w:rsidR="00E32D8C" w:rsidRDefault="004634ED" w:rsidP="00E32D8C">
      <w:pPr>
        <w:pStyle w:val="Body"/>
        <w:rPr>
          <w:rFonts w:ascii="Arial" w:hAnsi="Arial" w:cs="Arial"/>
        </w:rPr>
      </w:pPr>
      <w:r w:rsidRPr="004634ED">
        <w:rPr>
          <w:rFonts w:ascii="Arial" w:hAnsi="Arial" w:cs="Arial"/>
        </w:rPr>
        <w:t xml:space="preserve">Readily </w:t>
      </w:r>
      <w:proofErr w:type="spellStart"/>
      <w:r w:rsidRPr="004634ED">
        <w:rPr>
          <w:rFonts w:ascii="Arial" w:hAnsi="Arial" w:cs="Arial"/>
        </w:rPr>
        <w:t>hydrolyzable</w:t>
      </w:r>
      <w:proofErr w:type="spellEnd"/>
      <w:r w:rsidRPr="004634ED">
        <w:rPr>
          <w:rFonts w:ascii="Arial" w:hAnsi="Arial" w:cs="Arial"/>
        </w:rPr>
        <w:t xml:space="preserve"> nitrogen is determined by the Turen-Kononova method.</w:t>
      </w:r>
    </w:p>
    <w:p w14:paraId="403F3F4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56C7DA8" w14:textId="77777777" w:rsidR="00790ADA" w:rsidRPr="00FB3A86" w:rsidRDefault="00790ADA" w:rsidP="00441B6F">
      <w:pPr>
        <w:pStyle w:val="Head1"/>
        <w:spacing w:after="0"/>
        <w:jc w:val="both"/>
        <w:rPr>
          <w:rFonts w:ascii="Arial" w:hAnsi="Arial" w:cs="Arial"/>
        </w:rPr>
      </w:pPr>
    </w:p>
    <w:p w14:paraId="3E1D8C91" w14:textId="77777777" w:rsidR="00CD3B48" w:rsidRPr="00CD3B48" w:rsidRDefault="00CD3B48" w:rsidP="00CD3B48">
      <w:pPr>
        <w:pStyle w:val="Body"/>
        <w:rPr>
          <w:rFonts w:ascii="Arial" w:hAnsi="Arial" w:cs="Arial"/>
        </w:rPr>
      </w:pPr>
      <w:r w:rsidRPr="00CD3B48">
        <w:rPr>
          <w:rFonts w:ascii="Arial" w:hAnsi="Arial" w:cs="Arial"/>
        </w:rPr>
        <w:t>The study analyzed the soil’s pH (6.42), moisture content (12%) Salinity -0.8</w:t>
      </w:r>
      <w:proofErr w:type="gramStart"/>
      <w:r w:rsidRPr="00CD3B48">
        <w:rPr>
          <w:rFonts w:ascii="Arial" w:hAnsi="Arial" w:cs="Arial"/>
        </w:rPr>
        <w:t>% ,</w:t>
      </w:r>
      <w:proofErr w:type="gramEnd"/>
      <w:r w:rsidRPr="00CD3B48">
        <w:rPr>
          <w:rFonts w:ascii="Arial" w:hAnsi="Arial" w:cs="Arial"/>
        </w:rPr>
        <w:t xml:space="preserve"> and </w:t>
      </w:r>
      <w:proofErr w:type="spellStart"/>
      <w:r w:rsidRPr="00CD3B48">
        <w:rPr>
          <w:rFonts w:ascii="Arial" w:hAnsi="Arial" w:cs="Arial"/>
        </w:rPr>
        <w:t>hydrolyzable</w:t>
      </w:r>
      <w:proofErr w:type="spellEnd"/>
      <w:r w:rsidRPr="00CD3B48">
        <w:rPr>
          <w:rFonts w:ascii="Arial" w:hAnsi="Arial" w:cs="Arial"/>
        </w:rPr>
        <w:t xml:space="preserve"> nitrogen (5.2 mg/100 g of dry soil). The total count of nitrogen-fixing bacteria was 3,884,222 per gram of dry soil. The genera composition was as follows: </w:t>
      </w:r>
      <w:proofErr w:type="spellStart"/>
      <w:r w:rsidRPr="00CD3B48">
        <w:rPr>
          <w:rFonts w:ascii="Arial" w:hAnsi="Arial" w:cs="Arial"/>
        </w:rPr>
        <w:t>Azospirillum</w:t>
      </w:r>
      <w:proofErr w:type="spellEnd"/>
      <w:r w:rsidRPr="00CD3B48">
        <w:rPr>
          <w:rFonts w:ascii="Arial" w:hAnsi="Arial" w:cs="Arial"/>
        </w:rPr>
        <w:t xml:space="preserve"> (68.94%), </w:t>
      </w:r>
      <w:proofErr w:type="spellStart"/>
      <w:r w:rsidRPr="00CD3B48">
        <w:rPr>
          <w:rFonts w:ascii="Arial" w:hAnsi="Arial" w:cs="Arial"/>
        </w:rPr>
        <w:t>Azotobacter</w:t>
      </w:r>
      <w:proofErr w:type="spellEnd"/>
      <w:r w:rsidRPr="00CD3B48">
        <w:rPr>
          <w:rFonts w:ascii="Arial" w:hAnsi="Arial" w:cs="Arial"/>
        </w:rPr>
        <w:t xml:space="preserve"> (22.27%), </w:t>
      </w:r>
      <w:proofErr w:type="spellStart"/>
      <w:r w:rsidRPr="00CD3B48">
        <w:rPr>
          <w:rFonts w:ascii="Arial" w:hAnsi="Arial" w:cs="Arial"/>
        </w:rPr>
        <w:t>Beijerinckia</w:t>
      </w:r>
      <w:proofErr w:type="spellEnd"/>
      <w:r w:rsidRPr="00CD3B48">
        <w:rPr>
          <w:rFonts w:ascii="Arial" w:hAnsi="Arial" w:cs="Arial"/>
        </w:rPr>
        <w:t xml:space="preserve"> (7.08%), and </w:t>
      </w:r>
      <w:proofErr w:type="spellStart"/>
      <w:r w:rsidRPr="00CD3B48">
        <w:rPr>
          <w:rFonts w:ascii="Arial" w:hAnsi="Arial" w:cs="Arial"/>
        </w:rPr>
        <w:t>Derxia</w:t>
      </w:r>
      <w:proofErr w:type="spellEnd"/>
      <w:r w:rsidRPr="00CD3B48">
        <w:rPr>
          <w:rFonts w:ascii="Arial" w:hAnsi="Arial" w:cs="Arial"/>
        </w:rPr>
        <w:t xml:space="preserve"> (1.69%).</w:t>
      </w:r>
    </w:p>
    <w:p w14:paraId="0EA67E28" w14:textId="77777777" w:rsidR="00CD3B48" w:rsidRPr="00CD3B48" w:rsidRDefault="00CD3B48" w:rsidP="00CD3B48">
      <w:pPr>
        <w:pStyle w:val="Body"/>
        <w:rPr>
          <w:rFonts w:ascii="Arial" w:hAnsi="Arial" w:cs="Arial"/>
        </w:rPr>
      </w:pPr>
      <w:r w:rsidRPr="00CD3B48">
        <w:rPr>
          <w:rFonts w:ascii="Arial" w:hAnsi="Arial" w:cs="Arial"/>
        </w:rPr>
        <w:t xml:space="preserve">The data indicates that Eastern Georgia’s solonetz soil type is characterized by lower pH and </w:t>
      </w:r>
      <w:proofErr w:type="spellStart"/>
      <w:r w:rsidRPr="00CD3B48">
        <w:rPr>
          <w:rFonts w:ascii="Arial" w:hAnsi="Arial" w:cs="Arial"/>
        </w:rPr>
        <w:t>hydrolyzable</w:t>
      </w:r>
      <w:proofErr w:type="spellEnd"/>
      <w:r w:rsidRPr="00CD3B48">
        <w:rPr>
          <w:rFonts w:ascii="Arial" w:hAnsi="Arial" w:cs="Arial"/>
        </w:rPr>
        <w:t xml:space="preserve"> nitrogen compared to other soil types (e.g., gray-brown, meadow-brown, and solonetz-carbonate soils, with pH values of 6.9, 6.5, and 6.64, respectively) (</w:t>
      </w:r>
      <w:proofErr w:type="spellStart"/>
      <w:r w:rsidRPr="00CD3B48">
        <w:rPr>
          <w:rFonts w:ascii="Arial" w:hAnsi="Arial" w:cs="Arial"/>
        </w:rPr>
        <w:t>Lomtatidze</w:t>
      </w:r>
      <w:proofErr w:type="spellEnd"/>
      <w:r w:rsidRPr="00CD3B48">
        <w:rPr>
          <w:rFonts w:ascii="Arial" w:hAnsi="Arial" w:cs="Arial"/>
        </w:rPr>
        <w:t xml:space="preserve"> &amp; </w:t>
      </w:r>
      <w:proofErr w:type="spellStart"/>
      <w:r w:rsidRPr="00CD3B48">
        <w:rPr>
          <w:rFonts w:ascii="Arial" w:hAnsi="Arial" w:cs="Arial"/>
        </w:rPr>
        <w:t>Gioshvili</w:t>
      </w:r>
      <w:proofErr w:type="spellEnd"/>
      <w:r w:rsidRPr="00CD3B48">
        <w:rPr>
          <w:rFonts w:ascii="Arial" w:hAnsi="Arial" w:cs="Arial"/>
        </w:rPr>
        <w:t xml:space="preserve"> 2023).</w:t>
      </w:r>
    </w:p>
    <w:p w14:paraId="24427217" w14:textId="77777777" w:rsidR="00CD3B48" w:rsidRPr="00CD3B48" w:rsidRDefault="00CD3B48" w:rsidP="00CD3B48">
      <w:pPr>
        <w:pStyle w:val="Body"/>
        <w:rPr>
          <w:rFonts w:ascii="Arial" w:hAnsi="Arial" w:cs="Arial"/>
        </w:rPr>
      </w:pPr>
      <w:r w:rsidRPr="00CD3B48">
        <w:rPr>
          <w:rFonts w:ascii="Arial" w:hAnsi="Arial" w:cs="Arial"/>
        </w:rPr>
        <w:lastRenderedPageBreak/>
        <w:t xml:space="preserve">This analysis reveals that low nitrogen levels positively influence the proliferation of nitrogen-fixing bacteria, particularly favoring </w:t>
      </w:r>
      <w:proofErr w:type="spellStart"/>
      <w:r w:rsidRPr="00CD3B48">
        <w:rPr>
          <w:rFonts w:ascii="Arial" w:hAnsi="Arial" w:cs="Arial"/>
        </w:rPr>
        <w:t>Azospirillum</w:t>
      </w:r>
      <w:proofErr w:type="spellEnd"/>
      <w:r w:rsidRPr="00CD3B48">
        <w:rPr>
          <w:rFonts w:ascii="Arial" w:hAnsi="Arial" w:cs="Arial"/>
        </w:rPr>
        <w:t>.</w:t>
      </w:r>
    </w:p>
    <w:p w14:paraId="6C619314" w14:textId="77777777" w:rsidR="00790ADA" w:rsidRDefault="00790ADA" w:rsidP="00441B6F">
      <w:pPr>
        <w:pStyle w:val="Body"/>
        <w:spacing w:after="0"/>
        <w:rPr>
          <w:rFonts w:ascii="Arial" w:hAnsi="Arial" w:cs="Arial"/>
        </w:rPr>
      </w:pPr>
    </w:p>
    <w:p w14:paraId="7654639E" w14:textId="77777777" w:rsidR="00EB2A0E" w:rsidRPr="00EB2A0E" w:rsidRDefault="009500A6" w:rsidP="00EB2A0E">
      <w:pPr>
        <w:tabs>
          <w:tab w:val="left" w:pos="1080"/>
        </w:tabs>
        <w:jc w:val="both"/>
        <w:rPr>
          <w:rFonts w:ascii="Arial" w:hAnsi="Arial"/>
          <w:b/>
        </w:rPr>
      </w:pPr>
      <w:r>
        <w:rPr>
          <w:rFonts w:ascii="Arial" w:hAnsi="Arial"/>
          <w:b/>
        </w:rPr>
        <w:t>Table 1</w:t>
      </w:r>
      <w:r w:rsidR="00EB2A0E">
        <w:rPr>
          <w:rFonts w:ascii="Arial" w:hAnsi="Arial"/>
          <w:b/>
        </w:rPr>
        <w:t xml:space="preserve"> </w:t>
      </w:r>
      <w:r w:rsidR="00EB2A0E" w:rsidRPr="00EB2A0E">
        <w:rPr>
          <w:rFonts w:ascii="Arial" w:hAnsi="Arial"/>
          <w:b/>
        </w:rPr>
        <w:t xml:space="preserve">Distribution of Nitrogen-Fixing Bacteria in solonetz Soil. </w:t>
      </w:r>
    </w:p>
    <w:p w14:paraId="1E7EA042" w14:textId="77777777" w:rsidR="00863BD3" w:rsidRPr="00DC3180" w:rsidRDefault="00863BD3" w:rsidP="00441B6F">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31"/>
        <w:gridCol w:w="1106"/>
        <w:gridCol w:w="3031"/>
      </w:tblGrid>
      <w:tr w:rsidR="00863BD3" w:rsidRPr="00DC3180" w14:paraId="4D0E2B3A" w14:textId="77777777" w:rsidTr="00B52A33">
        <w:trPr>
          <w:jc w:val="center"/>
        </w:trPr>
        <w:tc>
          <w:tcPr>
            <w:tcW w:w="3131" w:type="dxa"/>
            <w:tcBorders>
              <w:bottom w:val="single" w:sz="4" w:space="0" w:color="auto"/>
            </w:tcBorders>
          </w:tcPr>
          <w:p w14:paraId="7AD6C131" w14:textId="77777777" w:rsidR="00863BD3" w:rsidRPr="00DC3180" w:rsidRDefault="00EB2A0E" w:rsidP="00441B6F">
            <w:pPr>
              <w:jc w:val="both"/>
              <w:rPr>
                <w:rFonts w:ascii="Arial" w:hAnsi="Arial"/>
                <w:b/>
                <w:bCs/>
              </w:rPr>
            </w:pPr>
            <w:r w:rsidRPr="00EB2A0E">
              <w:rPr>
                <w:rFonts w:ascii="Arial" w:hAnsi="Arial"/>
                <w:b/>
              </w:rPr>
              <w:t>Genera</w:t>
            </w:r>
          </w:p>
        </w:tc>
        <w:tc>
          <w:tcPr>
            <w:tcW w:w="1106" w:type="dxa"/>
            <w:tcBorders>
              <w:bottom w:val="single" w:sz="4" w:space="0" w:color="auto"/>
            </w:tcBorders>
          </w:tcPr>
          <w:p w14:paraId="1BBE5E01" w14:textId="77777777" w:rsidR="00863BD3" w:rsidRPr="00DC3180" w:rsidRDefault="00EB2A0E" w:rsidP="00441B6F">
            <w:pPr>
              <w:jc w:val="both"/>
              <w:rPr>
                <w:rFonts w:ascii="Arial" w:hAnsi="Arial"/>
                <w:b/>
                <w:bCs/>
              </w:rPr>
            </w:pPr>
            <w:r w:rsidRPr="00EB2A0E">
              <w:rPr>
                <w:rFonts w:ascii="Arial" w:hAnsi="Arial"/>
                <w:b/>
                <w:bCs/>
              </w:rPr>
              <w:t>Quantity (CFU/g)</w:t>
            </w:r>
          </w:p>
        </w:tc>
        <w:tc>
          <w:tcPr>
            <w:tcW w:w="3031" w:type="dxa"/>
            <w:tcBorders>
              <w:bottom w:val="single" w:sz="4" w:space="0" w:color="auto"/>
            </w:tcBorders>
          </w:tcPr>
          <w:p w14:paraId="712900BC" w14:textId="77777777" w:rsidR="00863BD3" w:rsidRPr="00DC3180" w:rsidRDefault="00EB2A0E" w:rsidP="00441B6F">
            <w:pPr>
              <w:jc w:val="both"/>
              <w:rPr>
                <w:rFonts w:ascii="Arial" w:hAnsi="Arial"/>
                <w:b/>
                <w:bCs/>
              </w:rPr>
            </w:pPr>
            <w:r w:rsidRPr="00EB2A0E">
              <w:rPr>
                <w:rFonts w:ascii="Arial" w:hAnsi="Arial"/>
                <w:b/>
                <w:bCs/>
              </w:rPr>
              <w:t>Percentage (%)</w:t>
            </w:r>
          </w:p>
        </w:tc>
      </w:tr>
      <w:tr w:rsidR="00863BD3" w:rsidRPr="00DC3180" w14:paraId="45F45886" w14:textId="77777777" w:rsidTr="00B52A33">
        <w:trPr>
          <w:trHeight w:val="301"/>
          <w:jc w:val="center"/>
          <w:hidden/>
        </w:trPr>
        <w:tc>
          <w:tcPr>
            <w:tcW w:w="3131" w:type="dxa"/>
            <w:tcBorders>
              <w:bottom w:val="nil"/>
            </w:tcBorders>
          </w:tcPr>
          <w:p w14:paraId="339D1E85" w14:textId="77777777" w:rsidR="00863BD3" w:rsidRPr="00DC3180" w:rsidRDefault="00863BD3" w:rsidP="00441B6F">
            <w:pPr>
              <w:jc w:val="both"/>
              <w:rPr>
                <w:rFonts w:ascii="Arial" w:hAnsi="Arial"/>
                <w:vanish/>
              </w:rPr>
            </w:pPr>
          </w:p>
          <w:p w14:paraId="2DA8B4FA" w14:textId="77777777" w:rsidR="00863BD3" w:rsidRPr="00DC3180" w:rsidRDefault="00EB2A0E" w:rsidP="00441B6F">
            <w:pPr>
              <w:jc w:val="both"/>
              <w:rPr>
                <w:rFonts w:ascii="Arial" w:hAnsi="Arial"/>
                <w:vanish/>
              </w:rPr>
            </w:pPr>
            <w:r>
              <w:rPr>
                <w:rFonts w:eastAsia="Calibri"/>
                <w:sz w:val="22"/>
                <w:szCs w:val="22"/>
              </w:rPr>
              <w:t>Azotobacter</w:t>
            </w:r>
          </w:p>
          <w:p w14:paraId="3C339A6F" w14:textId="77777777" w:rsidR="00863BD3" w:rsidRPr="00EB2A0E" w:rsidRDefault="00863BD3" w:rsidP="00441B6F">
            <w:pPr>
              <w:jc w:val="both"/>
              <w:rPr>
                <w:rFonts w:ascii="Arial" w:hAnsi="Arial"/>
              </w:rPr>
            </w:pPr>
          </w:p>
        </w:tc>
        <w:tc>
          <w:tcPr>
            <w:tcW w:w="1106" w:type="dxa"/>
            <w:tcBorders>
              <w:bottom w:val="nil"/>
            </w:tcBorders>
          </w:tcPr>
          <w:p w14:paraId="22B87655" w14:textId="77777777" w:rsidR="00863BD3" w:rsidRPr="00DC3180" w:rsidRDefault="00EB2A0E" w:rsidP="00441B6F">
            <w:pPr>
              <w:jc w:val="both"/>
              <w:rPr>
                <w:rFonts w:ascii="Arial" w:hAnsi="Arial"/>
              </w:rPr>
            </w:pPr>
            <w:r w:rsidRPr="00EB2A0E">
              <w:rPr>
                <w:rFonts w:ascii="Arial" w:hAnsi="Arial"/>
              </w:rPr>
              <w:t>865,155</w:t>
            </w:r>
          </w:p>
          <w:p w14:paraId="19A064D6" w14:textId="77777777" w:rsidR="00863BD3" w:rsidRPr="00DC3180" w:rsidRDefault="00863BD3" w:rsidP="00441B6F">
            <w:pPr>
              <w:jc w:val="both"/>
              <w:rPr>
                <w:rFonts w:ascii="Arial" w:hAnsi="Arial"/>
                <w:b/>
                <w:bCs/>
              </w:rPr>
            </w:pPr>
          </w:p>
        </w:tc>
        <w:tc>
          <w:tcPr>
            <w:tcW w:w="3031" w:type="dxa"/>
            <w:tcBorders>
              <w:bottom w:val="nil"/>
            </w:tcBorders>
          </w:tcPr>
          <w:p w14:paraId="394923EF" w14:textId="77777777" w:rsidR="00EB2A0E" w:rsidRPr="00EB2A0E" w:rsidRDefault="00EB2A0E" w:rsidP="008E710C">
            <w:pPr>
              <w:jc w:val="both"/>
              <w:rPr>
                <w:rFonts w:ascii="Arial" w:hAnsi="Arial"/>
                <w:bCs/>
              </w:rPr>
            </w:pPr>
            <w:r w:rsidRPr="00EB2A0E">
              <w:rPr>
                <w:rFonts w:ascii="Arial" w:hAnsi="Arial"/>
                <w:bCs/>
              </w:rPr>
              <w:t>22.27%</w:t>
            </w:r>
          </w:p>
        </w:tc>
      </w:tr>
      <w:tr w:rsidR="00863BD3" w:rsidRPr="00DC3180" w14:paraId="1D791F01" w14:textId="77777777" w:rsidTr="00B52A33">
        <w:trPr>
          <w:jc w:val="center"/>
        </w:trPr>
        <w:tc>
          <w:tcPr>
            <w:tcW w:w="3131" w:type="dxa"/>
            <w:tcBorders>
              <w:top w:val="nil"/>
              <w:bottom w:val="nil"/>
            </w:tcBorders>
          </w:tcPr>
          <w:p w14:paraId="49F4D835" w14:textId="77777777" w:rsidR="00863BD3" w:rsidRPr="00DC3180" w:rsidRDefault="00EB2A0E" w:rsidP="00441B6F">
            <w:pPr>
              <w:jc w:val="both"/>
              <w:rPr>
                <w:rFonts w:ascii="Arial" w:hAnsi="Arial" w:cs="Arial"/>
                <w:vanish/>
              </w:rPr>
            </w:pPr>
            <w:proofErr w:type="spellStart"/>
            <w:r>
              <w:rPr>
                <w:rFonts w:eastAsia="Calibri"/>
                <w:sz w:val="22"/>
                <w:szCs w:val="22"/>
              </w:rPr>
              <w:t>Beijerinckia</w:t>
            </w:r>
            <w:proofErr w:type="spellEnd"/>
          </w:p>
          <w:p w14:paraId="511746B0" w14:textId="77777777" w:rsidR="00863BD3" w:rsidRPr="00DC3180" w:rsidRDefault="00863BD3" w:rsidP="00441B6F">
            <w:pPr>
              <w:jc w:val="both"/>
              <w:rPr>
                <w:rFonts w:ascii="Arial" w:hAnsi="Arial" w:cs="Arial"/>
              </w:rPr>
            </w:pPr>
          </w:p>
        </w:tc>
        <w:tc>
          <w:tcPr>
            <w:tcW w:w="1106" w:type="dxa"/>
            <w:tcBorders>
              <w:top w:val="nil"/>
              <w:bottom w:val="nil"/>
            </w:tcBorders>
          </w:tcPr>
          <w:p w14:paraId="04FFBB30" w14:textId="77777777" w:rsidR="00863BD3" w:rsidRPr="00DC3180" w:rsidRDefault="00EB2A0E" w:rsidP="00441B6F">
            <w:pPr>
              <w:jc w:val="both"/>
              <w:rPr>
                <w:rFonts w:ascii="Arial" w:hAnsi="Arial" w:cs="Arial"/>
              </w:rPr>
            </w:pPr>
            <w:r w:rsidRPr="00EB2A0E">
              <w:rPr>
                <w:rFonts w:ascii="Arial" w:hAnsi="Arial" w:cs="Arial"/>
              </w:rPr>
              <w:t>275,167</w:t>
            </w:r>
          </w:p>
        </w:tc>
        <w:tc>
          <w:tcPr>
            <w:tcW w:w="3031" w:type="dxa"/>
            <w:tcBorders>
              <w:top w:val="nil"/>
              <w:bottom w:val="nil"/>
            </w:tcBorders>
          </w:tcPr>
          <w:p w14:paraId="61BCCD78" w14:textId="77777777" w:rsidR="00863BD3" w:rsidRPr="00DC3180" w:rsidRDefault="00EB2A0E" w:rsidP="00441B6F">
            <w:pPr>
              <w:jc w:val="both"/>
              <w:rPr>
                <w:rFonts w:ascii="Arial" w:hAnsi="Arial" w:cs="Arial"/>
                <w:vanish/>
              </w:rPr>
            </w:pPr>
            <w:r w:rsidRPr="00EB2A0E">
              <w:rPr>
                <w:rFonts w:ascii="Arial" w:hAnsi="Arial" w:cs="Arial"/>
              </w:rPr>
              <w:t>7.08%</w:t>
            </w:r>
          </w:p>
          <w:p w14:paraId="232354CE" w14:textId="77777777" w:rsidR="00863BD3" w:rsidRPr="00DC3180" w:rsidRDefault="00863BD3" w:rsidP="00441B6F">
            <w:pPr>
              <w:jc w:val="both"/>
              <w:rPr>
                <w:rFonts w:ascii="Arial" w:hAnsi="Arial"/>
              </w:rPr>
            </w:pPr>
          </w:p>
        </w:tc>
      </w:tr>
      <w:tr w:rsidR="00863BD3" w:rsidRPr="00DC3180" w14:paraId="5B0B4CD0" w14:textId="77777777" w:rsidTr="00B52A33">
        <w:trPr>
          <w:jc w:val="center"/>
        </w:trPr>
        <w:tc>
          <w:tcPr>
            <w:tcW w:w="3131" w:type="dxa"/>
            <w:tcBorders>
              <w:top w:val="nil"/>
              <w:bottom w:val="nil"/>
            </w:tcBorders>
          </w:tcPr>
          <w:p w14:paraId="4AA73DBB" w14:textId="77777777" w:rsidR="00863BD3" w:rsidRPr="00EB2A0E" w:rsidRDefault="00EB2A0E" w:rsidP="00EB2A0E">
            <w:pPr>
              <w:jc w:val="both"/>
              <w:rPr>
                <w:rFonts w:ascii="Arial" w:hAnsi="Arial"/>
                <w:sz w:val="22"/>
                <w:szCs w:val="22"/>
              </w:rPr>
            </w:pPr>
            <w:proofErr w:type="spellStart"/>
            <w:r w:rsidRPr="00EB2A0E">
              <w:rPr>
                <w:rFonts w:eastAsia="Calibri"/>
                <w:sz w:val="22"/>
                <w:szCs w:val="22"/>
              </w:rPr>
              <w:t>Azospirillum</w:t>
            </w:r>
            <w:proofErr w:type="spellEnd"/>
          </w:p>
        </w:tc>
        <w:tc>
          <w:tcPr>
            <w:tcW w:w="1106" w:type="dxa"/>
            <w:tcBorders>
              <w:top w:val="nil"/>
              <w:bottom w:val="nil"/>
            </w:tcBorders>
          </w:tcPr>
          <w:p w14:paraId="0CF81D02" w14:textId="77777777" w:rsidR="00863BD3" w:rsidRPr="00DC3180" w:rsidRDefault="00EB2A0E" w:rsidP="00441B6F">
            <w:pPr>
              <w:jc w:val="both"/>
              <w:rPr>
                <w:rFonts w:ascii="Arial" w:hAnsi="Arial"/>
              </w:rPr>
            </w:pPr>
            <w:r w:rsidRPr="00EB2A0E">
              <w:rPr>
                <w:rFonts w:ascii="Arial" w:hAnsi="Arial"/>
              </w:rPr>
              <w:t>2,678,150</w:t>
            </w:r>
          </w:p>
        </w:tc>
        <w:tc>
          <w:tcPr>
            <w:tcW w:w="3031" w:type="dxa"/>
            <w:tcBorders>
              <w:top w:val="nil"/>
              <w:bottom w:val="nil"/>
            </w:tcBorders>
          </w:tcPr>
          <w:p w14:paraId="257D82AF" w14:textId="77777777" w:rsidR="00863BD3" w:rsidRPr="00DC3180" w:rsidRDefault="00EB2A0E" w:rsidP="00441B6F">
            <w:pPr>
              <w:jc w:val="both"/>
              <w:rPr>
                <w:rFonts w:ascii="Arial" w:hAnsi="Arial" w:cs="Arial"/>
              </w:rPr>
            </w:pPr>
            <w:r w:rsidRPr="00EB2A0E">
              <w:rPr>
                <w:rFonts w:ascii="Arial" w:hAnsi="Arial" w:cs="Arial"/>
              </w:rPr>
              <w:t>68.94%</w:t>
            </w:r>
          </w:p>
        </w:tc>
      </w:tr>
      <w:tr w:rsidR="00863BD3" w:rsidRPr="00DC3180" w14:paraId="1DED6D4A" w14:textId="77777777" w:rsidTr="00B52A33">
        <w:trPr>
          <w:jc w:val="center"/>
        </w:trPr>
        <w:tc>
          <w:tcPr>
            <w:tcW w:w="3131" w:type="dxa"/>
            <w:tcBorders>
              <w:top w:val="nil"/>
              <w:bottom w:val="nil"/>
            </w:tcBorders>
          </w:tcPr>
          <w:p w14:paraId="5B8EAE37" w14:textId="77777777" w:rsidR="00863BD3" w:rsidRPr="00EB2A0E" w:rsidRDefault="00EB2A0E" w:rsidP="00441B6F">
            <w:pPr>
              <w:jc w:val="both"/>
              <w:rPr>
                <w:rFonts w:ascii="Arial" w:hAnsi="Arial"/>
                <w:sz w:val="22"/>
                <w:szCs w:val="22"/>
              </w:rPr>
            </w:pPr>
            <w:proofErr w:type="spellStart"/>
            <w:r w:rsidRPr="00EB2A0E">
              <w:rPr>
                <w:rFonts w:eastAsia="Calibri"/>
                <w:sz w:val="22"/>
                <w:szCs w:val="22"/>
              </w:rPr>
              <w:t>Derxia</w:t>
            </w:r>
            <w:proofErr w:type="spellEnd"/>
          </w:p>
        </w:tc>
        <w:tc>
          <w:tcPr>
            <w:tcW w:w="1106" w:type="dxa"/>
            <w:tcBorders>
              <w:top w:val="nil"/>
              <w:bottom w:val="nil"/>
            </w:tcBorders>
          </w:tcPr>
          <w:p w14:paraId="0BBE47FB" w14:textId="77777777" w:rsidR="00863BD3" w:rsidRPr="00DC3180" w:rsidRDefault="00EB2A0E" w:rsidP="00441B6F">
            <w:pPr>
              <w:jc w:val="both"/>
              <w:rPr>
                <w:rFonts w:ascii="Arial" w:hAnsi="Arial"/>
              </w:rPr>
            </w:pPr>
            <w:r w:rsidRPr="00EB2A0E">
              <w:rPr>
                <w:rFonts w:ascii="Arial" w:hAnsi="Arial"/>
              </w:rPr>
              <w:t>65,750</w:t>
            </w:r>
          </w:p>
        </w:tc>
        <w:tc>
          <w:tcPr>
            <w:tcW w:w="3031" w:type="dxa"/>
            <w:tcBorders>
              <w:top w:val="nil"/>
              <w:bottom w:val="nil"/>
            </w:tcBorders>
          </w:tcPr>
          <w:p w14:paraId="1DDC0D0D" w14:textId="77777777" w:rsidR="00863BD3" w:rsidRPr="00DC3180" w:rsidRDefault="00EB2A0E" w:rsidP="00441B6F">
            <w:pPr>
              <w:jc w:val="both"/>
              <w:rPr>
                <w:rFonts w:ascii="Arial" w:hAnsi="Arial" w:cs="Arial"/>
              </w:rPr>
            </w:pPr>
            <w:r w:rsidRPr="00EB2A0E">
              <w:rPr>
                <w:rFonts w:ascii="Arial" w:hAnsi="Arial" w:cs="Arial"/>
              </w:rPr>
              <w:t>1.69%</w:t>
            </w:r>
          </w:p>
        </w:tc>
      </w:tr>
    </w:tbl>
    <w:p w14:paraId="388660E3" w14:textId="77777777" w:rsidR="00B52A33" w:rsidRDefault="00B52A33" w:rsidP="00B52A33">
      <w:pPr>
        <w:pStyle w:val="BodyText3"/>
        <w:ind w:left="1080" w:hanging="1080"/>
        <w:rPr>
          <w:rFonts w:ascii="Arial" w:hAnsi="Arial" w:cs="Arial"/>
          <w:b/>
          <w:bCs/>
          <w:sz w:val="20"/>
          <w:szCs w:val="20"/>
        </w:rPr>
      </w:pPr>
    </w:p>
    <w:p w14:paraId="163FB65D" w14:textId="77777777" w:rsidR="00B52A33" w:rsidRPr="00B52A33" w:rsidRDefault="00B52A33" w:rsidP="00B52A33">
      <w:pPr>
        <w:pStyle w:val="BodyText3"/>
        <w:ind w:left="1080" w:hanging="1080"/>
        <w:rPr>
          <w:rFonts w:ascii="Arial" w:hAnsi="Arial" w:cs="Arial"/>
          <w:b/>
          <w:bCs/>
          <w:sz w:val="20"/>
          <w:szCs w:val="20"/>
          <w:lang w:val="ka-GE"/>
        </w:rPr>
      </w:pPr>
      <w:r w:rsidRPr="00B52A33">
        <w:rPr>
          <w:rFonts w:ascii="Arial" w:hAnsi="Arial" w:cs="Arial"/>
          <w:b/>
          <w:bCs/>
          <w:sz w:val="20"/>
          <w:szCs w:val="20"/>
        </w:rPr>
        <w:t xml:space="preserve">Table </w:t>
      </w:r>
      <w:r w:rsidRPr="00B52A33">
        <w:rPr>
          <w:rFonts w:ascii="Arial" w:hAnsi="Arial" w:cs="Arial"/>
          <w:b/>
          <w:bCs/>
          <w:sz w:val="20"/>
          <w:szCs w:val="20"/>
          <w:lang w:val="ka-GE"/>
        </w:rPr>
        <w:t>2 Soil physicochemical parameters</w:t>
      </w:r>
    </w:p>
    <w:p w14:paraId="2543D5B8" w14:textId="77777777" w:rsidR="00B52A33" w:rsidRPr="00B52A33" w:rsidRDefault="00B52A33" w:rsidP="00B52A33">
      <w:pPr>
        <w:pStyle w:val="BodyText3"/>
        <w:rPr>
          <w:rFonts w:ascii="Arial" w:hAnsi="Arial"/>
          <w:b/>
          <w:bCs/>
          <w:i/>
          <w:sz w:val="18"/>
        </w:rPr>
      </w:pPr>
    </w:p>
    <w:tbl>
      <w:tblPr>
        <w:tblW w:w="384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830"/>
        <w:gridCol w:w="1017"/>
      </w:tblGrid>
      <w:tr w:rsidR="00B52A33" w:rsidRPr="00B52A33" w14:paraId="69674207" w14:textId="77777777" w:rsidTr="00B52A33">
        <w:trPr>
          <w:trHeight w:val="236"/>
          <w:jc w:val="center"/>
        </w:trPr>
        <w:tc>
          <w:tcPr>
            <w:tcW w:w="2830" w:type="dxa"/>
            <w:tcBorders>
              <w:bottom w:val="nil"/>
            </w:tcBorders>
          </w:tcPr>
          <w:p w14:paraId="366AB5B5" w14:textId="77777777" w:rsidR="00B52A33" w:rsidRDefault="00B52A33" w:rsidP="00B52A33">
            <w:pPr>
              <w:pStyle w:val="BodyText3"/>
              <w:tabs>
                <w:tab w:val="left" w:pos="1080"/>
              </w:tabs>
              <w:ind w:left="1080" w:hanging="1080"/>
              <w:rPr>
                <w:rFonts w:cs="Helvetica"/>
                <w:bCs/>
                <w:sz w:val="22"/>
                <w:szCs w:val="22"/>
              </w:rPr>
            </w:pPr>
          </w:p>
          <w:p w14:paraId="36C9ADA2" w14:textId="77777777" w:rsidR="00B52A33" w:rsidRPr="00B52A33" w:rsidRDefault="00B52A33" w:rsidP="00B52A33">
            <w:pPr>
              <w:pStyle w:val="BodyText3"/>
              <w:tabs>
                <w:tab w:val="left" w:pos="1080"/>
              </w:tabs>
              <w:ind w:left="1080" w:hanging="1080"/>
              <w:rPr>
                <w:rFonts w:cs="Helvetica"/>
                <w:bCs/>
                <w:vanish/>
                <w:sz w:val="22"/>
                <w:szCs w:val="22"/>
              </w:rPr>
            </w:pPr>
          </w:p>
          <w:p w14:paraId="7216E143" w14:textId="77777777" w:rsidR="00B52A33" w:rsidRPr="00B52A33" w:rsidRDefault="00B52A33" w:rsidP="00B52A33">
            <w:pPr>
              <w:pStyle w:val="BodyText3"/>
              <w:tabs>
                <w:tab w:val="left" w:pos="1080"/>
              </w:tabs>
              <w:ind w:left="1080" w:hanging="1080"/>
              <w:rPr>
                <w:rFonts w:ascii="Sylfaen" w:hAnsi="Sylfaen"/>
                <w:bCs/>
                <w:i/>
                <w:sz w:val="18"/>
              </w:rPr>
            </w:pPr>
            <w:r w:rsidRPr="00B52A33">
              <w:rPr>
                <w:rFonts w:cs="Helvetica"/>
                <w:bCs/>
                <w:sz w:val="22"/>
                <w:szCs w:val="22"/>
              </w:rPr>
              <w:t>pH</w:t>
            </w:r>
          </w:p>
        </w:tc>
        <w:tc>
          <w:tcPr>
            <w:tcW w:w="1017" w:type="dxa"/>
            <w:tcBorders>
              <w:bottom w:val="nil"/>
            </w:tcBorders>
          </w:tcPr>
          <w:p w14:paraId="72CCB721" w14:textId="77777777" w:rsidR="00B52A33" w:rsidRPr="00B52A33" w:rsidRDefault="00B52A33" w:rsidP="00B52A33">
            <w:pPr>
              <w:pStyle w:val="BodyText3"/>
              <w:tabs>
                <w:tab w:val="left" w:pos="1080"/>
              </w:tabs>
              <w:ind w:left="1080" w:hanging="1080"/>
              <w:rPr>
                <w:rFonts w:ascii="Arial" w:hAnsi="Arial"/>
                <w:bCs/>
                <w:i/>
                <w:sz w:val="20"/>
                <w:szCs w:val="20"/>
              </w:rPr>
            </w:pPr>
          </w:p>
          <w:p w14:paraId="329A6D7E" w14:textId="77777777" w:rsidR="00B52A33" w:rsidRPr="00B52A33" w:rsidRDefault="00B52A33" w:rsidP="00B52A33">
            <w:pPr>
              <w:pStyle w:val="BodyText3"/>
              <w:tabs>
                <w:tab w:val="left" w:pos="1080"/>
              </w:tabs>
              <w:rPr>
                <w:rFonts w:ascii="Arial" w:hAnsi="Arial"/>
                <w:bCs/>
                <w:sz w:val="20"/>
                <w:szCs w:val="20"/>
              </w:rPr>
            </w:pPr>
            <w:r w:rsidRPr="00B52A33">
              <w:rPr>
                <w:rFonts w:ascii="Arial" w:hAnsi="Arial"/>
                <w:bCs/>
                <w:sz w:val="20"/>
                <w:szCs w:val="20"/>
              </w:rPr>
              <w:t xml:space="preserve">      6.42</w:t>
            </w:r>
          </w:p>
        </w:tc>
      </w:tr>
      <w:tr w:rsidR="00B52A33" w:rsidRPr="00B52A33" w14:paraId="6F0AEA5C" w14:textId="77777777" w:rsidTr="00B52A33">
        <w:trPr>
          <w:trHeight w:val="259"/>
          <w:jc w:val="center"/>
        </w:trPr>
        <w:tc>
          <w:tcPr>
            <w:tcW w:w="2830" w:type="dxa"/>
            <w:tcBorders>
              <w:top w:val="nil"/>
              <w:bottom w:val="nil"/>
            </w:tcBorders>
          </w:tcPr>
          <w:p w14:paraId="395CFCC8" w14:textId="77777777" w:rsidR="00B52A33" w:rsidRPr="00B52A33" w:rsidRDefault="00B52A33" w:rsidP="00B52A33">
            <w:pPr>
              <w:pStyle w:val="BodyText3"/>
              <w:tabs>
                <w:tab w:val="left" w:pos="1080"/>
              </w:tabs>
              <w:ind w:left="1080" w:hanging="1080"/>
              <w:rPr>
                <w:rFonts w:cs="Helvetica"/>
                <w:bCs/>
                <w:vanish/>
                <w:sz w:val="22"/>
                <w:szCs w:val="22"/>
              </w:rPr>
            </w:pPr>
            <w:r w:rsidRPr="00B52A33">
              <w:rPr>
                <w:rFonts w:cs="Helvetica"/>
                <w:bCs/>
                <w:sz w:val="22"/>
                <w:szCs w:val="22"/>
                <w:lang w:val="ka-GE"/>
              </w:rPr>
              <w:t>Hydrolyzable nitrogen</w:t>
            </w:r>
          </w:p>
          <w:p w14:paraId="3F5A5042" w14:textId="77777777" w:rsidR="00B52A33" w:rsidRPr="00B52A33" w:rsidRDefault="00B52A33" w:rsidP="00B52A33">
            <w:pPr>
              <w:pStyle w:val="BodyText3"/>
              <w:tabs>
                <w:tab w:val="left" w:pos="1080"/>
              </w:tabs>
              <w:ind w:left="1080" w:hanging="1080"/>
              <w:rPr>
                <w:rFonts w:ascii="Arial" w:hAnsi="Arial"/>
                <w:bCs/>
                <w:i/>
                <w:sz w:val="18"/>
              </w:rPr>
            </w:pPr>
          </w:p>
        </w:tc>
        <w:tc>
          <w:tcPr>
            <w:tcW w:w="1017" w:type="dxa"/>
            <w:tcBorders>
              <w:top w:val="nil"/>
              <w:bottom w:val="nil"/>
            </w:tcBorders>
          </w:tcPr>
          <w:p w14:paraId="06C5D862" w14:textId="77777777" w:rsidR="00B52A33" w:rsidRPr="00B52A33" w:rsidRDefault="00B52A33" w:rsidP="00B52A33">
            <w:pPr>
              <w:pStyle w:val="BodyText3"/>
              <w:tabs>
                <w:tab w:val="left" w:pos="1080"/>
              </w:tabs>
              <w:ind w:left="1080" w:hanging="1080"/>
              <w:rPr>
                <w:rFonts w:ascii="Arial" w:hAnsi="Arial"/>
                <w:bCs/>
                <w:sz w:val="20"/>
                <w:szCs w:val="20"/>
              </w:rPr>
            </w:pPr>
            <w:r w:rsidRPr="00B52A33">
              <w:rPr>
                <w:rFonts w:ascii="Arial" w:hAnsi="Arial"/>
                <w:bCs/>
                <w:i/>
                <w:sz w:val="20"/>
                <w:szCs w:val="20"/>
              </w:rPr>
              <w:t xml:space="preserve">      </w:t>
            </w:r>
            <w:r w:rsidRPr="00B52A33">
              <w:rPr>
                <w:rFonts w:ascii="Arial" w:hAnsi="Arial"/>
                <w:bCs/>
                <w:sz w:val="20"/>
                <w:szCs w:val="20"/>
              </w:rPr>
              <w:t>5.2</w:t>
            </w:r>
          </w:p>
        </w:tc>
      </w:tr>
      <w:tr w:rsidR="00B52A33" w:rsidRPr="00B52A33" w14:paraId="1EDCCC19" w14:textId="77777777" w:rsidTr="00B52A33">
        <w:trPr>
          <w:trHeight w:val="259"/>
          <w:jc w:val="center"/>
        </w:trPr>
        <w:tc>
          <w:tcPr>
            <w:tcW w:w="2830" w:type="dxa"/>
            <w:tcBorders>
              <w:top w:val="nil"/>
              <w:bottom w:val="nil"/>
            </w:tcBorders>
          </w:tcPr>
          <w:p w14:paraId="10CDC58F" w14:textId="77777777" w:rsidR="00B52A33" w:rsidRPr="00B52A33" w:rsidRDefault="00B52A33" w:rsidP="00B52A33">
            <w:pPr>
              <w:pStyle w:val="BodyText3"/>
              <w:tabs>
                <w:tab w:val="left" w:pos="1080"/>
              </w:tabs>
              <w:ind w:left="1080" w:hanging="1080"/>
              <w:rPr>
                <w:rFonts w:cs="Helvetica"/>
                <w:bCs/>
                <w:sz w:val="22"/>
                <w:szCs w:val="22"/>
              </w:rPr>
            </w:pPr>
            <w:r w:rsidRPr="00B52A33">
              <w:rPr>
                <w:rFonts w:cs="Helvetica"/>
                <w:bCs/>
                <w:sz w:val="22"/>
                <w:szCs w:val="22"/>
              </w:rPr>
              <w:t>Moist</w:t>
            </w:r>
          </w:p>
        </w:tc>
        <w:tc>
          <w:tcPr>
            <w:tcW w:w="1017" w:type="dxa"/>
            <w:tcBorders>
              <w:top w:val="nil"/>
              <w:bottom w:val="nil"/>
            </w:tcBorders>
          </w:tcPr>
          <w:p w14:paraId="4120B56C" w14:textId="77777777" w:rsidR="00B52A33" w:rsidRPr="00B52A33" w:rsidRDefault="00B52A33" w:rsidP="00B52A33">
            <w:pPr>
              <w:pStyle w:val="BodyText3"/>
              <w:tabs>
                <w:tab w:val="left" w:pos="1080"/>
              </w:tabs>
              <w:ind w:left="1080" w:hanging="1080"/>
              <w:rPr>
                <w:rFonts w:ascii="Arial" w:hAnsi="Arial"/>
                <w:bCs/>
                <w:sz w:val="20"/>
                <w:szCs w:val="20"/>
              </w:rPr>
            </w:pPr>
            <w:r w:rsidRPr="00B52A33">
              <w:rPr>
                <w:rFonts w:ascii="Arial" w:hAnsi="Arial"/>
                <w:bCs/>
                <w:i/>
                <w:sz w:val="20"/>
                <w:szCs w:val="20"/>
              </w:rPr>
              <w:t xml:space="preserve">      </w:t>
            </w:r>
            <w:r w:rsidRPr="00B52A33">
              <w:rPr>
                <w:rFonts w:ascii="Arial" w:hAnsi="Arial"/>
                <w:bCs/>
                <w:sz w:val="20"/>
                <w:szCs w:val="20"/>
              </w:rPr>
              <w:t>12%</w:t>
            </w:r>
          </w:p>
        </w:tc>
      </w:tr>
    </w:tbl>
    <w:p w14:paraId="178EA916" w14:textId="77777777" w:rsidR="00EB2A0E" w:rsidRDefault="00EB2A0E" w:rsidP="00441B6F">
      <w:pPr>
        <w:pStyle w:val="BodyText3"/>
        <w:tabs>
          <w:tab w:val="left" w:pos="1080"/>
        </w:tabs>
        <w:spacing w:after="0"/>
        <w:ind w:left="1080" w:hanging="1080"/>
        <w:jc w:val="both"/>
        <w:rPr>
          <w:rFonts w:ascii="Arial" w:hAnsi="Arial"/>
          <w:bCs/>
          <w:i/>
          <w:sz w:val="18"/>
        </w:rPr>
      </w:pPr>
    </w:p>
    <w:p w14:paraId="56F967D7" w14:textId="77777777" w:rsidR="00EB2A0E" w:rsidRDefault="00EB2A0E" w:rsidP="00441B6F">
      <w:pPr>
        <w:pStyle w:val="BodyText3"/>
        <w:tabs>
          <w:tab w:val="left" w:pos="1080"/>
        </w:tabs>
        <w:spacing w:after="0"/>
        <w:ind w:left="1080" w:hanging="1080"/>
        <w:jc w:val="both"/>
        <w:rPr>
          <w:rFonts w:ascii="Arial" w:hAnsi="Arial"/>
          <w:bCs/>
          <w:i/>
          <w:sz w:val="18"/>
        </w:rPr>
      </w:pPr>
    </w:p>
    <w:p w14:paraId="39117B72" w14:textId="77777777" w:rsidR="007D2C2C" w:rsidRPr="008B0D20" w:rsidRDefault="007D2C2C" w:rsidP="007D2C2C">
      <w:pPr>
        <w:pStyle w:val="Body"/>
        <w:spacing w:after="0"/>
        <w:rPr>
          <w:rFonts w:asciiTheme="minorHAnsi" w:hAnsiTheme="minorHAnsi" w:cs="Arial"/>
          <w:lang w:val="ka-GE"/>
        </w:rPr>
      </w:pPr>
      <w:r w:rsidRPr="007D2C2C">
        <w:rPr>
          <w:rFonts w:ascii="Arial" w:hAnsi="Arial" w:cs="Arial"/>
        </w:rPr>
        <w:t xml:space="preserve">In soils with similar pH (6.43) and moisture levels (13%), such as mountain-meadow soils, higher </w:t>
      </w:r>
      <w:proofErr w:type="spellStart"/>
      <w:r w:rsidRPr="007D2C2C">
        <w:rPr>
          <w:rFonts w:ascii="Arial" w:hAnsi="Arial" w:cs="Arial"/>
        </w:rPr>
        <w:t>hydrolyzable</w:t>
      </w:r>
      <w:proofErr w:type="spellEnd"/>
      <w:r w:rsidRPr="007D2C2C">
        <w:rPr>
          <w:rFonts w:ascii="Arial" w:hAnsi="Arial" w:cs="Arial"/>
        </w:rPr>
        <w:t xml:space="preserve"> nitrogen (14-30 mg/100 g of soil) and significantly lower nitrogen-fixing bacteria counts (250 CFU) are observed, predominantly </w:t>
      </w:r>
      <w:proofErr w:type="spellStart"/>
      <w:r w:rsidRPr="007D2C2C">
        <w:rPr>
          <w:rFonts w:ascii="Arial" w:hAnsi="Arial" w:cs="Arial"/>
        </w:rPr>
        <w:t>Azotobacter</w:t>
      </w:r>
      <w:proofErr w:type="spellEnd"/>
      <w:r w:rsidRPr="007D2C2C">
        <w:rPr>
          <w:rFonts w:ascii="Arial" w:hAnsi="Arial" w:cs="Arial"/>
        </w:rPr>
        <w:t xml:space="preserve"> (</w:t>
      </w:r>
      <w:proofErr w:type="spellStart"/>
      <w:r w:rsidRPr="007D2C2C">
        <w:rPr>
          <w:rFonts w:ascii="Arial" w:hAnsi="Arial" w:cs="Arial"/>
        </w:rPr>
        <w:t>Kvesitadze</w:t>
      </w:r>
      <w:proofErr w:type="spellEnd"/>
      <w:r w:rsidRPr="007D2C2C">
        <w:rPr>
          <w:rFonts w:ascii="Arial" w:hAnsi="Arial" w:cs="Arial"/>
        </w:rPr>
        <w:t xml:space="preserve"> et al. 2013).</w:t>
      </w:r>
    </w:p>
    <w:p w14:paraId="6EB9A42B" w14:textId="77777777" w:rsidR="008B0D20" w:rsidRDefault="007D2C2C" w:rsidP="007D2C2C">
      <w:pPr>
        <w:pStyle w:val="Body"/>
      </w:pPr>
      <w:r w:rsidRPr="007D2C2C">
        <w:rPr>
          <w:rFonts w:ascii="Arial" w:hAnsi="Arial" w:cs="Arial"/>
        </w:rPr>
        <w:t xml:space="preserve">This analysis reveals that low nitrogen levels positively influence the proliferation of nitrogen-fixing bacteria, particularly favoring </w:t>
      </w:r>
      <w:proofErr w:type="spellStart"/>
      <w:r w:rsidRPr="007D2C2C">
        <w:rPr>
          <w:rFonts w:ascii="Arial" w:hAnsi="Arial" w:cs="Arial"/>
        </w:rPr>
        <w:t>Azospirillum</w:t>
      </w:r>
      <w:proofErr w:type="spellEnd"/>
      <w:r w:rsidR="008B0D20">
        <w:rPr>
          <w:rFonts w:asciiTheme="minorHAnsi" w:hAnsiTheme="minorHAnsi" w:cs="Arial"/>
          <w:lang w:val="ka-GE"/>
        </w:rPr>
        <w:t>.</w:t>
      </w:r>
      <w:r w:rsidR="008B0D20" w:rsidRPr="008B0D20">
        <w:t xml:space="preserve"> </w:t>
      </w:r>
    </w:p>
    <w:p w14:paraId="62DC0B11" w14:textId="77777777" w:rsidR="00790ADA" w:rsidRPr="008B0D20" w:rsidRDefault="008B0D20" w:rsidP="007D2C2C">
      <w:pPr>
        <w:pStyle w:val="Body"/>
        <w:rPr>
          <w:rFonts w:asciiTheme="minorHAnsi" w:hAnsiTheme="minorHAnsi" w:cs="Arial"/>
          <w:lang w:val="ka-GE"/>
        </w:rPr>
      </w:pPr>
      <w:r>
        <w:rPr>
          <w:rFonts w:asciiTheme="minorHAnsi" w:hAnsiTheme="minorHAnsi"/>
          <w:lang w:val="ka-GE"/>
        </w:rPr>
        <w:t xml:space="preserve"> </w:t>
      </w:r>
      <w:r w:rsidRPr="008B0D20">
        <w:rPr>
          <w:rFonts w:ascii="Arial" w:hAnsi="Arial" w:cs="Arial"/>
        </w:rPr>
        <w:t xml:space="preserve">The results of the study show that this type of soil has favorable physicochemical parameters that are favorable for nitrogen fixers of the genus </w:t>
      </w:r>
      <w:proofErr w:type="spellStart"/>
      <w:r w:rsidRPr="008B0D20">
        <w:rPr>
          <w:rFonts w:ascii="Arial" w:hAnsi="Arial" w:cs="Arial"/>
        </w:rPr>
        <w:t>Azospirillum</w:t>
      </w:r>
      <w:proofErr w:type="spellEnd"/>
      <w:r w:rsidRPr="008B0D20">
        <w:rPr>
          <w:rFonts w:ascii="Arial" w:hAnsi="Arial" w:cs="Arial"/>
        </w:rPr>
        <w:t xml:space="preserve">. Presumably, due to the low amount of </w:t>
      </w:r>
      <w:proofErr w:type="spellStart"/>
      <w:r w:rsidRPr="008B0D20">
        <w:rPr>
          <w:rFonts w:ascii="Arial" w:hAnsi="Arial" w:cs="Arial"/>
        </w:rPr>
        <w:t>hydrolyzable</w:t>
      </w:r>
      <w:proofErr w:type="spellEnd"/>
      <w:r w:rsidRPr="008B0D20">
        <w:rPr>
          <w:rFonts w:ascii="Arial" w:hAnsi="Arial" w:cs="Arial"/>
        </w:rPr>
        <w:t xml:space="preserve"> nitrogen in this type of soil, the nitrogen fixation process should proceed strongly, despite the acidic </w:t>
      </w:r>
      <w:proofErr w:type="spellStart"/>
      <w:r w:rsidRPr="008B0D20">
        <w:rPr>
          <w:rFonts w:ascii="Arial" w:hAnsi="Arial" w:cs="Arial"/>
        </w:rPr>
        <w:t>pH</w:t>
      </w:r>
      <w:proofErr w:type="gramStart"/>
      <w:r w:rsidRPr="008B0D20">
        <w:rPr>
          <w:rFonts w:ascii="Arial" w:hAnsi="Arial" w:cs="Arial"/>
        </w:rPr>
        <w:t>.</w:t>
      </w:r>
      <w:proofErr w:type="spellEnd"/>
      <w:r>
        <w:rPr>
          <w:rFonts w:asciiTheme="minorHAnsi" w:hAnsiTheme="minorHAnsi" w:cs="Arial"/>
          <w:lang w:val="ka-GE"/>
        </w:rPr>
        <w:t xml:space="preserve"> </w:t>
      </w:r>
      <w:r w:rsidR="007D2C2C" w:rsidRPr="007D2C2C">
        <w:rPr>
          <w:rFonts w:ascii="Arial" w:hAnsi="Arial" w:cs="Arial"/>
        </w:rPr>
        <w:t>.</w:t>
      </w:r>
      <w:proofErr w:type="gramEnd"/>
      <w:r>
        <w:rPr>
          <w:rFonts w:asciiTheme="minorHAnsi" w:hAnsiTheme="minorHAnsi" w:cs="Arial"/>
          <w:lang w:val="ka-GE"/>
        </w:rPr>
        <w:t xml:space="preserve"> </w:t>
      </w:r>
    </w:p>
    <w:p w14:paraId="2EA1785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392BAC3" w14:textId="77777777" w:rsidR="00790ADA" w:rsidRPr="00FB3A86" w:rsidRDefault="00790ADA" w:rsidP="00441B6F">
      <w:pPr>
        <w:pStyle w:val="ConcHead"/>
        <w:spacing w:after="0"/>
        <w:jc w:val="both"/>
        <w:rPr>
          <w:rFonts w:ascii="Arial" w:hAnsi="Arial" w:cs="Arial"/>
        </w:rPr>
      </w:pPr>
    </w:p>
    <w:p w14:paraId="2F1388CF" w14:textId="77777777" w:rsidR="007D2C2C" w:rsidRPr="007D2C2C" w:rsidRDefault="007D2C2C" w:rsidP="007D2C2C">
      <w:pPr>
        <w:pStyle w:val="Body"/>
        <w:spacing w:after="0"/>
        <w:rPr>
          <w:rFonts w:ascii="Arial" w:hAnsi="Arial" w:cs="Arial"/>
        </w:rPr>
      </w:pPr>
      <w:r w:rsidRPr="007D2C2C">
        <w:rPr>
          <w:rFonts w:ascii="Arial" w:hAnsi="Arial" w:cs="Arial"/>
        </w:rPr>
        <w:t xml:space="preserve">The Solonetz soil type in Eastern Georgia has a pH of 6.42, a moisture content of 12%, Salinity -0.8% and </w:t>
      </w:r>
      <w:proofErr w:type="spellStart"/>
      <w:r w:rsidRPr="007D2C2C">
        <w:rPr>
          <w:rFonts w:ascii="Arial" w:hAnsi="Arial" w:cs="Arial"/>
        </w:rPr>
        <w:t>hydrolyzable</w:t>
      </w:r>
      <w:proofErr w:type="spellEnd"/>
      <w:r w:rsidRPr="007D2C2C">
        <w:rPr>
          <w:rFonts w:ascii="Arial" w:hAnsi="Arial" w:cs="Arial"/>
        </w:rPr>
        <w:t xml:space="preserve"> nitrogen content of 5.2 mg per 100 g of soil.</w:t>
      </w:r>
    </w:p>
    <w:p w14:paraId="1B7428FF" w14:textId="77777777" w:rsidR="007D2C2C" w:rsidRPr="007D2C2C" w:rsidRDefault="007D2C2C" w:rsidP="007D2C2C">
      <w:pPr>
        <w:pStyle w:val="Body"/>
        <w:spacing w:after="0"/>
        <w:rPr>
          <w:rFonts w:ascii="Arial" w:hAnsi="Arial" w:cs="Arial"/>
        </w:rPr>
      </w:pPr>
      <w:r w:rsidRPr="007D2C2C">
        <w:rPr>
          <w:rFonts w:ascii="Arial" w:hAnsi="Arial" w:cs="Arial"/>
        </w:rPr>
        <w:t xml:space="preserve">The total population of nitrogen-fixing bacteria in this soil is 3,884,222 per gram of dry soil, with the genera distributed as follows: </w:t>
      </w:r>
      <w:proofErr w:type="spellStart"/>
      <w:r w:rsidRPr="007D2C2C">
        <w:rPr>
          <w:rFonts w:ascii="Arial" w:hAnsi="Arial" w:cs="Arial"/>
        </w:rPr>
        <w:t>Azotobacter</w:t>
      </w:r>
      <w:proofErr w:type="spellEnd"/>
      <w:r w:rsidRPr="007D2C2C">
        <w:rPr>
          <w:rFonts w:ascii="Arial" w:hAnsi="Arial" w:cs="Arial"/>
        </w:rPr>
        <w:t xml:space="preserve"> (22.27%), </w:t>
      </w:r>
      <w:proofErr w:type="spellStart"/>
      <w:r w:rsidRPr="007D2C2C">
        <w:rPr>
          <w:rFonts w:ascii="Arial" w:hAnsi="Arial" w:cs="Arial"/>
        </w:rPr>
        <w:t>Beijerinckia</w:t>
      </w:r>
      <w:proofErr w:type="spellEnd"/>
      <w:r w:rsidRPr="007D2C2C">
        <w:rPr>
          <w:rFonts w:ascii="Arial" w:hAnsi="Arial" w:cs="Arial"/>
        </w:rPr>
        <w:t xml:space="preserve"> (7.08%), </w:t>
      </w:r>
      <w:proofErr w:type="spellStart"/>
      <w:r w:rsidRPr="007D2C2C">
        <w:rPr>
          <w:rFonts w:ascii="Arial" w:hAnsi="Arial" w:cs="Arial"/>
        </w:rPr>
        <w:t>Azospirillum</w:t>
      </w:r>
      <w:proofErr w:type="spellEnd"/>
      <w:r w:rsidRPr="007D2C2C">
        <w:rPr>
          <w:rFonts w:ascii="Arial" w:hAnsi="Arial" w:cs="Arial"/>
        </w:rPr>
        <w:t xml:space="preserve"> (68.94%), and </w:t>
      </w:r>
      <w:proofErr w:type="spellStart"/>
      <w:r w:rsidRPr="007D2C2C">
        <w:rPr>
          <w:rFonts w:ascii="Arial" w:hAnsi="Arial" w:cs="Arial"/>
        </w:rPr>
        <w:t>Derxia</w:t>
      </w:r>
      <w:proofErr w:type="spellEnd"/>
      <w:r w:rsidRPr="007D2C2C">
        <w:rPr>
          <w:rFonts w:ascii="Arial" w:hAnsi="Arial" w:cs="Arial"/>
        </w:rPr>
        <w:t xml:space="preserve"> (1.69%).</w:t>
      </w:r>
    </w:p>
    <w:p w14:paraId="5255702A" w14:textId="77777777" w:rsidR="00B01FCD" w:rsidRDefault="007D2C2C" w:rsidP="007D2C2C">
      <w:pPr>
        <w:pStyle w:val="Body"/>
        <w:spacing w:after="0"/>
        <w:rPr>
          <w:rFonts w:ascii="Arial" w:hAnsi="Arial" w:cs="Arial"/>
        </w:rPr>
      </w:pPr>
      <w:r w:rsidRPr="007D2C2C">
        <w:rPr>
          <w:rFonts w:ascii="Arial" w:hAnsi="Arial" w:cs="Arial"/>
        </w:rPr>
        <w:t xml:space="preserve">The concentration of easily </w:t>
      </w:r>
      <w:proofErr w:type="spellStart"/>
      <w:r w:rsidRPr="007D2C2C">
        <w:rPr>
          <w:rFonts w:ascii="Arial" w:hAnsi="Arial" w:cs="Arial"/>
        </w:rPr>
        <w:t>hydrolyzable</w:t>
      </w:r>
      <w:proofErr w:type="spellEnd"/>
      <w:r w:rsidRPr="007D2C2C">
        <w:rPr>
          <w:rFonts w:ascii="Arial" w:hAnsi="Arial" w:cs="Arial"/>
        </w:rPr>
        <w:t xml:space="preserve"> nitrogen appears to determine both the quantitative distribution of nitrogen-fixing bacteria and the composition of individual genera</w:t>
      </w:r>
    </w:p>
    <w:p w14:paraId="32BCD792" w14:textId="77777777" w:rsidR="00790ADA" w:rsidRPr="00FB3A86" w:rsidRDefault="00790ADA" w:rsidP="00441B6F">
      <w:pPr>
        <w:pStyle w:val="Body"/>
        <w:spacing w:after="0"/>
        <w:rPr>
          <w:rFonts w:ascii="Arial" w:hAnsi="Arial" w:cs="Arial"/>
        </w:rPr>
      </w:pPr>
    </w:p>
    <w:p w14:paraId="16CA43C8" w14:textId="2D3F74A4" w:rsidR="007D2C2C" w:rsidRDefault="007D2C2C" w:rsidP="007D2C2C">
      <w:pPr>
        <w:pStyle w:val="Body"/>
        <w:rPr>
          <w:rFonts w:ascii="Arial" w:hAnsi="Arial" w:cs="Arial"/>
          <w:b/>
        </w:rPr>
      </w:pPr>
    </w:p>
    <w:p w14:paraId="7E3D6612" w14:textId="77777777" w:rsidR="00C358B6" w:rsidRDefault="00C358B6" w:rsidP="007D2C2C">
      <w:pPr>
        <w:pStyle w:val="Body"/>
        <w:rPr>
          <w:rFonts w:ascii="Arial" w:hAnsi="Arial" w:cs="Arial"/>
          <w:b/>
        </w:rPr>
      </w:pPr>
    </w:p>
    <w:p w14:paraId="5712241C" w14:textId="77777777" w:rsidR="00C358B6" w:rsidRPr="00C358B6" w:rsidRDefault="00C358B6" w:rsidP="00C358B6">
      <w:pPr>
        <w:pStyle w:val="Body"/>
        <w:rPr>
          <w:rFonts w:ascii="Arial" w:hAnsi="Arial" w:cs="Arial"/>
          <w:bCs/>
        </w:rPr>
      </w:pPr>
      <w:r w:rsidRPr="00C358B6">
        <w:rPr>
          <w:rFonts w:ascii="Arial" w:hAnsi="Arial" w:cs="Arial"/>
          <w:bCs/>
        </w:rPr>
        <w:t>COMPETING INTERESTS DISCLAIMER:</w:t>
      </w:r>
    </w:p>
    <w:p w14:paraId="33D7F9B6" w14:textId="6E003669" w:rsidR="00C358B6" w:rsidRPr="00C358B6" w:rsidRDefault="00C358B6" w:rsidP="00C358B6">
      <w:pPr>
        <w:pStyle w:val="Body"/>
        <w:rPr>
          <w:rFonts w:ascii="Arial" w:hAnsi="Arial" w:cs="Arial"/>
          <w:bCs/>
        </w:rPr>
      </w:pPr>
      <w:r w:rsidRPr="00C358B6">
        <w:rPr>
          <w:rFonts w:ascii="Arial" w:hAnsi="Arial" w:cs="Arial"/>
          <w:bCs/>
        </w:rPr>
        <w:t>Authors have declared that they have no known competing financial interests OR non-financial interests OR personal relationships that could have appeared to influence the work reported in this paper.</w:t>
      </w:r>
    </w:p>
    <w:p w14:paraId="68971A48" w14:textId="77777777" w:rsidR="00860000" w:rsidRDefault="00860000" w:rsidP="00441B6F">
      <w:pPr>
        <w:pStyle w:val="ReferHead"/>
        <w:spacing w:after="0"/>
        <w:jc w:val="both"/>
        <w:rPr>
          <w:rFonts w:ascii="Arial" w:hAnsi="Arial" w:cs="Arial"/>
        </w:rPr>
      </w:pPr>
    </w:p>
    <w:p w14:paraId="07D8391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D11ECCA" w14:textId="77777777" w:rsidR="00284C4C" w:rsidRPr="00284C4C" w:rsidRDefault="00284C4C" w:rsidP="00441B6F">
      <w:pPr>
        <w:pStyle w:val="Body"/>
        <w:spacing w:after="0"/>
        <w:rPr>
          <w:rFonts w:ascii="Arial" w:hAnsi="Arial" w:cs="Arial"/>
          <w:i/>
          <w:u w:val="single"/>
        </w:rPr>
      </w:pPr>
    </w:p>
    <w:p w14:paraId="03B5A9EC" w14:textId="77777777" w:rsidR="007D2C2C" w:rsidRPr="007D2C2C" w:rsidRDefault="007D2C2C" w:rsidP="007D2C2C">
      <w:pPr>
        <w:pStyle w:val="Body"/>
        <w:rPr>
          <w:rFonts w:ascii="Arial" w:hAnsi="Arial" w:cs="Arial"/>
        </w:rPr>
      </w:pPr>
      <w:r w:rsidRPr="007D2C2C">
        <w:rPr>
          <w:rFonts w:ascii="Arial" w:hAnsi="Arial" w:cs="Arial"/>
        </w:rPr>
        <w:t xml:space="preserve">Arun, A. B., &amp; Singh, J. S. (2004). Microbial population dynamics in water-stressed tropical soils. </w:t>
      </w:r>
      <w:r w:rsidRPr="007D2C2C">
        <w:rPr>
          <w:rFonts w:ascii="Arial" w:hAnsi="Arial" w:cs="Arial"/>
          <w:i/>
          <w:iCs/>
        </w:rPr>
        <w:t>Soil Biology and Biochemistry</w:t>
      </w:r>
      <w:r w:rsidRPr="007D2C2C">
        <w:rPr>
          <w:rFonts w:ascii="Arial" w:hAnsi="Arial" w:cs="Arial"/>
        </w:rPr>
        <w:t>, 36(8), 1229–1237.</w:t>
      </w:r>
    </w:p>
    <w:p w14:paraId="6B448079" w14:textId="77777777" w:rsidR="007D2C2C" w:rsidRPr="007D2C2C" w:rsidRDefault="007D2C2C" w:rsidP="007D2C2C">
      <w:pPr>
        <w:pStyle w:val="Body"/>
        <w:rPr>
          <w:rFonts w:ascii="Arial" w:hAnsi="Arial" w:cs="Arial"/>
        </w:rPr>
      </w:pPr>
      <w:r w:rsidRPr="007D2C2C">
        <w:rPr>
          <w:rFonts w:ascii="Arial" w:hAnsi="Arial" w:cs="Arial"/>
        </w:rPr>
        <w:lastRenderedPageBreak/>
        <w:t xml:space="preserve">Badri, D. V., &amp; Vivanco, J. M. (2009). Regulation and function of root exudates. </w:t>
      </w:r>
      <w:r w:rsidRPr="007D2C2C">
        <w:rPr>
          <w:rFonts w:ascii="Arial" w:hAnsi="Arial" w:cs="Arial"/>
          <w:i/>
          <w:iCs/>
        </w:rPr>
        <w:t>Plant, Cell &amp; Environment</w:t>
      </w:r>
      <w:r w:rsidRPr="007D2C2C">
        <w:rPr>
          <w:rFonts w:ascii="Arial" w:hAnsi="Arial" w:cs="Arial"/>
        </w:rPr>
        <w:t>, 32(6), 666–681.</w:t>
      </w:r>
    </w:p>
    <w:p w14:paraId="3E019592" w14:textId="77777777" w:rsidR="007D2C2C" w:rsidRPr="007D2C2C" w:rsidRDefault="007D2C2C" w:rsidP="007D2C2C">
      <w:pPr>
        <w:pStyle w:val="Body"/>
        <w:rPr>
          <w:rFonts w:ascii="Arial" w:hAnsi="Arial" w:cs="Arial"/>
        </w:rPr>
      </w:pPr>
      <w:r w:rsidRPr="007D2C2C">
        <w:rPr>
          <w:rFonts w:ascii="Arial" w:hAnsi="Arial" w:cs="Arial"/>
        </w:rPr>
        <w:t xml:space="preserve">Bashan, Y. (1998). Inoculants of plant growth-promoting bacteria for use in agriculture. </w:t>
      </w:r>
      <w:r w:rsidRPr="007D2C2C">
        <w:rPr>
          <w:rFonts w:ascii="Arial" w:hAnsi="Arial" w:cs="Arial"/>
          <w:i/>
          <w:iCs/>
        </w:rPr>
        <w:t>Biotechnology Advances</w:t>
      </w:r>
      <w:r w:rsidRPr="007D2C2C">
        <w:rPr>
          <w:rFonts w:ascii="Arial" w:hAnsi="Arial" w:cs="Arial"/>
        </w:rPr>
        <w:t>, 16(4), 729–770.</w:t>
      </w:r>
    </w:p>
    <w:p w14:paraId="5DD3E65E" w14:textId="77777777" w:rsidR="007D2C2C" w:rsidRPr="007D2C2C" w:rsidRDefault="007D2C2C" w:rsidP="007D2C2C">
      <w:pPr>
        <w:pStyle w:val="Body"/>
        <w:rPr>
          <w:rFonts w:ascii="Arial" w:hAnsi="Arial" w:cs="Arial"/>
        </w:rPr>
      </w:pPr>
      <w:r w:rsidRPr="007D2C2C">
        <w:rPr>
          <w:rFonts w:ascii="Arial" w:hAnsi="Arial" w:cs="Arial"/>
        </w:rPr>
        <w:t xml:space="preserve">Bashan, Y., &amp; Holguin, G. (1997). </w:t>
      </w:r>
      <w:proofErr w:type="spellStart"/>
      <w:r w:rsidRPr="007D2C2C">
        <w:rPr>
          <w:rFonts w:ascii="Arial" w:hAnsi="Arial" w:cs="Arial"/>
        </w:rPr>
        <w:t>Azospirillum</w:t>
      </w:r>
      <w:proofErr w:type="spellEnd"/>
      <w:r w:rsidRPr="007D2C2C">
        <w:rPr>
          <w:rFonts w:ascii="Arial" w:hAnsi="Arial" w:cs="Arial"/>
        </w:rPr>
        <w:t xml:space="preserve">–plant relationships: Environmental and physiological advances (1990–1996). </w:t>
      </w:r>
      <w:r w:rsidRPr="007D2C2C">
        <w:rPr>
          <w:rFonts w:ascii="Arial" w:hAnsi="Arial" w:cs="Arial"/>
          <w:i/>
          <w:iCs/>
        </w:rPr>
        <w:t>Canadian Journal of Microbiology</w:t>
      </w:r>
      <w:r w:rsidRPr="007D2C2C">
        <w:rPr>
          <w:rFonts w:ascii="Arial" w:hAnsi="Arial" w:cs="Arial"/>
        </w:rPr>
        <w:t>, 43(2), 103–121.</w:t>
      </w:r>
    </w:p>
    <w:p w14:paraId="2539864E" w14:textId="77777777" w:rsidR="007D2C2C" w:rsidRPr="007D2C2C" w:rsidRDefault="007D2C2C" w:rsidP="007D2C2C">
      <w:pPr>
        <w:pStyle w:val="Body"/>
        <w:rPr>
          <w:rFonts w:ascii="Arial" w:hAnsi="Arial" w:cs="Arial"/>
        </w:rPr>
      </w:pPr>
      <w:r w:rsidRPr="007D2C2C">
        <w:rPr>
          <w:rFonts w:ascii="Arial" w:hAnsi="Arial" w:cs="Arial"/>
        </w:rPr>
        <w:t xml:space="preserve">Bell, C., McIntyre, N. E., Cox, S., Tissue, D. T., &amp; Zak, J. C. (2009). Soil microbial responses to temporal variations of moisture and temperature in a Chihuahuan Desert grassland. </w:t>
      </w:r>
      <w:r w:rsidRPr="007D2C2C">
        <w:rPr>
          <w:rFonts w:ascii="Arial" w:hAnsi="Arial" w:cs="Arial"/>
          <w:i/>
          <w:iCs/>
        </w:rPr>
        <w:t>Microbial Ecology</w:t>
      </w:r>
      <w:r w:rsidRPr="007D2C2C">
        <w:rPr>
          <w:rFonts w:ascii="Arial" w:hAnsi="Arial" w:cs="Arial"/>
        </w:rPr>
        <w:t>, 58(4), 827–842.</w:t>
      </w:r>
    </w:p>
    <w:p w14:paraId="2AE2363A" w14:textId="77777777" w:rsidR="007D2C2C" w:rsidRPr="007D2C2C" w:rsidRDefault="007D2C2C" w:rsidP="007D2C2C">
      <w:pPr>
        <w:pStyle w:val="Body"/>
        <w:rPr>
          <w:rFonts w:ascii="Arial" w:hAnsi="Arial" w:cs="Arial"/>
        </w:rPr>
      </w:pPr>
      <w:r w:rsidRPr="007D2C2C">
        <w:rPr>
          <w:rFonts w:ascii="Arial" w:hAnsi="Arial" w:cs="Arial"/>
        </w:rPr>
        <w:t xml:space="preserve">Bhardwaj, D., Ansari, M. W., Sahoo, R. K., &amp; Tuteja, N. (2014). Biofertilizers function as key player in sustainable agriculture by improving soil fertility, plant tolerance and crop productivity. </w:t>
      </w:r>
      <w:r w:rsidRPr="007D2C2C">
        <w:rPr>
          <w:rFonts w:ascii="Arial" w:hAnsi="Arial" w:cs="Arial"/>
          <w:i/>
          <w:iCs/>
        </w:rPr>
        <w:t>Microbial Cell Factories</w:t>
      </w:r>
      <w:r w:rsidRPr="007D2C2C">
        <w:rPr>
          <w:rFonts w:ascii="Arial" w:hAnsi="Arial" w:cs="Arial"/>
        </w:rPr>
        <w:t>, 13(1), 66.</w:t>
      </w:r>
    </w:p>
    <w:p w14:paraId="43472B62" w14:textId="77777777" w:rsidR="007D2C2C" w:rsidRPr="007D2C2C" w:rsidRDefault="007D2C2C" w:rsidP="007D2C2C">
      <w:pPr>
        <w:pStyle w:val="Body"/>
        <w:rPr>
          <w:rFonts w:ascii="Arial" w:hAnsi="Arial" w:cs="Arial"/>
        </w:rPr>
      </w:pPr>
      <w:proofErr w:type="spellStart"/>
      <w:r w:rsidRPr="007D2C2C">
        <w:rPr>
          <w:rFonts w:ascii="Arial" w:hAnsi="Arial" w:cs="Arial"/>
        </w:rPr>
        <w:t>Boddey</w:t>
      </w:r>
      <w:proofErr w:type="spellEnd"/>
      <w:r w:rsidRPr="007D2C2C">
        <w:rPr>
          <w:rFonts w:ascii="Arial" w:hAnsi="Arial" w:cs="Arial"/>
        </w:rPr>
        <w:t xml:space="preserve">, R. M., Urquiaga, S., Alves, B. J. R., &amp; Reis, V. (2003). Endophytic nitrogen fixation in sugarcane: Present knowledge and future applications. </w:t>
      </w:r>
      <w:r w:rsidRPr="007D2C2C">
        <w:rPr>
          <w:rFonts w:ascii="Arial" w:hAnsi="Arial" w:cs="Arial"/>
          <w:i/>
          <w:iCs/>
        </w:rPr>
        <w:t>Plant and Soil</w:t>
      </w:r>
      <w:r w:rsidRPr="007D2C2C">
        <w:rPr>
          <w:rFonts w:ascii="Arial" w:hAnsi="Arial" w:cs="Arial"/>
        </w:rPr>
        <w:t>, 252(1), 139–149.</w:t>
      </w:r>
    </w:p>
    <w:p w14:paraId="1C58200D" w14:textId="77777777" w:rsidR="007D2C2C" w:rsidRPr="007D2C2C" w:rsidRDefault="007D2C2C" w:rsidP="007D2C2C">
      <w:pPr>
        <w:pStyle w:val="Body"/>
        <w:rPr>
          <w:rFonts w:ascii="Arial" w:hAnsi="Arial" w:cs="Arial"/>
        </w:rPr>
      </w:pPr>
      <w:r w:rsidRPr="007D2C2C">
        <w:rPr>
          <w:rFonts w:ascii="Arial" w:hAnsi="Arial" w:cs="Arial"/>
        </w:rPr>
        <w:t xml:space="preserve">Dobbelaere, S., </w:t>
      </w:r>
      <w:proofErr w:type="spellStart"/>
      <w:r w:rsidRPr="007D2C2C">
        <w:rPr>
          <w:rFonts w:ascii="Arial" w:hAnsi="Arial" w:cs="Arial"/>
        </w:rPr>
        <w:t>Vanderleyden</w:t>
      </w:r>
      <w:proofErr w:type="spellEnd"/>
      <w:r w:rsidRPr="007D2C2C">
        <w:rPr>
          <w:rFonts w:ascii="Arial" w:hAnsi="Arial" w:cs="Arial"/>
        </w:rPr>
        <w:t xml:space="preserve">, J., &amp; Okon, Y. (2003). Plant growth-promoting effects of diazotrophs in the rhizosphere. </w:t>
      </w:r>
      <w:r w:rsidRPr="007D2C2C">
        <w:rPr>
          <w:rFonts w:ascii="Arial" w:hAnsi="Arial" w:cs="Arial"/>
          <w:i/>
          <w:iCs/>
        </w:rPr>
        <w:t>Critical Reviews in Plant Sciences</w:t>
      </w:r>
      <w:r w:rsidRPr="007D2C2C">
        <w:rPr>
          <w:rFonts w:ascii="Arial" w:hAnsi="Arial" w:cs="Arial"/>
        </w:rPr>
        <w:t>, 22(2), 107–149.</w:t>
      </w:r>
    </w:p>
    <w:p w14:paraId="7BD25734" w14:textId="77777777" w:rsidR="007D2C2C" w:rsidRPr="007D2C2C" w:rsidRDefault="007D2C2C" w:rsidP="007D2C2C">
      <w:pPr>
        <w:pStyle w:val="Body"/>
        <w:rPr>
          <w:rFonts w:ascii="Arial" w:hAnsi="Arial" w:cs="Arial"/>
        </w:rPr>
      </w:pPr>
      <w:r w:rsidRPr="007D2C2C">
        <w:rPr>
          <w:rFonts w:ascii="Arial" w:hAnsi="Arial" w:cs="Arial"/>
        </w:rPr>
        <w:t xml:space="preserve">Erisman, J. W., Sutton, M. A., Galloway, J., </w:t>
      </w:r>
      <w:proofErr w:type="spellStart"/>
      <w:r w:rsidRPr="007D2C2C">
        <w:rPr>
          <w:rFonts w:ascii="Arial" w:hAnsi="Arial" w:cs="Arial"/>
        </w:rPr>
        <w:t>Klimont</w:t>
      </w:r>
      <w:proofErr w:type="spellEnd"/>
      <w:r w:rsidRPr="007D2C2C">
        <w:rPr>
          <w:rFonts w:ascii="Arial" w:hAnsi="Arial" w:cs="Arial"/>
        </w:rPr>
        <w:t xml:space="preserve">, Z., &amp; </w:t>
      </w:r>
      <w:proofErr w:type="spellStart"/>
      <w:r w:rsidRPr="007D2C2C">
        <w:rPr>
          <w:rFonts w:ascii="Arial" w:hAnsi="Arial" w:cs="Arial"/>
        </w:rPr>
        <w:t>Winiwarter</w:t>
      </w:r>
      <w:proofErr w:type="spellEnd"/>
      <w:r w:rsidRPr="007D2C2C">
        <w:rPr>
          <w:rFonts w:ascii="Arial" w:hAnsi="Arial" w:cs="Arial"/>
        </w:rPr>
        <w:t xml:space="preserve">, W. (2008). How a century of ammonia synthesis changed the world. </w:t>
      </w:r>
      <w:r w:rsidRPr="007D2C2C">
        <w:rPr>
          <w:rFonts w:ascii="Arial" w:hAnsi="Arial" w:cs="Arial"/>
          <w:i/>
          <w:iCs/>
        </w:rPr>
        <w:t>Nature Geoscience</w:t>
      </w:r>
      <w:r w:rsidRPr="007D2C2C">
        <w:rPr>
          <w:rFonts w:ascii="Arial" w:hAnsi="Arial" w:cs="Arial"/>
        </w:rPr>
        <w:t>, 1(10), 636–639.</w:t>
      </w:r>
    </w:p>
    <w:p w14:paraId="4F6866D7" w14:textId="77777777" w:rsidR="007D2C2C" w:rsidRPr="007D2C2C" w:rsidRDefault="007D2C2C" w:rsidP="007D2C2C">
      <w:pPr>
        <w:pStyle w:val="Body"/>
        <w:rPr>
          <w:rFonts w:ascii="Arial" w:hAnsi="Arial" w:cs="Arial"/>
        </w:rPr>
      </w:pPr>
      <w:r w:rsidRPr="007D2C2C">
        <w:rPr>
          <w:rFonts w:ascii="Arial" w:hAnsi="Arial" w:cs="Arial"/>
        </w:rPr>
        <w:t xml:space="preserve">Eswaran, H., Reich, P. F., Kimble, J. M., </w:t>
      </w:r>
      <w:proofErr w:type="spellStart"/>
      <w:r w:rsidRPr="007D2C2C">
        <w:rPr>
          <w:rFonts w:ascii="Arial" w:hAnsi="Arial" w:cs="Arial"/>
        </w:rPr>
        <w:t>Beinroth</w:t>
      </w:r>
      <w:proofErr w:type="spellEnd"/>
      <w:r w:rsidRPr="007D2C2C">
        <w:rPr>
          <w:rFonts w:ascii="Arial" w:hAnsi="Arial" w:cs="Arial"/>
        </w:rPr>
        <w:t xml:space="preserve">, F. H., Padmanabhan, E., &amp; </w:t>
      </w:r>
      <w:proofErr w:type="spellStart"/>
      <w:r w:rsidRPr="007D2C2C">
        <w:rPr>
          <w:rFonts w:ascii="Arial" w:hAnsi="Arial" w:cs="Arial"/>
        </w:rPr>
        <w:t>Moncharoen</w:t>
      </w:r>
      <w:proofErr w:type="spellEnd"/>
      <w:r w:rsidRPr="007D2C2C">
        <w:rPr>
          <w:rFonts w:ascii="Arial" w:hAnsi="Arial" w:cs="Arial"/>
        </w:rPr>
        <w:t xml:space="preserve">, P. (1997). Global soil degradation. In </w:t>
      </w:r>
      <w:r w:rsidRPr="007D2C2C">
        <w:rPr>
          <w:rFonts w:ascii="Arial" w:hAnsi="Arial" w:cs="Arial"/>
          <w:i/>
          <w:iCs/>
        </w:rPr>
        <w:t>Soil resources, management and conservation service</w:t>
      </w:r>
      <w:r w:rsidRPr="007D2C2C">
        <w:rPr>
          <w:rFonts w:ascii="Arial" w:hAnsi="Arial" w:cs="Arial"/>
        </w:rPr>
        <w:t xml:space="preserve"> (pp. 19–36). FAO.</w:t>
      </w:r>
    </w:p>
    <w:p w14:paraId="733E372B" w14:textId="77777777" w:rsidR="007D2C2C" w:rsidRPr="007D2C2C" w:rsidRDefault="007D2C2C" w:rsidP="007D2C2C">
      <w:pPr>
        <w:pStyle w:val="Body"/>
        <w:rPr>
          <w:rFonts w:ascii="Arial" w:hAnsi="Arial" w:cs="Arial"/>
        </w:rPr>
      </w:pPr>
      <w:r w:rsidRPr="007D2C2C">
        <w:rPr>
          <w:rFonts w:ascii="Arial" w:hAnsi="Arial" w:cs="Arial"/>
        </w:rPr>
        <w:t xml:space="preserve">FAO. (2006). </w:t>
      </w:r>
      <w:r w:rsidRPr="007D2C2C">
        <w:rPr>
          <w:rFonts w:ascii="Arial" w:hAnsi="Arial" w:cs="Arial"/>
          <w:i/>
          <w:iCs/>
        </w:rPr>
        <w:t>World reference base for soil resources 2006: A framework for international classification, correlation and communication</w:t>
      </w:r>
      <w:r w:rsidRPr="007D2C2C">
        <w:rPr>
          <w:rFonts w:ascii="Arial" w:hAnsi="Arial" w:cs="Arial"/>
        </w:rPr>
        <w:t>. Food and Agriculture Organization of the United Nations.</w:t>
      </w:r>
    </w:p>
    <w:p w14:paraId="34D7707F" w14:textId="77777777" w:rsidR="007D2C2C" w:rsidRPr="007D2C2C" w:rsidRDefault="007D2C2C" w:rsidP="007D2C2C">
      <w:pPr>
        <w:pStyle w:val="Body"/>
        <w:rPr>
          <w:rFonts w:ascii="Arial" w:hAnsi="Arial" w:cs="Arial"/>
        </w:rPr>
      </w:pPr>
      <w:r w:rsidRPr="007D2C2C">
        <w:rPr>
          <w:rFonts w:ascii="Arial" w:hAnsi="Arial" w:cs="Arial"/>
        </w:rPr>
        <w:t xml:space="preserve">Fierer, N., Schimel, J. P., &amp; Holden, P. A. (2003). Influence of drying–rewetting frequency on soil bacterial community structure. </w:t>
      </w:r>
      <w:r w:rsidRPr="007D2C2C">
        <w:rPr>
          <w:rFonts w:ascii="Arial" w:hAnsi="Arial" w:cs="Arial"/>
          <w:i/>
          <w:iCs/>
        </w:rPr>
        <w:t>Microbial Ecology</w:t>
      </w:r>
      <w:r w:rsidRPr="007D2C2C">
        <w:rPr>
          <w:rFonts w:ascii="Arial" w:hAnsi="Arial" w:cs="Arial"/>
        </w:rPr>
        <w:t>, 45(1), 63–71.</w:t>
      </w:r>
    </w:p>
    <w:p w14:paraId="480385FD" w14:textId="77777777" w:rsidR="007D2C2C" w:rsidRPr="007D2C2C" w:rsidRDefault="007D2C2C" w:rsidP="007D2C2C">
      <w:pPr>
        <w:pStyle w:val="Body"/>
        <w:rPr>
          <w:rFonts w:ascii="Arial" w:hAnsi="Arial" w:cs="Arial"/>
        </w:rPr>
      </w:pPr>
      <w:r w:rsidRPr="007D2C2C">
        <w:rPr>
          <w:rFonts w:ascii="Arial" w:hAnsi="Arial" w:cs="Arial"/>
        </w:rPr>
        <w:t xml:space="preserve">Galloway, J. N., Aber, J. D., Erisman, J. W., Seitzinger, S. P., Howarth, R. W., Cowling, E. B., &amp; Cosby, B. J. (2003). The nitrogen cascade. </w:t>
      </w:r>
      <w:proofErr w:type="spellStart"/>
      <w:r w:rsidRPr="007D2C2C">
        <w:rPr>
          <w:rFonts w:ascii="Arial" w:hAnsi="Arial" w:cs="Arial"/>
          <w:i/>
          <w:iCs/>
        </w:rPr>
        <w:t>BioScience</w:t>
      </w:r>
      <w:proofErr w:type="spellEnd"/>
      <w:r w:rsidRPr="007D2C2C">
        <w:rPr>
          <w:rFonts w:ascii="Arial" w:hAnsi="Arial" w:cs="Arial"/>
        </w:rPr>
        <w:t>, 53(4), 341–356.</w:t>
      </w:r>
    </w:p>
    <w:p w14:paraId="4A380A2F" w14:textId="77777777" w:rsidR="007D2C2C" w:rsidRPr="007D2C2C" w:rsidRDefault="007D2C2C" w:rsidP="007D2C2C">
      <w:pPr>
        <w:pStyle w:val="Body"/>
        <w:rPr>
          <w:rFonts w:ascii="Arial" w:hAnsi="Arial" w:cs="Arial"/>
        </w:rPr>
      </w:pPr>
      <w:r w:rsidRPr="007D2C2C">
        <w:rPr>
          <w:rFonts w:ascii="Arial" w:hAnsi="Arial" w:cs="Arial"/>
        </w:rPr>
        <w:t xml:space="preserve">Kennedy, I. R., &amp; Islam, N. (2001). The current and potential contribution of </w:t>
      </w:r>
      <w:proofErr w:type="spellStart"/>
      <w:r w:rsidRPr="007D2C2C">
        <w:rPr>
          <w:rFonts w:ascii="Arial" w:hAnsi="Arial" w:cs="Arial"/>
        </w:rPr>
        <w:t>asymbiotic</w:t>
      </w:r>
      <w:proofErr w:type="spellEnd"/>
      <w:r w:rsidRPr="007D2C2C">
        <w:rPr>
          <w:rFonts w:ascii="Arial" w:hAnsi="Arial" w:cs="Arial"/>
        </w:rPr>
        <w:t xml:space="preserve"> nitrogen fixation to nitrogen requirements on farms: A review. </w:t>
      </w:r>
      <w:r w:rsidRPr="007D2C2C">
        <w:rPr>
          <w:rFonts w:ascii="Arial" w:hAnsi="Arial" w:cs="Arial"/>
          <w:i/>
          <w:iCs/>
        </w:rPr>
        <w:t>Australian Journal of Experimental Agriculture</w:t>
      </w:r>
      <w:r w:rsidRPr="007D2C2C">
        <w:rPr>
          <w:rFonts w:ascii="Arial" w:hAnsi="Arial" w:cs="Arial"/>
        </w:rPr>
        <w:t>, 41(3), 447–457.</w:t>
      </w:r>
    </w:p>
    <w:p w14:paraId="62EB8DA8" w14:textId="77777777" w:rsidR="007D2C2C" w:rsidRPr="007D2C2C" w:rsidRDefault="007D2C2C" w:rsidP="007D2C2C">
      <w:pPr>
        <w:pStyle w:val="Body"/>
        <w:rPr>
          <w:rFonts w:ascii="Arial" w:hAnsi="Arial" w:cs="Arial"/>
        </w:rPr>
      </w:pPr>
      <w:r w:rsidRPr="007D2C2C">
        <w:rPr>
          <w:rFonts w:ascii="Arial" w:hAnsi="Arial" w:cs="Arial"/>
        </w:rPr>
        <w:t xml:space="preserve">Kennedy, I. R., Choudhury, A. T. M. A., &amp; Kecskés, M. L. (2004). Non-symbiotic bacterial diazotrophs in crop-farming systems: Can their potential for plant growth promotion be better exploited? </w:t>
      </w:r>
      <w:r w:rsidRPr="007D2C2C">
        <w:rPr>
          <w:rFonts w:ascii="Arial" w:hAnsi="Arial" w:cs="Arial"/>
          <w:i/>
          <w:iCs/>
        </w:rPr>
        <w:t>Soil Biology and Biochemistry</w:t>
      </w:r>
      <w:r w:rsidRPr="007D2C2C">
        <w:rPr>
          <w:rFonts w:ascii="Arial" w:hAnsi="Arial" w:cs="Arial"/>
        </w:rPr>
        <w:t>, 36(8), 1229–1234.</w:t>
      </w:r>
    </w:p>
    <w:p w14:paraId="01A6450B" w14:textId="77777777" w:rsidR="007D2C2C" w:rsidRPr="007D2C2C" w:rsidRDefault="007D2C2C" w:rsidP="007D2C2C">
      <w:pPr>
        <w:pStyle w:val="Body"/>
        <w:rPr>
          <w:rFonts w:ascii="Arial" w:hAnsi="Arial" w:cs="Arial"/>
        </w:rPr>
      </w:pPr>
      <w:r w:rsidRPr="007D2C2C">
        <w:rPr>
          <w:rFonts w:ascii="Arial" w:hAnsi="Arial" w:cs="Arial"/>
        </w:rPr>
        <w:t xml:space="preserve">Malaquias, J. V., Figueiredo, C. C. D., Coser, T. R., Ferreira, É. P. B., &amp; Mendonça, E. S. (2015). Microbial biomass and activity in salt-affected soils under organic management. </w:t>
      </w:r>
      <w:proofErr w:type="spellStart"/>
      <w:r w:rsidRPr="007D2C2C">
        <w:rPr>
          <w:rFonts w:ascii="Arial" w:hAnsi="Arial" w:cs="Arial"/>
          <w:i/>
          <w:iCs/>
        </w:rPr>
        <w:t>Revista</w:t>
      </w:r>
      <w:proofErr w:type="spellEnd"/>
      <w:r w:rsidRPr="007D2C2C">
        <w:rPr>
          <w:rFonts w:ascii="Arial" w:hAnsi="Arial" w:cs="Arial"/>
          <w:i/>
          <w:iCs/>
        </w:rPr>
        <w:t xml:space="preserve"> </w:t>
      </w:r>
      <w:proofErr w:type="spellStart"/>
      <w:r w:rsidRPr="007D2C2C">
        <w:rPr>
          <w:rFonts w:ascii="Arial" w:hAnsi="Arial" w:cs="Arial"/>
          <w:i/>
          <w:iCs/>
        </w:rPr>
        <w:t>Brasileira</w:t>
      </w:r>
      <w:proofErr w:type="spellEnd"/>
      <w:r w:rsidRPr="007D2C2C">
        <w:rPr>
          <w:rFonts w:ascii="Arial" w:hAnsi="Arial" w:cs="Arial"/>
          <w:i/>
          <w:iCs/>
        </w:rPr>
        <w:t xml:space="preserve"> de </w:t>
      </w:r>
      <w:proofErr w:type="spellStart"/>
      <w:r w:rsidRPr="007D2C2C">
        <w:rPr>
          <w:rFonts w:ascii="Arial" w:hAnsi="Arial" w:cs="Arial"/>
          <w:i/>
          <w:iCs/>
        </w:rPr>
        <w:t>Ciência</w:t>
      </w:r>
      <w:proofErr w:type="spellEnd"/>
      <w:r w:rsidRPr="007D2C2C">
        <w:rPr>
          <w:rFonts w:ascii="Arial" w:hAnsi="Arial" w:cs="Arial"/>
          <w:i/>
          <w:iCs/>
        </w:rPr>
        <w:t xml:space="preserve"> do Solo</w:t>
      </w:r>
      <w:r w:rsidRPr="007D2C2C">
        <w:rPr>
          <w:rFonts w:ascii="Arial" w:hAnsi="Arial" w:cs="Arial"/>
        </w:rPr>
        <w:t>, 39(6), 1542–1551.</w:t>
      </w:r>
    </w:p>
    <w:p w14:paraId="62B376C2" w14:textId="77777777" w:rsidR="007D2C2C" w:rsidRPr="007D2C2C" w:rsidRDefault="007D2C2C" w:rsidP="007D2C2C">
      <w:pPr>
        <w:pStyle w:val="Body"/>
        <w:rPr>
          <w:rFonts w:ascii="Arial" w:hAnsi="Arial" w:cs="Arial"/>
        </w:rPr>
      </w:pPr>
      <w:r w:rsidRPr="007D2C2C">
        <w:rPr>
          <w:rFonts w:ascii="Arial" w:hAnsi="Arial" w:cs="Arial"/>
        </w:rPr>
        <w:t xml:space="preserve">Mapelli, F., Marasco, R., Rolli, E., Barbato, M., Cherif, A., Guesmi, A., ... &amp; </w:t>
      </w:r>
      <w:proofErr w:type="spellStart"/>
      <w:r w:rsidRPr="007D2C2C">
        <w:rPr>
          <w:rFonts w:ascii="Arial" w:hAnsi="Arial" w:cs="Arial"/>
        </w:rPr>
        <w:t>Daffonchio</w:t>
      </w:r>
      <w:proofErr w:type="spellEnd"/>
      <w:r w:rsidRPr="007D2C2C">
        <w:rPr>
          <w:rFonts w:ascii="Arial" w:hAnsi="Arial" w:cs="Arial"/>
        </w:rPr>
        <w:t xml:space="preserve">, D. (2013). Potential for plant growth promotion of rhizobacteria associated with Salicornia growing in Tunisian hypersaline soils. </w:t>
      </w:r>
      <w:r w:rsidRPr="007D2C2C">
        <w:rPr>
          <w:rFonts w:ascii="Arial" w:hAnsi="Arial" w:cs="Arial"/>
          <w:i/>
          <w:iCs/>
        </w:rPr>
        <w:t>BioMed Research International</w:t>
      </w:r>
      <w:r w:rsidRPr="007D2C2C">
        <w:rPr>
          <w:rFonts w:ascii="Arial" w:hAnsi="Arial" w:cs="Arial"/>
        </w:rPr>
        <w:t>, 2013, 248078.</w:t>
      </w:r>
    </w:p>
    <w:p w14:paraId="19DFE06C" w14:textId="77777777" w:rsidR="007D2C2C" w:rsidRPr="007D2C2C" w:rsidRDefault="007D2C2C" w:rsidP="007D2C2C">
      <w:pPr>
        <w:pStyle w:val="Body"/>
        <w:rPr>
          <w:rFonts w:ascii="Arial" w:hAnsi="Arial" w:cs="Arial"/>
        </w:rPr>
      </w:pPr>
      <w:r w:rsidRPr="007D2C2C">
        <w:rPr>
          <w:rFonts w:ascii="Arial" w:hAnsi="Arial" w:cs="Arial"/>
        </w:rPr>
        <w:t xml:space="preserve">Martinez-Romero, E., Caballero-Mellado, J., &amp; Palacios, R. (2001). Diazotrophic bacteria and their use as biofertilizer. In </w:t>
      </w:r>
      <w:r w:rsidRPr="007D2C2C">
        <w:rPr>
          <w:rFonts w:ascii="Arial" w:hAnsi="Arial" w:cs="Arial"/>
          <w:i/>
          <w:iCs/>
        </w:rPr>
        <w:t>Biological nitrogen fixation for the 21st century</w:t>
      </w:r>
      <w:r w:rsidRPr="007D2C2C">
        <w:rPr>
          <w:rFonts w:ascii="Arial" w:hAnsi="Arial" w:cs="Arial"/>
        </w:rPr>
        <w:t xml:space="preserve"> (pp. 945–950). Springer.</w:t>
      </w:r>
    </w:p>
    <w:p w14:paraId="3CB15C69" w14:textId="77777777" w:rsidR="007D2C2C" w:rsidRPr="007D2C2C" w:rsidRDefault="007D2C2C" w:rsidP="007D2C2C">
      <w:pPr>
        <w:pStyle w:val="Body"/>
        <w:rPr>
          <w:rFonts w:ascii="Arial" w:hAnsi="Arial" w:cs="Arial"/>
        </w:rPr>
      </w:pPr>
      <w:r w:rsidRPr="007D2C2C">
        <w:rPr>
          <w:rFonts w:ascii="Arial" w:hAnsi="Arial" w:cs="Arial"/>
        </w:rPr>
        <w:t xml:space="preserve">Mendes, R., </w:t>
      </w:r>
      <w:proofErr w:type="spellStart"/>
      <w:r w:rsidRPr="007D2C2C">
        <w:rPr>
          <w:rFonts w:ascii="Arial" w:hAnsi="Arial" w:cs="Arial"/>
        </w:rPr>
        <w:t>Garbeva</w:t>
      </w:r>
      <w:proofErr w:type="spellEnd"/>
      <w:r w:rsidRPr="007D2C2C">
        <w:rPr>
          <w:rFonts w:ascii="Arial" w:hAnsi="Arial" w:cs="Arial"/>
        </w:rPr>
        <w:t xml:space="preserve">, P., &amp; Raaijmakers, J. M. (2013). The rhizosphere microbiome: Significance of plant beneficial, plant pathogenic, and human pathogenic microorganisms. </w:t>
      </w:r>
      <w:r w:rsidRPr="007D2C2C">
        <w:rPr>
          <w:rFonts w:ascii="Arial" w:hAnsi="Arial" w:cs="Arial"/>
          <w:i/>
          <w:iCs/>
        </w:rPr>
        <w:t>FEMS Microbiology Reviews</w:t>
      </w:r>
      <w:r w:rsidRPr="007D2C2C">
        <w:rPr>
          <w:rFonts w:ascii="Arial" w:hAnsi="Arial" w:cs="Arial"/>
        </w:rPr>
        <w:t>, 37(5), 634–663.</w:t>
      </w:r>
    </w:p>
    <w:p w14:paraId="7B33056D" w14:textId="77777777" w:rsidR="007D2C2C" w:rsidRPr="007D2C2C" w:rsidRDefault="007D2C2C" w:rsidP="007D2C2C">
      <w:pPr>
        <w:pStyle w:val="Body"/>
        <w:rPr>
          <w:rFonts w:ascii="Arial" w:hAnsi="Arial" w:cs="Arial"/>
        </w:rPr>
      </w:pPr>
      <w:r w:rsidRPr="007D2C2C">
        <w:rPr>
          <w:rFonts w:ascii="Arial" w:hAnsi="Arial" w:cs="Arial"/>
        </w:rPr>
        <w:t xml:space="preserve">Peoples, M. B., &amp; </w:t>
      </w:r>
      <w:proofErr w:type="spellStart"/>
      <w:r w:rsidRPr="007D2C2C">
        <w:rPr>
          <w:rFonts w:ascii="Arial" w:hAnsi="Arial" w:cs="Arial"/>
        </w:rPr>
        <w:t>Craswell</w:t>
      </w:r>
      <w:proofErr w:type="spellEnd"/>
      <w:r w:rsidRPr="007D2C2C">
        <w:rPr>
          <w:rFonts w:ascii="Arial" w:hAnsi="Arial" w:cs="Arial"/>
        </w:rPr>
        <w:t xml:space="preserve">, E. T. (1992). Biological nitrogen fixation: Investments, expectations and actual contributions to agriculture. </w:t>
      </w:r>
      <w:r w:rsidRPr="007D2C2C">
        <w:rPr>
          <w:rFonts w:ascii="Arial" w:hAnsi="Arial" w:cs="Arial"/>
          <w:i/>
          <w:iCs/>
        </w:rPr>
        <w:t>Plant and Soil</w:t>
      </w:r>
      <w:r w:rsidRPr="007D2C2C">
        <w:rPr>
          <w:rFonts w:ascii="Arial" w:hAnsi="Arial" w:cs="Arial"/>
        </w:rPr>
        <w:t>, 141(1-2), 13–39.</w:t>
      </w:r>
    </w:p>
    <w:p w14:paraId="6F642C44" w14:textId="77777777" w:rsidR="007D2C2C" w:rsidRPr="007D2C2C" w:rsidRDefault="007D2C2C" w:rsidP="007D2C2C">
      <w:pPr>
        <w:pStyle w:val="Body"/>
        <w:rPr>
          <w:rFonts w:ascii="Arial" w:hAnsi="Arial" w:cs="Arial"/>
        </w:rPr>
      </w:pPr>
      <w:r w:rsidRPr="007D2C2C">
        <w:rPr>
          <w:rFonts w:ascii="Arial" w:hAnsi="Arial" w:cs="Arial"/>
        </w:rPr>
        <w:lastRenderedPageBreak/>
        <w:t xml:space="preserve">Qadir, M., Ghafoor, A., &amp; Murtaza, G. (2006). Amelioration strategies for saline soils. In </w:t>
      </w:r>
      <w:r w:rsidRPr="007D2C2C">
        <w:rPr>
          <w:rFonts w:ascii="Arial" w:hAnsi="Arial" w:cs="Arial"/>
          <w:i/>
          <w:iCs/>
        </w:rPr>
        <w:t>Handbook of soil science</w:t>
      </w:r>
      <w:r w:rsidRPr="007D2C2C">
        <w:rPr>
          <w:rFonts w:ascii="Arial" w:hAnsi="Arial" w:cs="Arial"/>
        </w:rPr>
        <w:t xml:space="preserve"> (pp. 1–29). CRC Press.</w:t>
      </w:r>
    </w:p>
    <w:p w14:paraId="71032EB3" w14:textId="77777777" w:rsidR="007D2C2C" w:rsidRPr="007D2C2C" w:rsidRDefault="007D2C2C" w:rsidP="007D2C2C">
      <w:pPr>
        <w:pStyle w:val="Body"/>
        <w:rPr>
          <w:rFonts w:ascii="Arial" w:hAnsi="Arial" w:cs="Arial"/>
        </w:rPr>
      </w:pPr>
      <w:r w:rsidRPr="007D2C2C">
        <w:rPr>
          <w:rFonts w:ascii="Arial" w:hAnsi="Arial" w:cs="Arial"/>
        </w:rPr>
        <w:t xml:space="preserve">Refsgaard, H. H. F., Halberg, N., &amp; Kristensen, E. S. (1998). Life cycle inventory modelling of manure handling in organic farming. </w:t>
      </w:r>
      <w:r w:rsidRPr="007D2C2C">
        <w:rPr>
          <w:rFonts w:ascii="Arial" w:hAnsi="Arial" w:cs="Arial"/>
          <w:i/>
          <w:iCs/>
        </w:rPr>
        <w:t>Agricultural Systems</w:t>
      </w:r>
      <w:r w:rsidRPr="007D2C2C">
        <w:rPr>
          <w:rFonts w:ascii="Arial" w:hAnsi="Arial" w:cs="Arial"/>
        </w:rPr>
        <w:t>, 57(1), 13–35.</w:t>
      </w:r>
    </w:p>
    <w:p w14:paraId="22238EED" w14:textId="77777777" w:rsidR="007D2C2C" w:rsidRPr="007D2C2C" w:rsidRDefault="007D2C2C" w:rsidP="007D2C2C">
      <w:pPr>
        <w:pStyle w:val="Body"/>
        <w:rPr>
          <w:rFonts w:ascii="Arial" w:hAnsi="Arial" w:cs="Arial"/>
        </w:rPr>
      </w:pPr>
      <w:r w:rsidRPr="007D2C2C">
        <w:rPr>
          <w:rFonts w:ascii="Arial" w:hAnsi="Arial" w:cs="Arial"/>
        </w:rPr>
        <w:t>Reinhold-</w:t>
      </w:r>
      <w:proofErr w:type="spellStart"/>
      <w:r w:rsidRPr="007D2C2C">
        <w:rPr>
          <w:rFonts w:ascii="Arial" w:hAnsi="Arial" w:cs="Arial"/>
        </w:rPr>
        <w:t>Hurek</w:t>
      </w:r>
      <w:proofErr w:type="spellEnd"/>
      <w:r w:rsidRPr="007D2C2C">
        <w:rPr>
          <w:rFonts w:ascii="Arial" w:hAnsi="Arial" w:cs="Arial"/>
        </w:rPr>
        <w:t xml:space="preserve">, B., &amp; </w:t>
      </w:r>
      <w:proofErr w:type="spellStart"/>
      <w:r w:rsidRPr="007D2C2C">
        <w:rPr>
          <w:rFonts w:ascii="Arial" w:hAnsi="Arial" w:cs="Arial"/>
        </w:rPr>
        <w:t>Hurek</w:t>
      </w:r>
      <w:proofErr w:type="spellEnd"/>
      <w:r w:rsidRPr="007D2C2C">
        <w:rPr>
          <w:rFonts w:ascii="Arial" w:hAnsi="Arial" w:cs="Arial"/>
        </w:rPr>
        <w:t xml:space="preserve">, T. (2000). Reassessment of the taxonomic structure of the diazotrophic genus </w:t>
      </w:r>
      <w:proofErr w:type="spellStart"/>
      <w:r w:rsidRPr="007D2C2C">
        <w:rPr>
          <w:rFonts w:ascii="Arial" w:hAnsi="Arial" w:cs="Arial"/>
        </w:rPr>
        <w:t>Azoarcus</w:t>
      </w:r>
      <w:proofErr w:type="spellEnd"/>
      <w:r w:rsidRPr="007D2C2C">
        <w:rPr>
          <w:rFonts w:ascii="Arial" w:hAnsi="Arial" w:cs="Arial"/>
        </w:rPr>
        <w:t xml:space="preserve"> and its relation to the beta-Proteobacteria. </w:t>
      </w:r>
      <w:r w:rsidRPr="007D2C2C">
        <w:rPr>
          <w:rFonts w:ascii="Arial" w:hAnsi="Arial" w:cs="Arial"/>
          <w:i/>
          <w:iCs/>
        </w:rPr>
        <w:t>International Journal of Systematic and Evolutionary Microbiology</w:t>
      </w:r>
      <w:r w:rsidRPr="007D2C2C">
        <w:rPr>
          <w:rFonts w:ascii="Arial" w:hAnsi="Arial" w:cs="Arial"/>
        </w:rPr>
        <w:t>, 50(3), 1103–1113.</w:t>
      </w:r>
    </w:p>
    <w:p w14:paraId="492EE45A" w14:textId="77777777" w:rsidR="007D2C2C" w:rsidRPr="007D2C2C" w:rsidRDefault="007D2C2C" w:rsidP="007D2C2C">
      <w:pPr>
        <w:pStyle w:val="Body"/>
        <w:rPr>
          <w:rFonts w:ascii="Arial" w:hAnsi="Arial" w:cs="Arial"/>
        </w:rPr>
      </w:pPr>
      <w:r w:rsidRPr="007D2C2C">
        <w:rPr>
          <w:rFonts w:ascii="Arial" w:hAnsi="Arial" w:cs="Arial"/>
        </w:rPr>
        <w:t xml:space="preserve">Rietz, D. N., &amp; Haynes, R. J. (2003). Effects of irrigation-induced salinity and </w:t>
      </w:r>
      <w:proofErr w:type="spellStart"/>
      <w:r w:rsidRPr="007D2C2C">
        <w:rPr>
          <w:rFonts w:ascii="Arial" w:hAnsi="Arial" w:cs="Arial"/>
        </w:rPr>
        <w:t>sodicity</w:t>
      </w:r>
      <w:proofErr w:type="spellEnd"/>
      <w:r w:rsidRPr="007D2C2C">
        <w:rPr>
          <w:rFonts w:ascii="Arial" w:hAnsi="Arial" w:cs="Arial"/>
        </w:rPr>
        <w:t xml:space="preserve"> on soil microbial activity. </w:t>
      </w:r>
      <w:r w:rsidRPr="007D2C2C">
        <w:rPr>
          <w:rFonts w:ascii="Arial" w:hAnsi="Arial" w:cs="Arial"/>
          <w:i/>
          <w:iCs/>
        </w:rPr>
        <w:t>Soil Biology and Biochemistry</w:t>
      </w:r>
      <w:r w:rsidRPr="007D2C2C">
        <w:rPr>
          <w:rFonts w:ascii="Arial" w:hAnsi="Arial" w:cs="Arial"/>
        </w:rPr>
        <w:t>, 35(6), 845–854.</w:t>
      </w:r>
    </w:p>
    <w:p w14:paraId="26FB2AC3" w14:textId="77777777" w:rsidR="007D2C2C" w:rsidRPr="007D2C2C" w:rsidRDefault="007D2C2C" w:rsidP="007D2C2C">
      <w:pPr>
        <w:pStyle w:val="Body"/>
        <w:rPr>
          <w:rFonts w:ascii="Arial" w:hAnsi="Arial" w:cs="Arial"/>
        </w:rPr>
      </w:pPr>
      <w:r w:rsidRPr="007D2C2C">
        <w:rPr>
          <w:rFonts w:ascii="Arial" w:hAnsi="Arial" w:cs="Arial"/>
        </w:rPr>
        <w:t xml:space="preserve">Rodriguez-Navarro, D. N., Buendia-Claveria, A. M., Camacho, M., &amp; Lucas Garcia, J. A. (2007). Characterization of a salt-tolerant </w:t>
      </w:r>
      <w:proofErr w:type="spellStart"/>
      <w:r w:rsidRPr="007D2C2C">
        <w:rPr>
          <w:rFonts w:ascii="Arial" w:hAnsi="Arial" w:cs="Arial"/>
        </w:rPr>
        <w:t>Azospirillum</w:t>
      </w:r>
      <w:proofErr w:type="spellEnd"/>
      <w:r w:rsidRPr="007D2C2C">
        <w:rPr>
          <w:rFonts w:ascii="Arial" w:hAnsi="Arial" w:cs="Arial"/>
        </w:rPr>
        <w:t xml:space="preserve"> strain isolated from a saline soil in Southern Spain. </w:t>
      </w:r>
      <w:r w:rsidRPr="007D2C2C">
        <w:rPr>
          <w:rFonts w:ascii="Arial" w:hAnsi="Arial" w:cs="Arial"/>
          <w:i/>
          <w:iCs/>
        </w:rPr>
        <w:t>Soil Biology and Biochemistry</w:t>
      </w:r>
      <w:r w:rsidRPr="007D2C2C">
        <w:rPr>
          <w:rFonts w:ascii="Arial" w:hAnsi="Arial" w:cs="Arial"/>
        </w:rPr>
        <w:t>, 39(2), 506–508.</w:t>
      </w:r>
    </w:p>
    <w:p w14:paraId="0CA43B0F" w14:textId="77777777" w:rsidR="007D2C2C" w:rsidRPr="007D2C2C" w:rsidRDefault="007D2C2C" w:rsidP="007D2C2C">
      <w:pPr>
        <w:pStyle w:val="Body"/>
        <w:rPr>
          <w:rFonts w:ascii="Arial" w:hAnsi="Arial" w:cs="Arial"/>
        </w:rPr>
      </w:pPr>
      <w:proofErr w:type="spellStart"/>
      <w:r w:rsidRPr="007D2C2C">
        <w:rPr>
          <w:rFonts w:ascii="Arial" w:hAnsi="Arial" w:cs="Arial"/>
        </w:rPr>
        <w:t>Rousk</w:t>
      </w:r>
      <w:proofErr w:type="spellEnd"/>
      <w:r w:rsidRPr="007D2C2C">
        <w:rPr>
          <w:rFonts w:ascii="Arial" w:hAnsi="Arial" w:cs="Arial"/>
        </w:rPr>
        <w:t xml:space="preserve">, J., Brookes, P. C., &amp; </w:t>
      </w:r>
      <w:proofErr w:type="spellStart"/>
      <w:r w:rsidRPr="007D2C2C">
        <w:rPr>
          <w:rFonts w:ascii="Arial" w:hAnsi="Arial" w:cs="Arial"/>
        </w:rPr>
        <w:t>Bååth</w:t>
      </w:r>
      <w:proofErr w:type="spellEnd"/>
      <w:r w:rsidRPr="007D2C2C">
        <w:rPr>
          <w:rFonts w:ascii="Arial" w:hAnsi="Arial" w:cs="Arial"/>
        </w:rPr>
        <w:t xml:space="preserve">, E. (2010). Investigating the mechanisms for the opposing pH relationships of fungal and bacterial growth in soil. </w:t>
      </w:r>
      <w:r w:rsidRPr="007D2C2C">
        <w:rPr>
          <w:rFonts w:ascii="Arial" w:hAnsi="Arial" w:cs="Arial"/>
          <w:i/>
          <w:iCs/>
        </w:rPr>
        <w:t>Soil Biology and Biochemistry</w:t>
      </w:r>
      <w:r w:rsidRPr="007D2C2C">
        <w:rPr>
          <w:rFonts w:ascii="Arial" w:hAnsi="Arial" w:cs="Arial"/>
        </w:rPr>
        <w:t>, 42(6), 926–934.</w:t>
      </w:r>
    </w:p>
    <w:p w14:paraId="137A551E" w14:textId="77777777" w:rsidR="007D2C2C" w:rsidRPr="007D2C2C" w:rsidRDefault="007D2C2C" w:rsidP="007D2C2C">
      <w:pPr>
        <w:pStyle w:val="Body"/>
        <w:rPr>
          <w:rFonts w:ascii="Arial" w:hAnsi="Arial" w:cs="Arial"/>
        </w:rPr>
      </w:pPr>
      <w:proofErr w:type="spellStart"/>
      <w:r w:rsidRPr="007D2C2C">
        <w:rPr>
          <w:rFonts w:ascii="Arial" w:hAnsi="Arial" w:cs="Arial"/>
        </w:rPr>
        <w:t>Steenhoudt</w:t>
      </w:r>
      <w:proofErr w:type="spellEnd"/>
      <w:r w:rsidRPr="007D2C2C">
        <w:rPr>
          <w:rFonts w:ascii="Arial" w:hAnsi="Arial" w:cs="Arial"/>
        </w:rPr>
        <w:t xml:space="preserve">, O., &amp; </w:t>
      </w:r>
      <w:proofErr w:type="spellStart"/>
      <w:r w:rsidRPr="007D2C2C">
        <w:rPr>
          <w:rFonts w:ascii="Arial" w:hAnsi="Arial" w:cs="Arial"/>
        </w:rPr>
        <w:t>Vanderleyden</w:t>
      </w:r>
      <w:proofErr w:type="spellEnd"/>
      <w:r w:rsidRPr="007D2C2C">
        <w:rPr>
          <w:rFonts w:ascii="Arial" w:hAnsi="Arial" w:cs="Arial"/>
        </w:rPr>
        <w:t xml:space="preserve">, J. (2000). </w:t>
      </w:r>
      <w:proofErr w:type="spellStart"/>
      <w:r w:rsidRPr="007D2C2C">
        <w:rPr>
          <w:rFonts w:ascii="Arial" w:hAnsi="Arial" w:cs="Arial"/>
        </w:rPr>
        <w:t>Azospirillum</w:t>
      </w:r>
      <w:proofErr w:type="spellEnd"/>
      <w:r w:rsidRPr="007D2C2C">
        <w:rPr>
          <w:rFonts w:ascii="Arial" w:hAnsi="Arial" w:cs="Arial"/>
        </w:rPr>
        <w:t xml:space="preserve">, a free-living nitrogen-fixing bacterium closely associated with grasses: Genetic, biochemical and ecological aspects. </w:t>
      </w:r>
      <w:r w:rsidRPr="007D2C2C">
        <w:rPr>
          <w:rFonts w:ascii="Arial" w:hAnsi="Arial" w:cs="Arial"/>
          <w:i/>
          <w:iCs/>
        </w:rPr>
        <w:t>FEMS Microbiology Reviews</w:t>
      </w:r>
      <w:r w:rsidRPr="007D2C2C">
        <w:rPr>
          <w:rFonts w:ascii="Arial" w:hAnsi="Arial" w:cs="Arial"/>
        </w:rPr>
        <w:t>, 24(4), 487–506.</w:t>
      </w:r>
    </w:p>
    <w:p w14:paraId="572008E2" w14:textId="77777777" w:rsidR="007D2C2C" w:rsidRPr="007D2C2C" w:rsidRDefault="007D2C2C" w:rsidP="007D2C2C">
      <w:pPr>
        <w:pStyle w:val="Body"/>
        <w:rPr>
          <w:rFonts w:ascii="Arial" w:hAnsi="Arial" w:cs="Arial"/>
        </w:rPr>
      </w:pPr>
      <w:r w:rsidRPr="007D2C2C">
        <w:rPr>
          <w:rFonts w:ascii="Arial" w:hAnsi="Arial" w:cs="Arial"/>
        </w:rPr>
        <w:t xml:space="preserve">Sutton, M. A., Howard, C. M., Erisman, J. W., Billen, G., Bleeker, A., </w:t>
      </w:r>
      <w:proofErr w:type="spellStart"/>
      <w:r w:rsidRPr="007D2C2C">
        <w:rPr>
          <w:rFonts w:ascii="Arial" w:hAnsi="Arial" w:cs="Arial"/>
        </w:rPr>
        <w:t>Grennfelt</w:t>
      </w:r>
      <w:proofErr w:type="spellEnd"/>
      <w:r w:rsidRPr="007D2C2C">
        <w:rPr>
          <w:rFonts w:ascii="Arial" w:hAnsi="Arial" w:cs="Arial"/>
        </w:rPr>
        <w:t xml:space="preserve">, P., ... &amp; Grinsven, H. V. (2011). </w:t>
      </w:r>
      <w:r w:rsidRPr="007D2C2C">
        <w:rPr>
          <w:rFonts w:ascii="Arial" w:hAnsi="Arial" w:cs="Arial"/>
          <w:i/>
          <w:iCs/>
        </w:rPr>
        <w:t>The European nitrogen assessment: Sources, effects and policy perspectives</w:t>
      </w:r>
      <w:r w:rsidRPr="007D2C2C">
        <w:rPr>
          <w:rFonts w:ascii="Arial" w:hAnsi="Arial" w:cs="Arial"/>
        </w:rPr>
        <w:t>. Cambridge University Press.</w:t>
      </w:r>
    </w:p>
    <w:p w14:paraId="0301ADA8" w14:textId="77777777" w:rsidR="007D2C2C" w:rsidRPr="007D2C2C" w:rsidRDefault="007D2C2C" w:rsidP="007D2C2C">
      <w:pPr>
        <w:pStyle w:val="Body"/>
        <w:rPr>
          <w:rFonts w:ascii="Arial" w:hAnsi="Arial" w:cs="Arial"/>
        </w:rPr>
      </w:pPr>
      <w:r w:rsidRPr="007D2C2C">
        <w:rPr>
          <w:rFonts w:ascii="Arial" w:hAnsi="Arial" w:cs="Arial"/>
        </w:rPr>
        <w:t xml:space="preserve">Szabolcs, I. (1989). </w:t>
      </w:r>
      <w:r w:rsidRPr="007D2C2C">
        <w:rPr>
          <w:rFonts w:ascii="Arial" w:hAnsi="Arial" w:cs="Arial"/>
          <w:i/>
          <w:iCs/>
        </w:rPr>
        <w:t>Salt-affected soils</w:t>
      </w:r>
      <w:r w:rsidRPr="007D2C2C">
        <w:rPr>
          <w:rFonts w:ascii="Arial" w:hAnsi="Arial" w:cs="Arial"/>
        </w:rPr>
        <w:t>. CRC Press.</w:t>
      </w:r>
    </w:p>
    <w:p w14:paraId="726FBA8E" w14:textId="77777777" w:rsidR="007D2C2C" w:rsidRPr="007D2C2C" w:rsidRDefault="007D2C2C" w:rsidP="007D2C2C">
      <w:pPr>
        <w:pStyle w:val="Body"/>
        <w:rPr>
          <w:rFonts w:ascii="Arial" w:hAnsi="Arial" w:cs="Arial"/>
        </w:rPr>
      </w:pPr>
      <w:r w:rsidRPr="007D2C2C">
        <w:rPr>
          <w:rFonts w:ascii="Arial" w:hAnsi="Arial" w:cs="Arial"/>
        </w:rPr>
        <w:t xml:space="preserve">Thompson, D. K., Tiedje, J. M., &amp; Mikhailova, N. (2004). Effect of oxygen on nitrogenase activity and expression in Azotobacter. </w:t>
      </w:r>
      <w:r w:rsidRPr="007D2C2C">
        <w:rPr>
          <w:rFonts w:ascii="Arial" w:hAnsi="Arial" w:cs="Arial"/>
          <w:i/>
          <w:iCs/>
        </w:rPr>
        <w:t>Applied and Environmental Microbiology</w:t>
      </w:r>
      <w:r w:rsidRPr="007D2C2C">
        <w:rPr>
          <w:rFonts w:ascii="Arial" w:hAnsi="Arial" w:cs="Arial"/>
        </w:rPr>
        <w:t>, 70(2), 611–619.</w:t>
      </w:r>
    </w:p>
    <w:p w14:paraId="4354C017" w14:textId="77777777" w:rsidR="007D2C2C" w:rsidRPr="007D2C2C" w:rsidRDefault="007D2C2C" w:rsidP="007D2C2C">
      <w:pPr>
        <w:pStyle w:val="Body"/>
        <w:rPr>
          <w:rFonts w:ascii="Arial" w:hAnsi="Arial" w:cs="Arial"/>
        </w:rPr>
      </w:pPr>
      <w:r w:rsidRPr="007D2C2C">
        <w:rPr>
          <w:rFonts w:ascii="Arial" w:hAnsi="Arial" w:cs="Arial"/>
        </w:rPr>
        <w:t xml:space="preserve">Ventosa, A., &amp; Nieto, J. J. (1995). Biotechnological applications and potentialities of halophilic microorganisms. </w:t>
      </w:r>
      <w:r w:rsidRPr="007D2C2C">
        <w:rPr>
          <w:rFonts w:ascii="Arial" w:hAnsi="Arial" w:cs="Arial"/>
          <w:i/>
          <w:iCs/>
        </w:rPr>
        <w:t>World Journal of Microbiology and Biotechnology</w:t>
      </w:r>
      <w:r w:rsidRPr="007D2C2C">
        <w:rPr>
          <w:rFonts w:ascii="Arial" w:hAnsi="Arial" w:cs="Arial"/>
        </w:rPr>
        <w:t>, 11(1), 85–94.</w:t>
      </w:r>
    </w:p>
    <w:p w14:paraId="255A0F7E" w14:textId="77777777" w:rsidR="007D2C2C" w:rsidRPr="007D2C2C" w:rsidRDefault="007D2C2C" w:rsidP="007D2C2C">
      <w:pPr>
        <w:pStyle w:val="Body"/>
        <w:rPr>
          <w:rFonts w:ascii="Arial" w:hAnsi="Arial" w:cs="Arial"/>
        </w:rPr>
      </w:pPr>
      <w:r w:rsidRPr="007D2C2C">
        <w:rPr>
          <w:rFonts w:ascii="Arial" w:hAnsi="Arial" w:cs="Arial"/>
        </w:rPr>
        <w:t xml:space="preserve">Vessey, J. K. (2003). Plant growth promoting rhizobacteria as biofertilizers. </w:t>
      </w:r>
      <w:r w:rsidRPr="007D2C2C">
        <w:rPr>
          <w:rFonts w:ascii="Arial" w:hAnsi="Arial" w:cs="Arial"/>
          <w:i/>
          <w:iCs/>
        </w:rPr>
        <w:t>Plant and Soil</w:t>
      </w:r>
      <w:r w:rsidRPr="007D2C2C">
        <w:rPr>
          <w:rFonts w:ascii="Arial" w:hAnsi="Arial" w:cs="Arial"/>
        </w:rPr>
        <w:t>, 255(2), 571–586.</w:t>
      </w:r>
    </w:p>
    <w:p w14:paraId="0B112626" w14:textId="77777777" w:rsidR="007D2C2C" w:rsidRPr="007D2C2C" w:rsidRDefault="007D2C2C" w:rsidP="007D2C2C">
      <w:pPr>
        <w:pStyle w:val="Body"/>
        <w:rPr>
          <w:rFonts w:ascii="Arial" w:hAnsi="Arial" w:cs="Arial"/>
        </w:rPr>
      </w:pPr>
      <w:proofErr w:type="spellStart"/>
      <w:r w:rsidRPr="007D2C2C">
        <w:rPr>
          <w:rFonts w:ascii="Arial" w:hAnsi="Arial" w:cs="Arial"/>
        </w:rPr>
        <w:t>Vitousek</w:t>
      </w:r>
      <w:proofErr w:type="spellEnd"/>
      <w:r w:rsidRPr="007D2C2C">
        <w:rPr>
          <w:rFonts w:ascii="Arial" w:hAnsi="Arial" w:cs="Arial"/>
        </w:rPr>
        <w:t xml:space="preserve">, P. M., Menge, D. N. L., Reed, S. C., &amp; Cleveland, C. C. (2013). Biological nitrogen fixation: Rates, patterns and ecological controls in terrestrial ecosystems. </w:t>
      </w:r>
      <w:r w:rsidRPr="007D2C2C">
        <w:rPr>
          <w:rFonts w:ascii="Arial" w:hAnsi="Arial" w:cs="Arial"/>
          <w:i/>
          <w:iCs/>
        </w:rPr>
        <w:t>Philosophical Transactions of the Royal Society B: Biological Sciences</w:t>
      </w:r>
      <w:r w:rsidRPr="007D2C2C">
        <w:rPr>
          <w:rFonts w:ascii="Arial" w:hAnsi="Arial" w:cs="Arial"/>
        </w:rPr>
        <w:t>, 368(1621), 20130119.</w:t>
      </w:r>
    </w:p>
    <w:p w14:paraId="2BF13D53" w14:textId="77777777" w:rsidR="007D2C2C" w:rsidRPr="007D2C2C" w:rsidRDefault="007D2C2C" w:rsidP="007D2C2C">
      <w:pPr>
        <w:pStyle w:val="Body"/>
        <w:rPr>
          <w:rFonts w:ascii="Arial" w:hAnsi="Arial" w:cs="Arial"/>
        </w:rPr>
      </w:pPr>
      <w:r w:rsidRPr="007D2C2C">
        <w:rPr>
          <w:rFonts w:ascii="Arial" w:hAnsi="Arial" w:cs="Arial"/>
        </w:rPr>
        <w:t xml:space="preserve">Xu, X., Thornton, P. E., &amp; Post, W. M. (2014). A global analysis of soil microbial biomass carbon, nitrogen and phosphorus in terrestrial ecosystems. </w:t>
      </w:r>
      <w:r w:rsidRPr="007D2C2C">
        <w:rPr>
          <w:rFonts w:ascii="Arial" w:hAnsi="Arial" w:cs="Arial"/>
          <w:i/>
          <w:iCs/>
        </w:rPr>
        <w:t>Global Ecology and Biogeography</w:t>
      </w:r>
      <w:r w:rsidRPr="007D2C2C">
        <w:rPr>
          <w:rFonts w:ascii="Arial" w:hAnsi="Arial" w:cs="Arial"/>
        </w:rPr>
        <w:t>, 23(7), 733–749.</w:t>
      </w:r>
    </w:p>
    <w:p w14:paraId="60CA517F" w14:textId="77777777" w:rsidR="00C2038F" w:rsidRDefault="007D2C2C" w:rsidP="007D2C2C">
      <w:pPr>
        <w:pStyle w:val="Body"/>
      </w:pPr>
      <w:r w:rsidRPr="007D2C2C">
        <w:rPr>
          <w:rFonts w:ascii="Arial" w:hAnsi="Arial" w:cs="Arial"/>
        </w:rPr>
        <w:t xml:space="preserve">Zehr, J. P., &amp; Turner, P. J. (2001). Nitrogen fixation: Nitrogenase genes and gene expression. In </w:t>
      </w:r>
      <w:r w:rsidRPr="007D2C2C">
        <w:rPr>
          <w:rFonts w:ascii="Arial" w:hAnsi="Arial" w:cs="Arial"/>
          <w:i/>
          <w:iCs/>
        </w:rPr>
        <w:t>Methods in Microbiology</w:t>
      </w:r>
      <w:r w:rsidRPr="007D2C2C">
        <w:rPr>
          <w:rFonts w:ascii="Arial" w:hAnsi="Arial" w:cs="Arial"/>
        </w:rPr>
        <w:t xml:space="preserve"> (Vol. 30, pp. 271–286). Academic Press.</w:t>
      </w:r>
      <w:r w:rsidR="00284C4C" w:rsidRPr="003763C1">
        <w:t xml:space="preserve">ID). </w:t>
      </w:r>
    </w:p>
    <w:p w14:paraId="4CA565C1" w14:textId="77777777" w:rsidR="00C2038F" w:rsidRDefault="00C2038F" w:rsidP="007D2C2C">
      <w:pPr>
        <w:pStyle w:val="Body"/>
      </w:pPr>
      <w:proofErr w:type="spellStart"/>
      <w:r w:rsidRPr="00C2038F">
        <w:t>Lomtatidze</w:t>
      </w:r>
      <w:proofErr w:type="spellEnd"/>
      <w:r w:rsidRPr="00C2038F">
        <w:t xml:space="preserve"> Z and </w:t>
      </w:r>
      <w:proofErr w:type="spellStart"/>
      <w:r w:rsidRPr="00C2038F">
        <w:t>Gioshvili</w:t>
      </w:r>
      <w:proofErr w:type="spellEnd"/>
      <w:r w:rsidRPr="00C2038F">
        <w:t xml:space="preserve"> I. 2023. Quantitative and qualitative composition of free-living nitrogen-fixing microorganisms in various soil types of Georgia. IX Transactions, Batumi. pp 70.</w:t>
      </w:r>
    </w:p>
    <w:p w14:paraId="003D772E" w14:textId="77777777" w:rsidR="007D2C2C" w:rsidRPr="007D2C2C" w:rsidRDefault="007D2C2C" w:rsidP="007D2C2C">
      <w:pPr>
        <w:pStyle w:val="Body"/>
        <w:rPr>
          <w:rFonts w:ascii="Arial" w:hAnsi="Arial" w:cs="Arial"/>
        </w:rPr>
      </w:pPr>
      <w:r w:rsidRPr="007D2C2C">
        <w:rPr>
          <w:rFonts w:ascii="Arial" w:hAnsi="Arial" w:cs="Arial"/>
        </w:rPr>
        <w:t>Lomtatidze Z and Kotia N. 2018. Modern methods of microbiological research. p 134.</w:t>
      </w:r>
    </w:p>
    <w:p w14:paraId="5111DFEC" w14:textId="77777777" w:rsidR="00B01FCD" w:rsidRPr="007D2C2C" w:rsidRDefault="007D2C2C" w:rsidP="007D2C2C">
      <w:pPr>
        <w:pStyle w:val="Body"/>
        <w:rPr>
          <w:rFonts w:ascii="Arial" w:hAnsi="Arial" w:cs="Arial"/>
        </w:rPr>
      </w:pPr>
      <w:proofErr w:type="spellStart"/>
      <w:r w:rsidRPr="007D2C2C">
        <w:rPr>
          <w:rFonts w:ascii="Arial" w:hAnsi="Arial" w:cs="Arial"/>
        </w:rPr>
        <w:t>Kvesitadze</w:t>
      </w:r>
      <w:proofErr w:type="spellEnd"/>
      <w:r w:rsidRPr="007D2C2C">
        <w:rPr>
          <w:rFonts w:ascii="Arial" w:hAnsi="Arial" w:cs="Arial"/>
        </w:rPr>
        <w:t xml:space="preserve"> G, </w:t>
      </w:r>
      <w:proofErr w:type="spellStart"/>
      <w:r w:rsidRPr="007D2C2C">
        <w:rPr>
          <w:rFonts w:ascii="Arial" w:hAnsi="Arial" w:cs="Arial"/>
        </w:rPr>
        <w:t>Urushadze</w:t>
      </w:r>
      <w:proofErr w:type="spellEnd"/>
      <w:r w:rsidRPr="007D2C2C">
        <w:rPr>
          <w:rFonts w:ascii="Arial" w:hAnsi="Arial" w:cs="Arial"/>
        </w:rPr>
        <w:t xml:space="preserve"> T, </w:t>
      </w:r>
      <w:proofErr w:type="spellStart"/>
      <w:r w:rsidRPr="007D2C2C">
        <w:rPr>
          <w:rFonts w:ascii="Arial" w:hAnsi="Arial" w:cs="Arial"/>
        </w:rPr>
        <w:t>Khokhashvili</w:t>
      </w:r>
      <w:proofErr w:type="spellEnd"/>
      <w:r w:rsidRPr="007D2C2C">
        <w:rPr>
          <w:rFonts w:ascii="Arial" w:hAnsi="Arial" w:cs="Arial"/>
        </w:rPr>
        <w:t xml:space="preserve"> I and </w:t>
      </w:r>
      <w:proofErr w:type="spellStart"/>
      <w:r w:rsidRPr="007D2C2C">
        <w:rPr>
          <w:rFonts w:ascii="Arial" w:hAnsi="Arial" w:cs="Arial"/>
        </w:rPr>
        <w:t>Inasaridze</w:t>
      </w:r>
      <w:proofErr w:type="spellEnd"/>
      <w:r w:rsidRPr="007D2C2C">
        <w:rPr>
          <w:rFonts w:ascii="Arial" w:hAnsi="Arial" w:cs="Arial"/>
        </w:rPr>
        <w:t xml:space="preserve"> N. 2013. Biotechnology and Agroecosystems.</w:t>
      </w:r>
    </w:p>
    <w:sectPr w:rsidR="00B01FCD" w:rsidRPr="007D2C2C" w:rsidSect="008910C5">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B43E8" w14:textId="77777777" w:rsidR="006628CD" w:rsidRDefault="006628CD" w:rsidP="00C37E61">
      <w:r>
        <w:separator/>
      </w:r>
    </w:p>
  </w:endnote>
  <w:endnote w:type="continuationSeparator" w:id="0">
    <w:p w14:paraId="3937B737" w14:textId="77777777" w:rsidR="006628CD" w:rsidRDefault="006628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EFE9" w14:textId="77777777" w:rsidR="008910C5" w:rsidRDefault="00891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A63E" w14:textId="77777777" w:rsidR="008910C5" w:rsidRDefault="00891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F329" w14:textId="73B11D52" w:rsidR="00754C9A" w:rsidRPr="008910C5" w:rsidRDefault="00754C9A" w:rsidP="008910C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B5E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A8BB" w14:textId="77777777" w:rsidR="006628CD" w:rsidRDefault="006628CD" w:rsidP="00C37E61">
      <w:r>
        <w:separator/>
      </w:r>
    </w:p>
  </w:footnote>
  <w:footnote w:type="continuationSeparator" w:id="0">
    <w:p w14:paraId="41515738" w14:textId="77777777" w:rsidR="006628CD" w:rsidRDefault="006628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EF92F" w14:textId="3774BC9A" w:rsidR="008910C5" w:rsidRDefault="008910C5">
    <w:pPr>
      <w:pStyle w:val="Header"/>
    </w:pPr>
    <w:r>
      <w:rPr>
        <w:noProof/>
      </w:rPr>
      <w:pict w14:anchorId="3E82B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6AAE" w14:textId="2EF7AE47" w:rsidR="008910C5" w:rsidRDefault="008910C5">
    <w:pPr>
      <w:pStyle w:val="Header"/>
    </w:pPr>
    <w:r>
      <w:rPr>
        <w:noProof/>
      </w:rPr>
      <w:pict w14:anchorId="5F1E7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3289" w14:textId="6ACB5EC9" w:rsidR="00296529" w:rsidRPr="00296529" w:rsidRDefault="008910C5" w:rsidP="00296529">
    <w:pPr>
      <w:ind w:left="2160"/>
      <w:jc w:val="center"/>
      <w:rPr>
        <w:rFonts w:ascii="Times New Roman" w:eastAsia="Calibri" w:hAnsi="Times New Roman"/>
        <w:i/>
        <w:sz w:val="18"/>
        <w:szCs w:val="22"/>
      </w:rPr>
    </w:pPr>
    <w:r>
      <w:rPr>
        <w:noProof/>
      </w:rPr>
      <w:pict w14:anchorId="425FA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A1B90B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E8B288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9F76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FA2238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39220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CDAF3F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0B45" w14:textId="245874A9" w:rsidR="008910C5" w:rsidRDefault="008910C5">
    <w:pPr>
      <w:pStyle w:val="Header"/>
    </w:pPr>
    <w:r>
      <w:rPr>
        <w:noProof/>
      </w:rPr>
      <w:pict w14:anchorId="203B7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2FF2" w14:textId="2640450E" w:rsidR="008910C5" w:rsidRDefault="008910C5">
    <w:pPr>
      <w:pStyle w:val="Header"/>
    </w:pPr>
    <w:r>
      <w:rPr>
        <w:noProof/>
      </w:rPr>
      <w:pict w14:anchorId="11708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5772" w14:textId="5F1926CF" w:rsidR="008910C5" w:rsidRDefault="008910C5">
    <w:pPr>
      <w:pStyle w:val="Header"/>
    </w:pPr>
    <w:r>
      <w:rPr>
        <w:noProof/>
      </w:rPr>
      <w:pict w14:anchorId="3C5D3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92923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3MTS2NDQ0MDQ2MDJV0lEKTi0uzszPAykwrAUA1PXWzCwAAAA="/>
  </w:docVars>
  <w:rsids>
    <w:rsidRoot w:val="00AA6219"/>
    <w:rsid w:val="00000F8F"/>
    <w:rsid w:val="00030174"/>
    <w:rsid w:val="0004579C"/>
    <w:rsid w:val="0005530D"/>
    <w:rsid w:val="000A47FA"/>
    <w:rsid w:val="000A65D3"/>
    <w:rsid w:val="000B1E33"/>
    <w:rsid w:val="000C23E7"/>
    <w:rsid w:val="000D689F"/>
    <w:rsid w:val="000E7B7B"/>
    <w:rsid w:val="000E7D62"/>
    <w:rsid w:val="000F6C02"/>
    <w:rsid w:val="00103357"/>
    <w:rsid w:val="00123C9F"/>
    <w:rsid w:val="00126190"/>
    <w:rsid w:val="00130F17"/>
    <w:rsid w:val="001320BF"/>
    <w:rsid w:val="00163BC4"/>
    <w:rsid w:val="00191062"/>
    <w:rsid w:val="00192B72"/>
    <w:rsid w:val="001A29D8"/>
    <w:rsid w:val="001A5CAA"/>
    <w:rsid w:val="001B0427"/>
    <w:rsid w:val="001D04B5"/>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1BED"/>
    <w:rsid w:val="00315186"/>
    <w:rsid w:val="0033343E"/>
    <w:rsid w:val="00335D73"/>
    <w:rsid w:val="003512C2"/>
    <w:rsid w:val="00357A22"/>
    <w:rsid w:val="00371FB6"/>
    <w:rsid w:val="003763C1"/>
    <w:rsid w:val="00376BBE"/>
    <w:rsid w:val="0039224F"/>
    <w:rsid w:val="003A43A4"/>
    <w:rsid w:val="003A7E18"/>
    <w:rsid w:val="003C4C86"/>
    <w:rsid w:val="003C6258"/>
    <w:rsid w:val="003E2904"/>
    <w:rsid w:val="00400051"/>
    <w:rsid w:val="00401927"/>
    <w:rsid w:val="0040278A"/>
    <w:rsid w:val="0041027F"/>
    <w:rsid w:val="00412475"/>
    <w:rsid w:val="00423789"/>
    <w:rsid w:val="00440F43"/>
    <w:rsid w:val="00441B6F"/>
    <w:rsid w:val="00446221"/>
    <w:rsid w:val="00450E62"/>
    <w:rsid w:val="004539DB"/>
    <w:rsid w:val="004634ED"/>
    <w:rsid w:val="00471A80"/>
    <w:rsid w:val="004D305E"/>
    <w:rsid w:val="004D4277"/>
    <w:rsid w:val="00502516"/>
    <w:rsid w:val="00505F06"/>
    <w:rsid w:val="00506828"/>
    <w:rsid w:val="0053056E"/>
    <w:rsid w:val="005434E3"/>
    <w:rsid w:val="00554FDA"/>
    <w:rsid w:val="005C784C"/>
    <w:rsid w:val="005D17F6"/>
    <w:rsid w:val="005E347A"/>
    <w:rsid w:val="005E5539"/>
    <w:rsid w:val="00602BF5"/>
    <w:rsid w:val="00617FDD"/>
    <w:rsid w:val="00633614"/>
    <w:rsid w:val="00633F68"/>
    <w:rsid w:val="00636EB2"/>
    <w:rsid w:val="006375B8"/>
    <w:rsid w:val="00640B25"/>
    <w:rsid w:val="006628CD"/>
    <w:rsid w:val="0066510A"/>
    <w:rsid w:val="00673F9F"/>
    <w:rsid w:val="00686953"/>
    <w:rsid w:val="00687DEA"/>
    <w:rsid w:val="00687E67"/>
    <w:rsid w:val="006967F7"/>
    <w:rsid w:val="006A250C"/>
    <w:rsid w:val="006A669C"/>
    <w:rsid w:val="006B21D3"/>
    <w:rsid w:val="006B57D0"/>
    <w:rsid w:val="006D30FF"/>
    <w:rsid w:val="006D6940"/>
    <w:rsid w:val="006E3EC8"/>
    <w:rsid w:val="006F11EC"/>
    <w:rsid w:val="006F61D2"/>
    <w:rsid w:val="0070082C"/>
    <w:rsid w:val="007369E6"/>
    <w:rsid w:val="00746E59"/>
    <w:rsid w:val="00754C9A"/>
    <w:rsid w:val="0075599A"/>
    <w:rsid w:val="00761D52"/>
    <w:rsid w:val="0077749E"/>
    <w:rsid w:val="00790ADA"/>
    <w:rsid w:val="007D2288"/>
    <w:rsid w:val="007D2C2C"/>
    <w:rsid w:val="007E088F"/>
    <w:rsid w:val="007F7B32"/>
    <w:rsid w:val="00804BC2"/>
    <w:rsid w:val="0081431A"/>
    <w:rsid w:val="0083216F"/>
    <w:rsid w:val="00860000"/>
    <w:rsid w:val="00863BD3"/>
    <w:rsid w:val="008641ED"/>
    <w:rsid w:val="00866D66"/>
    <w:rsid w:val="008671C6"/>
    <w:rsid w:val="00875803"/>
    <w:rsid w:val="008910C5"/>
    <w:rsid w:val="008B0D20"/>
    <w:rsid w:val="008B459E"/>
    <w:rsid w:val="008C68FE"/>
    <w:rsid w:val="008E13AE"/>
    <w:rsid w:val="008E1506"/>
    <w:rsid w:val="008E710C"/>
    <w:rsid w:val="008F1792"/>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40AA"/>
    <w:rsid w:val="00A4609D"/>
    <w:rsid w:val="00A503B7"/>
    <w:rsid w:val="00A51431"/>
    <w:rsid w:val="00A539AD"/>
    <w:rsid w:val="00A94063"/>
    <w:rsid w:val="00AA6219"/>
    <w:rsid w:val="00AA74E0"/>
    <w:rsid w:val="00AB703F"/>
    <w:rsid w:val="00AC6BB8"/>
    <w:rsid w:val="00AE008F"/>
    <w:rsid w:val="00B01FCD"/>
    <w:rsid w:val="00B1776C"/>
    <w:rsid w:val="00B35481"/>
    <w:rsid w:val="00B52583"/>
    <w:rsid w:val="00B52896"/>
    <w:rsid w:val="00B52A33"/>
    <w:rsid w:val="00B577AA"/>
    <w:rsid w:val="00B95236"/>
    <w:rsid w:val="00B96BD9"/>
    <w:rsid w:val="00BA1B01"/>
    <w:rsid w:val="00BA2641"/>
    <w:rsid w:val="00BB37AA"/>
    <w:rsid w:val="00BC53A0"/>
    <w:rsid w:val="00BD15D5"/>
    <w:rsid w:val="00BD1A35"/>
    <w:rsid w:val="00BE62AD"/>
    <w:rsid w:val="00BF121F"/>
    <w:rsid w:val="00BF1F80"/>
    <w:rsid w:val="00C166EF"/>
    <w:rsid w:val="00C17EB0"/>
    <w:rsid w:val="00C2038F"/>
    <w:rsid w:val="00C27F5F"/>
    <w:rsid w:val="00C30A0F"/>
    <w:rsid w:val="00C358B6"/>
    <w:rsid w:val="00C37E61"/>
    <w:rsid w:val="00C45A49"/>
    <w:rsid w:val="00C70F1B"/>
    <w:rsid w:val="00C71A47"/>
    <w:rsid w:val="00C7464C"/>
    <w:rsid w:val="00C85588"/>
    <w:rsid w:val="00CD3B48"/>
    <w:rsid w:val="00CD6755"/>
    <w:rsid w:val="00CD6856"/>
    <w:rsid w:val="00CE0089"/>
    <w:rsid w:val="00CE793C"/>
    <w:rsid w:val="00CF193C"/>
    <w:rsid w:val="00D173F1"/>
    <w:rsid w:val="00D42F4C"/>
    <w:rsid w:val="00D74CB0"/>
    <w:rsid w:val="00D8295D"/>
    <w:rsid w:val="00DC2A65"/>
    <w:rsid w:val="00DE15F0"/>
    <w:rsid w:val="00DE5663"/>
    <w:rsid w:val="00DE78AA"/>
    <w:rsid w:val="00E053D0"/>
    <w:rsid w:val="00E15994"/>
    <w:rsid w:val="00E3114E"/>
    <w:rsid w:val="00E31A70"/>
    <w:rsid w:val="00E32D8C"/>
    <w:rsid w:val="00E35B02"/>
    <w:rsid w:val="00E66496"/>
    <w:rsid w:val="00E66B35"/>
    <w:rsid w:val="00E66E10"/>
    <w:rsid w:val="00E769F6"/>
    <w:rsid w:val="00E778C2"/>
    <w:rsid w:val="00E8407C"/>
    <w:rsid w:val="00E84F3C"/>
    <w:rsid w:val="00EA012C"/>
    <w:rsid w:val="00EB2A0E"/>
    <w:rsid w:val="00EC6A55"/>
    <w:rsid w:val="00ED0288"/>
    <w:rsid w:val="00EE52CB"/>
    <w:rsid w:val="00EF581D"/>
    <w:rsid w:val="00EF7FD8"/>
    <w:rsid w:val="00F06F59"/>
    <w:rsid w:val="00F17988"/>
    <w:rsid w:val="00F469F0"/>
    <w:rsid w:val="00F53273"/>
    <w:rsid w:val="00F755E4"/>
    <w:rsid w:val="00F77D02"/>
    <w:rsid w:val="00FB3A86"/>
    <w:rsid w:val="00FD36C8"/>
    <w:rsid w:val="00FD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A4147E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2C2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40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B7B5-4066-4C19-A484-F814BF7D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110</TotalTime>
  <Pages>7</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46</cp:revision>
  <cp:lastPrinted>1999-07-06T11:00:00Z</cp:lastPrinted>
  <dcterms:created xsi:type="dcterms:W3CDTF">2014-10-25T14:34:00Z</dcterms:created>
  <dcterms:modified xsi:type="dcterms:W3CDTF">2025-07-23T13:56:00Z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4d27fc2e-d854-4442-be49-7b94702784bc</vt:lpwstr>
  </property>
</Properties>
</file>