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09B7" w14:textId="42F3778A" w:rsidR="003C4747" w:rsidRDefault="003C4747" w:rsidP="006C1CBB">
      <w:pPr>
        <w:spacing w:after="0" w:line="240" w:lineRule="auto"/>
        <w:jc w:val="center"/>
        <w:rPr>
          <w:rFonts w:ascii="Times New Roman" w:hAnsi="Times New Roman" w:cs="Times New Roman"/>
          <w:b/>
          <w:bCs/>
          <w:sz w:val="28"/>
          <w:szCs w:val="28"/>
        </w:rPr>
      </w:pPr>
    </w:p>
    <w:p w14:paraId="13784DA7" w14:textId="09962CF5" w:rsidR="003C4747" w:rsidRPr="003C4747" w:rsidRDefault="003C4747" w:rsidP="006C1CBB">
      <w:pPr>
        <w:spacing w:after="0" w:line="240" w:lineRule="auto"/>
        <w:jc w:val="center"/>
        <w:rPr>
          <w:rFonts w:ascii="Times New Roman" w:hAnsi="Times New Roman" w:cs="Times New Roman"/>
          <w:b/>
          <w:bCs/>
          <w:sz w:val="28"/>
          <w:szCs w:val="28"/>
        </w:rPr>
      </w:pPr>
      <w:r w:rsidRPr="003C4747">
        <w:rPr>
          <w:rFonts w:ascii="Times New Roman" w:hAnsi="Times New Roman" w:cs="Times New Roman"/>
          <w:b/>
          <w:bCs/>
          <w:sz w:val="28"/>
          <w:szCs w:val="28"/>
        </w:rPr>
        <w:t xml:space="preserve">Adoption of Climate-Smart Agriculture Innovations in Drought-Prone Regions: A Global Bibliometric Review </w:t>
      </w:r>
      <w:r>
        <w:rPr>
          <w:rFonts w:ascii="Times New Roman" w:hAnsi="Times New Roman" w:cs="Times New Roman"/>
          <w:b/>
          <w:bCs/>
          <w:sz w:val="28"/>
          <w:szCs w:val="28"/>
        </w:rPr>
        <w:t>(2016–2025)</w:t>
      </w:r>
    </w:p>
    <w:p w14:paraId="199C391C" w14:textId="42DD6995" w:rsidR="003F03EB" w:rsidRPr="00890738" w:rsidRDefault="00C9600B" w:rsidP="006C1CB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1438E0EE" w14:textId="77777777" w:rsidR="00407C53" w:rsidRPr="00EC1F75" w:rsidRDefault="00407C53" w:rsidP="006C1CBB">
      <w:pPr>
        <w:spacing w:after="0" w:line="240" w:lineRule="auto"/>
        <w:jc w:val="center"/>
        <w:rPr>
          <w:rFonts w:ascii="Times New Roman" w:hAnsi="Times New Roman" w:cs="Times New Roman"/>
          <w:bCs/>
          <w:sz w:val="24"/>
          <w:szCs w:val="24"/>
        </w:rPr>
      </w:pPr>
    </w:p>
    <w:p w14:paraId="5B3D6BAD" w14:textId="77777777" w:rsidR="00802B3E" w:rsidRPr="00093347" w:rsidRDefault="00802B3E" w:rsidP="006C1CBB">
      <w:pPr>
        <w:spacing w:after="0" w:line="240" w:lineRule="auto"/>
        <w:rPr>
          <w:rFonts w:ascii="Times New Roman" w:hAnsi="Times New Roman" w:cs="Times New Roman"/>
          <w:b/>
          <w:sz w:val="24"/>
          <w:szCs w:val="24"/>
        </w:rPr>
      </w:pPr>
    </w:p>
    <w:p w14:paraId="58DE83E7" w14:textId="16C34D6C" w:rsidR="000C713D" w:rsidRPr="009D710B" w:rsidRDefault="000C713D" w:rsidP="006C1CBB">
      <w:pPr>
        <w:spacing w:after="0" w:line="240" w:lineRule="auto"/>
        <w:rPr>
          <w:rFonts w:ascii="Times New Roman" w:hAnsi="Times New Roman" w:cs="Times New Roman"/>
          <w:b/>
          <w:sz w:val="28"/>
          <w:szCs w:val="28"/>
        </w:rPr>
      </w:pPr>
      <w:r w:rsidRPr="009D710B">
        <w:rPr>
          <w:rFonts w:ascii="Times New Roman" w:hAnsi="Times New Roman" w:cs="Times New Roman"/>
          <w:b/>
          <w:sz w:val="28"/>
          <w:szCs w:val="28"/>
        </w:rPr>
        <w:t xml:space="preserve">Abstract: </w:t>
      </w:r>
    </w:p>
    <w:p w14:paraId="6E1ED73D" w14:textId="3C909213" w:rsidR="0071090C" w:rsidRPr="009F438C" w:rsidRDefault="0071090C" w:rsidP="006C1CBB">
      <w:pPr>
        <w:pStyle w:val="NormalWeb"/>
        <w:spacing w:before="0" w:beforeAutospacing="0" w:after="0" w:afterAutospacing="0"/>
        <w:jc w:val="both"/>
      </w:pPr>
      <w:r w:rsidRPr="009F438C">
        <w:t>Climate-Smart Agriculture (CSA) innovations are vital for building drought resilience, yet their adoption remains uneven in vulnerable regions. This study conducts a systematic bibliometric review of CSA adoption research in drought-prone areas using 107 Scopus-indexed articles published between 2016 and 2025. We address five research questions concerning publication trends, geographic and institutional contri</w:t>
      </w:r>
      <w:r w:rsidR="00CC3411" w:rsidRPr="009F438C">
        <w:t>butions, thematic evolution</w:t>
      </w:r>
      <w:r w:rsidR="005C3142" w:rsidRPr="009F438C">
        <w:t>,</w:t>
      </w:r>
      <w:r w:rsidRPr="009F438C">
        <w:t xml:space="preserve"> and knowledge gaps.</w:t>
      </w:r>
      <w:r w:rsidR="005C3142" w:rsidRPr="009F438C">
        <w:t xml:space="preserve"> </w:t>
      </w:r>
      <w:r w:rsidRPr="009F438C">
        <w:t>Results show a 31.8% annual increase in publications, with 48.6% involving international collaboration. Institutions from drought-prone areas such as ICAR-CRIDA (India), KNUST (Ghana), and CIAT (Colombia) lead in productivity. Research clusters focus on: (1) socio-technical adoption barriers (e.g., access to extension and credit); (2) socioecological intersections (e.g., drought-food security linkages); and (3) geographic concentration in South Asia and Sub-Saharan Africa, with limited representation from Latin America.</w:t>
      </w:r>
      <w:r w:rsidR="005C3142" w:rsidRPr="009F438C">
        <w:t xml:space="preserve"> </w:t>
      </w:r>
      <w:r w:rsidRPr="009F438C">
        <w:t>Despite growth, significant gaps remain in gender inclusion, policy integration, and market connectivity. High-impact research is often disconnected from local contexts, highlighting the need for more regionally embedded knowledge systems. This study informs policy and research by advocating for community-led CSA practices, South-South learning networks, and national resilience assessments. A globally informed but locally grounded innovation ecosystem is essential to accelerating CSA adoption among drought-vulnerable smallholders.</w:t>
      </w:r>
    </w:p>
    <w:p w14:paraId="6854C3B8" w14:textId="77777777" w:rsidR="00646ABA" w:rsidRDefault="00646ABA" w:rsidP="006C1CBB">
      <w:pPr>
        <w:pStyle w:val="NormalWeb"/>
        <w:spacing w:before="0" w:beforeAutospacing="0" w:after="0" w:afterAutospacing="0"/>
        <w:jc w:val="both"/>
        <w:rPr>
          <w:rStyle w:val="Strong"/>
        </w:rPr>
      </w:pPr>
    </w:p>
    <w:p w14:paraId="76118ED8" w14:textId="77777777" w:rsidR="00646ABA" w:rsidRDefault="00646ABA" w:rsidP="006C1CBB">
      <w:pPr>
        <w:pStyle w:val="NormalWeb"/>
        <w:spacing w:before="0" w:beforeAutospacing="0" w:after="0" w:afterAutospacing="0"/>
        <w:jc w:val="both"/>
        <w:rPr>
          <w:rStyle w:val="Strong"/>
        </w:rPr>
      </w:pPr>
    </w:p>
    <w:p w14:paraId="30343FAA" w14:textId="16E54EED" w:rsidR="0071090C" w:rsidRPr="009F438C" w:rsidRDefault="0071090C" w:rsidP="006C1CBB">
      <w:pPr>
        <w:pStyle w:val="NormalWeb"/>
        <w:spacing w:before="0" w:beforeAutospacing="0" w:after="0" w:afterAutospacing="0"/>
        <w:jc w:val="both"/>
      </w:pPr>
      <w:r w:rsidRPr="009F438C">
        <w:rPr>
          <w:rStyle w:val="Strong"/>
        </w:rPr>
        <w:t>Keywords:</w:t>
      </w:r>
      <w:r w:rsidRPr="009F438C">
        <w:br/>
        <w:t>Climate-Smart Agriculture (CSA), Innovation Adoption, Bibliometric Analysis, Drought, Smallholder Resilience</w:t>
      </w:r>
      <w:r w:rsidR="00CF25E1" w:rsidRPr="009F438C">
        <w:t>.</w:t>
      </w:r>
    </w:p>
    <w:p w14:paraId="2B6AF3D6" w14:textId="77777777" w:rsidR="00E8320D" w:rsidRDefault="00E8320D" w:rsidP="006C1CBB">
      <w:pPr>
        <w:spacing w:after="0" w:line="240" w:lineRule="auto"/>
        <w:rPr>
          <w:rFonts w:ascii="Times New Roman" w:hAnsi="Times New Roman" w:cs="Times New Roman"/>
          <w:b/>
          <w:sz w:val="24"/>
          <w:szCs w:val="24"/>
        </w:rPr>
      </w:pPr>
    </w:p>
    <w:p w14:paraId="2EEB7726" w14:textId="77777777" w:rsidR="00056EA3" w:rsidRDefault="00056EA3" w:rsidP="006C1CBB">
      <w:pPr>
        <w:spacing w:after="0" w:line="240" w:lineRule="auto"/>
        <w:rPr>
          <w:rFonts w:ascii="Times New Roman" w:hAnsi="Times New Roman" w:cs="Times New Roman"/>
          <w:b/>
          <w:sz w:val="24"/>
          <w:szCs w:val="24"/>
        </w:rPr>
      </w:pPr>
    </w:p>
    <w:p w14:paraId="2C9DBAB2" w14:textId="77777777" w:rsidR="001C03B6" w:rsidRDefault="001C03B6" w:rsidP="006C1CBB">
      <w:pPr>
        <w:spacing w:after="0" w:line="240" w:lineRule="auto"/>
        <w:jc w:val="both"/>
        <w:rPr>
          <w:rFonts w:ascii="Times New Roman" w:hAnsi="Times New Roman" w:cs="Times New Roman"/>
          <w:b/>
          <w:sz w:val="28"/>
          <w:szCs w:val="28"/>
        </w:rPr>
      </w:pPr>
    </w:p>
    <w:p w14:paraId="139D802A" w14:textId="77777777" w:rsidR="001C03B6" w:rsidRDefault="001C03B6" w:rsidP="006C1CBB">
      <w:pPr>
        <w:spacing w:after="0" w:line="240" w:lineRule="auto"/>
        <w:jc w:val="both"/>
        <w:rPr>
          <w:rFonts w:ascii="Times New Roman" w:hAnsi="Times New Roman" w:cs="Times New Roman"/>
          <w:b/>
          <w:sz w:val="28"/>
          <w:szCs w:val="28"/>
        </w:rPr>
      </w:pPr>
    </w:p>
    <w:p w14:paraId="517C4482" w14:textId="77777777" w:rsidR="00646ABA" w:rsidRDefault="00646ABA" w:rsidP="006C1CBB">
      <w:pPr>
        <w:spacing w:after="0" w:line="240" w:lineRule="auto"/>
        <w:jc w:val="both"/>
        <w:rPr>
          <w:rFonts w:ascii="Times New Roman" w:hAnsi="Times New Roman" w:cs="Times New Roman"/>
          <w:b/>
          <w:sz w:val="28"/>
          <w:szCs w:val="28"/>
        </w:rPr>
      </w:pPr>
    </w:p>
    <w:p w14:paraId="152B66EB" w14:textId="1AA1EFE1" w:rsidR="00933485" w:rsidRPr="00BD40CE" w:rsidRDefault="00933485" w:rsidP="006C1CBB">
      <w:pPr>
        <w:spacing w:after="0" w:line="240" w:lineRule="auto"/>
        <w:jc w:val="both"/>
        <w:rPr>
          <w:rFonts w:ascii="Times New Roman" w:hAnsi="Times New Roman" w:cs="Times New Roman"/>
          <w:b/>
          <w:sz w:val="28"/>
          <w:szCs w:val="28"/>
        </w:rPr>
      </w:pPr>
      <w:r w:rsidRPr="00BD40CE">
        <w:rPr>
          <w:rFonts w:ascii="Times New Roman" w:hAnsi="Times New Roman" w:cs="Times New Roman"/>
          <w:b/>
          <w:sz w:val="28"/>
          <w:szCs w:val="28"/>
        </w:rPr>
        <w:t>1.</w:t>
      </w:r>
      <w:r w:rsidR="006765BD">
        <w:rPr>
          <w:rFonts w:ascii="Times New Roman" w:hAnsi="Times New Roman" w:cs="Times New Roman"/>
          <w:b/>
          <w:sz w:val="28"/>
          <w:szCs w:val="28"/>
        </w:rPr>
        <w:t>0</w:t>
      </w:r>
      <w:r w:rsidRPr="00BD40CE">
        <w:rPr>
          <w:rFonts w:ascii="Times New Roman" w:hAnsi="Times New Roman" w:cs="Times New Roman"/>
          <w:b/>
          <w:sz w:val="28"/>
          <w:szCs w:val="28"/>
        </w:rPr>
        <w:t xml:space="preserve"> </w:t>
      </w:r>
      <w:r w:rsidR="00D80ECE" w:rsidRPr="00BD40CE">
        <w:rPr>
          <w:rFonts w:ascii="Times New Roman" w:hAnsi="Times New Roman" w:cs="Times New Roman"/>
          <w:b/>
          <w:sz w:val="28"/>
          <w:szCs w:val="28"/>
        </w:rPr>
        <w:t>Introduction</w:t>
      </w:r>
    </w:p>
    <w:p w14:paraId="66F91035" w14:textId="77777777" w:rsidR="002A0EEA" w:rsidRDefault="002A0EEA" w:rsidP="006C1CBB">
      <w:pPr>
        <w:spacing w:after="0" w:line="240" w:lineRule="auto"/>
        <w:jc w:val="both"/>
        <w:rPr>
          <w:rFonts w:ascii="Times New Roman" w:hAnsi="Times New Roman" w:cs="Times New Roman"/>
          <w:bCs/>
          <w:sz w:val="24"/>
          <w:szCs w:val="24"/>
        </w:rPr>
      </w:pPr>
    </w:p>
    <w:p w14:paraId="6D9D2942" w14:textId="0915B9D9" w:rsidR="008C1666" w:rsidRDefault="008C1666" w:rsidP="006C1CBB">
      <w:pPr>
        <w:pStyle w:val="NormalWeb"/>
        <w:spacing w:before="0" w:beforeAutospacing="0" w:after="0" w:afterAutospacing="0"/>
        <w:jc w:val="both"/>
      </w:pPr>
      <w:r>
        <w:t xml:space="preserve">Climate change is one of the most significant challenges of the 21st century, </w:t>
      </w:r>
      <w:r w:rsidR="005D0117">
        <w:t>particularly</w:t>
      </w:r>
      <w:r>
        <w:t xml:space="preserve"> for agriculture, which is closely tied to local weather and natural resources </w:t>
      </w:r>
      <w:r w:rsidR="00B07C6C">
        <w:fldChar w:fldCharType="begin"/>
      </w:r>
      <w:r w:rsidR="00B07C6C">
        <w:instrText xml:space="preserve"> ADDIN ZOTERO_ITEM CSL_CITATION {"citationID":"jRQBQpJJ","properties":{"formattedCitation":"(Natarajan et al., 2022; Parolini, 2022)","plainCitation":"(Natarajan et al., 2022; Parolini, 2022)","noteIndex":0},"citationItems":[{"id":2210,"uris":["http://zotero.org/users/local/OSBVH90z/items/NMIXWELQ"],"itemData":{"id":2210,"type":"article-journal","container-title":"World Development","DOI":"10.1016/j.worlddev.2022.105898","ISSN":"0305-750X","language":"en","license":"https://www.elsevier.com/tdm/userlicense/1.0/","note":"publisher: Elsevier BV","page":"105898","source":"Crossref","title":"A sustainable livelihoods framework for the 21st century","volume":"155","author":[{"family":"Natarajan","given":"Nithya"},{"family":"Newsham","given":"Andrew"},{"family":"Rigg","given":"Jonathan"},{"family":"Suhardiman","given":"Diana"}],"issued":{"date-parts":[["2022",7]]}}},{"id":2208,"uris":["http://zotero.org/users/local/OSBVH90z/items/K9VKI8IV"],"itemData":{"id":2208,"type":"article-journal","abstract":"AbstractAll over the world, farming communities need to adapt to a changing climate. At the same time, they are confronted by the necessity to increase food availability for a growing population, but also to ensure a sustainable use of natural resources. In this process, agriculture is not just the fiend responsible for an increase in greenhouse gas emissions, nor the victim of rising temperatures and extreme weather events. Agriculture is also an ally in climate change mitigation and adaptation because the selection of ad hoc crop varieties and livestock can lower the environmental impact of farming and the implementation of better management practices can promote soil conservation. Whether agriculture will have a positive or a negative impact on climate change adaptation and mitigation will depend on the rural policies implemented, but it will also be contingent on an adequate understanding of the interconnections existing between weather, climate, and farming. This review explores such interconnections by focusing on the history of agricultural meteorology, which is the research field that studies the impact of weather and climate on crops, livestock, farming operations, and plant and animal pests and diseases. The article discusses stakeholders, institutions, and main developments in agricultural meteorology, and describes how the agenda of agricultural meteorology has shifted over time. At the beginning of the 20th century, research in agricultural meteorology focused on increasing the profitability of farming. In the 21st century, instead, the main goal of agricultural meteorology is to ensure food security and guarantee sustainability.This article is categorized under:Climate, History, Society, Culture &gt; Disciplinary Perspectives","container-title":"WIREs Climate Change","DOI":"10.1002/wcc.766","ISSN":"1757-7780, 1757-7799","issue":"3","language":"en","license":"http://creativecommons.org/licenses/by/4.0/","note":"publisher: Wiley","source":"Crossref","title":"Weather, climate, and agriculture: Historical contributions and perspectives from agricultural meteorology","title-short":"Weather, climate, and agriculture","URL":"https://wires.onlinelibrary.wiley.com/doi/10.1002/wcc.766","volume":"13","author":[{"family":"Parolini","given":"Giuditta"}],"accessed":{"date-parts":[["2025",7,13]]},"issued":{"date-parts":[["2022",5]]}}}],"schema":"https://github.com/citation-style-language/schema/raw/master/csl-citation.json"} </w:instrText>
      </w:r>
      <w:r w:rsidR="00B07C6C">
        <w:fldChar w:fldCharType="separate"/>
      </w:r>
      <w:r w:rsidR="00B07C6C" w:rsidRPr="00B07C6C">
        <w:t>(Natarajan et al., 2022; Parolini, 2022)</w:t>
      </w:r>
      <w:r w:rsidR="00B07C6C">
        <w:fldChar w:fldCharType="end"/>
      </w:r>
      <w:r>
        <w:t xml:space="preserve">. </w:t>
      </w:r>
      <w:r w:rsidR="005D0117">
        <w:t>Among the stresses associated with a changing climate, it is one of</w:t>
      </w:r>
      <w:r>
        <w:t xml:space="preserve"> the most </w:t>
      </w:r>
      <w:r w:rsidR="00B53624">
        <w:t>widespread and</w:t>
      </w:r>
      <w:r>
        <w:t xml:space="preserve"> damaging to global food security. The drought events, </w:t>
      </w:r>
      <w:r w:rsidR="005D0117">
        <w:t>characterized by their prolonged dry spells, low rainfall, and water scarcity, directly impact agricultural production, particularly</w:t>
      </w:r>
      <w:r>
        <w:t xml:space="preserve"> in rainfed cropping systems </w:t>
      </w:r>
      <w:r w:rsidR="00B07C6C">
        <w:fldChar w:fldCharType="begin"/>
      </w:r>
      <w:r w:rsidR="00936A6B">
        <w:instrText xml:space="preserve"> ADDIN ZOTERO_ITEM CSL_CITATION {"citationID":"JWm1Hu0G","properties":{"formattedCitation":"(Bal et al., 2022; Santini et al., 2022)","plainCitation":"(Bal et al., 2022; Santini et al., 2022)","noteIndex":0},"citationItems":[{"id":2220,"uris":["http://zotero.org/users/local/OSBVH90z/items/7XZ9EWSU"],"itemData":{"id":2220,"type":"article-journal","container-title":"Agricultural and Forest Meteorology","DOI":"10.1016/j.agrformet.2021.108768","ISSN":"0168-1923","language":"en","license":"https://www.elsevier.com/tdm/userlicense/1.0/","note":"publisher: Elsevier BV","page":"108768","source":"Crossref","title":"Assessing impact of dry spells on the principal rainfed crops in major dryland regions of India","volume":"313","author":[{"family":"Bal","given":"Santanu Kumar"},{"family":"Sandeep","given":"V.M."},{"family":"Kumar","given":"P. Vijaya"},{"family":"Rao","given":"A.V.M. Subba"},{"family":"Pramod","given":"V.P."},{"family":"Manikandan","given":"N."},{"family":"Rao","given":"Ch. Srinivasa"},{"family":"Singh","given":"Naveen P."},{"family":"Bhaskar","given":"S."}],"issued":{"date-parts":[["2022",2]]}}},{"id":2212,"uris":["http://zotero.org/users/local/OSBVH90z/items/59Y5M5ZA"],"itemData":{"id":2212,"type":"article-journal","abstract":"AbstractMulti-purpose crops as maize, rice, soybean, and wheat are key in the debate concerning food, land, water and energy security and sustainability. While strong evidence exists on the effects of climate variability on the production of these crops, so far multifaceted attributes of droughts—magnitude, frequency, duration, and timing—have been tackled mainly separately, for a limited part of the cropping season, or over small regions. Here, a more comprehensive assessment is provided on how droughts with their complex patterns—given by their compound attributes—are consistently related to negative impacts on crop yield on a global scale. Magnitude and frequency of both climate and yield variability are jointly analysed from 1981 to 2016 considering multiscale droughts, i.e., dry conditions occurring with different durations and timings along the whole farming season, through two analogous and standardized indicators enabling comparison among crops, countries, and years. Mainly winter wheat and then spring wheat, soybean and the main maize’s season reveal high susceptibility of yield under more complex drought patterns than previously assessed. The second maize’s season and rice present less marked and more uncertain results, respectively. Overall, southern and eastern Europe, the Americas and sub-Saharan Africa presents multi-crop susceptibility, with eastern Europe, Middle East and Central Asia appearing critical regions for the most vulnerable crop, which is wheat. Finally, yield losses for wheat and soybean clearly worsen when moving from moderate to extreme multiscale droughts.","container-title":"Scientific Reports","DOI":"10.1038/s41598-022-09611-0","ISSN":"2045-2322","issue":"1","journalAbbreviation":"Sci Rep","language":"en","license":"https://creativecommons.org/licenses/by/4.0","note":"publisher: Springer Science and Business Media LLC","source":"Crossref","title":"Complex drought patterns robustly explain global yield loss for major crops","URL":"https://www.nature.com/articles/s41598-022-09611-0","volume":"12","author":[{"family":"Santini","given":"Monia"},{"family":"Noce","given":"Sergio"},{"family":"Antonelli","given":"Marta"},{"family":"Caporaso","given":"Luca"}],"accessed":{"date-parts":[["2025",7,13]]},"issued":{"date-parts":[["2022",4,6]]}}}],"schema":"https://github.com/citation-style-language/schema/raw/master/csl-citation.json"} </w:instrText>
      </w:r>
      <w:r w:rsidR="00B07C6C">
        <w:fldChar w:fldCharType="separate"/>
      </w:r>
      <w:r w:rsidR="00936A6B" w:rsidRPr="00936A6B">
        <w:t>(Bal et al., 2022; Santini et al., 2022)</w:t>
      </w:r>
      <w:r w:rsidR="00B07C6C">
        <w:fldChar w:fldCharType="end"/>
      </w:r>
      <w:r>
        <w:t xml:space="preserve">. Areas such as Sub-Saharan Africa, South Asia, and the drylands of Latin America are among the most vulnerable </w:t>
      </w:r>
      <w:r w:rsidR="00B07C6C">
        <w:fldChar w:fldCharType="begin"/>
      </w:r>
      <w:r w:rsidR="00B07C6C">
        <w:instrText xml:space="preserve"> ADDIN ZOTERO_ITEM CSL_CITATION {"citationID":"O5tbTngm","properties":{"formattedCitation":"(Blicharska et al., 2024)","plainCitation":"(Blicharska et al., 2024)","noteIndex":0},"citationItems":[{"id":2213,"uris":["http://zotero.org/users/local/OSBVH90z/items/3A4LWJ7H"],"itemData":{"id":2213,"type":"article-journal","container-title":"Journal of Environmental Planning and Management","DOI":"10.1080/09640568.2024.2351424","ISSN":"0964-0568, 1360-0559","language":"en","license":"http://creativecommons.org/licenses/by/4.0/","note":"publisher: Informa UK Limited","page":"1-28","source":"Crossref","title":"Global presumed drylands: drivers, pressures, state, impacts, responses","title-short":"Global presumed drylands","author":[{"family":"Blicharska","given":"Malgorzata"},{"family":"Haddad","given":"Fidaa"},{"family":"Riccardi","given":"Tullia"},{"family":"Smithers","given":"Richard J."}],"issued":{"date-parts":[["2024",5,22]]}}}],"schema":"https://github.com/citation-style-language/schema/raw/master/csl-citation.json"} </w:instrText>
      </w:r>
      <w:r w:rsidR="00B07C6C">
        <w:fldChar w:fldCharType="separate"/>
      </w:r>
      <w:r w:rsidR="00B07C6C" w:rsidRPr="00B07C6C">
        <w:t>(Blicharska et al., 2024)</w:t>
      </w:r>
      <w:r w:rsidR="00B07C6C">
        <w:fldChar w:fldCharType="end"/>
      </w:r>
      <w:r>
        <w:t xml:space="preserve">, as they are highly dependent on seasonal rains for crop production and rural livelihoods. The growing increase in GHTs and their increasing severity, along with other </w:t>
      </w:r>
      <w:r>
        <w:lastRenderedPageBreak/>
        <w:t xml:space="preserve">climate extremes, has led to global strategies for agricultural sustainability that not only promote sustainability but also foster resiliency </w:t>
      </w:r>
      <w:r w:rsidR="00B07C6C">
        <w:fldChar w:fldCharType="begin"/>
      </w:r>
      <w:r w:rsidR="006D3B6F">
        <w:instrText xml:space="preserve"> ADDIN ZOTERO_ITEM CSL_CITATION {"citationID":"Ow4WRqwS","properties":{"formattedCitation":"(Fazekas et al., 2022; Srivastav et al., 2021)","plainCitation":"(Fazekas et al., 2022; Srivastav et al., 2021)","noteIndex":0},"citationItems":[{"id":2215,"uris":["http://zotero.org/users/local/OSBVH90z/items/Q5NPGSTU"],"itemData":{"id":2215,"type":"book","abstract":"Getting to net-zero emissions is necessary to limit global warming to well under 2 °C and towards 1.5 °C, which are the temperature goals of the Paris Agreement. More than 50 countries globally have set targets to reach net-zero emissions, typically by 2050, and most others are working on similar goals. Achieving these targets requires transformations in the electricity, transport, agriculture, land-use, buildings, industry, and waste-management sectors. While solutions exist to transition to a carbon-neutral economy, including both technology and behavioral changes, which often come with economic, social, or development benefits, many barriers prevent their uptake. We compile evidence from the academic and gray literature to identify 15 sectoral transformations that allow the achievement of net-zero greenhouse gas emissions. We then list barriers that prevent their uptake, such as hurdles related to infrastructure, regulations, public and private finances, information, and political economy issues. Finally, we provide more than 50 examples of sector-level government interventions that can lift these barriers, such as building infrastructure, reforming regulations and subsidies, providing information and capacity building, and managing distributional impacts. Governments can use this information to inform the design of comprehensive climate strategies that translate the long-term net-zero emission goal into a roadmap of required transformations in each sector, and then work on designing and implementing government interventions at the national, regional, or local levels to enable them.","language":"en","source":"shs.hal.science","title":"Achieving net-zero prosperity: how governments can unlock 15 essential transformations","title-short":"Achieving net-zero prosperity","URL":"https://shs.hal.science/halshs-03742125","author":[{"family":"Fazekas","given":"Andreas"},{"family":"Bataille","given":"Christopher"},{"family":"Vogt-Schilb","given":"Adrien"}],"accessed":{"date-parts":[["2025",7,13]]},"issued":{"date-parts":[["2022",7,20]]}}},{"id":2118,"uris":["http://zotero.org/users/local/OSBVH90z/items/TETB5VQM"],"itemData":{"id":2118,"type":"article-journal","container-title":"Environmental Science and Pollution Research","DOI":"10.1007/s11356-021-14332-4","ISSN":"0944-1344, 1614-7499","issue":"31","journalAbbreviation":"Environ Sci Pollut Res","language":"en","page":"41576-41595","source":"DOI.org (Crossref)","title":"Climate-resilient strategies for sustainable management of water resources and agriculture","volume":"28","author":[{"family":"Srivastav","given":"Arun Lal"},{"family":"Dhyani","given":"Rajni"},{"family":"Ranjan","given":"Manish"},{"family":"Madhav","given":"Sughosh"},{"family":"Sillanpää","given":"Mika"}],"issued":{"date-parts":[["2021",8]]}}}],"schema":"https://github.com/citation-style-language/schema/raw/master/csl-citation.json"} </w:instrText>
      </w:r>
      <w:r w:rsidR="00B07C6C">
        <w:fldChar w:fldCharType="separate"/>
      </w:r>
      <w:r w:rsidR="006D3B6F" w:rsidRPr="006D3B6F">
        <w:t>(Fazekas et al., 2022; Srivastav et al., 2021)</w:t>
      </w:r>
      <w:r w:rsidR="00B07C6C">
        <w:fldChar w:fldCharType="end"/>
      </w:r>
      <w:r>
        <w:t>.</w:t>
      </w:r>
    </w:p>
    <w:p w14:paraId="4144C056" w14:textId="01A42A36" w:rsidR="008C1666" w:rsidRDefault="008C1666" w:rsidP="006C1CBB">
      <w:pPr>
        <w:pStyle w:val="NormalWeb"/>
        <w:spacing w:before="0" w:beforeAutospacing="0" w:after="0" w:afterAutospacing="0"/>
        <w:jc w:val="both"/>
      </w:pPr>
      <w:r>
        <w:t xml:space="preserve">To address these challenges, Climate-Smart Agriculture (CSA) has come up as a paradigm that seeks to simultaneously deepen efforts to achieve three core objectives of Cropping Systems intensification: sustainably increasing agricultural productivity, adapting and building resilience to climate change, and at the same time minimizing greenhouse gas emissions </w:t>
      </w:r>
      <w:r w:rsidR="006D3B6F">
        <w:fldChar w:fldCharType="begin"/>
      </w:r>
      <w:r w:rsidR="00936A6B">
        <w:instrText xml:space="preserve"> ADDIN ZOTERO_ITEM CSL_CITATION {"citationID":"jkfG4Nnd","properties":{"formattedCitation":"(Kabato et al., 2025; Wijerathna-Yapa &amp; Pathirana, 2022)","plainCitation":"(Kabato et al., 2025; Wijerathna-Yapa &amp; Pathirana, 2022)","noteIndex":0},"citationItems":[{"id":2119,"uris":["http://zotero.org/users/local/OSBVH90z/items/DZH46YDK"],"itemData":{"id":2119,"type":"article-journal","abstract":"Without transformative adaptation strategies, the impact of climate change is projected to reduce global crop yields and increase food insecurity, while rising greenhouse gas (GHG) emissions further exacerbate the crisis. While agriculture is a major contributor to climate change through unsustainable practices, it also offers significant opportunities to mitigate these emissions through the adoption of sustainable practices. This review examines climate-smart agriculture (CSA) as a key strategy for enhancing crop productivity, building climate resilience, and reducing GHG emissions, while emphasizing the need for strategic interventions to accelerate its large-scale implementation for improved food security. The analysis revealed that while nitrogen use efficiency (NUE) has improved in developed countries, the global NUE remains at 55.47%, emphasizing the need for precision nutrient management and integrated soil fertility strategies to enhance productivity and minimize environmental impacts. With 40% of the world’s agricultural land already degraded, sustainability alone is insufficient, necessitating a shift toward regenerative agricultural practices to restore degraded soil and water by improving soil health, enhancing biodiversity, and increasing carbon sequestration, thus ensuring long-term agricultural resilience. CSA practices, including precision agriculture, regenerative agriculture, biochar application, and agroforestry, improve soil health, enhance food security, and mitigate greenhouse gas emissions. However, result variability highlights the need for site-specific strategies to optimize benefits. Integrating multiple CSA practices enhances soil health and productivity more effectively than implementing a single practice alone. Widespread adoption faces socio-economic and technological barriers, requiring supportive policies, financial incentives, and capacity-building initiatives. By adopting climate-smart technologies, agriculture can transition toward sustainability, securing global food systems while addressing climate challenges.","container-title":"Agronomy","DOI":"10.3390/agronomy15030565","ISSN":"2073-4395","issue":"3","journalAbbreviation":"Agronomy","language":"en","license":"https://creativecommons.org/licenses/by/4.0/","page":"565","source":"DOI.org (Crossref)","title":"Towards Climate-Smart Agriculture: Strategies for Sustainable Agricultural Production, Food Security, and Greenhouse Gas Reduction","title-short":"Towards Climate-Smart Agriculture","volume":"15","author":[{"family":"Kabato","given":"Wogene"},{"family":"Getnet","given":"Girma Tilahun"},{"family":"Sinore","given":"Tamrat"},{"family":"Nemeth","given":"Attila"},{"family":"Molnár","given":"Zoltán"}],"issued":{"date-parts":[["2025",2,25]]}}},{"id":2221,"uris":["http://zotero.org/users/local/OSBVH90z/items/CA9KLLI7"],"itemData":{"id":2221,"type":"article-journal","abstract":"Despite world food production keeping pace with population growth because of the Green Revolution, the United Nations (UN) State of Food Security and Nutrition in the World 2022 Report indicates that the number of people affected by hunger has increased to 828 million with 29.3% of the global population food insecure, and 22% of children under five years of age stunted. Many more have low-quality, unhealthy diets and micronutrient deficiencies leading to obesity, diabetes, and other diet-related non-communicable diseases. Additionally, current agro-food systems significantly impact the environment and the climate, including soil and water resources. Frequent natural disasters resulting from climate change, pandemics, and conflicts weaken food systems and exacerbate food insecurity worldwide. In this review, we outline the current knowledge in alternative agricultural practices for achieving sustainability as well as policies and practices that need to be implemented for an equitable distribution of resources and food for achieving several goals in the UN 2030 Agenda for Sustainable Development. According to the UN Intergovernmental Panel on Climate Change, animal husbandry, particularly ruminant meat and dairy, accounts for a significant proportion of agricultural greenhouse gas (GHG) emissions and land use but contributes only 18% of food energy. In contrast, plant-based foods, particularly perennial crops, have the lowest environmental impacts. Therefore, expanding the cultivation of perennials, particularly herbaceous perennials, to replace annual crops, fostering climate-smart food choices, implementing policies and subsidies favoring efficient production systems with low environmental impact, empowering women, and adopting modern biotechnological and digital solutions can help to transform global agro-food systems toward sustainability. There is growing evidence that food security and adequate nutrition for the global population can be achieved using climate-smart, sustainable agricultural practices, while reducing negative environmental impacts of agriculture, including GHG emissions.","container-title":"Agriculture","DOI":"10.3390/agriculture12101554","ISSN":"2077-0472","issue":"10","language":"en","license":"https://creativecommons.org/licenses/by/4.0/","note":"publisher: MDPI AG","page":"1554","source":"Crossref","title":"Sustainable Agro-Food Systems for Addressing Climate Change and Food Security","volume":"12","author":[{"family":"Wijerathna-Yapa","given":"Akila"},{"family":"Pathirana","given":"Ranjith"}],"issued":{"date-parts":[["2022",9,26]]}}}],"schema":"https://github.com/citation-style-language/schema/raw/master/csl-citation.json"} </w:instrText>
      </w:r>
      <w:r w:rsidR="006D3B6F">
        <w:fldChar w:fldCharType="separate"/>
      </w:r>
      <w:r w:rsidR="00936A6B" w:rsidRPr="00936A6B">
        <w:t>(Kabato et al., 2025; Wijerathna-Yapa &amp; Pathirana, 2022)</w:t>
      </w:r>
      <w:r w:rsidR="006D3B6F">
        <w:fldChar w:fldCharType="end"/>
      </w:r>
      <w:r>
        <w:t xml:space="preserve">. CSA may not be a technology per se but rather a holistic approach that brings together several context-specific and often well-known practices, such as drought-resistant cultivars, conservation tillage, agroforestry, water harvesting, precise irrigation, and climate service information </w:t>
      </w:r>
      <w:r w:rsidR="006D3B6F">
        <w:fldChar w:fldCharType="begin"/>
      </w:r>
      <w:r w:rsidR="006D3B6F">
        <w:instrText xml:space="preserve"> ADDIN ZOTERO_ITEM CSL_CITATION {"citationID":"mJ5FgFg1","properties":{"formattedCitation":"(Wilkinson, 2023)","plainCitation":"(Wilkinson, 2023)","noteIndex":0},"citationItems":[{"id":2126,"uris":["http://zotero.org/users/local/OSBVH90z/items/GEVADIKL"],"itemData":{"id":2126,"type":"article","abstract":"Social-ecological change such as climate change, market volatility or policy reforms are too often discussed at global and national scales; however, it is at local and regional scales that individuals and communities experience and respond to these changes. This is perhaps most evident in agriculture, food and farm systems, where change is a constant for farmers and ranchers. In this dissertation I explore the perceptions and experiences of change from the perspective of farmers, ranchers, local food producers and community residents using socialecological systems analysis, as a first approximation and effort at pattern recognition in Southern Alberta’s farm and ranch community, and in Yukon Territory. The research objective being to understand how individuals respond to change, identifying supports and barriers that exist for responding to change, and how to create more sustainable and resilient agriculture, food and farm systems. In both study areas, online surveys were used to engage farmers and ranchers, and in Yukon Territory, surveys were also distributed to residents as this study was exploring specific perspectives of local food consumption and the role of hydroponics. A soft-systems approach was taken in each study to understand the social-ecological conditions, relationships, and dimensions that effect responding to change, and the visions for the future. Each study area had unique perspectives and experiences that were a product of their social-ecological context, for example, in Southern Alberta when discussing climate, precipitation was prime concern, while in Yukon Territory, it was temperature. Despite these differences driven by place-based context, there were key similarities. In both areas, financial limitations were the prime barrier for one’s ability to respond to changes of any variety. Furthermore, despite the major differences in scale of agricultural operations in both regions, participants in both areas believed that agriculture needs to produce within their own social-ecological conditions, and there is a need for more diverse and resilient local and regional food systems.","DOI":"10.11575/PRISM/41949","language":"en","license":"University of Calgary graduate students retain copyright ownership and moral rights for their thesis. You may use this material in any way that is permitted by the Copyright Act or through licensing that has been assigned to the document. For uses that are not allowable under copyright legislation or licensing, you are required to seek permission.","publisher":"Graduate Studies","source":"DOI.org (Datacite)","title":"Social-Ecological Systems Analysis and Perceptions of Change in Agriculture, Food and Farm Systems in Southern Alberta and Yukon Territory","URL":"https://ucalgary.scholaris.ca/handle/1880/117107","author":[{"family":"Wilkinson","given":"Alex"}],"contributor":[{"literal":"University Of Calgary"},{"family":"Gerlach","given":"Craig"}],"accessed":{"date-parts":[["2025",6,11]]},"issued":{"date-parts":[["2023",9,13]]}}}],"schema":"https://github.com/citation-style-language/schema/raw/master/csl-citation.json"} </w:instrText>
      </w:r>
      <w:r w:rsidR="006D3B6F">
        <w:fldChar w:fldCharType="separate"/>
      </w:r>
      <w:r w:rsidR="006D3B6F" w:rsidRPr="006D3B6F">
        <w:t>(Wilkinson, 2023)</w:t>
      </w:r>
      <w:r w:rsidR="006D3B6F">
        <w:fldChar w:fldCharType="end"/>
      </w:r>
      <w:r>
        <w:t>. Strategically adopted, these innovations can be crucial for drought adaptation, enabling farmers to manage water shortages, mitigate risks of crop failure, and safeguard food and income security</w:t>
      </w:r>
      <w:r w:rsidR="00625224">
        <w:t xml:space="preserve"> </w:t>
      </w:r>
      <w:r w:rsidR="00625224">
        <w:fldChar w:fldCharType="begin"/>
      </w:r>
      <w:r w:rsidR="00625224">
        <w:instrText xml:space="preserve"> ADDIN ZOTERO_ITEM CSL_CITATION {"citationID":"m4IQye3m","properties":{"formattedCitation":"(Shiferaw et al., 2014; Vasavi et al., 2025)","plainCitation":"(Shiferaw et al., 2014; Vasavi et al., 2025)","noteIndex":0},"citationItems":[{"id":2223,"uris":["http://zotero.org/users/local/OSBVH90z/items/BF943ZJC"],"itemData":{"id":2223,"type":"article-journal","container-title":"Weather and Climate Extremes","DOI":"10.1016/j.wace.2014.04.004","ISSN":"2212-0947","language":"en","license":"https://www.elsevier.com/tdm/userlicense/1.0/","note":"publisher: Elsevier BV","page":"67-79","source":"Crossref","title":"Managing vulnerability to drought and enhancing livelihood resilience in sub-Saharan Africa: Technological, institutional and policy options","title-short":"Managing vulnerability to drought and enhancing livelihood resilience in sub-Saharan Africa","volume":"3","author":[{"family":"Shiferaw","given":"Bekele"},{"family":"Tesfaye","given":"Kindie"},{"family":"Kassie","given":"Menale"},{"family":"Abate","given":"Tsedeke"},{"family":"Prasanna","given":"B.M."},{"family":"Menkir","given":"Abebe"}],"issued":{"date-parts":[["2014",6]]}}},{"id":2224,"uris":["http://zotero.org/users/local/OSBVH90z/items/R7DMHZMI"],"itemData":{"id":2224,"type":"article-journal","container-title":"Agricultural Systems","DOI":"10.1016/j.agsy.2025.104355","ISSN":"0308-521X","language":"en","license":"https://www.elsevier.com/tdm/userlicense/1.0/","note":"publisher: Elsevier BV","page":"104355","source":"Crossref","title":"Challenges and strategies of resource poor farmers in adoption of innovative farming technologies: A comprehensive review","title-short":"Challenges and strategies of resource poor farmers in adoption of innovative farming technologies","volume":"227","author":[{"family":"Vasavi","given":"S."},{"family":"Anandaraja","given":"N."},{"family":"Murugan","given":"P.P."},{"family":"Latha","given":"M.R."},{"family":"Pangayar Selvi","given":"R."}],"issued":{"date-parts":[["2025",6]]}}}],"schema":"https://github.com/citation-style-language/schema/raw/master/csl-citation.json"} </w:instrText>
      </w:r>
      <w:r w:rsidR="00625224">
        <w:fldChar w:fldCharType="separate"/>
      </w:r>
      <w:r w:rsidR="00625224" w:rsidRPr="00625224">
        <w:t>(Shiferaw et al., 2014; Vasavi et al., 2025)</w:t>
      </w:r>
      <w:r w:rsidR="00625224">
        <w:fldChar w:fldCharType="end"/>
      </w:r>
      <w:r>
        <w:t>.</w:t>
      </w:r>
    </w:p>
    <w:p w14:paraId="05938AB9" w14:textId="3B20EBDB" w:rsidR="008C1666" w:rsidRDefault="008C1666" w:rsidP="006C1CBB">
      <w:pPr>
        <w:pStyle w:val="NormalWeb"/>
        <w:spacing w:before="0" w:beforeAutospacing="0" w:after="0" w:afterAutospacing="0"/>
        <w:jc w:val="both"/>
      </w:pPr>
      <w:r>
        <w:t xml:space="preserve">Despite growing political, scientific, and donor attention, the uptake of CSA is uneven on the ground, especially in drought-prone areas where it is most needed </w:t>
      </w:r>
      <w:r w:rsidR="006D3B6F">
        <w:fldChar w:fldCharType="begin"/>
      </w:r>
      <w:r w:rsidR="006D3B6F">
        <w:instrText xml:space="preserve"> ADDIN ZOTERO_ITEM CSL_CITATION {"citationID":"dizW6sO7","properties":{"formattedCitation":"(Mpala &amp; Simatele, 2024)","plainCitation":"(Mpala &amp; Simatele, 2024)","noteIndex":0},"citationItems":[{"id":2120,"uris":["http://zotero.org/users/local/OSBVH90z/items/5LZW6ZNR"],"itemData":{"id":2120,"type":"article-journal","abstract":"Climate change is one of the most significant challenges many rural farmers face in sub-Saharan Africa, as most agricultural practices are rainfed dependent. Many of these rural farmers are small-scale farmers with limited access to financial assets, agricultural equipment, and inputs. With a rapidly changing climate and limited access to agricultural resources, many rural farmers in Zimbabwe have found it extremely difficult to engage in meaningful crop production activities and secure their livelihoods and incomes. This paper employs participatory research methods to examine adaptive strategies adopted by rural farmers. The strategies include optimal water resource utilisation, early maturing seed adoption, soil and water conservation (SWM), and nutrient management techniques (NMT). Cost-effective integration of labour and post-harvest storage facilities is also considered. Rural farmers, despite constraints, actively engage in these adaptive practices. The study assesses the effectiveness of initiatives to enhance crop production and build resilience against climate variability. Discussion centers on the comprehensiveness of these adaptive techniques within the broader framework of sustainable development goals, focusing on goals 1 (No Poverty) and 2 (Zero Hunger). The findings contribute to understanding and promoting resilience among vulnerable households facing climate-related challenges.","container-title":"Frontiers in Sustainable Food Systems","DOI":"10.3389/fsufs.2023.1298908","ISSN":"2571-581X","journalAbbreviation":"Front. Sustain. Food Syst.","page":"1298908","source":"DOI.org (Crossref)","title":"Climate-smart agricultural practices among rural farmers in Masvingo district of Zimbabwe: perspectives on the mitigation strategies to drought and water scarcity for improved crop production","title-short":"Climate-smart agricultural practices among rural farmers in Masvingo district of Zimbabwe","volume":"7","author":[{"family":"Mpala","given":"Thandiwe Annastacia"},{"family":"Simatele","given":"Mulala Danny"}],"issued":{"date-parts":[["2024",1,30]]}}}],"schema":"https://github.com/citation-style-language/schema/raw/master/csl-citation.json"} </w:instrText>
      </w:r>
      <w:r w:rsidR="006D3B6F">
        <w:fldChar w:fldCharType="separate"/>
      </w:r>
      <w:r w:rsidR="006D3B6F" w:rsidRPr="006D3B6F">
        <w:t>(Mpala &amp; Simatele, 2024)</w:t>
      </w:r>
      <w:r w:rsidR="006D3B6F">
        <w:fldChar w:fldCharType="end"/>
      </w:r>
      <w:r>
        <w:t xml:space="preserve">. Studies have indicated that several interrelated variables influence the adoption of CSA technologies. These comprise socio-demographic factors (age, gender, education), </w:t>
      </w:r>
      <w:r w:rsidR="004A324F">
        <w:t>endowments, institution-household relations (land tenure status, extension access), economic pressures (such as credit access, input affordability), and contextual influences (agroecological circumstances, cultural perceptions</w:t>
      </w:r>
      <w:r>
        <w:t xml:space="preserve">). Furthermore, the adoption process is not a standard cutout; it is highly diverse and specific, differing in every community and largely depending on local circumstances, family capabilities, and risk exposure. Furthermore, even when evidence is available, this complexity impedes the scaling up of interventions. It requires a sophisticated understanding of the factors that enable and constrain adoption, especially in drought contexts where the demand for action is at its most urgent </w:t>
      </w:r>
      <w:r w:rsidR="006D3B6F">
        <w:fldChar w:fldCharType="begin"/>
      </w:r>
      <w:r w:rsidR="006D3B6F">
        <w:instrText xml:space="preserve"> ADDIN ZOTERO_ITEM CSL_CITATION {"citationID":"dcUsLbK4","properties":{"formattedCitation":"(Grainger et al., 2021)","plainCitation":"(Grainger et al., 2021)","noteIndex":0},"citationItems":[{"id":2127,"uris":["http://zotero.org/users/local/OSBVH90z/items/JNCUY5IC"],"itemData":{"id":2127,"type":"article-journal","abstract":"Drought risks pose serious threats to socio-ecological systems, built environments, livelihoods and human wellbeing. Managing these risks requires long-term collaboration between diverse groups with different values, interests and forms of knowledge. Funders, researchers and practitioners have increasingly advocated for collaborative models of knowledge production in which all participants recognise the multiple ways of understanding drought risk and strive to co-create knowledge for decision making. Such transdisciplinary research approaches aim to develop and sustain more equitable and meaningful interactions between scientific and societal actors, and have been shown to increase knowledge use and build resilience to climate variability. In practice, however, collaborations around drought remain largely science-driven and, as a result, can struggle to produce actionable knowledge necessary to better manage drought risk. This article draws from drought studies and related transdisciplinary fields to highlight common barriers inhibiting actionable knowledge production across a broad range of drought risk management contexts. We also propose opportunities for improved knowledge production that can guide researchers, practitioners and funders seeking to engage in transdisciplinary work. Diverse understandings of drought risk have hindered widespread advances in knowledge production and resilience building. We argue for multi-disciplinary researchers to come together with stakeholders and focus on creating inclusive and context-driven environments. While not appropriate or cost-effective in all situations, co-production between researchers, practitioners and other stakeholder groups offers opportunities for actionable management plans and policies that reflect the complex and contested problem framings and socio-ecological contexts in which droughts impact society.","container-title":"Frontiers in Environmental Science","DOI":"10.3389/fenvs.2021.602128","ISSN":"2296-665X","journalAbbreviation":"Front. Environ. Sci.","page":"602128","source":"DOI.org (Crossref)","title":"Barriers and Opportunities for Actionable Knowledge Production in Drought Risk Management: Embracing the Frontiers of Co-production","title-short":"Barriers and Opportunities for Actionable Knowledge Production in Drought Risk Management","volume":"9","author":[{"family":"Grainger","given":"Sam"},{"family":"Murphy","given":"Conor"},{"family":"Vicente-Serrano","given":"Sergio M."}],"issued":{"date-parts":[["2021",4,8]]}}}],"schema":"https://github.com/citation-style-language/schema/raw/master/csl-citation.json"} </w:instrText>
      </w:r>
      <w:r w:rsidR="006D3B6F">
        <w:fldChar w:fldCharType="separate"/>
      </w:r>
      <w:r w:rsidR="006D3B6F" w:rsidRPr="006D3B6F">
        <w:t>(Grainger et al., 2021)</w:t>
      </w:r>
      <w:r w:rsidR="006D3B6F">
        <w:fldChar w:fldCharType="end"/>
      </w:r>
      <w:r>
        <w:t>.</w:t>
      </w:r>
    </w:p>
    <w:p w14:paraId="083D88C4" w14:textId="01C46E63" w:rsidR="008C1666" w:rsidRDefault="008C1666" w:rsidP="006C1CBB">
      <w:pPr>
        <w:pStyle w:val="NormalWeb"/>
        <w:spacing w:before="0" w:beforeAutospacing="0" w:after="0" w:afterAutospacing="0"/>
        <w:jc w:val="both"/>
      </w:pPr>
      <w:r>
        <w:t xml:space="preserve">While there is an emerging literature on the adoption of CSA more broadly, there has been a limited systematic review of evidence specifically </w:t>
      </w:r>
      <w:r w:rsidR="00F11A5C">
        <w:t>focused on</w:t>
      </w:r>
      <w:r>
        <w:t xml:space="preserve"> the overlap between CSA and drought adaptation</w:t>
      </w:r>
      <w:r w:rsidR="00631970">
        <w:t xml:space="preserve"> </w:t>
      </w:r>
      <w:r w:rsidR="00631970">
        <w:fldChar w:fldCharType="begin"/>
      </w:r>
      <w:r w:rsidR="00631970">
        <w:instrText xml:space="preserve"> ADDIN ZOTERO_ITEM CSL_CITATION {"citationID":"2r3Py3RY","properties":{"formattedCitation":"(Totin et al., 2018)","plainCitation":"(Totin et al., 2018)","noteIndex":0},"citationItems":[{"id":2225,"uris":["http://zotero.org/users/local/OSBVH90z/items/P4SAGLPC"],"itemData":{"id":2225,"type":"article-journal","abstract":"Climate-smart agriculture (CSA) is increasingly seen as a promising approach to feed the growing world population under climate change. The review explored how institutional perspectives are reflected in the CSA literature. In total, 137 publications were analyzed using institutional analysis framework, of which 55.5% make specific reference to institutional dimensions. While the CSA concept encompasses three pillars (productivity, adaptation, and mitigation), the literature has hardly addressed them in an integrated way. The development status of study sites also seems to influence which pillars are promoted. Mitigation was predominantly addressed in high-income countries, while productivity and adaptation were priorities for middle and low-income countries. Interest in institutional aspects has been gradual in the CSA literature. It has largely focused on knowledge infrastructure, market structure, and hard institutional aspects. There has been less attention to understand whether investments in physical infrastructure and actors’ interaction, or how historical, political, and social context may influence the uptake of CSA options. Rethinking the approach to promoting CSA technologies by integrating technology packages and institutional enabling factors can provide potential opportunities for effective scaling of CSA options.","container-title":"Sustainability","DOI":"10.3390/su10061990","ISSN":"2071-1050","issue":"6","language":"en","license":"https://creativecommons.org/licenses/by/4.0/","note":"publisher: MDPI AG","page":"1990","source":"Crossref","title":"Institutional Perspectives of Climate-Smart Agriculture: A Systematic Literature Review","title-short":"Institutional Perspectives of Climate-Smart Agriculture","volume":"10","author":[{"family":"Totin","given":"Edmond"},{"family":"Segnon","given":"Alcade C."},{"family":"Schut","given":"Marc"},{"family":"Affognon","given":"Hippolyte"},{"family":"Zougmoré","given":"Robert B."},{"family":"Rosenstock","given":"Todd"},{"family":"Thornton","given":"Philip K."}],"issued":{"date-parts":[["2018",6,13]]}}}],"schema":"https://github.com/citation-style-language/schema/raw/master/csl-citation.json"} </w:instrText>
      </w:r>
      <w:r w:rsidR="00631970">
        <w:fldChar w:fldCharType="separate"/>
      </w:r>
      <w:r w:rsidR="00631970" w:rsidRPr="00631970">
        <w:t>(Totin et al., 2018)</w:t>
      </w:r>
      <w:r w:rsidR="00631970">
        <w:fldChar w:fldCharType="end"/>
      </w:r>
      <w:r>
        <w:t xml:space="preserve">. Existing reviews of the literature have either focused on general issues related to CSA or tend to cover specific geographic or methodological perspectives. Accordingly, our understanding of how CSA is integrated and applied in a drought context is fragmented </w:t>
      </w:r>
      <w:r w:rsidR="00F11A5C">
        <w:t>and incomplete</w:t>
      </w:r>
      <w:r>
        <w:t>. This disconnect limits the ability of researchers, policymakers, and practitioners to develop measures that are well-suited to the socio-ecological behavior of drought-stricken areas.</w:t>
      </w:r>
    </w:p>
    <w:p w14:paraId="3BB48B77" w14:textId="062EFC35" w:rsidR="008C1666" w:rsidRPr="008C1666" w:rsidRDefault="008C1666" w:rsidP="006C1CBB">
      <w:pPr>
        <w:pStyle w:val="NormalWeb"/>
        <w:spacing w:before="0" w:beforeAutospacing="0" w:after="0" w:afterAutospacing="0"/>
        <w:jc w:val="both"/>
        <w:rPr>
          <w:color w:val="FF0000"/>
        </w:rPr>
      </w:pPr>
      <w:r w:rsidRPr="009F438C">
        <w:t xml:space="preserve">To address this fragmentation, a bibliometric approach </w:t>
      </w:r>
      <w:r w:rsidR="004A324F">
        <w:t>provides a robust and data-driven method for synthesizing global research patterns, identifying thematic gaps, and mapping</w:t>
      </w:r>
      <w:r w:rsidRPr="009F438C">
        <w:t xml:space="preserve"> scholarly networks, thereby advancing a more cohesive understanding of CSA adoption in drought contexts.</w:t>
      </w:r>
    </w:p>
    <w:p w14:paraId="185719EB" w14:textId="42DBCE34" w:rsidR="008C1666" w:rsidRDefault="008C1666" w:rsidP="006C1CBB">
      <w:pPr>
        <w:pStyle w:val="NormalWeb"/>
        <w:spacing w:before="0" w:beforeAutospacing="0" w:after="0" w:afterAutospacing="0"/>
        <w:jc w:val="both"/>
      </w:pPr>
      <w:r>
        <w:t xml:space="preserve">In this regard, a systematic and bibliometric review serves as a valuable analytical instrument, enabling the condensation of existing knowledge, the identification of thematic clusters, the mapping of influential contributors, and the identification of new research areas. The </w:t>
      </w:r>
      <w:proofErr w:type="spellStart"/>
      <w:r>
        <w:t>scientometric</w:t>
      </w:r>
      <w:proofErr w:type="spellEnd"/>
      <w:r>
        <w:t xml:space="preserve"> analysis, which encompasses publication trends, citation patterns, co-authorship networks, and keyword co-occurrences, provides a precise quantitative measure of the intellectual structure of the field</w:t>
      </w:r>
      <w:r w:rsidR="00631970">
        <w:t xml:space="preserve"> </w:t>
      </w:r>
      <w:r w:rsidR="00631970">
        <w:fldChar w:fldCharType="begin"/>
      </w:r>
      <w:r w:rsidR="00631970">
        <w:instrText xml:space="preserve"> ADDIN ZOTERO_ITEM CSL_CITATION {"citationID":"2WqGWYWB","properties":{"formattedCitation":"(Klarin, 2024)","plainCitation":"(Klarin, 2024)","noteIndex":0},"citationItems":[{"id":2227,"uris":["http://zotero.org/users/local/OSBVH90z/items/QSZYZ77U"],"itemData":{"id":2227,"type":"article-journal","abstract":"AbstractLiterature reviews summarize existing literature, uncover research gaps, and offer future research directions, thus aiding in theoretical and methodological development. Informetric research including bibliometric, scientometric, webometric, cybermetric, patentometric, and altmetric methods are becoming increasingly prevalent in conducting literature review studies. Looking at the common informetric literature review methods—citation, co‐citation, co‐author, bibliographic coupling, and content co‐occurrence analyses, this study aims to serve as a guide in using content co‐occurrence also known as co‐word analysis to conduct literature reviews. This study outlines a variety of informetric research methods and how they are utilized to conduct review and evidence‐based conceptual studies. In addition to the analyses, the study highlights different informetric software packages like Bibliometrix, Biblioshiny, Leximancer, NVivo, and CiteSpace including their comparison. The study further discusses contributions of algorithm‐based content analyses including offering taxonomies, definitions, classifications, typologies, comparisons, and theoretical development to constitute integrative literature reviews. Finally, this study offers step‐by‐step guidelines for conducting a review study using VOSviewer content co‐occurrence analysis while providing a systems view of informetric research in social science. The study also notes the emergence of generative artificial intelligence (AI) like Open AI's ChatGPT, Google's Bard, Elicit, Scite, Research Rabbit, and ChatPDF among others, and its potential in contributing to the literature review methods and, as such, being an interesting direction for future research.","container-title":"International Journal of Consumer Studies","DOI":"10.1111/ijcs.13031","ISSN":"1470-6423, 1470-6431","issue":"2","journalAbbreviation":"Int J Consumer Studies","language":"en","license":"http://creativecommons.org/licenses/by/4.0/","note":"publisher: Wiley","source":"Crossref","title":"How to conduct a bibliometric content analysis: Guidelines and contributions of content co‐occurrence or co‐word literature reviews","title-short":"How to conduct a bibliometric content analysis","URL":"https://onlinelibrary.wiley.com/doi/10.1111/ijcs.13031","volume":"48","author":[{"family":"Klarin","given":"Anton"}],"accessed":{"date-parts":[["2025",7,13]]},"issued":{"date-parts":[["2024",3]]}}}],"schema":"https://github.com/citation-style-language/schema/raw/master/csl-citation.json"} </w:instrText>
      </w:r>
      <w:r w:rsidR="00631970">
        <w:fldChar w:fldCharType="separate"/>
      </w:r>
      <w:r w:rsidR="00631970" w:rsidRPr="00631970">
        <w:t>(Klarin, 2024)</w:t>
      </w:r>
      <w:r w:rsidR="00631970">
        <w:fldChar w:fldCharType="end"/>
      </w:r>
      <w:r>
        <w:t>. When paired with qualitative findings from a systematic literature review, this methodology provides a complete, comprehensive assessment of both the breadth and depth of CSA research on drought adaptation.</w:t>
      </w:r>
    </w:p>
    <w:p w14:paraId="6089FCFF" w14:textId="6948CD6C" w:rsidR="008C1666" w:rsidRDefault="008C1666" w:rsidP="006C1CBB">
      <w:pPr>
        <w:pStyle w:val="NormalWeb"/>
        <w:spacing w:before="0" w:beforeAutospacing="0" w:after="0" w:afterAutospacing="0"/>
        <w:jc w:val="both"/>
      </w:pPr>
      <w:r>
        <w:t xml:space="preserve">Accordingly, this study aims to address the </w:t>
      </w:r>
      <w:r w:rsidR="005C710A">
        <w:t>gap above</w:t>
      </w:r>
      <w:r>
        <w:t xml:space="preserve"> by systematically examining the adoption of CSA in drought-affected contexts through a literature review spanning the period from 2016 to 2025. The </w:t>
      </w:r>
      <w:r w:rsidR="005C710A">
        <w:t>following are</w:t>
      </w:r>
      <w:r>
        <w:t xml:space="preserve"> the research questions to be addressed:</w:t>
      </w:r>
    </w:p>
    <w:p w14:paraId="7D380CEA" w14:textId="77777777" w:rsidR="00BA7860" w:rsidRPr="00BA7860" w:rsidRDefault="00BA7860" w:rsidP="006C1CBB">
      <w:pPr>
        <w:spacing w:after="0" w:line="240" w:lineRule="auto"/>
        <w:jc w:val="both"/>
        <w:rPr>
          <w:rFonts w:ascii="Times New Roman" w:hAnsi="Times New Roman" w:cs="Times New Roman"/>
          <w:bCs/>
          <w:sz w:val="24"/>
          <w:szCs w:val="24"/>
        </w:rPr>
      </w:pPr>
    </w:p>
    <w:p w14:paraId="6A54693D" w14:textId="77777777"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 xml:space="preserve">RQ1: </w:t>
      </w:r>
      <w:r w:rsidRPr="00BA7860">
        <w:rPr>
          <w:rFonts w:ascii="Times New Roman" w:hAnsi="Times New Roman" w:cs="Times New Roman"/>
          <w:bCs/>
          <w:sz w:val="24"/>
          <w:szCs w:val="24"/>
        </w:rPr>
        <w:t>What is the pattern in the literature on acceptance of Climate-Smart Agriculture technologies in drought-stricken areas?</w:t>
      </w:r>
    </w:p>
    <w:p w14:paraId="4356294B" w14:textId="3B1993F7"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RQ2:</w:t>
      </w:r>
      <w:r w:rsidRPr="00BA7860">
        <w:rPr>
          <w:rFonts w:ascii="Times New Roman" w:hAnsi="Times New Roman" w:cs="Times New Roman"/>
          <w:bCs/>
          <w:sz w:val="24"/>
          <w:szCs w:val="24"/>
        </w:rPr>
        <w:t xml:space="preserve"> What </w:t>
      </w:r>
      <w:proofErr w:type="gramStart"/>
      <w:r w:rsidR="00770F8C">
        <w:rPr>
          <w:rFonts w:ascii="Times New Roman" w:hAnsi="Times New Roman" w:cs="Times New Roman"/>
          <w:bCs/>
          <w:sz w:val="24"/>
          <w:szCs w:val="24"/>
        </w:rPr>
        <w:t>are</w:t>
      </w:r>
      <w:proofErr w:type="gramEnd"/>
      <w:r w:rsidRPr="00BA7860">
        <w:rPr>
          <w:rFonts w:ascii="Times New Roman" w:hAnsi="Times New Roman" w:cs="Times New Roman"/>
          <w:bCs/>
          <w:sz w:val="24"/>
          <w:szCs w:val="24"/>
        </w:rPr>
        <w:t xml:space="preserve"> their author, institutional, and country active distributions that dominate CSA adoption research in drought-prone areas?</w:t>
      </w:r>
    </w:p>
    <w:p w14:paraId="5B7AFDCF" w14:textId="77777777"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RQ3:</w:t>
      </w:r>
      <w:r w:rsidRPr="00BA7860">
        <w:rPr>
          <w:rFonts w:ascii="Times New Roman" w:hAnsi="Times New Roman" w:cs="Times New Roman"/>
          <w:bCs/>
          <w:sz w:val="24"/>
          <w:szCs w:val="24"/>
        </w:rPr>
        <w:t xml:space="preserve">  What are the core issues and methodological foci of the CSA adoption studies in drought-prone regions?</w:t>
      </w:r>
    </w:p>
    <w:p w14:paraId="1867C6B1" w14:textId="77777777"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RQ4:</w:t>
      </w:r>
      <w:r w:rsidRPr="00BA7860">
        <w:rPr>
          <w:rFonts w:ascii="Times New Roman" w:hAnsi="Times New Roman" w:cs="Times New Roman"/>
          <w:bCs/>
          <w:sz w:val="24"/>
          <w:szCs w:val="24"/>
        </w:rPr>
        <w:t xml:space="preserve"> What are the primary journals and publication venues for CSA adoption research in drought contexts?</w:t>
      </w:r>
    </w:p>
    <w:p w14:paraId="603E3BA2" w14:textId="60F1E09B" w:rsidR="00BA7860" w:rsidRP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
          <w:sz w:val="24"/>
          <w:szCs w:val="24"/>
        </w:rPr>
        <w:t>RQ5:</w:t>
      </w:r>
      <w:r w:rsidRPr="00BA7860">
        <w:rPr>
          <w:rFonts w:ascii="Times New Roman" w:hAnsi="Times New Roman" w:cs="Times New Roman"/>
          <w:bCs/>
          <w:sz w:val="24"/>
          <w:szCs w:val="24"/>
        </w:rPr>
        <w:t xml:space="preserve"> What </w:t>
      </w:r>
      <w:r>
        <w:rPr>
          <w:rFonts w:ascii="Times New Roman" w:hAnsi="Times New Roman" w:cs="Times New Roman"/>
          <w:bCs/>
          <w:sz w:val="24"/>
          <w:szCs w:val="24"/>
        </w:rPr>
        <w:t>gaps are</w:t>
      </w:r>
      <w:r w:rsidRPr="00BA7860">
        <w:rPr>
          <w:rFonts w:ascii="Times New Roman" w:hAnsi="Times New Roman" w:cs="Times New Roman"/>
          <w:bCs/>
          <w:sz w:val="24"/>
          <w:szCs w:val="24"/>
        </w:rPr>
        <w:t xml:space="preserve"> left by the current literature and the future frontiers?</w:t>
      </w:r>
    </w:p>
    <w:p w14:paraId="4E828CB1" w14:textId="77777777" w:rsidR="00BA7860" w:rsidRPr="00BA7860" w:rsidRDefault="00BA7860" w:rsidP="006C1CBB">
      <w:pPr>
        <w:spacing w:after="0" w:line="240" w:lineRule="auto"/>
        <w:jc w:val="both"/>
        <w:rPr>
          <w:rFonts w:ascii="Times New Roman" w:hAnsi="Times New Roman" w:cs="Times New Roman"/>
          <w:bCs/>
          <w:sz w:val="24"/>
          <w:szCs w:val="24"/>
        </w:rPr>
      </w:pPr>
    </w:p>
    <w:p w14:paraId="6A07A182" w14:textId="2BF31659" w:rsidR="00BA7860" w:rsidRDefault="00BA7860" w:rsidP="006C1CBB">
      <w:pPr>
        <w:spacing w:after="0" w:line="240" w:lineRule="auto"/>
        <w:jc w:val="both"/>
        <w:rPr>
          <w:rFonts w:ascii="Times New Roman" w:hAnsi="Times New Roman" w:cs="Times New Roman"/>
          <w:bCs/>
          <w:sz w:val="24"/>
          <w:szCs w:val="24"/>
        </w:rPr>
      </w:pPr>
      <w:r w:rsidRPr="00BA7860">
        <w:rPr>
          <w:rFonts w:ascii="Times New Roman" w:hAnsi="Times New Roman" w:cs="Times New Roman"/>
          <w:bCs/>
          <w:sz w:val="24"/>
          <w:szCs w:val="24"/>
        </w:rPr>
        <w:t xml:space="preserve">By answering these questions, our paper aims to provide a systematic and evidence-informed characterization of the global research landscape regarding the adoption of CSA for drought adaptation. The evidence will be used to shape future research agendas, inform policy design, and target development programs aimed at strengthening the resilience of some of the most drought-exposed smallholder farming communities </w:t>
      </w:r>
      <w:r>
        <w:rPr>
          <w:rFonts w:ascii="Times New Roman" w:hAnsi="Times New Roman" w:cs="Times New Roman"/>
          <w:bCs/>
          <w:sz w:val="24"/>
          <w:szCs w:val="24"/>
        </w:rPr>
        <w:t>worldwide</w:t>
      </w:r>
      <w:r w:rsidRPr="00BA7860">
        <w:rPr>
          <w:rFonts w:ascii="Times New Roman" w:hAnsi="Times New Roman" w:cs="Times New Roman"/>
          <w:bCs/>
          <w:sz w:val="24"/>
          <w:szCs w:val="24"/>
        </w:rPr>
        <w:t>.</w:t>
      </w:r>
    </w:p>
    <w:p w14:paraId="55A27465" w14:textId="5E1FADFE" w:rsidR="00E85E90" w:rsidRPr="00BA7860" w:rsidRDefault="00A54896" w:rsidP="006C1CB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p>
    <w:p w14:paraId="33D27C02" w14:textId="68E99570" w:rsidR="00DE4353" w:rsidRPr="00BD40CE" w:rsidRDefault="00BA7860" w:rsidP="006C1CB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783D0E" w:rsidRPr="00BD40CE">
        <w:rPr>
          <w:rFonts w:ascii="Times New Roman" w:hAnsi="Times New Roman" w:cs="Times New Roman"/>
          <w:b/>
          <w:bCs/>
          <w:sz w:val="28"/>
          <w:szCs w:val="28"/>
        </w:rPr>
        <w:t>.</w:t>
      </w:r>
      <w:r w:rsidR="00783D0E">
        <w:rPr>
          <w:rFonts w:ascii="Times New Roman" w:hAnsi="Times New Roman" w:cs="Times New Roman"/>
          <w:b/>
          <w:bCs/>
          <w:sz w:val="28"/>
          <w:szCs w:val="28"/>
        </w:rPr>
        <w:t>0</w:t>
      </w:r>
      <w:r w:rsidR="00783D0E" w:rsidRPr="00BD40CE">
        <w:rPr>
          <w:rFonts w:ascii="Times New Roman" w:hAnsi="Times New Roman" w:cs="Times New Roman"/>
          <w:b/>
          <w:bCs/>
          <w:sz w:val="28"/>
          <w:szCs w:val="28"/>
        </w:rPr>
        <w:t xml:space="preserve"> </w:t>
      </w:r>
      <w:bookmarkStart w:id="0" w:name="_Hlk199879331"/>
      <w:r w:rsidR="00783D0E" w:rsidRPr="00783D0E">
        <w:rPr>
          <w:rFonts w:ascii="Times New Roman" w:hAnsi="Times New Roman" w:cs="Times New Roman"/>
          <w:b/>
          <w:bCs/>
          <w:sz w:val="28"/>
          <w:szCs w:val="28"/>
        </w:rPr>
        <w:t xml:space="preserve">Literature </w:t>
      </w:r>
      <w:r w:rsidR="00783D0E">
        <w:rPr>
          <w:rFonts w:ascii="Times New Roman" w:hAnsi="Times New Roman" w:cs="Times New Roman"/>
          <w:b/>
          <w:bCs/>
          <w:sz w:val="28"/>
          <w:szCs w:val="28"/>
        </w:rPr>
        <w:t>C</w:t>
      </w:r>
      <w:r w:rsidR="00783D0E" w:rsidRPr="00783D0E">
        <w:rPr>
          <w:rFonts w:ascii="Times New Roman" w:hAnsi="Times New Roman" w:cs="Times New Roman"/>
          <w:b/>
          <w:bCs/>
          <w:sz w:val="28"/>
          <w:szCs w:val="28"/>
        </w:rPr>
        <w:t>ollection</w:t>
      </w:r>
      <w:r w:rsidR="00783D0E">
        <w:rPr>
          <w:rFonts w:ascii="Times New Roman" w:hAnsi="Times New Roman" w:cs="Times New Roman"/>
          <w:b/>
          <w:bCs/>
          <w:sz w:val="28"/>
          <w:szCs w:val="28"/>
        </w:rPr>
        <w:t xml:space="preserve"> </w:t>
      </w:r>
      <w:bookmarkEnd w:id="0"/>
      <w:r w:rsidR="00EB6275">
        <w:rPr>
          <w:rFonts w:ascii="Times New Roman" w:hAnsi="Times New Roman" w:cs="Times New Roman"/>
          <w:b/>
          <w:bCs/>
          <w:sz w:val="28"/>
          <w:szCs w:val="28"/>
        </w:rPr>
        <w:t xml:space="preserve"> </w:t>
      </w:r>
    </w:p>
    <w:p w14:paraId="3FB8BCB2" w14:textId="77777777" w:rsidR="00487C10" w:rsidRDefault="00487C10" w:rsidP="006C1CBB">
      <w:pPr>
        <w:spacing w:after="0" w:line="240" w:lineRule="auto"/>
        <w:jc w:val="both"/>
        <w:rPr>
          <w:rFonts w:ascii="Times New Roman" w:hAnsi="Times New Roman" w:cs="Times New Roman"/>
          <w:sz w:val="24"/>
          <w:szCs w:val="24"/>
        </w:rPr>
      </w:pPr>
    </w:p>
    <w:p w14:paraId="781E0E37" w14:textId="3D988A6F" w:rsidR="006F5A2F" w:rsidRPr="006F5A2F" w:rsidRDefault="006F5A2F" w:rsidP="006C1CBB">
      <w:pPr>
        <w:spacing w:after="0" w:line="240" w:lineRule="auto"/>
        <w:jc w:val="both"/>
        <w:rPr>
          <w:rFonts w:ascii="Times New Roman" w:hAnsi="Times New Roman" w:cs="Times New Roman"/>
          <w:b/>
          <w:bCs/>
          <w:sz w:val="24"/>
          <w:szCs w:val="24"/>
        </w:rPr>
      </w:pPr>
      <w:bookmarkStart w:id="1" w:name="_Hlk190287589"/>
      <w:r w:rsidRPr="006F5A2F">
        <w:rPr>
          <w:rFonts w:ascii="Times New Roman" w:hAnsi="Times New Roman" w:cs="Times New Roman"/>
          <w:b/>
          <w:bCs/>
          <w:sz w:val="24"/>
          <w:szCs w:val="24"/>
        </w:rPr>
        <w:t>2.1. Collection</w:t>
      </w:r>
      <w:r w:rsidR="00D86552">
        <w:rPr>
          <w:rFonts w:ascii="Times New Roman" w:hAnsi="Times New Roman" w:cs="Times New Roman"/>
          <w:b/>
          <w:bCs/>
          <w:sz w:val="24"/>
          <w:szCs w:val="24"/>
        </w:rPr>
        <w:t xml:space="preserve"> of Bibliographic Data</w:t>
      </w:r>
    </w:p>
    <w:p w14:paraId="34143D68" w14:textId="5F3BE277" w:rsidR="006F5A2F" w:rsidRPr="006F5A2F" w:rsidRDefault="006F5A2F" w:rsidP="006C1CBB">
      <w:pPr>
        <w:spacing w:after="0" w:line="240" w:lineRule="auto"/>
        <w:jc w:val="both"/>
        <w:rPr>
          <w:rFonts w:ascii="Times New Roman" w:hAnsi="Times New Roman" w:cs="Times New Roman"/>
          <w:sz w:val="24"/>
          <w:szCs w:val="24"/>
        </w:rPr>
      </w:pPr>
      <w:r w:rsidRPr="006F5A2F">
        <w:rPr>
          <w:rFonts w:ascii="Times New Roman" w:hAnsi="Times New Roman" w:cs="Times New Roman"/>
          <w:sz w:val="24"/>
          <w:szCs w:val="24"/>
        </w:rPr>
        <w:t>A rigorous search strategy was employed to retrieve information from the Scopus Database. As of 17 May 2025, the</w:t>
      </w:r>
      <w:r w:rsidR="00E52332">
        <w:rPr>
          <w:rFonts w:ascii="Times New Roman" w:hAnsi="Times New Roman" w:cs="Times New Roman"/>
          <w:sz w:val="24"/>
          <w:szCs w:val="24"/>
        </w:rPr>
        <w:t xml:space="preserve"> </w:t>
      </w:r>
      <w:r w:rsidRPr="006F5A2F">
        <w:rPr>
          <w:rFonts w:ascii="Times New Roman" w:hAnsi="Times New Roman" w:cs="Times New Roman"/>
          <w:sz w:val="24"/>
          <w:szCs w:val="24"/>
        </w:rPr>
        <w:t xml:space="preserve">set of 107 records was retrieved by running an advanced search with the </w:t>
      </w:r>
      <w:r w:rsidR="00E52332">
        <w:rPr>
          <w:rFonts w:ascii="Times New Roman" w:hAnsi="Times New Roman" w:cs="Times New Roman"/>
          <w:sz w:val="24"/>
          <w:szCs w:val="24"/>
        </w:rPr>
        <w:t>keyword</w:t>
      </w:r>
      <w:r w:rsidRPr="006F5A2F">
        <w:rPr>
          <w:rFonts w:ascii="Times New Roman" w:hAnsi="Times New Roman" w:cs="Times New Roman"/>
          <w:sz w:val="24"/>
          <w:szCs w:val="24"/>
        </w:rPr>
        <w:t xml:space="preserve"> "</w:t>
      </w:r>
      <w:r w:rsidRPr="00B53098">
        <w:rPr>
          <w:rFonts w:ascii="Times New Roman" w:hAnsi="Times New Roman" w:cs="Times New Roman"/>
          <w:b/>
          <w:bCs/>
          <w:sz w:val="24"/>
          <w:szCs w:val="24"/>
        </w:rPr>
        <w:t>adoption AND climate AND smart AND agriculture AND drought</w:t>
      </w:r>
      <w:r w:rsidRPr="006F5A2F">
        <w:rPr>
          <w:rFonts w:ascii="Times New Roman" w:hAnsi="Times New Roman" w:cs="Times New Roman"/>
          <w:sz w:val="24"/>
          <w:szCs w:val="24"/>
        </w:rPr>
        <w:t>" in Titles, Abstracts, and Keywords, covering the period from 2016 to 2025.</w:t>
      </w:r>
    </w:p>
    <w:p w14:paraId="376316BB" w14:textId="77777777" w:rsidR="006F5A2F" w:rsidRDefault="006F5A2F" w:rsidP="006C1CBB">
      <w:pPr>
        <w:spacing w:after="0" w:line="240" w:lineRule="auto"/>
        <w:jc w:val="both"/>
        <w:rPr>
          <w:rFonts w:ascii="Times New Roman" w:hAnsi="Times New Roman" w:cs="Times New Roman"/>
          <w:b/>
          <w:bCs/>
          <w:sz w:val="24"/>
          <w:szCs w:val="24"/>
        </w:rPr>
      </w:pPr>
    </w:p>
    <w:p w14:paraId="07848824" w14:textId="66FB46E7" w:rsidR="006F5A2F" w:rsidRPr="006F5A2F" w:rsidRDefault="006F5A2F" w:rsidP="006C1CBB">
      <w:pPr>
        <w:spacing w:after="0" w:line="240" w:lineRule="auto"/>
        <w:jc w:val="both"/>
        <w:rPr>
          <w:rFonts w:ascii="Times New Roman" w:hAnsi="Times New Roman" w:cs="Times New Roman"/>
          <w:b/>
          <w:bCs/>
          <w:sz w:val="24"/>
          <w:szCs w:val="24"/>
        </w:rPr>
      </w:pPr>
      <w:r w:rsidRPr="006F5A2F">
        <w:rPr>
          <w:rFonts w:ascii="Times New Roman" w:hAnsi="Times New Roman" w:cs="Times New Roman"/>
          <w:b/>
          <w:bCs/>
          <w:sz w:val="24"/>
          <w:szCs w:val="24"/>
        </w:rPr>
        <w:t xml:space="preserve">2.2. </w:t>
      </w:r>
      <w:r w:rsidR="006A4DDF">
        <w:rPr>
          <w:rFonts w:ascii="Times New Roman" w:hAnsi="Times New Roman" w:cs="Times New Roman"/>
          <w:b/>
          <w:bCs/>
          <w:sz w:val="24"/>
          <w:szCs w:val="24"/>
        </w:rPr>
        <w:t>Analysis</w:t>
      </w:r>
      <w:r w:rsidRPr="006F5A2F">
        <w:rPr>
          <w:rFonts w:ascii="Times New Roman" w:hAnsi="Times New Roman" w:cs="Times New Roman"/>
          <w:b/>
          <w:bCs/>
          <w:sz w:val="24"/>
          <w:szCs w:val="24"/>
        </w:rPr>
        <w:t xml:space="preserve"> and Visualization of Data</w:t>
      </w:r>
    </w:p>
    <w:p w14:paraId="277849C0" w14:textId="0B535714" w:rsidR="00B53098" w:rsidRPr="0014518A" w:rsidRDefault="006F5A2F" w:rsidP="006C1CBB">
      <w:pPr>
        <w:spacing w:after="0" w:line="240" w:lineRule="auto"/>
        <w:jc w:val="both"/>
        <w:rPr>
          <w:rFonts w:ascii="Times New Roman" w:hAnsi="Times New Roman" w:cs="Times New Roman"/>
          <w:sz w:val="24"/>
          <w:szCs w:val="24"/>
        </w:rPr>
      </w:pPr>
      <w:r w:rsidRPr="006F5A2F">
        <w:rPr>
          <w:rFonts w:ascii="Times New Roman" w:hAnsi="Times New Roman" w:cs="Times New Roman"/>
          <w:sz w:val="24"/>
          <w:szCs w:val="24"/>
        </w:rPr>
        <w:t>A bibliometric analysis was conducted to measure publication productivity and its impact on the CSA field. Based on the Main Information of the Data, Publication Trend Analysis, Most Relevant Sources and Authors, Top Countries</w:t>
      </w:r>
      <w:r w:rsidR="006A4DDF">
        <w:rPr>
          <w:rFonts w:ascii="Times New Roman" w:hAnsi="Times New Roman" w:cs="Times New Roman"/>
          <w:sz w:val="24"/>
          <w:szCs w:val="24"/>
        </w:rPr>
        <w:t>,</w:t>
      </w:r>
      <w:r w:rsidRPr="006F5A2F">
        <w:rPr>
          <w:rFonts w:ascii="Times New Roman" w:hAnsi="Times New Roman" w:cs="Times New Roman"/>
          <w:sz w:val="24"/>
          <w:szCs w:val="24"/>
        </w:rPr>
        <w:t xml:space="preserve"> and Manuscripts by Citation,</w:t>
      </w:r>
      <w:r w:rsidR="00E52DB9">
        <w:rPr>
          <w:rFonts w:ascii="Times New Roman" w:hAnsi="Times New Roman" w:cs="Times New Roman"/>
          <w:sz w:val="24"/>
          <w:szCs w:val="24"/>
        </w:rPr>
        <w:t xml:space="preserve"> and</w:t>
      </w:r>
      <w:r w:rsidRPr="006F5A2F">
        <w:rPr>
          <w:rFonts w:ascii="Times New Roman" w:hAnsi="Times New Roman" w:cs="Times New Roman"/>
          <w:sz w:val="24"/>
          <w:szCs w:val="24"/>
        </w:rPr>
        <w:t xml:space="preserve"> Keyword Analysis,</w:t>
      </w:r>
      <w:r w:rsidR="00E52DB9">
        <w:rPr>
          <w:rFonts w:ascii="Times New Roman" w:hAnsi="Times New Roman" w:cs="Times New Roman"/>
          <w:sz w:val="24"/>
          <w:szCs w:val="24"/>
        </w:rPr>
        <w:t xml:space="preserve"> </w:t>
      </w:r>
      <w:r w:rsidRPr="006F5A2F">
        <w:rPr>
          <w:rFonts w:ascii="Times New Roman" w:hAnsi="Times New Roman" w:cs="Times New Roman"/>
          <w:sz w:val="24"/>
          <w:szCs w:val="24"/>
        </w:rPr>
        <w:t>the fundamental metrics were calculated with the help of some bibliometric programs</w:t>
      </w:r>
      <w:r w:rsidR="006A4DDF">
        <w:rPr>
          <w:rFonts w:ascii="Times New Roman" w:hAnsi="Times New Roman" w:cs="Times New Roman"/>
          <w:sz w:val="24"/>
          <w:szCs w:val="24"/>
        </w:rPr>
        <w:t>,</w:t>
      </w:r>
      <w:r w:rsidRPr="006F5A2F">
        <w:rPr>
          <w:rFonts w:ascii="Times New Roman" w:hAnsi="Times New Roman" w:cs="Times New Roman"/>
          <w:sz w:val="24"/>
          <w:szCs w:val="24"/>
        </w:rPr>
        <w:t xml:space="preserve"> for example, R, R Studio, </w:t>
      </w:r>
      <w:r w:rsidR="006A4DDF">
        <w:rPr>
          <w:rFonts w:ascii="Times New Roman" w:hAnsi="Times New Roman" w:cs="Times New Roman"/>
          <w:sz w:val="24"/>
          <w:szCs w:val="24"/>
        </w:rPr>
        <w:t xml:space="preserve">and </w:t>
      </w:r>
      <w:r w:rsidR="00417D7E">
        <w:rPr>
          <w:rFonts w:ascii="Times New Roman" w:hAnsi="Times New Roman" w:cs="Times New Roman"/>
          <w:sz w:val="24"/>
          <w:szCs w:val="24"/>
        </w:rPr>
        <w:t>Excel</w:t>
      </w:r>
      <w:r w:rsidR="006174F0">
        <w:rPr>
          <w:rFonts w:ascii="Times New Roman" w:hAnsi="Times New Roman" w:cs="Times New Roman"/>
          <w:sz w:val="24"/>
          <w:szCs w:val="24"/>
        </w:rPr>
        <w:t xml:space="preserve"> </w:t>
      </w:r>
      <w:r w:rsidR="006174F0">
        <w:rPr>
          <w:rFonts w:ascii="Times New Roman" w:hAnsi="Times New Roman" w:cs="Times New Roman"/>
          <w:sz w:val="24"/>
          <w:szCs w:val="24"/>
        </w:rPr>
        <w:fldChar w:fldCharType="begin"/>
      </w:r>
      <w:r w:rsidR="006174F0">
        <w:rPr>
          <w:rFonts w:ascii="Times New Roman" w:hAnsi="Times New Roman" w:cs="Times New Roman"/>
          <w:sz w:val="24"/>
          <w:szCs w:val="24"/>
        </w:rPr>
        <w:instrText xml:space="preserve"> ADDIN ZOTERO_ITEM CSL_CITATION {"citationID":"YBz7EODR","properties":{"formattedCitation":"(Mahedi et al., 2025; Md Shahriar Kabir et al., 2025)","plainCitation":"(Mahedi et al., 2025; Md Shahriar Kabir et al., 2025)","noteIndex":0},"citationItems":[{"id":2130,"uris":["http://zotero.org/users/local/OSBVH90z/items/6DI89YKK"],"itemData":{"id":2130,"type":"article-journal","abstract":"Livelihood diversification has become an important avenue for rural people to build resilience, alleviate poverty, and adjust to socio-economic and environmental changes. The trend is part of a broader change in rural economies, in which diversification has become a way to spread risk, smooth incomes, and enhance well-being. This study examined the idea of Livelihood Diversification in Rural Communities by conducting a thorough Systematic Literature Review and bibliometric Analysis. This study uses a combined systematic literature review and bibliometric analysis of 318 Scopus-indexed publications published between 2014 and 2024 to examine livelihood diversification in rural areas. VOSviewer and R-based Biblioshiny software were used to analyze the articles, which show a 5.07% yearly growth rate and an average of 19.08 citations per document. With 18,548 references, the collection demonstrated the depth of research in this area. One of the most important discoveries is that academics increasingly work together internationally; 37.74% of articles include international co-authorship. The research also emphasizes how the word \"Climate Change\" is becoming increasingly common in the literature, indicating the growing impact of climate change. Leading countries in the topic include the USA, Australia, and India; notable periodicals in this area include the Journal of Rural Studies, Sustainability (Switzerland), and Climate and Development. According to network analysis, \"livelihood\" is a key idea that is linked to concepts like \"food security,\" \"rural development,\" and \"economic development.\" The study concluded that while much progress has been made in understanding diversification's drivers, strategies, and outcomes, there are still key research gaps, particularly around the need to address the complexities of different rural contexts, the role of intersectional factors, and the long-term impacts of livelihood strategies. The project intends to use these insights to guide evidence-based policy actions that support equitable and sustainable development in rural regions.","container-title":"Asian Journal of Agricultural Extension, Economics &amp; Sociology","DOI":"10.9734/ajaees/2025/v43i42727","ISSN":"2320-7027","issue":"4","journalAbbreviation":"AJAEES","page":"162-177","source":"DOI.org (Crossref)","title":"Emerging Trends in Livelihood Diversification in Rural Communities: A Bibliometric and Systematic Review","title-short":"Emerging Trends in Livelihood Diversification in Rural Communities","volume":"43","author":[{"family":"Mahedi","given":"Md"},{"family":"Pervez","given":"A K M Kanak"},{"family":"Rahman","given":"S. M. Mokhlasur"},{"family":"Sheikh","given":"Md. Mohiuddin"},{"family":"Shaili","given":"Shabrin Jahan"}],"issued":{"date-parts":[["2025",4,16]]}}},{"id":2129,"uris":["http://zotero.org/users/local/OSBVH90z/items/WQDZS5QA"],"itemData":{"id":2129,"type":"article-journal","abstract":"This bibliometric analysis explores the rapid growth and evolving research dynamics of precision agriculture (PA) from 1999 to 2023 based on data from the Scopus database. Analyzing 1,219 publications, the study identifies a substantial global collaboration and an annual growth rate of 7.97% in PA research. Key findings highlight advancements in artificial intelligence and remote sensing technologies and significant contributions from leading institutions such as Nanjing Agricultural University, the University of Florida, and the University of Bonn. Notably, the study underscores the prominent role of institutions from Germany, the USA, and China in shaping PA research. The insights gained emphasize the critical role of interdisciplinary research in fostering sustainable agricultural practices. Precision agriculture demonstrates the potential for enhanced yields, reduced environmental impacts, and increased efficiency by addressing resource management and food security challenges, particularly in regions like Bangladesh. However, challenges such as high implementation costs and the need for technical expertise persist. This analysis underscores the importance of continued research, policy support, and global interest in advancing precision agriculture, providing a foundation for future innovations and policy development in sustainable agriculture systems worldwide.","container-title":"World Journal of Advanced Research and Reviews","DOI":"10.30574/wjarr.2025.25.3.0733","ISSN":"25819615","issue":"3","journalAbbreviation":"World J. Adv. Res. Rev.","page":"1087-1098","source":"DOI.org (Crossref)","title":"Bibliometric analysis of 'precision agriculture' in the Scopus database","volume":"25","author":[{"literal":"Md Shahriar Kabir"},{"literal":"Md Mahedi"},{"literal":"A K M Kanak Pervez"},{"literal":"Md Jahangir Alam"},{"literal":"Shabrin Jahan Shaili"}],"issued":{"date-parts":[["2025",3,30]]}}}],"schema":"https://github.com/citation-style-language/schema/raw/master/csl-citation.json"} </w:instrText>
      </w:r>
      <w:r w:rsidR="006174F0">
        <w:rPr>
          <w:rFonts w:ascii="Times New Roman" w:hAnsi="Times New Roman" w:cs="Times New Roman"/>
          <w:sz w:val="24"/>
          <w:szCs w:val="24"/>
        </w:rPr>
        <w:fldChar w:fldCharType="separate"/>
      </w:r>
      <w:r w:rsidR="00565F56" w:rsidRPr="00565F56">
        <w:rPr>
          <w:rFonts w:ascii="Times New Roman" w:hAnsi="Times New Roman" w:cs="Times New Roman"/>
          <w:sz w:val="24"/>
        </w:rPr>
        <w:t>(Mahedi et al., 2025; Md Shahriar Kabir et al., 2025)</w:t>
      </w:r>
      <w:r w:rsidR="006174F0">
        <w:rPr>
          <w:rFonts w:ascii="Times New Roman" w:hAnsi="Times New Roman" w:cs="Times New Roman"/>
          <w:sz w:val="24"/>
          <w:szCs w:val="24"/>
        </w:rPr>
        <w:fldChar w:fldCharType="end"/>
      </w:r>
      <w:r w:rsidRPr="006F5A2F">
        <w:rPr>
          <w:rFonts w:ascii="Times New Roman" w:hAnsi="Times New Roman" w:cs="Times New Roman"/>
          <w:sz w:val="24"/>
          <w:szCs w:val="24"/>
        </w:rPr>
        <w:t>. This quantitative review mapped the evolution of CSA and distinguished between the most active research clusters and hotspots across the globe. The bibliometric measures served as a valid indicator of academic significance, providing insight into the evolution of the field.</w:t>
      </w:r>
      <w:r w:rsidR="006A4DDF">
        <w:rPr>
          <w:rFonts w:ascii="Times New Roman" w:hAnsi="Times New Roman" w:cs="Times New Roman"/>
          <w:sz w:val="24"/>
          <w:szCs w:val="24"/>
        </w:rPr>
        <w:t xml:space="preserve"> </w:t>
      </w:r>
      <w:r w:rsidRPr="006F5A2F">
        <w:rPr>
          <w:rFonts w:ascii="Times New Roman" w:hAnsi="Times New Roman" w:cs="Times New Roman"/>
          <w:sz w:val="24"/>
          <w:szCs w:val="24"/>
        </w:rPr>
        <w:t xml:space="preserve">Data presentation was crucial in examining both the bibliometric and qualitative findings. Network maps were also created using visualization tools such as </w:t>
      </w:r>
      <w:r w:rsidR="00417D7E" w:rsidRPr="00417D7E">
        <w:rPr>
          <w:rFonts w:ascii="Times New Roman" w:hAnsi="Times New Roman" w:cs="Times New Roman"/>
          <w:sz w:val="24"/>
          <w:szCs w:val="24"/>
        </w:rPr>
        <w:t>Excel</w:t>
      </w:r>
      <w:r w:rsidRPr="006F5A2F">
        <w:rPr>
          <w:rFonts w:ascii="Times New Roman" w:hAnsi="Times New Roman" w:cs="Times New Roman"/>
          <w:sz w:val="24"/>
          <w:szCs w:val="24"/>
        </w:rPr>
        <w:t xml:space="preserve"> and R Studio to visualize the keywords and citation trends</w:t>
      </w:r>
      <w:r w:rsidR="006174F0">
        <w:rPr>
          <w:rFonts w:ascii="Times New Roman" w:hAnsi="Times New Roman" w:cs="Times New Roman"/>
          <w:sz w:val="24"/>
          <w:szCs w:val="24"/>
        </w:rPr>
        <w:t xml:space="preserve"> </w:t>
      </w:r>
      <w:r w:rsidR="00D3700F">
        <w:rPr>
          <w:rFonts w:ascii="Times New Roman" w:hAnsi="Times New Roman" w:cs="Times New Roman"/>
          <w:sz w:val="24"/>
          <w:szCs w:val="24"/>
        </w:rPr>
        <w:fldChar w:fldCharType="begin"/>
      </w:r>
      <w:r w:rsidR="00B07C6C">
        <w:rPr>
          <w:rFonts w:ascii="Times New Roman" w:hAnsi="Times New Roman" w:cs="Times New Roman"/>
          <w:sz w:val="24"/>
          <w:szCs w:val="24"/>
        </w:rPr>
        <w:instrText xml:space="preserve"> ADDIN ZOTERO_ITEM CSL_CITATION {"citationID":"pCIkwTi2","properties":{"formattedCitation":"(Uddin, 2022)","plainCitation":"(Uddin, 2022)","noteIndex":0},"citationItems":[{"id":"vHKc7Jk5/3iO5Zes0","uris":["http://zotero.org/users/local/OSBVH90z/items/6QQA3X34"],"itemData":{"id":2136,"type":"article-journal","container-title":"Bangladesh Journal of Agriculture and Life Science","issue":"1","language":"en","page":"41-53","source":"Zotero","title":"The Trend of Agribusiness Research Worldwide: A Bibliometric Analysis Based on the Scopus Database","volume":"3","author":[{"family":"Uddin","given":"Mohammad Shahab"}],"issued":{"date-parts":[["2022"]]}}}],"schema":"https://github.com/citation-style-language/schema/raw/master/csl-citation.json"} </w:instrText>
      </w:r>
      <w:r w:rsidR="00D3700F">
        <w:rPr>
          <w:rFonts w:ascii="Times New Roman" w:hAnsi="Times New Roman" w:cs="Times New Roman"/>
          <w:sz w:val="24"/>
          <w:szCs w:val="24"/>
        </w:rPr>
        <w:fldChar w:fldCharType="separate"/>
      </w:r>
      <w:r w:rsidR="00565F56" w:rsidRPr="00565F56">
        <w:rPr>
          <w:rFonts w:ascii="Times New Roman" w:hAnsi="Times New Roman" w:cs="Times New Roman"/>
          <w:sz w:val="24"/>
        </w:rPr>
        <w:t>(Uddin, 2022)</w:t>
      </w:r>
      <w:r w:rsidR="00D3700F">
        <w:rPr>
          <w:rFonts w:ascii="Times New Roman" w:hAnsi="Times New Roman" w:cs="Times New Roman"/>
          <w:sz w:val="24"/>
          <w:szCs w:val="24"/>
        </w:rPr>
        <w:fldChar w:fldCharType="end"/>
      </w:r>
      <w:r w:rsidRPr="006F5A2F">
        <w:rPr>
          <w:rFonts w:ascii="Times New Roman" w:hAnsi="Times New Roman" w:cs="Times New Roman"/>
          <w:sz w:val="24"/>
          <w:szCs w:val="24"/>
        </w:rPr>
        <w:t xml:space="preserve">. A series of time-series graphs </w:t>
      </w:r>
      <w:r w:rsidR="006A4DDF">
        <w:rPr>
          <w:rFonts w:ascii="Times New Roman" w:hAnsi="Times New Roman" w:cs="Times New Roman"/>
          <w:sz w:val="24"/>
          <w:szCs w:val="24"/>
        </w:rPr>
        <w:t>was</w:t>
      </w:r>
      <w:r w:rsidRPr="006F5A2F">
        <w:rPr>
          <w:rFonts w:ascii="Times New Roman" w:hAnsi="Times New Roman" w:cs="Times New Roman"/>
          <w:sz w:val="24"/>
          <w:szCs w:val="24"/>
        </w:rPr>
        <w:t xml:space="preserve"> generated to visualize publication trends and the evolution of key research topics over time. These visual aids facilitated comprehension of complex information and provided explicit graphical representations of the interconnections between various study elements. These visualizations significantly added to the story by succinctly showing and emphasizing the trends and relationships in CSA research.</w:t>
      </w:r>
    </w:p>
    <w:p w14:paraId="06BD49DF" w14:textId="77777777" w:rsidR="007327E8" w:rsidRDefault="007327E8" w:rsidP="006C1CBB">
      <w:pPr>
        <w:spacing w:after="0" w:line="240" w:lineRule="auto"/>
        <w:jc w:val="both"/>
        <w:rPr>
          <w:rFonts w:ascii="Times New Roman" w:hAnsi="Times New Roman" w:cs="Times New Roman"/>
          <w:sz w:val="24"/>
          <w:szCs w:val="24"/>
        </w:rPr>
      </w:pPr>
    </w:p>
    <w:bookmarkEnd w:id="1"/>
    <w:p w14:paraId="2882E01C" w14:textId="2C398558" w:rsidR="004C6295" w:rsidRPr="00093347" w:rsidRDefault="00FF0717" w:rsidP="006C1CBB">
      <w:pPr>
        <w:spacing w:after="0" w:line="240" w:lineRule="auto"/>
        <w:jc w:val="center"/>
        <w:rPr>
          <w:rFonts w:ascii="Times New Roman" w:hAnsi="Times New Roman" w:cs="Times New Roman"/>
          <w:sz w:val="24"/>
          <w:szCs w:val="24"/>
        </w:rPr>
      </w:pPr>
      <w:r>
        <w:rPr>
          <w:noProof/>
          <w:lang w:bidi="bn-BD"/>
        </w:rPr>
        <w:lastRenderedPageBreak/>
        <w:drawing>
          <wp:inline distT="0" distB="0" distL="0" distR="0" wp14:anchorId="35BD5796" wp14:editId="0197E605">
            <wp:extent cx="5943600" cy="3022600"/>
            <wp:effectExtent l="19050" t="19050" r="19050" b="25400"/>
            <wp:docPr id="85747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74229" name=""/>
                    <pic:cNvPicPr/>
                  </pic:nvPicPr>
                  <pic:blipFill>
                    <a:blip r:embed="rId8"/>
                    <a:stretch>
                      <a:fillRect/>
                    </a:stretch>
                  </pic:blipFill>
                  <pic:spPr>
                    <a:xfrm>
                      <a:off x="0" y="0"/>
                      <a:ext cx="5943600" cy="3022600"/>
                    </a:xfrm>
                    <a:prstGeom prst="rect">
                      <a:avLst/>
                    </a:prstGeom>
                    <a:ln>
                      <a:solidFill>
                        <a:schemeClr val="tx1"/>
                      </a:solidFill>
                    </a:ln>
                  </pic:spPr>
                </pic:pic>
              </a:graphicData>
            </a:graphic>
          </wp:inline>
        </w:drawing>
      </w:r>
    </w:p>
    <w:p w14:paraId="6CB5A376" w14:textId="2D41BEAD" w:rsidR="00AD1770" w:rsidRDefault="00FC4F12" w:rsidP="006C1CBB">
      <w:pPr>
        <w:spacing w:after="0" w:line="240" w:lineRule="auto"/>
        <w:jc w:val="center"/>
        <w:rPr>
          <w:rFonts w:ascii="Times New Roman" w:hAnsi="Times New Roman" w:cs="Times New Roman"/>
          <w:sz w:val="24"/>
          <w:szCs w:val="24"/>
        </w:rPr>
      </w:pPr>
      <w:r w:rsidRPr="00093347">
        <w:rPr>
          <w:rFonts w:ascii="Times New Roman" w:hAnsi="Times New Roman" w:cs="Times New Roman"/>
          <w:b/>
          <w:bCs/>
          <w:sz w:val="24"/>
          <w:szCs w:val="24"/>
        </w:rPr>
        <w:t>Fig</w:t>
      </w:r>
      <w:r w:rsidR="004C6295">
        <w:rPr>
          <w:rFonts w:ascii="Times New Roman" w:hAnsi="Times New Roman" w:cs="Times New Roman"/>
          <w:b/>
          <w:bCs/>
          <w:sz w:val="24"/>
          <w:szCs w:val="24"/>
        </w:rPr>
        <w:t>ure</w:t>
      </w:r>
      <w:r w:rsidRPr="00093347">
        <w:rPr>
          <w:rFonts w:ascii="Times New Roman" w:hAnsi="Times New Roman" w:cs="Times New Roman"/>
          <w:b/>
          <w:bCs/>
          <w:sz w:val="24"/>
          <w:szCs w:val="24"/>
        </w:rPr>
        <w:t xml:space="preserve"> 1.  </w:t>
      </w:r>
      <w:r w:rsidR="000940E4" w:rsidRPr="00783D0E">
        <w:rPr>
          <w:rFonts w:ascii="Times New Roman" w:hAnsi="Times New Roman" w:cs="Times New Roman"/>
          <w:sz w:val="24"/>
          <w:szCs w:val="24"/>
        </w:rPr>
        <w:t xml:space="preserve">Steps of </w:t>
      </w:r>
      <w:r w:rsidR="00783D0E" w:rsidRPr="00783D0E">
        <w:rPr>
          <w:rFonts w:ascii="Times New Roman" w:hAnsi="Times New Roman" w:cs="Times New Roman"/>
          <w:sz w:val="24"/>
          <w:szCs w:val="24"/>
        </w:rPr>
        <w:t>Literature Collection and Analysis</w:t>
      </w:r>
    </w:p>
    <w:p w14:paraId="3C64BA0F" w14:textId="77777777" w:rsidR="00EB7405" w:rsidRDefault="00EB7405" w:rsidP="006C1CBB">
      <w:pPr>
        <w:spacing w:after="0" w:line="240" w:lineRule="auto"/>
        <w:jc w:val="center"/>
        <w:rPr>
          <w:rFonts w:ascii="Times New Roman" w:hAnsi="Times New Roman" w:cs="Times New Roman"/>
          <w:b/>
          <w:bCs/>
          <w:sz w:val="24"/>
          <w:szCs w:val="24"/>
        </w:rPr>
      </w:pPr>
    </w:p>
    <w:p w14:paraId="2F784A22" w14:textId="33810F8E" w:rsidR="00933485" w:rsidRPr="004462C0" w:rsidRDefault="00CC33BF"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056A57" w:rsidRPr="00BD40CE">
        <w:rPr>
          <w:rFonts w:ascii="Times New Roman" w:hAnsi="Times New Roman" w:cs="Times New Roman"/>
          <w:b/>
          <w:sz w:val="28"/>
          <w:szCs w:val="28"/>
        </w:rPr>
        <w:t>.</w:t>
      </w:r>
      <w:r w:rsidR="006765BD">
        <w:rPr>
          <w:rFonts w:ascii="Times New Roman" w:hAnsi="Times New Roman" w:cs="Times New Roman"/>
          <w:b/>
          <w:sz w:val="28"/>
          <w:szCs w:val="28"/>
        </w:rPr>
        <w:t>0</w:t>
      </w:r>
      <w:r w:rsidR="00056A57" w:rsidRPr="00BD40CE">
        <w:rPr>
          <w:rFonts w:ascii="Times New Roman" w:hAnsi="Times New Roman" w:cs="Times New Roman"/>
          <w:b/>
          <w:sz w:val="28"/>
          <w:szCs w:val="28"/>
        </w:rPr>
        <w:t xml:space="preserve"> </w:t>
      </w:r>
      <w:r w:rsidR="002E28C8" w:rsidRPr="002E28C8">
        <w:rPr>
          <w:rFonts w:ascii="Times New Roman" w:hAnsi="Times New Roman" w:cs="Times New Roman"/>
          <w:b/>
          <w:sz w:val="28"/>
          <w:szCs w:val="28"/>
        </w:rPr>
        <w:t>Findings of the Analysis</w:t>
      </w:r>
      <w:r w:rsidR="00056A57" w:rsidRPr="00BD40CE">
        <w:rPr>
          <w:rFonts w:ascii="Times New Roman" w:hAnsi="Times New Roman" w:cs="Times New Roman"/>
          <w:b/>
          <w:sz w:val="28"/>
          <w:szCs w:val="28"/>
        </w:rPr>
        <w:t xml:space="preserve"> </w:t>
      </w:r>
    </w:p>
    <w:p w14:paraId="41493D0C" w14:textId="77777777" w:rsidR="0018343C" w:rsidRDefault="0018343C" w:rsidP="006C1CBB">
      <w:pPr>
        <w:spacing w:after="0" w:line="240" w:lineRule="auto"/>
        <w:rPr>
          <w:rFonts w:ascii="Times New Roman" w:hAnsi="Times New Roman" w:cs="Times New Roman"/>
          <w:b/>
          <w:sz w:val="24"/>
          <w:szCs w:val="24"/>
        </w:rPr>
      </w:pPr>
    </w:p>
    <w:p w14:paraId="54544B34" w14:textId="6DE2AD05" w:rsidR="00933485"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.1 </w:t>
      </w:r>
      <w:r w:rsidR="00292575">
        <w:rPr>
          <w:rFonts w:ascii="Times New Roman" w:hAnsi="Times New Roman" w:cs="Times New Roman"/>
          <w:b/>
          <w:sz w:val="24"/>
          <w:szCs w:val="24"/>
        </w:rPr>
        <w:t>Description of the Data</w:t>
      </w:r>
    </w:p>
    <w:p w14:paraId="2CA23608" w14:textId="01F02E9C" w:rsidR="005148B3" w:rsidRPr="000827CC" w:rsidRDefault="0091450A" w:rsidP="006C1CBB">
      <w:pPr>
        <w:spacing w:after="0" w:line="240" w:lineRule="auto"/>
        <w:jc w:val="both"/>
        <w:rPr>
          <w:rFonts w:ascii="Times New Roman" w:hAnsi="Times New Roman" w:cs="Times New Roman"/>
          <w:sz w:val="24"/>
          <w:szCs w:val="24"/>
        </w:rPr>
      </w:pPr>
      <w:r w:rsidRPr="0091450A">
        <w:rPr>
          <w:rFonts w:ascii="Times New Roman" w:hAnsi="Times New Roman" w:cs="Times New Roman"/>
          <w:sz w:val="24"/>
          <w:szCs w:val="24"/>
        </w:rPr>
        <w:t>Table 1 delivers a descriptive overview of the bibliometric dataset comprising 107 documents related to Climate-Smart Agriculture (CSA) adoption in drought-prone areas, spanning the period from 2016 to 2025. The data were sourced from 76 different publication outlets, including peer-reviewed journals, books, and conference proceedings. Notably, the annual growth rate of publications in this domain stands at a robust 31.8%, indicating a rapid and increasing scholarly interest in CSA innovations for drought adaptation. The average age of the documents is 2.8 years, suggesting that the field is relatively recent and characterized by the publication of up-to-date and relevant research. The documents have garnered an average of 23.14 citations per publication, reflecting their academic influence and the growing visibility of CSA-related topics within the scientific community.</w:t>
      </w:r>
    </w:p>
    <w:p w14:paraId="1058102F" w14:textId="77777777" w:rsidR="00B15D4A" w:rsidRDefault="00B15D4A" w:rsidP="006C1CBB">
      <w:pPr>
        <w:spacing w:after="0" w:line="240" w:lineRule="auto"/>
        <w:jc w:val="center"/>
        <w:rPr>
          <w:rFonts w:ascii="Times New Roman" w:hAnsi="Times New Roman" w:cs="Times New Roman"/>
          <w:b/>
          <w:bCs/>
          <w:sz w:val="24"/>
          <w:szCs w:val="24"/>
        </w:rPr>
      </w:pPr>
    </w:p>
    <w:p w14:paraId="417906A3" w14:textId="374294ED" w:rsidR="009C583E" w:rsidRDefault="008D39A3" w:rsidP="006C1CBB">
      <w:pPr>
        <w:spacing w:after="0" w:line="240" w:lineRule="auto"/>
        <w:jc w:val="center"/>
        <w:rPr>
          <w:rFonts w:ascii="Times New Roman" w:hAnsi="Times New Roman" w:cs="Times New Roman"/>
          <w:sz w:val="24"/>
          <w:szCs w:val="24"/>
        </w:rPr>
      </w:pPr>
      <w:r w:rsidRPr="00786876">
        <w:rPr>
          <w:rFonts w:ascii="Times New Roman" w:hAnsi="Times New Roman" w:cs="Times New Roman"/>
          <w:b/>
          <w:bCs/>
          <w:sz w:val="24"/>
          <w:szCs w:val="24"/>
        </w:rPr>
        <w:t>Table 1.</w:t>
      </w:r>
      <w:r>
        <w:rPr>
          <w:rFonts w:ascii="Times New Roman" w:hAnsi="Times New Roman" w:cs="Times New Roman"/>
          <w:sz w:val="24"/>
          <w:szCs w:val="24"/>
        </w:rPr>
        <w:t xml:space="preserve"> </w:t>
      </w:r>
      <w:r w:rsidRPr="00786876">
        <w:rPr>
          <w:rFonts w:ascii="Times New Roman" w:hAnsi="Times New Roman" w:cs="Times New Roman"/>
          <w:sz w:val="24"/>
          <w:szCs w:val="24"/>
        </w:rPr>
        <w:t>Information summary on retrieved CSA studies (20</w:t>
      </w:r>
      <w:r>
        <w:rPr>
          <w:rFonts w:ascii="Times New Roman" w:hAnsi="Times New Roman" w:cs="Times New Roman"/>
          <w:sz w:val="24"/>
          <w:szCs w:val="24"/>
        </w:rPr>
        <w:t>16</w:t>
      </w:r>
      <w:r w:rsidRPr="00786876">
        <w:rPr>
          <w:rFonts w:ascii="Times New Roman" w:hAnsi="Times New Roman" w:cs="Times New Roman"/>
          <w:sz w:val="24"/>
          <w:szCs w:val="24"/>
        </w:rPr>
        <w:t>–202</w:t>
      </w:r>
      <w:r>
        <w:rPr>
          <w:rFonts w:ascii="Times New Roman" w:hAnsi="Times New Roman" w:cs="Times New Roman"/>
          <w:sz w:val="24"/>
          <w:szCs w:val="24"/>
        </w:rPr>
        <w:t>5</w:t>
      </w:r>
      <w:r w:rsidRPr="00786876">
        <w:rPr>
          <w:rFonts w:ascii="Times New Roman" w:hAnsi="Times New Roman" w:cs="Times New Roman"/>
          <w:sz w:val="24"/>
          <w:szCs w:val="24"/>
        </w:rPr>
        <w:t>)</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721"/>
        <w:gridCol w:w="1370"/>
      </w:tblGrid>
      <w:tr w:rsidR="009C583E" w:rsidRPr="009C583E" w14:paraId="1C31CCE2" w14:textId="77777777" w:rsidTr="009C583E">
        <w:trPr>
          <w:trHeight w:val="290"/>
          <w:jc w:val="center"/>
        </w:trPr>
        <w:tc>
          <w:tcPr>
            <w:tcW w:w="4721" w:type="dxa"/>
            <w:tcBorders>
              <w:top w:val="single" w:sz="4" w:space="0" w:color="auto"/>
              <w:bottom w:val="single" w:sz="4" w:space="0" w:color="auto"/>
            </w:tcBorders>
          </w:tcPr>
          <w:p w14:paraId="4C2D1ABE" w14:textId="77777777" w:rsidR="009C583E" w:rsidRPr="009C583E" w:rsidRDefault="009C583E" w:rsidP="006C1CBB">
            <w:pPr>
              <w:spacing w:after="0" w:line="240" w:lineRule="auto"/>
              <w:jc w:val="center"/>
              <w:rPr>
                <w:rFonts w:ascii="Times New Roman" w:hAnsi="Times New Roman" w:cs="Times New Roman"/>
                <w:b/>
                <w:bCs/>
                <w:sz w:val="24"/>
                <w:szCs w:val="24"/>
              </w:rPr>
            </w:pPr>
            <w:r w:rsidRPr="009C583E">
              <w:rPr>
                <w:rFonts w:ascii="Times New Roman" w:hAnsi="Times New Roman" w:cs="Times New Roman"/>
                <w:b/>
                <w:bCs/>
                <w:sz w:val="24"/>
                <w:szCs w:val="24"/>
              </w:rPr>
              <w:t>Description</w:t>
            </w:r>
          </w:p>
        </w:tc>
        <w:tc>
          <w:tcPr>
            <w:tcW w:w="1370" w:type="dxa"/>
            <w:tcBorders>
              <w:top w:val="single" w:sz="4" w:space="0" w:color="auto"/>
              <w:bottom w:val="single" w:sz="4" w:space="0" w:color="auto"/>
            </w:tcBorders>
          </w:tcPr>
          <w:p w14:paraId="7967BFB0" w14:textId="77777777" w:rsidR="009C583E" w:rsidRPr="009C583E" w:rsidRDefault="009C583E" w:rsidP="006C1CBB">
            <w:pPr>
              <w:spacing w:after="0" w:line="240" w:lineRule="auto"/>
              <w:jc w:val="center"/>
              <w:rPr>
                <w:rFonts w:ascii="Times New Roman" w:hAnsi="Times New Roman" w:cs="Times New Roman"/>
                <w:b/>
                <w:bCs/>
                <w:sz w:val="24"/>
                <w:szCs w:val="24"/>
              </w:rPr>
            </w:pPr>
            <w:r w:rsidRPr="009C583E">
              <w:rPr>
                <w:rFonts w:ascii="Times New Roman" w:hAnsi="Times New Roman" w:cs="Times New Roman"/>
                <w:b/>
                <w:bCs/>
                <w:sz w:val="24"/>
                <w:szCs w:val="24"/>
              </w:rPr>
              <w:t>Results</w:t>
            </w:r>
          </w:p>
        </w:tc>
      </w:tr>
      <w:tr w:rsidR="009C583E" w:rsidRPr="009C583E" w14:paraId="3797F9F6" w14:textId="77777777" w:rsidTr="009C583E">
        <w:trPr>
          <w:trHeight w:val="290"/>
          <w:jc w:val="center"/>
        </w:trPr>
        <w:tc>
          <w:tcPr>
            <w:tcW w:w="4721" w:type="dxa"/>
            <w:tcBorders>
              <w:top w:val="single" w:sz="4" w:space="0" w:color="auto"/>
            </w:tcBorders>
          </w:tcPr>
          <w:p w14:paraId="61F1C943"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Timespan</w:t>
            </w:r>
          </w:p>
        </w:tc>
        <w:tc>
          <w:tcPr>
            <w:tcW w:w="1370" w:type="dxa"/>
            <w:tcBorders>
              <w:top w:val="single" w:sz="4" w:space="0" w:color="auto"/>
            </w:tcBorders>
          </w:tcPr>
          <w:p w14:paraId="13C2EA02"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2016:2025</w:t>
            </w:r>
          </w:p>
        </w:tc>
      </w:tr>
      <w:tr w:rsidR="009C583E" w:rsidRPr="009C583E" w14:paraId="03EF7051" w14:textId="77777777" w:rsidTr="009C583E">
        <w:trPr>
          <w:trHeight w:val="290"/>
          <w:jc w:val="center"/>
        </w:trPr>
        <w:tc>
          <w:tcPr>
            <w:tcW w:w="4721" w:type="dxa"/>
          </w:tcPr>
          <w:p w14:paraId="5C5D24C9" w14:textId="19A775AF"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 xml:space="preserve">Sources (Journals, Books, </w:t>
            </w:r>
            <w:r w:rsidR="00D2441D" w:rsidRPr="009C583E">
              <w:rPr>
                <w:rFonts w:ascii="Times New Roman" w:hAnsi="Times New Roman" w:cs="Times New Roman"/>
                <w:sz w:val="24"/>
                <w:szCs w:val="24"/>
              </w:rPr>
              <w:t>etc.</w:t>
            </w:r>
            <w:r w:rsidRPr="009C583E">
              <w:rPr>
                <w:rFonts w:ascii="Times New Roman" w:hAnsi="Times New Roman" w:cs="Times New Roman"/>
                <w:sz w:val="24"/>
                <w:szCs w:val="24"/>
              </w:rPr>
              <w:t>)</w:t>
            </w:r>
          </w:p>
        </w:tc>
        <w:tc>
          <w:tcPr>
            <w:tcW w:w="1370" w:type="dxa"/>
          </w:tcPr>
          <w:p w14:paraId="7C592BBA"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76</w:t>
            </w:r>
          </w:p>
        </w:tc>
      </w:tr>
      <w:tr w:rsidR="009C583E" w:rsidRPr="009C583E" w14:paraId="2A1BC21E" w14:textId="77777777" w:rsidTr="009C583E">
        <w:trPr>
          <w:trHeight w:val="290"/>
          <w:jc w:val="center"/>
        </w:trPr>
        <w:tc>
          <w:tcPr>
            <w:tcW w:w="4721" w:type="dxa"/>
          </w:tcPr>
          <w:p w14:paraId="13B47CB7"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Documents</w:t>
            </w:r>
          </w:p>
        </w:tc>
        <w:tc>
          <w:tcPr>
            <w:tcW w:w="1370" w:type="dxa"/>
          </w:tcPr>
          <w:p w14:paraId="0E212F2E"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107</w:t>
            </w:r>
          </w:p>
        </w:tc>
      </w:tr>
      <w:tr w:rsidR="009C583E" w:rsidRPr="009C583E" w14:paraId="103CF196" w14:textId="77777777" w:rsidTr="009C583E">
        <w:trPr>
          <w:trHeight w:val="290"/>
          <w:jc w:val="center"/>
        </w:trPr>
        <w:tc>
          <w:tcPr>
            <w:tcW w:w="4721" w:type="dxa"/>
          </w:tcPr>
          <w:p w14:paraId="05F2BA8A"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Annual Growth Rate %</w:t>
            </w:r>
          </w:p>
        </w:tc>
        <w:tc>
          <w:tcPr>
            <w:tcW w:w="1370" w:type="dxa"/>
          </w:tcPr>
          <w:p w14:paraId="4BEAF81B"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31.8</w:t>
            </w:r>
          </w:p>
        </w:tc>
      </w:tr>
      <w:tr w:rsidR="009C583E" w:rsidRPr="009C583E" w14:paraId="125B6F33" w14:textId="77777777" w:rsidTr="009C583E">
        <w:trPr>
          <w:trHeight w:val="290"/>
          <w:jc w:val="center"/>
        </w:trPr>
        <w:tc>
          <w:tcPr>
            <w:tcW w:w="4721" w:type="dxa"/>
          </w:tcPr>
          <w:p w14:paraId="0D0CCFCD"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Document Average Age</w:t>
            </w:r>
          </w:p>
        </w:tc>
        <w:tc>
          <w:tcPr>
            <w:tcW w:w="1370" w:type="dxa"/>
          </w:tcPr>
          <w:p w14:paraId="3F8CA9D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2.8</w:t>
            </w:r>
          </w:p>
        </w:tc>
      </w:tr>
      <w:tr w:rsidR="009C583E" w:rsidRPr="009C583E" w14:paraId="770FD496" w14:textId="77777777" w:rsidTr="009C583E">
        <w:trPr>
          <w:trHeight w:val="290"/>
          <w:jc w:val="center"/>
        </w:trPr>
        <w:tc>
          <w:tcPr>
            <w:tcW w:w="4721" w:type="dxa"/>
          </w:tcPr>
          <w:p w14:paraId="58C5BAD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Average citations per doc</w:t>
            </w:r>
          </w:p>
        </w:tc>
        <w:tc>
          <w:tcPr>
            <w:tcW w:w="1370" w:type="dxa"/>
          </w:tcPr>
          <w:p w14:paraId="349C9BC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23.14</w:t>
            </w:r>
          </w:p>
        </w:tc>
      </w:tr>
      <w:tr w:rsidR="009C583E" w:rsidRPr="009C583E" w14:paraId="476E005D" w14:textId="77777777" w:rsidTr="009C583E">
        <w:trPr>
          <w:trHeight w:val="290"/>
          <w:jc w:val="center"/>
        </w:trPr>
        <w:tc>
          <w:tcPr>
            <w:tcW w:w="4721" w:type="dxa"/>
          </w:tcPr>
          <w:p w14:paraId="0D863763"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Keywords Plus (ID)</w:t>
            </w:r>
          </w:p>
        </w:tc>
        <w:tc>
          <w:tcPr>
            <w:tcW w:w="1370" w:type="dxa"/>
          </w:tcPr>
          <w:p w14:paraId="71077DB2"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473</w:t>
            </w:r>
          </w:p>
        </w:tc>
      </w:tr>
      <w:tr w:rsidR="009C583E" w:rsidRPr="009C583E" w14:paraId="77D52EBD" w14:textId="77777777" w:rsidTr="009C583E">
        <w:trPr>
          <w:trHeight w:val="290"/>
          <w:jc w:val="center"/>
        </w:trPr>
        <w:tc>
          <w:tcPr>
            <w:tcW w:w="4721" w:type="dxa"/>
          </w:tcPr>
          <w:p w14:paraId="6210BC6F"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Author's Keywords (DE)</w:t>
            </w:r>
          </w:p>
        </w:tc>
        <w:tc>
          <w:tcPr>
            <w:tcW w:w="1370" w:type="dxa"/>
          </w:tcPr>
          <w:p w14:paraId="3719E78F"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365</w:t>
            </w:r>
          </w:p>
        </w:tc>
      </w:tr>
      <w:tr w:rsidR="009C583E" w:rsidRPr="009C583E" w14:paraId="7D7A95A1" w14:textId="77777777" w:rsidTr="009C583E">
        <w:trPr>
          <w:trHeight w:val="290"/>
          <w:jc w:val="center"/>
        </w:trPr>
        <w:tc>
          <w:tcPr>
            <w:tcW w:w="4721" w:type="dxa"/>
          </w:tcPr>
          <w:p w14:paraId="05249DB1"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Authors</w:t>
            </w:r>
          </w:p>
        </w:tc>
        <w:tc>
          <w:tcPr>
            <w:tcW w:w="1370" w:type="dxa"/>
          </w:tcPr>
          <w:p w14:paraId="68C2351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428</w:t>
            </w:r>
          </w:p>
        </w:tc>
      </w:tr>
      <w:tr w:rsidR="009C583E" w:rsidRPr="009C583E" w14:paraId="7736AF60" w14:textId="77777777" w:rsidTr="009C583E">
        <w:trPr>
          <w:trHeight w:val="290"/>
          <w:jc w:val="center"/>
        </w:trPr>
        <w:tc>
          <w:tcPr>
            <w:tcW w:w="4721" w:type="dxa"/>
          </w:tcPr>
          <w:p w14:paraId="62CB3420"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Authors of single-authored docs</w:t>
            </w:r>
          </w:p>
        </w:tc>
        <w:tc>
          <w:tcPr>
            <w:tcW w:w="1370" w:type="dxa"/>
          </w:tcPr>
          <w:p w14:paraId="289BAC88"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5</w:t>
            </w:r>
          </w:p>
        </w:tc>
      </w:tr>
      <w:tr w:rsidR="009C583E" w:rsidRPr="009C583E" w14:paraId="37E7248D" w14:textId="77777777" w:rsidTr="009C583E">
        <w:trPr>
          <w:trHeight w:val="290"/>
          <w:jc w:val="center"/>
        </w:trPr>
        <w:tc>
          <w:tcPr>
            <w:tcW w:w="4721" w:type="dxa"/>
          </w:tcPr>
          <w:p w14:paraId="1D685648"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lastRenderedPageBreak/>
              <w:t>Single-authored docs</w:t>
            </w:r>
          </w:p>
        </w:tc>
        <w:tc>
          <w:tcPr>
            <w:tcW w:w="1370" w:type="dxa"/>
          </w:tcPr>
          <w:p w14:paraId="46C2BD5B"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5</w:t>
            </w:r>
          </w:p>
        </w:tc>
      </w:tr>
      <w:tr w:rsidR="009C583E" w:rsidRPr="009C583E" w14:paraId="4C810571" w14:textId="77777777" w:rsidTr="009C583E">
        <w:trPr>
          <w:trHeight w:val="290"/>
          <w:jc w:val="center"/>
        </w:trPr>
        <w:tc>
          <w:tcPr>
            <w:tcW w:w="4721" w:type="dxa"/>
          </w:tcPr>
          <w:p w14:paraId="3971FC8E"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Co-Authors per Doc</w:t>
            </w:r>
          </w:p>
        </w:tc>
        <w:tc>
          <w:tcPr>
            <w:tcW w:w="1370" w:type="dxa"/>
          </w:tcPr>
          <w:p w14:paraId="64F2AA6D"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4.4</w:t>
            </w:r>
          </w:p>
        </w:tc>
      </w:tr>
      <w:tr w:rsidR="009C583E" w:rsidRPr="009C583E" w14:paraId="413918ED" w14:textId="77777777" w:rsidTr="009C583E">
        <w:trPr>
          <w:trHeight w:val="290"/>
          <w:jc w:val="center"/>
        </w:trPr>
        <w:tc>
          <w:tcPr>
            <w:tcW w:w="4721" w:type="dxa"/>
          </w:tcPr>
          <w:p w14:paraId="0CBAA4D5"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International co-authorships %</w:t>
            </w:r>
          </w:p>
        </w:tc>
        <w:tc>
          <w:tcPr>
            <w:tcW w:w="1370" w:type="dxa"/>
          </w:tcPr>
          <w:p w14:paraId="6F523E9E" w14:textId="77777777" w:rsidR="009C583E" w:rsidRPr="009C583E" w:rsidRDefault="009C583E" w:rsidP="006C1CBB">
            <w:pPr>
              <w:spacing w:after="0" w:line="240" w:lineRule="auto"/>
              <w:jc w:val="center"/>
              <w:rPr>
                <w:rFonts w:ascii="Times New Roman" w:hAnsi="Times New Roman" w:cs="Times New Roman"/>
                <w:sz w:val="24"/>
                <w:szCs w:val="24"/>
              </w:rPr>
            </w:pPr>
            <w:r w:rsidRPr="009C583E">
              <w:rPr>
                <w:rFonts w:ascii="Times New Roman" w:hAnsi="Times New Roman" w:cs="Times New Roman"/>
                <w:sz w:val="24"/>
                <w:szCs w:val="24"/>
              </w:rPr>
              <w:t>48.6</w:t>
            </w:r>
          </w:p>
        </w:tc>
      </w:tr>
    </w:tbl>
    <w:p w14:paraId="321B6245" w14:textId="77777777" w:rsidR="005148B3" w:rsidRDefault="005148B3" w:rsidP="006C1CBB">
      <w:pPr>
        <w:spacing w:after="0" w:line="240" w:lineRule="auto"/>
        <w:jc w:val="both"/>
        <w:rPr>
          <w:rFonts w:ascii="Times New Roman" w:hAnsi="Times New Roman" w:cs="Times New Roman"/>
          <w:bCs/>
          <w:sz w:val="24"/>
          <w:szCs w:val="24"/>
        </w:rPr>
      </w:pPr>
    </w:p>
    <w:p w14:paraId="70A7C34E" w14:textId="592BA074" w:rsidR="005148B3" w:rsidRPr="005148B3" w:rsidRDefault="0091450A" w:rsidP="006C1CBB">
      <w:pPr>
        <w:spacing w:after="0" w:line="240" w:lineRule="auto"/>
        <w:jc w:val="both"/>
        <w:rPr>
          <w:rFonts w:ascii="Times New Roman" w:hAnsi="Times New Roman" w:cs="Times New Roman"/>
          <w:bCs/>
          <w:sz w:val="24"/>
          <w:szCs w:val="24"/>
        </w:rPr>
      </w:pPr>
      <w:r w:rsidRPr="0091450A">
        <w:rPr>
          <w:rFonts w:ascii="Times New Roman" w:hAnsi="Times New Roman" w:cs="Times New Roman"/>
          <w:bCs/>
          <w:sz w:val="24"/>
          <w:szCs w:val="24"/>
        </w:rPr>
        <w:t>In terms of keyword analysis, the dataset includes 473 Keywords Plus (ID) and 365 author-assigned keywords (DE), highlighting the thematic diversity and multidisciplinary nature of the research. A total of 428 individual authors contributed to the 107 publications, with a mean of 4.4 co-authors per document, indicating a strong tendency toward collaborative and often interdisciplinary research efforts. Interestingly, only five documents were single-authored, underscoring the collaborative ethos prevalent in CSA research. Furthermore, the rate of international co-authorships is relatively high, at 48.6%, suggesting that nearly half of the studies involved cross-border collaboration, which is vital for addressing the transboundary nature of climate change and drought adaptation challenges. Overall, these metrics reflect a dynamic and rapidly evolving research field characterized by growing international cooperation and scholarly impact</w:t>
      </w:r>
      <w:r w:rsidR="005148B3" w:rsidRPr="005148B3">
        <w:rPr>
          <w:rFonts w:ascii="Times New Roman" w:hAnsi="Times New Roman" w:cs="Times New Roman"/>
          <w:bCs/>
          <w:sz w:val="24"/>
          <w:szCs w:val="24"/>
        </w:rPr>
        <w:t>.</w:t>
      </w:r>
    </w:p>
    <w:p w14:paraId="70C7F96A" w14:textId="77777777" w:rsidR="00292575" w:rsidRPr="005148B3" w:rsidRDefault="00292575" w:rsidP="006C1CBB">
      <w:pPr>
        <w:spacing w:after="0" w:line="240" w:lineRule="auto"/>
        <w:jc w:val="both"/>
        <w:rPr>
          <w:rFonts w:ascii="Times New Roman" w:hAnsi="Times New Roman" w:cs="Times New Roman"/>
          <w:bCs/>
          <w:sz w:val="24"/>
          <w:szCs w:val="24"/>
        </w:rPr>
      </w:pPr>
    </w:p>
    <w:p w14:paraId="42F54C42" w14:textId="2D6764C1" w:rsidR="002B477E" w:rsidRPr="007235C4"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.2 </w:t>
      </w:r>
      <w:bookmarkStart w:id="2" w:name="_Hlk185777699"/>
      <w:r w:rsidR="000C713D" w:rsidRPr="00093347">
        <w:rPr>
          <w:rFonts w:ascii="Times New Roman" w:hAnsi="Times New Roman" w:cs="Times New Roman"/>
          <w:b/>
          <w:sz w:val="24"/>
          <w:szCs w:val="24"/>
        </w:rPr>
        <w:t xml:space="preserve">Publication </w:t>
      </w:r>
      <w:r w:rsidR="00A46C96">
        <w:rPr>
          <w:rFonts w:ascii="Times New Roman" w:hAnsi="Times New Roman" w:cs="Times New Roman"/>
          <w:b/>
          <w:sz w:val="24"/>
          <w:szCs w:val="24"/>
        </w:rPr>
        <w:t>P</w:t>
      </w:r>
      <w:r w:rsidR="000C713D" w:rsidRPr="00093347">
        <w:rPr>
          <w:rFonts w:ascii="Times New Roman" w:hAnsi="Times New Roman" w:cs="Times New Roman"/>
          <w:b/>
          <w:sz w:val="24"/>
          <w:szCs w:val="24"/>
        </w:rPr>
        <w:t>rogression</w:t>
      </w:r>
      <w:bookmarkEnd w:id="2"/>
    </w:p>
    <w:p w14:paraId="65FA606E" w14:textId="71B136D1" w:rsidR="007235C4" w:rsidRDefault="00FC18DE" w:rsidP="006C1CBB">
      <w:pPr>
        <w:spacing w:after="0" w:line="240" w:lineRule="auto"/>
        <w:jc w:val="both"/>
        <w:rPr>
          <w:rFonts w:ascii="Times New Roman" w:hAnsi="Times New Roman" w:cs="Times New Roman"/>
          <w:bCs/>
          <w:sz w:val="24"/>
          <w:szCs w:val="24"/>
        </w:rPr>
      </w:pPr>
      <w:r w:rsidRPr="00FC18DE">
        <w:rPr>
          <w:rFonts w:ascii="Times New Roman" w:hAnsi="Times New Roman" w:cs="Times New Roman"/>
          <w:bCs/>
          <w:sz w:val="24"/>
          <w:szCs w:val="24"/>
        </w:rPr>
        <w:t xml:space="preserve">Figure 2 illustrates the annual number of published articles from 2016 to 2025 that investigate the factors influencing the adoption of Climate-Smart Agriculture (CSA) innovations for drought adaptation. The figure shows a clear upward trend in research activity over the </w:t>
      </w:r>
      <w:r w:rsidR="00992700">
        <w:rPr>
          <w:rFonts w:ascii="Times New Roman" w:hAnsi="Times New Roman" w:cs="Times New Roman"/>
          <w:bCs/>
          <w:sz w:val="24"/>
          <w:szCs w:val="24"/>
        </w:rPr>
        <w:t xml:space="preserve">past </w:t>
      </w:r>
      <w:r w:rsidRPr="00FC18DE">
        <w:rPr>
          <w:rFonts w:ascii="Times New Roman" w:hAnsi="Times New Roman" w:cs="Times New Roman"/>
          <w:bCs/>
          <w:sz w:val="24"/>
          <w:szCs w:val="24"/>
        </w:rPr>
        <w:t>ten years. In 2016, only one article was published, indicating initial interest in this topic. This number increased steadily to three articles in 2017 and five in 2018. A notable rise occurred in 2019, with 11 articles published. However, in 2020, there was a slight decline to six articles. The number of publications rebounded in 2021, reaching 13 articles, followed by another dip to six articles in 2022. Research output peaked in 2023 with 16 articles, and this upward trajectory culminated in 2024, which recorded the highest number of publications at 34. As of 2025, 12 articles have been published to date, indicating continued strong interest. This pattern reflects increasing scholarly attention towards CSA innovations as essential strategies for drought adaptation, highlighting the growing recognition of this field within the academic community</w:t>
      </w:r>
      <w:r w:rsidR="007235C4" w:rsidRPr="007235C4">
        <w:rPr>
          <w:rFonts w:ascii="Times New Roman" w:hAnsi="Times New Roman" w:cs="Times New Roman"/>
          <w:bCs/>
          <w:sz w:val="24"/>
          <w:szCs w:val="24"/>
        </w:rPr>
        <w:t>.</w:t>
      </w:r>
    </w:p>
    <w:p w14:paraId="0D22A06A" w14:textId="77777777" w:rsidR="007235C4" w:rsidRDefault="007235C4" w:rsidP="006C1CBB">
      <w:pPr>
        <w:spacing w:after="0" w:line="240" w:lineRule="auto"/>
        <w:jc w:val="both"/>
        <w:rPr>
          <w:rFonts w:ascii="Times New Roman" w:hAnsi="Times New Roman" w:cs="Times New Roman"/>
          <w:bCs/>
          <w:sz w:val="24"/>
          <w:szCs w:val="24"/>
        </w:rPr>
      </w:pPr>
    </w:p>
    <w:p w14:paraId="27AA9E20" w14:textId="32D8CE2E" w:rsidR="00AD2148" w:rsidRPr="00292575" w:rsidRDefault="00A54896" w:rsidP="006C1CBB">
      <w:pPr>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 xml:space="preserve"> </w:t>
      </w:r>
      <w:r w:rsidR="003A0E2B">
        <w:rPr>
          <w:rFonts w:ascii="Times New Roman" w:hAnsi="Times New Roman" w:cs="Times New Roman"/>
          <w:bCs/>
          <w:noProof/>
          <w:sz w:val="24"/>
          <w:szCs w:val="24"/>
          <w:lang w:bidi="bn-BD"/>
        </w:rPr>
        <w:drawing>
          <wp:inline distT="0" distB="0" distL="0" distR="0" wp14:anchorId="1AA2647C" wp14:editId="00F31211">
            <wp:extent cx="5791200" cy="2728969"/>
            <wp:effectExtent l="19050" t="19050" r="19050" b="14605"/>
            <wp:docPr id="214552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894" cy="2732123"/>
                    </a:xfrm>
                    <a:prstGeom prst="rect">
                      <a:avLst/>
                    </a:prstGeom>
                    <a:noFill/>
                    <a:ln>
                      <a:solidFill>
                        <a:schemeClr val="tx1"/>
                      </a:solidFill>
                    </a:ln>
                  </pic:spPr>
                </pic:pic>
              </a:graphicData>
            </a:graphic>
          </wp:inline>
        </w:drawing>
      </w:r>
    </w:p>
    <w:p w14:paraId="6D2BED05" w14:textId="6CC9CB92" w:rsidR="00C42A0F" w:rsidRPr="00292575" w:rsidRDefault="00292575" w:rsidP="006C1CBB">
      <w:pPr>
        <w:spacing w:after="0" w:line="240" w:lineRule="auto"/>
        <w:jc w:val="center"/>
        <w:rPr>
          <w:rFonts w:ascii="Times New Roman" w:hAnsi="Times New Roman" w:cs="Times New Roman"/>
          <w:b/>
          <w:bCs/>
          <w:sz w:val="24"/>
          <w:szCs w:val="24"/>
        </w:rPr>
      </w:pPr>
      <w:r w:rsidRPr="00292575">
        <w:rPr>
          <w:rFonts w:ascii="Times New Roman" w:hAnsi="Times New Roman" w:cs="Times New Roman"/>
          <w:b/>
          <w:bCs/>
          <w:sz w:val="24"/>
          <w:szCs w:val="24"/>
        </w:rPr>
        <w:lastRenderedPageBreak/>
        <w:t xml:space="preserve">Figure </w:t>
      </w:r>
      <w:r w:rsidR="0057604D">
        <w:rPr>
          <w:rFonts w:ascii="Times New Roman" w:hAnsi="Times New Roman" w:cs="Times New Roman"/>
          <w:b/>
          <w:bCs/>
          <w:sz w:val="24"/>
          <w:szCs w:val="24"/>
        </w:rPr>
        <w:t>2</w:t>
      </w:r>
      <w:r w:rsidRPr="00217B33">
        <w:rPr>
          <w:rFonts w:ascii="Times New Roman" w:hAnsi="Times New Roman" w:cs="Times New Roman"/>
          <w:b/>
          <w:bCs/>
          <w:sz w:val="24"/>
          <w:szCs w:val="24"/>
        </w:rPr>
        <w:t>.</w:t>
      </w:r>
      <w:r w:rsidRPr="00217B33">
        <w:rPr>
          <w:rFonts w:ascii="Times New Roman" w:hAnsi="Times New Roman" w:cs="Times New Roman"/>
          <w:sz w:val="24"/>
          <w:szCs w:val="24"/>
        </w:rPr>
        <w:t xml:space="preserve"> Annual </w:t>
      </w:r>
      <w:r w:rsidR="00217B33" w:rsidRPr="00217B33">
        <w:rPr>
          <w:rFonts w:ascii="Times New Roman" w:hAnsi="Times New Roman" w:cs="Times New Roman"/>
          <w:sz w:val="24"/>
          <w:szCs w:val="24"/>
        </w:rPr>
        <w:t>Scientific Publications</w:t>
      </w:r>
      <w:r w:rsidR="00407C53" w:rsidRPr="00292575">
        <w:rPr>
          <w:rFonts w:ascii="Times New Roman" w:hAnsi="Times New Roman" w:cs="Times New Roman"/>
          <w:b/>
          <w:bCs/>
          <w:sz w:val="24"/>
          <w:szCs w:val="24"/>
        </w:rPr>
        <w:t xml:space="preserve"> </w:t>
      </w:r>
    </w:p>
    <w:p w14:paraId="4D90E917" w14:textId="77777777" w:rsidR="001E783C" w:rsidRPr="00093347" w:rsidRDefault="001E783C" w:rsidP="006C1CBB">
      <w:pPr>
        <w:spacing w:after="0" w:line="240" w:lineRule="auto"/>
        <w:rPr>
          <w:rFonts w:ascii="Times New Roman" w:hAnsi="Times New Roman" w:cs="Times New Roman"/>
          <w:b/>
          <w:sz w:val="24"/>
          <w:szCs w:val="24"/>
        </w:rPr>
      </w:pPr>
    </w:p>
    <w:p w14:paraId="5AAC8090" w14:textId="0F6EAA91"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.3 </w:t>
      </w:r>
      <w:r w:rsidR="00487DD9">
        <w:rPr>
          <w:rFonts w:ascii="Times New Roman" w:hAnsi="Times New Roman" w:cs="Times New Roman"/>
          <w:b/>
          <w:sz w:val="24"/>
          <w:szCs w:val="24"/>
        </w:rPr>
        <w:t>Top Relevant Sources</w:t>
      </w:r>
    </w:p>
    <w:p w14:paraId="10DF71C7" w14:textId="25BA546A" w:rsidR="00487DD9" w:rsidRPr="00711CA1" w:rsidRDefault="00BB23A0" w:rsidP="006C1CBB">
      <w:pPr>
        <w:spacing w:after="0" w:line="240" w:lineRule="auto"/>
        <w:jc w:val="both"/>
        <w:rPr>
          <w:rFonts w:ascii="Times New Roman" w:hAnsi="Times New Roman" w:cs="Times New Roman"/>
          <w:bCs/>
          <w:sz w:val="24"/>
          <w:szCs w:val="24"/>
        </w:rPr>
      </w:pPr>
      <w:r w:rsidRPr="00BB23A0">
        <w:rPr>
          <w:rFonts w:ascii="Times New Roman" w:hAnsi="Times New Roman" w:cs="Times New Roman"/>
          <w:bCs/>
          <w:sz w:val="24"/>
          <w:szCs w:val="24"/>
        </w:rPr>
        <w:t xml:space="preserve">Table 2 summarizes the leading academic sources that have published research on factors influencing the adoption of Climate-Smart Agriculture (CSA) innovations for drought adaptation. The table ranks the top ten journals and publications by the number of relevant articles they have contributed. At the forefront is Mitigation and Adaptation Strategies for Global Change, which </w:t>
      </w:r>
      <w:r w:rsidR="00123A84">
        <w:rPr>
          <w:rFonts w:ascii="Times New Roman" w:hAnsi="Times New Roman" w:cs="Times New Roman"/>
          <w:bCs/>
          <w:sz w:val="24"/>
          <w:szCs w:val="24"/>
        </w:rPr>
        <w:t xml:space="preserve">has </w:t>
      </w:r>
      <w:r w:rsidRPr="00BB23A0">
        <w:rPr>
          <w:rFonts w:ascii="Times New Roman" w:hAnsi="Times New Roman" w:cs="Times New Roman"/>
          <w:bCs/>
          <w:sz w:val="24"/>
          <w:szCs w:val="24"/>
        </w:rPr>
        <w:t>published five articles, making it the most prolific source in this domain. Following closely are Climate Risk Management, Frontiers in Sustainable Food Systems, Land Use Policy, and Sustainability (Switzerland), each contributing four articles. These journals represent key platforms for disseminating research on climate adaptation strategies and sustainable agriculture. Agricultural Systems and Climate Change Management rank next, each with three articles, highlighting their importance in the intersection of agriculture and climate resilience. Additionally, comprehensive works such as the African Handbook of Climate Change Adaptation have contributed to two significant studies, alongside journals like Agriculture and Food Security and Climate Resilience and Sustainability, which also published two articles each. This distribution reflects the multidisciplinary nature of research on CSA adoption and underscores the critical role these sources play in advancing knowledge on drought adaptation strategies through innovative agricultural practices</w:t>
      </w:r>
      <w:r w:rsidR="00CF31EA" w:rsidRPr="00CF31EA">
        <w:rPr>
          <w:rFonts w:ascii="Times New Roman" w:hAnsi="Times New Roman" w:cs="Times New Roman"/>
          <w:bCs/>
          <w:sz w:val="24"/>
          <w:szCs w:val="24"/>
        </w:rPr>
        <w:t>.</w:t>
      </w:r>
    </w:p>
    <w:p w14:paraId="59D92EC5" w14:textId="77777777" w:rsidR="00212FA1" w:rsidRDefault="00212FA1" w:rsidP="006C1CBB">
      <w:pPr>
        <w:spacing w:after="0" w:line="240" w:lineRule="auto"/>
        <w:jc w:val="center"/>
        <w:rPr>
          <w:rFonts w:ascii="Times New Roman" w:hAnsi="Times New Roman" w:cs="Times New Roman"/>
          <w:b/>
          <w:sz w:val="24"/>
          <w:szCs w:val="24"/>
        </w:rPr>
      </w:pPr>
    </w:p>
    <w:p w14:paraId="44510D5C" w14:textId="75019C61" w:rsidR="00487DD9" w:rsidRDefault="00487DD9" w:rsidP="006C1C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2</w:t>
      </w:r>
      <w:r w:rsidRPr="00487DD9">
        <w:rPr>
          <w:rFonts w:ascii="Times New Roman" w:hAnsi="Times New Roman" w:cs="Times New Roman"/>
          <w:bCs/>
          <w:sz w:val="24"/>
          <w:szCs w:val="24"/>
        </w:rPr>
        <w:t xml:space="preserve">. </w:t>
      </w:r>
      <w:r>
        <w:rPr>
          <w:rFonts w:ascii="Times New Roman" w:hAnsi="Times New Roman" w:cs="Times New Roman"/>
          <w:bCs/>
          <w:sz w:val="24"/>
          <w:szCs w:val="24"/>
        </w:rPr>
        <w:t>Top 10</w:t>
      </w:r>
      <w:r w:rsidRPr="00487DD9">
        <w:rPr>
          <w:rFonts w:ascii="Times New Roman" w:hAnsi="Times New Roman" w:cs="Times New Roman"/>
          <w:bCs/>
          <w:sz w:val="24"/>
          <w:szCs w:val="24"/>
        </w:rPr>
        <w:t xml:space="preserve"> relevant sources</w:t>
      </w:r>
    </w:p>
    <w:tbl>
      <w:tblPr>
        <w:tblW w:w="9270" w:type="dxa"/>
        <w:jc w:val="right"/>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0"/>
        <w:gridCol w:w="7380"/>
        <w:gridCol w:w="1170"/>
      </w:tblGrid>
      <w:tr w:rsidR="00BB23A0" w:rsidRPr="00BB23A0" w14:paraId="06B06041" w14:textId="77777777" w:rsidTr="00BB23A0">
        <w:trPr>
          <w:trHeight w:val="290"/>
          <w:jc w:val="right"/>
        </w:trPr>
        <w:tc>
          <w:tcPr>
            <w:tcW w:w="720" w:type="dxa"/>
            <w:tcBorders>
              <w:top w:val="single" w:sz="4" w:space="0" w:color="auto"/>
              <w:bottom w:val="single" w:sz="4" w:space="0" w:color="auto"/>
            </w:tcBorders>
          </w:tcPr>
          <w:p w14:paraId="6157C860" w14:textId="499CA206"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B23A0">
              <w:rPr>
                <w:rFonts w:ascii="Times New Roman" w:hAnsi="Times New Roman" w:cs="Times New Roman"/>
                <w:b/>
                <w:bCs/>
                <w:color w:val="000000"/>
                <w:kern w:val="0"/>
                <w:sz w:val="24"/>
                <w:szCs w:val="24"/>
              </w:rPr>
              <w:t>Rank</w:t>
            </w:r>
          </w:p>
        </w:tc>
        <w:tc>
          <w:tcPr>
            <w:tcW w:w="7380" w:type="dxa"/>
            <w:tcBorders>
              <w:top w:val="single" w:sz="4" w:space="0" w:color="auto"/>
              <w:bottom w:val="single" w:sz="4" w:space="0" w:color="auto"/>
            </w:tcBorders>
          </w:tcPr>
          <w:p w14:paraId="71E716BC" w14:textId="46A44B49"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B23A0">
              <w:rPr>
                <w:rFonts w:ascii="Times New Roman" w:hAnsi="Times New Roman" w:cs="Times New Roman"/>
                <w:b/>
                <w:bCs/>
                <w:sz w:val="24"/>
                <w:szCs w:val="24"/>
              </w:rPr>
              <w:t>Sources</w:t>
            </w:r>
          </w:p>
        </w:tc>
        <w:tc>
          <w:tcPr>
            <w:tcW w:w="1170" w:type="dxa"/>
            <w:tcBorders>
              <w:top w:val="single" w:sz="4" w:space="0" w:color="auto"/>
              <w:bottom w:val="single" w:sz="4" w:space="0" w:color="auto"/>
            </w:tcBorders>
          </w:tcPr>
          <w:p w14:paraId="4960191E" w14:textId="32C55856" w:rsidR="00BB23A0" w:rsidRPr="00BB23A0" w:rsidRDefault="00BB23A0" w:rsidP="006C1CB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B23A0">
              <w:rPr>
                <w:rFonts w:ascii="Times New Roman" w:hAnsi="Times New Roman" w:cs="Times New Roman"/>
                <w:b/>
                <w:bCs/>
                <w:sz w:val="24"/>
                <w:szCs w:val="24"/>
              </w:rPr>
              <w:t>Articles</w:t>
            </w:r>
          </w:p>
        </w:tc>
      </w:tr>
      <w:tr w:rsidR="00BB23A0" w:rsidRPr="00BB23A0" w14:paraId="4A79A3CB" w14:textId="77777777" w:rsidTr="00BB23A0">
        <w:trPr>
          <w:trHeight w:val="290"/>
          <w:jc w:val="right"/>
        </w:trPr>
        <w:tc>
          <w:tcPr>
            <w:tcW w:w="720" w:type="dxa"/>
            <w:tcBorders>
              <w:top w:val="single" w:sz="4" w:space="0" w:color="auto"/>
            </w:tcBorders>
          </w:tcPr>
          <w:p w14:paraId="77EFDF74" w14:textId="1900AF9A"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1</w:t>
            </w:r>
          </w:p>
        </w:tc>
        <w:tc>
          <w:tcPr>
            <w:tcW w:w="7380" w:type="dxa"/>
            <w:tcBorders>
              <w:top w:val="single" w:sz="4" w:space="0" w:color="auto"/>
            </w:tcBorders>
          </w:tcPr>
          <w:p w14:paraId="3769549D" w14:textId="79C1168F"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MITIGATION AND ADAPTATION STRATEGIES FOR GLOBAL CHANGE</w:t>
            </w:r>
          </w:p>
        </w:tc>
        <w:tc>
          <w:tcPr>
            <w:tcW w:w="1170" w:type="dxa"/>
            <w:tcBorders>
              <w:top w:val="single" w:sz="4" w:space="0" w:color="auto"/>
            </w:tcBorders>
          </w:tcPr>
          <w:p w14:paraId="5EDFCAF3" w14:textId="2378DDA4"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5</w:t>
            </w:r>
          </w:p>
        </w:tc>
      </w:tr>
      <w:tr w:rsidR="00BB23A0" w:rsidRPr="00BB23A0" w14:paraId="40D133E7" w14:textId="77777777" w:rsidTr="00BB23A0">
        <w:trPr>
          <w:trHeight w:val="290"/>
          <w:jc w:val="right"/>
        </w:trPr>
        <w:tc>
          <w:tcPr>
            <w:tcW w:w="720" w:type="dxa"/>
          </w:tcPr>
          <w:p w14:paraId="1AFC3A7A" w14:textId="4A5D5E3E"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2</w:t>
            </w:r>
          </w:p>
        </w:tc>
        <w:tc>
          <w:tcPr>
            <w:tcW w:w="7380" w:type="dxa"/>
          </w:tcPr>
          <w:p w14:paraId="378D8295" w14:textId="79E7271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CLIMATE RISK MANAGEMENT</w:t>
            </w:r>
          </w:p>
        </w:tc>
        <w:tc>
          <w:tcPr>
            <w:tcW w:w="1170" w:type="dxa"/>
          </w:tcPr>
          <w:p w14:paraId="4AD74DD1" w14:textId="61E15A82"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16BF5C64" w14:textId="77777777" w:rsidTr="00BB23A0">
        <w:trPr>
          <w:trHeight w:val="290"/>
          <w:jc w:val="right"/>
        </w:trPr>
        <w:tc>
          <w:tcPr>
            <w:tcW w:w="720" w:type="dxa"/>
          </w:tcPr>
          <w:p w14:paraId="3F13940B" w14:textId="7AF54C4F"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3</w:t>
            </w:r>
          </w:p>
        </w:tc>
        <w:tc>
          <w:tcPr>
            <w:tcW w:w="7380" w:type="dxa"/>
          </w:tcPr>
          <w:p w14:paraId="34C0EAC1" w14:textId="25855E0B"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FRONTIERS IN SUSTAINABLE FOOD SYSTEMS</w:t>
            </w:r>
          </w:p>
        </w:tc>
        <w:tc>
          <w:tcPr>
            <w:tcW w:w="1170" w:type="dxa"/>
          </w:tcPr>
          <w:p w14:paraId="67FAACAD" w14:textId="21235A0D"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56527E96" w14:textId="77777777" w:rsidTr="00BB23A0">
        <w:trPr>
          <w:trHeight w:val="290"/>
          <w:jc w:val="right"/>
        </w:trPr>
        <w:tc>
          <w:tcPr>
            <w:tcW w:w="720" w:type="dxa"/>
          </w:tcPr>
          <w:p w14:paraId="7DCB9074" w14:textId="2F7D601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4</w:t>
            </w:r>
          </w:p>
        </w:tc>
        <w:tc>
          <w:tcPr>
            <w:tcW w:w="7380" w:type="dxa"/>
          </w:tcPr>
          <w:p w14:paraId="46481F40" w14:textId="61AB7DC6"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LAND USE POLICY</w:t>
            </w:r>
          </w:p>
        </w:tc>
        <w:tc>
          <w:tcPr>
            <w:tcW w:w="1170" w:type="dxa"/>
          </w:tcPr>
          <w:p w14:paraId="57E3B98F" w14:textId="5945965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18ED006A" w14:textId="77777777" w:rsidTr="00BB23A0">
        <w:trPr>
          <w:trHeight w:val="290"/>
          <w:jc w:val="right"/>
        </w:trPr>
        <w:tc>
          <w:tcPr>
            <w:tcW w:w="720" w:type="dxa"/>
          </w:tcPr>
          <w:p w14:paraId="7435BE56" w14:textId="77DC5A0C"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5</w:t>
            </w:r>
          </w:p>
        </w:tc>
        <w:tc>
          <w:tcPr>
            <w:tcW w:w="7380" w:type="dxa"/>
          </w:tcPr>
          <w:p w14:paraId="35CF1FF4" w14:textId="37F24157"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SUSTAINABILITY (SWITZERLAND)</w:t>
            </w:r>
          </w:p>
        </w:tc>
        <w:tc>
          <w:tcPr>
            <w:tcW w:w="1170" w:type="dxa"/>
          </w:tcPr>
          <w:p w14:paraId="660996D9" w14:textId="0DDFEFD4"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4</w:t>
            </w:r>
          </w:p>
        </w:tc>
      </w:tr>
      <w:tr w:rsidR="00BB23A0" w:rsidRPr="00BB23A0" w14:paraId="76295BAD" w14:textId="77777777" w:rsidTr="00BB23A0">
        <w:trPr>
          <w:trHeight w:val="290"/>
          <w:jc w:val="right"/>
        </w:trPr>
        <w:tc>
          <w:tcPr>
            <w:tcW w:w="720" w:type="dxa"/>
          </w:tcPr>
          <w:p w14:paraId="769BC428" w14:textId="5B777CB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6</w:t>
            </w:r>
          </w:p>
        </w:tc>
        <w:tc>
          <w:tcPr>
            <w:tcW w:w="7380" w:type="dxa"/>
          </w:tcPr>
          <w:p w14:paraId="5735A677" w14:textId="1C5D1DF5"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AGRICULTURAL SYSTEMS</w:t>
            </w:r>
          </w:p>
        </w:tc>
        <w:tc>
          <w:tcPr>
            <w:tcW w:w="1170" w:type="dxa"/>
          </w:tcPr>
          <w:p w14:paraId="404019C4" w14:textId="7B7B4303"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3</w:t>
            </w:r>
          </w:p>
        </w:tc>
      </w:tr>
      <w:tr w:rsidR="00BB23A0" w:rsidRPr="00BB23A0" w14:paraId="19465EB9" w14:textId="77777777" w:rsidTr="00BB23A0">
        <w:trPr>
          <w:trHeight w:val="290"/>
          <w:jc w:val="right"/>
        </w:trPr>
        <w:tc>
          <w:tcPr>
            <w:tcW w:w="720" w:type="dxa"/>
          </w:tcPr>
          <w:p w14:paraId="200EB940" w14:textId="11F74F5F"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7</w:t>
            </w:r>
          </w:p>
        </w:tc>
        <w:tc>
          <w:tcPr>
            <w:tcW w:w="7380" w:type="dxa"/>
          </w:tcPr>
          <w:p w14:paraId="2BAEF622" w14:textId="5E291E21"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CLIMATE CHANGE MANAGEMENT</w:t>
            </w:r>
          </w:p>
        </w:tc>
        <w:tc>
          <w:tcPr>
            <w:tcW w:w="1170" w:type="dxa"/>
          </w:tcPr>
          <w:p w14:paraId="72253A9C" w14:textId="415BF65E"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3</w:t>
            </w:r>
          </w:p>
        </w:tc>
      </w:tr>
      <w:tr w:rsidR="00BB23A0" w:rsidRPr="00BB23A0" w14:paraId="72490736" w14:textId="77777777" w:rsidTr="00BB23A0">
        <w:trPr>
          <w:trHeight w:val="290"/>
          <w:jc w:val="right"/>
        </w:trPr>
        <w:tc>
          <w:tcPr>
            <w:tcW w:w="720" w:type="dxa"/>
          </w:tcPr>
          <w:p w14:paraId="525EF45F" w14:textId="57ACA469"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8</w:t>
            </w:r>
          </w:p>
        </w:tc>
        <w:tc>
          <w:tcPr>
            <w:tcW w:w="7380" w:type="dxa"/>
          </w:tcPr>
          <w:p w14:paraId="3BAC8FFC" w14:textId="32D799A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AFRICAN HANDBOOK OF CLIMATE CHANGE ADAPTATION: WITH 610 FIGURES AND 361 TABLES</w:t>
            </w:r>
          </w:p>
        </w:tc>
        <w:tc>
          <w:tcPr>
            <w:tcW w:w="1170" w:type="dxa"/>
          </w:tcPr>
          <w:p w14:paraId="661C99E6" w14:textId="2E263F46"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p>
        </w:tc>
      </w:tr>
      <w:tr w:rsidR="00BB23A0" w:rsidRPr="00BB23A0" w14:paraId="4B68DC76" w14:textId="77777777" w:rsidTr="00BB23A0">
        <w:trPr>
          <w:trHeight w:val="290"/>
          <w:jc w:val="right"/>
        </w:trPr>
        <w:tc>
          <w:tcPr>
            <w:tcW w:w="720" w:type="dxa"/>
          </w:tcPr>
          <w:p w14:paraId="4C7699E7" w14:textId="152C3321"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9</w:t>
            </w:r>
          </w:p>
        </w:tc>
        <w:tc>
          <w:tcPr>
            <w:tcW w:w="7380" w:type="dxa"/>
          </w:tcPr>
          <w:p w14:paraId="76A689B7" w14:textId="5ED60AFA"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AGRICULTURE AND FOOD SECURITY</w:t>
            </w:r>
          </w:p>
        </w:tc>
        <w:tc>
          <w:tcPr>
            <w:tcW w:w="1170" w:type="dxa"/>
          </w:tcPr>
          <w:p w14:paraId="6DFE2F48" w14:textId="66106B5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p>
        </w:tc>
      </w:tr>
      <w:tr w:rsidR="00BB23A0" w:rsidRPr="00BB23A0" w14:paraId="45B015DB" w14:textId="77777777" w:rsidTr="00BB23A0">
        <w:trPr>
          <w:trHeight w:val="290"/>
          <w:jc w:val="right"/>
        </w:trPr>
        <w:tc>
          <w:tcPr>
            <w:tcW w:w="720" w:type="dxa"/>
          </w:tcPr>
          <w:p w14:paraId="43F1D97F" w14:textId="5D130665"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color w:val="000000"/>
                <w:kern w:val="0"/>
                <w:sz w:val="24"/>
                <w:szCs w:val="24"/>
              </w:rPr>
              <w:t>10</w:t>
            </w:r>
          </w:p>
        </w:tc>
        <w:tc>
          <w:tcPr>
            <w:tcW w:w="7380" w:type="dxa"/>
          </w:tcPr>
          <w:p w14:paraId="10DE65B9" w14:textId="3EE116C8"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CLIMATE RESILIENCE AND SUSTAINABILITY</w:t>
            </w:r>
          </w:p>
        </w:tc>
        <w:tc>
          <w:tcPr>
            <w:tcW w:w="1170" w:type="dxa"/>
          </w:tcPr>
          <w:p w14:paraId="3EF12F4B" w14:textId="4AA74BC0" w:rsidR="00BB23A0" w:rsidRPr="00BB23A0" w:rsidRDefault="00BB23A0" w:rsidP="006C1CBB">
            <w:pPr>
              <w:autoSpaceDE w:val="0"/>
              <w:autoSpaceDN w:val="0"/>
              <w:adjustRightInd w:val="0"/>
              <w:spacing w:after="0" w:line="240" w:lineRule="auto"/>
              <w:jc w:val="center"/>
              <w:rPr>
                <w:rFonts w:ascii="Times New Roman" w:hAnsi="Times New Roman" w:cs="Times New Roman"/>
                <w:color w:val="000000"/>
                <w:kern w:val="0"/>
                <w:sz w:val="24"/>
                <w:szCs w:val="24"/>
              </w:rPr>
            </w:pPr>
            <w:r w:rsidRPr="00BB23A0">
              <w:rPr>
                <w:rFonts w:ascii="Times New Roman" w:hAnsi="Times New Roman" w:cs="Times New Roman"/>
                <w:sz w:val="24"/>
                <w:szCs w:val="24"/>
              </w:rPr>
              <w:t>2</w:t>
            </w:r>
          </w:p>
        </w:tc>
      </w:tr>
    </w:tbl>
    <w:p w14:paraId="3A6FB9F7" w14:textId="77777777" w:rsidR="002B477E" w:rsidRDefault="002B477E" w:rsidP="006C1CBB">
      <w:pPr>
        <w:spacing w:after="0" w:line="240" w:lineRule="auto"/>
        <w:jc w:val="both"/>
        <w:rPr>
          <w:rFonts w:ascii="Times New Roman" w:hAnsi="Times New Roman" w:cs="Times New Roman"/>
          <w:bCs/>
          <w:sz w:val="24"/>
          <w:szCs w:val="24"/>
        </w:rPr>
      </w:pPr>
    </w:p>
    <w:p w14:paraId="4D150A29" w14:textId="740FD64C" w:rsidR="000C713D" w:rsidRDefault="00CC33BF" w:rsidP="006C1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 xml:space="preserve">.4 </w:t>
      </w:r>
      <w:r w:rsidR="0053517E">
        <w:rPr>
          <w:rFonts w:ascii="Times New Roman" w:hAnsi="Times New Roman" w:cs="Times New Roman"/>
          <w:b/>
          <w:sz w:val="24"/>
          <w:szCs w:val="24"/>
        </w:rPr>
        <w:t xml:space="preserve">Top </w:t>
      </w:r>
      <w:r w:rsidR="00DC4703">
        <w:rPr>
          <w:rFonts w:ascii="Times New Roman" w:hAnsi="Times New Roman" w:cs="Times New Roman"/>
          <w:b/>
          <w:sz w:val="24"/>
          <w:szCs w:val="24"/>
        </w:rPr>
        <w:t>Relevant Affiliations</w:t>
      </w:r>
    </w:p>
    <w:p w14:paraId="61A4FBF2" w14:textId="3684E2B9" w:rsidR="00F563F4" w:rsidRDefault="00D37E17" w:rsidP="006C1CBB">
      <w:pPr>
        <w:spacing w:after="0" w:line="240" w:lineRule="auto"/>
        <w:jc w:val="both"/>
        <w:rPr>
          <w:rFonts w:ascii="Times New Roman" w:hAnsi="Times New Roman" w:cs="Times New Roman"/>
          <w:bCs/>
          <w:sz w:val="24"/>
          <w:szCs w:val="24"/>
        </w:rPr>
      </w:pPr>
      <w:r w:rsidRPr="00D37E17">
        <w:rPr>
          <w:rFonts w:ascii="Times New Roman" w:hAnsi="Times New Roman" w:cs="Times New Roman"/>
          <w:bCs/>
          <w:sz w:val="24"/>
          <w:szCs w:val="24"/>
        </w:rPr>
        <w:t xml:space="preserve">Table 3 presents the leading institutional affiliations that contribute to research on the adoption of Climate-Smart Agriculture (CSA) innovations for drought adaptation. The data highlight the prominent role of academic and research institutions worldwide in advancing this field. Topping the list is Kwame Nkrumah University of Science and Technology, which has published 14 articles, indicating its significant engagement in CSA research. Close behind are two institutes associated with the Indian Council of Agricultural Research (ICAR) — the Central Research Institute for Dryland Agriculture (CRIDA), which appears twice with 13 and 11 articles, respectively, underscoring their vital contributions to dryland agriculture and climate resilience. The International Center for Tropical Agriculture (CIAT) also features prominently, with 11 articles credited to one listing and 8 to another, reflecting its global leadership in tropical agricultural </w:t>
      </w:r>
      <w:r w:rsidRPr="00D37E17">
        <w:rPr>
          <w:rFonts w:ascii="Times New Roman" w:hAnsi="Times New Roman" w:cs="Times New Roman"/>
          <w:bCs/>
          <w:sz w:val="24"/>
          <w:szCs w:val="24"/>
        </w:rPr>
        <w:lastRenderedPageBreak/>
        <w:t>research. The University of KwaZulu-Natal follows with 10 publications, demonstrating strong regional involvement in CSA studies. Other key contributors include Ariana, with nine articles, Baba Ghulam Shah Badshah University, and the CSIR-Crops Research Institute, each with eight articles, and the International Crops Research Institute for the Semi-Arid Tropics (ICRISAT), with seven articles. This distribution highlights the collaborative and international nature of research efforts aimed at promoting the adoption of CSA innovations to mitigate the impacts of drought</w:t>
      </w:r>
      <w:r w:rsidR="00F563F4" w:rsidRPr="00F563F4">
        <w:rPr>
          <w:rFonts w:ascii="Times New Roman" w:hAnsi="Times New Roman" w:cs="Times New Roman"/>
          <w:bCs/>
          <w:sz w:val="24"/>
          <w:szCs w:val="24"/>
        </w:rPr>
        <w:t>.</w:t>
      </w:r>
    </w:p>
    <w:p w14:paraId="35047B1A" w14:textId="77777777" w:rsidR="00F563F4" w:rsidRPr="00F563F4" w:rsidRDefault="00F563F4" w:rsidP="006C1CBB">
      <w:pPr>
        <w:spacing w:after="0" w:line="240" w:lineRule="auto"/>
        <w:jc w:val="both"/>
        <w:rPr>
          <w:rFonts w:ascii="Times New Roman" w:hAnsi="Times New Roman" w:cs="Times New Roman"/>
          <w:bCs/>
          <w:sz w:val="24"/>
          <w:szCs w:val="24"/>
        </w:rPr>
      </w:pPr>
    </w:p>
    <w:p w14:paraId="6D58ACEB" w14:textId="68D478F6" w:rsidR="00DC4703" w:rsidRDefault="00DC4703" w:rsidP="006C1CBB">
      <w:pPr>
        <w:spacing w:after="0" w:line="240" w:lineRule="auto"/>
        <w:jc w:val="center"/>
        <w:rPr>
          <w:rFonts w:ascii="Times New Roman" w:hAnsi="Times New Roman" w:cs="Times New Roman"/>
          <w:bCs/>
          <w:sz w:val="24"/>
          <w:szCs w:val="24"/>
        </w:rPr>
      </w:pPr>
      <w:r w:rsidRPr="00DC4703">
        <w:rPr>
          <w:rFonts w:ascii="Times New Roman" w:hAnsi="Times New Roman" w:cs="Times New Roman"/>
          <w:b/>
          <w:sz w:val="24"/>
          <w:szCs w:val="24"/>
        </w:rPr>
        <w:t>Table 3.</w:t>
      </w:r>
      <w:r>
        <w:rPr>
          <w:rFonts w:ascii="Times New Roman" w:hAnsi="Times New Roman" w:cs="Times New Roman"/>
          <w:bCs/>
          <w:sz w:val="24"/>
          <w:szCs w:val="24"/>
        </w:rPr>
        <w:t xml:space="preserve"> Most Relevant Affiliations</w:t>
      </w:r>
    </w:p>
    <w:tbl>
      <w:tblPr>
        <w:tblW w:w="10710" w:type="dxa"/>
        <w:jc w:val="center"/>
        <w:tblLayout w:type="fixed"/>
        <w:tblLook w:val="0000" w:firstRow="0" w:lastRow="0" w:firstColumn="0" w:lastColumn="0" w:noHBand="0" w:noVBand="0"/>
      </w:tblPr>
      <w:tblGrid>
        <w:gridCol w:w="990"/>
        <w:gridCol w:w="8640"/>
        <w:gridCol w:w="1080"/>
      </w:tblGrid>
      <w:tr w:rsidR="00A632D3" w:rsidRPr="00A632D3" w14:paraId="0B2D7272" w14:textId="77777777" w:rsidTr="001E14FD">
        <w:trPr>
          <w:trHeight w:val="290"/>
          <w:jc w:val="center"/>
        </w:trPr>
        <w:tc>
          <w:tcPr>
            <w:tcW w:w="990" w:type="dxa"/>
            <w:tcBorders>
              <w:top w:val="single" w:sz="4" w:space="0" w:color="auto"/>
              <w:left w:val="nil"/>
              <w:bottom w:val="single" w:sz="4" w:space="0" w:color="auto"/>
              <w:right w:val="nil"/>
            </w:tcBorders>
          </w:tcPr>
          <w:p w14:paraId="02327AC1" w14:textId="25BCA643" w:rsidR="00A632D3" w:rsidRPr="00A632D3" w:rsidRDefault="00A632D3" w:rsidP="006C1CBB">
            <w:pPr>
              <w:spacing w:after="0" w:line="240" w:lineRule="auto"/>
              <w:jc w:val="center"/>
              <w:rPr>
                <w:rFonts w:ascii="Times New Roman" w:hAnsi="Times New Roman" w:cs="Times New Roman"/>
                <w:b/>
                <w:bCs/>
                <w:sz w:val="24"/>
                <w:szCs w:val="24"/>
              </w:rPr>
            </w:pPr>
            <w:r w:rsidRPr="00A632D3">
              <w:rPr>
                <w:rFonts w:ascii="Times New Roman" w:hAnsi="Times New Roman" w:cs="Times New Roman"/>
                <w:b/>
                <w:bCs/>
                <w:sz w:val="24"/>
                <w:szCs w:val="24"/>
              </w:rPr>
              <w:t>Rank</w:t>
            </w:r>
          </w:p>
        </w:tc>
        <w:tc>
          <w:tcPr>
            <w:tcW w:w="8640" w:type="dxa"/>
            <w:tcBorders>
              <w:top w:val="single" w:sz="4" w:space="0" w:color="auto"/>
              <w:left w:val="nil"/>
              <w:bottom w:val="single" w:sz="4" w:space="0" w:color="auto"/>
              <w:right w:val="nil"/>
            </w:tcBorders>
          </w:tcPr>
          <w:p w14:paraId="6D8A7BA4" w14:textId="569A9E20" w:rsidR="00A632D3" w:rsidRPr="00A632D3" w:rsidRDefault="00A632D3" w:rsidP="006C1CBB">
            <w:pPr>
              <w:spacing w:after="0" w:line="240" w:lineRule="auto"/>
              <w:jc w:val="center"/>
              <w:rPr>
                <w:rFonts w:ascii="Times New Roman" w:hAnsi="Times New Roman" w:cs="Times New Roman"/>
                <w:b/>
                <w:bCs/>
                <w:sz w:val="24"/>
                <w:szCs w:val="24"/>
              </w:rPr>
            </w:pPr>
            <w:r w:rsidRPr="00A632D3">
              <w:rPr>
                <w:rFonts w:ascii="Times New Roman" w:hAnsi="Times New Roman" w:cs="Times New Roman"/>
                <w:sz w:val="24"/>
                <w:szCs w:val="24"/>
              </w:rPr>
              <w:t>Affiliation</w:t>
            </w:r>
          </w:p>
        </w:tc>
        <w:tc>
          <w:tcPr>
            <w:tcW w:w="1080" w:type="dxa"/>
            <w:tcBorders>
              <w:top w:val="single" w:sz="4" w:space="0" w:color="auto"/>
              <w:left w:val="nil"/>
              <w:bottom w:val="single" w:sz="4" w:space="0" w:color="auto"/>
              <w:right w:val="nil"/>
            </w:tcBorders>
          </w:tcPr>
          <w:p w14:paraId="74B6281A" w14:textId="19A9A808" w:rsidR="00A632D3" w:rsidRPr="00A632D3" w:rsidRDefault="00A632D3" w:rsidP="006C1CBB">
            <w:pPr>
              <w:spacing w:after="0" w:line="240" w:lineRule="auto"/>
              <w:jc w:val="center"/>
              <w:rPr>
                <w:rFonts w:ascii="Times New Roman" w:hAnsi="Times New Roman" w:cs="Times New Roman"/>
                <w:b/>
                <w:bCs/>
                <w:sz w:val="24"/>
                <w:szCs w:val="24"/>
              </w:rPr>
            </w:pPr>
            <w:r w:rsidRPr="00A632D3">
              <w:rPr>
                <w:rFonts w:ascii="Times New Roman" w:hAnsi="Times New Roman" w:cs="Times New Roman"/>
                <w:sz w:val="24"/>
                <w:szCs w:val="24"/>
              </w:rPr>
              <w:t>Articles</w:t>
            </w:r>
          </w:p>
        </w:tc>
      </w:tr>
      <w:tr w:rsidR="00A632D3" w:rsidRPr="00A632D3" w14:paraId="74E686B5" w14:textId="77777777" w:rsidTr="001E14FD">
        <w:trPr>
          <w:trHeight w:val="290"/>
          <w:jc w:val="center"/>
        </w:trPr>
        <w:tc>
          <w:tcPr>
            <w:tcW w:w="990" w:type="dxa"/>
            <w:tcBorders>
              <w:top w:val="single" w:sz="4" w:space="0" w:color="auto"/>
              <w:left w:val="nil"/>
              <w:bottom w:val="nil"/>
              <w:right w:val="nil"/>
            </w:tcBorders>
          </w:tcPr>
          <w:p w14:paraId="2939EEEC" w14:textId="51430FB6"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1</w:t>
            </w:r>
          </w:p>
        </w:tc>
        <w:tc>
          <w:tcPr>
            <w:tcW w:w="8640" w:type="dxa"/>
            <w:tcBorders>
              <w:top w:val="single" w:sz="4" w:space="0" w:color="auto"/>
              <w:left w:val="nil"/>
              <w:bottom w:val="nil"/>
              <w:right w:val="nil"/>
            </w:tcBorders>
          </w:tcPr>
          <w:p w14:paraId="698C42C6" w14:textId="3F88CBC4"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KWAME NKRUMAH UNIVERSITY OF SCIENCE AND TECHNOLOGY</w:t>
            </w:r>
          </w:p>
        </w:tc>
        <w:tc>
          <w:tcPr>
            <w:tcW w:w="1080" w:type="dxa"/>
            <w:tcBorders>
              <w:top w:val="single" w:sz="4" w:space="0" w:color="auto"/>
              <w:left w:val="nil"/>
              <w:bottom w:val="nil"/>
              <w:right w:val="nil"/>
            </w:tcBorders>
          </w:tcPr>
          <w:p w14:paraId="44EA8B15" w14:textId="0FD7559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14</w:t>
            </w:r>
          </w:p>
        </w:tc>
      </w:tr>
      <w:tr w:rsidR="00A632D3" w:rsidRPr="00A632D3" w14:paraId="792DEA3F" w14:textId="77777777" w:rsidTr="001E14FD">
        <w:trPr>
          <w:trHeight w:val="290"/>
          <w:jc w:val="center"/>
        </w:trPr>
        <w:tc>
          <w:tcPr>
            <w:tcW w:w="990" w:type="dxa"/>
            <w:tcBorders>
              <w:top w:val="nil"/>
              <w:left w:val="nil"/>
              <w:bottom w:val="nil"/>
              <w:right w:val="nil"/>
            </w:tcBorders>
          </w:tcPr>
          <w:p w14:paraId="55651BB7" w14:textId="14BE9BE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2</w:t>
            </w:r>
          </w:p>
        </w:tc>
        <w:tc>
          <w:tcPr>
            <w:tcW w:w="8640" w:type="dxa"/>
            <w:tcBorders>
              <w:top w:val="nil"/>
              <w:left w:val="nil"/>
              <w:bottom w:val="nil"/>
              <w:right w:val="nil"/>
            </w:tcBorders>
          </w:tcPr>
          <w:p w14:paraId="4ACAC50A" w14:textId="64A7C046"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INDIAN COUNCIL OF AGRICULTURAL RESEARCH (ICAR) - CENTRAL RESEARCH INSTITUTE FOR DRYLAND AGRICULTURE (CRIDA)</w:t>
            </w:r>
          </w:p>
        </w:tc>
        <w:tc>
          <w:tcPr>
            <w:tcW w:w="1080" w:type="dxa"/>
            <w:tcBorders>
              <w:top w:val="nil"/>
              <w:left w:val="nil"/>
              <w:bottom w:val="nil"/>
              <w:right w:val="nil"/>
            </w:tcBorders>
          </w:tcPr>
          <w:p w14:paraId="5FF5F110" w14:textId="0C5E67C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13</w:t>
            </w:r>
          </w:p>
        </w:tc>
      </w:tr>
      <w:tr w:rsidR="00A632D3" w:rsidRPr="00A632D3" w14:paraId="145C52E7" w14:textId="77777777" w:rsidTr="001E14FD">
        <w:trPr>
          <w:trHeight w:val="290"/>
          <w:jc w:val="center"/>
        </w:trPr>
        <w:tc>
          <w:tcPr>
            <w:tcW w:w="990" w:type="dxa"/>
            <w:tcBorders>
              <w:top w:val="nil"/>
              <w:left w:val="nil"/>
              <w:bottom w:val="nil"/>
              <w:right w:val="nil"/>
            </w:tcBorders>
          </w:tcPr>
          <w:p w14:paraId="4CC2962E" w14:textId="6F6EA34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3</w:t>
            </w:r>
          </w:p>
        </w:tc>
        <w:tc>
          <w:tcPr>
            <w:tcW w:w="8640" w:type="dxa"/>
            <w:tcBorders>
              <w:top w:val="nil"/>
              <w:left w:val="nil"/>
              <w:bottom w:val="nil"/>
              <w:right w:val="nil"/>
            </w:tcBorders>
          </w:tcPr>
          <w:p w14:paraId="71806141" w14:textId="374643B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ICAR- CENTRAL RESEARCH INSTITUTE FOR DRYLAND AGRICULTURE (CRIDA)</w:t>
            </w:r>
          </w:p>
        </w:tc>
        <w:tc>
          <w:tcPr>
            <w:tcW w:w="1080" w:type="dxa"/>
            <w:tcBorders>
              <w:top w:val="nil"/>
              <w:left w:val="nil"/>
              <w:bottom w:val="nil"/>
              <w:right w:val="nil"/>
            </w:tcBorders>
          </w:tcPr>
          <w:p w14:paraId="651FE9E1" w14:textId="629E9FAC"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11</w:t>
            </w:r>
          </w:p>
        </w:tc>
      </w:tr>
      <w:tr w:rsidR="00A632D3" w:rsidRPr="00A632D3" w14:paraId="11485924" w14:textId="77777777" w:rsidTr="001E14FD">
        <w:trPr>
          <w:trHeight w:val="290"/>
          <w:jc w:val="center"/>
        </w:trPr>
        <w:tc>
          <w:tcPr>
            <w:tcW w:w="990" w:type="dxa"/>
            <w:tcBorders>
              <w:top w:val="nil"/>
              <w:left w:val="nil"/>
              <w:bottom w:val="nil"/>
              <w:right w:val="nil"/>
            </w:tcBorders>
          </w:tcPr>
          <w:p w14:paraId="38217239" w14:textId="027B093B"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4</w:t>
            </w:r>
          </w:p>
        </w:tc>
        <w:tc>
          <w:tcPr>
            <w:tcW w:w="8640" w:type="dxa"/>
            <w:tcBorders>
              <w:top w:val="nil"/>
              <w:left w:val="nil"/>
              <w:bottom w:val="nil"/>
              <w:right w:val="nil"/>
            </w:tcBorders>
          </w:tcPr>
          <w:p w14:paraId="34E52C8E" w14:textId="63024874"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INTERNATIONAL CENTER FOR TROPICAL AGRICULTURE (CIAT)</w:t>
            </w:r>
          </w:p>
        </w:tc>
        <w:tc>
          <w:tcPr>
            <w:tcW w:w="1080" w:type="dxa"/>
            <w:tcBorders>
              <w:top w:val="nil"/>
              <w:left w:val="nil"/>
              <w:bottom w:val="nil"/>
              <w:right w:val="nil"/>
            </w:tcBorders>
          </w:tcPr>
          <w:p w14:paraId="56EB05BF" w14:textId="1A8E300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11</w:t>
            </w:r>
          </w:p>
        </w:tc>
      </w:tr>
      <w:tr w:rsidR="00A632D3" w:rsidRPr="00A632D3" w14:paraId="1CB45716" w14:textId="77777777" w:rsidTr="001E14FD">
        <w:trPr>
          <w:trHeight w:val="290"/>
          <w:jc w:val="center"/>
        </w:trPr>
        <w:tc>
          <w:tcPr>
            <w:tcW w:w="990" w:type="dxa"/>
            <w:tcBorders>
              <w:top w:val="nil"/>
              <w:left w:val="nil"/>
              <w:bottom w:val="nil"/>
              <w:right w:val="nil"/>
            </w:tcBorders>
          </w:tcPr>
          <w:p w14:paraId="6D124639" w14:textId="451DCA84"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5</w:t>
            </w:r>
          </w:p>
        </w:tc>
        <w:tc>
          <w:tcPr>
            <w:tcW w:w="8640" w:type="dxa"/>
            <w:tcBorders>
              <w:top w:val="nil"/>
              <w:left w:val="nil"/>
              <w:bottom w:val="nil"/>
              <w:right w:val="nil"/>
            </w:tcBorders>
          </w:tcPr>
          <w:p w14:paraId="1F906B02" w14:textId="4C589BDA"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UNIVERSITY OF KWAZULU-NATAL</w:t>
            </w:r>
          </w:p>
        </w:tc>
        <w:tc>
          <w:tcPr>
            <w:tcW w:w="1080" w:type="dxa"/>
            <w:tcBorders>
              <w:top w:val="nil"/>
              <w:left w:val="nil"/>
              <w:bottom w:val="nil"/>
              <w:right w:val="nil"/>
            </w:tcBorders>
          </w:tcPr>
          <w:p w14:paraId="0265F6A9" w14:textId="3FE59175"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10</w:t>
            </w:r>
          </w:p>
        </w:tc>
      </w:tr>
      <w:tr w:rsidR="00A632D3" w:rsidRPr="00A632D3" w14:paraId="10E73EF2" w14:textId="77777777" w:rsidTr="001E14FD">
        <w:trPr>
          <w:trHeight w:val="290"/>
          <w:jc w:val="center"/>
        </w:trPr>
        <w:tc>
          <w:tcPr>
            <w:tcW w:w="990" w:type="dxa"/>
            <w:tcBorders>
              <w:top w:val="nil"/>
              <w:left w:val="nil"/>
              <w:bottom w:val="nil"/>
              <w:right w:val="nil"/>
            </w:tcBorders>
          </w:tcPr>
          <w:p w14:paraId="7D74EC2F" w14:textId="22EEF8A2"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6</w:t>
            </w:r>
          </w:p>
        </w:tc>
        <w:tc>
          <w:tcPr>
            <w:tcW w:w="8640" w:type="dxa"/>
            <w:tcBorders>
              <w:top w:val="nil"/>
              <w:left w:val="nil"/>
              <w:bottom w:val="nil"/>
              <w:right w:val="nil"/>
            </w:tcBorders>
          </w:tcPr>
          <w:p w14:paraId="4D7DA87B" w14:textId="4B1B95B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ARIANA</w:t>
            </w:r>
          </w:p>
        </w:tc>
        <w:tc>
          <w:tcPr>
            <w:tcW w:w="1080" w:type="dxa"/>
            <w:tcBorders>
              <w:top w:val="nil"/>
              <w:left w:val="nil"/>
              <w:bottom w:val="nil"/>
              <w:right w:val="nil"/>
            </w:tcBorders>
          </w:tcPr>
          <w:p w14:paraId="68B55E15" w14:textId="2494146A"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9</w:t>
            </w:r>
          </w:p>
        </w:tc>
      </w:tr>
      <w:tr w:rsidR="00A632D3" w:rsidRPr="00A632D3" w14:paraId="23393BE3" w14:textId="77777777" w:rsidTr="001E14FD">
        <w:trPr>
          <w:trHeight w:val="290"/>
          <w:jc w:val="center"/>
        </w:trPr>
        <w:tc>
          <w:tcPr>
            <w:tcW w:w="990" w:type="dxa"/>
            <w:tcBorders>
              <w:top w:val="nil"/>
              <w:left w:val="nil"/>
              <w:bottom w:val="nil"/>
              <w:right w:val="nil"/>
            </w:tcBorders>
          </w:tcPr>
          <w:p w14:paraId="51AEC4AD" w14:textId="44C51EB1"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7</w:t>
            </w:r>
          </w:p>
        </w:tc>
        <w:tc>
          <w:tcPr>
            <w:tcW w:w="8640" w:type="dxa"/>
            <w:tcBorders>
              <w:top w:val="nil"/>
              <w:left w:val="nil"/>
              <w:bottom w:val="nil"/>
              <w:right w:val="nil"/>
            </w:tcBorders>
          </w:tcPr>
          <w:p w14:paraId="1266924C" w14:textId="2A7DE16D"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BABA GHULAM SHAH BADSHAH UNIVERSITY</w:t>
            </w:r>
          </w:p>
        </w:tc>
        <w:tc>
          <w:tcPr>
            <w:tcW w:w="1080" w:type="dxa"/>
            <w:tcBorders>
              <w:top w:val="nil"/>
              <w:left w:val="nil"/>
              <w:bottom w:val="nil"/>
              <w:right w:val="nil"/>
            </w:tcBorders>
          </w:tcPr>
          <w:p w14:paraId="040732EC" w14:textId="72D2AB4F"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2FBE657B" w14:textId="77777777" w:rsidTr="001E14FD">
        <w:trPr>
          <w:trHeight w:val="290"/>
          <w:jc w:val="center"/>
        </w:trPr>
        <w:tc>
          <w:tcPr>
            <w:tcW w:w="990" w:type="dxa"/>
            <w:tcBorders>
              <w:top w:val="nil"/>
              <w:left w:val="nil"/>
              <w:bottom w:val="nil"/>
              <w:right w:val="nil"/>
            </w:tcBorders>
          </w:tcPr>
          <w:p w14:paraId="220AFB64" w14:textId="59373CD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8</w:t>
            </w:r>
          </w:p>
        </w:tc>
        <w:tc>
          <w:tcPr>
            <w:tcW w:w="8640" w:type="dxa"/>
            <w:tcBorders>
              <w:top w:val="nil"/>
              <w:left w:val="nil"/>
              <w:bottom w:val="nil"/>
              <w:right w:val="nil"/>
            </w:tcBorders>
          </w:tcPr>
          <w:p w14:paraId="65BB3720" w14:textId="641F9903"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CSIR-CROPS RESEARCH INSTITUTE</w:t>
            </w:r>
          </w:p>
        </w:tc>
        <w:tc>
          <w:tcPr>
            <w:tcW w:w="1080" w:type="dxa"/>
            <w:tcBorders>
              <w:top w:val="nil"/>
              <w:left w:val="nil"/>
              <w:bottom w:val="nil"/>
              <w:right w:val="nil"/>
            </w:tcBorders>
          </w:tcPr>
          <w:p w14:paraId="5A3EA149" w14:textId="04022BBE"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3B4E71E9" w14:textId="77777777" w:rsidTr="001E14FD">
        <w:trPr>
          <w:trHeight w:val="290"/>
          <w:jc w:val="center"/>
        </w:trPr>
        <w:tc>
          <w:tcPr>
            <w:tcW w:w="990" w:type="dxa"/>
            <w:tcBorders>
              <w:top w:val="nil"/>
              <w:left w:val="nil"/>
              <w:bottom w:val="nil"/>
              <w:right w:val="nil"/>
            </w:tcBorders>
          </w:tcPr>
          <w:p w14:paraId="2E781019" w14:textId="372634CA"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9</w:t>
            </w:r>
          </w:p>
        </w:tc>
        <w:tc>
          <w:tcPr>
            <w:tcW w:w="8640" w:type="dxa"/>
            <w:tcBorders>
              <w:top w:val="nil"/>
              <w:left w:val="nil"/>
              <w:bottom w:val="nil"/>
              <w:right w:val="nil"/>
            </w:tcBorders>
          </w:tcPr>
          <w:p w14:paraId="3647F21B" w14:textId="6BB08C6B"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INTERNATIONAL CENTRE FOR TROPICAL AGRICULTURE (CIAT)</w:t>
            </w:r>
          </w:p>
        </w:tc>
        <w:tc>
          <w:tcPr>
            <w:tcW w:w="1080" w:type="dxa"/>
            <w:tcBorders>
              <w:top w:val="nil"/>
              <w:left w:val="nil"/>
              <w:bottom w:val="nil"/>
              <w:right w:val="nil"/>
            </w:tcBorders>
          </w:tcPr>
          <w:p w14:paraId="011FC829" w14:textId="198AA2A7"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8</w:t>
            </w:r>
          </w:p>
        </w:tc>
      </w:tr>
      <w:tr w:rsidR="00A632D3" w:rsidRPr="00A632D3" w14:paraId="1A7C4A8A" w14:textId="77777777" w:rsidTr="001E14FD">
        <w:trPr>
          <w:trHeight w:val="290"/>
          <w:jc w:val="center"/>
        </w:trPr>
        <w:tc>
          <w:tcPr>
            <w:tcW w:w="990" w:type="dxa"/>
            <w:tcBorders>
              <w:top w:val="nil"/>
              <w:left w:val="nil"/>
              <w:bottom w:val="single" w:sz="4" w:space="0" w:color="auto"/>
              <w:right w:val="nil"/>
            </w:tcBorders>
          </w:tcPr>
          <w:p w14:paraId="775791D8" w14:textId="29C2E129"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bCs/>
                <w:sz w:val="24"/>
                <w:szCs w:val="24"/>
              </w:rPr>
              <w:t>10</w:t>
            </w:r>
          </w:p>
        </w:tc>
        <w:tc>
          <w:tcPr>
            <w:tcW w:w="8640" w:type="dxa"/>
            <w:tcBorders>
              <w:top w:val="nil"/>
              <w:left w:val="nil"/>
              <w:bottom w:val="single" w:sz="4" w:space="0" w:color="auto"/>
              <w:right w:val="nil"/>
            </w:tcBorders>
          </w:tcPr>
          <w:p w14:paraId="4B74C725" w14:textId="5AC9F397"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INTERNATIONAL CROPS RESEARCH INSTITUTE FOR THE SEMI-ARID TROPICS (ICRISAT)</w:t>
            </w:r>
          </w:p>
        </w:tc>
        <w:tc>
          <w:tcPr>
            <w:tcW w:w="1080" w:type="dxa"/>
            <w:tcBorders>
              <w:top w:val="nil"/>
              <w:left w:val="nil"/>
              <w:bottom w:val="single" w:sz="4" w:space="0" w:color="auto"/>
              <w:right w:val="nil"/>
            </w:tcBorders>
          </w:tcPr>
          <w:p w14:paraId="5A08B107" w14:textId="6A260F70" w:rsidR="00A632D3" w:rsidRPr="00A632D3" w:rsidRDefault="00A632D3" w:rsidP="006C1CBB">
            <w:pPr>
              <w:spacing w:after="0" w:line="240" w:lineRule="auto"/>
              <w:jc w:val="center"/>
              <w:rPr>
                <w:rFonts w:ascii="Times New Roman" w:hAnsi="Times New Roman" w:cs="Times New Roman"/>
                <w:bCs/>
                <w:sz w:val="24"/>
                <w:szCs w:val="24"/>
              </w:rPr>
            </w:pPr>
            <w:r w:rsidRPr="00A632D3">
              <w:rPr>
                <w:rFonts w:ascii="Times New Roman" w:hAnsi="Times New Roman" w:cs="Times New Roman"/>
                <w:sz w:val="24"/>
                <w:szCs w:val="24"/>
              </w:rPr>
              <w:t>7</w:t>
            </w:r>
          </w:p>
        </w:tc>
      </w:tr>
    </w:tbl>
    <w:p w14:paraId="15FCCC0B" w14:textId="71AE5E2D" w:rsidR="00DC4703" w:rsidRDefault="00F563F4" w:rsidP="006C1CBB">
      <w:pPr>
        <w:spacing w:after="0" w:line="240" w:lineRule="auto"/>
        <w:jc w:val="both"/>
        <w:rPr>
          <w:rFonts w:ascii="Times New Roman" w:hAnsi="Times New Roman" w:cs="Times New Roman"/>
          <w:bCs/>
          <w:sz w:val="24"/>
          <w:szCs w:val="24"/>
        </w:rPr>
      </w:pPr>
      <w:r w:rsidRPr="00F563F4">
        <w:rPr>
          <w:rFonts w:ascii="Times New Roman" w:hAnsi="Times New Roman" w:cs="Times New Roman"/>
          <w:bCs/>
          <w:sz w:val="24"/>
          <w:szCs w:val="24"/>
        </w:rPr>
        <w:t>In addition, Centurion University of Technology and Management (12 articles) and the University of California (12 articles) indicate that both emerging and global institutions are active in the push for CSA research agendas. ICAR-CRIDA is mentioned twice with different names (13 and 11 articles), which points to the potential need for standardization of affiliation.</w:t>
      </w:r>
      <w:r>
        <w:rPr>
          <w:rFonts w:ascii="Times New Roman" w:hAnsi="Times New Roman" w:cs="Times New Roman"/>
          <w:bCs/>
          <w:sz w:val="24"/>
          <w:szCs w:val="24"/>
        </w:rPr>
        <w:t xml:space="preserve"> </w:t>
      </w:r>
      <w:r w:rsidRPr="00F563F4">
        <w:rPr>
          <w:rFonts w:ascii="Times New Roman" w:hAnsi="Times New Roman" w:cs="Times New Roman"/>
          <w:bCs/>
          <w:sz w:val="24"/>
          <w:szCs w:val="24"/>
        </w:rPr>
        <w:t xml:space="preserve">Taken together, all data show a geographically spread, thematically coherent structure of institutions, with </w:t>
      </w:r>
      <w:r>
        <w:rPr>
          <w:rFonts w:ascii="Times New Roman" w:hAnsi="Times New Roman" w:cs="Times New Roman"/>
          <w:bCs/>
          <w:sz w:val="24"/>
          <w:szCs w:val="24"/>
        </w:rPr>
        <w:t xml:space="preserve">the </w:t>
      </w:r>
      <w:r w:rsidRPr="00F563F4">
        <w:rPr>
          <w:rFonts w:ascii="Times New Roman" w:hAnsi="Times New Roman" w:cs="Times New Roman"/>
          <w:bCs/>
          <w:sz w:val="24"/>
          <w:szCs w:val="24"/>
        </w:rPr>
        <w:t>heavy influence of South Asia and Sub-Saharan Africa regions that are highly susceptible to drought. These agencies are key in directing research, conducting field-based research, and shaping policy discussions around CSA innovation adoption. Their visibility demonstrates the significance of regional academic leadership and international collaboration in responding to climate resilience through science-based agriculture innovation.</w:t>
      </w:r>
    </w:p>
    <w:p w14:paraId="007F4579" w14:textId="77777777" w:rsidR="00210079" w:rsidRDefault="00210079" w:rsidP="006C1CBB">
      <w:pPr>
        <w:spacing w:after="0" w:line="240" w:lineRule="auto"/>
        <w:rPr>
          <w:rFonts w:ascii="Times New Roman" w:hAnsi="Times New Roman" w:cs="Times New Roman"/>
          <w:b/>
          <w:sz w:val="24"/>
          <w:szCs w:val="24"/>
        </w:rPr>
      </w:pPr>
    </w:p>
    <w:p w14:paraId="7352E93D" w14:textId="3B95CB19"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w:t>
      </w:r>
      <w:r w:rsidR="001E14FD">
        <w:rPr>
          <w:rFonts w:ascii="Times New Roman" w:hAnsi="Times New Roman" w:cs="Times New Roman"/>
          <w:b/>
          <w:sz w:val="24"/>
          <w:szCs w:val="24"/>
        </w:rPr>
        <w:t>5</w:t>
      </w:r>
      <w:r w:rsidR="000C713D" w:rsidRPr="00093347">
        <w:rPr>
          <w:rFonts w:ascii="Times New Roman" w:hAnsi="Times New Roman" w:cs="Times New Roman"/>
          <w:b/>
          <w:sz w:val="24"/>
          <w:szCs w:val="24"/>
        </w:rPr>
        <w:t xml:space="preserve"> Corresponding Author’s Countries</w:t>
      </w:r>
    </w:p>
    <w:p w14:paraId="00922E2E" w14:textId="77777777" w:rsidR="00290951" w:rsidRDefault="00D9193E" w:rsidP="006C1CBB">
      <w:pPr>
        <w:spacing w:after="0" w:line="240" w:lineRule="auto"/>
        <w:jc w:val="both"/>
        <w:rPr>
          <w:rFonts w:ascii="Times New Roman" w:hAnsi="Times New Roman" w:cs="Times New Roman"/>
          <w:bCs/>
          <w:sz w:val="24"/>
          <w:szCs w:val="24"/>
        </w:rPr>
      </w:pPr>
      <w:r w:rsidRPr="00D9193E">
        <w:rPr>
          <w:rFonts w:ascii="Times New Roman" w:hAnsi="Times New Roman" w:cs="Times New Roman"/>
          <w:bCs/>
          <w:sz w:val="24"/>
          <w:szCs w:val="24"/>
        </w:rPr>
        <w:t xml:space="preserve">Table 4 outlines the contributions from various nations in research on the adoption of Climate-Smart Agriculture (CSA) innovations for drought adaptation, highlighting the number of published articles and the distribution of Single Country Publications (SCPs) and Multiple Country Publications (MCPs).  India has the first position with 19 publications, including 13 SCPs and 6 MCPs, accounting for a 31.6% share of worldwide partnerships.  Ethiopia and Nigeria, although possessing a lower number of publications (8 and 6, respectively), demonstrate significant cooperation, with MCP percentages of 62.5% and 66.7%.  Kenya has a similar pattern, with 50% of its six articles being collaborative. </w:t>
      </w:r>
    </w:p>
    <w:p w14:paraId="6A56B3DD" w14:textId="0D4DE68C" w:rsidR="00E34B60" w:rsidRDefault="00D9193E" w:rsidP="006C1CBB">
      <w:pPr>
        <w:spacing w:after="0" w:line="240" w:lineRule="auto"/>
        <w:jc w:val="both"/>
        <w:rPr>
          <w:rFonts w:ascii="Times New Roman" w:hAnsi="Times New Roman" w:cs="Times New Roman"/>
          <w:bCs/>
          <w:sz w:val="24"/>
          <w:szCs w:val="24"/>
        </w:rPr>
      </w:pPr>
      <w:r w:rsidRPr="00D9193E">
        <w:rPr>
          <w:rFonts w:ascii="Times New Roman" w:hAnsi="Times New Roman" w:cs="Times New Roman"/>
          <w:bCs/>
          <w:sz w:val="24"/>
          <w:szCs w:val="24"/>
        </w:rPr>
        <w:t xml:space="preserve"> </w:t>
      </w:r>
    </w:p>
    <w:p w14:paraId="5C9E2C34" w14:textId="56353988" w:rsidR="0018719F" w:rsidRPr="0018719F" w:rsidRDefault="0018719F" w:rsidP="006C1CBB">
      <w:pPr>
        <w:spacing w:after="0" w:line="240" w:lineRule="auto"/>
        <w:jc w:val="center"/>
        <w:rPr>
          <w:rFonts w:ascii="Times New Roman" w:hAnsi="Times New Roman" w:cs="Times New Roman"/>
          <w:sz w:val="24"/>
          <w:szCs w:val="24"/>
        </w:rPr>
      </w:pPr>
      <w:r w:rsidRPr="0018719F">
        <w:rPr>
          <w:rFonts w:ascii="Times New Roman" w:hAnsi="Times New Roman" w:cs="Times New Roman"/>
          <w:b/>
          <w:bCs/>
          <w:sz w:val="24"/>
          <w:szCs w:val="24"/>
        </w:rPr>
        <w:t xml:space="preserve">Table </w:t>
      </w:r>
      <w:r w:rsidR="00A51540">
        <w:rPr>
          <w:rFonts w:ascii="Times New Roman" w:hAnsi="Times New Roman" w:cs="Times New Roman"/>
          <w:b/>
          <w:bCs/>
          <w:sz w:val="24"/>
          <w:szCs w:val="24"/>
        </w:rPr>
        <w:t>4</w:t>
      </w:r>
      <w:r w:rsidRPr="0018719F">
        <w:rPr>
          <w:rFonts w:ascii="Times New Roman" w:hAnsi="Times New Roman" w:cs="Times New Roman"/>
          <w:b/>
          <w:bCs/>
          <w:sz w:val="24"/>
          <w:szCs w:val="24"/>
        </w:rPr>
        <w:t>.</w:t>
      </w:r>
      <w:r w:rsidRPr="0018719F">
        <w:rPr>
          <w:rFonts w:ascii="Times New Roman" w:hAnsi="Times New Roman" w:cs="Times New Roman"/>
          <w:sz w:val="24"/>
          <w:szCs w:val="24"/>
        </w:rPr>
        <w:t xml:space="preserve"> Corresponding </w:t>
      </w:r>
      <w:r>
        <w:rPr>
          <w:rFonts w:ascii="Times New Roman" w:hAnsi="Times New Roman" w:cs="Times New Roman"/>
          <w:sz w:val="24"/>
          <w:szCs w:val="24"/>
        </w:rPr>
        <w:t>A</w:t>
      </w:r>
      <w:r w:rsidRPr="0018719F">
        <w:rPr>
          <w:rFonts w:ascii="Times New Roman" w:hAnsi="Times New Roman" w:cs="Times New Roman"/>
          <w:sz w:val="24"/>
          <w:szCs w:val="24"/>
        </w:rPr>
        <w:t xml:space="preserve">uthor’s </w:t>
      </w:r>
      <w:r>
        <w:rPr>
          <w:rFonts w:ascii="Times New Roman" w:hAnsi="Times New Roman" w:cs="Times New Roman"/>
          <w:sz w:val="24"/>
          <w:szCs w:val="24"/>
        </w:rPr>
        <w:t>C</w:t>
      </w:r>
      <w:r w:rsidRPr="0018719F">
        <w:rPr>
          <w:rFonts w:ascii="Times New Roman" w:hAnsi="Times New Roman" w:cs="Times New Roman"/>
          <w:sz w:val="24"/>
          <w:szCs w:val="24"/>
        </w:rPr>
        <w:t xml:space="preserve">ountry and </w:t>
      </w:r>
      <w:r>
        <w:rPr>
          <w:rFonts w:ascii="Times New Roman" w:hAnsi="Times New Roman" w:cs="Times New Roman"/>
          <w:sz w:val="24"/>
          <w:szCs w:val="24"/>
        </w:rPr>
        <w:t>P</w:t>
      </w:r>
      <w:r w:rsidRPr="0018719F">
        <w:rPr>
          <w:rFonts w:ascii="Times New Roman" w:hAnsi="Times New Roman" w:cs="Times New Roman"/>
          <w:sz w:val="24"/>
          <w:szCs w:val="24"/>
        </w:rPr>
        <w:t>ublications</w:t>
      </w:r>
    </w:p>
    <w:tbl>
      <w:tblPr>
        <w:tblW w:w="5690" w:type="dxa"/>
        <w:jc w:val="center"/>
        <w:tblBorders>
          <w:top w:val="single" w:sz="4" w:space="0" w:color="auto"/>
          <w:bottom w:val="single" w:sz="4" w:space="0" w:color="auto"/>
        </w:tblBorders>
        <w:tblLook w:val="04A0" w:firstRow="1" w:lastRow="0" w:firstColumn="1" w:lastColumn="0" w:noHBand="0" w:noVBand="1"/>
      </w:tblPr>
      <w:tblGrid>
        <w:gridCol w:w="1980"/>
        <w:gridCol w:w="1140"/>
        <w:gridCol w:w="670"/>
        <w:gridCol w:w="763"/>
        <w:gridCol w:w="1137"/>
      </w:tblGrid>
      <w:tr w:rsidR="00D9193E" w:rsidRPr="006A0AEA" w14:paraId="584DD77F" w14:textId="77777777" w:rsidTr="00D9193E">
        <w:trPr>
          <w:trHeight w:val="300"/>
          <w:jc w:val="center"/>
        </w:trPr>
        <w:tc>
          <w:tcPr>
            <w:tcW w:w="1980" w:type="dxa"/>
            <w:tcBorders>
              <w:top w:val="single" w:sz="4" w:space="0" w:color="auto"/>
              <w:bottom w:val="single" w:sz="4" w:space="0" w:color="auto"/>
            </w:tcBorders>
            <w:noWrap/>
            <w:vAlign w:val="bottom"/>
            <w:hideMark/>
          </w:tcPr>
          <w:p w14:paraId="2A091CB7"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Country</w:t>
            </w:r>
          </w:p>
        </w:tc>
        <w:tc>
          <w:tcPr>
            <w:tcW w:w="1140" w:type="dxa"/>
            <w:tcBorders>
              <w:top w:val="single" w:sz="4" w:space="0" w:color="auto"/>
              <w:bottom w:val="single" w:sz="4" w:space="0" w:color="auto"/>
            </w:tcBorders>
            <w:noWrap/>
            <w:vAlign w:val="bottom"/>
            <w:hideMark/>
          </w:tcPr>
          <w:p w14:paraId="3A9F6C40"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Articles</w:t>
            </w:r>
          </w:p>
        </w:tc>
        <w:tc>
          <w:tcPr>
            <w:tcW w:w="670" w:type="dxa"/>
            <w:tcBorders>
              <w:top w:val="single" w:sz="4" w:space="0" w:color="auto"/>
              <w:bottom w:val="single" w:sz="4" w:space="0" w:color="auto"/>
            </w:tcBorders>
            <w:noWrap/>
            <w:vAlign w:val="bottom"/>
            <w:hideMark/>
          </w:tcPr>
          <w:p w14:paraId="1552581E"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SCP</w:t>
            </w:r>
          </w:p>
        </w:tc>
        <w:tc>
          <w:tcPr>
            <w:tcW w:w="763" w:type="dxa"/>
            <w:tcBorders>
              <w:top w:val="single" w:sz="4" w:space="0" w:color="auto"/>
              <w:bottom w:val="single" w:sz="4" w:space="0" w:color="auto"/>
            </w:tcBorders>
            <w:noWrap/>
            <w:vAlign w:val="bottom"/>
            <w:hideMark/>
          </w:tcPr>
          <w:p w14:paraId="130B26C8"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MCP</w:t>
            </w:r>
          </w:p>
        </w:tc>
        <w:tc>
          <w:tcPr>
            <w:tcW w:w="1137" w:type="dxa"/>
            <w:tcBorders>
              <w:top w:val="single" w:sz="4" w:space="0" w:color="auto"/>
              <w:bottom w:val="single" w:sz="4" w:space="0" w:color="auto"/>
            </w:tcBorders>
            <w:noWrap/>
            <w:vAlign w:val="bottom"/>
            <w:hideMark/>
          </w:tcPr>
          <w:p w14:paraId="2DDB7CC2" w14:textId="77777777" w:rsidR="00D9193E" w:rsidRPr="006A0AEA" w:rsidRDefault="00D9193E" w:rsidP="006C1CBB">
            <w:pPr>
              <w:spacing w:after="0" w:line="240" w:lineRule="auto"/>
              <w:jc w:val="center"/>
              <w:rPr>
                <w:rFonts w:ascii="Times New Roman" w:eastAsia="Times New Roman" w:hAnsi="Times New Roman" w:cs="Times New Roman"/>
                <w:b/>
                <w:bCs/>
                <w:kern w:val="0"/>
                <w:sz w:val="24"/>
                <w:szCs w:val="24"/>
                <w14:ligatures w14:val="none"/>
              </w:rPr>
            </w:pPr>
            <w:r w:rsidRPr="006A0AEA">
              <w:rPr>
                <w:rFonts w:ascii="Times New Roman" w:eastAsia="Times New Roman" w:hAnsi="Times New Roman" w:cs="Times New Roman"/>
                <w:b/>
                <w:bCs/>
                <w:kern w:val="0"/>
                <w:sz w:val="24"/>
                <w:szCs w:val="24"/>
                <w14:ligatures w14:val="none"/>
              </w:rPr>
              <w:t>MCP %</w:t>
            </w:r>
          </w:p>
        </w:tc>
      </w:tr>
      <w:tr w:rsidR="00D9193E" w:rsidRPr="006A0AEA" w14:paraId="5CA4AEBB" w14:textId="77777777" w:rsidTr="00D9193E">
        <w:trPr>
          <w:trHeight w:val="300"/>
          <w:jc w:val="center"/>
        </w:trPr>
        <w:tc>
          <w:tcPr>
            <w:tcW w:w="1980" w:type="dxa"/>
            <w:tcBorders>
              <w:top w:val="single" w:sz="4" w:space="0" w:color="auto"/>
            </w:tcBorders>
            <w:noWrap/>
            <w:vAlign w:val="bottom"/>
            <w:hideMark/>
          </w:tcPr>
          <w:p w14:paraId="3D5105BE"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INDIA</w:t>
            </w:r>
          </w:p>
        </w:tc>
        <w:tc>
          <w:tcPr>
            <w:tcW w:w="1140" w:type="dxa"/>
            <w:tcBorders>
              <w:top w:val="single" w:sz="4" w:space="0" w:color="auto"/>
            </w:tcBorders>
            <w:noWrap/>
            <w:vAlign w:val="bottom"/>
            <w:hideMark/>
          </w:tcPr>
          <w:p w14:paraId="6856255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19</w:t>
            </w:r>
          </w:p>
        </w:tc>
        <w:tc>
          <w:tcPr>
            <w:tcW w:w="670" w:type="dxa"/>
            <w:tcBorders>
              <w:top w:val="single" w:sz="4" w:space="0" w:color="auto"/>
            </w:tcBorders>
            <w:noWrap/>
            <w:vAlign w:val="bottom"/>
            <w:hideMark/>
          </w:tcPr>
          <w:p w14:paraId="0A542436"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13</w:t>
            </w:r>
          </w:p>
        </w:tc>
        <w:tc>
          <w:tcPr>
            <w:tcW w:w="763" w:type="dxa"/>
            <w:tcBorders>
              <w:top w:val="single" w:sz="4" w:space="0" w:color="auto"/>
            </w:tcBorders>
            <w:noWrap/>
            <w:vAlign w:val="bottom"/>
            <w:hideMark/>
          </w:tcPr>
          <w:p w14:paraId="58FDDAF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1137" w:type="dxa"/>
            <w:tcBorders>
              <w:top w:val="single" w:sz="4" w:space="0" w:color="auto"/>
            </w:tcBorders>
            <w:noWrap/>
            <w:vAlign w:val="bottom"/>
            <w:hideMark/>
          </w:tcPr>
          <w:p w14:paraId="1DC65482"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31.6</w:t>
            </w:r>
          </w:p>
        </w:tc>
      </w:tr>
      <w:tr w:rsidR="00D9193E" w:rsidRPr="006A0AEA" w14:paraId="6A59953F" w14:textId="77777777" w:rsidTr="00D9193E">
        <w:trPr>
          <w:trHeight w:val="300"/>
          <w:jc w:val="center"/>
        </w:trPr>
        <w:tc>
          <w:tcPr>
            <w:tcW w:w="1980" w:type="dxa"/>
            <w:noWrap/>
            <w:vAlign w:val="bottom"/>
            <w:hideMark/>
          </w:tcPr>
          <w:p w14:paraId="34D01BEB"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lastRenderedPageBreak/>
              <w:t>ETHIOPIA</w:t>
            </w:r>
          </w:p>
        </w:tc>
        <w:tc>
          <w:tcPr>
            <w:tcW w:w="1140" w:type="dxa"/>
            <w:noWrap/>
            <w:vAlign w:val="bottom"/>
            <w:hideMark/>
          </w:tcPr>
          <w:p w14:paraId="2ECBD40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8</w:t>
            </w:r>
          </w:p>
        </w:tc>
        <w:tc>
          <w:tcPr>
            <w:tcW w:w="670" w:type="dxa"/>
            <w:noWrap/>
            <w:vAlign w:val="bottom"/>
            <w:hideMark/>
          </w:tcPr>
          <w:p w14:paraId="37E4091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423DBB9B"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1137" w:type="dxa"/>
            <w:noWrap/>
            <w:vAlign w:val="bottom"/>
            <w:hideMark/>
          </w:tcPr>
          <w:p w14:paraId="5552F3A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62.5</w:t>
            </w:r>
          </w:p>
        </w:tc>
      </w:tr>
      <w:tr w:rsidR="00D9193E" w:rsidRPr="006A0AEA" w14:paraId="20FFFF2D" w14:textId="77777777" w:rsidTr="00D9193E">
        <w:trPr>
          <w:trHeight w:val="300"/>
          <w:jc w:val="center"/>
        </w:trPr>
        <w:tc>
          <w:tcPr>
            <w:tcW w:w="1980" w:type="dxa"/>
            <w:noWrap/>
            <w:vAlign w:val="bottom"/>
            <w:hideMark/>
          </w:tcPr>
          <w:p w14:paraId="09BF7459"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GHANA</w:t>
            </w:r>
          </w:p>
        </w:tc>
        <w:tc>
          <w:tcPr>
            <w:tcW w:w="1140" w:type="dxa"/>
            <w:noWrap/>
            <w:vAlign w:val="bottom"/>
            <w:hideMark/>
          </w:tcPr>
          <w:p w14:paraId="10DF215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8</w:t>
            </w:r>
          </w:p>
        </w:tc>
        <w:tc>
          <w:tcPr>
            <w:tcW w:w="670" w:type="dxa"/>
            <w:noWrap/>
            <w:vAlign w:val="bottom"/>
            <w:hideMark/>
          </w:tcPr>
          <w:p w14:paraId="10A9AD8E"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763" w:type="dxa"/>
            <w:noWrap/>
            <w:vAlign w:val="bottom"/>
            <w:hideMark/>
          </w:tcPr>
          <w:p w14:paraId="5873D6F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6F0B567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37.5</w:t>
            </w:r>
          </w:p>
        </w:tc>
      </w:tr>
      <w:tr w:rsidR="00D9193E" w:rsidRPr="006A0AEA" w14:paraId="570ED73B" w14:textId="77777777" w:rsidTr="00D9193E">
        <w:trPr>
          <w:trHeight w:val="300"/>
          <w:jc w:val="center"/>
        </w:trPr>
        <w:tc>
          <w:tcPr>
            <w:tcW w:w="1980" w:type="dxa"/>
            <w:noWrap/>
            <w:vAlign w:val="bottom"/>
            <w:hideMark/>
          </w:tcPr>
          <w:p w14:paraId="17ED17D3"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KENYA</w:t>
            </w:r>
          </w:p>
        </w:tc>
        <w:tc>
          <w:tcPr>
            <w:tcW w:w="1140" w:type="dxa"/>
            <w:noWrap/>
            <w:vAlign w:val="bottom"/>
            <w:hideMark/>
          </w:tcPr>
          <w:p w14:paraId="7DB7AF26"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17E903E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6147BA97"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17CE0E7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50</w:t>
            </w:r>
          </w:p>
        </w:tc>
      </w:tr>
      <w:tr w:rsidR="00D9193E" w:rsidRPr="006A0AEA" w14:paraId="01EE7B86" w14:textId="77777777" w:rsidTr="00D9193E">
        <w:trPr>
          <w:trHeight w:val="300"/>
          <w:jc w:val="center"/>
        </w:trPr>
        <w:tc>
          <w:tcPr>
            <w:tcW w:w="1980" w:type="dxa"/>
            <w:noWrap/>
            <w:vAlign w:val="bottom"/>
            <w:hideMark/>
          </w:tcPr>
          <w:p w14:paraId="6F63DC01"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NIGERIA</w:t>
            </w:r>
          </w:p>
        </w:tc>
        <w:tc>
          <w:tcPr>
            <w:tcW w:w="1140" w:type="dxa"/>
            <w:noWrap/>
            <w:vAlign w:val="bottom"/>
            <w:hideMark/>
          </w:tcPr>
          <w:p w14:paraId="64FC0FF1"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5502B38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w:t>
            </w:r>
          </w:p>
        </w:tc>
        <w:tc>
          <w:tcPr>
            <w:tcW w:w="763" w:type="dxa"/>
            <w:noWrap/>
            <w:vAlign w:val="bottom"/>
            <w:hideMark/>
          </w:tcPr>
          <w:p w14:paraId="63AEE955"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1137" w:type="dxa"/>
            <w:noWrap/>
            <w:vAlign w:val="bottom"/>
            <w:hideMark/>
          </w:tcPr>
          <w:p w14:paraId="483A5C2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66.7</w:t>
            </w:r>
          </w:p>
        </w:tc>
      </w:tr>
      <w:tr w:rsidR="00D9193E" w:rsidRPr="006A0AEA" w14:paraId="300887E3" w14:textId="77777777" w:rsidTr="00D9193E">
        <w:trPr>
          <w:trHeight w:val="300"/>
          <w:jc w:val="center"/>
        </w:trPr>
        <w:tc>
          <w:tcPr>
            <w:tcW w:w="1980" w:type="dxa"/>
            <w:noWrap/>
            <w:vAlign w:val="bottom"/>
            <w:hideMark/>
          </w:tcPr>
          <w:p w14:paraId="35056300"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SOUTH AFRICA</w:t>
            </w:r>
          </w:p>
        </w:tc>
        <w:tc>
          <w:tcPr>
            <w:tcW w:w="1140" w:type="dxa"/>
            <w:noWrap/>
            <w:vAlign w:val="bottom"/>
            <w:hideMark/>
          </w:tcPr>
          <w:p w14:paraId="2AB3CDF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w:t>
            </w:r>
          </w:p>
        </w:tc>
        <w:tc>
          <w:tcPr>
            <w:tcW w:w="670" w:type="dxa"/>
            <w:noWrap/>
            <w:vAlign w:val="bottom"/>
            <w:hideMark/>
          </w:tcPr>
          <w:p w14:paraId="469A0122"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5</w:t>
            </w:r>
          </w:p>
        </w:tc>
        <w:tc>
          <w:tcPr>
            <w:tcW w:w="763" w:type="dxa"/>
            <w:noWrap/>
            <w:vAlign w:val="bottom"/>
            <w:hideMark/>
          </w:tcPr>
          <w:p w14:paraId="1D2A5C88"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1137" w:type="dxa"/>
            <w:noWrap/>
            <w:vAlign w:val="bottom"/>
            <w:hideMark/>
          </w:tcPr>
          <w:p w14:paraId="7D2C857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16.7</w:t>
            </w:r>
          </w:p>
        </w:tc>
      </w:tr>
      <w:tr w:rsidR="00D9193E" w:rsidRPr="006A0AEA" w14:paraId="29900488" w14:textId="77777777" w:rsidTr="00D9193E">
        <w:trPr>
          <w:trHeight w:val="300"/>
          <w:jc w:val="center"/>
        </w:trPr>
        <w:tc>
          <w:tcPr>
            <w:tcW w:w="1980" w:type="dxa"/>
            <w:noWrap/>
            <w:vAlign w:val="bottom"/>
            <w:hideMark/>
          </w:tcPr>
          <w:p w14:paraId="5251D3B9"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UNITED KINGDOM</w:t>
            </w:r>
          </w:p>
        </w:tc>
        <w:tc>
          <w:tcPr>
            <w:tcW w:w="1140" w:type="dxa"/>
            <w:noWrap/>
            <w:vAlign w:val="bottom"/>
            <w:hideMark/>
          </w:tcPr>
          <w:p w14:paraId="28344C41"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670" w:type="dxa"/>
            <w:noWrap/>
            <w:vAlign w:val="bottom"/>
            <w:hideMark/>
          </w:tcPr>
          <w:p w14:paraId="2D7B7FB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763" w:type="dxa"/>
            <w:noWrap/>
            <w:vAlign w:val="bottom"/>
            <w:hideMark/>
          </w:tcPr>
          <w:p w14:paraId="75DFDF1B"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287EF52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75</w:t>
            </w:r>
          </w:p>
        </w:tc>
      </w:tr>
      <w:tr w:rsidR="00D9193E" w:rsidRPr="006A0AEA" w14:paraId="709666E7" w14:textId="77777777" w:rsidTr="00D9193E">
        <w:trPr>
          <w:trHeight w:val="300"/>
          <w:jc w:val="center"/>
        </w:trPr>
        <w:tc>
          <w:tcPr>
            <w:tcW w:w="1980" w:type="dxa"/>
            <w:noWrap/>
            <w:vAlign w:val="bottom"/>
            <w:hideMark/>
          </w:tcPr>
          <w:p w14:paraId="150A98B2"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USA</w:t>
            </w:r>
          </w:p>
        </w:tc>
        <w:tc>
          <w:tcPr>
            <w:tcW w:w="1140" w:type="dxa"/>
            <w:noWrap/>
            <w:vAlign w:val="bottom"/>
            <w:hideMark/>
          </w:tcPr>
          <w:p w14:paraId="52909C7C"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4</w:t>
            </w:r>
          </w:p>
        </w:tc>
        <w:tc>
          <w:tcPr>
            <w:tcW w:w="670" w:type="dxa"/>
            <w:noWrap/>
            <w:vAlign w:val="bottom"/>
            <w:hideMark/>
          </w:tcPr>
          <w:p w14:paraId="1C7E92CD"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763" w:type="dxa"/>
            <w:noWrap/>
            <w:vAlign w:val="bottom"/>
            <w:hideMark/>
          </w:tcPr>
          <w:p w14:paraId="3ED28010"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1137" w:type="dxa"/>
            <w:noWrap/>
            <w:vAlign w:val="bottom"/>
            <w:hideMark/>
          </w:tcPr>
          <w:p w14:paraId="2C87CB7E"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25</w:t>
            </w:r>
          </w:p>
        </w:tc>
      </w:tr>
      <w:tr w:rsidR="00D9193E" w:rsidRPr="006A0AEA" w14:paraId="24EA4B7E" w14:textId="77777777" w:rsidTr="00D9193E">
        <w:trPr>
          <w:trHeight w:val="300"/>
          <w:jc w:val="center"/>
        </w:trPr>
        <w:tc>
          <w:tcPr>
            <w:tcW w:w="1980" w:type="dxa"/>
            <w:noWrap/>
            <w:vAlign w:val="bottom"/>
            <w:hideMark/>
          </w:tcPr>
          <w:p w14:paraId="54F6ACB8"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AUSTRALIA</w:t>
            </w:r>
          </w:p>
        </w:tc>
        <w:tc>
          <w:tcPr>
            <w:tcW w:w="1140" w:type="dxa"/>
            <w:noWrap/>
            <w:vAlign w:val="bottom"/>
            <w:hideMark/>
          </w:tcPr>
          <w:p w14:paraId="164CF1FA"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670" w:type="dxa"/>
            <w:noWrap/>
            <w:vAlign w:val="bottom"/>
            <w:hideMark/>
          </w:tcPr>
          <w:p w14:paraId="0FACBBB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w:t>
            </w:r>
          </w:p>
        </w:tc>
        <w:tc>
          <w:tcPr>
            <w:tcW w:w="763" w:type="dxa"/>
            <w:noWrap/>
            <w:vAlign w:val="bottom"/>
            <w:hideMark/>
          </w:tcPr>
          <w:p w14:paraId="70AA582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2</w:t>
            </w:r>
          </w:p>
        </w:tc>
        <w:tc>
          <w:tcPr>
            <w:tcW w:w="1137" w:type="dxa"/>
            <w:noWrap/>
            <w:vAlign w:val="bottom"/>
            <w:hideMark/>
          </w:tcPr>
          <w:p w14:paraId="5205005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66.7</w:t>
            </w:r>
          </w:p>
        </w:tc>
      </w:tr>
      <w:tr w:rsidR="00D9193E" w:rsidRPr="006A0AEA" w14:paraId="383723B4" w14:textId="77777777" w:rsidTr="00D9193E">
        <w:trPr>
          <w:trHeight w:val="300"/>
          <w:jc w:val="center"/>
        </w:trPr>
        <w:tc>
          <w:tcPr>
            <w:tcW w:w="1980" w:type="dxa"/>
            <w:noWrap/>
            <w:vAlign w:val="bottom"/>
            <w:hideMark/>
          </w:tcPr>
          <w:p w14:paraId="4B5EE45C" w14:textId="77777777" w:rsidR="00D9193E" w:rsidRPr="006A0AEA" w:rsidRDefault="00D9193E" w:rsidP="006C1CBB">
            <w:pPr>
              <w:spacing w:after="0" w:line="240" w:lineRule="auto"/>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CHINA</w:t>
            </w:r>
          </w:p>
        </w:tc>
        <w:tc>
          <w:tcPr>
            <w:tcW w:w="1140" w:type="dxa"/>
            <w:noWrap/>
            <w:vAlign w:val="bottom"/>
            <w:hideMark/>
          </w:tcPr>
          <w:p w14:paraId="126B711F"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670" w:type="dxa"/>
            <w:noWrap/>
            <w:vAlign w:val="bottom"/>
            <w:hideMark/>
          </w:tcPr>
          <w:p w14:paraId="1AB0BC73"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0</w:t>
            </w:r>
          </w:p>
        </w:tc>
        <w:tc>
          <w:tcPr>
            <w:tcW w:w="763" w:type="dxa"/>
            <w:noWrap/>
            <w:vAlign w:val="bottom"/>
            <w:hideMark/>
          </w:tcPr>
          <w:p w14:paraId="093A3749"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3</w:t>
            </w:r>
          </w:p>
        </w:tc>
        <w:tc>
          <w:tcPr>
            <w:tcW w:w="1137" w:type="dxa"/>
            <w:noWrap/>
            <w:vAlign w:val="bottom"/>
            <w:hideMark/>
          </w:tcPr>
          <w:p w14:paraId="1967A524" w14:textId="77777777" w:rsidR="00D9193E" w:rsidRPr="006A0AEA" w:rsidRDefault="00D9193E" w:rsidP="006C1CBB">
            <w:pPr>
              <w:spacing w:after="0" w:line="240" w:lineRule="auto"/>
              <w:jc w:val="right"/>
              <w:rPr>
                <w:rFonts w:ascii="Times New Roman" w:eastAsia="Times New Roman" w:hAnsi="Times New Roman" w:cs="Times New Roman"/>
                <w:kern w:val="0"/>
                <w:sz w:val="24"/>
                <w:szCs w:val="24"/>
                <w14:ligatures w14:val="none"/>
              </w:rPr>
            </w:pPr>
            <w:r w:rsidRPr="006A0AEA">
              <w:rPr>
                <w:rFonts w:ascii="Times New Roman" w:eastAsia="Times New Roman" w:hAnsi="Times New Roman" w:cs="Times New Roman"/>
                <w:kern w:val="0"/>
                <w:sz w:val="24"/>
                <w:szCs w:val="24"/>
                <w14:ligatures w14:val="none"/>
              </w:rPr>
              <w:t>100</w:t>
            </w:r>
          </w:p>
        </w:tc>
      </w:tr>
    </w:tbl>
    <w:p w14:paraId="2BAC65C3" w14:textId="77777777" w:rsidR="00D9193E" w:rsidRDefault="00D9193E" w:rsidP="006C1CBB">
      <w:pPr>
        <w:spacing w:after="0" w:line="240" w:lineRule="auto"/>
        <w:jc w:val="both"/>
        <w:rPr>
          <w:rFonts w:ascii="Times New Roman" w:hAnsi="Times New Roman" w:cs="Times New Roman"/>
          <w:bCs/>
          <w:sz w:val="24"/>
          <w:szCs w:val="24"/>
        </w:rPr>
      </w:pPr>
    </w:p>
    <w:p w14:paraId="3D2A1EEC" w14:textId="5E4C2ECD" w:rsidR="006A0AEA" w:rsidRDefault="00D9193E" w:rsidP="006C1CBB">
      <w:pPr>
        <w:spacing w:after="0" w:line="240" w:lineRule="auto"/>
        <w:jc w:val="both"/>
        <w:rPr>
          <w:rFonts w:ascii="Times New Roman" w:hAnsi="Times New Roman" w:cs="Times New Roman"/>
          <w:bCs/>
          <w:sz w:val="24"/>
          <w:szCs w:val="24"/>
        </w:rPr>
      </w:pPr>
      <w:r w:rsidRPr="00D9193E">
        <w:rPr>
          <w:rFonts w:ascii="Times New Roman" w:hAnsi="Times New Roman" w:cs="Times New Roman"/>
          <w:bCs/>
          <w:sz w:val="24"/>
          <w:szCs w:val="24"/>
        </w:rPr>
        <w:t>Ghana has eight papers with an MCP proportion of 37.5%, whilst South Africa's six articles have a comparatively lower MCP percentage of 16.7%, reflecting a greater emphasis on indigenous research.  The United Kingdom exhibits the most significant percentage of international cooperation among non-African nations, with 75% of its four articles classified as MCPs.  The United States and Australia have modest levels of cooperation at 25% and 66.7%, respectively.  China's contributions are distinctly collaborative, as all three publications are MCPs, underscoring its involvement in global research alliances.  This data highlights the global and collaborative essence of research initiatives aimed at enhancing CSA innovations for drought adaptation, reflecting differing levels of international collaboration across nations.</w:t>
      </w:r>
    </w:p>
    <w:p w14:paraId="1F44F2B8" w14:textId="77777777" w:rsidR="00D9193E" w:rsidRDefault="00D9193E" w:rsidP="006C1CBB">
      <w:pPr>
        <w:spacing w:after="0" w:line="240" w:lineRule="auto"/>
        <w:jc w:val="both"/>
        <w:rPr>
          <w:rFonts w:ascii="Times New Roman" w:hAnsi="Times New Roman" w:cs="Times New Roman"/>
          <w:bCs/>
          <w:sz w:val="24"/>
          <w:szCs w:val="24"/>
        </w:rPr>
      </w:pPr>
    </w:p>
    <w:p w14:paraId="337F529A" w14:textId="3FE8D17A" w:rsidR="005D5E9F" w:rsidRPr="00FD1D1F" w:rsidRDefault="00D9193E" w:rsidP="006C1CBB">
      <w:p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lang w:bidi="bn-BD"/>
        </w:rPr>
        <w:drawing>
          <wp:inline distT="0" distB="0" distL="0" distR="0" wp14:anchorId="0DEC971C" wp14:editId="7B9A514E">
            <wp:extent cx="5828030" cy="3139440"/>
            <wp:effectExtent l="19050" t="19050" r="20320" b="22860"/>
            <wp:docPr id="1113381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8030" cy="3139440"/>
                    </a:xfrm>
                    <a:prstGeom prst="rect">
                      <a:avLst/>
                    </a:prstGeom>
                    <a:noFill/>
                    <a:ln>
                      <a:solidFill>
                        <a:schemeClr val="tx1"/>
                      </a:solidFill>
                    </a:ln>
                  </pic:spPr>
                </pic:pic>
              </a:graphicData>
            </a:graphic>
          </wp:inline>
        </w:drawing>
      </w:r>
    </w:p>
    <w:p w14:paraId="7DDFBA6A" w14:textId="1FB98ABF" w:rsidR="002B477E" w:rsidRDefault="005D5E9F" w:rsidP="006C1CBB">
      <w:pPr>
        <w:spacing w:after="0" w:line="240" w:lineRule="auto"/>
        <w:jc w:val="center"/>
        <w:rPr>
          <w:rFonts w:ascii="Times New Roman" w:hAnsi="Times New Roman" w:cs="Times New Roman"/>
          <w:b/>
          <w:sz w:val="24"/>
          <w:szCs w:val="24"/>
        </w:rPr>
      </w:pPr>
      <w:r w:rsidRPr="005D5E9F">
        <w:rPr>
          <w:rFonts w:ascii="Times New Roman" w:hAnsi="Times New Roman" w:cs="Times New Roman"/>
          <w:b/>
          <w:sz w:val="24"/>
          <w:szCs w:val="24"/>
        </w:rPr>
        <w:t xml:space="preserve"> </w:t>
      </w:r>
      <w:r w:rsidRPr="005D5E9F">
        <w:rPr>
          <w:rFonts w:ascii="Times New Roman" w:hAnsi="Times New Roman" w:cs="Times New Roman"/>
          <w:b/>
          <w:bCs/>
          <w:sz w:val="24"/>
          <w:szCs w:val="24"/>
        </w:rPr>
        <w:t xml:space="preserve">Figure </w:t>
      </w:r>
      <w:r w:rsidR="0057604D">
        <w:rPr>
          <w:rFonts w:ascii="Times New Roman" w:hAnsi="Times New Roman" w:cs="Times New Roman"/>
          <w:b/>
          <w:bCs/>
          <w:sz w:val="24"/>
          <w:szCs w:val="24"/>
        </w:rPr>
        <w:t>3</w:t>
      </w:r>
      <w:r w:rsidRPr="005D5E9F">
        <w:rPr>
          <w:rFonts w:ascii="Times New Roman" w:hAnsi="Times New Roman" w:cs="Times New Roman"/>
          <w:b/>
          <w:bCs/>
          <w:sz w:val="24"/>
          <w:szCs w:val="24"/>
        </w:rPr>
        <w:t xml:space="preserve">. </w:t>
      </w:r>
      <w:r w:rsidRPr="00FD1D1F">
        <w:rPr>
          <w:rFonts w:ascii="Times New Roman" w:hAnsi="Times New Roman" w:cs="Times New Roman"/>
          <w:sz w:val="24"/>
          <w:szCs w:val="24"/>
        </w:rPr>
        <w:t>Corresponding Author’s Countries</w:t>
      </w:r>
      <w:r w:rsidR="00FD1D1F">
        <w:rPr>
          <w:rFonts w:ascii="Times New Roman" w:hAnsi="Times New Roman" w:cs="Times New Roman"/>
          <w:sz w:val="24"/>
          <w:szCs w:val="24"/>
        </w:rPr>
        <w:t xml:space="preserve"> with their Publications</w:t>
      </w:r>
    </w:p>
    <w:p w14:paraId="7533794E" w14:textId="77777777" w:rsidR="00F7545C" w:rsidRDefault="00F7545C" w:rsidP="006C1CBB">
      <w:pPr>
        <w:spacing w:after="0" w:line="240" w:lineRule="auto"/>
        <w:rPr>
          <w:rFonts w:ascii="Times New Roman" w:hAnsi="Times New Roman" w:cs="Times New Roman"/>
          <w:b/>
          <w:sz w:val="24"/>
          <w:szCs w:val="24"/>
        </w:rPr>
      </w:pPr>
    </w:p>
    <w:p w14:paraId="37643F0C" w14:textId="5CC81391" w:rsidR="005D5E9F" w:rsidRDefault="00CC33BF" w:rsidP="006C1CBB">
      <w:pPr>
        <w:spacing w:after="0" w:line="240" w:lineRule="auto"/>
        <w:rPr>
          <w:rFonts w:ascii="Times New Roman" w:hAnsi="Times New Roman" w:cs="Times New Roman"/>
          <w:b/>
          <w:bCs/>
          <w:sz w:val="24"/>
          <w:szCs w:val="24"/>
        </w:rPr>
      </w:pPr>
      <w:r>
        <w:rPr>
          <w:rFonts w:ascii="Times New Roman" w:hAnsi="Times New Roman" w:cs="Times New Roman"/>
          <w:b/>
          <w:sz w:val="24"/>
          <w:szCs w:val="24"/>
        </w:rPr>
        <w:t>3</w:t>
      </w:r>
      <w:r w:rsidR="000C713D" w:rsidRPr="003B3B4A">
        <w:rPr>
          <w:rFonts w:ascii="Times New Roman" w:hAnsi="Times New Roman" w:cs="Times New Roman"/>
          <w:b/>
          <w:sz w:val="24"/>
          <w:szCs w:val="24"/>
        </w:rPr>
        <w:t>.</w:t>
      </w:r>
      <w:r w:rsidR="001E14FD">
        <w:rPr>
          <w:rFonts w:ascii="Times New Roman" w:hAnsi="Times New Roman" w:cs="Times New Roman"/>
          <w:b/>
          <w:sz w:val="24"/>
          <w:szCs w:val="24"/>
        </w:rPr>
        <w:t>6</w:t>
      </w:r>
      <w:r w:rsidR="000C713D" w:rsidRPr="003B3B4A">
        <w:rPr>
          <w:rFonts w:ascii="Times New Roman" w:hAnsi="Times New Roman" w:cs="Times New Roman"/>
          <w:b/>
          <w:sz w:val="24"/>
          <w:szCs w:val="24"/>
        </w:rPr>
        <w:t xml:space="preserve"> </w:t>
      </w:r>
      <w:r w:rsidR="00A51540">
        <w:rPr>
          <w:rFonts w:ascii="Times New Roman" w:hAnsi="Times New Roman" w:cs="Times New Roman"/>
          <w:b/>
          <w:bCs/>
          <w:sz w:val="24"/>
          <w:szCs w:val="24"/>
        </w:rPr>
        <w:t>Most Globa</w:t>
      </w:r>
      <w:r w:rsidR="006953FA">
        <w:rPr>
          <w:rFonts w:ascii="Times New Roman" w:hAnsi="Times New Roman" w:cs="Times New Roman"/>
          <w:b/>
          <w:bCs/>
          <w:sz w:val="24"/>
          <w:szCs w:val="24"/>
        </w:rPr>
        <w:t>lly</w:t>
      </w:r>
      <w:r w:rsidR="00A51540">
        <w:rPr>
          <w:rFonts w:ascii="Times New Roman" w:hAnsi="Times New Roman" w:cs="Times New Roman"/>
          <w:b/>
          <w:bCs/>
          <w:sz w:val="24"/>
          <w:szCs w:val="24"/>
        </w:rPr>
        <w:t xml:space="preserve"> Cited </w:t>
      </w:r>
      <w:r w:rsidR="000E4F8D">
        <w:rPr>
          <w:rFonts w:ascii="Times New Roman" w:hAnsi="Times New Roman" w:cs="Times New Roman"/>
          <w:b/>
          <w:bCs/>
          <w:sz w:val="24"/>
          <w:szCs w:val="24"/>
        </w:rPr>
        <w:t>Countries</w:t>
      </w:r>
      <w:r w:rsidR="00A51540">
        <w:rPr>
          <w:rFonts w:ascii="Times New Roman" w:hAnsi="Times New Roman" w:cs="Times New Roman"/>
          <w:b/>
          <w:bCs/>
          <w:sz w:val="24"/>
          <w:szCs w:val="24"/>
        </w:rPr>
        <w:t xml:space="preserve"> in the Scopus Database</w:t>
      </w:r>
    </w:p>
    <w:p w14:paraId="501C40CD" w14:textId="048C321B" w:rsidR="000A41D0" w:rsidRDefault="00EA4986" w:rsidP="006C1CBB">
      <w:pPr>
        <w:spacing w:after="0" w:line="240" w:lineRule="auto"/>
        <w:jc w:val="both"/>
        <w:rPr>
          <w:rFonts w:ascii="Times New Roman" w:hAnsi="Times New Roman" w:cs="Times New Roman"/>
          <w:sz w:val="24"/>
          <w:szCs w:val="24"/>
        </w:rPr>
      </w:pPr>
      <w:r w:rsidRPr="00EA4986">
        <w:rPr>
          <w:rFonts w:ascii="Times New Roman" w:hAnsi="Times New Roman" w:cs="Times New Roman"/>
          <w:sz w:val="24"/>
          <w:szCs w:val="24"/>
        </w:rPr>
        <w:t xml:space="preserve">Figure 4 illustrates the total citations (TC) and average article citations from the leading nations that contribute to Climate-Smart Agriculture (CSA) adoption for drought adaptation.  India ranks first in overall citations, amassing 533 citations throughout its articles, with an average of 28.10 citations per article, indicating the substantial volume and enduring influence of its research output.  </w:t>
      </w:r>
      <w:r w:rsidRPr="00EA4986">
        <w:rPr>
          <w:rFonts w:ascii="Times New Roman" w:hAnsi="Times New Roman" w:cs="Times New Roman"/>
          <w:sz w:val="24"/>
          <w:szCs w:val="24"/>
        </w:rPr>
        <w:lastRenderedPageBreak/>
        <w:t xml:space="preserve">Ethiopia, although possessing a lower number of citations (313), has a significant impact, with an average of 39.10 citations per article.  The Netherlands, with 298 citations, has the highest average article citation count at 149.00, reflecting the significant influence of a limited number of highly referenced works.  Germany and Australia have </w:t>
      </w:r>
      <w:r w:rsidR="00345840">
        <w:rPr>
          <w:rFonts w:ascii="Times New Roman" w:hAnsi="Times New Roman" w:cs="Times New Roman"/>
          <w:sz w:val="24"/>
          <w:szCs w:val="24"/>
        </w:rPr>
        <w:t xml:space="preserve">a </w:t>
      </w:r>
      <w:r w:rsidRPr="00EA4986">
        <w:rPr>
          <w:rFonts w:ascii="Times New Roman" w:hAnsi="Times New Roman" w:cs="Times New Roman"/>
          <w:sz w:val="24"/>
          <w:szCs w:val="24"/>
        </w:rPr>
        <w:t xml:space="preserve">significant academic impact, with average citation counts of 61.30 and 46.00, respectively.  Colombia distinguishes itself with 103 citations and an exceptional average of 103.00 citations per article, indicating the existence of a seminal publication.  Zimbabwe and China have significant citation strength, with averages of 39.00 and 23.00, respectively.  In contrast, Ghana and South Africa, although active in publishing, have lower average citation rates of 17.00 and 14.00, respectively.  Figure 4 illustrates both productivity and the varied degrees of academic influence across nations, underscoring the worldwide and unequal citation dynamics in CSA adoption research. </w:t>
      </w:r>
    </w:p>
    <w:p w14:paraId="54905400" w14:textId="4EF32D5B" w:rsidR="000E4F8D" w:rsidRDefault="00290951" w:rsidP="006C1CB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bidi="bn-BD"/>
        </w:rPr>
        <w:drawing>
          <wp:inline distT="0" distB="0" distL="0" distR="0" wp14:anchorId="17529BAE" wp14:editId="770C9ABC">
            <wp:extent cx="6022125" cy="3448050"/>
            <wp:effectExtent l="19050" t="19050" r="17145" b="19050"/>
            <wp:docPr id="11688311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4246" cy="3460715"/>
                    </a:xfrm>
                    <a:prstGeom prst="rect">
                      <a:avLst/>
                    </a:prstGeom>
                    <a:noFill/>
                    <a:ln>
                      <a:solidFill>
                        <a:schemeClr val="tx1"/>
                      </a:solidFill>
                    </a:ln>
                  </pic:spPr>
                </pic:pic>
              </a:graphicData>
            </a:graphic>
          </wp:inline>
        </w:drawing>
      </w:r>
    </w:p>
    <w:p w14:paraId="0040CDE0" w14:textId="54550794" w:rsidR="000E4F8D" w:rsidRDefault="000E4F8D" w:rsidP="006C1CBB">
      <w:pPr>
        <w:spacing w:after="0" w:line="240" w:lineRule="auto"/>
        <w:jc w:val="center"/>
        <w:rPr>
          <w:rFonts w:ascii="Times New Roman" w:hAnsi="Times New Roman" w:cs="Times New Roman"/>
          <w:sz w:val="24"/>
          <w:szCs w:val="24"/>
        </w:rPr>
      </w:pPr>
      <w:r w:rsidRPr="000E4F8D">
        <w:rPr>
          <w:rFonts w:ascii="Times New Roman" w:hAnsi="Times New Roman" w:cs="Times New Roman"/>
          <w:b/>
          <w:bCs/>
          <w:sz w:val="24"/>
          <w:szCs w:val="24"/>
        </w:rPr>
        <w:t>Figure 4.</w:t>
      </w:r>
      <w:r w:rsidRPr="000E4F8D">
        <w:rPr>
          <w:rFonts w:ascii="Times New Roman" w:hAnsi="Times New Roman" w:cs="Times New Roman"/>
          <w:sz w:val="24"/>
          <w:szCs w:val="24"/>
        </w:rPr>
        <w:t xml:space="preserve"> Most Globally Cited Countries </w:t>
      </w:r>
    </w:p>
    <w:p w14:paraId="5684C369" w14:textId="77777777" w:rsidR="000E4F8D" w:rsidRPr="000A41D0" w:rsidRDefault="000E4F8D" w:rsidP="006C1CBB">
      <w:pPr>
        <w:spacing w:after="0" w:line="240" w:lineRule="auto"/>
        <w:jc w:val="both"/>
        <w:rPr>
          <w:rFonts w:ascii="Times New Roman" w:hAnsi="Times New Roman" w:cs="Times New Roman"/>
          <w:bCs/>
          <w:sz w:val="24"/>
          <w:szCs w:val="24"/>
        </w:rPr>
      </w:pPr>
    </w:p>
    <w:p w14:paraId="6A5482C3" w14:textId="0620B831" w:rsidR="000C713D" w:rsidRDefault="00CC33BF" w:rsidP="006C1CB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0C713D" w:rsidRPr="00093347">
        <w:rPr>
          <w:rFonts w:ascii="Times New Roman" w:hAnsi="Times New Roman" w:cs="Times New Roman"/>
          <w:b/>
          <w:sz w:val="24"/>
          <w:szCs w:val="24"/>
        </w:rPr>
        <w:t>.</w:t>
      </w:r>
      <w:r w:rsidR="001E14FD">
        <w:rPr>
          <w:rFonts w:ascii="Times New Roman" w:hAnsi="Times New Roman" w:cs="Times New Roman"/>
          <w:b/>
          <w:sz w:val="24"/>
          <w:szCs w:val="24"/>
        </w:rPr>
        <w:t>7</w:t>
      </w:r>
      <w:r w:rsidR="000C713D" w:rsidRPr="00093347">
        <w:rPr>
          <w:rFonts w:ascii="Times New Roman" w:hAnsi="Times New Roman" w:cs="Times New Roman"/>
          <w:b/>
          <w:sz w:val="24"/>
          <w:szCs w:val="24"/>
        </w:rPr>
        <w:t xml:space="preserve"> </w:t>
      </w:r>
      <w:r w:rsidR="00ED0182" w:rsidRPr="00ED0182">
        <w:rPr>
          <w:rFonts w:ascii="Times New Roman" w:hAnsi="Times New Roman" w:cs="Times New Roman"/>
          <w:b/>
          <w:sz w:val="24"/>
          <w:szCs w:val="24"/>
        </w:rPr>
        <w:t xml:space="preserve">Words' Frequency over Time </w:t>
      </w:r>
    </w:p>
    <w:p w14:paraId="1CC0F900" w14:textId="1D787B77" w:rsidR="001F3CE8" w:rsidRPr="00AD4D40" w:rsidRDefault="00A101C4" w:rsidP="006C1CBB">
      <w:pPr>
        <w:spacing w:after="0" w:line="240" w:lineRule="auto"/>
        <w:jc w:val="both"/>
        <w:rPr>
          <w:rFonts w:ascii="Times New Roman" w:hAnsi="Times New Roman" w:cs="Times New Roman"/>
          <w:bCs/>
          <w:sz w:val="24"/>
          <w:szCs w:val="24"/>
        </w:rPr>
      </w:pPr>
      <w:r w:rsidRPr="00A101C4">
        <w:rPr>
          <w:rFonts w:ascii="Times New Roman" w:hAnsi="Times New Roman" w:cs="Times New Roman"/>
          <w:bCs/>
          <w:sz w:val="24"/>
          <w:szCs w:val="24"/>
        </w:rPr>
        <w:t xml:space="preserve">Figure 5 illustrates a bifurcated analysis of phrase frequencies within the literature corpus, emphasizing conceptual priority in the investigation of Climate-Smart Agriculture (CSA) adoption for drought adaptation. The Term category (Panel A) quantifies fundamental technological and agronomic concepts, primarily characterized by "AGRICULTURAL TECHNOLOGY" (indicating innovation-focused research), "TECHNOLOGY ADOPTION" (directly tackling adoption barriers and facilitators), "AGRICULTURE" (encompassing broad contextual references), and "ZEA MAYS" (signifying maize-specific case studies, frequently utilized as a model crop for drought resilience). The Year category (Panel B) identifies emerging drivers and impacts, with "DROUGHT" demonstrating the highest cumulative frequency (underscoring the significance of water scarcity in the analysis), followed by "CLIMATE CHANGE" (situating drought within broader climatic transformations), "FOOD SECURITY" (connecting adaptations to nutritional results), "ALTERNATIVE AGRICULTURE" (emphasizing sustainable methodologies), and "MAIZE" (strengthening crop-specific emphasis). The pronounced </w:t>
      </w:r>
      <w:r w:rsidRPr="00A101C4">
        <w:rPr>
          <w:rFonts w:ascii="Times New Roman" w:hAnsi="Times New Roman" w:cs="Times New Roman"/>
          <w:bCs/>
          <w:sz w:val="24"/>
          <w:szCs w:val="24"/>
        </w:rPr>
        <w:lastRenderedPageBreak/>
        <w:t xml:space="preserve">cumulative increase in the terms "DROUGHT" and "TECHNOLOGY ADOPTION" highlights the growing scholarly focus on Climate-Smart Agriculture (CSA) solutions in water-scarce regions. At the same time, comparative frequencies indicate significant thematic relationships, particularly among drought intensity, technology implementation, and co-benefits for food security. </w:t>
      </w:r>
    </w:p>
    <w:p w14:paraId="12707481" w14:textId="6BCE4B10" w:rsidR="00BF73C3" w:rsidRPr="00C52435" w:rsidRDefault="00BF73C3" w:rsidP="006C1CBB">
      <w:pPr>
        <w:spacing w:after="0" w:line="240" w:lineRule="auto"/>
        <w:jc w:val="both"/>
        <w:rPr>
          <w:rFonts w:ascii="Times New Roman" w:hAnsi="Times New Roman" w:cs="Times New Roman"/>
          <w:bCs/>
          <w:sz w:val="24"/>
          <w:szCs w:val="24"/>
        </w:rPr>
      </w:pPr>
    </w:p>
    <w:p w14:paraId="2D708F55" w14:textId="25E39E85" w:rsidR="00AD2148" w:rsidRPr="00093347" w:rsidRDefault="00D40C3C" w:rsidP="006C1CBB">
      <w:pPr>
        <w:spacing w:after="0" w:line="240" w:lineRule="auto"/>
        <w:jc w:val="center"/>
        <w:rPr>
          <w:rFonts w:ascii="Times New Roman" w:hAnsi="Times New Roman" w:cs="Times New Roman"/>
          <w:b/>
          <w:sz w:val="24"/>
          <w:szCs w:val="24"/>
        </w:rPr>
      </w:pPr>
      <w:r>
        <w:rPr>
          <w:noProof/>
          <w:lang w:bidi="bn-BD"/>
        </w:rPr>
        <w:drawing>
          <wp:inline distT="0" distB="0" distL="0" distR="0" wp14:anchorId="28450865" wp14:editId="2245B174">
            <wp:extent cx="5943600" cy="3258185"/>
            <wp:effectExtent l="19050" t="19050" r="19050" b="18415"/>
            <wp:docPr id="138949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94149" name=""/>
                    <pic:cNvPicPr/>
                  </pic:nvPicPr>
                  <pic:blipFill>
                    <a:blip r:embed="rId12"/>
                    <a:stretch>
                      <a:fillRect/>
                    </a:stretch>
                  </pic:blipFill>
                  <pic:spPr>
                    <a:xfrm>
                      <a:off x="0" y="0"/>
                      <a:ext cx="5943600" cy="3258185"/>
                    </a:xfrm>
                    <a:prstGeom prst="rect">
                      <a:avLst/>
                    </a:prstGeom>
                    <a:ln>
                      <a:solidFill>
                        <a:schemeClr val="tx1"/>
                      </a:solidFill>
                    </a:ln>
                  </pic:spPr>
                </pic:pic>
              </a:graphicData>
            </a:graphic>
          </wp:inline>
        </w:drawing>
      </w:r>
    </w:p>
    <w:p w14:paraId="2644A23A" w14:textId="15D54247" w:rsidR="002B477E" w:rsidRPr="00ED0182" w:rsidRDefault="00292575" w:rsidP="006C1CBB">
      <w:pPr>
        <w:spacing w:after="0" w:line="240" w:lineRule="auto"/>
        <w:jc w:val="center"/>
        <w:rPr>
          <w:rFonts w:ascii="Times New Roman" w:hAnsi="Times New Roman" w:cs="Times New Roman"/>
          <w:sz w:val="24"/>
          <w:szCs w:val="24"/>
        </w:rPr>
      </w:pPr>
      <w:r w:rsidRPr="00292575">
        <w:rPr>
          <w:rFonts w:ascii="Times New Roman" w:hAnsi="Times New Roman" w:cs="Times New Roman"/>
          <w:b/>
          <w:bCs/>
          <w:sz w:val="24"/>
          <w:szCs w:val="24"/>
        </w:rPr>
        <w:t xml:space="preserve">Figure </w:t>
      </w:r>
      <w:r w:rsidR="003E6331">
        <w:rPr>
          <w:rFonts w:ascii="Times New Roman" w:hAnsi="Times New Roman" w:cs="Times New Roman"/>
          <w:b/>
          <w:bCs/>
          <w:sz w:val="24"/>
          <w:szCs w:val="24"/>
        </w:rPr>
        <w:t>5</w:t>
      </w:r>
      <w:r w:rsidRPr="00292575">
        <w:rPr>
          <w:rFonts w:ascii="Times New Roman" w:hAnsi="Times New Roman" w:cs="Times New Roman"/>
          <w:b/>
          <w:bCs/>
          <w:sz w:val="24"/>
          <w:szCs w:val="24"/>
        </w:rPr>
        <w:t xml:space="preserve">. </w:t>
      </w:r>
      <w:r w:rsidR="009D1F19">
        <w:rPr>
          <w:rFonts w:ascii="Times New Roman" w:hAnsi="Times New Roman" w:cs="Times New Roman"/>
        </w:rPr>
        <w:t>Words’</w:t>
      </w:r>
      <w:r w:rsidR="00ED0182" w:rsidRPr="00ED0182">
        <w:rPr>
          <w:rFonts w:ascii="Times New Roman" w:hAnsi="Times New Roman" w:cs="Times New Roman"/>
        </w:rPr>
        <w:t xml:space="preserve"> Frequency over Time </w:t>
      </w:r>
    </w:p>
    <w:p w14:paraId="4AA63216" w14:textId="77777777" w:rsidR="009D1F19" w:rsidRDefault="009D1F19" w:rsidP="006C1CBB">
      <w:pPr>
        <w:spacing w:after="0" w:line="240" w:lineRule="auto"/>
        <w:jc w:val="both"/>
        <w:rPr>
          <w:rFonts w:ascii="Times New Roman" w:hAnsi="Times New Roman" w:cs="Times New Roman"/>
          <w:b/>
          <w:bCs/>
          <w:sz w:val="24"/>
          <w:szCs w:val="24"/>
        </w:rPr>
      </w:pPr>
    </w:p>
    <w:p w14:paraId="43B44110" w14:textId="004E3FF8" w:rsidR="00427C9D" w:rsidRDefault="00CC33BF" w:rsidP="006C1C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F73C3" w:rsidRPr="00427C9D">
        <w:rPr>
          <w:rFonts w:ascii="Times New Roman" w:hAnsi="Times New Roman" w:cs="Times New Roman"/>
          <w:b/>
          <w:bCs/>
          <w:sz w:val="24"/>
          <w:szCs w:val="24"/>
        </w:rPr>
        <w:t>.</w:t>
      </w:r>
      <w:r w:rsidR="001E14FD">
        <w:rPr>
          <w:rFonts w:ascii="Times New Roman" w:hAnsi="Times New Roman" w:cs="Times New Roman"/>
          <w:b/>
          <w:bCs/>
          <w:sz w:val="24"/>
          <w:szCs w:val="24"/>
        </w:rPr>
        <w:t>8</w:t>
      </w:r>
      <w:r w:rsidR="00BF73C3" w:rsidRPr="00427C9D">
        <w:rPr>
          <w:rFonts w:ascii="Times New Roman" w:hAnsi="Times New Roman" w:cs="Times New Roman"/>
          <w:b/>
          <w:bCs/>
          <w:sz w:val="24"/>
          <w:szCs w:val="24"/>
        </w:rPr>
        <w:t xml:space="preserve"> </w:t>
      </w:r>
      <w:r w:rsidR="003B1506" w:rsidRPr="003B1506">
        <w:rPr>
          <w:rFonts w:ascii="Times New Roman" w:hAnsi="Times New Roman" w:cs="Times New Roman"/>
          <w:b/>
          <w:bCs/>
          <w:sz w:val="24"/>
          <w:szCs w:val="24"/>
        </w:rPr>
        <w:t xml:space="preserve">Word Cloud </w:t>
      </w:r>
    </w:p>
    <w:p w14:paraId="62E06F97" w14:textId="77777777" w:rsidR="00425DFF" w:rsidRPr="00425DFF" w:rsidRDefault="00425DFF" w:rsidP="006C1CBB">
      <w:pPr>
        <w:spacing w:after="0" w:line="240" w:lineRule="auto"/>
        <w:jc w:val="both"/>
        <w:rPr>
          <w:rFonts w:ascii="Times New Roman" w:hAnsi="Times New Roman" w:cs="Times New Roman"/>
          <w:sz w:val="24"/>
          <w:szCs w:val="24"/>
        </w:rPr>
      </w:pPr>
      <w:r w:rsidRPr="00425DFF">
        <w:rPr>
          <w:rFonts w:ascii="Times New Roman" w:hAnsi="Times New Roman" w:cs="Times New Roman"/>
          <w:sz w:val="24"/>
          <w:szCs w:val="24"/>
        </w:rPr>
        <w:t>Figure 6 displays a word cloud visualization that highlights the most prevalent phrases in the academic literature on climate-smart agriculture (CSA) technologies and their implementation in drought-prone regions.  The first and most significant word is "climate change," indicating its paramount importance in the realm of CSA study.  Subsequently, phrases such as "drought," "technology adoption," "smallholder," "agricultural technology," "agriculture," and "food security" underscore the essential focal points within the discipline.</w:t>
      </w:r>
    </w:p>
    <w:p w14:paraId="5725E42C" w14:textId="77777777" w:rsidR="00425DFF" w:rsidRPr="00425DFF" w:rsidRDefault="00425DFF" w:rsidP="006C1CBB">
      <w:pPr>
        <w:spacing w:after="0" w:line="240" w:lineRule="auto"/>
        <w:jc w:val="both"/>
        <w:rPr>
          <w:rFonts w:ascii="Times New Roman" w:hAnsi="Times New Roman" w:cs="Times New Roman"/>
          <w:sz w:val="24"/>
          <w:szCs w:val="24"/>
        </w:rPr>
      </w:pPr>
      <w:r w:rsidRPr="00425DFF">
        <w:rPr>
          <w:rFonts w:ascii="Times New Roman" w:hAnsi="Times New Roman" w:cs="Times New Roman"/>
          <w:sz w:val="24"/>
          <w:szCs w:val="24"/>
        </w:rPr>
        <w:t>The use of the term "smallholder" highlights the significance of small-scale farmers in research on CSA adoption, particularly in areas vulnerable to climate stress.  The terms "technology adoption" and "agricultural technology" indicate a significant study focus on the processes and facilitators of the uptake of CSA practices.  Terms like "maize," "</w:t>
      </w:r>
      <w:proofErr w:type="spellStart"/>
      <w:r w:rsidRPr="00425DFF">
        <w:rPr>
          <w:rFonts w:ascii="Times New Roman" w:hAnsi="Times New Roman" w:cs="Times New Roman"/>
          <w:sz w:val="24"/>
          <w:szCs w:val="24"/>
        </w:rPr>
        <w:t>zeamays</w:t>
      </w:r>
      <w:proofErr w:type="spellEnd"/>
      <w:r w:rsidRPr="00425DFF">
        <w:rPr>
          <w:rFonts w:ascii="Times New Roman" w:hAnsi="Times New Roman" w:cs="Times New Roman"/>
          <w:sz w:val="24"/>
          <w:szCs w:val="24"/>
        </w:rPr>
        <w:t>," "farming system," and "crop yield" denote the specific agricultural settings and results examined about drought adaptation.</w:t>
      </w:r>
    </w:p>
    <w:p w14:paraId="019EAF13" w14:textId="7FB03DB7" w:rsidR="00694911" w:rsidRDefault="00425DFF" w:rsidP="006C1CBB">
      <w:pPr>
        <w:spacing w:after="0" w:line="240" w:lineRule="auto"/>
        <w:jc w:val="both"/>
        <w:rPr>
          <w:rFonts w:ascii="Times New Roman" w:hAnsi="Times New Roman" w:cs="Times New Roman"/>
          <w:sz w:val="24"/>
          <w:szCs w:val="24"/>
        </w:rPr>
      </w:pPr>
      <w:r w:rsidRPr="00425DFF">
        <w:rPr>
          <w:rFonts w:ascii="Times New Roman" w:hAnsi="Times New Roman" w:cs="Times New Roman"/>
          <w:sz w:val="24"/>
          <w:szCs w:val="24"/>
        </w:rPr>
        <w:t>Geographic references such as "India," "Zimbabwe," "Ghana," "Pakistan," and "Malawi" indicate the geographical focus of current work, particularly in Sub-Saharan Africa and South Asia, where the effects of drought are most pronounced.  Additional significant categories include "agricultural extension," "livestock," "adaptive management," and "alternative agriculture," highlighting the many tactics and institutional supports investigated to bolster resilience.</w:t>
      </w:r>
      <w:r>
        <w:rPr>
          <w:rFonts w:ascii="Times New Roman" w:hAnsi="Times New Roman" w:cs="Times New Roman"/>
          <w:sz w:val="24"/>
          <w:szCs w:val="24"/>
        </w:rPr>
        <w:t xml:space="preserve"> </w:t>
      </w:r>
      <w:r w:rsidRPr="00425DFF">
        <w:rPr>
          <w:rFonts w:ascii="Times New Roman" w:hAnsi="Times New Roman" w:cs="Times New Roman"/>
          <w:sz w:val="24"/>
          <w:szCs w:val="24"/>
        </w:rPr>
        <w:t xml:space="preserve">Figure 6 presents a word cloud that graphically encapsulates the principal issues, stakeholders, technologies, and geographies prevalent in the discourse on CSA innovation uptake, providing a succinct but thorough overview of the research environment informing this systematic review. </w:t>
      </w:r>
    </w:p>
    <w:p w14:paraId="08E6C1B4" w14:textId="77777777" w:rsidR="00425DFF" w:rsidRPr="00694911" w:rsidRDefault="00425DFF" w:rsidP="006C1CBB">
      <w:pPr>
        <w:spacing w:after="0" w:line="240" w:lineRule="auto"/>
        <w:rPr>
          <w:rFonts w:ascii="Times New Roman" w:hAnsi="Times New Roman" w:cs="Times New Roman"/>
          <w:sz w:val="24"/>
          <w:szCs w:val="24"/>
        </w:rPr>
      </w:pPr>
    </w:p>
    <w:p w14:paraId="7530D3E2" w14:textId="503410BA" w:rsidR="00427C9D" w:rsidRPr="00427C9D" w:rsidRDefault="003B1506" w:rsidP="006C1CBB">
      <w:pPr>
        <w:spacing w:after="0" w:line="240" w:lineRule="auto"/>
        <w:jc w:val="center"/>
        <w:rPr>
          <w:rFonts w:ascii="Times New Roman" w:hAnsi="Times New Roman" w:cs="Times New Roman"/>
          <w:b/>
          <w:bCs/>
          <w:sz w:val="24"/>
          <w:szCs w:val="24"/>
        </w:rPr>
      </w:pPr>
      <w:r>
        <w:rPr>
          <w:noProof/>
          <w:lang w:bidi="bn-BD"/>
        </w:rPr>
        <w:lastRenderedPageBreak/>
        <w:drawing>
          <wp:inline distT="0" distB="0" distL="0" distR="0" wp14:anchorId="78727F24" wp14:editId="056E6984">
            <wp:extent cx="6344416" cy="3305175"/>
            <wp:effectExtent l="19050" t="19050" r="18415" b="9525"/>
            <wp:docPr id="693219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19199" name=""/>
                    <pic:cNvPicPr/>
                  </pic:nvPicPr>
                  <pic:blipFill rotWithShape="1">
                    <a:blip r:embed="rId13"/>
                    <a:srcRect l="9295" t="9773" r="10417" b="7945"/>
                    <a:stretch>
                      <a:fillRect/>
                    </a:stretch>
                  </pic:blipFill>
                  <pic:spPr bwMode="auto">
                    <a:xfrm>
                      <a:off x="0" y="0"/>
                      <a:ext cx="6349409" cy="330777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841F3F8" w14:textId="576FED1D" w:rsidR="00CC33BF" w:rsidRPr="00425DFF" w:rsidRDefault="00427C9D" w:rsidP="006C1CBB">
      <w:pPr>
        <w:spacing w:after="0" w:line="240" w:lineRule="auto"/>
        <w:jc w:val="center"/>
        <w:rPr>
          <w:rFonts w:ascii="Times New Roman" w:hAnsi="Times New Roman" w:cs="Times New Roman"/>
          <w:b/>
          <w:bCs/>
          <w:sz w:val="24"/>
          <w:szCs w:val="24"/>
        </w:rPr>
      </w:pPr>
      <w:r w:rsidRPr="00427C9D">
        <w:rPr>
          <w:rFonts w:ascii="Times New Roman" w:hAnsi="Times New Roman" w:cs="Times New Roman"/>
          <w:b/>
          <w:bCs/>
          <w:sz w:val="24"/>
          <w:szCs w:val="24"/>
        </w:rPr>
        <w:t xml:space="preserve">Figure </w:t>
      </w:r>
      <w:r w:rsidR="003E6331">
        <w:rPr>
          <w:rFonts w:ascii="Times New Roman" w:hAnsi="Times New Roman" w:cs="Times New Roman"/>
          <w:b/>
          <w:bCs/>
          <w:sz w:val="24"/>
          <w:szCs w:val="24"/>
        </w:rPr>
        <w:t>6</w:t>
      </w:r>
      <w:r w:rsidRPr="00427C9D">
        <w:rPr>
          <w:rFonts w:ascii="Times New Roman" w:hAnsi="Times New Roman" w:cs="Times New Roman"/>
          <w:b/>
          <w:bCs/>
          <w:sz w:val="24"/>
          <w:szCs w:val="24"/>
        </w:rPr>
        <w:t xml:space="preserve">. </w:t>
      </w:r>
      <w:r w:rsidR="00C75B92">
        <w:rPr>
          <w:rFonts w:ascii="Times New Roman" w:hAnsi="Times New Roman" w:cs="Times New Roman"/>
          <w:b/>
          <w:bCs/>
          <w:sz w:val="24"/>
          <w:szCs w:val="24"/>
        </w:rPr>
        <w:t xml:space="preserve"> </w:t>
      </w:r>
      <w:r w:rsidR="003B1506">
        <w:rPr>
          <w:rFonts w:ascii="Times New Roman" w:hAnsi="Times New Roman" w:cs="Times New Roman"/>
          <w:sz w:val="24"/>
          <w:szCs w:val="24"/>
        </w:rPr>
        <w:t>Word Cloud of this Research</w:t>
      </w:r>
    </w:p>
    <w:p w14:paraId="7C84A379" w14:textId="77777777" w:rsidR="00CC33BF" w:rsidRDefault="00CC33BF" w:rsidP="006C1CBB">
      <w:pPr>
        <w:spacing w:after="0" w:line="240" w:lineRule="auto"/>
        <w:rPr>
          <w:rFonts w:ascii="Times New Roman" w:hAnsi="Times New Roman" w:cs="Times New Roman"/>
          <w:b/>
          <w:sz w:val="28"/>
          <w:szCs w:val="28"/>
        </w:rPr>
      </w:pPr>
    </w:p>
    <w:p w14:paraId="432C808F" w14:textId="3BA73B86" w:rsidR="002E6621" w:rsidRPr="002E6621" w:rsidRDefault="00290951" w:rsidP="006C1CBB">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r w:rsidR="00E85E90" w:rsidRPr="002E6621">
        <w:rPr>
          <w:rFonts w:ascii="Times New Roman" w:hAnsi="Times New Roman" w:cs="Times New Roman"/>
          <w:b/>
          <w:sz w:val="28"/>
          <w:szCs w:val="28"/>
        </w:rPr>
        <w:t>.</w:t>
      </w:r>
      <w:r w:rsidR="006765BD" w:rsidRPr="002E6621">
        <w:rPr>
          <w:rFonts w:ascii="Times New Roman" w:hAnsi="Times New Roman" w:cs="Times New Roman"/>
          <w:b/>
          <w:sz w:val="28"/>
          <w:szCs w:val="28"/>
        </w:rPr>
        <w:t>0</w:t>
      </w:r>
      <w:r w:rsidR="002E6621" w:rsidRPr="002E6621">
        <w:rPr>
          <w:rFonts w:ascii="Times New Roman" w:hAnsi="Times New Roman" w:cs="Times New Roman"/>
          <w:b/>
          <w:sz w:val="28"/>
          <w:szCs w:val="28"/>
        </w:rPr>
        <w:t xml:space="preserve"> Discussion</w:t>
      </w:r>
    </w:p>
    <w:p w14:paraId="2FD023F6" w14:textId="77777777" w:rsidR="0014518A" w:rsidRDefault="0014518A" w:rsidP="006C1CBB">
      <w:pPr>
        <w:spacing w:after="0" w:line="240" w:lineRule="auto"/>
        <w:jc w:val="both"/>
        <w:rPr>
          <w:rFonts w:ascii="Times New Roman" w:hAnsi="Times New Roman" w:cs="Times New Roman"/>
          <w:bCs/>
          <w:sz w:val="24"/>
          <w:szCs w:val="24"/>
        </w:rPr>
      </w:pPr>
    </w:p>
    <w:p w14:paraId="39408FC2" w14:textId="5AC0C19A"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This comprehensive literature analysis elucidates the changing dynamics of Climate-Smart Agriculture (CSA) technologies and their implementation in drought-affected areas. The bibliometric study reveals numerous significant trends and thematic objectives that have shaped academic discourse over the past decade.</w:t>
      </w:r>
      <w:r>
        <w:rPr>
          <w:rFonts w:ascii="Times New Roman" w:hAnsi="Times New Roman" w:cs="Times New Roman"/>
          <w:bCs/>
          <w:sz w:val="24"/>
          <w:szCs w:val="24"/>
        </w:rPr>
        <w:t xml:space="preserve"> </w:t>
      </w:r>
      <w:r w:rsidRPr="003F0367">
        <w:rPr>
          <w:rFonts w:ascii="Times New Roman" w:hAnsi="Times New Roman" w:cs="Times New Roman"/>
          <w:bCs/>
          <w:sz w:val="24"/>
          <w:szCs w:val="24"/>
        </w:rPr>
        <w:t>The rapid expansion of CSA research, marked by a significant yearly rise of 31.8%, highlights an increasing acknowledgement of the need to improve agricultural resilience in the face of climate stress. The recent average age of the papers (2.8 years) indicates the field's growing and dynamic nature, marked by prompt reactions to environmental issues. The elevated citation average of 23.14 citations per document substantiates the significance and influence of this study topic among the broader scientific community.</w:t>
      </w:r>
    </w:p>
    <w:p w14:paraId="4B20FB24" w14:textId="60816BF0"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 xml:space="preserve">A pronounced propensity for collaborative research is evident, with an average of 4.4 co-authors per paper and approximately 48.6% of papers including foreign co-authorships. This underscores the fundamentally global and multidisciplinary nature of CSA adoption research, which requires </w:t>
      </w:r>
      <w:r>
        <w:rPr>
          <w:rFonts w:ascii="Times New Roman" w:hAnsi="Times New Roman" w:cs="Times New Roman"/>
          <w:bCs/>
          <w:sz w:val="24"/>
          <w:szCs w:val="24"/>
        </w:rPr>
        <w:t>exchanging</w:t>
      </w:r>
      <w:r w:rsidRPr="003F0367">
        <w:rPr>
          <w:rFonts w:ascii="Times New Roman" w:hAnsi="Times New Roman" w:cs="Times New Roman"/>
          <w:bCs/>
          <w:sz w:val="24"/>
          <w:szCs w:val="24"/>
        </w:rPr>
        <w:t xml:space="preserve"> information across boundaries and fields. The limited quantity of single-authored articles highlights a shift from solitary endeavors to collaborative academic engagement in addressing complex climate challenges.</w:t>
      </w:r>
      <w:r>
        <w:rPr>
          <w:rFonts w:ascii="Times New Roman" w:hAnsi="Times New Roman" w:cs="Times New Roman"/>
          <w:bCs/>
          <w:sz w:val="24"/>
          <w:szCs w:val="24"/>
        </w:rPr>
        <w:t xml:space="preserve"> </w:t>
      </w:r>
      <w:r w:rsidRPr="003F0367">
        <w:rPr>
          <w:rFonts w:ascii="Times New Roman" w:hAnsi="Times New Roman" w:cs="Times New Roman"/>
          <w:bCs/>
          <w:sz w:val="24"/>
          <w:szCs w:val="24"/>
        </w:rPr>
        <w:t>The publishing pattern (Figure 2) shows a heightened academic interest, culminating in a notable peak in 2024. The minor declines in 2020 and 2022 may be ascribed to exogenous disturbances, including the COVID-19 pandemic. The trend indicates a growing dedication to understanding and advancing CSA technologies as essential adaptation strategies, particularly in water-scarce regions.</w:t>
      </w:r>
      <w:r>
        <w:rPr>
          <w:rFonts w:ascii="Times New Roman" w:hAnsi="Times New Roman" w:cs="Times New Roman"/>
          <w:bCs/>
          <w:sz w:val="24"/>
          <w:szCs w:val="24"/>
        </w:rPr>
        <w:t xml:space="preserve"> </w:t>
      </w:r>
      <w:r w:rsidRPr="003F0367">
        <w:rPr>
          <w:rFonts w:ascii="Times New Roman" w:hAnsi="Times New Roman" w:cs="Times New Roman"/>
          <w:bCs/>
          <w:sz w:val="24"/>
          <w:szCs w:val="24"/>
        </w:rPr>
        <w:t xml:space="preserve">The source analysis (Table 2) highlights that research on CSA uptake encompasses many prominent publications dedicated to sustainability, policy, and climate adaptation. Journals such as Mitigation and Adaptation Strategies for Global Change and Climate Risk Management provide multidisciplinary venues for promoting discussions on Climate-Smart Agriculture (CSA). This distribution confirms the </w:t>
      </w:r>
      <w:r w:rsidRPr="003F0367">
        <w:rPr>
          <w:rFonts w:ascii="Times New Roman" w:hAnsi="Times New Roman" w:cs="Times New Roman"/>
          <w:bCs/>
          <w:sz w:val="24"/>
          <w:szCs w:val="24"/>
        </w:rPr>
        <w:lastRenderedPageBreak/>
        <w:t>interdisciplinary nature of CSA research, which encompasses agricultural science, environmental studies, development policy, and socioeconomics.</w:t>
      </w:r>
    </w:p>
    <w:p w14:paraId="02BD1FEB" w14:textId="1B875A48"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Institutional contributions (Table 3) indicate a robust research presence from South Asia and Sub-Saharan Africa, with institutions such as ICAR-CRIDA (India) and KNUST (Ghana) assuming prominent roles. These places exhibit significant susceptibility to drought, elucidating their scholarly involvement and leadership. The repetition of institutional names (e.g., ICAR-CRIDA appearing twice) suggests a need for metadata harmonization in bibliometric datasets, a common issue in affiliation mapping.</w:t>
      </w:r>
      <w:r>
        <w:rPr>
          <w:rFonts w:ascii="Times New Roman" w:hAnsi="Times New Roman" w:cs="Times New Roman"/>
          <w:bCs/>
          <w:sz w:val="24"/>
          <w:szCs w:val="24"/>
        </w:rPr>
        <w:t xml:space="preserve"> </w:t>
      </w:r>
      <w:r w:rsidRPr="003F0367">
        <w:rPr>
          <w:rFonts w:ascii="Times New Roman" w:hAnsi="Times New Roman" w:cs="Times New Roman"/>
          <w:bCs/>
          <w:sz w:val="24"/>
          <w:szCs w:val="24"/>
        </w:rPr>
        <w:t>The study by the associated author (Table 4 and Figure 3) corroborates the geographical concentration of CSA research in the Global South, particularly in India, Ethiopia, Nigeria, and Kenya. Elevated MCP (Multiple Country Publication) percentages, particularly in Ethiopia (62.5%) and China (100%), indicate a commitment to international cooperation, which is essential for formulating context-sensitive, scalable CSA tactics. In contrast, nations such as South Africa have reduced MCPs, suggesting a research agenda that is more locally oriented, which may be attributable to a robust national capability.</w:t>
      </w:r>
    </w:p>
    <w:p w14:paraId="75D8A2D2" w14:textId="64BC094C"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 xml:space="preserve">The citation data (Figure 4) demonstrates the variation in research impact across nations. </w:t>
      </w:r>
      <w:r>
        <w:rPr>
          <w:rFonts w:ascii="Times New Roman" w:hAnsi="Times New Roman" w:cs="Times New Roman"/>
          <w:bCs/>
          <w:sz w:val="24"/>
          <w:szCs w:val="24"/>
        </w:rPr>
        <w:t>Despite a lower volume of publications, nations such as the Netherlands and Colombia</w:t>
      </w:r>
      <w:r w:rsidRPr="003F0367">
        <w:rPr>
          <w:rFonts w:ascii="Times New Roman" w:hAnsi="Times New Roman" w:cs="Times New Roman"/>
          <w:bCs/>
          <w:sz w:val="24"/>
          <w:szCs w:val="24"/>
        </w:rPr>
        <w:t xml:space="preserve"> have very high average citations per article, indicating significant contributions or impactful techniques that have influenced CSA adoption frameworks. India's preeminence in publication quantity and citation frequency underscores its pivotal position in the global CSA dialogue.</w:t>
      </w:r>
    </w:p>
    <w:p w14:paraId="12EB4E99" w14:textId="627B08DD"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 xml:space="preserve">The historical and conceptual examination of keyword frequencies (Figure 5) </w:t>
      </w:r>
      <w:r>
        <w:rPr>
          <w:rFonts w:ascii="Times New Roman" w:hAnsi="Times New Roman" w:cs="Times New Roman"/>
          <w:bCs/>
          <w:sz w:val="24"/>
          <w:szCs w:val="24"/>
        </w:rPr>
        <w:t>highlights</w:t>
      </w:r>
      <w:r w:rsidRPr="003F0367">
        <w:rPr>
          <w:rFonts w:ascii="Times New Roman" w:hAnsi="Times New Roman" w:cs="Times New Roman"/>
          <w:bCs/>
          <w:sz w:val="24"/>
          <w:szCs w:val="24"/>
        </w:rPr>
        <w:t xml:space="preserve"> the rising prominence of "drought" and "technology adoption" in contemporary literature, corresponding with an increased understanding of climate change's effects on water availability and agricultural output. The use of crop-specific terminology, such as "maize" and "</w:t>
      </w:r>
      <w:proofErr w:type="spellStart"/>
      <w:r w:rsidRPr="003F0367">
        <w:rPr>
          <w:rFonts w:ascii="Times New Roman" w:hAnsi="Times New Roman" w:cs="Times New Roman"/>
          <w:bCs/>
          <w:sz w:val="24"/>
          <w:szCs w:val="24"/>
        </w:rPr>
        <w:t>Zea</w:t>
      </w:r>
      <w:proofErr w:type="spellEnd"/>
      <w:r w:rsidRPr="003F0367">
        <w:rPr>
          <w:rFonts w:ascii="Times New Roman" w:hAnsi="Times New Roman" w:cs="Times New Roman"/>
          <w:bCs/>
          <w:sz w:val="24"/>
          <w:szCs w:val="24"/>
        </w:rPr>
        <w:t xml:space="preserve"> mays," demonstrates the utilization of these crops as primary subjects in assessing the efficacy of crop-specific agriculture (CSA).</w:t>
      </w:r>
    </w:p>
    <w:p w14:paraId="15B9B975" w14:textId="77777777" w:rsid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The word cloud (Figure 6) confirms the principal topics in CSA adoption research: climate change, drought, smallholders, food security, and agricultural technology. The use of terminology associated with adaptive management, extension services, and regional case studies (e.g., India, Zimbabwe, Ghana) reinforces the contextual and practical focus of the CSA study.</w:t>
      </w:r>
    </w:p>
    <w:p w14:paraId="134B1BE4" w14:textId="23EEA842" w:rsidR="003F0367" w:rsidRPr="003F0367"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The results indicate that research on CSA adoption is:</w:t>
      </w:r>
    </w:p>
    <w:p w14:paraId="2E9873E5" w14:textId="222196E0" w:rsidR="003F0367" w:rsidRPr="003F0367" w:rsidRDefault="003F0367" w:rsidP="006C1CBB">
      <w:pPr>
        <w:pStyle w:val="ListParagraph"/>
        <w:numPr>
          <w:ilvl w:val="0"/>
          <w:numId w:val="21"/>
        </w:num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Expanding swiftly and becoming more collaborative;</w:t>
      </w:r>
    </w:p>
    <w:p w14:paraId="6BA1C946" w14:textId="110C69F1" w:rsidR="003F0367" w:rsidRPr="003F0367" w:rsidRDefault="003F0367" w:rsidP="006C1CBB">
      <w:pPr>
        <w:pStyle w:val="ListParagraph"/>
        <w:numPr>
          <w:ilvl w:val="0"/>
          <w:numId w:val="21"/>
        </w:num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Motivated by organizations and nations in susceptible drought-affected areas;</w:t>
      </w:r>
    </w:p>
    <w:p w14:paraId="38B372AC" w14:textId="2448EB04" w:rsidR="003F0367" w:rsidRPr="003F0367" w:rsidRDefault="003F0367" w:rsidP="006C1CBB">
      <w:pPr>
        <w:pStyle w:val="ListParagraph"/>
        <w:numPr>
          <w:ilvl w:val="0"/>
          <w:numId w:val="21"/>
        </w:num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Concentrated on smallholder farmers, technical advancements, and food security results;</w:t>
      </w:r>
    </w:p>
    <w:p w14:paraId="1151715C" w14:textId="1B6D15C9" w:rsidR="003F0367" w:rsidRPr="003F0367" w:rsidRDefault="003F0367" w:rsidP="006C1CBB">
      <w:pPr>
        <w:pStyle w:val="ListParagraph"/>
        <w:numPr>
          <w:ilvl w:val="0"/>
          <w:numId w:val="21"/>
        </w:num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Influenced by many widely regarded foundational texts that impact global dialogue.</w:t>
      </w:r>
    </w:p>
    <w:p w14:paraId="4584EB68" w14:textId="0D17E5BE" w:rsidR="008C1666" w:rsidRDefault="003F0367" w:rsidP="006C1CBB">
      <w:pPr>
        <w:spacing w:after="0" w:line="240" w:lineRule="auto"/>
        <w:jc w:val="both"/>
        <w:rPr>
          <w:rFonts w:ascii="Times New Roman" w:hAnsi="Times New Roman" w:cs="Times New Roman"/>
          <w:bCs/>
          <w:sz w:val="24"/>
          <w:szCs w:val="24"/>
        </w:rPr>
      </w:pPr>
      <w:r w:rsidRPr="003F0367">
        <w:rPr>
          <w:rFonts w:ascii="Times New Roman" w:hAnsi="Times New Roman" w:cs="Times New Roman"/>
          <w:bCs/>
          <w:sz w:val="24"/>
          <w:szCs w:val="24"/>
        </w:rPr>
        <w:t>This analysis underscores the crucial need for ongoing support of international partnerships, the standardization of research information, and inclusive policies that bridge the gap between scientific knowledge and its local application. Future studies must explore the socio-economic, institutional, and behavioral determinants of CSA adoption, especially in settings with rapidly changing climatic conditions and resource limitations</w:t>
      </w:r>
      <w:r w:rsidR="00622389">
        <w:rPr>
          <w:rFonts w:ascii="Times New Roman" w:hAnsi="Times New Roman" w:cs="Times New Roman"/>
          <w:bCs/>
          <w:sz w:val="24"/>
          <w:szCs w:val="24"/>
        </w:rPr>
        <w:t xml:space="preserve"> </w:t>
      </w:r>
      <w:r w:rsidR="00622389">
        <w:rPr>
          <w:rFonts w:ascii="Times New Roman" w:hAnsi="Times New Roman" w:cs="Times New Roman"/>
          <w:bCs/>
          <w:sz w:val="24"/>
          <w:szCs w:val="24"/>
        </w:rPr>
        <w:fldChar w:fldCharType="begin"/>
      </w:r>
      <w:r w:rsidR="00622389">
        <w:rPr>
          <w:rFonts w:ascii="Times New Roman" w:hAnsi="Times New Roman" w:cs="Times New Roman"/>
          <w:bCs/>
          <w:sz w:val="24"/>
          <w:szCs w:val="24"/>
        </w:rPr>
        <w:instrText xml:space="preserve"> ADDIN ZOTERO_ITEM CSL_CITATION {"citationID":"Y7KSan8j","properties":{"formattedCitation":"(Kifle et al., 2022; Manono et al., 2025)","plainCitation":"(Kifle et al., 2022; Manono et al., 2025)","noteIndex":0},"citationItems":[{"id":2219,"uris":["http://zotero.org/users/local/OSBVH90z/items/THMQSVX3"],"itemData":{"id":2219,"type":"article-journal","container-title":"Climate Services","DOI":"10.1016/j.cliser.2022.100290","ISSN":"2405-8807","language":"en","license":"https://www.elsevier.com/tdm/userlicense/1.0/","note":"publisher: Elsevier BV","page":"100290","source":"Crossref","title":"Factors influencing farmers adoption of climate smart agriculture to respond climate variability in Siyadebrina Wayu District, Central highland of Ethiopia","volume":"26","author":[{"family":"Kifle","given":"Tekeste"},{"family":"Ayal","given":"Desalegn Yayeh"},{"family":"Mulugeta","given":"Messay"}],"issued":{"date-parts":[["2022",4]]}}},{"id":2218,"uris":["http://zotero.org/users/local/OSBVH90z/items/GEKSELY7"],"itemData":{"id":2218,"type":"article-journal","abstract":"Climate change and variability are characterized by unpredictable and extreme weather events. They adversely impact the highly susceptible smallholder farmers in sub-Saharan Africa, who heavily rely on rain-fed agriculture. Climate smart agriculture (CSA) practices have been extensively promoted as offering long-term solutions to changing climate conditions, while enhancing the productivity and sustainability of African agricultural systems. Despite this, the adoption rate remains low among smallholder farmers. Understanding the factors that influence adoption of these practices among this key farming community is therefore necessary to increase their adoption. In this paper, we review and summarize findings from existing studies on the factors that influence the adoption of CSA practices by smallholder farmers in sub-Saharan Africa. Our review reveals that land tenure security, access to information and extension services, and affiliation to group membership positively influence adoption. On the other hand, gender, risk perception, and off-farm income had conflicting effects by reporting both positive and negative influences on CSA adoption. We conclude that CSA adoption options are local-specific, and their development and implementation should emphasize locally tailored knowledge, skills, and resources.","container-title":"Earth","DOI":"10.3390/earth6020048","ISSN":"2673-4834","issue":"2","language":"en","license":"https://creativecommons.org/licenses/by/4.0/","note":"publisher: MDPI AG","page":"48","source":"Crossref","title":"A Review of the Socio-Economic, Institutional, and Biophysical Factors Influencing Smallholder Farmers’ Adoption of Climate Smart Agricultural Practices in Sub-Saharan Africa","volume":"6","author":[{"family":"Manono","given":"Bonface O."},{"family":"Khan","given":"Shahbaz"},{"family":"Kithaka","given":"Kelvin Mutugi"}],"issued":{"date-parts":[["2025",6,1]]}}}],"schema":"https://github.com/citation-style-language/schema/raw/master/csl-citation.json"} </w:instrText>
      </w:r>
      <w:r w:rsidR="00622389">
        <w:rPr>
          <w:rFonts w:ascii="Times New Roman" w:hAnsi="Times New Roman" w:cs="Times New Roman"/>
          <w:bCs/>
          <w:sz w:val="24"/>
          <w:szCs w:val="24"/>
        </w:rPr>
        <w:fldChar w:fldCharType="separate"/>
      </w:r>
      <w:r w:rsidR="00622389" w:rsidRPr="00622389">
        <w:rPr>
          <w:rFonts w:ascii="Times New Roman" w:hAnsi="Times New Roman" w:cs="Times New Roman"/>
          <w:sz w:val="24"/>
        </w:rPr>
        <w:t>(Kifle et al., 2022; Manono et al., 2025)</w:t>
      </w:r>
      <w:r w:rsidR="00622389">
        <w:rPr>
          <w:rFonts w:ascii="Times New Roman" w:hAnsi="Times New Roman" w:cs="Times New Roman"/>
          <w:bCs/>
          <w:sz w:val="24"/>
          <w:szCs w:val="24"/>
        </w:rPr>
        <w:fldChar w:fldCharType="end"/>
      </w:r>
      <w:r w:rsidRPr="003F0367">
        <w:rPr>
          <w:rFonts w:ascii="Times New Roman" w:hAnsi="Times New Roman" w:cs="Times New Roman"/>
          <w:bCs/>
          <w:sz w:val="24"/>
          <w:szCs w:val="24"/>
        </w:rPr>
        <w:t xml:space="preserve">. </w:t>
      </w:r>
    </w:p>
    <w:p w14:paraId="3AAE85D6" w14:textId="55335E35" w:rsidR="008C1666" w:rsidRPr="00072441" w:rsidRDefault="004478C9" w:rsidP="006C1CBB">
      <w:pPr>
        <w:spacing w:after="0" w:line="240" w:lineRule="auto"/>
        <w:jc w:val="both"/>
        <w:rPr>
          <w:rFonts w:ascii="Times New Roman" w:hAnsi="Times New Roman" w:cs="Times New Roman"/>
          <w:bCs/>
          <w:sz w:val="24"/>
          <w:szCs w:val="24"/>
        </w:rPr>
      </w:pPr>
      <w:r w:rsidRPr="00072441">
        <w:rPr>
          <w:rFonts w:ascii="Times New Roman" w:hAnsi="Times New Roman" w:cs="Times New Roman"/>
          <w:bCs/>
          <w:sz w:val="24"/>
          <w:szCs w:val="24"/>
        </w:rPr>
        <w:t xml:space="preserve">Limitations of this bibliometric approach should also be acknowledged. First, the analysis is limited to the Scopus database, which, while comprehensive, may exclude relevant studies published in regional journals or languages other than English. Second, the bibliometric metrics (e.g., citation counts, keyword co-occurrence) emphasize quantity over contextual depth and may overlook nuanced socio-cultural dynamics that affect CSA adoption. Third, inconsistencies in author affiliations and keyword tagging can lead to data duplication or misrepresentation. Finally, while network visualizations reveal trends, they do not explain causal relationships. These </w:t>
      </w:r>
      <w:r w:rsidRPr="00072441">
        <w:rPr>
          <w:rFonts w:ascii="Times New Roman" w:hAnsi="Times New Roman" w:cs="Times New Roman"/>
          <w:bCs/>
          <w:sz w:val="24"/>
          <w:szCs w:val="24"/>
        </w:rPr>
        <w:lastRenderedPageBreak/>
        <w:t>limitations highlight the need to complement bibliometric findings with qualitative insights and field-based case studies.</w:t>
      </w:r>
    </w:p>
    <w:p w14:paraId="330F8753" w14:textId="5A1FCEAD" w:rsidR="00037B0E" w:rsidRPr="00232144" w:rsidRDefault="00CC33BF" w:rsidP="006C1CBB">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 </w:t>
      </w:r>
    </w:p>
    <w:p w14:paraId="036D3B02" w14:textId="2CDCD6C1" w:rsidR="000C713D" w:rsidRPr="00F948D8" w:rsidRDefault="00290951"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A56031" w:rsidRPr="00F948D8">
        <w:rPr>
          <w:rFonts w:ascii="Times New Roman" w:hAnsi="Times New Roman" w:cs="Times New Roman"/>
          <w:b/>
          <w:sz w:val="28"/>
          <w:szCs w:val="28"/>
        </w:rPr>
        <w:t>.</w:t>
      </w:r>
      <w:r w:rsidR="006765BD" w:rsidRPr="00F948D8">
        <w:rPr>
          <w:rFonts w:ascii="Times New Roman" w:hAnsi="Times New Roman" w:cs="Times New Roman"/>
          <w:b/>
          <w:sz w:val="28"/>
          <w:szCs w:val="28"/>
        </w:rPr>
        <w:t>0</w:t>
      </w:r>
      <w:r w:rsidR="00A56031" w:rsidRPr="00F948D8">
        <w:rPr>
          <w:rFonts w:ascii="Times New Roman" w:hAnsi="Times New Roman" w:cs="Times New Roman"/>
          <w:b/>
          <w:sz w:val="28"/>
          <w:szCs w:val="28"/>
        </w:rPr>
        <w:t xml:space="preserve"> Conclusions</w:t>
      </w:r>
    </w:p>
    <w:p w14:paraId="0087DB1B" w14:textId="36D93082" w:rsidR="000C713D" w:rsidRDefault="000C713D" w:rsidP="006C1CBB">
      <w:pPr>
        <w:spacing w:after="0" w:line="240" w:lineRule="auto"/>
        <w:jc w:val="both"/>
        <w:rPr>
          <w:rFonts w:ascii="Times New Roman" w:hAnsi="Times New Roman" w:cs="Times New Roman"/>
          <w:bCs/>
          <w:sz w:val="24"/>
          <w:szCs w:val="24"/>
        </w:rPr>
      </w:pPr>
    </w:p>
    <w:p w14:paraId="6CD48B8C" w14:textId="77777777" w:rsidR="003240FF" w:rsidRPr="003240FF" w:rsidRDefault="003240FF" w:rsidP="006C1CBB">
      <w:pPr>
        <w:spacing w:after="0" w:line="240" w:lineRule="auto"/>
        <w:jc w:val="both"/>
        <w:rPr>
          <w:rFonts w:ascii="Times New Roman" w:hAnsi="Times New Roman" w:cs="Times New Roman"/>
          <w:bCs/>
          <w:sz w:val="24"/>
          <w:szCs w:val="24"/>
        </w:rPr>
      </w:pPr>
      <w:r w:rsidRPr="003240FF">
        <w:rPr>
          <w:rFonts w:ascii="Times New Roman" w:hAnsi="Times New Roman" w:cs="Times New Roman"/>
          <w:bCs/>
          <w:sz w:val="24"/>
          <w:szCs w:val="24"/>
        </w:rPr>
        <w:t xml:space="preserve">This comprehensive literature analysis consolidates a decade (2016–2025) of academic investigations into the implementation of Climate-Smart Agriculture (CSA) technologies for drought adaptation, highlighting a swiftly evolving yet unequal research terrain. A bibliometric examination of 107 articles reveals significant growth (31.8% yearly increase) and strong international cooperation (48.6% multiple-country publications), highlighting the critical need for climate resilience in agriculture. The domain is characterized by robust leadership from institutions and countries in drought-prone areas, particularly the Kwame Nkrumah University of Science and Technology (Ghana), ICAR-CRIDA (India), and CIAT (Colombia), highlighting the regional need for adaptable solutions. Thematic analysis designates smallholder farmers as pivotal stakeholders, emphasizing research on scientific breakthroughs (e.g., drought-resistant cultivars such as </w:t>
      </w:r>
      <w:proofErr w:type="spellStart"/>
      <w:r w:rsidRPr="003240FF">
        <w:rPr>
          <w:rFonts w:ascii="Times New Roman" w:hAnsi="Times New Roman" w:cs="Times New Roman"/>
          <w:bCs/>
          <w:sz w:val="24"/>
          <w:szCs w:val="24"/>
        </w:rPr>
        <w:t>Zea</w:t>
      </w:r>
      <w:proofErr w:type="spellEnd"/>
      <w:r w:rsidRPr="003240FF">
        <w:rPr>
          <w:rFonts w:ascii="Times New Roman" w:hAnsi="Times New Roman" w:cs="Times New Roman"/>
          <w:bCs/>
          <w:sz w:val="24"/>
          <w:szCs w:val="24"/>
        </w:rPr>
        <w:t xml:space="preserve"> mays), socioeconomic facilitators (e.g., extension services and access to financing), and co-benefits related to food security. The geographic concentration in South Asia and Sub-Saharan Africa, as indicated by connections and country-specific terms such as "India," "Zimbabwe," and "Malawi," corresponds with these countries' severe vulnerability to water shortages while highlighting notable deficiencies in Latin America and arid regions.</w:t>
      </w:r>
    </w:p>
    <w:p w14:paraId="72471B3D" w14:textId="6B6E26AA" w:rsidR="003C4747" w:rsidRPr="00072441" w:rsidRDefault="003240FF" w:rsidP="006C1CBB">
      <w:pPr>
        <w:spacing w:after="0" w:line="240" w:lineRule="auto"/>
        <w:jc w:val="both"/>
        <w:rPr>
          <w:rFonts w:ascii="Times New Roman" w:hAnsi="Times New Roman" w:cs="Times New Roman"/>
          <w:bCs/>
          <w:sz w:val="24"/>
          <w:szCs w:val="24"/>
        </w:rPr>
      </w:pPr>
      <w:r w:rsidRPr="003240FF">
        <w:rPr>
          <w:rFonts w:ascii="Times New Roman" w:hAnsi="Times New Roman" w:cs="Times New Roman"/>
          <w:bCs/>
          <w:sz w:val="24"/>
          <w:szCs w:val="24"/>
        </w:rPr>
        <w:t>Notwithstanding advancements, significant constraints remain. Initially, methodological uniformity prevails, with household surveys dominating over mixed-methods techniques that might elucidate intricate adoption hurdles (e.g., gender dynamics, cultural attitudes). Thematic imbalances arise: whereas "agricultural technology" and "drought resistance" are prominently featured (Figure 5), policy frameworks, market connections, and gender equality are insufficiently examined, thereby impeding the development of scalable solutions. The disconnection between research impact and local applicability is apparent: high-impact publications from the Netherlands (average of 149 citations per article) and Colombia (average of 103) emphasize theoretical models, while practitioner-oriented studies from drought-affected regions (such as Ethiopia and Nigeria) garner disproportionately less attention, despite their contextual significance. Fourth, discrepancies in affiliations (e.g., multiple entries for ICAR-CRIDA) and fragmented information hinder knowledge synthesis, indicating a lack of uniformity in bibliographic reporting.</w:t>
      </w:r>
    </w:p>
    <w:p w14:paraId="3E2531BA" w14:textId="7BCE3E5E" w:rsidR="003C4747" w:rsidRDefault="003C4747" w:rsidP="006C1CBB">
      <w:pPr>
        <w:spacing w:after="0" w:line="240" w:lineRule="auto"/>
        <w:jc w:val="both"/>
        <w:rPr>
          <w:rFonts w:ascii="Times New Roman" w:hAnsi="Times New Roman" w:cs="Times New Roman"/>
          <w:bCs/>
          <w:sz w:val="24"/>
          <w:szCs w:val="24"/>
        </w:rPr>
      </w:pPr>
      <w:r w:rsidRPr="00072441">
        <w:rPr>
          <w:rFonts w:ascii="Times New Roman" w:hAnsi="Times New Roman" w:cs="Times New Roman"/>
          <w:bCs/>
          <w:sz w:val="24"/>
          <w:szCs w:val="24"/>
        </w:rPr>
        <w:t>This study contributes uniquely to the literature by providing the first comprehensive bibliometric mapping of CSA adoption in drought-prone areas across nearly a decade of research. It bridges fragmented evidence, highlights regional leadership, uncovers systemic gaps, and proposes actionable pathways for aligning innovation ecosystems with localized resilience needs. These insights are essential for guiding both policy interventions and future academic inquiry in climate-resilient agriculture.</w:t>
      </w:r>
    </w:p>
    <w:p w14:paraId="64DB830B" w14:textId="2C9D798E" w:rsidR="00A54896" w:rsidRDefault="003240FF" w:rsidP="006C1CBB">
      <w:pPr>
        <w:spacing w:after="0" w:line="240" w:lineRule="auto"/>
        <w:jc w:val="both"/>
        <w:rPr>
          <w:rFonts w:ascii="Times New Roman" w:hAnsi="Times New Roman" w:cs="Times New Roman"/>
          <w:bCs/>
          <w:sz w:val="24"/>
          <w:szCs w:val="24"/>
        </w:rPr>
      </w:pPr>
      <w:r w:rsidRPr="003240FF">
        <w:rPr>
          <w:rFonts w:ascii="Times New Roman" w:hAnsi="Times New Roman" w:cs="Times New Roman"/>
          <w:bCs/>
          <w:sz w:val="24"/>
          <w:szCs w:val="24"/>
        </w:rPr>
        <w:t>This review confirms that for policymakers, the expansion of Climate-Smart Agriculture (CSA) necessitates integrated innovation ecosystems that are both locally rooted and globally interconnected. It emphasizes three key actions: (</w:t>
      </w:r>
      <w:proofErr w:type="spellStart"/>
      <w:r w:rsidRPr="003240FF">
        <w:rPr>
          <w:rFonts w:ascii="Times New Roman" w:hAnsi="Times New Roman" w:cs="Times New Roman"/>
          <w:bCs/>
          <w:sz w:val="24"/>
          <w:szCs w:val="24"/>
        </w:rPr>
        <w:t>i</w:t>
      </w:r>
      <w:proofErr w:type="spellEnd"/>
      <w:r w:rsidRPr="003240FF">
        <w:rPr>
          <w:rFonts w:ascii="Times New Roman" w:hAnsi="Times New Roman" w:cs="Times New Roman"/>
          <w:bCs/>
          <w:sz w:val="24"/>
          <w:szCs w:val="24"/>
        </w:rPr>
        <w:t xml:space="preserve">) directing investments towards contextually validated practices such as water harvesting and agroforestry in community-managed landscapes; (ii) enhancing knowledge exchange through South learning networks, exemplified by India-Africa collaborations on drought-resistant seeds; and (iii) instituting "resilience impact assessments" within national agricultural policies to formalize CSA implementation. Transforming drought adaptation requires a shift from technology-focused models to comprehensive resilience </w:t>
      </w:r>
      <w:r w:rsidRPr="003240FF">
        <w:rPr>
          <w:rFonts w:ascii="Times New Roman" w:hAnsi="Times New Roman" w:cs="Times New Roman"/>
          <w:bCs/>
          <w:sz w:val="24"/>
          <w:szCs w:val="24"/>
        </w:rPr>
        <w:lastRenderedPageBreak/>
        <w:t xml:space="preserve">frameworks that integrate research, policy, and grassroots initiatives to protect smallholder livelihoods in the face of climate instability. </w:t>
      </w:r>
    </w:p>
    <w:p w14:paraId="17E52D2B" w14:textId="77777777" w:rsidR="00A54896" w:rsidRDefault="00A54896" w:rsidP="006C1CBB">
      <w:pPr>
        <w:spacing w:after="0" w:line="240" w:lineRule="auto"/>
        <w:jc w:val="both"/>
        <w:rPr>
          <w:rFonts w:ascii="Times New Roman" w:hAnsi="Times New Roman" w:cs="Times New Roman"/>
          <w:bCs/>
          <w:sz w:val="24"/>
          <w:szCs w:val="24"/>
        </w:rPr>
      </w:pPr>
    </w:p>
    <w:p w14:paraId="2FA94C0C" w14:textId="77777777" w:rsidR="00135423" w:rsidRDefault="00135423" w:rsidP="006C1CBB">
      <w:pPr>
        <w:spacing w:after="0" w:line="240" w:lineRule="auto"/>
        <w:jc w:val="both"/>
        <w:rPr>
          <w:rFonts w:ascii="Times New Roman" w:hAnsi="Times New Roman" w:cs="Times New Roman"/>
          <w:sz w:val="24"/>
          <w:szCs w:val="24"/>
        </w:rPr>
      </w:pPr>
      <w:bookmarkStart w:id="3" w:name="_GoBack"/>
      <w:bookmarkEnd w:id="3"/>
    </w:p>
    <w:p w14:paraId="39EB0680" w14:textId="77777777" w:rsidR="00135423" w:rsidRDefault="00135423" w:rsidP="006C1CBB">
      <w:pPr>
        <w:spacing w:after="0" w:line="240" w:lineRule="auto"/>
        <w:jc w:val="both"/>
        <w:rPr>
          <w:rFonts w:ascii="Times New Roman" w:hAnsi="Times New Roman" w:cs="Times New Roman"/>
          <w:sz w:val="24"/>
          <w:szCs w:val="24"/>
        </w:rPr>
      </w:pPr>
    </w:p>
    <w:p w14:paraId="67FA504B" w14:textId="77777777" w:rsidR="00135423" w:rsidRPr="00135423" w:rsidRDefault="00135423" w:rsidP="00135423">
      <w:pPr>
        <w:spacing w:after="200" w:line="276" w:lineRule="auto"/>
        <w:jc w:val="both"/>
        <w:outlineLvl w:val="0"/>
        <w:rPr>
          <w:rFonts w:ascii="Arial" w:eastAsia="Times New Roman" w:hAnsi="Arial" w:cs="Arial"/>
          <w:kern w:val="0"/>
          <w:lang w:val="en-GB" w:eastAsia="en-GB"/>
          <w14:ligatures w14:val="none"/>
        </w:rPr>
      </w:pPr>
      <w:r w:rsidRPr="00135423">
        <w:rPr>
          <w:rFonts w:ascii="Arial" w:eastAsia="Times New Roman" w:hAnsi="Arial" w:cs="Arial"/>
          <w:b/>
          <w:bCs/>
          <w:kern w:val="0"/>
          <w:lang w:val="en-GB" w:eastAsia="en-GB"/>
          <w14:ligatures w14:val="none"/>
        </w:rPr>
        <w:t>COMPETING INTERESTS DISCLAIMER:</w:t>
      </w:r>
    </w:p>
    <w:p w14:paraId="08E73A7F" w14:textId="77777777" w:rsidR="00135423" w:rsidRPr="00135423" w:rsidRDefault="00135423" w:rsidP="00135423">
      <w:pPr>
        <w:spacing w:after="200" w:line="276" w:lineRule="auto"/>
        <w:rPr>
          <w:rFonts w:ascii="Calibri" w:eastAsia="Times New Roman" w:hAnsi="Calibri" w:cs="Times New Roman"/>
          <w:kern w:val="0"/>
          <w:lang w:val="en-GB" w:eastAsia="en-GB"/>
          <w14:ligatures w14:val="none"/>
        </w:rPr>
      </w:pPr>
      <w:r w:rsidRPr="00135423">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D7DDDCE" w14:textId="77777777" w:rsidR="00135423" w:rsidRPr="00592A8A" w:rsidRDefault="00135423" w:rsidP="006C1CBB">
      <w:pPr>
        <w:spacing w:after="0" w:line="240" w:lineRule="auto"/>
        <w:jc w:val="both"/>
        <w:rPr>
          <w:rFonts w:ascii="Times New Roman" w:hAnsi="Times New Roman" w:cs="Times New Roman"/>
          <w:b/>
          <w:sz w:val="24"/>
          <w:szCs w:val="24"/>
        </w:rPr>
      </w:pPr>
    </w:p>
    <w:p w14:paraId="274E260E" w14:textId="77777777" w:rsidR="008175EA" w:rsidRDefault="008175EA" w:rsidP="006C1CBB">
      <w:pPr>
        <w:spacing w:after="0" w:line="240" w:lineRule="auto"/>
        <w:jc w:val="both"/>
        <w:rPr>
          <w:rFonts w:ascii="Times New Roman" w:hAnsi="Times New Roman" w:cs="Times New Roman"/>
          <w:b/>
          <w:sz w:val="24"/>
          <w:szCs w:val="24"/>
        </w:rPr>
      </w:pPr>
    </w:p>
    <w:p w14:paraId="0665D4C7" w14:textId="191523CA" w:rsidR="000C713D" w:rsidRPr="00232144" w:rsidRDefault="00290951" w:rsidP="006C1CB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A56031" w:rsidRPr="00232144">
        <w:rPr>
          <w:rFonts w:ascii="Times New Roman" w:hAnsi="Times New Roman" w:cs="Times New Roman"/>
          <w:b/>
          <w:sz w:val="28"/>
          <w:szCs w:val="28"/>
        </w:rPr>
        <w:t>.</w:t>
      </w:r>
      <w:r w:rsidR="00B11154" w:rsidRPr="00232144">
        <w:rPr>
          <w:rFonts w:ascii="Times New Roman" w:hAnsi="Times New Roman" w:cs="Times New Roman"/>
          <w:b/>
          <w:sz w:val="28"/>
          <w:szCs w:val="28"/>
        </w:rPr>
        <w:t>0</w:t>
      </w:r>
      <w:r w:rsidR="00A56031" w:rsidRPr="00232144">
        <w:rPr>
          <w:rFonts w:ascii="Times New Roman" w:hAnsi="Times New Roman" w:cs="Times New Roman"/>
          <w:b/>
          <w:sz w:val="28"/>
          <w:szCs w:val="28"/>
        </w:rPr>
        <w:t xml:space="preserve"> References</w:t>
      </w:r>
    </w:p>
    <w:p w14:paraId="37A1B2C4" w14:textId="3EDC3493" w:rsidR="00AD096F" w:rsidRDefault="00AD096F" w:rsidP="006C1CBB">
      <w:pPr>
        <w:spacing w:after="0" w:line="240" w:lineRule="auto"/>
        <w:jc w:val="both"/>
        <w:rPr>
          <w:rFonts w:ascii="Times New Roman" w:hAnsi="Times New Roman" w:cs="Times New Roman"/>
          <w:b/>
          <w:sz w:val="24"/>
          <w:szCs w:val="24"/>
        </w:rPr>
      </w:pPr>
    </w:p>
    <w:p w14:paraId="528C3F1C"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bCs/>
          <w:sz w:val="24"/>
          <w:szCs w:val="24"/>
        </w:rPr>
        <w:fldChar w:fldCharType="begin"/>
      </w:r>
      <w:r w:rsidRPr="000F2E2F">
        <w:rPr>
          <w:rFonts w:ascii="Times New Roman" w:hAnsi="Times New Roman" w:cs="Times New Roman"/>
          <w:bCs/>
          <w:sz w:val="24"/>
          <w:szCs w:val="24"/>
        </w:rPr>
        <w:instrText xml:space="preserve"> ADDIN ZOTERO_BIBL {"uncited":[],"omitted":[],"custom":[]} CSL_BIBLIOGRAPHY </w:instrText>
      </w:r>
      <w:r w:rsidRPr="000F2E2F">
        <w:rPr>
          <w:rFonts w:ascii="Times New Roman" w:hAnsi="Times New Roman" w:cs="Times New Roman"/>
          <w:bCs/>
          <w:sz w:val="24"/>
          <w:szCs w:val="24"/>
        </w:rPr>
        <w:fldChar w:fldCharType="separate"/>
      </w:r>
      <w:r w:rsidRPr="000F2E2F">
        <w:rPr>
          <w:rFonts w:ascii="Times New Roman" w:hAnsi="Times New Roman" w:cs="Times New Roman"/>
          <w:sz w:val="24"/>
        </w:rPr>
        <w:t xml:space="preserve">Bal, S. K., Sandeep, V. M., Kumar, P. V., Rao, A. V. M. S., Pramod, V. P., Manikandan, N., Rao, Ch. S., Singh, N. P., &amp; Bhaskar, S. (2022). Assessing impact of dry spells on the principal rainfed crops in major dryland regions of India. </w:t>
      </w:r>
      <w:r w:rsidRPr="000F2E2F">
        <w:rPr>
          <w:rFonts w:ascii="Times New Roman" w:hAnsi="Times New Roman" w:cs="Times New Roman"/>
          <w:i/>
          <w:iCs/>
          <w:sz w:val="24"/>
        </w:rPr>
        <w:t>Agricultural and Forest Meteorology</w:t>
      </w:r>
      <w:r w:rsidRPr="000F2E2F">
        <w:rPr>
          <w:rFonts w:ascii="Times New Roman" w:hAnsi="Times New Roman" w:cs="Times New Roman"/>
          <w:sz w:val="24"/>
        </w:rPr>
        <w:t xml:space="preserve">, </w:t>
      </w:r>
      <w:r w:rsidRPr="000F2E2F">
        <w:rPr>
          <w:rFonts w:ascii="Times New Roman" w:hAnsi="Times New Roman" w:cs="Times New Roman"/>
          <w:i/>
          <w:iCs/>
          <w:sz w:val="24"/>
        </w:rPr>
        <w:t>313</w:t>
      </w:r>
      <w:r w:rsidRPr="000F2E2F">
        <w:rPr>
          <w:rFonts w:ascii="Times New Roman" w:hAnsi="Times New Roman" w:cs="Times New Roman"/>
          <w:sz w:val="24"/>
        </w:rPr>
        <w:t>, 108768. https://doi.org/10.1016/j.agrformet.2021.108768</w:t>
      </w:r>
    </w:p>
    <w:p w14:paraId="695E044A"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Blicharska, M., Haddad, F., Riccardi, T., &amp; Smithers, R. J. (2024). Global presumed drylands: Drivers, pressures, state, impacts, responses. </w:t>
      </w:r>
      <w:r w:rsidRPr="000F2E2F">
        <w:rPr>
          <w:rFonts w:ascii="Times New Roman" w:hAnsi="Times New Roman" w:cs="Times New Roman"/>
          <w:i/>
          <w:iCs/>
          <w:sz w:val="24"/>
        </w:rPr>
        <w:t>Journal of Environmental Planning and Management</w:t>
      </w:r>
      <w:r w:rsidRPr="000F2E2F">
        <w:rPr>
          <w:rFonts w:ascii="Times New Roman" w:hAnsi="Times New Roman" w:cs="Times New Roman"/>
          <w:sz w:val="24"/>
        </w:rPr>
        <w:t>, 1–28. https://doi.org/10.1080/09640568.2024.2351424</w:t>
      </w:r>
    </w:p>
    <w:p w14:paraId="56D77308"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Fazekas, A., Bataille, C., &amp; Vogt-Schilb, A. (2022). </w:t>
      </w:r>
      <w:r w:rsidRPr="000F2E2F">
        <w:rPr>
          <w:rFonts w:ascii="Times New Roman" w:hAnsi="Times New Roman" w:cs="Times New Roman"/>
          <w:i/>
          <w:iCs/>
          <w:sz w:val="24"/>
        </w:rPr>
        <w:t>Achieving net-zero prosperity: How governments can unlock 15 essential transformations</w:t>
      </w:r>
      <w:r w:rsidRPr="000F2E2F">
        <w:rPr>
          <w:rFonts w:ascii="Times New Roman" w:hAnsi="Times New Roman" w:cs="Times New Roman"/>
          <w:sz w:val="24"/>
        </w:rPr>
        <w:t>. https://shs.hal.science/halshs-03742125</w:t>
      </w:r>
    </w:p>
    <w:p w14:paraId="2264E62E"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Grainger, S., Murphy, C., &amp; Vicente-Serrano, S. M. (2021). Barriers and Opportunities for Actionable Knowledge Production in Drought Risk Management: Embracing the Frontiers of Co-production. </w:t>
      </w:r>
      <w:r w:rsidRPr="000F2E2F">
        <w:rPr>
          <w:rFonts w:ascii="Times New Roman" w:hAnsi="Times New Roman" w:cs="Times New Roman"/>
          <w:i/>
          <w:iCs/>
          <w:sz w:val="24"/>
        </w:rPr>
        <w:t>Frontiers in Environmental Science</w:t>
      </w:r>
      <w:r w:rsidRPr="000F2E2F">
        <w:rPr>
          <w:rFonts w:ascii="Times New Roman" w:hAnsi="Times New Roman" w:cs="Times New Roman"/>
          <w:sz w:val="24"/>
        </w:rPr>
        <w:t xml:space="preserve">, </w:t>
      </w:r>
      <w:r w:rsidRPr="000F2E2F">
        <w:rPr>
          <w:rFonts w:ascii="Times New Roman" w:hAnsi="Times New Roman" w:cs="Times New Roman"/>
          <w:i/>
          <w:iCs/>
          <w:sz w:val="24"/>
        </w:rPr>
        <w:t>9</w:t>
      </w:r>
      <w:r w:rsidRPr="000F2E2F">
        <w:rPr>
          <w:rFonts w:ascii="Times New Roman" w:hAnsi="Times New Roman" w:cs="Times New Roman"/>
          <w:sz w:val="24"/>
        </w:rPr>
        <w:t>, 602128. https://doi.org/10.3389/fenvs.2021.602128</w:t>
      </w:r>
    </w:p>
    <w:p w14:paraId="13DF383F"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Kabato, W., Getnet, G. T., Sinore, T., Nemeth, A., &amp; Molnár, Z. (2025). Towards Climate-Smart Agriculture: Strategies for Sustainable Agricultural Production, Food Security, and Greenhouse Gas Reduction. </w:t>
      </w:r>
      <w:r w:rsidRPr="000F2E2F">
        <w:rPr>
          <w:rFonts w:ascii="Times New Roman" w:hAnsi="Times New Roman" w:cs="Times New Roman"/>
          <w:i/>
          <w:iCs/>
          <w:sz w:val="24"/>
        </w:rPr>
        <w:t>Agronomy</w:t>
      </w:r>
      <w:r w:rsidRPr="000F2E2F">
        <w:rPr>
          <w:rFonts w:ascii="Times New Roman" w:hAnsi="Times New Roman" w:cs="Times New Roman"/>
          <w:sz w:val="24"/>
        </w:rPr>
        <w:t xml:space="preserve">, </w:t>
      </w:r>
      <w:r w:rsidRPr="000F2E2F">
        <w:rPr>
          <w:rFonts w:ascii="Times New Roman" w:hAnsi="Times New Roman" w:cs="Times New Roman"/>
          <w:i/>
          <w:iCs/>
          <w:sz w:val="24"/>
        </w:rPr>
        <w:t>15</w:t>
      </w:r>
      <w:r w:rsidRPr="000F2E2F">
        <w:rPr>
          <w:rFonts w:ascii="Times New Roman" w:hAnsi="Times New Roman" w:cs="Times New Roman"/>
          <w:sz w:val="24"/>
        </w:rPr>
        <w:t>(3), 565. https://doi.org/10.3390/agronomy15030565</w:t>
      </w:r>
    </w:p>
    <w:p w14:paraId="757D91F0"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Kifle, T., Ayal, D. Y., &amp; Mulugeta, M. (2022). Factors influencing farmers adoption of climate smart agriculture to respond climate variability in Siyadebrina Wayu District, Central highland of Ethiopia. </w:t>
      </w:r>
      <w:r w:rsidRPr="000F2E2F">
        <w:rPr>
          <w:rFonts w:ascii="Times New Roman" w:hAnsi="Times New Roman" w:cs="Times New Roman"/>
          <w:i/>
          <w:iCs/>
          <w:sz w:val="24"/>
        </w:rPr>
        <w:t>Climate Services</w:t>
      </w:r>
      <w:r w:rsidRPr="000F2E2F">
        <w:rPr>
          <w:rFonts w:ascii="Times New Roman" w:hAnsi="Times New Roman" w:cs="Times New Roman"/>
          <w:sz w:val="24"/>
        </w:rPr>
        <w:t xml:space="preserve">, </w:t>
      </w:r>
      <w:r w:rsidRPr="000F2E2F">
        <w:rPr>
          <w:rFonts w:ascii="Times New Roman" w:hAnsi="Times New Roman" w:cs="Times New Roman"/>
          <w:i/>
          <w:iCs/>
          <w:sz w:val="24"/>
        </w:rPr>
        <w:t>26</w:t>
      </w:r>
      <w:r w:rsidRPr="000F2E2F">
        <w:rPr>
          <w:rFonts w:ascii="Times New Roman" w:hAnsi="Times New Roman" w:cs="Times New Roman"/>
          <w:sz w:val="24"/>
        </w:rPr>
        <w:t>, 100290. https://doi.org/10.1016/j.cliser.2022.100290</w:t>
      </w:r>
    </w:p>
    <w:p w14:paraId="6D54A835"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Klarin, A. (2024). How to conduct a bibliometric content analysis: Guidelines and contributions of content co‐occurrence or co‐word literature reviews. </w:t>
      </w:r>
      <w:r w:rsidRPr="000F2E2F">
        <w:rPr>
          <w:rFonts w:ascii="Times New Roman" w:hAnsi="Times New Roman" w:cs="Times New Roman"/>
          <w:i/>
          <w:iCs/>
          <w:sz w:val="24"/>
        </w:rPr>
        <w:t>International Journal of Consumer Studies</w:t>
      </w:r>
      <w:r w:rsidRPr="000F2E2F">
        <w:rPr>
          <w:rFonts w:ascii="Times New Roman" w:hAnsi="Times New Roman" w:cs="Times New Roman"/>
          <w:sz w:val="24"/>
        </w:rPr>
        <w:t xml:space="preserve">, </w:t>
      </w:r>
      <w:r w:rsidRPr="000F2E2F">
        <w:rPr>
          <w:rFonts w:ascii="Times New Roman" w:hAnsi="Times New Roman" w:cs="Times New Roman"/>
          <w:i/>
          <w:iCs/>
          <w:sz w:val="24"/>
        </w:rPr>
        <w:t>48</w:t>
      </w:r>
      <w:r w:rsidRPr="000F2E2F">
        <w:rPr>
          <w:rFonts w:ascii="Times New Roman" w:hAnsi="Times New Roman" w:cs="Times New Roman"/>
          <w:sz w:val="24"/>
        </w:rPr>
        <w:t>(2). https://doi.org/10.1111/ijcs.13031</w:t>
      </w:r>
    </w:p>
    <w:p w14:paraId="63C5FB8D"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Mahedi, M., Pervez, A. K. M. K., Rahman, S. M. M., Sheikh, Md. M., &amp; Shaili, S. J. (2025). Emerging Trends in Livelihood Diversification in Rural Communities: A Bibliometric and Systematic Review. </w:t>
      </w:r>
      <w:r w:rsidRPr="000F2E2F">
        <w:rPr>
          <w:rFonts w:ascii="Times New Roman" w:hAnsi="Times New Roman" w:cs="Times New Roman"/>
          <w:i/>
          <w:iCs/>
          <w:sz w:val="24"/>
        </w:rPr>
        <w:t>Asian Journal of Agricultural Extension, Economics &amp; Sociology</w:t>
      </w:r>
      <w:r w:rsidRPr="000F2E2F">
        <w:rPr>
          <w:rFonts w:ascii="Times New Roman" w:hAnsi="Times New Roman" w:cs="Times New Roman"/>
          <w:sz w:val="24"/>
        </w:rPr>
        <w:t xml:space="preserve">, </w:t>
      </w:r>
      <w:r w:rsidRPr="000F2E2F">
        <w:rPr>
          <w:rFonts w:ascii="Times New Roman" w:hAnsi="Times New Roman" w:cs="Times New Roman"/>
          <w:i/>
          <w:iCs/>
          <w:sz w:val="24"/>
        </w:rPr>
        <w:t>43</w:t>
      </w:r>
      <w:r w:rsidRPr="000F2E2F">
        <w:rPr>
          <w:rFonts w:ascii="Times New Roman" w:hAnsi="Times New Roman" w:cs="Times New Roman"/>
          <w:sz w:val="24"/>
        </w:rPr>
        <w:t>(4), 162–177. https://doi.org/10.9734/ajaees/2025/v43i42727</w:t>
      </w:r>
    </w:p>
    <w:p w14:paraId="3D504BA1"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Manono, B. O., Khan, S., &amp; Kithaka, K. M. (2025). A Review of the Socio-Economic, Institutional, and Biophysical Factors Influencing Smallholder Farmers’ Adoption of Climate Smart Agricultural Practices in Sub-Saharan Africa. </w:t>
      </w:r>
      <w:r w:rsidRPr="000F2E2F">
        <w:rPr>
          <w:rFonts w:ascii="Times New Roman" w:hAnsi="Times New Roman" w:cs="Times New Roman"/>
          <w:i/>
          <w:iCs/>
          <w:sz w:val="24"/>
        </w:rPr>
        <w:t>Earth</w:t>
      </w:r>
      <w:r w:rsidRPr="000F2E2F">
        <w:rPr>
          <w:rFonts w:ascii="Times New Roman" w:hAnsi="Times New Roman" w:cs="Times New Roman"/>
          <w:sz w:val="24"/>
        </w:rPr>
        <w:t xml:space="preserve">, </w:t>
      </w:r>
      <w:r w:rsidRPr="000F2E2F">
        <w:rPr>
          <w:rFonts w:ascii="Times New Roman" w:hAnsi="Times New Roman" w:cs="Times New Roman"/>
          <w:i/>
          <w:iCs/>
          <w:sz w:val="24"/>
        </w:rPr>
        <w:t>6</w:t>
      </w:r>
      <w:r w:rsidRPr="000F2E2F">
        <w:rPr>
          <w:rFonts w:ascii="Times New Roman" w:hAnsi="Times New Roman" w:cs="Times New Roman"/>
          <w:sz w:val="24"/>
        </w:rPr>
        <w:t>(2), 48. https://doi.org/10.3390/earth6020048</w:t>
      </w:r>
    </w:p>
    <w:p w14:paraId="4C723F8C"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lastRenderedPageBreak/>
        <w:t xml:space="preserve">Md Shahriar Kabir, Md Mahedi, A K M Kanak Pervez, Md Jahangir Alam, &amp; Shabrin Jahan Shaili. (2025). Bibliometric analysis of “precision agriculture” in the Scopus database. </w:t>
      </w:r>
      <w:r w:rsidRPr="000F2E2F">
        <w:rPr>
          <w:rFonts w:ascii="Times New Roman" w:hAnsi="Times New Roman" w:cs="Times New Roman"/>
          <w:i/>
          <w:iCs/>
          <w:sz w:val="24"/>
        </w:rPr>
        <w:t>World Journal of Advanced Research and Reviews</w:t>
      </w:r>
      <w:r w:rsidRPr="000F2E2F">
        <w:rPr>
          <w:rFonts w:ascii="Times New Roman" w:hAnsi="Times New Roman" w:cs="Times New Roman"/>
          <w:sz w:val="24"/>
        </w:rPr>
        <w:t xml:space="preserve">, </w:t>
      </w:r>
      <w:r w:rsidRPr="000F2E2F">
        <w:rPr>
          <w:rFonts w:ascii="Times New Roman" w:hAnsi="Times New Roman" w:cs="Times New Roman"/>
          <w:i/>
          <w:iCs/>
          <w:sz w:val="24"/>
        </w:rPr>
        <w:t>25</w:t>
      </w:r>
      <w:r w:rsidRPr="000F2E2F">
        <w:rPr>
          <w:rFonts w:ascii="Times New Roman" w:hAnsi="Times New Roman" w:cs="Times New Roman"/>
          <w:sz w:val="24"/>
        </w:rPr>
        <w:t>(3), 1087–1098. https://doi.org/10.30574/wjarr.2025.25.3.0733</w:t>
      </w:r>
    </w:p>
    <w:p w14:paraId="55FCB274"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Mpala, T. A., &amp; Simatele, M. D. (2024). Climate-smart agricultural practices among rural farmers in Masvingo district of Zimbabwe: Perspectives on the mitigation strategies to drought and water scarcity for improved crop production. </w:t>
      </w:r>
      <w:r w:rsidRPr="000F2E2F">
        <w:rPr>
          <w:rFonts w:ascii="Times New Roman" w:hAnsi="Times New Roman" w:cs="Times New Roman"/>
          <w:i/>
          <w:iCs/>
          <w:sz w:val="24"/>
        </w:rPr>
        <w:t>Frontiers in Sustainable Food Systems</w:t>
      </w:r>
      <w:r w:rsidRPr="000F2E2F">
        <w:rPr>
          <w:rFonts w:ascii="Times New Roman" w:hAnsi="Times New Roman" w:cs="Times New Roman"/>
          <w:sz w:val="24"/>
        </w:rPr>
        <w:t xml:space="preserve">, </w:t>
      </w:r>
      <w:r w:rsidRPr="000F2E2F">
        <w:rPr>
          <w:rFonts w:ascii="Times New Roman" w:hAnsi="Times New Roman" w:cs="Times New Roman"/>
          <w:i/>
          <w:iCs/>
          <w:sz w:val="24"/>
        </w:rPr>
        <w:t>7</w:t>
      </w:r>
      <w:r w:rsidRPr="000F2E2F">
        <w:rPr>
          <w:rFonts w:ascii="Times New Roman" w:hAnsi="Times New Roman" w:cs="Times New Roman"/>
          <w:sz w:val="24"/>
        </w:rPr>
        <w:t>, 1298908. https://doi.org/10.3389/fsufs.2023.1298908</w:t>
      </w:r>
    </w:p>
    <w:p w14:paraId="5A56E8C0"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Natarajan, N., Newsham, A., Rigg, J., &amp; Suhardiman, D. (2022). A sustainable livelihoods framework for the 21st century. </w:t>
      </w:r>
      <w:r w:rsidRPr="000F2E2F">
        <w:rPr>
          <w:rFonts w:ascii="Times New Roman" w:hAnsi="Times New Roman" w:cs="Times New Roman"/>
          <w:i/>
          <w:iCs/>
          <w:sz w:val="24"/>
        </w:rPr>
        <w:t>World Development</w:t>
      </w:r>
      <w:r w:rsidRPr="000F2E2F">
        <w:rPr>
          <w:rFonts w:ascii="Times New Roman" w:hAnsi="Times New Roman" w:cs="Times New Roman"/>
          <w:sz w:val="24"/>
        </w:rPr>
        <w:t xml:space="preserve">, </w:t>
      </w:r>
      <w:r w:rsidRPr="000F2E2F">
        <w:rPr>
          <w:rFonts w:ascii="Times New Roman" w:hAnsi="Times New Roman" w:cs="Times New Roman"/>
          <w:i/>
          <w:iCs/>
          <w:sz w:val="24"/>
        </w:rPr>
        <w:t>155</w:t>
      </w:r>
      <w:r w:rsidRPr="000F2E2F">
        <w:rPr>
          <w:rFonts w:ascii="Times New Roman" w:hAnsi="Times New Roman" w:cs="Times New Roman"/>
          <w:sz w:val="24"/>
        </w:rPr>
        <w:t>, 105898. https://doi.org/10.1016/j.worlddev.2022.105898</w:t>
      </w:r>
    </w:p>
    <w:p w14:paraId="532BFB12"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Parolini, G. (2022). Weather, climate, and agriculture: Historical contributions and perspectives from agricultural meteorology. </w:t>
      </w:r>
      <w:r w:rsidRPr="000F2E2F">
        <w:rPr>
          <w:rFonts w:ascii="Times New Roman" w:hAnsi="Times New Roman" w:cs="Times New Roman"/>
          <w:i/>
          <w:iCs/>
          <w:sz w:val="24"/>
        </w:rPr>
        <w:t>WIREs Climate Change</w:t>
      </w:r>
      <w:r w:rsidRPr="000F2E2F">
        <w:rPr>
          <w:rFonts w:ascii="Times New Roman" w:hAnsi="Times New Roman" w:cs="Times New Roman"/>
          <w:sz w:val="24"/>
        </w:rPr>
        <w:t xml:space="preserve">, </w:t>
      </w:r>
      <w:r w:rsidRPr="000F2E2F">
        <w:rPr>
          <w:rFonts w:ascii="Times New Roman" w:hAnsi="Times New Roman" w:cs="Times New Roman"/>
          <w:i/>
          <w:iCs/>
          <w:sz w:val="24"/>
        </w:rPr>
        <w:t>13</w:t>
      </w:r>
      <w:r w:rsidRPr="000F2E2F">
        <w:rPr>
          <w:rFonts w:ascii="Times New Roman" w:hAnsi="Times New Roman" w:cs="Times New Roman"/>
          <w:sz w:val="24"/>
        </w:rPr>
        <w:t>(3). https://doi.org/10.1002/wcc.766</w:t>
      </w:r>
    </w:p>
    <w:p w14:paraId="594BBBE7"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Santini, M., Noce, S., Antonelli, M., &amp; Caporaso, L. (2022). Complex drought patterns robustly explain global yield loss for major crops. </w:t>
      </w:r>
      <w:r w:rsidRPr="000F2E2F">
        <w:rPr>
          <w:rFonts w:ascii="Times New Roman" w:hAnsi="Times New Roman" w:cs="Times New Roman"/>
          <w:i/>
          <w:iCs/>
          <w:sz w:val="24"/>
        </w:rPr>
        <w:t>Scientific Reports</w:t>
      </w:r>
      <w:r w:rsidRPr="000F2E2F">
        <w:rPr>
          <w:rFonts w:ascii="Times New Roman" w:hAnsi="Times New Roman" w:cs="Times New Roman"/>
          <w:sz w:val="24"/>
        </w:rPr>
        <w:t xml:space="preserve">, </w:t>
      </w:r>
      <w:r w:rsidRPr="000F2E2F">
        <w:rPr>
          <w:rFonts w:ascii="Times New Roman" w:hAnsi="Times New Roman" w:cs="Times New Roman"/>
          <w:i/>
          <w:iCs/>
          <w:sz w:val="24"/>
        </w:rPr>
        <w:t>12</w:t>
      </w:r>
      <w:r w:rsidRPr="000F2E2F">
        <w:rPr>
          <w:rFonts w:ascii="Times New Roman" w:hAnsi="Times New Roman" w:cs="Times New Roman"/>
          <w:sz w:val="24"/>
        </w:rPr>
        <w:t>(1). https://doi.org/10.1038/s41598-022-09611-0</w:t>
      </w:r>
    </w:p>
    <w:p w14:paraId="49746901"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Shiferaw, B., Tesfaye, K., Kassie, M., Abate, T., Prasanna, B. M., &amp; Menkir, A. (2014). Managing vulnerability to drought and enhancing livelihood resilience in sub-Saharan Africa: Technological, institutional and policy options. </w:t>
      </w:r>
      <w:r w:rsidRPr="000F2E2F">
        <w:rPr>
          <w:rFonts w:ascii="Times New Roman" w:hAnsi="Times New Roman" w:cs="Times New Roman"/>
          <w:i/>
          <w:iCs/>
          <w:sz w:val="24"/>
        </w:rPr>
        <w:t>Weather and Climate Extremes</w:t>
      </w:r>
      <w:r w:rsidRPr="000F2E2F">
        <w:rPr>
          <w:rFonts w:ascii="Times New Roman" w:hAnsi="Times New Roman" w:cs="Times New Roman"/>
          <w:sz w:val="24"/>
        </w:rPr>
        <w:t xml:space="preserve">, </w:t>
      </w:r>
      <w:r w:rsidRPr="000F2E2F">
        <w:rPr>
          <w:rFonts w:ascii="Times New Roman" w:hAnsi="Times New Roman" w:cs="Times New Roman"/>
          <w:i/>
          <w:iCs/>
          <w:sz w:val="24"/>
        </w:rPr>
        <w:t>3</w:t>
      </w:r>
      <w:r w:rsidRPr="000F2E2F">
        <w:rPr>
          <w:rFonts w:ascii="Times New Roman" w:hAnsi="Times New Roman" w:cs="Times New Roman"/>
          <w:sz w:val="24"/>
        </w:rPr>
        <w:t>, 67–79. https://doi.org/10.1016/j.wace.2014.04.004</w:t>
      </w:r>
    </w:p>
    <w:p w14:paraId="11ED2E46"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Srivastav, A. L., Dhyani, R., Ranjan, M., Madhav, S., &amp; Sillanpää, M. (2021). Climate-resilient strategies for sustainable management of water resources and agriculture. </w:t>
      </w:r>
      <w:r w:rsidRPr="000F2E2F">
        <w:rPr>
          <w:rFonts w:ascii="Times New Roman" w:hAnsi="Times New Roman" w:cs="Times New Roman"/>
          <w:i/>
          <w:iCs/>
          <w:sz w:val="24"/>
        </w:rPr>
        <w:t>Environmental Science and Pollution Research</w:t>
      </w:r>
      <w:r w:rsidRPr="000F2E2F">
        <w:rPr>
          <w:rFonts w:ascii="Times New Roman" w:hAnsi="Times New Roman" w:cs="Times New Roman"/>
          <w:sz w:val="24"/>
        </w:rPr>
        <w:t xml:space="preserve">, </w:t>
      </w:r>
      <w:r w:rsidRPr="000F2E2F">
        <w:rPr>
          <w:rFonts w:ascii="Times New Roman" w:hAnsi="Times New Roman" w:cs="Times New Roman"/>
          <w:i/>
          <w:iCs/>
          <w:sz w:val="24"/>
        </w:rPr>
        <w:t>28</w:t>
      </w:r>
      <w:r w:rsidRPr="000F2E2F">
        <w:rPr>
          <w:rFonts w:ascii="Times New Roman" w:hAnsi="Times New Roman" w:cs="Times New Roman"/>
          <w:sz w:val="24"/>
        </w:rPr>
        <w:t>(31), 41576–41595. https://doi.org/10.1007/s11356-021-14332-4</w:t>
      </w:r>
    </w:p>
    <w:p w14:paraId="5314DDEA"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Totin, E., Segnon, A. C., Schut, M., Affognon, H., Zougmoré, R. B., Rosenstock, T., &amp; Thornton, P. K. (2018). Institutional Perspectives of Climate-Smart Agriculture: A Systematic Literature Review. </w:t>
      </w:r>
      <w:r w:rsidRPr="000F2E2F">
        <w:rPr>
          <w:rFonts w:ascii="Times New Roman" w:hAnsi="Times New Roman" w:cs="Times New Roman"/>
          <w:i/>
          <w:iCs/>
          <w:sz w:val="24"/>
        </w:rPr>
        <w:t>Sustainability</w:t>
      </w:r>
      <w:r w:rsidRPr="000F2E2F">
        <w:rPr>
          <w:rFonts w:ascii="Times New Roman" w:hAnsi="Times New Roman" w:cs="Times New Roman"/>
          <w:sz w:val="24"/>
        </w:rPr>
        <w:t xml:space="preserve">, </w:t>
      </w:r>
      <w:r w:rsidRPr="000F2E2F">
        <w:rPr>
          <w:rFonts w:ascii="Times New Roman" w:hAnsi="Times New Roman" w:cs="Times New Roman"/>
          <w:i/>
          <w:iCs/>
          <w:sz w:val="24"/>
        </w:rPr>
        <w:t>10</w:t>
      </w:r>
      <w:r w:rsidRPr="000F2E2F">
        <w:rPr>
          <w:rFonts w:ascii="Times New Roman" w:hAnsi="Times New Roman" w:cs="Times New Roman"/>
          <w:sz w:val="24"/>
        </w:rPr>
        <w:t>(6), 1990. https://doi.org/10.3390/su10061990</w:t>
      </w:r>
    </w:p>
    <w:p w14:paraId="5B88F5DC" w14:textId="77777777" w:rsidR="00FA7229" w:rsidRDefault="00FA7229" w:rsidP="00060AA3">
      <w:pPr>
        <w:pStyle w:val="Bibliography"/>
        <w:numPr>
          <w:ilvl w:val="0"/>
          <w:numId w:val="24"/>
        </w:numPr>
        <w:spacing w:line="240" w:lineRule="auto"/>
        <w:jc w:val="both"/>
        <w:rPr>
          <w:rFonts w:ascii="Times New Roman" w:hAnsi="Times New Roman" w:cs="Times New Roman"/>
          <w:sz w:val="24"/>
        </w:rPr>
      </w:pPr>
      <w:r w:rsidRPr="00FA7229">
        <w:rPr>
          <w:rFonts w:ascii="Times New Roman" w:hAnsi="Times New Roman" w:cs="Times New Roman"/>
          <w:sz w:val="24"/>
        </w:rPr>
        <w:t>Uddin, M. S., Pervez, A. K., Kabir, M. S., &amp; Mahedi, M. (2022). The Trend of Agribusiness Research Worldwide: A Bibliometric Analysis Based on the Scopus Database.</w:t>
      </w:r>
    </w:p>
    <w:p w14:paraId="1DCD7E27" w14:textId="7DE1D3D8"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Vasavi, S., Anandaraja, N., Murugan, P. P., Latha, M. R., &amp; Pangayar Selvi, R. (2025). Challenges and strategies of resource poor farmers in adoption of innovative farming technologies: A comprehensive review. </w:t>
      </w:r>
      <w:r w:rsidRPr="000F2E2F">
        <w:rPr>
          <w:rFonts w:ascii="Times New Roman" w:hAnsi="Times New Roman" w:cs="Times New Roman"/>
          <w:i/>
          <w:iCs/>
          <w:sz w:val="24"/>
        </w:rPr>
        <w:t>Agricultural Systems</w:t>
      </w:r>
      <w:r w:rsidRPr="000F2E2F">
        <w:rPr>
          <w:rFonts w:ascii="Times New Roman" w:hAnsi="Times New Roman" w:cs="Times New Roman"/>
          <w:sz w:val="24"/>
        </w:rPr>
        <w:t xml:space="preserve">, </w:t>
      </w:r>
      <w:r w:rsidRPr="000F2E2F">
        <w:rPr>
          <w:rFonts w:ascii="Times New Roman" w:hAnsi="Times New Roman" w:cs="Times New Roman"/>
          <w:i/>
          <w:iCs/>
          <w:sz w:val="24"/>
        </w:rPr>
        <w:t>227</w:t>
      </w:r>
      <w:r w:rsidRPr="000F2E2F">
        <w:rPr>
          <w:rFonts w:ascii="Times New Roman" w:hAnsi="Times New Roman" w:cs="Times New Roman"/>
          <w:sz w:val="24"/>
        </w:rPr>
        <w:t>, 104355. https://doi.org/10.1016/j.agsy.2025.104355</w:t>
      </w:r>
    </w:p>
    <w:p w14:paraId="6F6D65CC"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Wijerathna-Yapa, A., &amp; Pathirana, R. (2022). Sustainable Agro-Food Systems for Addressing Climate Change and Food Security. </w:t>
      </w:r>
      <w:r w:rsidRPr="000F2E2F">
        <w:rPr>
          <w:rFonts w:ascii="Times New Roman" w:hAnsi="Times New Roman" w:cs="Times New Roman"/>
          <w:i/>
          <w:iCs/>
          <w:sz w:val="24"/>
        </w:rPr>
        <w:t>Agriculture</w:t>
      </w:r>
      <w:r w:rsidRPr="000F2E2F">
        <w:rPr>
          <w:rFonts w:ascii="Times New Roman" w:hAnsi="Times New Roman" w:cs="Times New Roman"/>
          <w:sz w:val="24"/>
        </w:rPr>
        <w:t xml:space="preserve">, </w:t>
      </w:r>
      <w:r w:rsidRPr="000F2E2F">
        <w:rPr>
          <w:rFonts w:ascii="Times New Roman" w:hAnsi="Times New Roman" w:cs="Times New Roman"/>
          <w:i/>
          <w:iCs/>
          <w:sz w:val="24"/>
        </w:rPr>
        <w:t>12</w:t>
      </w:r>
      <w:r w:rsidRPr="000F2E2F">
        <w:rPr>
          <w:rFonts w:ascii="Times New Roman" w:hAnsi="Times New Roman" w:cs="Times New Roman"/>
          <w:sz w:val="24"/>
        </w:rPr>
        <w:t>(10), 1554. https://doi.org/10.3390/agriculture12101554</w:t>
      </w:r>
    </w:p>
    <w:p w14:paraId="52E735D3" w14:textId="77777777" w:rsidR="000F2E2F" w:rsidRPr="000F2E2F" w:rsidRDefault="000F2E2F" w:rsidP="00060AA3">
      <w:pPr>
        <w:pStyle w:val="Bibliography"/>
        <w:numPr>
          <w:ilvl w:val="0"/>
          <w:numId w:val="24"/>
        </w:numPr>
        <w:spacing w:line="240" w:lineRule="auto"/>
        <w:jc w:val="both"/>
        <w:rPr>
          <w:rFonts w:ascii="Times New Roman" w:hAnsi="Times New Roman" w:cs="Times New Roman"/>
          <w:sz w:val="24"/>
        </w:rPr>
      </w:pPr>
      <w:r w:rsidRPr="000F2E2F">
        <w:rPr>
          <w:rFonts w:ascii="Times New Roman" w:hAnsi="Times New Roman" w:cs="Times New Roman"/>
          <w:sz w:val="24"/>
        </w:rPr>
        <w:t xml:space="preserve">Wilkinson, A. (2023). </w:t>
      </w:r>
      <w:r w:rsidRPr="000F2E2F">
        <w:rPr>
          <w:rFonts w:ascii="Times New Roman" w:hAnsi="Times New Roman" w:cs="Times New Roman"/>
          <w:i/>
          <w:iCs/>
          <w:sz w:val="24"/>
        </w:rPr>
        <w:t>Social-Ecological Systems Analysis and Perceptions of Change in Agriculture, Food and Farm Systems in Southern Alberta and Yukon Territory</w:t>
      </w:r>
      <w:r w:rsidRPr="000F2E2F">
        <w:rPr>
          <w:rFonts w:ascii="Times New Roman" w:hAnsi="Times New Roman" w:cs="Times New Roman"/>
          <w:sz w:val="24"/>
        </w:rPr>
        <w:t>. Graduate Studies. https://doi.org/10.11575/PRISM/41949</w:t>
      </w:r>
    </w:p>
    <w:p w14:paraId="5B8DC2EC" w14:textId="78D6118D" w:rsidR="00565F56" w:rsidRPr="000F2E2F" w:rsidRDefault="000F2E2F" w:rsidP="000F2E2F">
      <w:pPr>
        <w:spacing w:after="0" w:line="240" w:lineRule="auto"/>
        <w:jc w:val="both"/>
        <w:rPr>
          <w:rFonts w:ascii="Times New Roman" w:hAnsi="Times New Roman" w:cs="Times New Roman"/>
          <w:bCs/>
          <w:sz w:val="24"/>
          <w:szCs w:val="24"/>
        </w:rPr>
      </w:pPr>
      <w:r w:rsidRPr="000F2E2F">
        <w:rPr>
          <w:rFonts w:ascii="Times New Roman" w:hAnsi="Times New Roman" w:cs="Times New Roman"/>
          <w:bCs/>
          <w:sz w:val="24"/>
          <w:szCs w:val="24"/>
        </w:rPr>
        <w:fldChar w:fldCharType="end"/>
      </w:r>
    </w:p>
    <w:sectPr w:rsidR="00565F56" w:rsidRPr="000F2E2F" w:rsidSect="000C713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8E382" w14:textId="77777777" w:rsidR="0053330A" w:rsidRDefault="0053330A" w:rsidP="008E2300">
      <w:pPr>
        <w:spacing w:after="0" w:line="240" w:lineRule="auto"/>
      </w:pPr>
      <w:r>
        <w:separator/>
      </w:r>
    </w:p>
  </w:endnote>
  <w:endnote w:type="continuationSeparator" w:id="0">
    <w:p w14:paraId="5374A012" w14:textId="77777777" w:rsidR="0053330A" w:rsidRDefault="0053330A" w:rsidP="008E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C781" w14:textId="77777777" w:rsidR="00F53A5F" w:rsidRDefault="00F53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9B4C2" w14:textId="77777777" w:rsidR="00F53A5F" w:rsidRDefault="00F53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A7C8" w14:textId="77777777" w:rsidR="00F53A5F" w:rsidRDefault="00F53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DA8DA" w14:textId="77777777" w:rsidR="0053330A" w:rsidRDefault="0053330A" w:rsidP="008E2300">
      <w:pPr>
        <w:spacing w:after="0" w:line="240" w:lineRule="auto"/>
      </w:pPr>
      <w:r>
        <w:separator/>
      </w:r>
    </w:p>
  </w:footnote>
  <w:footnote w:type="continuationSeparator" w:id="0">
    <w:p w14:paraId="54BBE35E" w14:textId="77777777" w:rsidR="0053330A" w:rsidRDefault="0053330A" w:rsidP="008E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04C2" w14:textId="72E6FBA0" w:rsidR="00F53A5F" w:rsidRDefault="00F53A5F">
    <w:pPr>
      <w:pStyle w:val="Header"/>
    </w:pPr>
    <w:r>
      <w:rPr>
        <w:noProof/>
      </w:rPr>
      <w:pict w14:anchorId="5B554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6955" w14:textId="14562D68" w:rsidR="00F53A5F" w:rsidRDefault="00F53A5F">
    <w:pPr>
      <w:pStyle w:val="Header"/>
    </w:pPr>
    <w:r>
      <w:rPr>
        <w:noProof/>
      </w:rPr>
      <w:pict w14:anchorId="6B00A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37DA" w14:textId="62B92D54" w:rsidR="00F53A5F" w:rsidRDefault="00F53A5F">
    <w:pPr>
      <w:pStyle w:val="Header"/>
    </w:pPr>
    <w:r>
      <w:rPr>
        <w:noProof/>
      </w:rPr>
      <w:pict w14:anchorId="2778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47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729A"/>
    <w:multiLevelType w:val="hybridMultilevel"/>
    <w:tmpl w:val="ABA8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037B"/>
    <w:multiLevelType w:val="hybridMultilevel"/>
    <w:tmpl w:val="840EB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A338E"/>
    <w:multiLevelType w:val="hybridMultilevel"/>
    <w:tmpl w:val="3C562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C632E"/>
    <w:multiLevelType w:val="hybridMultilevel"/>
    <w:tmpl w:val="5DBEA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1C54"/>
    <w:multiLevelType w:val="multilevel"/>
    <w:tmpl w:val="D14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55951"/>
    <w:multiLevelType w:val="hybridMultilevel"/>
    <w:tmpl w:val="60726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257E"/>
    <w:multiLevelType w:val="hybridMultilevel"/>
    <w:tmpl w:val="00E8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83621"/>
    <w:multiLevelType w:val="hybridMultilevel"/>
    <w:tmpl w:val="AA7A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F7277"/>
    <w:multiLevelType w:val="hybridMultilevel"/>
    <w:tmpl w:val="08A6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B51C6"/>
    <w:multiLevelType w:val="hybridMultilevel"/>
    <w:tmpl w:val="8E12A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D0DEF"/>
    <w:multiLevelType w:val="multilevel"/>
    <w:tmpl w:val="9B1E4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391B88"/>
    <w:multiLevelType w:val="multilevel"/>
    <w:tmpl w:val="F10A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528F9"/>
    <w:multiLevelType w:val="multilevel"/>
    <w:tmpl w:val="334A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14D59"/>
    <w:multiLevelType w:val="hybridMultilevel"/>
    <w:tmpl w:val="4ED81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5349F"/>
    <w:multiLevelType w:val="multilevel"/>
    <w:tmpl w:val="FEC44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34FF0"/>
    <w:multiLevelType w:val="multilevel"/>
    <w:tmpl w:val="DFA6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5B2D20"/>
    <w:multiLevelType w:val="hybridMultilevel"/>
    <w:tmpl w:val="B25E4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D1C94"/>
    <w:multiLevelType w:val="hybridMultilevel"/>
    <w:tmpl w:val="44C8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C4080"/>
    <w:multiLevelType w:val="hybridMultilevel"/>
    <w:tmpl w:val="8302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E1C51"/>
    <w:multiLevelType w:val="hybridMultilevel"/>
    <w:tmpl w:val="0420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80ED4"/>
    <w:multiLevelType w:val="multilevel"/>
    <w:tmpl w:val="27FC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152DE3"/>
    <w:multiLevelType w:val="hybridMultilevel"/>
    <w:tmpl w:val="85FC73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A2C1C"/>
    <w:multiLevelType w:val="hybridMultilevel"/>
    <w:tmpl w:val="B1BE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72286"/>
    <w:multiLevelType w:val="hybridMultilevel"/>
    <w:tmpl w:val="947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14"/>
  </w:num>
  <w:num w:numId="5">
    <w:abstractNumId w:val="20"/>
  </w:num>
  <w:num w:numId="6">
    <w:abstractNumId w:val="23"/>
  </w:num>
  <w:num w:numId="7">
    <w:abstractNumId w:val="19"/>
  </w:num>
  <w:num w:numId="8">
    <w:abstractNumId w:val="10"/>
  </w:num>
  <w:num w:numId="9">
    <w:abstractNumId w:val="9"/>
  </w:num>
  <w:num w:numId="10">
    <w:abstractNumId w:val="16"/>
  </w:num>
  <w:num w:numId="11">
    <w:abstractNumId w:val="22"/>
  </w:num>
  <w:num w:numId="12">
    <w:abstractNumId w:val="1"/>
  </w:num>
  <w:num w:numId="13">
    <w:abstractNumId w:val="7"/>
  </w:num>
  <w:num w:numId="14">
    <w:abstractNumId w:val="11"/>
  </w:num>
  <w:num w:numId="15">
    <w:abstractNumId w:val="5"/>
  </w:num>
  <w:num w:numId="16">
    <w:abstractNumId w:val="3"/>
  </w:num>
  <w:num w:numId="17">
    <w:abstractNumId w:val="0"/>
  </w:num>
  <w:num w:numId="18">
    <w:abstractNumId w:val="6"/>
  </w:num>
  <w:num w:numId="19">
    <w:abstractNumId w:val="17"/>
  </w:num>
  <w:num w:numId="20">
    <w:abstractNumId w:val="21"/>
  </w:num>
  <w:num w:numId="21">
    <w:abstractNumId w:val="2"/>
  </w:num>
  <w:num w:numId="22">
    <w:abstractNumId w:val="18"/>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wMTM3MTU1NTQ0sDRS0lEKTi0uzszPAykwMawFAHTRbsMtAAAA"/>
  </w:docVars>
  <w:rsids>
    <w:rsidRoot w:val="00B416FC"/>
    <w:rsid w:val="0000132D"/>
    <w:rsid w:val="0000358C"/>
    <w:rsid w:val="000035EE"/>
    <w:rsid w:val="000038EC"/>
    <w:rsid w:val="00004890"/>
    <w:rsid w:val="00006AE1"/>
    <w:rsid w:val="000110DF"/>
    <w:rsid w:val="000114E3"/>
    <w:rsid w:val="0001543A"/>
    <w:rsid w:val="00016A0C"/>
    <w:rsid w:val="000273F7"/>
    <w:rsid w:val="00030159"/>
    <w:rsid w:val="00036475"/>
    <w:rsid w:val="00037802"/>
    <w:rsid w:val="00037B0E"/>
    <w:rsid w:val="000515CC"/>
    <w:rsid w:val="00056A57"/>
    <w:rsid w:val="00056EA3"/>
    <w:rsid w:val="00060AA3"/>
    <w:rsid w:val="00061895"/>
    <w:rsid w:val="00067AD5"/>
    <w:rsid w:val="00071E58"/>
    <w:rsid w:val="00072441"/>
    <w:rsid w:val="00072E82"/>
    <w:rsid w:val="00076335"/>
    <w:rsid w:val="000800AA"/>
    <w:rsid w:val="000827CC"/>
    <w:rsid w:val="000837FD"/>
    <w:rsid w:val="0009006B"/>
    <w:rsid w:val="00093347"/>
    <w:rsid w:val="000940E4"/>
    <w:rsid w:val="00095BA0"/>
    <w:rsid w:val="00097875"/>
    <w:rsid w:val="00097C0E"/>
    <w:rsid w:val="000A41D0"/>
    <w:rsid w:val="000A7C05"/>
    <w:rsid w:val="000B32D6"/>
    <w:rsid w:val="000B4190"/>
    <w:rsid w:val="000B67D2"/>
    <w:rsid w:val="000B6A5C"/>
    <w:rsid w:val="000C1C13"/>
    <w:rsid w:val="000C27DD"/>
    <w:rsid w:val="000C31F0"/>
    <w:rsid w:val="000C713D"/>
    <w:rsid w:val="000D0C4A"/>
    <w:rsid w:val="000D12BA"/>
    <w:rsid w:val="000D629F"/>
    <w:rsid w:val="000E1580"/>
    <w:rsid w:val="000E42D6"/>
    <w:rsid w:val="000E4F8D"/>
    <w:rsid w:val="000E76AD"/>
    <w:rsid w:val="000F21D9"/>
    <w:rsid w:val="000F2E2F"/>
    <w:rsid w:val="000F57DD"/>
    <w:rsid w:val="00100F65"/>
    <w:rsid w:val="0010355C"/>
    <w:rsid w:val="00103BA7"/>
    <w:rsid w:val="0011134F"/>
    <w:rsid w:val="0011660B"/>
    <w:rsid w:val="00116B54"/>
    <w:rsid w:val="001172DA"/>
    <w:rsid w:val="00123919"/>
    <w:rsid w:val="00123A84"/>
    <w:rsid w:val="001248B4"/>
    <w:rsid w:val="0012720E"/>
    <w:rsid w:val="00135423"/>
    <w:rsid w:val="0013700B"/>
    <w:rsid w:val="0013798D"/>
    <w:rsid w:val="0014058D"/>
    <w:rsid w:val="0014114A"/>
    <w:rsid w:val="0014518A"/>
    <w:rsid w:val="00146833"/>
    <w:rsid w:val="0015025C"/>
    <w:rsid w:val="0015224F"/>
    <w:rsid w:val="0015696F"/>
    <w:rsid w:val="00163A0B"/>
    <w:rsid w:val="00164ABA"/>
    <w:rsid w:val="00171482"/>
    <w:rsid w:val="00172614"/>
    <w:rsid w:val="0017315E"/>
    <w:rsid w:val="0018242D"/>
    <w:rsid w:val="0018343C"/>
    <w:rsid w:val="00184A73"/>
    <w:rsid w:val="0018719F"/>
    <w:rsid w:val="0019384E"/>
    <w:rsid w:val="00197A2D"/>
    <w:rsid w:val="001A38A1"/>
    <w:rsid w:val="001A43D1"/>
    <w:rsid w:val="001A4EFA"/>
    <w:rsid w:val="001A5B8F"/>
    <w:rsid w:val="001A637C"/>
    <w:rsid w:val="001B3879"/>
    <w:rsid w:val="001B402B"/>
    <w:rsid w:val="001B525E"/>
    <w:rsid w:val="001C03B6"/>
    <w:rsid w:val="001C04B5"/>
    <w:rsid w:val="001C0551"/>
    <w:rsid w:val="001C64E6"/>
    <w:rsid w:val="001D2A3C"/>
    <w:rsid w:val="001D4F87"/>
    <w:rsid w:val="001D546B"/>
    <w:rsid w:val="001D7841"/>
    <w:rsid w:val="001E13D9"/>
    <w:rsid w:val="001E14FD"/>
    <w:rsid w:val="001E3FD9"/>
    <w:rsid w:val="001E4C39"/>
    <w:rsid w:val="001E7106"/>
    <w:rsid w:val="001E783C"/>
    <w:rsid w:val="001F0760"/>
    <w:rsid w:val="001F1673"/>
    <w:rsid w:val="001F2658"/>
    <w:rsid w:val="001F3CE8"/>
    <w:rsid w:val="001F4859"/>
    <w:rsid w:val="001F57A2"/>
    <w:rsid w:val="001F7557"/>
    <w:rsid w:val="00210079"/>
    <w:rsid w:val="00212FA1"/>
    <w:rsid w:val="0021731D"/>
    <w:rsid w:val="00217B33"/>
    <w:rsid w:val="002238A6"/>
    <w:rsid w:val="0023070E"/>
    <w:rsid w:val="00232144"/>
    <w:rsid w:val="00242961"/>
    <w:rsid w:val="00243EEF"/>
    <w:rsid w:val="00246A3F"/>
    <w:rsid w:val="00253FFC"/>
    <w:rsid w:val="00256085"/>
    <w:rsid w:val="0026665E"/>
    <w:rsid w:val="00270C7C"/>
    <w:rsid w:val="00273727"/>
    <w:rsid w:val="00273862"/>
    <w:rsid w:val="00275527"/>
    <w:rsid w:val="0028249A"/>
    <w:rsid w:val="00284B7D"/>
    <w:rsid w:val="00290951"/>
    <w:rsid w:val="00292575"/>
    <w:rsid w:val="00292A3A"/>
    <w:rsid w:val="00294DB2"/>
    <w:rsid w:val="002970C0"/>
    <w:rsid w:val="002979AC"/>
    <w:rsid w:val="002A0EEA"/>
    <w:rsid w:val="002A2D03"/>
    <w:rsid w:val="002A51CB"/>
    <w:rsid w:val="002B182C"/>
    <w:rsid w:val="002B2D2F"/>
    <w:rsid w:val="002B3C6A"/>
    <w:rsid w:val="002B402E"/>
    <w:rsid w:val="002B477E"/>
    <w:rsid w:val="002B6A86"/>
    <w:rsid w:val="002B75E2"/>
    <w:rsid w:val="002C2E2B"/>
    <w:rsid w:val="002E044F"/>
    <w:rsid w:val="002E1E80"/>
    <w:rsid w:val="002E28C8"/>
    <w:rsid w:val="002E6621"/>
    <w:rsid w:val="002E6CD9"/>
    <w:rsid w:val="002E7271"/>
    <w:rsid w:val="003029E7"/>
    <w:rsid w:val="00303625"/>
    <w:rsid w:val="0030733A"/>
    <w:rsid w:val="00311389"/>
    <w:rsid w:val="00321A47"/>
    <w:rsid w:val="003240FF"/>
    <w:rsid w:val="0032437E"/>
    <w:rsid w:val="003304C8"/>
    <w:rsid w:val="00334B1F"/>
    <w:rsid w:val="00335F7C"/>
    <w:rsid w:val="00336DAB"/>
    <w:rsid w:val="003408AC"/>
    <w:rsid w:val="00344D05"/>
    <w:rsid w:val="00345840"/>
    <w:rsid w:val="00355697"/>
    <w:rsid w:val="00364E9F"/>
    <w:rsid w:val="00373F9F"/>
    <w:rsid w:val="00376013"/>
    <w:rsid w:val="00376FAA"/>
    <w:rsid w:val="003849CA"/>
    <w:rsid w:val="00391CA3"/>
    <w:rsid w:val="00392B90"/>
    <w:rsid w:val="00394932"/>
    <w:rsid w:val="003A0E2B"/>
    <w:rsid w:val="003A42DB"/>
    <w:rsid w:val="003A5E27"/>
    <w:rsid w:val="003A677F"/>
    <w:rsid w:val="003B1506"/>
    <w:rsid w:val="003B2E5D"/>
    <w:rsid w:val="003B3703"/>
    <w:rsid w:val="003B3B4A"/>
    <w:rsid w:val="003C04A4"/>
    <w:rsid w:val="003C1063"/>
    <w:rsid w:val="003C4747"/>
    <w:rsid w:val="003C4CC2"/>
    <w:rsid w:val="003D0394"/>
    <w:rsid w:val="003E2BFB"/>
    <w:rsid w:val="003E5BD0"/>
    <w:rsid w:val="003E6331"/>
    <w:rsid w:val="003E688D"/>
    <w:rsid w:val="003F0367"/>
    <w:rsid w:val="003F03EB"/>
    <w:rsid w:val="003F27C6"/>
    <w:rsid w:val="00403302"/>
    <w:rsid w:val="00403FEA"/>
    <w:rsid w:val="0040613C"/>
    <w:rsid w:val="00407B44"/>
    <w:rsid w:val="00407C53"/>
    <w:rsid w:val="004106B1"/>
    <w:rsid w:val="004122BE"/>
    <w:rsid w:val="00412C08"/>
    <w:rsid w:val="00413813"/>
    <w:rsid w:val="00415290"/>
    <w:rsid w:val="004173C1"/>
    <w:rsid w:val="00417D7E"/>
    <w:rsid w:val="004211EE"/>
    <w:rsid w:val="00421CFF"/>
    <w:rsid w:val="00422147"/>
    <w:rsid w:val="00425DFF"/>
    <w:rsid w:val="004279D5"/>
    <w:rsid w:val="00427C9D"/>
    <w:rsid w:val="004335C6"/>
    <w:rsid w:val="004405A4"/>
    <w:rsid w:val="004462C0"/>
    <w:rsid w:val="004478C9"/>
    <w:rsid w:val="00460DAE"/>
    <w:rsid w:val="00462706"/>
    <w:rsid w:val="00462A27"/>
    <w:rsid w:val="00464FD4"/>
    <w:rsid w:val="004706B0"/>
    <w:rsid w:val="00471761"/>
    <w:rsid w:val="00472E4F"/>
    <w:rsid w:val="004735A6"/>
    <w:rsid w:val="00474D89"/>
    <w:rsid w:val="00477680"/>
    <w:rsid w:val="00480F5C"/>
    <w:rsid w:val="0048308C"/>
    <w:rsid w:val="0048353A"/>
    <w:rsid w:val="004855EC"/>
    <w:rsid w:val="00487597"/>
    <w:rsid w:val="00487C10"/>
    <w:rsid w:val="00487DD9"/>
    <w:rsid w:val="004A1403"/>
    <w:rsid w:val="004A324F"/>
    <w:rsid w:val="004B4472"/>
    <w:rsid w:val="004C0EDB"/>
    <w:rsid w:val="004C4C75"/>
    <w:rsid w:val="004C6295"/>
    <w:rsid w:val="004D2ECF"/>
    <w:rsid w:val="004D3708"/>
    <w:rsid w:val="004E18FB"/>
    <w:rsid w:val="004F085E"/>
    <w:rsid w:val="00501452"/>
    <w:rsid w:val="00504045"/>
    <w:rsid w:val="0050511F"/>
    <w:rsid w:val="00512C72"/>
    <w:rsid w:val="00513EC3"/>
    <w:rsid w:val="005148B3"/>
    <w:rsid w:val="00515B7C"/>
    <w:rsid w:val="0051743A"/>
    <w:rsid w:val="00530F39"/>
    <w:rsid w:val="0053330A"/>
    <w:rsid w:val="00534E5F"/>
    <w:rsid w:val="0053517E"/>
    <w:rsid w:val="00537C72"/>
    <w:rsid w:val="0054093D"/>
    <w:rsid w:val="00541646"/>
    <w:rsid w:val="005503F1"/>
    <w:rsid w:val="005535AE"/>
    <w:rsid w:val="00554153"/>
    <w:rsid w:val="00561FEF"/>
    <w:rsid w:val="00562A41"/>
    <w:rsid w:val="00565F56"/>
    <w:rsid w:val="0056676A"/>
    <w:rsid w:val="0057604D"/>
    <w:rsid w:val="0057748D"/>
    <w:rsid w:val="00592A8A"/>
    <w:rsid w:val="00597084"/>
    <w:rsid w:val="005A18A2"/>
    <w:rsid w:val="005A79EF"/>
    <w:rsid w:val="005B00F1"/>
    <w:rsid w:val="005B140B"/>
    <w:rsid w:val="005B2FFE"/>
    <w:rsid w:val="005B5774"/>
    <w:rsid w:val="005C1141"/>
    <w:rsid w:val="005C3142"/>
    <w:rsid w:val="005C3BEE"/>
    <w:rsid w:val="005C66D5"/>
    <w:rsid w:val="005C710A"/>
    <w:rsid w:val="005D0117"/>
    <w:rsid w:val="005D1258"/>
    <w:rsid w:val="005D18B4"/>
    <w:rsid w:val="005D35DA"/>
    <w:rsid w:val="005D5E9F"/>
    <w:rsid w:val="005E00BE"/>
    <w:rsid w:val="005E12F9"/>
    <w:rsid w:val="005F1562"/>
    <w:rsid w:val="00600F8B"/>
    <w:rsid w:val="0060217C"/>
    <w:rsid w:val="00605C24"/>
    <w:rsid w:val="0060615B"/>
    <w:rsid w:val="00606B28"/>
    <w:rsid w:val="006077FB"/>
    <w:rsid w:val="0061003B"/>
    <w:rsid w:val="00611F9B"/>
    <w:rsid w:val="006174F0"/>
    <w:rsid w:val="0062195B"/>
    <w:rsid w:val="00622389"/>
    <w:rsid w:val="00625224"/>
    <w:rsid w:val="00631679"/>
    <w:rsid w:val="00631970"/>
    <w:rsid w:val="00640E40"/>
    <w:rsid w:val="00644C24"/>
    <w:rsid w:val="00646ABA"/>
    <w:rsid w:val="006477BD"/>
    <w:rsid w:val="00647C8C"/>
    <w:rsid w:val="0065165C"/>
    <w:rsid w:val="006765BD"/>
    <w:rsid w:val="00686194"/>
    <w:rsid w:val="006862AD"/>
    <w:rsid w:val="00694911"/>
    <w:rsid w:val="006953FA"/>
    <w:rsid w:val="006A0AEA"/>
    <w:rsid w:val="006A1E4D"/>
    <w:rsid w:val="006A4A01"/>
    <w:rsid w:val="006A4DDF"/>
    <w:rsid w:val="006A795E"/>
    <w:rsid w:val="006B084D"/>
    <w:rsid w:val="006B119D"/>
    <w:rsid w:val="006B2B20"/>
    <w:rsid w:val="006C1CBB"/>
    <w:rsid w:val="006C337D"/>
    <w:rsid w:val="006C5080"/>
    <w:rsid w:val="006D058B"/>
    <w:rsid w:val="006D06C4"/>
    <w:rsid w:val="006D08A4"/>
    <w:rsid w:val="006D21CA"/>
    <w:rsid w:val="006D3B6F"/>
    <w:rsid w:val="006D6DE3"/>
    <w:rsid w:val="006E4E13"/>
    <w:rsid w:val="006E6D55"/>
    <w:rsid w:val="006F4050"/>
    <w:rsid w:val="006F41A7"/>
    <w:rsid w:val="006F5A2F"/>
    <w:rsid w:val="00700E0F"/>
    <w:rsid w:val="0071090C"/>
    <w:rsid w:val="00711611"/>
    <w:rsid w:val="00711CA1"/>
    <w:rsid w:val="0071382F"/>
    <w:rsid w:val="00713D8F"/>
    <w:rsid w:val="00723075"/>
    <w:rsid w:val="007235C4"/>
    <w:rsid w:val="00730722"/>
    <w:rsid w:val="00732729"/>
    <w:rsid w:val="007327E8"/>
    <w:rsid w:val="00732CF5"/>
    <w:rsid w:val="00741D45"/>
    <w:rsid w:val="00744A69"/>
    <w:rsid w:val="007465C8"/>
    <w:rsid w:val="007524C2"/>
    <w:rsid w:val="00754850"/>
    <w:rsid w:val="00761E65"/>
    <w:rsid w:val="007628E7"/>
    <w:rsid w:val="00764922"/>
    <w:rsid w:val="00766087"/>
    <w:rsid w:val="0076662C"/>
    <w:rsid w:val="00770F8C"/>
    <w:rsid w:val="0077627E"/>
    <w:rsid w:val="00776BCE"/>
    <w:rsid w:val="00783D0E"/>
    <w:rsid w:val="0078491C"/>
    <w:rsid w:val="00792066"/>
    <w:rsid w:val="00794DE9"/>
    <w:rsid w:val="0079565F"/>
    <w:rsid w:val="007A1F8B"/>
    <w:rsid w:val="007C174A"/>
    <w:rsid w:val="007C597F"/>
    <w:rsid w:val="007C7108"/>
    <w:rsid w:val="007C7674"/>
    <w:rsid w:val="007D3539"/>
    <w:rsid w:val="007D55B0"/>
    <w:rsid w:val="007E092F"/>
    <w:rsid w:val="007E14F0"/>
    <w:rsid w:val="007E7D10"/>
    <w:rsid w:val="007F7B68"/>
    <w:rsid w:val="00802B3E"/>
    <w:rsid w:val="0080669F"/>
    <w:rsid w:val="0081121E"/>
    <w:rsid w:val="00811CED"/>
    <w:rsid w:val="0081475A"/>
    <w:rsid w:val="00816788"/>
    <w:rsid w:val="008175EA"/>
    <w:rsid w:val="00820562"/>
    <w:rsid w:val="00831A86"/>
    <w:rsid w:val="0083267D"/>
    <w:rsid w:val="00832FA9"/>
    <w:rsid w:val="008474A9"/>
    <w:rsid w:val="0085430D"/>
    <w:rsid w:val="0085637E"/>
    <w:rsid w:val="00865795"/>
    <w:rsid w:val="00865F73"/>
    <w:rsid w:val="008670D1"/>
    <w:rsid w:val="00872E66"/>
    <w:rsid w:val="00876A95"/>
    <w:rsid w:val="00880227"/>
    <w:rsid w:val="008807D7"/>
    <w:rsid w:val="008831F3"/>
    <w:rsid w:val="00890738"/>
    <w:rsid w:val="00892AC9"/>
    <w:rsid w:val="008A178C"/>
    <w:rsid w:val="008A2CB2"/>
    <w:rsid w:val="008B1AAE"/>
    <w:rsid w:val="008B41D9"/>
    <w:rsid w:val="008C1666"/>
    <w:rsid w:val="008D1C04"/>
    <w:rsid w:val="008D3111"/>
    <w:rsid w:val="008D39A3"/>
    <w:rsid w:val="008D62D8"/>
    <w:rsid w:val="008E2300"/>
    <w:rsid w:val="008E2B57"/>
    <w:rsid w:val="008E7F29"/>
    <w:rsid w:val="008F0212"/>
    <w:rsid w:val="008F77D3"/>
    <w:rsid w:val="009017FF"/>
    <w:rsid w:val="00907168"/>
    <w:rsid w:val="009100C9"/>
    <w:rsid w:val="00912BCA"/>
    <w:rsid w:val="0091450A"/>
    <w:rsid w:val="00923655"/>
    <w:rsid w:val="009250FC"/>
    <w:rsid w:val="0092573E"/>
    <w:rsid w:val="00926466"/>
    <w:rsid w:val="00933485"/>
    <w:rsid w:val="00936A6B"/>
    <w:rsid w:val="00941142"/>
    <w:rsid w:val="00945A8F"/>
    <w:rsid w:val="00946FB3"/>
    <w:rsid w:val="00952477"/>
    <w:rsid w:val="00955352"/>
    <w:rsid w:val="00957D96"/>
    <w:rsid w:val="0096350F"/>
    <w:rsid w:val="00971F40"/>
    <w:rsid w:val="0097692D"/>
    <w:rsid w:val="009770CC"/>
    <w:rsid w:val="009778A2"/>
    <w:rsid w:val="00977D61"/>
    <w:rsid w:val="009813A3"/>
    <w:rsid w:val="00981E5C"/>
    <w:rsid w:val="0098561F"/>
    <w:rsid w:val="00992700"/>
    <w:rsid w:val="00996F66"/>
    <w:rsid w:val="009A0DC4"/>
    <w:rsid w:val="009A3E41"/>
    <w:rsid w:val="009A7363"/>
    <w:rsid w:val="009B10FD"/>
    <w:rsid w:val="009B2E29"/>
    <w:rsid w:val="009B3BAA"/>
    <w:rsid w:val="009C583E"/>
    <w:rsid w:val="009C7EDA"/>
    <w:rsid w:val="009D1F19"/>
    <w:rsid w:val="009D3B28"/>
    <w:rsid w:val="009D710B"/>
    <w:rsid w:val="009E5064"/>
    <w:rsid w:val="009E5540"/>
    <w:rsid w:val="009E7177"/>
    <w:rsid w:val="009F20E1"/>
    <w:rsid w:val="009F3C46"/>
    <w:rsid w:val="009F3F34"/>
    <w:rsid w:val="009F438C"/>
    <w:rsid w:val="009F55EA"/>
    <w:rsid w:val="009F70B6"/>
    <w:rsid w:val="00A0068E"/>
    <w:rsid w:val="00A03B90"/>
    <w:rsid w:val="00A04760"/>
    <w:rsid w:val="00A101C4"/>
    <w:rsid w:val="00A102DA"/>
    <w:rsid w:val="00A146D0"/>
    <w:rsid w:val="00A154CC"/>
    <w:rsid w:val="00A16707"/>
    <w:rsid w:val="00A24F1B"/>
    <w:rsid w:val="00A35AB3"/>
    <w:rsid w:val="00A438B8"/>
    <w:rsid w:val="00A43ADB"/>
    <w:rsid w:val="00A46C96"/>
    <w:rsid w:val="00A50625"/>
    <w:rsid w:val="00A511E9"/>
    <w:rsid w:val="00A51540"/>
    <w:rsid w:val="00A53580"/>
    <w:rsid w:val="00A54896"/>
    <w:rsid w:val="00A56031"/>
    <w:rsid w:val="00A56383"/>
    <w:rsid w:val="00A57CE0"/>
    <w:rsid w:val="00A632D3"/>
    <w:rsid w:val="00A705AC"/>
    <w:rsid w:val="00A818BE"/>
    <w:rsid w:val="00A82AAC"/>
    <w:rsid w:val="00A94154"/>
    <w:rsid w:val="00A95876"/>
    <w:rsid w:val="00AA5B68"/>
    <w:rsid w:val="00AB2A93"/>
    <w:rsid w:val="00AB368B"/>
    <w:rsid w:val="00AB687A"/>
    <w:rsid w:val="00AC1D2C"/>
    <w:rsid w:val="00AC3398"/>
    <w:rsid w:val="00AC3A3C"/>
    <w:rsid w:val="00AC4658"/>
    <w:rsid w:val="00AC5250"/>
    <w:rsid w:val="00AD096F"/>
    <w:rsid w:val="00AD11A2"/>
    <w:rsid w:val="00AD1770"/>
    <w:rsid w:val="00AD2148"/>
    <w:rsid w:val="00AD4D40"/>
    <w:rsid w:val="00AD5353"/>
    <w:rsid w:val="00AE118B"/>
    <w:rsid w:val="00AE5AB7"/>
    <w:rsid w:val="00AE6140"/>
    <w:rsid w:val="00AF0081"/>
    <w:rsid w:val="00AF4889"/>
    <w:rsid w:val="00B04617"/>
    <w:rsid w:val="00B04921"/>
    <w:rsid w:val="00B07C6C"/>
    <w:rsid w:val="00B11154"/>
    <w:rsid w:val="00B1166E"/>
    <w:rsid w:val="00B12F2C"/>
    <w:rsid w:val="00B13AA3"/>
    <w:rsid w:val="00B15D4A"/>
    <w:rsid w:val="00B162B2"/>
    <w:rsid w:val="00B16324"/>
    <w:rsid w:val="00B164A7"/>
    <w:rsid w:val="00B17D3F"/>
    <w:rsid w:val="00B22E3F"/>
    <w:rsid w:val="00B253DA"/>
    <w:rsid w:val="00B412C1"/>
    <w:rsid w:val="00B416FC"/>
    <w:rsid w:val="00B42208"/>
    <w:rsid w:val="00B46067"/>
    <w:rsid w:val="00B47B07"/>
    <w:rsid w:val="00B53098"/>
    <w:rsid w:val="00B53624"/>
    <w:rsid w:val="00B53828"/>
    <w:rsid w:val="00B54584"/>
    <w:rsid w:val="00B57E5A"/>
    <w:rsid w:val="00B61C6F"/>
    <w:rsid w:val="00B67379"/>
    <w:rsid w:val="00B700B4"/>
    <w:rsid w:val="00B72BE1"/>
    <w:rsid w:val="00B7658E"/>
    <w:rsid w:val="00B76B54"/>
    <w:rsid w:val="00B7799A"/>
    <w:rsid w:val="00B8038B"/>
    <w:rsid w:val="00B8120D"/>
    <w:rsid w:val="00B812E2"/>
    <w:rsid w:val="00B85B69"/>
    <w:rsid w:val="00B866A1"/>
    <w:rsid w:val="00B86BD2"/>
    <w:rsid w:val="00B94386"/>
    <w:rsid w:val="00B944B0"/>
    <w:rsid w:val="00B946D8"/>
    <w:rsid w:val="00B94C3F"/>
    <w:rsid w:val="00BA201E"/>
    <w:rsid w:val="00BA3944"/>
    <w:rsid w:val="00BA5288"/>
    <w:rsid w:val="00BA7860"/>
    <w:rsid w:val="00BB1CA1"/>
    <w:rsid w:val="00BB23A0"/>
    <w:rsid w:val="00BB4D0C"/>
    <w:rsid w:val="00BB6E8D"/>
    <w:rsid w:val="00BC5F77"/>
    <w:rsid w:val="00BC77BC"/>
    <w:rsid w:val="00BD29E0"/>
    <w:rsid w:val="00BD40CE"/>
    <w:rsid w:val="00BF3451"/>
    <w:rsid w:val="00BF73C3"/>
    <w:rsid w:val="00C02E31"/>
    <w:rsid w:val="00C074DC"/>
    <w:rsid w:val="00C22DC4"/>
    <w:rsid w:val="00C31616"/>
    <w:rsid w:val="00C32BDE"/>
    <w:rsid w:val="00C40075"/>
    <w:rsid w:val="00C42A0F"/>
    <w:rsid w:val="00C43C4B"/>
    <w:rsid w:val="00C44356"/>
    <w:rsid w:val="00C44C39"/>
    <w:rsid w:val="00C44CAE"/>
    <w:rsid w:val="00C463BF"/>
    <w:rsid w:val="00C506DB"/>
    <w:rsid w:val="00C52435"/>
    <w:rsid w:val="00C53936"/>
    <w:rsid w:val="00C53F54"/>
    <w:rsid w:val="00C61703"/>
    <w:rsid w:val="00C61765"/>
    <w:rsid w:val="00C61F65"/>
    <w:rsid w:val="00C64AEE"/>
    <w:rsid w:val="00C65D31"/>
    <w:rsid w:val="00C715B9"/>
    <w:rsid w:val="00C72210"/>
    <w:rsid w:val="00C75B92"/>
    <w:rsid w:val="00C83D8A"/>
    <w:rsid w:val="00C84FA1"/>
    <w:rsid w:val="00C86855"/>
    <w:rsid w:val="00C87769"/>
    <w:rsid w:val="00C922B8"/>
    <w:rsid w:val="00C92827"/>
    <w:rsid w:val="00C9600B"/>
    <w:rsid w:val="00CA0138"/>
    <w:rsid w:val="00CA0821"/>
    <w:rsid w:val="00CA1A88"/>
    <w:rsid w:val="00CA37E3"/>
    <w:rsid w:val="00CB4C82"/>
    <w:rsid w:val="00CB5FE5"/>
    <w:rsid w:val="00CB6C14"/>
    <w:rsid w:val="00CC1B24"/>
    <w:rsid w:val="00CC33BF"/>
    <w:rsid w:val="00CC3411"/>
    <w:rsid w:val="00CD1E8D"/>
    <w:rsid w:val="00CD3397"/>
    <w:rsid w:val="00CD5398"/>
    <w:rsid w:val="00CE1282"/>
    <w:rsid w:val="00CE31E9"/>
    <w:rsid w:val="00CE6915"/>
    <w:rsid w:val="00CE7F32"/>
    <w:rsid w:val="00CE7FC1"/>
    <w:rsid w:val="00CF25E1"/>
    <w:rsid w:val="00CF31EA"/>
    <w:rsid w:val="00CF40C8"/>
    <w:rsid w:val="00CF7657"/>
    <w:rsid w:val="00D03E8B"/>
    <w:rsid w:val="00D20E4C"/>
    <w:rsid w:val="00D238BA"/>
    <w:rsid w:val="00D2441D"/>
    <w:rsid w:val="00D25211"/>
    <w:rsid w:val="00D3175D"/>
    <w:rsid w:val="00D3700F"/>
    <w:rsid w:val="00D37E17"/>
    <w:rsid w:val="00D406A2"/>
    <w:rsid w:val="00D40909"/>
    <w:rsid w:val="00D40C3C"/>
    <w:rsid w:val="00D55101"/>
    <w:rsid w:val="00D60F3F"/>
    <w:rsid w:val="00D671C2"/>
    <w:rsid w:val="00D7493F"/>
    <w:rsid w:val="00D74BB7"/>
    <w:rsid w:val="00D75D74"/>
    <w:rsid w:val="00D80199"/>
    <w:rsid w:val="00D80ECE"/>
    <w:rsid w:val="00D86552"/>
    <w:rsid w:val="00D87503"/>
    <w:rsid w:val="00D91183"/>
    <w:rsid w:val="00D9193E"/>
    <w:rsid w:val="00D91CE7"/>
    <w:rsid w:val="00D92CE7"/>
    <w:rsid w:val="00D97C82"/>
    <w:rsid w:val="00D97EF0"/>
    <w:rsid w:val="00DA128E"/>
    <w:rsid w:val="00DB2B79"/>
    <w:rsid w:val="00DB4ACC"/>
    <w:rsid w:val="00DB51FA"/>
    <w:rsid w:val="00DB537A"/>
    <w:rsid w:val="00DB6D03"/>
    <w:rsid w:val="00DB7A40"/>
    <w:rsid w:val="00DC1819"/>
    <w:rsid w:val="00DC1D8E"/>
    <w:rsid w:val="00DC2EB0"/>
    <w:rsid w:val="00DC2FF7"/>
    <w:rsid w:val="00DC4703"/>
    <w:rsid w:val="00DC4D33"/>
    <w:rsid w:val="00DD193D"/>
    <w:rsid w:val="00DD702B"/>
    <w:rsid w:val="00DE03AD"/>
    <w:rsid w:val="00DE16B7"/>
    <w:rsid w:val="00DE4353"/>
    <w:rsid w:val="00DE4BDF"/>
    <w:rsid w:val="00DE667B"/>
    <w:rsid w:val="00DF01B4"/>
    <w:rsid w:val="00DF0A3C"/>
    <w:rsid w:val="00DF1D45"/>
    <w:rsid w:val="00E01726"/>
    <w:rsid w:val="00E0221B"/>
    <w:rsid w:val="00E04215"/>
    <w:rsid w:val="00E05E40"/>
    <w:rsid w:val="00E14D7D"/>
    <w:rsid w:val="00E21174"/>
    <w:rsid w:val="00E22559"/>
    <w:rsid w:val="00E23601"/>
    <w:rsid w:val="00E26A5C"/>
    <w:rsid w:val="00E3214F"/>
    <w:rsid w:val="00E335CB"/>
    <w:rsid w:val="00E34B60"/>
    <w:rsid w:val="00E3646D"/>
    <w:rsid w:val="00E45DA4"/>
    <w:rsid w:val="00E5120C"/>
    <w:rsid w:val="00E51B7B"/>
    <w:rsid w:val="00E52332"/>
    <w:rsid w:val="00E52DB9"/>
    <w:rsid w:val="00E53E95"/>
    <w:rsid w:val="00E629B9"/>
    <w:rsid w:val="00E648EF"/>
    <w:rsid w:val="00E7202C"/>
    <w:rsid w:val="00E73CA1"/>
    <w:rsid w:val="00E74C22"/>
    <w:rsid w:val="00E80331"/>
    <w:rsid w:val="00E820FC"/>
    <w:rsid w:val="00E8320D"/>
    <w:rsid w:val="00E8344E"/>
    <w:rsid w:val="00E84CD2"/>
    <w:rsid w:val="00E85E90"/>
    <w:rsid w:val="00E86535"/>
    <w:rsid w:val="00E87C3D"/>
    <w:rsid w:val="00E87FB2"/>
    <w:rsid w:val="00E87FF5"/>
    <w:rsid w:val="00E91175"/>
    <w:rsid w:val="00E9274D"/>
    <w:rsid w:val="00E95005"/>
    <w:rsid w:val="00EA01D5"/>
    <w:rsid w:val="00EA2AB6"/>
    <w:rsid w:val="00EA4986"/>
    <w:rsid w:val="00EA5A6F"/>
    <w:rsid w:val="00EB6275"/>
    <w:rsid w:val="00EB7405"/>
    <w:rsid w:val="00EC1F75"/>
    <w:rsid w:val="00EC38A7"/>
    <w:rsid w:val="00EC536D"/>
    <w:rsid w:val="00EC6936"/>
    <w:rsid w:val="00ED0182"/>
    <w:rsid w:val="00ED3D11"/>
    <w:rsid w:val="00ED5B83"/>
    <w:rsid w:val="00ED6FAF"/>
    <w:rsid w:val="00ED722A"/>
    <w:rsid w:val="00EE297E"/>
    <w:rsid w:val="00EE6A40"/>
    <w:rsid w:val="00EF5251"/>
    <w:rsid w:val="00EF5856"/>
    <w:rsid w:val="00F03B9F"/>
    <w:rsid w:val="00F11A5C"/>
    <w:rsid w:val="00F11F68"/>
    <w:rsid w:val="00F155BD"/>
    <w:rsid w:val="00F212FD"/>
    <w:rsid w:val="00F232B4"/>
    <w:rsid w:val="00F268EB"/>
    <w:rsid w:val="00F40BA0"/>
    <w:rsid w:val="00F53A5F"/>
    <w:rsid w:val="00F563F4"/>
    <w:rsid w:val="00F63677"/>
    <w:rsid w:val="00F64E21"/>
    <w:rsid w:val="00F7014E"/>
    <w:rsid w:val="00F717C2"/>
    <w:rsid w:val="00F75273"/>
    <w:rsid w:val="00F7545C"/>
    <w:rsid w:val="00F8261D"/>
    <w:rsid w:val="00F82DCC"/>
    <w:rsid w:val="00F843FC"/>
    <w:rsid w:val="00F90786"/>
    <w:rsid w:val="00F922E9"/>
    <w:rsid w:val="00F948D8"/>
    <w:rsid w:val="00F96107"/>
    <w:rsid w:val="00FA06A5"/>
    <w:rsid w:val="00FA460B"/>
    <w:rsid w:val="00FA463B"/>
    <w:rsid w:val="00FA4EC7"/>
    <w:rsid w:val="00FA7229"/>
    <w:rsid w:val="00FC18DE"/>
    <w:rsid w:val="00FC3E34"/>
    <w:rsid w:val="00FC4F12"/>
    <w:rsid w:val="00FC6063"/>
    <w:rsid w:val="00FC7C32"/>
    <w:rsid w:val="00FC7D6F"/>
    <w:rsid w:val="00FD1D1F"/>
    <w:rsid w:val="00FD1DD0"/>
    <w:rsid w:val="00FD2BBC"/>
    <w:rsid w:val="00FD2DFD"/>
    <w:rsid w:val="00FD36D5"/>
    <w:rsid w:val="00FE09DD"/>
    <w:rsid w:val="00FE290F"/>
    <w:rsid w:val="00FE3705"/>
    <w:rsid w:val="00FF071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51CDE4"/>
  <w15:chartTrackingRefBased/>
  <w15:docId w15:val="{C4097762-EB3F-4D22-8B7C-3EA8C3F9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036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B3E"/>
    <w:rPr>
      <w:color w:val="0000FF"/>
      <w:u w:val="single"/>
    </w:rPr>
  </w:style>
  <w:style w:type="character" w:customStyle="1" w:styleId="Heading3Char">
    <w:name w:val="Heading 3 Char"/>
    <w:basedOn w:val="DefaultParagraphFont"/>
    <w:link w:val="Heading3"/>
    <w:uiPriority w:val="9"/>
    <w:semiHidden/>
    <w:rsid w:val="0030362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F4889"/>
    <w:pPr>
      <w:ind w:left="720"/>
      <w:contextualSpacing/>
    </w:pPr>
  </w:style>
  <w:style w:type="paragraph" w:styleId="FootnoteText">
    <w:name w:val="footnote text"/>
    <w:basedOn w:val="Normal"/>
    <w:link w:val="FootnoteTextChar"/>
    <w:uiPriority w:val="99"/>
    <w:semiHidden/>
    <w:unhideWhenUsed/>
    <w:rsid w:val="008E2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300"/>
    <w:rPr>
      <w:sz w:val="20"/>
      <w:szCs w:val="20"/>
    </w:rPr>
  </w:style>
  <w:style w:type="character" w:styleId="FootnoteReference">
    <w:name w:val="footnote reference"/>
    <w:basedOn w:val="DefaultParagraphFont"/>
    <w:uiPriority w:val="99"/>
    <w:semiHidden/>
    <w:unhideWhenUsed/>
    <w:rsid w:val="008E2300"/>
    <w:rPr>
      <w:vertAlign w:val="superscript"/>
    </w:rPr>
  </w:style>
  <w:style w:type="paragraph" w:styleId="Bibliography">
    <w:name w:val="Bibliography"/>
    <w:basedOn w:val="Normal"/>
    <w:next w:val="Normal"/>
    <w:uiPriority w:val="37"/>
    <w:unhideWhenUsed/>
    <w:rsid w:val="000F57DD"/>
    <w:pPr>
      <w:spacing w:after="0" w:line="480" w:lineRule="auto"/>
      <w:ind w:left="720" w:hanging="720"/>
    </w:pPr>
  </w:style>
  <w:style w:type="character" w:customStyle="1" w:styleId="UnresolvedMention1">
    <w:name w:val="Unresolved Mention1"/>
    <w:basedOn w:val="DefaultParagraphFont"/>
    <w:uiPriority w:val="99"/>
    <w:semiHidden/>
    <w:unhideWhenUsed/>
    <w:rsid w:val="008D62D8"/>
    <w:rPr>
      <w:color w:val="605E5C"/>
      <w:shd w:val="clear" w:color="auto" w:fill="E1DFDD"/>
    </w:rPr>
  </w:style>
  <w:style w:type="paragraph" w:styleId="Header">
    <w:name w:val="header"/>
    <w:basedOn w:val="Normal"/>
    <w:link w:val="HeaderChar"/>
    <w:uiPriority w:val="99"/>
    <w:unhideWhenUsed/>
    <w:rsid w:val="003D0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94"/>
  </w:style>
  <w:style w:type="paragraph" w:styleId="Footer">
    <w:name w:val="footer"/>
    <w:basedOn w:val="Normal"/>
    <w:link w:val="FooterChar"/>
    <w:uiPriority w:val="99"/>
    <w:unhideWhenUsed/>
    <w:rsid w:val="003D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94"/>
  </w:style>
  <w:style w:type="character" w:styleId="Strong">
    <w:name w:val="Strong"/>
    <w:basedOn w:val="DefaultParagraphFont"/>
    <w:uiPriority w:val="22"/>
    <w:qFormat/>
    <w:rsid w:val="000D0C4A"/>
    <w:rPr>
      <w:b/>
      <w:bCs/>
    </w:rPr>
  </w:style>
  <w:style w:type="table" w:styleId="TableGrid">
    <w:name w:val="Table Grid"/>
    <w:basedOn w:val="TableNormal"/>
    <w:uiPriority w:val="39"/>
    <w:rsid w:val="0048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090C"/>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character" w:styleId="UnresolvedMention">
    <w:name w:val="Unresolved Mention"/>
    <w:basedOn w:val="DefaultParagraphFont"/>
    <w:uiPriority w:val="99"/>
    <w:semiHidden/>
    <w:unhideWhenUsed/>
    <w:rsid w:val="00415290"/>
    <w:rPr>
      <w:color w:val="605E5C"/>
      <w:shd w:val="clear" w:color="auto" w:fill="E1DFDD"/>
    </w:rPr>
  </w:style>
  <w:style w:type="paragraph" w:styleId="Title">
    <w:name w:val="Title"/>
    <w:basedOn w:val="Normal"/>
    <w:next w:val="Normal"/>
    <w:link w:val="TitleChar"/>
    <w:uiPriority w:val="10"/>
    <w:qFormat/>
    <w:rsid w:val="00242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5994">
      <w:bodyDiv w:val="1"/>
      <w:marLeft w:val="0"/>
      <w:marRight w:val="0"/>
      <w:marTop w:val="0"/>
      <w:marBottom w:val="0"/>
      <w:divBdr>
        <w:top w:val="none" w:sz="0" w:space="0" w:color="auto"/>
        <w:left w:val="none" w:sz="0" w:space="0" w:color="auto"/>
        <w:bottom w:val="none" w:sz="0" w:space="0" w:color="auto"/>
        <w:right w:val="none" w:sz="0" w:space="0" w:color="auto"/>
      </w:divBdr>
    </w:div>
    <w:div w:id="11226992">
      <w:bodyDiv w:val="1"/>
      <w:marLeft w:val="0"/>
      <w:marRight w:val="0"/>
      <w:marTop w:val="0"/>
      <w:marBottom w:val="0"/>
      <w:divBdr>
        <w:top w:val="none" w:sz="0" w:space="0" w:color="auto"/>
        <w:left w:val="none" w:sz="0" w:space="0" w:color="auto"/>
        <w:bottom w:val="none" w:sz="0" w:space="0" w:color="auto"/>
        <w:right w:val="none" w:sz="0" w:space="0" w:color="auto"/>
      </w:divBdr>
    </w:div>
    <w:div w:id="19481135">
      <w:bodyDiv w:val="1"/>
      <w:marLeft w:val="0"/>
      <w:marRight w:val="0"/>
      <w:marTop w:val="0"/>
      <w:marBottom w:val="0"/>
      <w:divBdr>
        <w:top w:val="none" w:sz="0" w:space="0" w:color="auto"/>
        <w:left w:val="none" w:sz="0" w:space="0" w:color="auto"/>
        <w:bottom w:val="none" w:sz="0" w:space="0" w:color="auto"/>
        <w:right w:val="none" w:sz="0" w:space="0" w:color="auto"/>
      </w:divBdr>
    </w:div>
    <w:div w:id="19669392">
      <w:bodyDiv w:val="1"/>
      <w:marLeft w:val="0"/>
      <w:marRight w:val="0"/>
      <w:marTop w:val="0"/>
      <w:marBottom w:val="0"/>
      <w:divBdr>
        <w:top w:val="none" w:sz="0" w:space="0" w:color="auto"/>
        <w:left w:val="none" w:sz="0" w:space="0" w:color="auto"/>
        <w:bottom w:val="none" w:sz="0" w:space="0" w:color="auto"/>
        <w:right w:val="none" w:sz="0" w:space="0" w:color="auto"/>
      </w:divBdr>
    </w:div>
    <w:div w:id="24329991">
      <w:bodyDiv w:val="1"/>
      <w:marLeft w:val="0"/>
      <w:marRight w:val="0"/>
      <w:marTop w:val="0"/>
      <w:marBottom w:val="0"/>
      <w:divBdr>
        <w:top w:val="none" w:sz="0" w:space="0" w:color="auto"/>
        <w:left w:val="none" w:sz="0" w:space="0" w:color="auto"/>
        <w:bottom w:val="none" w:sz="0" w:space="0" w:color="auto"/>
        <w:right w:val="none" w:sz="0" w:space="0" w:color="auto"/>
      </w:divBdr>
    </w:div>
    <w:div w:id="29503190">
      <w:bodyDiv w:val="1"/>
      <w:marLeft w:val="0"/>
      <w:marRight w:val="0"/>
      <w:marTop w:val="0"/>
      <w:marBottom w:val="0"/>
      <w:divBdr>
        <w:top w:val="none" w:sz="0" w:space="0" w:color="auto"/>
        <w:left w:val="none" w:sz="0" w:space="0" w:color="auto"/>
        <w:bottom w:val="none" w:sz="0" w:space="0" w:color="auto"/>
        <w:right w:val="none" w:sz="0" w:space="0" w:color="auto"/>
      </w:divBdr>
    </w:div>
    <w:div w:id="57216895">
      <w:bodyDiv w:val="1"/>
      <w:marLeft w:val="0"/>
      <w:marRight w:val="0"/>
      <w:marTop w:val="0"/>
      <w:marBottom w:val="0"/>
      <w:divBdr>
        <w:top w:val="none" w:sz="0" w:space="0" w:color="auto"/>
        <w:left w:val="none" w:sz="0" w:space="0" w:color="auto"/>
        <w:bottom w:val="none" w:sz="0" w:space="0" w:color="auto"/>
        <w:right w:val="none" w:sz="0" w:space="0" w:color="auto"/>
      </w:divBdr>
    </w:div>
    <w:div w:id="77949253">
      <w:bodyDiv w:val="1"/>
      <w:marLeft w:val="0"/>
      <w:marRight w:val="0"/>
      <w:marTop w:val="0"/>
      <w:marBottom w:val="0"/>
      <w:divBdr>
        <w:top w:val="none" w:sz="0" w:space="0" w:color="auto"/>
        <w:left w:val="none" w:sz="0" w:space="0" w:color="auto"/>
        <w:bottom w:val="none" w:sz="0" w:space="0" w:color="auto"/>
        <w:right w:val="none" w:sz="0" w:space="0" w:color="auto"/>
      </w:divBdr>
    </w:div>
    <w:div w:id="87041673">
      <w:bodyDiv w:val="1"/>
      <w:marLeft w:val="0"/>
      <w:marRight w:val="0"/>
      <w:marTop w:val="0"/>
      <w:marBottom w:val="0"/>
      <w:divBdr>
        <w:top w:val="none" w:sz="0" w:space="0" w:color="auto"/>
        <w:left w:val="none" w:sz="0" w:space="0" w:color="auto"/>
        <w:bottom w:val="none" w:sz="0" w:space="0" w:color="auto"/>
        <w:right w:val="none" w:sz="0" w:space="0" w:color="auto"/>
      </w:divBdr>
    </w:div>
    <w:div w:id="93600255">
      <w:bodyDiv w:val="1"/>
      <w:marLeft w:val="0"/>
      <w:marRight w:val="0"/>
      <w:marTop w:val="0"/>
      <w:marBottom w:val="0"/>
      <w:divBdr>
        <w:top w:val="none" w:sz="0" w:space="0" w:color="auto"/>
        <w:left w:val="none" w:sz="0" w:space="0" w:color="auto"/>
        <w:bottom w:val="none" w:sz="0" w:space="0" w:color="auto"/>
        <w:right w:val="none" w:sz="0" w:space="0" w:color="auto"/>
      </w:divBdr>
    </w:div>
    <w:div w:id="113208261">
      <w:bodyDiv w:val="1"/>
      <w:marLeft w:val="0"/>
      <w:marRight w:val="0"/>
      <w:marTop w:val="0"/>
      <w:marBottom w:val="0"/>
      <w:divBdr>
        <w:top w:val="none" w:sz="0" w:space="0" w:color="auto"/>
        <w:left w:val="none" w:sz="0" w:space="0" w:color="auto"/>
        <w:bottom w:val="none" w:sz="0" w:space="0" w:color="auto"/>
        <w:right w:val="none" w:sz="0" w:space="0" w:color="auto"/>
      </w:divBdr>
    </w:div>
    <w:div w:id="115101347">
      <w:bodyDiv w:val="1"/>
      <w:marLeft w:val="0"/>
      <w:marRight w:val="0"/>
      <w:marTop w:val="0"/>
      <w:marBottom w:val="0"/>
      <w:divBdr>
        <w:top w:val="none" w:sz="0" w:space="0" w:color="auto"/>
        <w:left w:val="none" w:sz="0" w:space="0" w:color="auto"/>
        <w:bottom w:val="none" w:sz="0" w:space="0" w:color="auto"/>
        <w:right w:val="none" w:sz="0" w:space="0" w:color="auto"/>
      </w:divBdr>
    </w:div>
    <w:div w:id="121121913">
      <w:bodyDiv w:val="1"/>
      <w:marLeft w:val="0"/>
      <w:marRight w:val="0"/>
      <w:marTop w:val="0"/>
      <w:marBottom w:val="0"/>
      <w:divBdr>
        <w:top w:val="none" w:sz="0" w:space="0" w:color="auto"/>
        <w:left w:val="none" w:sz="0" w:space="0" w:color="auto"/>
        <w:bottom w:val="none" w:sz="0" w:space="0" w:color="auto"/>
        <w:right w:val="none" w:sz="0" w:space="0" w:color="auto"/>
      </w:divBdr>
    </w:div>
    <w:div w:id="142626817">
      <w:bodyDiv w:val="1"/>
      <w:marLeft w:val="0"/>
      <w:marRight w:val="0"/>
      <w:marTop w:val="0"/>
      <w:marBottom w:val="0"/>
      <w:divBdr>
        <w:top w:val="none" w:sz="0" w:space="0" w:color="auto"/>
        <w:left w:val="none" w:sz="0" w:space="0" w:color="auto"/>
        <w:bottom w:val="none" w:sz="0" w:space="0" w:color="auto"/>
        <w:right w:val="none" w:sz="0" w:space="0" w:color="auto"/>
      </w:divBdr>
    </w:div>
    <w:div w:id="146941428">
      <w:bodyDiv w:val="1"/>
      <w:marLeft w:val="0"/>
      <w:marRight w:val="0"/>
      <w:marTop w:val="0"/>
      <w:marBottom w:val="0"/>
      <w:divBdr>
        <w:top w:val="none" w:sz="0" w:space="0" w:color="auto"/>
        <w:left w:val="none" w:sz="0" w:space="0" w:color="auto"/>
        <w:bottom w:val="none" w:sz="0" w:space="0" w:color="auto"/>
        <w:right w:val="none" w:sz="0" w:space="0" w:color="auto"/>
      </w:divBdr>
    </w:div>
    <w:div w:id="160897510">
      <w:bodyDiv w:val="1"/>
      <w:marLeft w:val="0"/>
      <w:marRight w:val="0"/>
      <w:marTop w:val="0"/>
      <w:marBottom w:val="0"/>
      <w:divBdr>
        <w:top w:val="none" w:sz="0" w:space="0" w:color="auto"/>
        <w:left w:val="none" w:sz="0" w:space="0" w:color="auto"/>
        <w:bottom w:val="none" w:sz="0" w:space="0" w:color="auto"/>
        <w:right w:val="none" w:sz="0" w:space="0" w:color="auto"/>
      </w:divBdr>
    </w:div>
    <w:div w:id="161508250">
      <w:bodyDiv w:val="1"/>
      <w:marLeft w:val="0"/>
      <w:marRight w:val="0"/>
      <w:marTop w:val="0"/>
      <w:marBottom w:val="0"/>
      <w:divBdr>
        <w:top w:val="none" w:sz="0" w:space="0" w:color="auto"/>
        <w:left w:val="none" w:sz="0" w:space="0" w:color="auto"/>
        <w:bottom w:val="none" w:sz="0" w:space="0" w:color="auto"/>
        <w:right w:val="none" w:sz="0" w:space="0" w:color="auto"/>
      </w:divBdr>
    </w:div>
    <w:div w:id="165631351">
      <w:bodyDiv w:val="1"/>
      <w:marLeft w:val="0"/>
      <w:marRight w:val="0"/>
      <w:marTop w:val="0"/>
      <w:marBottom w:val="0"/>
      <w:divBdr>
        <w:top w:val="none" w:sz="0" w:space="0" w:color="auto"/>
        <w:left w:val="none" w:sz="0" w:space="0" w:color="auto"/>
        <w:bottom w:val="none" w:sz="0" w:space="0" w:color="auto"/>
        <w:right w:val="none" w:sz="0" w:space="0" w:color="auto"/>
      </w:divBdr>
    </w:div>
    <w:div w:id="165679949">
      <w:bodyDiv w:val="1"/>
      <w:marLeft w:val="0"/>
      <w:marRight w:val="0"/>
      <w:marTop w:val="0"/>
      <w:marBottom w:val="0"/>
      <w:divBdr>
        <w:top w:val="none" w:sz="0" w:space="0" w:color="auto"/>
        <w:left w:val="none" w:sz="0" w:space="0" w:color="auto"/>
        <w:bottom w:val="none" w:sz="0" w:space="0" w:color="auto"/>
        <w:right w:val="none" w:sz="0" w:space="0" w:color="auto"/>
      </w:divBdr>
    </w:div>
    <w:div w:id="167601679">
      <w:bodyDiv w:val="1"/>
      <w:marLeft w:val="0"/>
      <w:marRight w:val="0"/>
      <w:marTop w:val="0"/>
      <w:marBottom w:val="0"/>
      <w:divBdr>
        <w:top w:val="none" w:sz="0" w:space="0" w:color="auto"/>
        <w:left w:val="none" w:sz="0" w:space="0" w:color="auto"/>
        <w:bottom w:val="none" w:sz="0" w:space="0" w:color="auto"/>
        <w:right w:val="none" w:sz="0" w:space="0" w:color="auto"/>
      </w:divBdr>
    </w:div>
    <w:div w:id="175463153">
      <w:bodyDiv w:val="1"/>
      <w:marLeft w:val="0"/>
      <w:marRight w:val="0"/>
      <w:marTop w:val="0"/>
      <w:marBottom w:val="0"/>
      <w:divBdr>
        <w:top w:val="none" w:sz="0" w:space="0" w:color="auto"/>
        <w:left w:val="none" w:sz="0" w:space="0" w:color="auto"/>
        <w:bottom w:val="none" w:sz="0" w:space="0" w:color="auto"/>
        <w:right w:val="none" w:sz="0" w:space="0" w:color="auto"/>
      </w:divBdr>
    </w:div>
    <w:div w:id="178279989">
      <w:bodyDiv w:val="1"/>
      <w:marLeft w:val="0"/>
      <w:marRight w:val="0"/>
      <w:marTop w:val="0"/>
      <w:marBottom w:val="0"/>
      <w:divBdr>
        <w:top w:val="none" w:sz="0" w:space="0" w:color="auto"/>
        <w:left w:val="none" w:sz="0" w:space="0" w:color="auto"/>
        <w:bottom w:val="none" w:sz="0" w:space="0" w:color="auto"/>
        <w:right w:val="none" w:sz="0" w:space="0" w:color="auto"/>
      </w:divBdr>
    </w:div>
    <w:div w:id="207114422">
      <w:bodyDiv w:val="1"/>
      <w:marLeft w:val="0"/>
      <w:marRight w:val="0"/>
      <w:marTop w:val="0"/>
      <w:marBottom w:val="0"/>
      <w:divBdr>
        <w:top w:val="none" w:sz="0" w:space="0" w:color="auto"/>
        <w:left w:val="none" w:sz="0" w:space="0" w:color="auto"/>
        <w:bottom w:val="none" w:sz="0" w:space="0" w:color="auto"/>
        <w:right w:val="none" w:sz="0" w:space="0" w:color="auto"/>
      </w:divBdr>
    </w:div>
    <w:div w:id="224532085">
      <w:bodyDiv w:val="1"/>
      <w:marLeft w:val="0"/>
      <w:marRight w:val="0"/>
      <w:marTop w:val="0"/>
      <w:marBottom w:val="0"/>
      <w:divBdr>
        <w:top w:val="none" w:sz="0" w:space="0" w:color="auto"/>
        <w:left w:val="none" w:sz="0" w:space="0" w:color="auto"/>
        <w:bottom w:val="none" w:sz="0" w:space="0" w:color="auto"/>
        <w:right w:val="none" w:sz="0" w:space="0" w:color="auto"/>
      </w:divBdr>
    </w:div>
    <w:div w:id="232198865">
      <w:bodyDiv w:val="1"/>
      <w:marLeft w:val="0"/>
      <w:marRight w:val="0"/>
      <w:marTop w:val="0"/>
      <w:marBottom w:val="0"/>
      <w:divBdr>
        <w:top w:val="none" w:sz="0" w:space="0" w:color="auto"/>
        <w:left w:val="none" w:sz="0" w:space="0" w:color="auto"/>
        <w:bottom w:val="none" w:sz="0" w:space="0" w:color="auto"/>
        <w:right w:val="none" w:sz="0" w:space="0" w:color="auto"/>
      </w:divBdr>
    </w:div>
    <w:div w:id="249048936">
      <w:bodyDiv w:val="1"/>
      <w:marLeft w:val="0"/>
      <w:marRight w:val="0"/>
      <w:marTop w:val="0"/>
      <w:marBottom w:val="0"/>
      <w:divBdr>
        <w:top w:val="none" w:sz="0" w:space="0" w:color="auto"/>
        <w:left w:val="none" w:sz="0" w:space="0" w:color="auto"/>
        <w:bottom w:val="none" w:sz="0" w:space="0" w:color="auto"/>
        <w:right w:val="none" w:sz="0" w:space="0" w:color="auto"/>
      </w:divBdr>
    </w:div>
    <w:div w:id="252013454">
      <w:bodyDiv w:val="1"/>
      <w:marLeft w:val="0"/>
      <w:marRight w:val="0"/>
      <w:marTop w:val="0"/>
      <w:marBottom w:val="0"/>
      <w:divBdr>
        <w:top w:val="none" w:sz="0" w:space="0" w:color="auto"/>
        <w:left w:val="none" w:sz="0" w:space="0" w:color="auto"/>
        <w:bottom w:val="none" w:sz="0" w:space="0" w:color="auto"/>
        <w:right w:val="none" w:sz="0" w:space="0" w:color="auto"/>
      </w:divBdr>
    </w:div>
    <w:div w:id="257950950">
      <w:bodyDiv w:val="1"/>
      <w:marLeft w:val="0"/>
      <w:marRight w:val="0"/>
      <w:marTop w:val="0"/>
      <w:marBottom w:val="0"/>
      <w:divBdr>
        <w:top w:val="none" w:sz="0" w:space="0" w:color="auto"/>
        <w:left w:val="none" w:sz="0" w:space="0" w:color="auto"/>
        <w:bottom w:val="none" w:sz="0" w:space="0" w:color="auto"/>
        <w:right w:val="none" w:sz="0" w:space="0" w:color="auto"/>
      </w:divBdr>
    </w:div>
    <w:div w:id="274337920">
      <w:bodyDiv w:val="1"/>
      <w:marLeft w:val="0"/>
      <w:marRight w:val="0"/>
      <w:marTop w:val="0"/>
      <w:marBottom w:val="0"/>
      <w:divBdr>
        <w:top w:val="none" w:sz="0" w:space="0" w:color="auto"/>
        <w:left w:val="none" w:sz="0" w:space="0" w:color="auto"/>
        <w:bottom w:val="none" w:sz="0" w:space="0" w:color="auto"/>
        <w:right w:val="none" w:sz="0" w:space="0" w:color="auto"/>
      </w:divBdr>
    </w:div>
    <w:div w:id="282032756">
      <w:bodyDiv w:val="1"/>
      <w:marLeft w:val="0"/>
      <w:marRight w:val="0"/>
      <w:marTop w:val="0"/>
      <w:marBottom w:val="0"/>
      <w:divBdr>
        <w:top w:val="none" w:sz="0" w:space="0" w:color="auto"/>
        <w:left w:val="none" w:sz="0" w:space="0" w:color="auto"/>
        <w:bottom w:val="none" w:sz="0" w:space="0" w:color="auto"/>
        <w:right w:val="none" w:sz="0" w:space="0" w:color="auto"/>
      </w:divBdr>
    </w:div>
    <w:div w:id="282081531">
      <w:bodyDiv w:val="1"/>
      <w:marLeft w:val="0"/>
      <w:marRight w:val="0"/>
      <w:marTop w:val="0"/>
      <w:marBottom w:val="0"/>
      <w:divBdr>
        <w:top w:val="none" w:sz="0" w:space="0" w:color="auto"/>
        <w:left w:val="none" w:sz="0" w:space="0" w:color="auto"/>
        <w:bottom w:val="none" w:sz="0" w:space="0" w:color="auto"/>
        <w:right w:val="none" w:sz="0" w:space="0" w:color="auto"/>
      </w:divBdr>
    </w:div>
    <w:div w:id="292905703">
      <w:bodyDiv w:val="1"/>
      <w:marLeft w:val="0"/>
      <w:marRight w:val="0"/>
      <w:marTop w:val="0"/>
      <w:marBottom w:val="0"/>
      <w:divBdr>
        <w:top w:val="none" w:sz="0" w:space="0" w:color="auto"/>
        <w:left w:val="none" w:sz="0" w:space="0" w:color="auto"/>
        <w:bottom w:val="none" w:sz="0" w:space="0" w:color="auto"/>
        <w:right w:val="none" w:sz="0" w:space="0" w:color="auto"/>
      </w:divBdr>
    </w:div>
    <w:div w:id="300812247">
      <w:bodyDiv w:val="1"/>
      <w:marLeft w:val="0"/>
      <w:marRight w:val="0"/>
      <w:marTop w:val="0"/>
      <w:marBottom w:val="0"/>
      <w:divBdr>
        <w:top w:val="none" w:sz="0" w:space="0" w:color="auto"/>
        <w:left w:val="none" w:sz="0" w:space="0" w:color="auto"/>
        <w:bottom w:val="none" w:sz="0" w:space="0" w:color="auto"/>
        <w:right w:val="none" w:sz="0" w:space="0" w:color="auto"/>
      </w:divBdr>
    </w:div>
    <w:div w:id="304773866">
      <w:bodyDiv w:val="1"/>
      <w:marLeft w:val="0"/>
      <w:marRight w:val="0"/>
      <w:marTop w:val="0"/>
      <w:marBottom w:val="0"/>
      <w:divBdr>
        <w:top w:val="none" w:sz="0" w:space="0" w:color="auto"/>
        <w:left w:val="none" w:sz="0" w:space="0" w:color="auto"/>
        <w:bottom w:val="none" w:sz="0" w:space="0" w:color="auto"/>
        <w:right w:val="none" w:sz="0" w:space="0" w:color="auto"/>
      </w:divBdr>
    </w:div>
    <w:div w:id="312680043">
      <w:bodyDiv w:val="1"/>
      <w:marLeft w:val="0"/>
      <w:marRight w:val="0"/>
      <w:marTop w:val="0"/>
      <w:marBottom w:val="0"/>
      <w:divBdr>
        <w:top w:val="none" w:sz="0" w:space="0" w:color="auto"/>
        <w:left w:val="none" w:sz="0" w:space="0" w:color="auto"/>
        <w:bottom w:val="none" w:sz="0" w:space="0" w:color="auto"/>
        <w:right w:val="none" w:sz="0" w:space="0" w:color="auto"/>
      </w:divBdr>
    </w:div>
    <w:div w:id="337850494">
      <w:bodyDiv w:val="1"/>
      <w:marLeft w:val="0"/>
      <w:marRight w:val="0"/>
      <w:marTop w:val="0"/>
      <w:marBottom w:val="0"/>
      <w:divBdr>
        <w:top w:val="none" w:sz="0" w:space="0" w:color="auto"/>
        <w:left w:val="none" w:sz="0" w:space="0" w:color="auto"/>
        <w:bottom w:val="none" w:sz="0" w:space="0" w:color="auto"/>
        <w:right w:val="none" w:sz="0" w:space="0" w:color="auto"/>
      </w:divBdr>
    </w:div>
    <w:div w:id="361244928">
      <w:bodyDiv w:val="1"/>
      <w:marLeft w:val="0"/>
      <w:marRight w:val="0"/>
      <w:marTop w:val="0"/>
      <w:marBottom w:val="0"/>
      <w:divBdr>
        <w:top w:val="none" w:sz="0" w:space="0" w:color="auto"/>
        <w:left w:val="none" w:sz="0" w:space="0" w:color="auto"/>
        <w:bottom w:val="none" w:sz="0" w:space="0" w:color="auto"/>
        <w:right w:val="none" w:sz="0" w:space="0" w:color="auto"/>
      </w:divBdr>
    </w:div>
    <w:div w:id="362481902">
      <w:bodyDiv w:val="1"/>
      <w:marLeft w:val="0"/>
      <w:marRight w:val="0"/>
      <w:marTop w:val="0"/>
      <w:marBottom w:val="0"/>
      <w:divBdr>
        <w:top w:val="none" w:sz="0" w:space="0" w:color="auto"/>
        <w:left w:val="none" w:sz="0" w:space="0" w:color="auto"/>
        <w:bottom w:val="none" w:sz="0" w:space="0" w:color="auto"/>
        <w:right w:val="none" w:sz="0" w:space="0" w:color="auto"/>
      </w:divBdr>
    </w:div>
    <w:div w:id="367723928">
      <w:bodyDiv w:val="1"/>
      <w:marLeft w:val="0"/>
      <w:marRight w:val="0"/>
      <w:marTop w:val="0"/>
      <w:marBottom w:val="0"/>
      <w:divBdr>
        <w:top w:val="none" w:sz="0" w:space="0" w:color="auto"/>
        <w:left w:val="none" w:sz="0" w:space="0" w:color="auto"/>
        <w:bottom w:val="none" w:sz="0" w:space="0" w:color="auto"/>
        <w:right w:val="none" w:sz="0" w:space="0" w:color="auto"/>
      </w:divBdr>
    </w:div>
    <w:div w:id="371001490">
      <w:bodyDiv w:val="1"/>
      <w:marLeft w:val="0"/>
      <w:marRight w:val="0"/>
      <w:marTop w:val="0"/>
      <w:marBottom w:val="0"/>
      <w:divBdr>
        <w:top w:val="none" w:sz="0" w:space="0" w:color="auto"/>
        <w:left w:val="none" w:sz="0" w:space="0" w:color="auto"/>
        <w:bottom w:val="none" w:sz="0" w:space="0" w:color="auto"/>
        <w:right w:val="none" w:sz="0" w:space="0" w:color="auto"/>
      </w:divBdr>
    </w:div>
    <w:div w:id="375348497">
      <w:bodyDiv w:val="1"/>
      <w:marLeft w:val="0"/>
      <w:marRight w:val="0"/>
      <w:marTop w:val="0"/>
      <w:marBottom w:val="0"/>
      <w:divBdr>
        <w:top w:val="none" w:sz="0" w:space="0" w:color="auto"/>
        <w:left w:val="none" w:sz="0" w:space="0" w:color="auto"/>
        <w:bottom w:val="none" w:sz="0" w:space="0" w:color="auto"/>
        <w:right w:val="none" w:sz="0" w:space="0" w:color="auto"/>
      </w:divBdr>
    </w:div>
    <w:div w:id="408894655">
      <w:bodyDiv w:val="1"/>
      <w:marLeft w:val="0"/>
      <w:marRight w:val="0"/>
      <w:marTop w:val="0"/>
      <w:marBottom w:val="0"/>
      <w:divBdr>
        <w:top w:val="none" w:sz="0" w:space="0" w:color="auto"/>
        <w:left w:val="none" w:sz="0" w:space="0" w:color="auto"/>
        <w:bottom w:val="none" w:sz="0" w:space="0" w:color="auto"/>
        <w:right w:val="none" w:sz="0" w:space="0" w:color="auto"/>
      </w:divBdr>
    </w:div>
    <w:div w:id="409347610">
      <w:bodyDiv w:val="1"/>
      <w:marLeft w:val="0"/>
      <w:marRight w:val="0"/>
      <w:marTop w:val="0"/>
      <w:marBottom w:val="0"/>
      <w:divBdr>
        <w:top w:val="none" w:sz="0" w:space="0" w:color="auto"/>
        <w:left w:val="none" w:sz="0" w:space="0" w:color="auto"/>
        <w:bottom w:val="none" w:sz="0" w:space="0" w:color="auto"/>
        <w:right w:val="none" w:sz="0" w:space="0" w:color="auto"/>
      </w:divBdr>
    </w:div>
    <w:div w:id="415977910">
      <w:bodyDiv w:val="1"/>
      <w:marLeft w:val="0"/>
      <w:marRight w:val="0"/>
      <w:marTop w:val="0"/>
      <w:marBottom w:val="0"/>
      <w:divBdr>
        <w:top w:val="none" w:sz="0" w:space="0" w:color="auto"/>
        <w:left w:val="none" w:sz="0" w:space="0" w:color="auto"/>
        <w:bottom w:val="none" w:sz="0" w:space="0" w:color="auto"/>
        <w:right w:val="none" w:sz="0" w:space="0" w:color="auto"/>
      </w:divBdr>
    </w:div>
    <w:div w:id="418840592">
      <w:bodyDiv w:val="1"/>
      <w:marLeft w:val="0"/>
      <w:marRight w:val="0"/>
      <w:marTop w:val="0"/>
      <w:marBottom w:val="0"/>
      <w:divBdr>
        <w:top w:val="none" w:sz="0" w:space="0" w:color="auto"/>
        <w:left w:val="none" w:sz="0" w:space="0" w:color="auto"/>
        <w:bottom w:val="none" w:sz="0" w:space="0" w:color="auto"/>
        <w:right w:val="none" w:sz="0" w:space="0" w:color="auto"/>
      </w:divBdr>
    </w:div>
    <w:div w:id="445150913">
      <w:bodyDiv w:val="1"/>
      <w:marLeft w:val="0"/>
      <w:marRight w:val="0"/>
      <w:marTop w:val="0"/>
      <w:marBottom w:val="0"/>
      <w:divBdr>
        <w:top w:val="none" w:sz="0" w:space="0" w:color="auto"/>
        <w:left w:val="none" w:sz="0" w:space="0" w:color="auto"/>
        <w:bottom w:val="none" w:sz="0" w:space="0" w:color="auto"/>
        <w:right w:val="none" w:sz="0" w:space="0" w:color="auto"/>
      </w:divBdr>
    </w:div>
    <w:div w:id="462119120">
      <w:bodyDiv w:val="1"/>
      <w:marLeft w:val="0"/>
      <w:marRight w:val="0"/>
      <w:marTop w:val="0"/>
      <w:marBottom w:val="0"/>
      <w:divBdr>
        <w:top w:val="none" w:sz="0" w:space="0" w:color="auto"/>
        <w:left w:val="none" w:sz="0" w:space="0" w:color="auto"/>
        <w:bottom w:val="none" w:sz="0" w:space="0" w:color="auto"/>
        <w:right w:val="none" w:sz="0" w:space="0" w:color="auto"/>
      </w:divBdr>
    </w:div>
    <w:div w:id="487940939">
      <w:bodyDiv w:val="1"/>
      <w:marLeft w:val="0"/>
      <w:marRight w:val="0"/>
      <w:marTop w:val="0"/>
      <w:marBottom w:val="0"/>
      <w:divBdr>
        <w:top w:val="none" w:sz="0" w:space="0" w:color="auto"/>
        <w:left w:val="none" w:sz="0" w:space="0" w:color="auto"/>
        <w:bottom w:val="none" w:sz="0" w:space="0" w:color="auto"/>
        <w:right w:val="none" w:sz="0" w:space="0" w:color="auto"/>
      </w:divBdr>
    </w:div>
    <w:div w:id="493105715">
      <w:bodyDiv w:val="1"/>
      <w:marLeft w:val="0"/>
      <w:marRight w:val="0"/>
      <w:marTop w:val="0"/>
      <w:marBottom w:val="0"/>
      <w:divBdr>
        <w:top w:val="none" w:sz="0" w:space="0" w:color="auto"/>
        <w:left w:val="none" w:sz="0" w:space="0" w:color="auto"/>
        <w:bottom w:val="none" w:sz="0" w:space="0" w:color="auto"/>
        <w:right w:val="none" w:sz="0" w:space="0" w:color="auto"/>
      </w:divBdr>
    </w:div>
    <w:div w:id="496000864">
      <w:bodyDiv w:val="1"/>
      <w:marLeft w:val="0"/>
      <w:marRight w:val="0"/>
      <w:marTop w:val="0"/>
      <w:marBottom w:val="0"/>
      <w:divBdr>
        <w:top w:val="none" w:sz="0" w:space="0" w:color="auto"/>
        <w:left w:val="none" w:sz="0" w:space="0" w:color="auto"/>
        <w:bottom w:val="none" w:sz="0" w:space="0" w:color="auto"/>
        <w:right w:val="none" w:sz="0" w:space="0" w:color="auto"/>
      </w:divBdr>
    </w:div>
    <w:div w:id="513882376">
      <w:bodyDiv w:val="1"/>
      <w:marLeft w:val="0"/>
      <w:marRight w:val="0"/>
      <w:marTop w:val="0"/>
      <w:marBottom w:val="0"/>
      <w:divBdr>
        <w:top w:val="none" w:sz="0" w:space="0" w:color="auto"/>
        <w:left w:val="none" w:sz="0" w:space="0" w:color="auto"/>
        <w:bottom w:val="none" w:sz="0" w:space="0" w:color="auto"/>
        <w:right w:val="none" w:sz="0" w:space="0" w:color="auto"/>
      </w:divBdr>
    </w:div>
    <w:div w:id="520438473">
      <w:bodyDiv w:val="1"/>
      <w:marLeft w:val="0"/>
      <w:marRight w:val="0"/>
      <w:marTop w:val="0"/>
      <w:marBottom w:val="0"/>
      <w:divBdr>
        <w:top w:val="none" w:sz="0" w:space="0" w:color="auto"/>
        <w:left w:val="none" w:sz="0" w:space="0" w:color="auto"/>
        <w:bottom w:val="none" w:sz="0" w:space="0" w:color="auto"/>
        <w:right w:val="none" w:sz="0" w:space="0" w:color="auto"/>
      </w:divBdr>
    </w:div>
    <w:div w:id="521869560">
      <w:bodyDiv w:val="1"/>
      <w:marLeft w:val="0"/>
      <w:marRight w:val="0"/>
      <w:marTop w:val="0"/>
      <w:marBottom w:val="0"/>
      <w:divBdr>
        <w:top w:val="none" w:sz="0" w:space="0" w:color="auto"/>
        <w:left w:val="none" w:sz="0" w:space="0" w:color="auto"/>
        <w:bottom w:val="none" w:sz="0" w:space="0" w:color="auto"/>
        <w:right w:val="none" w:sz="0" w:space="0" w:color="auto"/>
      </w:divBdr>
    </w:div>
    <w:div w:id="530992091">
      <w:bodyDiv w:val="1"/>
      <w:marLeft w:val="0"/>
      <w:marRight w:val="0"/>
      <w:marTop w:val="0"/>
      <w:marBottom w:val="0"/>
      <w:divBdr>
        <w:top w:val="none" w:sz="0" w:space="0" w:color="auto"/>
        <w:left w:val="none" w:sz="0" w:space="0" w:color="auto"/>
        <w:bottom w:val="none" w:sz="0" w:space="0" w:color="auto"/>
        <w:right w:val="none" w:sz="0" w:space="0" w:color="auto"/>
      </w:divBdr>
    </w:div>
    <w:div w:id="533739187">
      <w:bodyDiv w:val="1"/>
      <w:marLeft w:val="0"/>
      <w:marRight w:val="0"/>
      <w:marTop w:val="0"/>
      <w:marBottom w:val="0"/>
      <w:divBdr>
        <w:top w:val="none" w:sz="0" w:space="0" w:color="auto"/>
        <w:left w:val="none" w:sz="0" w:space="0" w:color="auto"/>
        <w:bottom w:val="none" w:sz="0" w:space="0" w:color="auto"/>
        <w:right w:val="none" w:sz="0" w:space="0" w:color="auto"/>
      </w:divBdr>
    </w:div>
    <w:div w:id="547034226">
      <w:bodyDiv w:val="1"/>
      <w:marLeft w:val="0"/>
      <w:marRight w:val="0"/>
      <w:marTop w:val="0"/>
      <w:marBottom w:val="0"/>
      <w:divBdr>
        <w:top w:val="none" w:sz="0" w:space="0" w:color="auto"/>
        <w:left w:val="none" w:sz="0" w:space="0" w:color="auto"/>
        <w:bottom w:val="none" w:sz="0" w:space="0" w:color="auto"/>
        <w:right w:val="none" w:sz="0" w:space="0" w:color="auto"/>
      </w:divBdr>
    </w:div>
    <w:div w:id="565188737">
      <w:bodyDiv w:val="1"/>
      <w:marLeft w:val="0"/>
      <w:marRight w:val="0"/>
      <w:marTop w:val="0"/>
      <w:marBottom w:val="0"/>
      <w:divBdr>
        <w:top w:val="none" w:sz="0" w:space="0" w:color="auto"/>
        <w:left w:val="none" w:sz="0" w:space="0" w:color="auto"/>
        <w:bottom w:val="none" w:sz="0" w:space="0" w:color="auto"/>
        <w:right w:val="none" w:sz="0" w:space="0" w:color="auto"/>
      </w:divBdr>
    </w:div>
    <w:div w:id="565267727">
      <w:bodyDiv w:val="1"/>
      <w:marLeft w:val="0"/>
      <w:marRight w:val="0"/>
      <w:marTop w:val="0"/>
      <w:marBottom w:val="0"/>
      <w:divBdr>
        <w:top w:val="none" w:sz="0" w:space="0" w:color="auto"/>
        <w:left w:val="none" w:sz="0" w:space="0" w:color="auto"/>
        <w:bottom w:val="none" w:sz="0" w:space="0" w:color="auto"/>
        <w:right w:val="none" w:sz="0" w:space="0" w:color="auto"/>
      </w:divBdr>
    </w:div>
    <w:div w:id="571351467">
      <w:bodyDiv w:val="1"/>
      <w:marLeft w:val="0"/>
      <w:marRight w:val="0"/>
      <w:marTop w:val="0"/>
      <w:marBottom w:val="0"/>
      <w:divBdr>
        <w:top w:val="none" w:sz="0" w:space="0" w:color="auto"/>
        <w:left w:val="none" w:sz="0" w:space="0" w:color="auto"/>
        <w:bottom w:val="none" w:sz="0" w:space="0" w:color="auto"/>
        <w:right w:val="none" w:sz="0" w:space="0" w:color="auto"/>
      </w:divBdr>
    </w:div>
    <w:div w:id="579632362">
      <w:bodyDiv w:val="1"/>
      <w:marLeft w:val="0"/>
      <w:marRight w:val="0"/>
      <w:marTop w:val="0"/>
      <w:marBottom w:val="0"/>
      <w:divBdr>
        <w:top w:val="none" w:sz="0" w:space="0" w:color="auto"/>
        <w:left w:val="none" w:sz="0" w:space="0" w:color="auto"/>
        <w:bottom w:val="none" w:sz="0" w:space="0" w:color="auto"/>
        <w:right w:val="none" w:sz="0" w:space="0" w:color="auto"/>
      </w:divBdr>
    </w:div>
    <w:div w:id="594366540">
      <w:bodyDiv w:val="1"/>
      <w:marLeft w:val="0"/>
      <w:marRight w:val="0"/>
      <w:marTop w:val="0"/>
      <w:marBottom w:val="0"/>
      <w:divBdr>
        <w:top w:val="none" w:sz="0" w:space="0" w:color="auto"/>
        <w:left w:val="none" w:sz="0" w:space="0" w:color="auto"/>
        <w:bottom w:val="none" w:sz="0" w:space="0" w:color="auto"/>
        <w:right w:val="none" w:sz="0" w:space="0" w:color="auto"/>
      </w:divBdr>
    </w:div>
    <w:div w:id="634719381">
      <w:bodyDiv w:val="1"/>
      <w:marLeft w:val="0"/>
      <w:marRight w:val="0"/>
      <w:marTop w:val="0"/>
      <w:marBottom w:val="0"/>
      <w:divBdr>
        <w:top w:val="none" w:sz="0" w:space="0" w:color="auto"/>
        <w:left w:val="none" w:sz="0" w:space="0" w:color="auto"/>
        <w:bottom w:val="none" w:sz="0" w:space="0" w:color="auto"/>
        <w:right w:val="none" w:sz="0" w:space="0" w:color="auto"/>
      </w:divBdr>
    </w:div>
    <w:div w:id="638388620">
      <w:bodyDiv w:val="1"/>
      <w:marLeft w:val="0"/>
      <w:marRight w:val="0"/>
      <w:marTop w:val="0"/>
      <w:marBottom w:val="0"/>
      <w:divBdr>
        <w:top w:val="none" w:sz="0" w:space="0" w:color="auto"/>
        <w:left w:val="none" w:sz="0" w:space="0" w:color="auto"/>
        <w:bottom w:val="none" w:sz="0" w:space="0" w:color="auto"/>
        <w:right w:val="none" w:sz="0" w:space="0" w:color="auto"/>
      </w:divBdr>
    </w:div>
    <w:div w:id="643504422">
      <w:bodyDiv w:val="1"/>
      <w:marLeft w:val="0"/>
      <w:marRight w:val="0"/>
      <w:marTop w:val="0"/>
      <w:marBottom w:val="0"/>
      <w:divBdr>
        <w:top w:val="none" w:sz="0" w:space="0" w:color="auto"/>
        <w:left w:val="none" w:sz="0" w:space="0" w:color="auto"/>
        <w:bottom w:val="none" w:sz="0" w:space="0" w:color="auto"/>
        <w:right w:val="none" w:sz="0" w:space="0" w:color="auto"/>
      </w:divBdr>
    </w:div>
    <w:div w:id="654915032">
      <w:bodyDiv w:val="1"/>
      <w:marLeft w:val="0"/>
      <w:marRight w:val="0"/>
      <w:marTop w:val="0"/>
      <w:marBottom w:val="0"/>
      <w:divBdr>
        <w:top w:val="none" w:sz="0" w:space="0" w:color="auto"/>
        <w:left w:val="none" w:sz="0" w:space="0" w:color="auto"/>
        <w:bottom w:val="none" w:sz="0" w:space="0" w:color="auto"/>
        <w:right w:val="none" w:sz="0" w:space="0" w:color="auto"/>
      </w:divBdr>
    </w:div>
    <w:div w:id="654921566">
      <w:bodyDiv w:val="1"/>
      <w:marLeft w:val="0"/>
      <w:marRight w:val="0"/>
      <w:marTop w:val="0"/>
      <w:marBottom w:val="0"/>
      <w:divBdr>
        <w:top w:val="none" w:sz="0" w:space="0" w:color="auto"/>
        <w:left w:val="none" w:sz="0" w:space="0" w:color="auto"/>
        <w:bottom w:val="none" w:sz="0" w:space="0" w:color="auto"/>
        <w:right w:val="none" w:sz="0" w:space="0" w:color="auto"/>
      </w:divBdr>
    </w:div>
    <w:div w:id="682129242">
      <w:bodyDiv w:val="1"/>
      <w:marLeft w:val="0"/>
      <w:marRight w:val="0"/>
      <w:marTop w:val="0"/>
      <w:marBottom w:val="0"/>
      <w:divBdr>
        <w:top w:val="none" w:sz="0" w:space="0" w:color="auto"/>
        <w:left w:val="none" w:sz="0" w:space="0" w:color="auto"/>
        <w:bottom w:val="none" w:sz="0" w:space="0" w:color="auto"/>
        <w:right w:val="none" w:sz="0" w:space="0" w:color="auto"/>
      </w:divBdr>
    </w:div>
    <w:div w:id="685792955">
      <w:bodyDiv w:val="1"/>
      <w:marLeft w:val="0"/>
      <w:marRight w:val="0"/>
      <w:marTop w:val="0"/>
      <w:marBottom w:val="0"/>
      <w:divBdr>
        <w:top w:val="none" w:sz="0" w:space="0" w:color="auto"/>
        <w:left w:val="none" w:sz="0" w:space="0" w:color="auto"/>
        <w:bottom w:val="none" w:sz="0" w:space="0" w:color="auto"/>
        <w:right w:val="none" w:sz="0" w:space="0" w:color="auto"/>
      </w:divBdr>
    </w:div>
    <w:div w:id="694620254">
      <w:bodyDiv w:val="1"/>
      <w:marLeft w:val="0"/>
      <w:marRight w:val="0"/>
      <w:marTop w:val="0"/>
      <w:marBottom w:val="0"/>
      <w:divBdr>
        <w:top w:val="none" w:sz="0" w:space="0" w:color="auto"/>
        <w:left w:val="none" w:sz="0" w:space="0" w:color="auto"/>
        <w:bottom w:val="none" w:sz="0" w:space="0" w:color="auto"/>
        <w:right w:val="none" w:sz="0" w:space="0" w:color="auto"/>
      </w:divBdr>
    </w:div>
    <w:div w:id="698623666">
      <w:bodyDiv w:val="1"/>
      <w:marLeft w:val="0"/>
      <w:marRight w:val="0"/>
      <w:marTop w:val="0"/>
      <w:marBottom w:val="0"/>
      <w:divBdr>
        <w:top w:val="none" w:sz="0" w:space="0" w:color="auto"/>
        <w:left w:val="none" w:sz="0" w:space="0" w:color="auto"/>
        <w:bottom w:val="none" w:sz="0" w:space="0" w:color="auto"/>
        <w:right w:val="none" w:sz="0" w:space="0" w:color="auto"/>
      </w:divBdr>
    </w:div>
    <w:div w:id="706103227">
      <w:bodyDiv w:val="1"/>
      <w:marLeft w:val="0"/>
      <w:marRight w:val="0"/>
      <w:marTop w:val="0"/>
      <w:marBottom w:val="0"/>
      <w:divBdr>
        <w:top w:val="none" w:sz="0" w:space="0" w:color="auto"/>
        <w:left w:val="none" w:sz="0" w:space="0" w:color="auto"/>
        <w:bottom w:val="none" w:sz="0" w:space="0" w:color="auto"/>
        <w:right w:val="none" w:sz="0" w:space="0" w:color="auto"/>
      </w:divBdr>
    </w:div>
    <w:div w:id="716777102">
      <w:bodyDiv w:val="1"/>
      <w:marLeft w:val="0"/>
      <w:marRight w:val="0"/>
      <w:marTop w:val="0"/>
      <w:marBottom w:val="0"/>
      <w:divBdr>
        <w:top w:val="none" w:sz="0" w:space="0" w:color="auto"/>
        <w:left w:val="none" w:sz="0" w:space="0" w:color="auto"/>
        <w:bottom w:val="none" w:sz="0" w:space="0" w:color="auto"/>
        <w:right w:val="none" w:sz="0" w:space="0" w:color="auto"/>
      </w:divBdr>
    </w:div>
    <w:div w:id="725105626">
      <w:bodyDiv w:val="1"/>
      <w:marLeft w:val="0"/>
      <w:marRight w:val="0"/>
      <w:marTop w:val="0"/>
      <w:marBottom w:val="0"/>
      <w:divBdr>
        <w:top w:val="none" w:sz="0" w:space="0" w:color="auto"/>
        <w:left w:val="none" w:sz="0" w:space="0" w:color="auto"/>
        <w:bottom w:val="none" w:sz="0" w:space="0" w:color="auto"/>
        <w:right w:val="none" w:sz="0" w:space="0" w:color="auto"/>
      </w:divBdr>
    </w:div>
    <w:div w:id="731007367">
      <w:bodyDiv w:val="1"/>
      <w:marLeft w:val="0"/>
      <w:marRight w:val="0"/>
      <w:marTop w:val="0"/>
      <w:marBottom w:val="0"/>
      <w:divBdr>
        <w:top w:val="none" w:sz="0" w:space="0" w:color="auto"/>
        <w:left w:val="none" w:sz="0" w:space="0" w:color="auto"/>
        <w:bottom w:val="none" w:sz="0" w:space="0" w:color="auto"/>
        <w:right w:val="none" w:sz="0" w:space="0" w:color="auto"/>
      </w:divBdr>
    </w:div>
    <w:div w:id="752704340">
      <w:bodyDiv w:val="1"/>
      <w:marLeft w:val="0"/>
      <w:marRight w:val="0"/>
      <w:marTop w:val="0"/>
      <w:marBottom w:val="0"/>
      <w:divBdr>
        <w:top w:val="none" w:sz="0" w:space="0" w:color="auto"/>
        <w:left w:val="none" w:sz="0" w:space="0" w:color="auto"/>
        <w:bottom w:val="none" w:sz="0" w:space="0" w:color="auto"/>
        <w:right w:val="none" w:sz="0" w:space="0" w:color="auto"/>
      </w:divBdr>
    </w:div>
    <w:div w:id="767893242">
      <w:bodyDiv w:val="1"/>
      <w:marLeft w:val="0"/>
      <w:marRight w:val="0"/>
      <w:marTop w:val="0"/>
      <w:marBottom w:val="0"/>
      <w:divBdr>
        <w:top w:val="none" w:sz="0" w:space="0" w:color="auto"/>
        <w:left w:val="none" w:sz="0" w:space="0" w:color="auto"/>
        <w:bottom w:val="none" w:sz="0" w:space="0" w:color="auto"/>
        <w:right w:val="none" w:sz="0" w:space="0" w:color="auto"/>
      </w:divBdr>
    </w:div>
    <w:div w:id="785780549">
      <w:bodyDiv w:val="1"/>
      <w:marLeft w:val="0"/>
      <w:marRight w:val="0"/>
      <w:marTop w:val="0"/>
      <w:marBottom w:val="0"/>
      <w:divBdr>
        <w:top w:val="none" w:sz="0" w:space="0" w:color="auto"/>
        <w:left w:val="none" w:sz="0" w:space="0" w:color="auto"/>
        <w:bottom w:val="none" w:sz="0" w:space="0" w:color="auto"/>
        <w:right w:val="none" w:sz="0" w:space="0" w:color="auto"/>
      </w:divBdr>
    </w:div>
    <w:div w:id="790826155">
      <w:bodyDiv w:val="1"/>
      <w:marLeft w:val="0"/>
      <w:marRight w:val="0"/>
      <w:marTop w:val="0"/>
      <w:marBottom w:val="0"/>
      <w:divBdr>
        <w:top w:val="none" w:sz="0" w:space="0" w:color="auto"/>
        <w:left w:val="none" w:sz="0" w:space="0" w:color="auto"/>
        <w:bottom w:val="none" w:sz="0" w:space="0" w:color="auto"/>
        <w:right w:val="none" w:sz="0" w:space="0" w:color="auto"/>
      </w:divBdr>
    </w:div>
    <w:div w:id="800418106">
      <w:bodyDiv w:val="1"/>
      <w:marLeft w:val="0"/>
      <w:marRight w:val="0"/>
      <w:marTop w:val="0"/>
      <w:marBottom w:val="0"/>
      <w:divBdr>
        <w:top w:val="none" w:sz="0" w:space="0" w:color="auto"/>
        <w:left w:val="none" w:sz="0" w:space="0" w:color="auto"/>
        <w:bottom w:val="none" w:sz="0" w:space="0" w:color="auto"/>
        <w:right w:val="none" w:sz="0" w:space="0" w:color="auto"/>
      </w:divBdr>
    </w:div>
    <w:div w:id="802574255">
      <w:bodyDiv w:val="1"/>
      <w:marLeft w:val="0"/>
      <w:marRight w:val="0"/>
      <w:marTop w:val="0"/>
      <w:marBottom w:val="0"/>
      <w:divBdr>
        <w:top w:val="none" w:sz="0" w:space="0" w:color="auto"/>
        <w:left w:val="none" w:sz="0" w:space="0" w:color="auto"/>
        <w:bottom w:val="none" w:sz="0" w:space="0" w:color="auto"/>
        <w:right w:val="none" w:sz="0" w:space="0" w:color="auto"/>
      </w:divBdr>
    </w:div>
    <w:div w:id="842353635">
      <w:bodyDiv w:val="1"/>
      <w:marLeft w:val="0"/>
      <w:marRight w:val="0"/>
      <w:marTop w:val="0"/>
      <w:marBottom w:val="0"/>
      <w:divBdr>
        <w:top w:val="none" w:sz="0" w:space="0" w:color="auto"/>
        <w:left w:val="none" w:sz="0" w:space="0" w:color="auto"/>
        <w:bottom w:val="none" w:sz="0" w:space="0" w:color="auto"/>
        <w:right w:val="none" w:sz="0" w:space="0" w:color="auto"/>
      </w:divBdr>
    </w:div>
    <w:div w:id="859392114">
      <w:bodyDiv w:val="1"/>
      <w:marLeft w:val="0"/>
      <w:marRight w:val="0"/>
      <w:marTop w:val="0"/>
      <w:marBottom w:val="0"/>
      <w:divBdr>
        <w:top w:val="none" w:sz="0" w:space="0" w:color="auto"/>
        <w:left w:val="none" w:sz="0" w:space="0" w:color="auto"/>
        <w:bottom w:val="none" w:sz="0" w:space="0" w:color="auto"/>
        <w:right w:val="none" w:sz="0" w:space="0" w:color="auto"/>
      </w:divBdr>
    </w:div>
    <w:div w:id="871725886">
      <w:bodyDiv w:val="1"/>
      <w:marLeft w:val="0"/>
      <w:marRight w:val="0"/>
      <w:marTop w:val="0"/>
      <w:marBottom w:val="0"/>
      <w:divBdr>
        <w:top w:val="none" w:sz="0" w:space="0" w:color="auto"/>
        <w:left w:val="none" w:sz="0" w:space="0" w:color="auto"/>
        <w:bottom w:val="none" w:sz="0" w:space="0" w:color="auto"/>
        <w:right w:val="none" w:sz="0" w:space="0" w:color="auto"/>
      </w:divBdr>
    </w:div>
    <w:div w:id="877276791">
      <w:bodyDiv w:val="1"/>
      <w:marLeft w:val="0"/>
      <w:marRight w:val="0"/>
      <w:marTop w:val="0"/>
      <w:marBottom w:val="0"/>
      <w:divBdr>
        <w:top w:val="none" w:sz="0" w:space="0" w:color="auto"/>
        <w:left w:val="none" w:sz="0" w:space="0" w:color="auto"/>
        <w:bottom w:val="none" w:sz="0" w:space="0" w:color="auto"/>
        <w:right w:val="none" w:sz="0" w:space="0" w:color="auto"/>
      </w:divBdr>
    </w:div>
    <w:div w:id="881474966">
      <w:bodyDiv w:val="1"/>
      <w:marLeft w:val="0"/>
      <w:marRight w:val="0"/>
      <w:marTop w:val="0"/>
      <w:marBottom w:val="0"/>
      <w:divBdr>
        <w:top w:val="none" w:sz="0" w:space="0" w:color="auto"/>
        <w:left w:val="none" w:sz="0" w:space="0" w:color="auto"/>
        <w:bottom w:val="none" w:sz="0" w:space="0" w:color="auto"/>
        <w:right w:val="none" w:sz="0" w:space="0" w:color="auto"/>
      </w:divBdr>
    </w:div>
    <w:div w:id="886990714">
      <w:bodyDiv w:val="1"/>
      <w:marLeft w:val="0"/>
      <w:marRight w:val="0"/>
      <w:marTop w:val="0"/>
      <w:marBottom w:val="0"/>
      <w:divBdr>
        <w:top w:val="none" w:sz="0" w:space="0" w:color="auto"/>
        <w:left w:val="none" w:sz="0" w:space="0" w:color="auto"/>
        <w:bottom w:val="none" w:sz="0" w:space="0" w:color="auto"/>
        <w:right w:val="none" w:sz="0" w:space="0" w:color="auto"/>
      </w:divBdr>
    </w:div>
    <w:div w:id="895238394">
      <w:bodyDiv w:val="1"/>
      <w:marLeft w:val="0"/>
      <w:marRight w:val="0"/>
      <w:marTop w:val="0"/>
      <w:marBottom w:val="0"/>
      <w:divBdr>
        <w:top w:val="none" w:sz="0" w:space="0" w:color="auto"/>
        <w:left w:val="none" w:sz="0" w:space="0" w:color="auto"/>
        <w:bottom w:val="none" w:sz="0" w:space="0" w:color="auto"/>
        <w:right w:val="none" w:sz="0" w:space="0" w:color="auto"/>
      </w:divBdr>
    </w:div>
    <w:div w:id="928778807">
      <w:bodyDiv w:val="1"/>
      <w:marLeft w:val="0"/>
      <w:marRight w:val="0"/>
      <w:marTop w:val="0"/>
      <w:marBottom w:val="0"/>
      <w:divBdr>
        <w:top w:val="none" w:sz="0" w:space="0" w:color="auto"/>
        <w:left w:val="none" w:sz="0" w:space="0" w:color="auto"/>
        <w:bottom w:val="none" w:sz="0" w:space="0" w:color="auto"/>
        <w:right w:val="none" w:sz="0" w:space="0" w:color="auto"/>
      </w:divBdr>
    </w:div>
    <w:div w:id="949551162">
      <w:bodyDiv w:val="1"/>
      <w:marLeft w:val="0"/>
      <w:marRight w:val="0"/>
      <w:marTop w:val="0"/>
      <w:marBottom w:val="0"/>
      <w:divBdr>
        <w:top w:val="none" w:sz="0" w:space="0" w:color="auto"/>
        <w:left w:val="none" w:sz="0" w:space="0" w:color="auto"/>
        <w:bottom w:val="none" w:sz="0" w:space="0" w:color="auto"/>
        <w:right w:val="none" w:sz="0" w:space="0" w:color="auto"/>
      </w:divBdr>
    </w:div>
    <w:div w:id="956378324">
      <w:bodyDiv w:val="1"/>
      <w:marLeft w:val="0"/>
      <w:marRight w:val="0"/>
      <w:marTop w:val="0"/>
      <w:marBottom w:val="0"/>
      <w:divBdr>
        <w:top w:val="none" w:sz="0" w:space="0" w:color="auto"/>
        <w:left w:val="none" w:sz="0" w:space="0" w:color="auto"/>
        <w:bottom w:val="none" w:sz="0" w:space="0" w:color="auto"/>
        <w:right w:val="none" w:sz="0" w:space="0" w:color="auto"/>
      </w:divBdr>
    </w:div>
    <w:div w:id="959259215">
      <w:bodyDiv w:val="1"/>
      <w:marLeft w:val="0"/>
      <w:marRight w:val="0"/>
      <w:marTop w:val="0"/>
      <w:marBottom w:val="0"/>
      <w:divBdr>
        <w:top w:val="none" w:sz="0" w:space="0" w:color="auto"/>
        <w:left w:val="none" w:sz="0" w:space="0" w:color="auto"/>
        <w:bottom w:val="none" w:sz="0" w:space="0" w:color="auto"/>
        <w:right w:val="none" w:sz="0" w:space="0" w:color="auto"/>
      </w:divBdr>
    </w:div>
    <w:div w:id="962494133">
      <w:bodyDiv w:val="1"/>
      <w:marLeft w:val="0"/>
      <w:marRight w:val="0"/>
      <w:marTop w:val="0"/>
      <w:marBottom w:val="0"/>
      <w:divBdr>
        <w:top w:val="none" w:sz="0" w:space="0" w:color="auto"/>
        <w:left w:val="none" w:sz="0" w:space="0" w:color="auto"/>
        <w:bottom w:val="none" w:sz="0" w:space="0" w:color="auto"/>
        <w:right w:val="none" w:sz="0" w:space="0" w:color="auto"/>
      </w:divBdr>
    </w:div>
    <w:div w:id="964653061">
      <w:bodyDiv w:val="1"/>
      <w:marLeft w:val="0"/>
      <w:marRight w:val="0"/>
      <w:marTop w:val="0"/>
      <w:marBottom w:val="0"/>
      <w:divBdr>
        <w:top w:val="none" w:sz="0" w:space="0" w:color="auto"/>
        <w:left w:val="none" w:sz="0" w:space="0" w:color="auto"/>
        <w:bottom w:val="none" w:sz="0" w:space="0" w:color="auto"/>
        <w:right w:val="none" w:sz="0" w:space="0" w:color="auto"/>
      </w:divBdr>
    </w:div>
    <w:div w:id="965693388">
      <w:bodyDiv w:val="1"/>
      <w:marLeft w:val="0"/>
      <w:marRight w:val="0"/>
      <w:marTop w:val="0"/>
      <w:marBottom w:val="0"/>
      <w:divBdr>
        <w:top w:val="none" w:sz="0" w:space="0" w:color="auto"/>
        <w:left w:val="none" w:sz="0" w:space="0" w:color="auto"/>
        <w:bottom w:val="none" w:sz="0" w:space="0" w:color="auto"/>
        <w:right w:val="none" w:sz="0" w:space="0" w:color="auto"/>
      </w:divBdr>
    </w:div>
    <w:div w:id="966202874">
      <w:bodyDiv w:val="1"/>
      <w:marLeft w:val="0"/>
      <w:marRight w:val="0"/>
      <w:marTop w:val="0"/>
      <w:marBottom w:val="0"/>
      <w:divBdr>
        <w:top w:val="none" w:sz="0" w:space="0" w:color="auto"/>
        <w:left w:val="none" w:sz="0" w:space="0" w:color="auto"/>
        <w:bottom w:val="none" w:sz="0" w:space="0" w:color="auto"/>
        <w:right w:val="none" w:sz="0" w:space="0" w:color="auto"/>
      </w:divBdr>
    </w:div>
    <w:div w:id="979072883">
      <w:bodyDiv w:val="1"/>
      <w:marLeft w:val="0"/>
      <w:marRight w:val="0"/>
      <w:marTop w:val="0"/>
      <w:marBottom w:val="0"/>
      <w:divBdr>
        <w:top w:val="none" w:sz="0" w:space="0" w:color="auto"/>
        <w:left w:val="none" w:sz="0" w:space="0" w:color="auto"/>
        <w:bottom w:val="none" w:sz="0" w:space="0" w:color="auto"/>
        <w:right w:val="none" w:sz="0" w:space="0" w:color="auto"/>
      </w:divBdr>
    </w:div>
    <w:div w:id="982735263">
      <w:bodyDiv w:val="1"/>
      <w:marLeft w:val="0"/>
      <w:marRight w:val="0"/>
      <w:marTop w:val="0"/>
      <w:marBottom w:val="0"/>
      <w:divBdr>
        <w:top w:val="none" w:sz="0" w:space="0" w:color="auto"/>
        <w:left w:val="none" w:sz="0" w:space="0" w:color="auto"/>
        <w:bottom w:val="none" w:sz="0" w:space="0" w:color="auto"/>
        <w:right w:val="none" w:sz="0" w:space="0" w:color="auto"/>
      </w:divBdr>
    </w:div>
    <w:div w:id="992022953">
      <w:bodyDiv w:val="1"/>
      <w:marLeft w:val="0"/>
      <w:marRight w:val="0"/>
      <w:marTop w:val="0"/>
      <w:marBottom w:val="0"/>
      <w:divBdr>
        <w:top w:val="none" w:sz="0" w:space="0" w:color="auto"/>
        <w:left w:val="none" w:sz="0" w:space="0" w:color="auto"/>
        <w:bottom w:val="none" w:sz="0" w:space="0" w:color="auto"/>
        <w:right w:val="none" w:sz="0" w:space="0" w:color="auto"/>
      </w:divBdr>
    </w:div>
    <w:div w:id="1010715317">
      <w:bodyDiv w:val="1"/>
      <w:marLeft w:val="0"/>
      <w:marRight w:val="0"/>
      <w:marTop w:val="0"/>
      <w:marBottom w:val="0"/>
      <w:divBdr>
        <w:top w:val="none" w:sz="0" w:space="0" w:color="auto"/>
        <w:left w:val="none" w:sz="0" w:space="0" w:color="auto"/>
        <w:bottom w:val="none" w:sz="0" w:space="0" w:color="auto"/>
        <w:right w:val="none" w:sz="0" w:space="0" w:color="auto"/>
      </w:divBdr>
    </w:div>
    <w:div w:id="1022978983">
      <w:bodyDiv w:val="1"/>
      <w:marLeft w:val="0"/>
      <w:marRight w:val="0"/>
      <w:marTop w:val="0"/>
      <w:marBottom w:val="0"/>
      <w:divBdr>
        <w:top w:val="none" w:sz="0" w:space="0" w:color="auto"/>
        <w:left w:val="none" w:sz="0" w:space="0" w:color="auto"/>
        <w:bottom w:val="none" w:sz="0" w:space="0" w:color="auto"/>
        <w:right w:val="none" w:sz="0" w:space="0" w:color="auto"/>
      </w:divBdr>
    </w:div>
    <w:div w:id="1029451689">
      <w:bodyDiv w:val="1"/>
      <w:marLeft w:val="0"/>
      <w:marRight w:val="0"/>
      <w:marTop w:val="0"/>
      <w:marBottom w:val="0"/>
      <w:divBdr>
        <w:top w:val="none" w:sz="0" w:space="0" w:color="auto"/>
        <w:left w:val="none" w:sz="0" w:space="0" w:color="auto"/>
        <w:bottom w:val="none" w:sz="0" w:space="0" w:color="auto"/>
        <w:right w:val="none" w:sz="0" w:space="0" w:color="auto"/>
      </w:divBdr>
    </w:div>
    <w:div w:id="1049110548">
      <w:bodyDiv w:val="1"/>
      <w:marLeft w:val="0"/>
      <w:marRight w:val="0"/>
      <w:marTop w:val="0"/>
      <w:marBottom w:val="0"/>
      <w:divBdr>
        <w:top w:val="none" w:sz="0" w:space="0" w:color="auto"/>
        <w:left w:val="none" w:sz="0" w:space="0" w:color="auto"/>
        <w:bottom w:val="none" w:sz="0" w:space="0" w:color="auto"/>
        <w:right w:val="none" w:sz="0" w:space="0" w:color="auto"/>
      </w:divBdr>
    </w:div>
    <w:div w:id="1066606463">
      <w:bodyDiv w:val="1"/>
      <w:marLeft w:val="0"/>
      <w:marRight w:val="0"/>
      <w:marTop w:val="0"/>
      <w:marBottom w:val="0"/>
      <w:divBdr>
        <w:top w:val="none" w:sz="0" w:space="0" w:color="auto"/>
        <w:left w:val="none" w:sz="0" w:space="0" w:color="auto"/>
        <w:bottom w:val="none" w:sz="0" w:space="0" w:color="auto"/>
        <w:right w:val="none" w:sz="0" w:space="0" w:color="auto"/>
      </w:divBdr>
    </w:div>
    <w:div w:id="1068379883">
      <w:bodyDiv w:val="1"/>
      <w:marLeft w:val="0"/>
      <w:marRight w:val="0"/>
      <w:marTop w:val="0"/>
      <w:marBottom w:val="0"/>
      <w:divBdr>
        <w:top w:val="none" w:sz="0" w:space="0" w:color="auto"/>
        <w:left w:val="none" w:sz="0" w:space="0" w:color="auto"/>
        <w:bottom w:val="none" w:sz="0" w:space="0" w:color="auto"/>
        <w:right w:val="none" w:sz="0" w:space="0" w:color="auto"/>
      </w:divBdr>
    </w:div>
    <w:div w:id="1075281683">
      <w:bodyDiv w:val="1"/>
      <w:marLeft w:val="0"/>
      <w:marRight w:val="0"/>
      <w:marTop w:val="0"/>
      <w:marBottom w:val="0"/>
      <w:divBdr>
        <w:top w:val="none" w:sz="0" w:space="0" w:color="auto"/>
        <w:left w:val="none" w:sz="0" w:space="0" w:color="auto"/>
        <w:bottom w:val="none" w:sz="0" w:space="0" w:color="auto"/>
        <w:right w:val="none" w:sz="0" w:space="0" w:color="auto"/>
      </w:divBdr>
    </w:div>
    <w:div w:id="1085103816">
      <w:bodyDiv w:val="1"/>
      <w:marLeft w:val="0"/>
      <w:marRight w:val="0"/>
      <w:marTop w:val="0"/>
      <w:marBottom w:val="0"/>
      <w:divBdr>
        <w:top w:val="none" w:sz="0" w:space="0" w:color="auto"/>
        <w:left w:val="none" w:sz="0" w:space="0" w:color="auto"/>
        <w:bottom w:val="none" w:sz="0" w:space="0" w:color="auto"/>
        <w:right w:val="none" w:sz="0" w:space="0" w:color="auto"/>
      </w:divBdr>
    </w:div>
    <w:div w:id="1086077352">
      <w:bodyDiv w:val="1"/>
      <w:marLeft w:val="0"/>
      <w:marRight w:val="0"/>
      <w:marTop w:val="0"/>
      <w:marBottom w:val="0"/>
      <w:divBdr>
        <w:top w:val="none" w:sz="0" w:space="0" w:color="auto"/>
        <w:left w:val="none" w:sz="0" w:space="0" w:color="auto"/>
        <w:bottom w:val="none" w:sz="0" w:space="0" w:color="auto"/>
        <w:right w:val="none" w:sz="0" w:space="0" w:color="auto"/>
      </w:divBdr>
    </w:div>
    <w:div w:id="1088042988">
      <w:bodyDiv w:val="1"/>
      <w:marLeft w:val="0"/>
      <w:marRight w:val="0"/>
      <w:marTop w:val="0"/>
      <w:marBottom w:val="0"/>
      <w:divBdr>
        <w:top w:val="none" w:sz="0" w:space="0" w:color="auto"/>
        <w:left w:val="none" w:sz="0" w:space="0" w:color="auto"/>
        <w:bottom w:val="none" w:sz="0" w:space="0" w:color="auto"/>
        <w:right w:val="none" w:sz="0" w:space="0" w:color="auto"/>
      </w:divBdr>
    </w:div>
    <w:div w:id="1104962802">
      <w:bodyDiv w:val="1"/>
      <w:marLeft w:val="0"/>
      <w:marRight w:val="0"/>
      <w:marTop w:val="0"/>
      <w:marBottom w:val="0"/>
      <w:divBdr>
        <w:top w:val="none" w:sz="0" w:space="0" w:color="auto"/>
        <w:left w:val="none" w:sz="0" w:space="0" w:color="auto"/>
        <w:bottom w:val="none" w:sz="0" w:space="0" w:color="auto"/>
        <w:right w:val="none" w:sz="0" w:space="0" w:color="auto"/>
      </w:divBdr>
    </w:div>
    <w:div w:id="1111631352">
      <w:bodyDiv w:val="1"/>
      <w:marLeft w:val="0"/>
      <w:marRight w:val="0"/>
      <w:marTop w:val="0"/>
      <w:marBottom w:val="0"/>
      <w:divBdr>
        <w:top w:val="none" w:sz="0" w:space="0" w:color="auto"/>
        <w:left w:val="none" w:sz="0" w:space="0" w:color="auto"/>
        <w:bottom w:val="none" w:sz="0" w:space="0" w:color="auto"/>
        <w:right w:val="none" w:sz="0" w:space="0" w:color="auto"/>
      </w:divBdr>
    </w:div>
    <w:div w:id="1112239697">
      <w:bodyDiv w:val="1"/>
      <w:marLeft w:val="0"/>
      <w:marRight w:val="0"/>
      <w:marTop w:val="0"/>
      <w:marBottom w:val="0"/>
      <w:divBdr>
        <w:top w:val="none" w:sz="0" w:space="0" w:color="auto"/>
        <w:left w:val="none" w:sz="0" w:space="0" w:color="auto"/>
        <w:bottom w:val="none" w:sz="0" w:space="0" w:color="auto"/>
        <w:right w:val="none" w:sz="0" w:space="0" w:color="auto"/>
      </w:divBdr>
    </w:div>
    <w:div w:id="1122961106">
      <w:bodyDiv w:val="1"/>
      <w:marLeft w:val="0"/>
      <w:marRight w:val="0"/>
      <w:marTop w:val="0"/>
      <w:marBottom w:val="0"/>
      <w:divBdr>
        <w:top w:val="none" w:sz="0" w:space="0" w:color="auto"/>
        <w:left w:val="none" w:sz="0" w:space="0" w:color="auto"/>
        <w:bottom w:val="none" w:sz="0" w:space="0" w:color="auto"/>
        <w:right w:val="none" w:sz="0" w:space="0" w:color="auto"/>
      </w:divBdr>
    </w:div>
    <w:div w:id="1148590662">
      <w:bodyDiv w:val="1"/>
      <w:marLeft w:val="0"/>
      <w:marRight w:val="0"/>
      <w:marTop w:val="0"/>
      <w:marBottom w:val="0"/>
      <w:divBdr>
        <w:top w:val="none" w:sz="0" w:space="0" w:color="auto"/>
        <w:left w:val="none" w:sz="0" w:space="0" w:color="auto"/>
        <w:bottom w:val="none" w:sz="0" w:space="0" w:color="auto"/>
        <w:right w:val="none" w:sz="0" w:space="0" w:color="auto"/>
      </w:divBdr>
    </w:div>
    <w:div w:id="1164972466">
      <w:bodyDiv w:val="1"/>
      <w:marLeft w:val="0"/>
      <w:marRight w:val="0"/>
      <w:marTop w:val="0"/>
      <w:marBottom w:val="0"/>
      <w:divBdr>
        <w:top w:val="none" w:sz="0" w:space="0" w:color="auto"/>
        <w:left w:val="none" w:sz="0" w:space="0" w:color="auto"/>
        <w:bottom w:val="none" w:sz="0" w:space="0" w:color="auto"/>
        <w:right w:val="none" w:sz="0" w:space="0" w:color="auto"/>
      </w:divBdr>
    </w:div>
    <w:div w:id="1183015184">
      <w:bodyDiv w:val="1"/>
      <w:marLeft w:val="0"/>
      <w:marRight w:val="0"/>
      <w:marTop w:val="0"/>
      <w:marBottom w:val="0"/>
      <w:divBdr>
        <w:top w:val="none" w:sz="0" w:space="0" w:color="auto"/>
        <w:left w:val="none" w:sz="0" w:space="0" w:color="auto"/>
        <w:bottom w:val="none" w:sz="0" w:space="0" w:color="auto"/>
        <w:right w:val="none" w:sz="0" w:space="0" w:color="auto"/>
      </w:divBdr>
    </w:div>
    <w:div w:id="1204248654">
      <w:bodyDiv w:val="1"/>
      <w:marLeft w:val="0"/>
      <w:marRight w:val="0"/>
      <w:marTop w:val="0"/>
      <w:marBottom w:val="0"/>
      <w:divBdr>
        <w:top w:val="none" w:sz="0" w:space="0" w:color="auto"/>
        <w:left w:val="none" w:sz="0" w:space="0" w:color="auto"/>
        <w:bottom w:val="none" w:sz="0" w:space="0" w:color="auto"/>
        <w:right w:val="none" w:sz="0" w:space="0" w:color="auto"/>
      </w:divBdr>
    </w:div>
    <w:div w:id="1206916292">
      <w:bodyDiv w:val="1"/>
      <w:marLeft w:val="0"/>
      <w:marRight w:val="0"/>
      <w:marTop w:val="0"/>
      <w:marBottom w:val="0"/>
      <w:divBdr>
        <w:top w:val="none" w:sz="0" w:space="0" w:color="auto"/>
        <w:left w:val="none" w:sz="0" w:space="0" w:color="auto"/>
        <w:bottom w:val="none" w:sz="0" w:space="0" w:color="auto"/>
        <w:right w:val="none" w:sz="0" w:space="0" w:color="auto"/>
      </w:divBdr>
    </w:div>
    <w:div w:id="1212183211">
      <w:bodyDiv w:val="1"/>
      <w:marLeft w:val="0"/>
      <w:marRight w:val="0"/>
      <w:marTop w:val="0"/>
      <w:marBottom w:val="0"/>
      <w:divBdr>
        <w:top w:val="none" w:sz="0" w:space="0" w:color="auto"/>
        <w:left w:val="none" w:sz="0" w:space="0" w:color="auto"/>
        <w:bottom w:val="none" w:sz="0" w:space="0" w:color="auto"/>
        <w:right w:val="none" w:sz="0" w:space="0" w:color="auto"/>
      </w:divBdr>
    </w:div>
    <w:div w:id="1228801343">
      <w:bodyDiv w:val="1"/>
      <w:marLeft w:val="0"/>
      <w:marRight w:val="0"/>
      <w:marTop w:val="0"/>
      <w:marBottom w:val="0"/>
      <w:divBdr>
        <w:top w:val="none" w:sz="0" w:space="0" w:color="auto"/>
        <w:left w:val="none" w:sz="0" w:space="0" w:color="auto"/>
        <w:bottom w:val="none" w:sz="0" w:space="0" w:color="auto"/>
        <w:right w:val="none" w:sz="0" w:space="0" w:color="auto"/>
      </w:divBdr>
    </w:div>
    <w:div w:id="1233008606">
      <w:bodyDiv w:val="1"/>
      <w:marLeft w:val="0"/>
      <w:marRight w:val="0"/>
      <w:marTop w:val="0"/>
      <w:marBottom w:val="0"/>
      <w:divBdr>
        <w:top w:val="none" w:sz="0" w:space="0" w:color="auto"/>
        <w:left w:val="none" w:sz="0" w:space="0" w:color="auto"/>
        <w:bottom w:val="none" w:sz="0" w:space="0" w:color="auto"/>
        <w:right w:val="none" w:sz="0" w:space="0" w:color="auto"/>
      </w:divBdr>
    </w:div>
    <w:div w:id="1235509429">
      <w:bodyDiv w:val="1"/>
      <w:marLeft w:val="0"/>
      <w:marRight w:val="0"/>
      <w:marTop w:val="0"/>
      <w:marBottom w:val="0"/>
      <w:divBdr>
        <w:top w:val="none" w:sz="0" w:space="0" w:color="auto"/>
        <w:left w:val="none" w:sz="0" w:space="0" w:color="auto"/>
        <w:bottom w:val="none" w:sz="0" w:space="0" w:color="auto"/>
        <w:right w:val="none" w:sz="0" w:space="0" w:color="auto"/>
      </w:divBdr>
    </w:div>
    <w:div w:id="1249774091">
      <w:bodyDiv w:val="1"/>
      <w:marLeft w:val="0"/>
      <w:marRight w:val="0"/>
      <w:marTop w:val="0"/>
      <w:marBottom w:val="0"/>
      <w:divBdr>
        <w:top w:val="none" w:sz="0" w:space="0" w:color="auto"/>
        <w:left w:val="none" w:sz="0" w:space="0" w:color="auto"/>
        <w:bottom w:val="none" w:sz="0" w:space="0" w:color="auto"/>
        <w:right w:val="none" w:sz="0" w:space="0" w:color="auto"/>
      </w:divBdr>
      <w:divsChild>
        <w:div w:id="1756972756">
          <w:marLeft w:val="0"/>
          <w:marRight w:val="0"/>
          <w:marTop w:val="0"/>
          <w:marBottom w:val="0"/>
          <w:divBdr>
            <w:top w:val="none" w:sz="0" w:space="0" w:color="auto"/>
            <w:left w:val="none" w:sz="0" w:space="0" w:color="auto"/>
            <w:bottom w:val="none" w:sz="0" w:space="0" w:color="auto"/>
            <w:right w:val="none" w:sz="0" w:space="0" w:color="auto"/>
          </w:divBdr>
          <w:divsChild>
            <w:div w:id="66542394">
              <w:marLeft w:val="0"/>
              <w:marRight w:val="0"/>
              <w:marTop w:val="0"/>
              <w:marBottom w:val="0"/>
              <w:divBdr>
                <w:top w:val="none" w:sz="0" w:space="0" w:color="auto"/>
                <w:left w:val="none" w:sz="0" w:space="0" w:color="auto"/>
                <w:bottom w:val="none" w:sz="0" w:space="0" w:color="auto"/>
                <w:right w:val="none" w:sz="0" w:space="0" w:color="auto"/>
              </w:divBdr>
              <w:divsChild>
                <w:div w:id="699672442">
                  <w:marLeft w:val="0"/>
                  <w:marRight w:val="0"/>
                  <w:marTop w:val="0"/>
                  <w:marBottom w:val="0"/>
                  <w:divBdr>
                    <w:top w:val="none" w:sz="0" w:space="0" w:color="auto"/>
                    <w:left w:val="none" w:sz="0" w:space="0" w:color="auto"/>
                    <w:bottom w:val="none" w:sz="0" w:space="0" w:color="auto"/>
                    <w:right w:val="none" w:sz="0" w:space="0" w:color="auto"/>
                  </w:divBdr>
                  <w:divsChild>
                    <w:div w:id="10691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0809">
          <w:marLeft w:val="0"/>
          <w:marRight w:val="0"/>
          <w:marTop w:val="0"/>
          <w:marBottom w:val="0"/>
          <w:divBdr>
            <w:top w:val="none" w:sz="0" w:space="0" w:color="auto"/>
            <w:left w:val="none" w:sz="0" w:space="0" w:color="auto"/>
            <w:bottom w:val="none" w:sz="0" w:space="0" w:color="auto"/>
            <w:right w:val="none" w:sz="0" w:space="0" w:color="auto"/>
          </w:divBdr>
          <w:divsChild>
            <w:div w:id="691108899">
              <w:marLeft w:val="0"/>
              <w:marRight w:val="0"/>
              <w:marTop w:val="0"/>
              <w:marBottom w:val="0"/>
              <w:divBdr>
                <w:top w:val="none" w:sz="0" w:space="0" w:color="auto"/>
                <w:left w:val="none" w:sz="0" w:space="0" w:color="auto"/>
                <w:bottom w:val="none" w:sz="0" w:space="0" w:color="auto"/>
                <w:right w:val="none" w:sz="0" w:space="0" w:color="auto"/>
              </w:divBdr>
              <w:divsChild>
                <w:div w:id="1164012472">
                  <w:marLeft w:val="0"/>
                  <w:marRight w:val="0"/>
                  <w:marTop w:val="0"/>
                  <w:marBottom w:val="0"/>
                  <w:divBdr>
                    <w:top w:val="none" w:sz="0" w:space="0" w:color="auto"/>
                    <w:left w:val="none" w:sz="0" w:space="0" w:color="auto"/>
                    <w:bottom w:val="none" w:sz="0" w:space="0" w:color="auto"/>
                    <w:right w:val="none" w:sz="0" w:space="0" w:color="auto"/>
                  </w:divBdr>
                  <w:divsChild>
                    <w:div w:id="12236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82735">
      <w:bodyDiv w:val="1"/>
      <w:marLeft w:val="0"/>
      <w:marRight w:val="0"/>
      <w:marTop w:val="0"/>
      <w:marBottom w:val="0"/>
      <w:divBdr>
        <w:top w:val="none" w:sz="0" w:space="0" w:color="auto"/>
        <w:left w:val="none" w:sz="0" w:space="0" w:color="auto"/>
        <w:bottom w:val="none" w:sz="0" w:space="0" w:color="auto"/>
        <w:right w:val="none" w:sz="0" w:space="0" w:color="auto"/>
      </w:divBdr>
    </w:div>
    <w:div w:id="1278945799">
      <w:bodyDiv w:val="1"/>
      <w:marLeft w:val="0"/>
      <w:marRight w:val="0"/>
      <w:marTop w:val="0"/>
      <w:marBottom w:val="0"/>
      <w:divBdr>
        <w:top w:val="none" w:sz="0" w:space="0" w:color="auto"/>
        <w:left w:val="none" w:sz="0" w:space="0" w:color="auto"/>
        <w:bottom w:val="none" w:sz="0" w:space="0" w:color="auto"/>
        <w:right w:val="none" w:sz="0" w:space="0" w:color="auto"/>
      </w:divBdr>
    </w:div>
    <w:div w:id="1282607762">
      <w:bodyDiv w:val="1"/>
      <w:marLeft w:val="0"/>
      <w:marRight w:val="0"/>
      <w:marTop w:val="0"/>
      <w:marBottom w:val="0"/>
      <w:divBdr>
        <w:top w:val="none" w:sz="0" w:space="0" w:color="auto"/>
        <w:left w:val="none" w:sz="0" w:space="0" w:color="auto"/>
        <w:bottom w:val="none" w:sz="0" w:space="0" w:color="auto"/>
        <w:right w:val="none" w:sz="0" w:space="0" w:color="auto"/>
      </w:divBdr>
    </w:div>
    <w:div w:id="1289319021">
      <w:bodyDiv w:val="1"/>
      <w:marLeft w:val="0"/>
      <w:marRight w:val="0"/>
      <w:marTop w:val="0"/>
      <w:marBottom w:val="0"/>
      <w:divBdr>
        <w:top w:val="none" w:sz="0" w:space="0" w:color="auto"/>
        <w:left w:val="none" w:sz="0" w:space="0" w:color="auto"/>
        <w:bottom w:val="none" w:sz="0" w:space="0" w:color="auto"/>
        <w:right w:val="none" w:sz="0" w:space="0" w:color="auto"/>
      </w:divBdr>
    </w:div>
    <w:div w:id="1300838938">
      <w:bodyDiv w:val="1"/>
      <w:marLeft w:val="0"/>
      <w:marRight w:val="0"/>
      <w:marTop w:val="0"/>
      <w:marBottom w:val="0"/>
      <w:divBdr>
        <w:top w:val="none" w:sz="0" w:space="0" w:color="auto"/>
        <w:left w:val="none" w:sz="0" w:space="0" w:color="auto"/>
        <w:bottom w:val="none" w:sz="0" w:space="0" w:color="auto"/>
        <w:right w:val="none" w:sz="0" w:space="0" w:color="auto"/>
      </w:divBdr>
    </w:div>
    <w:div w:id="1315912766">
      <w:bodyDiv w:val="1"/>
      <w:marLeft w:val="0"/>
      <w:marRight w:val="0"/>
      <w:marTop w:val="0"/>
      <w:marBottom w:val="0"/>
      <w:divBdr>
        <w:top w:val="none" w:sz="0" w:space="0" w:color="auto"/>
        <w:left w:val="none" w:sz="0" w:space="0" w:color="auto"/>
        <w:bottom w:val="none" w:sz="0" w:space="0" w:color="auto"/>
        <w:right w:val="none" w:sz="0" w:space="0" w:color="auto"/>
      </w:divBdr>
    </w:div>
    <w:div w:id="1325431105">
      <w:bodyDiv w:val="1"/>
      <w:marLeft w:val="0"/>
      <w:marRight w:val="0"/>
      <w:marTop w:val="0"/>
      <w:marBottom w:val="0"/>
      <w:divBdr>
        <w:top w:val="none" w:sz="0" w:space="0" w:color="auto"/>
        <w:left w:val="none" w:sz="0" w:space="0" w:color="auto"/>
        <w:bottom w:val="none" w:sz="0" w:space="0" w:color="auto"/>
        <w:right w:val="none" w:sz="0" w:space="0" w:color="auto"/>
      </w:divBdr>
    </w:div>
    <w:div w:id="1359622149">
      <w:bodyDiv w:val="1"/>
      <w:marLeft w:val="0"/>
      <w:marRight w:val="0"/>
      <w:marTop w:val="0"/>
      <w:marBottom w:val="0"/>
      <w:divBdr>
        <w:top w:val="none" w:sz="0" w:space="0" w:color="auto"/>
        <w:left w:val="none" w:sz="0" w:space="0" w:color="auto"/>
        <w:bottom w:val="none" w:sz="0" w:space="0" w:color="auto"/>
        <w:right w:val="none" w:sz="0" w:space="0" w:color="auto"/>
      </w:divBdr>
    </w:div>
    <w:div w:id="1368020827">
      <w:bodyDiv w:val="1"/>
      <w:marLeft w:val="0"/>
      <w:marRight w:val="0"/>
      <w:marTop w:val="0"/>
      <w:marBottom w:val="0"/>
      <w:divBdr>
        <w:top w:val="none" w:sz="0" w:space="0" w:color="auto"/>
        <w:left w:val="none" w:sz="0" w:space="0" w:color="auto"/>
        <w:bottom w:val="none" w:sz="0" w:space="0" w:color="auto"/>
        <w:right w:val="none" w:sz="0" w:space="0" w:color="auto"/>
      </w:divBdr>
    </w:div>
    <w:div w:id="1372153185">
      <w:bodyDiv w:val="1"/>
      <w:marLeft w:val="0"/>
      <w:marRight w:val="0"/>
      <w:marTop w:val="0"/>
      <w:marBottom w:val="0"/>
      <w:divBdr>
        <w:top w:val="none" w:sz="0" w:space="0" w:color="auto"/>
        <w:left w:val="none" w:sz="0" w:space="0" w:color="auto"/>
        <w:bottom w:val="none" w:sz="0" w:space="0" w:color="auto"/>
        <w:right w:val="none" w:sz="0" w:space="0" w:color="auto"/>
      </w:divBdr>
    </w:div>
    <w:div w:id="1379161712">
      <w:bodyDiv w:val="1"/>
      <w:marLeft w:val="0"/>
      <w:marRight w:val="0"/>
      <w:marTop w:val="0"/>
      <w:marBottom w:val="0"/>
      <w:divBdr>
        <w:top w:val="none" w:sz="0" w:space="0" w:color="auto"/>
        <w:left w:val="none" w:sz="0" w:space="0" w:color="auto"/>
        <w:bottom w:val="none" w:sz="0" w:space="0" w:color="auto"/>
        <w:right w:val="none" w:sz="0" w:space="0" w:color="auto"/>
      </w:divBdr>
    </w:div>
    <w:div w:id="1393885712">
      <w:bodyDiv w:val="1"/>
      <w:marLeft w:val="0"/>
      <w:marRight w:val="0"/>
      <w:marTop w:val="0"/>
      <w:marBottom w:val="0"/>
      <w:divBdr>
        <w:top w:val="none" w:sz="0" w:space="0" w:color="auto"/>
        <w:left w:val="none" w:sz="0" w:space="0" w:color="auto"/>
        <w:bottom w:val="none" w:sz="0" w:space="0" w:color="auto"/>
        <w:right w:val="none" w:sz="0" w:space="0" w:color="auto"/>
      </w:divBdr>
    </w:div>
    <w:div w:id="1395424202">
      <w:bodyDiv w:val="1"/>
      <w:marLeft w:val="0"/>
      <w:marRight w:val="0"/>
      <w:marTop w:val="0"/>
      <w:marBottom w:val="0"/>
      <w:divBdr>
        <w:top w:val="none" w:sz="0" w:space="0" w:color="auto"/>
        <w:left w:val="none" w:sz="0" w:space="0" w:color="auto"/>
        <w:bottom w:val="none" w:sz="0" w:space="0" w:color="auto"/>
        <w:right w:val="none" w:sz="0" w:space="0" w:color="auto"/>
      </w:divBdr>
    </w:div>
    <w:div w:id="1412392264">
      <w:bodyDiv w:val="1"/>
      <w:marLeft w:val="0"/>
      <w:marRight w:val="0"/>
      <w:marTop w:val="0"/>
      <w:marBottom w:val="0"/>
      <w:divBdr>
        <w:top w:val="none" w:sz="0" w:space="0" w:color="auto"/>
        <w:left w:val="none" w:sz="0" w:space="0" w:color="auto"/>
        <w:bottom w:val="none" w:sz="0" w:space="0" w:color="auto"/>
        <w:right w:val="none" w:sz="0" w:space="0" w:color="auto"/>
      </w:divBdr>
    </w:div>
    <w:div w:id="1419788759">
      <w:bodyDiv w:val="1"/>
      <w:marLeft w:val="0"/>
      <w:marRight w:val="0"/>
      <w:marTop w:val="0"/>
      <w:marBottom w:val="0"/>
      <w:divBdr>
        <w:top w:val="none" w:sz="0" w:space="0" w:color="auto"/>
        <w:left w:val="none" w:sz="0" w:space="0" w:color="auto"/>
        <w:bottom w:val="none" w:sz="0" w:space="0" w:color="auto"/>
        <w:right w:val="none" w:sz="0" w:space="0" w:color="auto"/>
      </w:divBdr>
    </w:div>
    <w:div w:id="1442411180">
      <w:bodyDiv w:val="1"/>
      <w:marLeft w:val="0"/>
      <w:marRight w:val="0"/>
      <w:marTop w:val="0"/>
      <w:marBottom w:val="0"/>
      <w:divBdr>
        <w:top w:val="none" w:sz="0" w:space="0" w:color="auto"/>
        <w:left w:val="none" w:sz="0" w:space="0" w:color="auto"/>
        <w:bottom w:val="none" w:sz="0" w:space="0" w:color="auto"/>
        <w:right w:val="none" w:sz="0" w:space="0" w:color="auto"/>
      </w:divBdr>
    </w:div>
    <w:div w:id="1471046832">
      <w:bodyDiv w:val="1"/>
      <w:marLeft w:val="0"/>
      <w:marRight w:val="0"/>
      <w:marTop w:val="0"/>
      <w:marBottom w:val="0"/>
      <w:divBdr>
        <w:top w:val="none" w:sz="0" w:space="0" w:color="auto"/>
        <w:left w:val="none" w:sz="0" w:space="0" w:color="auto"/>
        <w:bottom w:val="none" w:sz="0" w:space="0" w:color="auto"/>
        <w:right w:val="none" w:sz="0" w:space="0" w:color="auto"/>
      </w:divBdr>
    </w:div>
    <w:div w:id="1503928436">
      <w:bodyDiv w:val="1"/>
      <w:marLeft w:val="0"/>
      <w:marRight w:val="0"/>
      <w:marTop w:val="0"/>
      <w:marBottom w:val="0"/>
      <w:divBdr>
        <w:top w:val="none" w:sz="0" w:space="0" w:color="auto"/>
        <w:left w:val="none" w:sz="0" w:space="0" w:color="auto"/>
        <w:bottom w:val="none" w:sz="0" w:space="0" w:color="auto"/>
        <w:right w:val="none" w:sz="0" w:space="0" w:color="auto"/>
      </w:divBdr>
    </w:div>
    <w:div w:id="1517574357">
      <w:bodyDiv w:val="1"/>
      <w:marLeft w:val="0"/>
      <w:marRight w:val="0"/>
      <w:marTop w:val="0"/>
      <w:marBottom w:val="0"/>
      <w:divBdr>
        <w:top w:val="none" w:sz="0" w:space="0" w:color="auto"/>
        <w:left w:val="none" w:sz="0" w:space="0" w:color="auto"/>
        <w:bottom w:val="none" w:sz="0" w:space="0" w:color="auto"/>
        <w:right w:val="none" w:sz="0" w:space="0" w:color="auto"/>
      </w:divBdr>
    </w:div>
    <w:div w:id="1523085454">
      <w:bodyDiv w:val="1"/>
      <w:marLeft w:val="0"/>
      <w:marRight w:val="0"/>
      <w:marTop w:val="0"/>
      <w:marBottom w:val="0"/>
      <w:divBdr>
        <w:top w:val="none" w:sz="0" w:space="0" w:color="auto"/>
        <w:left w:val="none" w:sz="0" w:space="0" w:color="auto"/>
        <w:bottom w:val="none" w:sz="0" w:space="0" w:color="auto"/>
        <w:right w:val="none" w:sz="0" w:space="0" w:color="auto"/>
      </w:divBdr>
    </w:div>
    <w:div w:id="1526748215">
      <w:bodyDiv w:val="1"/>
      <w:marLeft w:val="0"/>
      <w:marRight w:val="0"/>
      <w:marTop w:val="0"/>
      <w:marBottom w:val="0"/>
      <w:divBdr>
        <w:top w:val="none" w:sz="0" w:space="0" w:color="auto"/>
        <w:left w:val="none" w:sz="0" w:space="0" w:color="auto"/>
        <w:bottom w:val="none" w:sz="0" w:space="0" w:color="auto"/>
        <w:right w:val="none" w:sz="0" w:space="0" w:color="auto"/>
      </w:divBdr>
    </w:div>
    <w:div w:id="1535271138">
      <w:bodyDiv w:val="1"/>
      <w:marLeft w:val="0"/>
      <w:marRight w:val="0"/>
      <w:marTop w:val="0"/>
      <w:marBottom w:val="0"/>
      <w:divBdr>
        <w:top w:val="none" w:sz="0" w:space="0" w:color="auto"/>
        <w:left w:val="none" w:sz="0" w:space="0" w:color="auto"/>
        <w:bottom w:val="none" w:sz="0" w:space="0" w:color="auto"/>
        <w:right w:val="none" w:sz="0" w:space="0" w:color="auto"/>
      </w:divBdr>
    </w:div>
    <w:div w:id="1569805116">
      <w:bodyDiv w:val="1"/>
      <w:marLeft w:val="0"/>
      <w:marRight w:val="0"/>
      <w:marTop w:val="0"/>
      <w:marBottom w:val="0"/>
      <w:divBdr>
        <w:top w:val="none" w:sz="0" w:space="0" w:color="auto"/>
        <w:left w:val="none" w:sz="0" w:space="0" w:color="auto"/>
        <w:bottom w:val="none" w:sz="0" w:space="0" w:color="auto"/>
        <w:right w:val="none" w:sz="0" w:space="0" w:color="auto"/>
      </w:divBdr>
    </w:div>
    <w:div w:id="1573155374">
      <w:bodyDiv w:val="1"/>
      <w:marLeft w:val="0"/>
      <w:marRight w:val="0"/>
      <w:marTop w:val="0"/>
      <w:marBottom w:val="0"/>
      <w:divBdr>
        <w:top w:val="none" w:sz="0" w:space="0" w:color="auto"/>
        <w:left w:val="none" w:sz="0" w:space="0" w:color="auto"/>
        <w:bottom w:val="none" w:sz="0" w:space="0" w:color="auto"/>
        <w:right w:val="none" w:sz="0" w:space="0" w:color="auto"/>
      </w:divBdr>
    </w:div>
    <w:div w:id="1645424067">
      <w:bodyDiv w:val="1"/>
      <w:marLeft w:val="0"/>
      <w:marRight w:val="0"/>
      <w:marTop w:val="0"/>
      <w:marBottom w:val="0"/>
      <w:divBdr>
        <w:top w:val="none" w:sz="0" w:space="0" w:color="auto"/>
        <w:left w:val="none" w:sz="0" w:space="0" w:color="auto"/>
        <w:bottom w:val="none" w:sz="0" w:space="0" w:color="auto"/>
        <w:right w:val="none" w:sz="0" w:space="0" w:color="auto"/>
      </w:divBdr>
    </w:div>
    <w:div w:id="1656688621">
      <w:bodyDiv w:val="1"/>
      <w:marLeft w:val="0"/>
      <w:marRight w:val="0"/>
      <w:marTop w:val="0"/>
      <w:marBottom w:val="0"/>
      <w:divBdr>
        <w:top w:val="none" w:sz="0" w:space="0" w:color="auto"/>
        <w:left w:val="none" w:sz="0" w:space="0" w:color="auto"/>
        <w:bottom w:val="none" w:sz="0" w:space="0" w:color="auto"/>
        <w:right w:val="none" w:sz="0" w:space="0" w:color="auto"/>
      </w:divBdr>
    </w:div>
    <w:div w:id="1662149247">
      <w:bodyDiv w:val="1"/>
      <w:marLeft w:val="0"/>
      <w:marRight w:val="0"/>
      <w:marTop w:val="0"/>
      <w:marBottom w:val="0"/>
      <w:divBdr>
        <w:top w:val="none" w:sz="0" w:space="0" w:color="auto"/>
        <w:left w:val="none" w:sz="0" w:space="0" w:color="auto"/>
        <w:bottom w:val="none" w:sz="0" w:space="0" w:color="auto"/>
        <w:right w:val="none" w:sz="0" w:space="0" w:color="auto"/>
      </w:divBdr>
    </w:div>
    <w:div w:id="1673335082">
      <w:bodyDiv w:val="1"/>
      <w:marLeft w:val="0"/>
      <w:marRight w:val="0"/>
      <w:marTop w:val="0"/>
      <w:marBottom w:val="0"/>
      <w:divBdr>
        <w:top w:val="none" w:sz="0" w:space="0" w:color="auto"/>
        <w:left w:val="none" w:sz="0" w:space="0" w:color="auto"/>
        <w:bottom w:val="none" w:sz="0" w:space="0" w:color="auto"/>
        <w:right w:val="none" w:sz="0" w:space="0" w:color="auto"/>
      </w:divBdr>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
    <w:div w:id="1685745397">
      <w:bodyDiv w:val="1"/>
      <w:marLeft w:val="0"/>
      <w:marRight w:val="0"/>
      <w:marTop w:val="0"/>
      <w:marBottom w:val="0"/>
      <w:divBdr>
        <w:top w:val="none" w:sz="0" w:space="0" w:color="auto"/>
        <w:left w:val="none" w:sz="0" w:space="0" w:color="auto"/>
        <w:bottom w:val="none" w:sz="0" w:space="0" w:color="auto"/>
        <w:right w:val="none" w:sz="0" w:space="0" w:color="auto"/>
      </w:divBdr>
    </w:div>
    <w:div w:id="1686832896">
      <w:bodyDiv w:val="1"/>
      <w:marLeft w:val="0"/>
      <w:marRight w:val="0"/>
      <w:marTop w:val="0"/>
      <w:marBottom w:val="0"/>
      <w:divBdr>
        <w:top w:val="none" w:sz="0" w:space="0" w:color="auto"/>
        <w:left w:val="none" w:sz="0" w:space="0" w:color="auto"/>
        <w:bottom w:val="none" w:sz="0" w:space="0" w:color="auto"/>
        <w:right w:val="none" w:sz="0" w:space="0" w:color="auto"/>
      </w:divBdr>
    </w:div>
    <w:div w:id="1698265524">
      <w:bodyDiv w:val="1"/>
      <w:marLeft w:val="0"/>
      <w:marRight w:val="0"/>
      <w:marTop w:val="0"/>
      <w:marBottom w:val="0"/>
      <w:divBdr>
        <w:top w:val="none" w:sz="0" w:space="0" w:color="auto"/>
        <w:left w:val="none" w:sz="0" w:space="0" w:color="auto"/>
        <w:bottom w:val="none" w:sz="0" w:space="0" w:color="auto"/>
        <w:right w:val="none" w:sz="0" w:space="0" w:color="auto"/>
      </w:divBdr>
    </w:div>
    <w:div w:id="1706827709">
      <w:bodyDiv w:val="1"/>
      <w:marLeft w:val="0"/>
      <w:marRight w:val="0"/>
      <w:marTop w:val="0"/>
      <w:marBottom w:val="0"/>
      <w:divBdr>
        <w:top w:val="none" w:sz="0" w:space="0" w:color="auto"/>
        <w:left w:val="none" w:sz="0" w:space="0" w:color="auto"/>
        <w:bottom w:val="none" w:sz="0" w:space="0" w:color="auto"/>
        <w:right w:val="none" w:sz="0" w:space="0" w:color="auto"/>
      </w:divBdr>
    </w:div>
    <w:div w:id="1716925459">
      <w:bodyDiv w:val="1"/>
      <w:marLeft w:val="0"/>
      <w:marRight w:val="0"/>
      <w:marTop w:val="0"/>
      <w:marBottom w:val="0"/>
      <w:divBdr>
        <w:top w:val="none" w:sz="0" w:space="0" w:color="auto"/>
        <w:left w:val="none" w:sz="0" w:space="0" w:color="auto"/>
        <w:bottom w:val="none" w:sz="0" w:space="0" w:color="auto"/>
        <w:right w:val="none" w:sz="0" w:space="0" w:color="auto"/>
      </w:divBdr>
    </w:div>
    <w:div w:id="1729955997">
      <w:bodyDiv w:val="1"/>
      <w:marLeft w:val="0"/>
      <w:marRight w:val="0"/>
      <w:marTop w:val="0"/>
      <w:marBottom w:val="0"/>
      <w:divBdr>
        <w:top w:val="none" w:sz="0" w:space="0" w:color="auto"/>
        <w:left w:val="none" w:sz="0" w:space="0" w:color="auto"/>
        <w:bottom w:val="none" w:sz="0" w:space="0" w:color="auto"/>
        <w:right w:val="none" w:sz="0" w:space="0" w:color="auto"/>
      </w:divBdr>
    </w:div>
    <w:div w:id="1753429740">
      <w:bodyDiv w:val="1"/>
      <w:marLeft w:val="0"/>
      <w:marRight w:val="0"/>
      <w:marTop w:val="0"/>
      <w:marBottom w:val="0"/>
      <w:divBdr>
        <w:top w:val="none" w:sz="0" w:space="0" w:color="auto"/>
        <w:left w:val="none" w:sz="0" w:space="0" w:color="auto"/>
        <w:bottom w:val="none" w:sz="0" w:space="0" w:color="auto"/>
        <w:right w:val="none" w:sz="0" w:space="0" w:color="auto"/>
      </w:divBdr>
    </w:div>
    <w:div w:id="1753892374">
      <w:bodyDiv w:val="1"/>
      <w:marLeft w:val="0"/>
      <w:marRight w:val="0"/>
      <w:marTop w:val="0"/>
      <w:marBottom w:val="0"/>
      <w:divBdr>
        <w:top w:val="none" w:sz="0" w:space="0" w:color="auto"/>
        <w:left w:val="none" w:sz="0" w:space="0" w:color="auto"/>
        <w:bottom w:val="none" w:sz="0" w:space="0" w:color="auto"/>
        <w:right w:val="none" w:sz="0" w:space="0" w:color="auto"/>
      </w:divBdr>
    </w:div>
    <w:div w:id="1761562500">
      <w:bodyDiv w:val="1"/>
      <w:marLeft w:val="0"/>
      <w:marRight w:val="0"/>
      <w:marTop w:val="0"/>
      <w:marBottom w:val="0"/>
      <w:divBdr>
        <w:top w:val="none" w:sz="0" w:space="0" w:color="auto"/>
        <w:left w:val="none" w:sz="0" w:space="0" w:color="auto"/>
        <w:bottom w:val="none" w:sz="0" w:space="0" w:color="auto"/>
        <w:right w:val="none" w:sz="0" w:space="0" w:color="auto"/>
      </w:divBdr>
    </w:div>
    <w:div w:id="1762532106">
      <w:bodyDiv w:val="1"/>
      <w:marLeft w:val="0"/>
      <w:marRight w:val="0"/>
      <w:marTop w:val="0"/>
      <w:marBottom w:val="0"/>
      <w:divBdr>
        <w:top w:val="none" w:sz="0" w:space="0" w:color="auto"/>
        <w:left w:val="none" w:sz="0" w:space="0" w:color="auto"/>
        <w:bottom w:val="none" w:sz="0" w:space="0" w:color="auto"/>
        <w:right w:val="none" w:sz="0" w:space="0" w:color="auto"/>
      </w:divBdr>
    </w:div>
    <w:div w:id="1777139744">
      <w:bodyDiv w:val="1"/>
      <w:marLeft w:val="0"/>
      <w:marRight w:val="0"/>
      <w:marTop w:val="0"/>
      <w:marBottom w:val="0"/>
      <w:divBdr>
        <w:top w:val="none" w:sz="0" w:space="0" w:color="auto"/>
        <w:left w:val="none" w:sz="0" w:space="0" w:color="auto"/>
        <w:bottom w:val="none" w:sz="0" w:space="0" w:color="auto"/>
        <w:right w:val="none" w:sz="0" w:space="0" w:color="auto"/>
      </w:divBdr>
    </w:div>
    <w:div w:id="1785926204">
      <w:bodyDiv w:val="1"/>
      <w:marLeft w:val="0"/>
      <w:marRight w:val="0"/>
      <w:marTop w:val="0"/>
      <w:marBottom w:val="0"/>
      <w:divBdr>
        <w:top w:val="none" w:sz="0" w:space="0" w:color="auto"/>
        <w:left w:val="none" w:sz="0" w:space="0" w:color="auto"/>
        <w:bottom w:val="none" w:sz="0" w:space="0" w:color="auto"/>
        <w:right w:val="none" w:sz="0" w:space="0" w:color="auto"/>
      </w:divBdr>
    </w:div>
    <w:div w:id="1811512527">
      <w:bodyDiv w:val="1"/>
      <w:marLeft w:val="0"/>
      <w:marRight w:val="0"/>
      <w:marTop w:val="0"/>
      <w:marBottom w:val="0"/>
      <w:divBdr>
        <w:top w:val="none" w:sz="0" w:space="0" w:color="auto"/>
        <w:left w:val="none" w:sz="0" w:space="0" w:color="auto"/>
        <w:bottom w:val="none" w:sz="0" w:space="0" w:color="auto"/>
        <w:right w:val="none" w:sz="0" w:space="0" w:color="auto"/>
      </w:divBdr>
    </w:div>
    <w:div w:id="1823302983">
      <w:bodyDiv w:val="1"/>
      <w:marLeft w:val="0"/>
      <w:marRight w:val="0"/>
      <w:marTop w:val="0"/>
      <w:marBottom w:val="0"/>
      <w:divBdr>
        <w:top w:val="none" w:sz="0" w:space="0" w:color="auto"/>
        <w:left w:val="none" w:sz="0" w:space="0" w:color="auto"/>
        <w:bottom w:val="none" w:sz="0" w:space="0" w:color="auto"/>
        <w:right w:val="none" w:sz="0" w:space="0" w:color="auto"/>
      </w:divBdr>
    </w:div>
    <w:div w:id="1839613203">
      <w:bodyDiv w:val="1"/>
      <w:marLeft w:val="0"/>
      <w:marRight w:val="0"/>
      <w:marTop w:val="0"/>
      <w:marBottom w:val="0"/>
      <w:divBdr>
        <w:top w:val="none" w:sz="0" w:space="0" w:color="auto"/>
        <w:left w:val="none" w:sz="0" w:space="0" w:color="auto"/>
        <w:bottom w:val="none" w:sz="0" w:space="0" w:color="auto"/>
        <w:right w:val="none" w:sz="0" w:space="0" w:color="auto"/>
      </w:divBdr>
    </w:div>
    <w:div w:id="1849516212">
      <w:bodyDiv w:val="1"/>
      <w:marLeft w:val="0"/>
      <w:marRight w:val="0"/>
      <w:marTop w:val="0"/>
      <w:marBottom w:val="0"/>
      <w:divBdr>
        <w:top w:val="none" w:sz="0" w:space="0" w:color="auto"/>
        <w:left w:val="none" w:sz="0" w:space="0" w:color="auto"/>
        <w:bottom w:val="none" w:sz="0" w:space="0" w:color="auto"/>
        <w:right w:val="none" w:sz="0" w:space="0" w:color="auto"/>
      </w:divBdr>
    </w:div>
    <w:div w:id="1856460296">
      <w:bodyDiv w:val="1"/>
      <w:marLeft w:val="0"/>
      <w:marRight w:val="0"/>
      <w:marTop w:val="0"/>
      <w:marBottom w:val="0"/>
      <w:divBdr>
        <w:top w:val="none" w:sz="0" w:space="0" w:color="auto"/>
        <w:left w:val="none" w:sz="0" w:space="0" w:color="auto"/>
        <w:bottom w:val="none" w:sz="0" w:space="0" w:color="auto"/>
        <w:right w:val="none" w:sz="0" w:space="0" w:color="auto"/>
      </w:divBdr>
    </w:div>
    <w:div w:id="1883908360">
      <w:bodyDiv w:val="1"/>
      <w:marLeft w:val="0"/>
      <w:marRight w:val="0"/>
      <w:marTop w:val="0"/>
      <w:marBottom w:val="0"/>
      <w:divBdr>
        <w:top w:val="none" w:sz="0" w:space="0" w:color="auto"/>
        <w:left w:val="none" w:sz="0" w:space="0" w:color="auto"/>
        <w:bottom w:val="none" w:sz="0" w:space="0" w:color="auto"/>
        <w:right w:val="none" w:sz="0" w:space="0" w:color="auto"/>
      </w:divBdr>
    </w:div>
    <w:div w:id="1887372478">
      <w:bodyDiv w:val="1"/>
      <w:marLeft w:val="0"/>
      <w:marRight w:val="0"/>
      <w:marTop w:val="0"/>
      <w:marBottom w:val="0"/>
      <w:divBdr>
        <w:top w:val="none" w:sz="0" w:space="0" w:color="auto"/>
        <w:left w:val="none" w:sz="0" w:space="0" w:color="auto"/>
        <w:bottom w:val="none" w:sz="0" w:space="0" w:color="auto"/>
        <w:right w:val="none" w:sz="0" w:space="0" w:color="auto"/>
      </w:divBdr>
    </w:div>
    <w:div w:id="1887721514">
      <w:bodyDiv w:val="1"/>
      <w:marLeft w:val="0"/>
      <w:marRight w:val="0"/>
      <w:marTop w:val="0"/>
      <w:marBottom w:val="0"/>
      <w:divBdr>
        <w:top w:val="none" w:sz="0" w:space="0" w:color="auto"/>
        <w:left w:val="none" w:sz="0" w:space="0" w:color="auto"/>
        <w:bottom w:val="none" w:sz="0" w:space="0" w:color="auto"/>
        <w:right w:val="none" w:sz="0" w:space="0" w:color="auto"/>
      </w:divBdr>
    </w:div>
    <w:div w:id="1903982341">
      <w:bodyDiv w:val="1"/>
      <w:marLeft w:val="0"/>
      <w:marRight w:val="0"/>
      <w:marTop w:val="0"/>
      <w:marBottom w:val="0"/>
      <w:divBdr>
        <w:top w:val="none" w:sz="0" w:space="0" w:color="auto"/>
        <w:left w:val="none" w:sz="0" w:space="0" w:color="auto"/>
        <w:bottom w:val="none" w:sz="0" w:space="0" w:color="auto"/>
        <w:right w:val="none" w:sz="0" w:space="0" w:color="auto"/>
      </w:divBdr>
    </w:div>
    <w:div w:id="1907573547">
      <w:bodyDiv w:val="1"/>
      <w:marLeft w:val="0"/>
      <w:marRight w:val="0"/>
      <w:marTop w:val="0"/>
      <w:marBottom w:val="0"/>
      <w:divBdr>
        <w:top w:val="none" w:sz="0" w:space="0" w:color="auto"/>
        <w:left w:val="none" w:sz="0" w:space="0" w:color="auto"/>
        <w:bottom w:val="none" w:sz="0" w:space="0" w:color="auto"/>
        <w:right w:val="none" w:sz="0" w:space="0" w:color="auto"/>
      </w:divBdr>
    </w:div>
    <w:div w:id="1914389186">
      <w:bodyDiv w:val="1"/>
      <w:marLeft w:val="0"/>
      <w:marRight w:val="0"/>
      <w:marTop w:val="0"/>
      <w:marBottom w:val="0"/>
      <w:divBdr>
        <w:top w:val="none" w:sz="0" w:space="0" w:color="auto"/>
        <w:left w:val="none" w:sz="0" w:space="0" w:color="auto"/>
        <w:bottom w:val="none" w:sz="0" w:space="0" w:color="auto"/>
        <w:right w:val="none" w:sz="0" w:space="0" w:color="auto"/>
      </w:divBdr>
    </w:div>
    <w:div w:id="1933590433">
      <w:bodyDiv w:val="1"/>
      <w:marLeft w:val="0"/>
      <w:marRight w:val="0"/>
      <w:marTop w:val="0"/>
      <w:marBottom w:val="0"/>
      <w:divBdr>
        <w:top w:val="none" w:sz="0" w:space="0" w:color="auto"/>
        <w:left w:val="none" w:sz="0" w:space="0" w:color="auto"/>
        <w:bottom w:val="none" w:sz="0" w:space="0" w:color="auto"/>
        <w:right w:val="none" w:sz="0" w:space="0" w:color="auto"/>
      </w:divBdr>
    </w:div>
    <w:div w:id="1938293960">
      <w:bodyDiv w:val="1"/>
      <w:marLeft w:val="0"/>
      <w:marRight w:val="0"/>
      <w:marTop w:val="0"/>
      <w:marBottom w:val="0"/>
      <w:divBdr>
        <w:top w:val="none" w:sz="0" w:space="0" w:color="auto"/>
        <w:left w:val="none" w:sz="0" w:space="0" w:color="auto"/>
        <w:bottom w:val="none" w:sz="0" w:space="0" w:color="auto"/>
        <w:right w:val="none" w:sz="0" w:space="0" w:color="auto"/>
      </w:divBdr>
    </w:div>
    <w:div w:id="1949659372">
      <w:bodyDiv w:val="1"/>
      <w:marLeft w:val="0"/>
      <w:marRight w:val="0"/>
      <w:marTop w:val="0"/>
      <w:marBottom w:val="0"/>
      <w:divBdr>
        <w:top w:val="none" w:sz="0" w:space="0" w:color="auto"/>
        <w:left w:val="none" w:sz="0" w:space="0" w:color="auto"/>
        <w:bottom w:val="none" w:sz="0" w:space="0" w:color="auto"/>
        <w:right w:val="none" w:sz="0" w:space="0" w:color="auto"/>
      </w:divBdr>
    </w:div>
    <w:div w:id="1950359071">
      <w:bodyDiv w:val="1"/>
      <w:marLeft w:val="0"/>
      <w:marRight w:val="0"/>
      <w:marTop w:val="0"/>
      <w:marBottom w:val="0"/>
      <w:divBdr>
        <w:top w:val="none" w:sz="0" w:space="0" w:color="auto"/>
        <w:left w:val="none" w:sz="0" w:space="0" w:color="auto"/>
        <w:bottom w:val="none" w:sz="0" w:space="0" w:color="auto"/>
        <w:right w:val="none" w:sz="0" w:space="0" w:color="auto"/>
      </w:divBdr>
    </w:div>
    <w:div w:id="1952741898">
      <w:bodyDiv w:val="1"/>
      <w:marLeft w:val="0"/>
      <w:marRight w:val="0"/>
      <w:marTop w:val="0"/>
      <w:marBottom w:val="0"/>
      <w:divBdr>
        <w:top w:val="none" w:sz="0" w:space="0" w:color="auto"/>
        <w:left w:val="none" w:sz="0" w:space="0" w:color="auto"/>
        <w:bottom w:val="none" w:sz="0" w:space="0" w:color="auto"/>
        <w:right w:val="none" w:sz="0" w:space="0" w:color="auto"/>
      </w:divBdr>
    </w:div>
    <w:div w:id="1967005715">
      <w:bodyDiv w:val="1"/>
      <w:marLeft w:val="0"/>
      <w:marRight w:val="0"/>
      <w:marTop w:val="0"/>
      <w:marBottom w:val="0"/>
      <w:divBdr>
        <w:top w:val="none" w:sz="0" w:space="0" w:color="auto"/>
        <w:left w:val="none" w:sz="0" w:space="0" w:color="auto"/>
        <w:bottom w:val="none" w:sz="0" w:space="0" w:color="auto"/>
        <w:right w:val="none" w:sz="0" w:space="0" w:color="auto"/>
      </w:divBdr>
    </w:div>
    <w:div w:id="1972666133">
      <w:bodyDiv w:val="1"/>
      <w:marLeft w:val="0"/>
      <w:marRight w:val="0"/>
      <w:marTop w:val="0"/>
      <w:marBottom w:val="0"/>
      <w:divBdr>
        <w:top w:val="none" w:sz="0" w:space="0" w:color="auto"/>
        <w:left w:val="none" w:sz="0" w:space="0" w:color="auto"/>
        <w:bottom w:val="none" w:sz="0" w:space="0" w:color="auto"/>
        <w:right w:val="none" w:sz="0" w:space="0" w:color="auto"/>
      </w:divBdr>
    </w:div>
    <w:div w:id="1982811559">
      <w:bodyDiv w:val="1"/>
      <w:marLeft w:val="0"/>
      <w:marRight w:val="0"/>
      <w:marTop w:val="0"/>
      <w:marBottom w:val="0"/>
      <w:divBdr>
        <w:top w:val="none" w:sz="0" w:space="0" w:color="auto"/>
        <w:left w:val="none" w:sz="0" w:space="0" w:color="auto"/>
        <w:bottom w:val="none" w:sz="0" w:space="0" w:color="auto"/>
        <w:right w:val="none" w:sz="0" w:space="0" w:color="auto"/>
      </w:divBdr>
    </w:div>
    <w:div w:id="1997029501">
      <w:bodyDiv w:val="1"/>
      <w:marLeft w:val="0"/>
      <w:marRight w:val="0"/>
      <w:marTop w:val="0"/>
      <w:marBottom w:val="0"/>
      <w:divBdr>
        <w:top w:val="none" w:sz="0" w:space="0" w:color="auto"/>
        <w:left w:val="none" w:sz="0" w:space="0" w:color="auto"/>
        <w:bottom w:val="none" w:sz="0" w:space="0" w:color="auto"/>
        <w:right w:val="none" w:sz="0" w:space="0" w:color="auto"/>
      </w:divBdr>
    </w:div>
    <w:div w:id="1998148896">
      <w:bodyDiv w:val="1"/>
      <w:marLeft w:val="0"/>
      <w:marRight w:val="0"/>
      <w:marTop w:val="0"/>
      <w:marBottom w:val="0"/>
      <w:divBdr>
        <w:top w:val="none" w:sz="0" w:space="0" w:color="auto"/>
        <w:left w:val="none" w:sz="0" w:space="0" w:color="auto"/>
        <w:bottom w:val="none" w:sz="0" w:space="0" w:color="auto"/>
        <w:right w:val="none" w:sz="0" w:space="0" w:color="auto"/>
      </w:divBdr>
    </w:div>
    <w:div w:id="2015185064">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334525">
      <w:bodyDiv w:val="1"/>
      <w:marLeft w:val="0"/>
      <w:marRight w:val="0"/>
      <w:marTop w:val="0"/>
      <w:marBottom w:val="0"/>
      <w:divBdr>
        <w:top w:val="none" w:sz="0" w:space="0" w:color="auto"/>
        <w:left w:val="none" w:sz="0" w:space="0" w:color="auto"/>
        <w:bottom w:val="none" w:sz="0" w:space="0" w:color="auto"/>
        <w:right w:val="none" w:sz="0" w:space="0" w:color="auto"/>
      </w:divBdr>
    </w:div>
    <w:div w:id="2068458170">
      <w:bodyDiv w:val="1"/>
      <w:marLeft w:val="0"/>
      <w:marRight w:val="0"/>
      <w:marTop w:val="0"/>
      <w:marBottom w:val="0"/>
      <w:divBdr>
        <w:top w:val="none" w:sz="0" w:space="0" w:color="auto"/>
        <w:left w:val="none" w:sz="0" w:space="0" w:color="auto"/>
        <w:bottom w:val="none" w:sz="0" w:space="0" w:color="auto"/>
        <w:right w:val="none" w:sz="0" w:space="0" w:color="auto"/>
      </w:divBdr>
    </w:div>
    <w:div w:id="2081096376">
      <w:bodyDiv w:val="1"/>
      <w:marLeft w:val="0"/>
      <w:marRight w:val="0"/>
      <w:marTop w:val="0"/>
      <w:marBottom w:val="0"/>
      <w:divBdr>
        <w:top w:val="none" w:sz="0" w:space="0" w:color="auto"/>
        <w:left w:val="none" w:sz="0" w:space="0" w:color="auto"/>
        <w:bottom w:val="none" w:sz="0" w:space="0" w:color="auto"/>
        <w:right w:val="none" w:sz="0" w:space="0" w:color="auto"/>
      </w:divBdr>
    </w:div>
    <w:div w:id="2081558206">
      <w:bodyDiv w:val="1"/>
      <w:marLeft w:val="0"/>
      <w:marRight w:val="0"/>
      <w:marTop w:val="0"/>
      <w:marBottom w:val="0"/>
      <w:divBdr>
        <w:top w:val="none" w:sz="0" w:space="0" w:color="auto"/>
        <w:left w:val="none" w:sz="0" w:space="0" w:color="auto"/>
        <w:bottom w:val="none" w:sz="0" w:space="0" w:color="auto"/>
        <w:right w:val="none" w:sz="0" w:space="0" w:color="auto"/>
      </w:divBdr>
    </w:div>
    <w:div w:id="2095786170">
      <w:bodyDiv w:val="1"/>
      <w:marLeft w:val="0"/>
      <w:marRight w:val="0"/>
      <w:marTop w:val="0"/>
      <w:marBottom w:val="0"/>
      <w:divBdr>
        <w:top w:val="none" w:sz="0" w:space="0" w:color="auto"/>
        <w:left w:val="none" w:sz="0" w:space="0" w:color="auto"/>
        <w:bottom w:val="none" w:sz="0" w:space="0" w:color="auto"/>
        <w:right w:val="none" w:sz="0" w:space="0" w:color="auto"/>
      </w:divBdr>
    </w:div>
    <w:div w:id="2121873330">
      <w:bodyDiv w:val="1"/>
      <w:marLeft w:val="0"/>
      <w:marRight w:val="0"/>
      <w:marTop w:val="0"/>
      <w:marBottom w:val="0"/>
      <w:divBdr>
        <w:top w:val="none" w:sz="0" w:space="0" w:color="auto"/>
        <w:left w:val="none" w:sz="0" w:space="0" w:color="auto"/>
        <w:bottom w:val="none" w:sz="0" w:space="0" w:color="auto"/>
        <w:right w:val="none" w:sz="0" w:space="0" w:color="auto"/>
      </w:divBdr>
    </w:div>
    <w:div w:id="2123114081">
      <w:bodyDiv w:val="1"/>
      <w:marLeft w:val="0"/>
      <w:marRight w:val="0"/>
      <w:marTop w:val="0"/>
      <w:marBottom w:val="0"/>
      <w:divBdr>
        <w:top w:val="none" w:sz="0" w:space="0" w:color="auto"/>
        <w:left w:val="none" w:sz="0" w:space="0" w:color="auto"/>
        <w:bottom w:val="none" w:sz="0" w:space="0" w:color="auto"/>
        <w:right w:val="none" w:sz="0" w:space="0" w:color="auto"/>
      </w:divBdr>
    </w:div>
    <w:div w:id="2124381791">
      <w:bodyDiv w:val="1"/>
      <w:marLeft w:val="0"/>
      <w:marRight w:val="0"/>
      <w:marTop w:val="0"/>
      <w:marBottom w:val="0"/>
      <w:divBdr>
        <w:top w:val="none" w:sz="0" w:space="0" w:color="auto"/>
        <w:left w:val="none" w:sz="0" w:space="0" w:color="auto"/>
        <w:bottom w:val="none" w:sz="0" w:space="0" w:color="auto"/>
        <w:right w:val="none" w:sz="0" w:space="0" w:color="auto"/>
      </w:divBdr>
    </w:div>
    <w:div w:id="213752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0B971-60CF-4D22-90DC-A719BD58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12551</Words>
  <Characters>71547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 M Kanak Pervez</dc:creator>
  <cp:keywords/>
  <dc:description/>
  <cp:lastModifiedBy>SDI 1084</cp:lastModifiedBy>
  <cp:revision>27</cp:revision>
  <cp:lastPrinted>2024-07-25T14:17:00Z</cp:lastPrinted>
  <dcterms:created xsi:type="dcterms:W3CDTF">2025-07-22T11:51:00Z</dcterms:created>
  <dcterms:modified xsi:type="dcterms:W3CDTF">2025-07-23T07:46:00Z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34c0f75e7e597151d7f5256dba7c3d3ae9b2e7f194283820f16db00529cdc1fb</vt:lpwstr>
  </property>
  <property fmtid="{D5CDD505-2E9C-101B-9397-08002B2CF9AE}" pid="3" name="ZOTERO_PREF_1">
    <vt:lpwstr>&lt;data data-version="3" zotero-version="7.0.11"&gt;&lt;session id="vHKc7Jk5"/&gt;&lt;style id="http://www.zotero.org/styles/apa" locale="en-US" hasBibliography="1" bibliographyStyleHasBeenSet="1"/&gt;&lt;prefs&gt;&lt;pref name="fieldType" value="Field"/&gt;&lt;/prefs&gt;&lt;/data&gt;</vt:lpwstr>
  </property>
</Properties>
</file>