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5918B6">
      <w:pPr>
        <w:pStyle w:val="Title"/>
        <w:spacing w:after="0"/>
        <w:jc w:val="both"/>
        <w:rPr>
          <w:rFonts w:ascii="Arial" w:hAnsi="Arial" w:cs="Arial"/>
        </w:rPr>
      </w:pPr>
    </w:p>
    <w:p w:rsidR="00191885" w:rsidRPr="00191885" w:rsidRDefault="00191885" w:rsidP="005918B6">
      <w:pPr>
        <w:pStyle w:val="Author"/>
        <w:spacing w:line="240" w:lineRule="auto"/>
        <w:rPr>
          <w:rFonts w:ascii="Arial" w:hAnsi="Arial" w:cs="Arial"/>
          <w:bCs/>
          <w:iCs/>
          <w:kern w:val="28"/>
          <w:sz w:val="36"/>
          <w:u w:val="single"/>
        </w:rPr>
      </w:pPr>
      <w:r w:rsidRPr="00191885">
        <w:rPr>
          <w:rFonts w:ascii="Arial" w:hAnsi="Arial" w:cs="Arial"/>
          <w:bCs/>
          <w:iCs/>
          <w:kern w:val="28"/>
          <w:sz w:val="36"/>
          <w:u w:val="single"/>
        </w:rPr>
        <w:t xml:space="preserve">Minireview Article </w:t>
      </w:r>
    </w:p>
    <w:p w:rsidR="00163BC4" w:rsidRPr="00163BC4" w:rsidRDefault="00F131C1" w:rsidP="005918B6">
      <w:pPr>
        <w:pStyle w:val="Author"/>
        <w:spacing w:line="240" w:lineRule="auto"/>
        <w:rPr>
          <w:rFonts w:ascii="Arial" w:hAnsi="Arial" w:cs="Arial"/>
          <w:bCs/>
          <w:iCs/>
          <w:kern w:val="28"/>
          <w:sz w:val="36"/>
        </w:rPr>
      </w:pPr>
      <w:r w:rsidRPr="00F131C1">
        <w:rPr>
          <w:rFonts w:ascii="Arial" w:hAnsi="Arial" w:cs="Arial"/>
          <w:bCs/>
          <w:iCs/>
          <w:kern w:val="28"/>
          <w:sz w:val="36"/>
        </w:rPr>
        <w:t>Utilization and Economic Potential of Tea Waste: A Case of Assam Tea Economy</w:t>
      </w:r>
      <w:r w:rsidR="00231920">
        <w:rPr>
          <w:rFonts w:ascii="Arial" w:hAnsi="Arial" w:cs="Arial"/>
          <w:bCs/>
          <w:iCs/>
          <w:kern w:val="28"/>
          <w:sz w:val="36"/>
        </w:rPr>
        <w:t xml:space="preserve"> </w:t>
      </w:r>
    </w:p>
    <w:p w:rsidR="00A258C3" w:rsidRPr="00790ADA" w:rsidRDefault="00A258C3" w:rsidP="005918B6">
      <w:pPr>
        <w:pStyle w:val="Author"/>
        <w:spacing w:line="240" w:lineRule="auto"/>
        <w:jc w:val="both"/>
        <w:rPr>
          <w:rFonts w:ascii="Arial" w:hAnsi="Arial" w:cs="Arial"/>
          <w:sz w:val="36"/>
        </w:rPr>
      </w:pPr>
    </w:p>
    <w:p w:rsidR="00790ADA" w:rsidRDefault="00790ADA" w:rsidP="005918B6">
      <w:pPr>
        <w:pStyle w:val="Affiliation"/>
        <w:spacing w:after="0" w:line="240" w:lineRule="auto"/>
        <w:jc w:val="both"/>
        <w:rPr>
          <w:rFonts w:ascii="Arial" w:hAnsi="Arial" w:cs="Arial"/>
        </w:rPr>
      </w:pPr>
    </w:p>
    <w:p w:rsidR="002C57D2" w:rsidRPr="00FB3A86" w:rsidRDefault="002C57D2" w:rsidP="005918B6">
      <w:pPr>
        <w:pStyle w:val="Affiliation"/>
        <w:spacing w:after="0" w:line="240" w:lineRule="auto"/>
        <w:jc w:val="both"/>
        <w:rPr>
          <w:rFonts w:ascii="Arial" w:hAnsi="Arial" w:cs="Arial"/>
        </w:rPr>
      </w:pPr>
    </w:p>
    <w:p w:rsidR="00B01FCD" w:rsidRPr="00FB3A86" w:rsidRDefault="00EF42CD" w:rsidP="005918B6">
      <w:pPr>
        <w:pStyle w:val="Copyright"/>
        <w:spacing w:after="0" w:line="240" w:lineRule="auto"/>
        <w:jc w:val="both"/>
        <w:rPr>
          <w:rFonts w:ascii="Arial" w:hAnsi="Arial" w:cs="Arial"/>
        </w:rPr>
        <w:sectPr w:rsidR="00B01FCD" w:rsidRPr="00FB3A86" w:rsidSect="003A3EA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B01FCD" w:rsidRDefault="00B01FCD" w:rsidP="005918B6">
      <w:pPr>
        <w:pStyle w:val="AbstHead"/>
        <w:spacing w:after="0"/>
        <w:ind w:left="990"/>
        <w:jc w:val="both"/>
        <w:rPr>
          <w:rFonts w:ascii="Arial" w:hAnsi="Arial" w:cs="Arial"/>
        </w:rPr>
      </w:pPr>
      <w:r w:rsidRPr="00FB3A86">
        <w:rPr>
          <w:rFonts w:ascii="Arial" w:hAnsi="Arial" w:cs="Arial"/>
        </w:rPr>
        <w:t>ABSTRACT</w:t>
      </w:r>
      <w:r w:rsidR="0066510A">
        <w:rPr>
          <w:rFonts w:ascii="Arial" w:hAnsi="Arial" w:cs="Arial"/>
        </w:rPr>
        <w:t xml:space="preserve"> </w:t>
      </w:r>
    </w:p>
    <w:p w:rsidR="00790ADA" w:rsidRPr="00FB3A86" w:rsidRDefault="00790ADA" w:rsidP="005918B6">
      <w:pPr>
        <w:pStyle w:val="AbstHead"/>
        <w:spacing w:after="0"/>
        <w:ind w:left="990"/>
        <w:jc w:val="both"/>
        <w:rPr>
          <w:rFonts w:ascii="Arial" w:hAnsi="Arial" w:cs="Arial"/>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640"/>
      </w:tblGrid>
      <w:tr w:rsidR="00296529" w:rsidRPr="001E44FE" w:rsidTr="005918B6">
        <w:tc>
          <w:tcPr>
            <w:tcW w:w="8640" w:type="dxa"/>
            <w:shd w:val="clear" w:color="auto" w:fill="F2F2F2"/>
          </w:tcPr>
          <w:p w:rsidR="00793148" w:rsidRPr="00C432B9" w:rsidRDefault="00793148" w:rsidP="005918B6">
            <w:pPr>
              <w:pStyle w:val="NormalWeb"/>
              <w:ind w:left="162"/>
              <w:jc w:val="both"/>
              <w:rPr>
                <w:rFonts w:ascii="Arial" w:hAnsi="Arial" w:cs="Arial"/>
                <w:sz w:val="20"/>
                <w:szCs w:val="20"/>
              </w:rPr>
            </w:pPr>
            <w:r w:rsidRPr="00C432B9">
              <w:rPr>
                <w:rFonts w:ascii="Arial" w:hAnsi="Arial" w:cs="Arial"/>
                <w:sz w:val="20"/>
                <w:szCs w:val="20"/>
              </w:rPr>
              <w:t>Tea is the second most widely consumed beverage in the world after water</w:t>
            </w:r>
            <w:r w:rsidR="0002619F">
              <w:rPr>
                <w:rFonts w:ascii="Arial" w:hAnsi="Arial" w:cs="Arial"/>
                <w:sz w:val="20"/>
                <w:szCs w:val="20"/>
              </w:rPr>
              <w:t>.</w:t>
            </w:r>
            <w:r w:rsidRPr="00C432B9">
              <w:rPr>
                <w:rFonts w:ascii="Arial" w:hAnsi="Arial" w:cs="Arial"/>
                <w:sz w:val="20"/>
                <w:szCs w:val="20"/>
              </w:rPr>
              <w:t xml:space="preserve"> Assam plays a pivotal role in its global supply</w:t>
            </w:r>
            <w:r w:rsidR="0002619F">
              <w:rPr>
                <w:rFonts w:ascii="Arial" w:hAnsi="Arial" w:cs="Arial"/>
                <w:sz w:val="20"/>
                <w:szCs w:val="20"/>
              </w:rPr>
              <w:t xml:space="preserve"> as Assam </w:t>
            </w:r>
            <w:r w:rsidRPr="00C432B9">
              <w:rPr>
                <w:rFonts w:ascii="Arial" w:hAnsi="Arial" w:cs="Arial"/>
                <w:sz w:val="20"/>
                <w:szCs w:val="20"/>
              </w:rPr>
              <w:t>produc</w:t>
            </w:r>
            <w:r w:rsidR="0002619F">
              <w:rPr>
                <w:rFonts w:ascii="Arial" w:hAnsi="Arial" w:cs="Arial"/>
                <w:sz w:val="20"/>
                <w:szCs w:val="20"/>
              </w:rPr>
              <w:t>es</w:t>
            </w:r>
            <w:r w:rsidRPr="00C432B9">
              <w:rPr>
                <w:rFonts w:ascii="Arial" w:hAnsi="Arial" w:cs="Arial"/>
                <w:sz w:val="20"/>
                <w:szCs w:val="20"/>
              </w:rPr>
              <w:t xml:space="preserve"> more than half of India’s total tea output. While the industry generates substantial revenue and employment, it also produces large volumes of tea waste in the form of stalks, stems, off-grades, </w:t>
            </w:r>
            <w:proofErr w:type="spellStart"/>
            <w:r w:rsidRPr="00C432B9">
              <w:rPr>
                <w:rFonts w:ascii="Arial" w:hAnsi="Arial" w:cs="Arial"/>
                <w:sz w:val="20"/>
                <w:szCs w:val="20"/>
              </w:rPr>
              <w:t>fannings</w:t>
            </w:r>
            <w:proofErr w:type="spellEnd"/>
            <w:r w:rsidRPr="00C432B9">
              <w:rPr>
                <w:rFonts w:ascii="Arial" w:hAnsi="Arial" w:cs="Arial"/>
                <w:sz w:val="20"/>
                <w:szCs w:val="20"/>
              </w:rPr>
              <w:t>, and rejects</w:t>
            </w:r>
            <w:r w:rsidR="007003FF">
              <w:rPr>
                <w:rFonts w:ascii="Arial" w:hAnsi="Arial" w:cs="Arial"/>
                <w:sz w:val="20"/>
                <w:szCs w:val="20"/>
              </w:rPr>
              <w:t>. These</w:t>
            </w:r>
            <w:r w:rsidRPr="00C432B9">
              <w:rPr>
                <w:rFonts w:ascii="Arial" w:hAnsi="Arial" w:cs="Arial"/>
                <w:sz w:val="20"/>
                <w:szCs w:val="20"/>
              </w:rPr>
              <w:t xml:space="preserve"> </w:t>
            </w:r>
            <w:r w:rsidR="007003FF">
              <w:rPr>
                <w:rFonts w:ascii="Arial" w:hAnsi="Arial" w:cs="Arial"/>
                <w:sz w:val="20"/>
                <w:szCs w:val="20"/>
              </w:rPr>
              <w:t xml:space="preserve">wastes </w:t>
            </w:r>
            <w:r w:rsidRPr="00C432B9">
              <w:rPr>
                <w:rFonts w:ascii="Arial" w:hAnsi="Arial" w:cs="Arial"/>
                <w:sz w:val="20"/>
                <w:szCs w:val="20"/>
              </w:rPr>
              <w:t>are often underutilized or discarded. Such waste represents a lost opportunity for value addition within the tea economy. Globally, tea by-products are increasingly being valorized into products such as bio-fertilizers, biochar, nutraceuticals, cosmetics, packaging materials, and animal feed</w:t>
            </w:r>
            <w:r w:rsidR="007003FF">
              <w:rPr>
                <w:rFonts w:ascii="Arial" w:hAnsi="Arial" w:cs="Arial"/>
                <w:sz w:val="20"/>
                <w:szCs w:val="20"/>
              </w:rPr>
              <w:t>.</w:t>
            </w:r>
            <w:r w:rsidRPr="00C432B9">
              <w:rPr>
                <w:rFonts w:ascii="Arial" w:hAnsi="Arial" w:cs="Arial"/>
                <w:sz w:val="20"/>
                <w:szCs w:val="20"/>
              </w:rPr>
              <w:t xml:space="preserve"> </w:t>
            </w:r>
            <w:r w:rsidR="007003FF">
              <w:rPr>
                <w:rFonts w:ascii="Arial" w:hAnsi="Arial" w:cs="Arial"/>
                <w:sz w:val="20"/>
                <w:szCs w:val="20"/>
              </w:rPr>
              <w:t>This creates a</w:t>
            </w:r>
            <w:r w:rsidRPr="00C432B9">
              <w:rPr>
                <w:rFonts w:ascii="Arial" w:hAnsi="Arial" w:cs="Arial"/>
                <w:sz w:val="20"/>
                <w:szCs w:val="20"/>
              </w:rPr>
              <w:t xml:space="preserve"> potential</w:t>
            </w:r>
            <w:r w:rsidR="007003FF">
              <w:rPr>
                <w:rFonts w:ascii="Arial" w:hAnsi="Arial" w:cs="Arial"/>
                <w:sz w:val="20"/>
                <w:szCs w:val="20"/>
              </w:rPr>
              <w:t xml:space="preserve"> opportunity</w:t>
            </w:r>
            <w:r w:rsidRPr="00C432B9">
              <w:rPr>
                <w:rFonts w:ascii="Arial" w:hAnsi="Arial" w:cs="Arial"/>
                <w:sz w:val="20"/>
                <w:szCs w:val="20"/>
              </w:rPr>
              <w:t xml:space="preserve"> for Assam to integrate tea waste into its agribusiness value chains.</w:t>
            </w:r>
          </w:p>
          <w:p w:rsidR="00505F06" w:rsidRPr="00793148" w:rsidRDefault="00793148" w:rsidP="005918B6">
            <w:pPr>
              <w:pStyle w:val="NormalWeb"/>
              <w:ind w:left="162"/>
              <w:jc w:val="both"/>
            </w:pPr>
            <w:r w:rsidRPr="00C432B9">
              <w:rPr>
                <w:rFonts w:ascii="Arial" w:hAnsi="Arial" w:cs="Arial"/>
                <w:sz w:val="20"/>
                <w:szCs w:val="20"/>
              </w:rPr>
              <w:t>This paper explores the magnitude of tea waste in Assam</w:t>
            </w:r>
            <w:r w:rsidR="007003FF">
              <w:rPr>
                <w:rFonts w:ascii="Arial" w:hAnsi="Arial" w:cs="Arial"/>
                <w:sz w:val="20"/>
                <w:szCs w:val="20"/>
              </w:rPr>
              <w:t xml:space="preserve">. The paper tries to </w:t>
            </w:r>
            <w:r w:rsidRPr="00C432B9">
              <w:rPr>
                <w:rFonts w:ascii="Arial" w:hAnsi="Arial" w:cs="Arial"/>
                <w:sz w:val="20"/>
                <w:szCs w:val="20"/>
              </w:rPr>
              <w:t>identif</w:t>
            </w:r>
            <w:r w:rsidR="007003FF">
              <w:rPr>
                <w:rFonts w:ascii="Arial" w:hAnsi="Arial" w:cs="Arial"/>
                <w:sz w:val="20"/>
                <w:szCs w:val="20"/>
              </w:rPr>
              <w:t>y</w:t>
            </w:r>
            <w:r w:rsidRPr="00C432B9">
              <w:rPr>
                <w:rFonts w:ascii="Arial" w:hAnsi="Arial" w:cs="Arial"/>
                <w:sz w:val="20"/>
                <w:szCs w:val="20"/>
              </w:rPr>
              <w:t xml:space="preserve"> opportunities for its utilization based on global best practices, and assesses the economic and environmental potential of tea waste valorization. </w:t>
            </w:r>
            <w:r w:rsidR="007003FF">
              <w:rPr>
                <w:rFonts w:ascii="Arial" w:hAnsi="Arial" w:cs="Arial"/>
                <w:sz w:val="20"/>
                <w:szCs w:val="20"/>
              </w:rPr>
              <w:t xml:space="preserve">The study is based </w:t>
            </w:r>
            <w:r w:rsidR="00914242">
              <w:rPr>
                <w:rFonts w:ascii="Arial" w:hAnsi="Arial" w:cs="Arial"/>
                <w:sz w:val="20"/>
                <w:szCs w:val="20"/>
              </w:rPr>
              <w:t xml:space="preserve">on </w:t>
            </w:r>
            <w:r w:rsidR="00914242" w:rsidRPr="00C432B9">
              <w:rPr>
                <w:rFonts w:ascii="Arial" w:hAnsi="Arial" w:cs="Arial"/>
                <w:sz w:val="20"/>
                <w:szCs w:val="20"/>
              </w:rPr>
              <w:t>secondary</w:t>
            </w:r>
            <w:r w:rsidRPr="00C432B9">
              <w:rPr>
                <w:rFonts w:ascii="Arial" w:hAnsi="Arial" w:cs="Arial"/>
                <w:sz w:val="20"/>
                <w:szCs w:val="20"/>
              </w:rPr>
              <w:t xml:space="preserve"> data</w:t>
            </w:r>
            <w:r w:rsidR="007003FF">
              <w:rPr>
                <w:rFonts w:ascii="Arial" w:hAnsi="Arial" w:cs="Arial"/>
                <w:sz w:val="20"/>
                <w:szCs w:val="20"/>
              </w:rPr>
              <w:t xml:space="preserve"> and literature review that</w:t>
            </w:r>
            <w:r w:rsidRPr="00C432B9">
              <w:rPr>
                <w:rFonts w:ascii="Arial" w:hAnsi="Arial" w:cs="Arial"/>
                <w:sz w:val="20"/>
                <w:szCs w:val="20"/>
              </w:rPr>
              <w:t xml:space="preserve"> positions tea waste as a strategic raw material that could contribute to circular economy transitions, rural entrepreneurship, and sustainable livelihoods. Findings suggest that tea waste valorization can diversify Assam’s tea economy, reduce environmental footprints, and generate new income streams for small growers and cooperatives. However, challenges related to technology adoption, awareness, and policy support remain critical. The paper concludes with recommendations for industry stakeholders, policymakers, and research institutions to transform Assam’s tea waste into an engine of agribusiness innovation.</w:t>
            </w:r>
          </w:p>
        </w:tc>
      </w:tr>
    </w:tbl>
    <w:p w:rsidR="00636EB2" w:rsidRDefault="00636EB2" w:rsidP="005918B6">
      <w:pPr>
        <w:pStyle w:val="Body"/>
        <w:spacing w:after="0"/>
        <w:ind w:left="990"/>
        <w:rPr>
          <w:rFonts w:ascii="Arial" w:hAnsi="Arial" w:cs="Arial"/>
          <w:i/>
        </w:rPr>
      </w:pPr>
    </w:p>
    <w:p w:rsidR="0024282C" w:rsidRPr="00793148" w:rsidRDefault="00A24E7E" w:rsidP="00FE053D">
      <w:pPr>
        <w:pStyle w:val="Body"/>
        <w:tabs>
          <w:tab w:val="left" w:pos="9450"/>
        </w:tabs>
        <w:spacing w:after="0"/>
        <w:ind w:left="990" w:right="1350"/>
        <w:rPr>
          <w:rFonts w:ascii="Arial" w:hAnsi="Arial" w:cs="Arial"/>
          <w:i/>
        </w:rPr>
      </w:pPr>
      <w:r>
        <w:rPr>
          <w:rFonts w:ascii="Arial" w:hAnsi="Arial" w:cs="Arial"/>
          <w:i/>
        </w:rPr>
        <w:t>Keywords: [</w:t>
      </w:r>
      <w:r w:rsidR="00793148">
        <w:t>Tea waste, Assam tea economy, agribusiness, circular economy, value addition, sustainability</w:t>
      </w:r>
      <w:r>
        <w:rPr>
          <w:rFonts w:ascii="Arial" w:hAnsi="Arial" w:cs="Arial"/>
          <w:i/>
        </w:rPr>
        <w:t>}</w:t>
      </w:r>
      <w:r w:rsidR="0066510A">
        <w:rPr>
          <w:rFonts w:ascii="Arial" w:hAnsi="Arial" w:cs="Arial"/>
          <w:i/>
        </w:rPr>
        <w:t xml:space="preserve"> </w:t>
      </w:r>
    </w:p>
    <w:p w:rsidR="00505F06" w:rsidRPr="00A24E7E" w:rsidRDefault="00505F06" w:rsidP="005918B6">
      <w:pPr>
        <w:pStyle w:val="Body"/>
        <w:spacing w:after="0"/>
        <w:ind w:left="990"/>
        <w:rPr>
          <w:rFonts w:ascii="Arial" w:hAnsi="Arial" w:cs="Arial"/>
          <w:i/>
        </w:rPr>
      </w:pPr>
    </w:p>
    <w:p w:rsidR="007F7B32" w:rsidRDefault="00902823" w:rsidP="005918B6">
      <w:pPr>
        <w:pStyle w:val="AbstHead"/>
        <w:spacing w:after="0"/>
        <w:ind w:left="990" w:right="126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493980" w:rsidRPr="005C00B3" w:rsidRDefault="00493980" w:rsidP="005918B6">
      <w:pPr>
        <w:ind w:left="990" w:right="1260"/>
        <w:jc w:val="both"/>
        <w:rPr>
          <w:rFonts w:ascii="Times New Roman" w:hAnsi="Times New Roman"/>
          <w:sz w:val="24"/>
          <w:szCs w:val="24"/>
        </w:rPr>
      </w:pPr>
      <w:r w:rsidRPr="005C00B3">
        <w:rPr>
          <w:rFonts w:ascii="Arial" w:hAnsi="Arial" w:cs="Arial"/>
        </w:rPr>
        <w:t xml:space="preserve">Assam is the largest tea-growing region in India and one of the most prominent tea-producing zones globally. </w:t>
      </w:r>
      <w:r w:rsidR="007003FF" w:rsidRPr="005C00B3">
        <w:rPr>
          <w:rFonts w:ascii="Arial" w:hAnsi="Arial" w:cs="Arial"/>
        </w:rPr>
        <w:t xml:space="preserve">Assam has </w:t>
      </w:r>
      <w:r w:rsidRPr="005C00B3">
        <w:rPr>
          <w:rFonts w:ascii="Arial" w:hAnsi="Arial" w:cs="Arial"/>
        </w:rPr>
        <w:t xml:space="preserve">an annual production exceeding </w:t>
      </w:r>
      <w:r w:rsidRPr="005C00B3">
        <w:rPr>
          <w:rStyle w:val="Strong"/>
          <w:rFonts w:ascii="Arial" w:hAnsi="Arial" w:cs="Arial"/>
          <w:b w:val="0"/>
        </w:rPr>
        <w:t>650 million kilograms</w:t>
      </w:r>
      <w:r w:rsidRPr="005C00B3">
        <w:rPr>
          <w:rFonts w:ascii="Arial" w:hAnsi="Arial" w:cs="Arial"/>
        </w:rPr>
        <w:t xml:space="preserve">, Assam contributes nearly </w:t>
      </w:r>
      <w:r w:rsidRPr="005C00B3">
        <w:rPr>
          <w:rStyle w:val="Strong"/>
          <w:rFonts w:ascii="Arial" w:hAnsi="Arial" w:cs="Arial"/>
          <w:b w:val="0"/>
        </w:rPr>
        <w:t>50–52% of India’s total tea output</w:t>
      </w:r>
      <w:r w:rsidRPr="005C00B3">
        <w:rPr>
          <w:rFonts w:ascii="Arial" w:hAnsi="Arial" w:cs="Arial"/>
        </w:rPr>
        <w:t xml:space="preserve"> and about </w:t>
      </w:r>
      <w:r w:rsidRPr="005C00B3">
        <w:rPr>
          <w:rStyle w:val="Strong"/>
          <w:rFonts w:ascii="Arial" w:hAnsi="Arial" w:cs="Arial"/>
          <w:b w:val="0"/>
        </w:rPr>
        <w:t>13% of global tea production</w:t>
      </w:r>
      <w:r w:rsidR="007003FF" w:rsidRPr="005C00B3">
        <w:rPr>
          <w:rStyle w:val="Strong"/>
          <w:rFonts w:ascii="Arial" w:hAnsi="Arial" w:cs="Arial"/>
          <w:b w:val="0"/>
        </w:rPr>
        <w:t xml:space="preserve"> </w:t>
      </w:r>
      <w:r w:rsidR="007003FF" w:rsidRPr="005C00B3">
        <w:rPr>
          <w:rFonts w:ascii="Arial" w:hAnsi="Arial" w:cs="Arial"/>
        </w:rPr>
        <w:t>[1]</w:t>
      </w:r>
      <w:r w:rsidRPr="005C00B3">
        <w:rPr>
          <w:rFonts w:ascii="Arial" w:hAnsi="Arial" w:cs="Arial"/>
        </w:rPr>
        <w:t>. The tea industry is deeply embedded in the socio-economic fabric of Assam</w:t>
      </w:r>
      <w:r w:rsidR="005C00B3">
        <w:rPr>
          <w:rFonts w:ascii="Arial" w:hAnsi="Arial" w:cs="Arial"/>
        </w:rPr>
        <w:t xml:space="preserve">. The industry </w:t>
      </w:r>
      <w:r w:rsidRPr="005C00B3">
        <w:rPr>
          <w:rFonts w:ascii="Arial" w:hAnsi="Arial" w:cs="Arial"/>
        </w:rPr>
        <w:t>provid</w:t>
      </w:r>
      <w:r w:rsidR="005C00B3">
        <w:rPr>
          <w:rFonts w:ascii="Arial" w:hAnsi="Arial" w:cs="Arial"/>
        </w:rPr>
        <w:t>es</w:t>
      </w:r>
      <w:r w:rsidRPr="005C00B3">
        <w:rPr>
          <w:rFonts w:ascii="Arial" w:hAnsi="Arial" w:cs="Arial"/>
        </w:rPr>
        <w:t xml:space="preserve"> direct employment to more than </w:t>
      </w:r>
      <w:r w:rsidR="00FC6A97">
        <w:rPr>
          <w:rStyle w:val="Strong"/>
          <w:rFonts w:ascii="Arial" w:hAnsi="Arial" w:cs="Arial"/>
          <w:b w:val="0"/>
        </w:rPr>
        <w:t>6 lakh</w:t>
      </w:r>
      <w:r w:rsidRPr="005C00B3">
        <w:rPr>
          <w:rStyle w:val="Strong"/>
          <w:rFonts w:ascii="Arial" w:hAnsi="Arial" w:cs="Arial"/>
          <w:b w:val="0"/>
        </w:rPr>
        <w:t xml:space="preserve"> workers</w:t>
      </w:r>
      <w:r w:rsidRPr="005C00B3">
        <w:rPr>
          <w:rFonts w:ascii="Arial" w:hAnsi="Arial" w:cs="Arial"/>
        </w:rPr>
        <w:t>, most of whom are women, and indirectly support</w:t>
      </w:r>
      <w:r w:rsidR="005C00B3">
        <w:rPr>
          <w:rFonts w:ascii="Arial" w:hAnsi="Arial" w:cs="Arial"/>
        </w:rPr>
        <w:t>s</w:t>
      </w:r>
      <w:r w:rsidRPr="005C00B3">
        <w:rPr>
          <w:rFonts w:ascii="Arial" w:hAnsi="Arial" w:cs="Arial"/>
        </w:rPr>
        <w:t xml:space="preserve"> millions of livelihoods in transport, packaging, blending, and retailing sectors</w:t>
      </w:r>
      <w:r w:rsidR="006318D3">
        <w:rPr>
          <w:rFonts w:ascii="Arial" w:hAnsi="Arial" w:cs="Arial"/>
        </w:rPr>
        <w:t xml:space="preserve"> [2]</w:t>
      </w:r>
      <w:r w:rsidRPr="005C00B3">
        <w:rPr>
          <w:rFonts w:ascii="Arial" w:hAnsi="Arial" w:cs="Arial"/>
        </w:rPr>
        <w:t>. Assam tea enjoys international recognition for its robust flavor, bright liquor, and strong market demand in regions such as the UK, the Middle East, and Russia.</w:t>
      </w:r>
    </w:p>
    <w:p w:rsidR="00493980" w:rsidRPr="005C00B3" w:rsidRDefault="00493980" w:rsidP="005918B6">
      <w:pPr>
        <w:pStyle w:val="NormalWeb"/>
        <w:ind w:left="990" w:right="1260"/>
        <w:jc w:val="both"/>
        <w:rPr>
          <w:rFonts w:ascii="Arial" w:hAnsi="Arial" w:cs="Arial"/>
          <w:sz w:val="20"/>
          <w:szCs w:val="20"/>
        </w:rPr>
      </w:pPr>
      <w:r w:rsidRPr="005C00B3">
        <w:rPr>
          <w:rFonts w:ascii="Arial" w:hAnsi="Arial" w:cs="Arial"/>
          <w:sz w:val="20"/>
          <w:szCs w:val="20"/>
        </w:rPr>
        <w:t xml:space="preserve">Despite its dominance in global tea supply, the Assam tea economy faces challenges of </w:t>
      </w:r>
      <w:r w:rsidRPr="005C00B3">
        <w:rPr>
          <w:rStyle w:val="Strong"/>
          <w:rFonts w:ascii="Arial" w:hAnsi="Arial" w:cs="Arial"/>
          <w:b w:val="0"/>
          <w:sz w:val="20"/>
          <w:szCs w:val="20"/>
        </w:rPr>
        <w:t>price volatility, rising input costs, labor disputes, and climate-induced yield fluctuations</w:t>
      </w:r>
      <w:r w:rsidRPr="005C00B3">
        <w:rPr>
          <w:rFonts w:ascii="Arial" w:hAnsi="Arial" w:cs="Arial"/>
          <w:sz w:val="20"/>
          <w:szCs w:val="20"/>
        </w:rPr>
        <w:t xml:space="preserve">. At the same time, the sector is characterized by a paradox: while premium teas fetch high export earnings, vast amounts of tea waste generated at different stages of production often remain neglected. </w:t>
      </w:r>
      <w:r w:rsidRPr="005C00B3">
        <w:rPr>
          <w:rFonts w:ascii="Arial" w:hAnsi="Arial" w:cs="Arial"/>
          <w:sz w:val="20"/>
          <w:szCs w:val="20"/>
        </w:rPr>
        <w:lastRenderedPageBreak/>
        <w:t>Addressing this paradox by valorizing tea waste offers an opportunity to enhance Assam’s agribusiness resilience.</w:t>
      </w:r>
    </w:p>
    <w:p w:rsidR="00AE2B5D" w:rsidRDefault="00AE2B5D" w:rsidP="000715A2">
      <w:pPr>
        <w:pStyle w:val="NormalWeb"/>
        <w:ind w:left="990" w:right="1260"/>
        <w:jc w:val="both"/>
        <w:rPr>
          <w:rFonts w:ascii="Arial" w:hAnsi="Arial" w:cs="Arial"/>
          <w:sz w:val="20"/>
          <w:szCs w:val="20"/>
        </w:rPr>
      </w:pPr>
      <w:r w:rsidRPr="00AE2B5D">
        <w:rPr>
          <w:rFonts w:ascii="Arial" w:hAnsi="Arial" w:cs="Arial"/>
          <w:sz w:val="20"/>
          <w:szCs w:val="20"/>
        </w:rPr>
        <w:t xml:space="preserve">Within factory operations, “tea waste” spans: (1) </w:t>
      </w:r>
      <w:r w:rsidRPr="00914242">
        <w:rPr>
          <w:rFonts w:ascii="Arial" w:hAnsi="Arial" w:cs="Arial"/>
          <w:bCs/>
          <w:sz w:val="20"/>
          <w:szCs w:val="20"/>
        </w:rPr>
        <w:t>BMF</w:t>
      </w:r>
      <w:r w:rsidR="000715A2">
        <w:rPr>
          <w:rFonts w:ascii="Arial" w:hAnsi="Arial" w:cs="Arial"/>
          <w:bCs/>
          <w:sz w:val="20"/>
          <w:szCs w:val="20"/>
        </w:rPr>
        <w:t xml:space="preserve"> (Broken Mixed </w:t>
      </w:r>
      <w:proofErr w:type="spellStart"/>
      <w:r w:rsidR="000715A2">
        <w:rPr>
          <w:rFonts w:ascii="Arial" w:hAnsi="Arial" w:cs="Arial"/>
          <w:bCs/>
          <w:sz w:val="20"/>
          <w:szCs w:val="20"/>
        </w:rPr>
        <w:t>Fannings</w:t>
      </w:r>
      <w:proofErr w:type="spellEnd"/>
      <w:r w:rsidR="000715A2">
        <w:rPr>
          <w:rFonts w:ascii="Arial" w:hAnsi="Arial" w:cs="Arial"/>
          <w:bCs/>
          <w:sz w:val="20"/>
          <w:szCs w:val="20"/>
        </w:rPr>
        <w:t>)</w:t>
      </w:r>
      <w:r w:rsidRPr="00914242">
        <w:rPr>
          <w:rFonts w:ascii="Arial" w:hAnsi="Arial" w:cs="Arial"/>
          <w:bCs/>
          <w:sz w:val="20"/>
          <w:szCs w:val="20"/>
        </w:rPr>
        <w:t xml:space="preserve"> and </w:t>
      </w:r>
      <w:proofErr w:type="spellStart"/>
      <w:r w:rsidRPr="00914242">
        <w:rPr>
          <w:rFonts w:ascii="Arial" w:hAnsi="Arial" w:cs="Arial"/>
          <w:bCs/>
          <w:sz w:val="20"/>
          <w:szCs w:val="20"/>
        </w:rPr>
        <w:t>fannings</w:t>
      </w:r>
      <w:proofErr w:type="spellEnd"/>
      <w:r w:rsidRPr="00914242">
        <w:rPr>
          <w:rFonts w:ascii="Arial" w:hAnsi="Arial" w:cs="Arial"/>
          <w:sz w:val="20"/>
          <w:szCs w:val="20"/>
        </w:rPr>
        <w:t xml:space="preserve"> (small particle grades), (2) </w:t>
      </w:r>
      <w:r w:rsidRPr="00914242">
        <w:rPr>
          <w:rFonts w:ascii="Arial" w:hAnsi="Arial" w:cs="Arial"/>
          <w:bCs/>
          <w:sz w:val="20"/>
          <w:szCs w:val="20"/>
        </w:rPr>
        <w:t>stems/stalks/fiber</w:t>
      </w:r>
      <w:r w:rsidRPr="00914242">
        <w:rPr>
          <w:rFonts w:ascii="Arial" w:hAnsi="Arial" w:cs="Arial"/>
          <w:sz w:val="20"/>
          <w:szCs w:val="20"/>
        </w:rPr>
        <w:t xml:space="preserve"> separated by Winnower and </w:t>
      </w:r>
      <w:proofErr w:type="spellStart"/>
      <w:r w:rsidRPr="00914242">
        <w:rPr>
          <w:rFonts w:ascii="Arial" w:hAnsi="Arial" w:cs="Arial"/>
          <w:sz w:val="20"/>
          <w:szCs w:val="20"/>
        </w:rPr>
        <w:t>Sortex</w:t>
      </w:r>
      <w:proofErr w:type="spellEnd"/>
      <w:r w:rsidRPr="00914242">
        <w:rPr>
          <w:rFonts w:ascii="Arial" w:hAnsi="Arial" w:cs="Arial"/>
          <w:sz w:val="20"/>
          <w:szCs w:val="20"/>
        </w:rPr>
        <w:t xml:space="preserve">, (3) </w:t>
      </w:r>
      <w:r w:rsidRPr="00914242">
        <w:rPr>
          <w:rFonts w:ascii="Arial" w:hAnsi="Arial" w:cs="Arial"/>
          <w:bCs/>
          <w:sz w:val="20"/>
          <w:szCs w:val="20"/>
        </w:rPr>
        <w:t>sweepings</w:t>
      </w:r>
      <w:r w:rsidRPr="00AE2B5D">
        <w:rPr>
          <w:rFonts w:ascii="Arial" w:hAnsi="Arial" w:cs="Arial"/>
          <w:sz w:val="20"/>
          <w:szCs w:val="20"/>
        </w:rPr>
        <w:t xml:space="preserve"> and off-spec fines, </w:t>
      </w:r>
      <w:r w:rsidRPr="00914242">
        <w:rPr>
          <w:rFonts w:ascii="Arial" w:hAnsi="Arial" w:cs="Arial"/>
          <w:sz w:val="20"/>
          <w:szCs w:val="20"/>
        </w:rPr>
        <w:t xml:space="preserve">(4) </w:t>
      </w:r>
      <w:r w:rsidRPr="00914242">
        <w:rPr>
          <w:rFonts w:ascii="Arial" w:hAnsi="Arial" w:cs="Arial"/>
          <w:bCs/>
          <w:sz w:val="20"/>
          <w:szCs w:val="20"/>
        </w:rPr>
        <w:t>pruning residues</w:t>
      </w:r>
      <w:r w:rsidRPr="00914242">
        <w:rPr>
          <w:rFonts w:ascii="Arial" w:hAnsi="Arial" w:cs="Arial"/>
          <w:sz w:val="20"/>
          <w:szCs w:val="20"/>
        </w:rPr>
        <w:t xml:space="preserve"> from the field, and (5) </w:t>
      </w:r>
      <w:r w:rsidRPr="00914242">
        <w:rPr>
          <w:rFonts w:ascii="Arial" w:hAnsi="Arial" w:cs="Arial"/>
          <w:bCs/>
          <w:sz w:val="20"/>
          <w:szCs w:val="20"/>
        </w:rPr>
        <w:t>post-consumer spent tea</w:t>
      </w:r>
      <w:r w:rsidRPr="00914242">
        <w:rPr>
          <w:rFonts w:ascii="Arial" w:hAnsi="Arial" w:cs="Arial"/>
          <w:sz w:val="20"/>
          <w:szCs w:val="20"/>
        </w:rPr>
        <w:t xml:space="preserve"> from households and food service. Regulatory language in India increasingly distinguishes </w:t>
      </w:r>
      <w:r w:rsidRPr="00914242">
        <w:rPr>
          <w:rFonts w:ascii="Arial" w:hAnsi="Arial" w:cs="Arial"/>
          <w:bCs/>
          <w:sz w:val="20"/>
          <w:szCs w:val="20"/>
        </w:rPr>
        <w:t>factory stems and fiber</w:t>
      </w:r>
      <w:r w:rsidRPr="00914242">
        <w:rPr>
          <w:rFonts w:ascii="Arial" w:hAnsi="Arial" w:cs="Arial"/>
          <w:sz w:val="20"/>
          <w:szCs w:val="20"/>
        </w:rPr>
        <w:t xml:space="preserve"> from other sweepings and stipulates permitted uses (e.g., instant tea, export</w:t>
      </w:r>
      <w:r w:rsidRPr="00AE2B5D">
        <w:rPr>
          <w:rFonts w:ascii="Arial" w:hAnsi="Arial" w:cs="Arial"/>
          <w:sz w:val="20"/>
          <w:szCs w:val="20"/>
        </w:rPr>
        <w:t xml:space="preserve">), affecting marketability and pricing. A 2024 Tea Board circular formalized </w:t>
      </w:r>
      <w:proofErr w:type="spellStart"/>
      <w:r w:rsidRPr="00AE2B5D">
        <w:rPr>
          <w:rFonts w:ascii="Arial" w:hAnsi="Arial" w:cs="Arial"/>
          <w:sz w:val="20"/>
          <w:szCs w:val="20"/>
        </w:rPr>
        <w:t>auctionization</w:t>
      </w:r>
      <w:proofErr w:type="spellEnd"/>
      <w:r w:rsidRPr="00AE2B5D">
        <w:rPr>
          <w:rFonts w:ascii="Arial" w:hAnsi="Arial" w:cs="Arial"/>
          <w:sz w:val="20"/>
          <w:szCs w:val="20"/>
        </w:rPr>
        <w:t xml:space="preserve"> and capped minimum percentages of stems/fiber relative to made-tea volumes to deter misuse, while enabling channelized utilization for instant tea and export under supervision. This has direct bearings on supply availability for valorization projects</w:t>
      </w:r>
      <w:r>
        <w:rPr>
          <w:rFonts w:ascii="Arial" w:hAnsi="Arial" w:cs="Arial"/>
          <w:sz w:val="20"/>
          <w:szCs w:val="20"/>
        </w:rPr>
        <w:t xml:space="preserve"> [3]</w:t>
      </w:r>
      <w:r w:rsidRPr="00AE2B5D">
        <w:rPr>
          <w:rFonts w:ascii="Arial" w:hAnsi="Arial" w:cs="Arial"/>
          <w:sz w:val="20"/>
          <w:szCs w:val="20"/>
        </w:rPr>
        <w:t>.</w:t>
      </w:r>
    </w:p>
    <w:p w:rsidR="00493980" w:rsidRPr="005C00B3" w:rsidRDefault="00493980" w:rsidP="005918B6">
      <w:pPr>
        <w:pStyle w:val="NormalWeb"/>
        <w:ind w:left="990" w:right="1260"/>
        <w:jc w:val="both"/>
        <w:rPr>
          <w:rFonts w:ascii="Arial" w:hAnsi="Arial" w:cs="Arial"/>
          <w:sz w:val="20"/>
          <w:szCs w:val="20"/>
        </w:rPr>
      </w:pPr>
      <w:r w:rsidRPr="005C00B3">
        <w:rPr>
          <w:rFonts w:ascii="Arial" w:hAnsi="Arial" w:cs="Arial"/>
          <w:sz w:val="20"/>
          <w:szCs w:val="20"/>
        </w:rPr>
        <w:t xml:space="preserve">The global shift towards circular economy and sustainable agribusiness has turned agricultural by-products into raw materials for innovation. Similar to how rice husk has been transformed into building materials and sugarcane bagasse into bio-energy, tea waste presents a comparable potential. Countries like </w:t>
      </w:r>
      <w:r w:rsidRPr="005C00B3">
        <w:rPr>
          <w:rStyle w:val="Strong"/>
          <w:rFonts w:ascii="Arial" w:hAnsi="Arial" w:cs="Arial"/>
          <w:b w:val="0"/>
          <w:sz w:val="20"/>
          <w:szCs w:val="20"/>
        </w:rPr>
        <w:t>Japan</w:t>
      </w:r>
      <w:r w:rsidRPr="005C00B3">
        <w:rPr>
          <w:rFonts w:ascii="Arial" w:hAnsi="Arial" w:cs="Arial"/>
          <w:sz w:val="20"/>
          <w:szCs w:val="20"/>
        </w:rPr>
        <w:t xml:space="preserve"> and </w:t>
      </w:r>
      <w:r w:rsidRPr="005C00B3">
        <w:rPr>
          <w:rStyle w:val="Strong"/>
          <w:rFonts w:ascii="Arial" w:hAnsi="Arial" w:cs="Arial"/>
          <w:b w:val="0"/>
          <w:sz w:val="20"/>
          <w:szCs w:val="20"/>
        </w:rPr>
        <w:t>China</w:t>
      </w:r>
      <w:r w:rsidRPr="005C00B3">
        <w:rPr>
          <w:rFonts w:ascii="Arial" w:hAnsi="Arial" w:cs="Arial"/>
          <w:sz w:val="20"/>
          <w:szCs w:val="20"/>
        </w:rPr>
        <w:t xml:space="preserve"> have pioneered tea waste utilization in bioactive compounds, while </w:t>
      </w:r>
      <w:r w:rsidRPr="005C00B3">
        <w:rPr>
          <w:rStyle w:val="Strong"/>
          <w:rFonts w:ascii="Arial" w:hAnsi="Arial" w:cs="Arial"/>
          <w:b w:val="0"/>
          <w:sz w:val="20"/>
          <w:szCs w:val="20"/>
        </w:rPr>
        <w:t>Kenya</w:t>
      </w:r>
      <w:r w:rsidRPr="005C00B3">
        <w:rPr>
          <w:rFonts w:ascii="Arial" w:hAnsi="Arial" w:cs="Arial"/>
          <w:sz w:val="20"/>
          <w:szCs w:val="20"/>
        </w:rPr>
        <w:t xml:space="preserve"> and </w:t>
      </w:r>
      <w:r w:rsidRPr="005C00B3">
        <w:rPr>
          <w:rStyle w:val="Strong"/>
          <w:rFonts w:ascii="Arial" w:hAnsi="Arial" w:cs="Arial"/>
          <w:b w:val="0"/>
          <w:sz w:val="20"/>
          <w:szCs w:val="20"/>
        </w:rPr>
        <w:t>Sri Lanka</w:t>
      </w:r>
      <w:r w:rsidRPr="005C00B3">
        <w:rPr>
          <w:rFonts w:ascii="Arial" w:hAnsi="Arial" w:cs="Arial"/>
          <w:sz w:val="20"/>
          <w:szCs w:val="20"/>
        </w:rPr>
        <w:t xml:space="preserve"> have explored biomass briquettes and organic fertilizers. For Assam, adopting such models could not only reduce environmental stress but also diversify farmer incomes and improve the sector’s competitiveness.</w:t>
      </w:r>
    </w:p>
    <w:p w:rsidR="00A63251" w:rsidRDefault="00A63251" w:rsidP="005918B6">
      <w:pPr>
        <w:pStyle w:val="Body"/>
        <w:numPr>
          <w:ilvl w:val="1"/>
          <w:numId w:val="4"/>
        </w:numPr>
        <w:spacing w:after="0"/>
        <w:ind w:left="990" w:right="1260"/>
        <w:jc w:val="left"/>
        <w:rPr>
          <w:rFonts w:ascii="Arial" w:hAnsi="Arial" w:cs="Arial"/>
          <w:b/>
          <w:bCs/>
        </w:rPr>
      </w:pPr>
      <w:r>
        <w:rPr>
          <w:rFonts w:ascii="Arial" w:hAnsi="Arial" w:cs="Arial"/>
          <w:b/>
          <w:bCs/>
        </w:rPr>
        <w:t>Potential</w:t>
      </w:r>
      <w:r w:rsidR="00A716C3">
        <w:rPr>
          <w:rFonts w:ascii="Arial" w:hAnsi="Arial" w:cs="Arial"/>
          <w:b/>
          <w:bCs/>
        </w:rPr>
        <w:t xml:space="preserve"> Utilization Pathways of Tea Wastes</w:t>
      </w:r>
    </w:p>
    <w:p w:rsidR="00A716C3" w:rsidRPr="00A63251" w:rsidRDefault="00A716C3" w:rsidP="000715A2">
      <w:pPr>
        <w:pStyle w:val="Body"/>
        <w:spacing w:after="0"/>
        <w:ind w:left="990" w:right="1260"/>
        <w:rPr>
          <w:rFonts w:ascii="Arial" w:hAnsi="Arial" w:cs="Arial"/>
        </w:rPr>
      </w:pPr>
      <w:r w:rsidRPr="00A716C3">
        <w:rPr>
          <w:rFonts w:ascii="Arial" w:hAnsi="Arial" w:cs="Arial"/>
        </w:rPr>
        <w:br/>
      </w:r>
      <w:r w:rsidRPr="00A63251">
        <w:rPr>
          <w:rFonts w:ascii="Arial" w:hAnsi="Arial" w:cs="Arial"/>
        </w:rPr>
        <w:t xml:space="preserve">Industrial instant tea is produced through </w:t>
      </w:r>
      <w:r w:rsidRPr="00A63251">
        <w:rPr>
          <w:rFonts w:ascii="Arial" w:hAnsi="Arial" w:cs="Arial"/>
          <w:bCs/>
        </w:rPr>
        <w:t>aqueous extraction</w:t>
      </w:r>
      <w:r w:rsidRPr="00A63251">
        <w:rPr>
          <w:rFonts w:ascii="Arial" w:hAnsi="Arial" w:cs="Arial"/>
        </w:rPr>
        <w:t xml:space="preserve">, a process where hot water is used to dissolve and collect soluble compounds from tea particles. In Sri Lanka and other producing countries, </w:t>
      </w:r>
      <w:r w:rsidRPr="00A63251">
        <w:rPr>
          <w:rFonts w:ascii="Arial" w:hAnsi="Arial" w:cs="Arial"/>
          <w:bCs/>
        </w:rPr>
        <w:t xml:space="preserve">broken mixed </w:t>
      </w:r>
      <w:proofErr w:type="spellStart"/>
      <w:r w:rsidRPr="00A63251">
        <w:rPr>
          <w:rFonts w:ascii="Arial" w:hAnsi="Arial" w:cs="Arial"/>
          <w:bCs/>
        </w:rPr>
        <w:t>fannings</w:t>
      </w:r>
      <w:proofErr w:type="spellEnd"/>
      <w:r w:rsidRPr="00A63251">
        <w:rPr>
          <w:rFonts w:ascii="Arial" w:hAnsi="Arial" w:cs="Arial"/>
          <w:bCs/>
        </w:rPr>
        <w:t xml:space="preserve"> (BMF)</w:t>
      </w:r>
      <w:r w:rsidRPr="00A63251">
        <w:rPr>
          <w:rFonts w:ascii="Arial" w:hAnsi="Arial" w:cs="Arial"/>
        </w:rPr>
        <w:t xml:space="preserve"> grades are preferred due to their cost-effectiveness and higher extraction efficiency, with pilot studies confirming acceptable quality outcomes [4]. In India and Bangladesh, both BMF and factory waste streams are supplied to </w:t>
      </w:r>
      <w:r w:rsidRPr="00A63251">
        <w:rPr>
          <w:rFonts w:ascii="Arial" w:hAnsi="Arial" w:cs="Arial"/>
          <w:bCs/>
        </w:rPr>
        <w:t>caffeine-extraction units</w:t>
      </w:r>
      <w:r w:rsidRPr="00A63251">
        <w:rPr>
          <w:rFonts w:ascii="Arial" w:hAnsi="Arial" w:cs="Arial"/>
        </w:rPr>
        <w:t xml:space="preserve"> and instant-tea processors, particularly in regions such as West Bengal and the Northeast corridor [5].</w:t>
      </w:r>
    </w:p>
    <w:p w:rsidR="00A63251" w:rsidRPr="00A63251" w:rsidRDefault="00A63251" w:rsidP="005918B6">
      <w:pPr>
        <w:pStyle w:val="Body"/>
        <w:spacing w:after="0"/>
        <w:ind w:left="990" w:right="1260"/>
        <w:rPr>
          <w:rFonts w:ascii="Arial" w:hAnsi="Arial" w:cs="Arial"/>
          <w:bCs/>
        </w:rPr>
      </w:pPr>
    </w:p>
    <w:p w:rsidR="00A716C3" w:rsidRPr="00A63251" w:rsidRDefault="00A716C3" w:rsidP="005918B6">
      <w:pPr>
        <w:pStyle w:val="Body"/>
        <w:spacing w:after="0"/>
        <w:ind w:left="990" w:right="1260"/>
        <w:rPr>
          <w:rFonts w:ascii="Arial" w:hAnsi="Arial" w:cs="Arial"/>
        </w:rPr>
      </w:pPr>
      <w:r w:rsidRPr="00A63251">
        <w:rPr>
          <w:rFonts w:ascii="Arial" w:hAnsi="Arial" w:cs="Arial"/>
        </w:rPr>
        <w:t xml:space="preserve">Research from South Asia and China indicates that </w:t>
      </w:r>
      <w:r w:rsidRPr="00A63251">
        <w:rPr>
          <w:rFonts w:ascii="Arial" w:hAnsi="Arial" w:cs="Arial"/>
          <w:bCs/>
        </w:rPr>
        <w:t>tea waste</w:t>
      </w:r>
      <w:r w:rsidRPr="00A63251">
        <w:rPr>
          <w:rFonts w:ascii="Arial" w:hAnsi="Arial" w:cs="Arial"/>
        </w:rPr>
        <w:t xml:space="preserve">, when composted or </w:t>
      </w:r>
      <w:proofErr w:type="spellStart"/>
      <w:r w:rsidRPr="00A63251">
        <w:rPr>
          <w:rFonts w:ascii="Arial" w:hAnsi="Arial" w:cs="Arial"/>
        </w:rPr>
        <w:t>vermicomposted</w:t>
      </w:r>
      <w:proofErr w:type="spellEnd"/>
      <w:r w:rsidRPr="00A63251">
        <w:rPr>
          <w:rFonts w:ascii="Arial" w:hAnsi="Arial" w:cs="Arial"/>
        </w:rPr>
        <w:t xml:space="preserve">, enriches soils by contributing organic matter and nutrients. However, balancing the </w:t>
      </w:r>
      <w:r w:rsidRPr="00A63251">
        <w:rPr>
          <w:rFonts w:ascii="Arial" w:hAnsi="Arial" w:cs="Arial"/>
          <w:bCs/>
        </w:rPr>
        <w:t>carbon-to-nitrogen (</w:t>
      </w:r>
      <w:proofErr w:type="gramStart"/>
      <w:r w:rsidRPr="00A63251">
        <w:rPr>
          <w:rFonts w:ascii="Arial" w:hAnsi="Arial" w:cs="Arial"/>
          <w:bCs/>
        </w:rPr>
        <w:t>C:N</w:t>
      </w:r>
      <w:proofErr w:type="gramEnd"/>
      <w:r w:rsidRPr="00A63251">
        <w:rPr>
          <w:rFonts w:ascii="Arial" w:hAnsi="Arial" w:cs="Arial"/>
          <w:bCs/>
        </w:rPr>
        <w:t>) ratio</w:t>
      </w:r>
      <w:r w:rsidRPr="00A63251">
        <w:rPr>
          <w:rFonts w:ascii="Arial" w:hAnsi="Arial" w:cs="Arial"/>
        </w:rPr>
        <w:t xml:space="preserve">—for instance, by mixing with cow dung—is essential to prevent phytotoxic effects. Regular application of organic amendments also helps address </w:t>
      </w:r>
      <w:r w:rsidRPr="00A63251">
        <w:rPr>
          <w:rFonts w:ascii="Arial" w:hAnsi="Arial" w:cs="Arial"/>
          <w:bCs/>
        </w:rPr>
        <w:t>soil acidification</w:t>
      </w:r>
      <w:r w:rsidRPr="00A63251">
        <w:rPr>
          <w:rFonts w:ascii="Arial" w:hAnsi="Arial" w:cs="Arial"/>
        </w:rPr>
        <w:t>, a common problem in intensively managed tea plantations, thereby enhancing both yield and quality of tea crops [6].</w:t>
      </w:r>
    </w:p>
    <w:p w:rsidR="00A716C3" w:rsidRPr="00A63251" w:rsidRDefault="00A716C3" w:rsidP="005918B6">
      <w:pPr>
        <w:pStyle w:val="Body"/>
        <w:spacing w:after="0"/>
        <w:ind w:left="990" w:right="1260"/>
        <w:rPr>
          <w:rFonts w:ascii="Arial" w:hAnsi="Arial" w:cs="Arial"/>
        </w:rPr>
      </w:pPr>
      <w:r w:rsidRPr="00A63251">
        <w:rPr>
          <w:rFonts w:ascii="Arial" w:hAnsi="Arial" w:cs="Arial"/>
        </w:rPr>
        <w:br/>
        <w:t xml:space="preserve">Conversion of tea waste through </w:t>
      </w:r>
      <w:r w:rsidRPr="00A63251">
        <w:rPr>
          <w:rFonts w:ascii="Arial" w:hAnsi="Arial" w:cs="Arial"/>
          <w:bCs/>
        </w:rPr>
        <w:t>pyrolysis</w:t>
      </w:r>
      <w:r w:rsidRPr="00A63251">
        <w:rPr>
          <w:rFonts w:ascii="Arial" w:hAnsi="Arial" w:cs="Arial"/>
        </w:rPr>
        <w:t xml:space="preserve"> produces </w:t>
      </w:r>
      <w:r w:rsidRPr="00A63251">
        <w:rPr>
          <w:rFonts w:ascii="Arial" w:hAnsi="Arial" w:cs="Arial"/>
          <w:bCs/>
        </w:rPr>
        <w:t>biochar</w:t>
      </w:r>
      <w:r w:rsidRPr="00A63251">
        <w:rPr>
          <w:rFonts w:ascii="Arial" w:hAnsi="Arial" w:cs="Arial"/>
        </w:rPr>
        <w:t xml:space="preserve">, a porous material with high surface area and functional groups. Tea-waste biochar improves soil pH, </w:t>
      </w:r>
      <w:r w:rsidRPr="00A63251">
        <w:rPr>
          <w:rFonts w:ascii="Arial" w:hAnsi="Arial" w:cs="Arial"/>
          <w:bCs/>
        </w:rPr>
        <w:t>cation exchange capacity (CEC)</w:t>
      </w:r>
      <w:r w:rsidRPr="00A63251">
        <w:rPr>
          <w:rFonts w:ascii="Arial" w:hAnsi="Arial" w:cs="Arial"/>
        </w:rPr>
        <w:t xml:space="preserve">, and nutrient availability. Studies also show that it can reduce </w:t>
      </w:r>
      <w:r w:rsidRPr="00A63251">
        <w:rPr>
          <w:rFonts w:ascii="Arial" w:hAnsi="Arial" w:cs="Arial"/>
          <w:bCs/>
        </w:rPr>
        <w:t>fluoride accumulation</w:t>
      </w:r>
      <w:r w:rsidRPr="00A63251">
        <w:rPr>
          <w:rFonts w:ascii="Arial" w:hAnsi="Arial" w:cs="Arial"/>
        </w:rPr>
        <w:t xml:space="preserve"> in tea leaves under certain conditions. Moreover, modified tea-waste biochar is increasingly applied to other crops and environmental remediation, including pollutant adsorption [7–10].</w:t>
      </w:r>
    </w:p>
    <w:p w:rsidR="00A716C3" w:rsidRDefault="00A716C3" w:rsidP="005918B6">
      <w:pPr>
        <w:pStyle w:val="Body"/>
        <w:spacing w:after="0"/>
        <w:ind w:left="990" w:right="1260"/>
        <w:rPr>
          <w:rFonts w:ascii="Arial" w:hAnsi="Arial" w:cs="Arial"/>
        </w:rPr>
      </w:pPr>
      <w:r w:rsidRPr="00A63251">
        <w:rPr>
          <w:rFonts w:ascii="Arial" w:hAnsi="Arial" w:cs="Arial"/>
        </w:rPr>
        <w:br/>
        <w:t xml:space="preserve">Tea fibers can be processed into pulp for handmade or specialty paper. In India, small enterprises and craft units have reported producing </w:t>
      </w:r>
      <w:r w:rsidRPr="00A63251">
        <w:rPr>
          <w:rFonts w:ascii="Arial" w:hAnsi="Arial" w:cs="Arial"/>
          <w:bCs/>
        </w:rPr>
        <w:t>stationery and packaging</w:t>
      </w:r>
      <w:r w:rsidRPr="00A63251">
        <w:rPr>
          <w:rFonts w:ascii="Arial" w:hAnsi="Arial" w:cs="Arial"/>
        </w:rPr>
        <w:t xml:space="preserve"> using mixed </w:t>
      </w:r>
      <w:proofErr w:type="spellStart"/>
      <w:r w:rsidRPr="00A63251">
        <w:rPr>
          <w:rFonts w:ascii="Arial" w:hAnsi="Arial" w:cs="Arial"/>
        </w:rPr>
        <w:t>agro</w:t>
      </w:r>
      <w:proofErr w:type="spellEnd"/>
      <w:r w:rsidRPr="00A63251">
        <w:rPr>
          <w:rFonts w:ascii="Arial" w:hAnsi="Arial" w:cs="Arial"/>
        </w:rPr>
        <w:t>-residues, including tea waste</w:t>
      </w:r>
      <w:r w:rsidR="000715A2">
        <w:rPr>
          <w:rFonts w:ascii="Arial" w:hAnsi="Arial" w:cs="Arial"/>
        </w:rPr>
        <w:t xml:space="preserve">. In Upper Assam regions, people have been using tea twigs in making </w:t>
      </w:r>
      <w:proofErr w:type="gramStart"/>
      <w:r w:rsidR="000715A2">
        <w:rPr>
          <w:rFonts w:ascii="Arial" w:hAnsi="Arial" w:cs="Arial"/>
        </w:rPr>
        <w:t>handicrafts[</w:t>
      </w:r>
      <w:proofErr w:type="gramEnd"/>
      <w:r w:rsidR="000715A2">
        <w:rPr>
          <w:rFonts w:ascii="Arial" w:hAnsi="Arial" w:cs="Arial"/>
        </w:rPr>
        <w:t>11].</w:t>
      </w:r>
    </w:p>
    <w:p w:rsidR="000715A2" w:rsidRPr="00A63251" w:rsidRDefault="000715A2" w:rsidP="005918B6">
      <w:pPr>
        <w:pStyle w:val="Body"/>
        <w:spacing w:after="0"/>
        <w:ind w:left="990" w:right="1260"/>
        <w:rPr>
          <w:rFonts w:ascii="Arial" w:hAnsi="Arial" w:cs="Arial"/>
        </w:rPr>
      </w:pPr>
    </w:p>
    <w:p w:rsidR="00A716C3" w:rsidRDefault="00A716C3" w:rsidP="005918B6">
      <w:pPr>
        <w:pStyle w:val="Body"/>
        <w:spacing w:after="0"/>
        <w:ind w:left="990" w:right="1260"/>
        <w:rPr>
          <w:rFonts w:ascii="Arial" w:hAnsi="Arial" w:cs="Arial"/>
        </w:rPr>
      </w:pPr>
      <w:r w:rsidRPr="00A63251">
        <w:rPr>
          <w:rFonts w:ascii="Arial" w:hAnsi="Arial" w:cs="Arial"/>
        </w:rPr>
        <w:t xml:space="preserve">Innovations in Japan and Europe have explored </w:t>
      </w:r>
      <w:r w:rsidRPr="00A63251">
        <w:rPr>
          <w:rFonts w:ascii="Arial" w:hAnsi="Arial" w:cs="Arial"/>
          <w:bCs/>
        </w:rPr>
        <w:t>tea-based packaging</w:t>
      </w:r>
      <w:r w:rsidRPr="00A63251">
        <w:rPr>
          <w:rFonts w:ascii="Arial" w:hAnsi="Arial" w:cs="Arial"/>
        </w:rPr>
        <w:t xml:space="preserve">, using pruned stems and low-grade leaves as fibrous reinforcement. In some cases, </w:t>
      </w:r>
      <w:r w:rsidRPr="00A63251">
        <w:rPr>
          <w:rFonts w:ascii="Arial" w:hAnsi="Arial" w:cs="Arial"/>
          <w:bCs/>
        </w:rPr>
        <w:t>antioxidants from tea extracts</w:t>
      </w:r>
      <w:r w:rsidRPr="00A63251">
        <w:rPr>
          <w:rFonts w:ascii="Arial" w:hAnsi="Arial" w:cs="Arial"/>
        </w:rPr>
        <w:t xml:space="preserve"> are incorporated into bio-films, creating </w:t>
      </w:r>
      <w:r w:rsidRPr="00A63251">
        <w:rPr>
          <w:rFonts w:ascii="Arial" w:hAnsi="Arial" w:cs="Arial"/>
          <w:bCs/>
        </w:rPr>
        <w:t>active packaging</w:t>
      </w:r>
      <w:r w:rsidRPr="00A63251">
        <w:rPr>
          <w:rFonts w:ascii="Arial" w:hAnsi="Arial" w:cs="Arial"/>
        </w:rPr>
        <w:t xml:space="preserve"> that helps preserve food quality. The </w:t>
      </w:r>
      <w:r w:rsidRPr="00A63251">
        <w:rPr>
          <w:rFonts w:ascii="Arial" w:hAnsi="Arial" w:cs="Arial"/>
          <w:bCs/>
        </w:rPr>
        <w:t>CHAMU design</w:t>
      </w:r>
      <w:r w:rsidRPr="00A63251">
        <w:rPr>
          <w:rFonts w:ascii="Arial" w:hAnsi="Arial" w:cs="Arial"/>
        </w:rPr>
        <w:t xml:space="preserve"> in Japan is a notable example, using tea stems for aesthetic and functional packaging in confectionery [12].</w:t>
      </w:r>
    </w:p>
    <w:p w:rsidR="00A63251" w:rsidRPr="00A63251" w:rsidRDefault="00A63251" w:rsidP="005918B6">
      <w:pPr>
        <w:pStyle w:val="Body"/>
        <w:spacing w:after="0"/>
        <w:ind w:left="990" w:right="1260"/>
        <w:rPr>
          <w:rFonts w:ascii="Arial" w:hAnsi="Arial" w:cs="Arial"/>
        </w:rPr>
      </w:pPr>
    </w:p>
    <w:p w:rsidR="00A716C3" w:rsidRPr="00A63251" w:rsidRDefault="00A716C3" w:rsidP="005918B6">
      <w:pPr>
        <w:pStyle w:val="Body"/>
        <w:spacing w:after="0"/>
        <w:ind w:left="990" w:right="1260"/>
        <w:rPr>
          <w:rFonts w:ascii="Arial" w:hAnsi="Arial" w:cs="Arial"/>
        </w:rPr>
      </w:pPr>
      <w:r w:rsidRPr="00A63251">
        <w:rPr>
          <w:rFonts w:ascii="Arial" w:hAnsi="Arial" w:cs="Arial"/>
          <w:bCs/>
        </w:rPr>
        <w:t>Green tea by-products (GTBP)</w:t>
      </w:r>
      <w:r w:rsidRPr="00A63251">
        <w:rPr>
          <w:rFonts w:ascii="Arial" w:hAnsi="Arial" w:cs="Arial"/>
        </w:rPr>
        <w:t xml:space="preserve"> and spent tea grounds have been tested as animal-feed additives for pigs, poultry, goats, and cattle. Benefits include improved </w:t>
      </w:r>
      <w:r w:rsidRPr="00A63251">
        <w:rPr>
          <w:rFonts w:ascii="Arial" w:hAnsi="Arial" w:cs="Arial"/>
          <w:bCs/>
        </w:rPr>
        <w:t>oxidative stability</w:t>
      </w:r>
      <w:r w:rsidRPr="00A63251">
        <w:rPr>
          <w:rFonts w:ascii="Arial" w:hAnsi="Arial" w:cs="Arial"/>
        </w:rPr>
        <w:t xml:space="preserve"> of meat and, in some cases, enhanced growth performance. However, high levels of </w:t>
      </w:r>
      <w:r w:rsidRPr="00A63251">
        <w:rPr>
          <w:rFonts w:ascii="Arial" w:hAnsi="Arial" w:cs="Arial"/>
          <w:bCs/>
        </w:rPr>
        <w:t>tannins</w:t>
      </w:r>
      <w:r w:rsidRPr="00A63251">
        <w:rPr>
          <w:rFonts w:ascii="Arial" w:hAnsi="Arial" w:cs="Arial"/>
        </w:rPr>
        <w:t xml:space="preserve"> and </w:t>
      </w:r>
      <w:r w:rsidRPr="00A63251">
        <w:rPr>
          <w:rFonts w:ascii="Arial" w:hAnsi="Arial" w:cs="Arial"/>
          <w:bCs/>
        </w:rPr>
        <w:lastRenderedPageBreak/>
        <w:t>caffeine</w:t>
      </w:r>
      <w:r w:rsidRPr="00A63251">
        <w:rPr>
          <w:rFonts w:ascii="Arial" w:hAnsi="Arial" w:cs="Arial"/>
        </w:rPr>
        <w:t xml:space="preserve"> limit inclusion rates, necessitating treatments such as </w:t>
      </w:r>
      <w:r w:rsidRPr="00A63251">
        <w:rPr>
          <w:rFonts w:ascii="Arial" w:hAnsi="Arial" w:cs="Arial"/>
          <w:bCs/>
        </w:rPr>
        <w:t>ensiling</w:t>
      </w:r>
      <w:r w:rsidRPr="00A63251">
        <w:rPr>
          <w:rFonts w:ascii="Arial" w:hAnsi="Arial" w:cs="Arial"/>
        </w:rPr>
        <w:t xml:space="preserve"> or the addition of tannin-binding agents (e.g., polyethylene glycol, PEG) [13</w:t>
      </w:r>
      <w:r w:rsidR="00EF6269">
        <w:rPr>
          <w:rFonts w:ascii="Arial" w:hAnsi="Arial" w:cs="Arial"/>
        </w:rPr>
        <w:t>,</w:t>
      </w:r>
      <w:r w:rsidR="000715A2">
        <w:rPr>
          <w:rFonts w:ascii="Arial" w:hAnsi="Arial" w:cs="Arial"/>
        </w:rPr>
        <w:t>14,15,16</w:t>
      </w:r>
      <w:r w:rsidRPr="00A63251">
        <w:rPr>
          <w:rFonts w:ascii="Arial" w:hAnsi="Arial" w:cs="Arial"/>
        </w:rPr>
        <w:t>].</w:t>
      </w:r>
    </w:p>
    <w:p w:rsidR="00A63251" w:rsidRDefault="00A716C3" w:rsidP="005918B6">
      <w:pPr>
        <w:pStyle w:val="Body"/>
        <w:ind w:left="990" w:right="1260"/>
        <w:rPr>
          <w:rFonts w:ascii="Arial" w:hAnsi="Arial" w:cs="Arial"/>
        </w:rPr>
      </w:pPr>
      <w:r w:rsidRPr="00A63251">
        <w:rPr>
          <w:rFonts w:ascii="Arial" w:hAnsi="Arial" w:cs="Arial"/>
        </w:rPr>
        <w:br/>
        <w:t xml:space="preserve">Spent tea leaves retain </w:t>
      </w:r>
      <w:r w:rsidRPr="00A63251">
        <w:rPr>
          <w:rFonts w:ascii="Arial" w:hAnsi="Arial" w:cs="Arial"/>
          <w:bCs/>
        </w:rPr>
        <w:t>bioactive compounds</w:t>
      </w:r>
      <w:r w:rsidRPr="00A63251">
        <w:rPr>
          <w:rFonts w:ascii="Arial" w:hAnsi="Arial" w:cs="Arial"/>
        </w:rPr>
        <w:t xml:space="preserve"> such as catechins, flavonoids, and caffeine. Using eco-friendly extraction methods—including </w:t>
      </w:r>
      <w:r w:rsidRPr="00A63251">
        <w:rPr>
          <w:rFonts w:ascii="Arial" w:hAnsi="Arial" w:cs="Arial"/>
          <w:bCs/>
        </w:rPr>
        <w:t>ultrasound</w:t>
      </w:r>
      <w:r w:rsidRPr="00A63251">
        <w:rPr>
          <w:rFonts w:ascii="Arial" w:hAnsi="Arial" w:cs="Arial"/>
        </w:rPr>
        <w:t xml:space="preserve">, </w:t>
      </w:r>
      <w:r w:rsidRPr="00A63251">
        <w:rPr>
          <w:rFonts w:ascii="Arial" w:hAnsi="Arial" w:cs="Arial"/>
          <w:bCs/>
        </w:rPr>
        <w:t>supercritical CO</w:t>
      </w:r>
      <w:r w:rsidRPr="00A63251">
        <w:rPr>
          <w:rFonts w:ascii="Cambria Math" w:hAnsi="Cambria Math" w:cs="Cambria Math"/>
          <w:bCs/>
        </w:rPr>
        <w:t>₂</w:t>
      </w:r>
      <w:r w:rsidRPr="00A63251">
        <w:rPr>
          <w:rFonts w:ascii="Arial" w:hAnsi="Arial" w:cs="Arial"/>
        </w:rPr>
        <w:t xml:space="preserve">, and </w:t>
      </w:r>
      <w:r w:rsidRPr="00A63251">
        <w:rPr>
          <w:rFonts w:ascii="Arial" w:hAnsi="Arial" w:cs="Arial"/>
          <w:bCs/>
        </w:rPr>
        <w:t>pressurized fluids</w:t>
      </w:r>
      <w:r w:rsidRPr="00A63251">
        <w:rPr>
          <w:rFonts w:ascii="Arial" w:hAnsi="Arial" w:cs="Arial"/>
        </w:rPr>
        <w:t xml:space="preserve">—these compounds are recovered for </w:t>
      </w:r>
      <w:r w:rsidRPr="00A63251">
        <w:rPr>
          <w:rFonts w:ascii="Arial" w:hAnsi="Arial" w:cs="Arial"/>
          <w:bCs/>
        </w:rPr>
        <w:t>cosmeceutical</w:t>
      </w:r>
      <w:r w:rsidRPr="00A63251">
        <w:rPr>
          <w:rFonts w:ascii="Arial" w:hAnsi="Arial" w:cs="Arial"/>
        </w:rPr>
        <w:t xml:space="preserve"> applications (e.g., anti-aging, antioxidant) and functional foods </w:t>
      </w:r>
      <w:r w:rsidR="000715A2">
        <w:rPr>
          <w:rFonts w:ascii="Arial" w:hAnsi="Arial" w:cs="Arial"/>
        </w:rPr>
        <w:t>[17,18</w:t>
      </w:r>
      <w:r w:rsidRPr="00A63251">
        <w:rPr>
          <w:rFonts w:ascii="Arial" w:hAnsi="Arial" w:cs="Arial"/>
        </w:rPr>
        <w:t>].</w:t>
      </w:r>
    </w:p>
    <w:p w:rsidR="00A716C3" w:rsidRPr="00A63251" w:rsidRDefault="00A716C3" w:rsidP="005918B6">
      <w:pPr>
        <w:pStyle w:val="Body"/>
        <w:ind w:left="990" w:right="1260"/>
        <w:rPr>
          <w:rFonts w:ascii="Arial" w:hAnsi="Arial" w:cs="Arial"/>
        </w:rPr>
      </w:pPr>
      <w:r w:rsidRPr="00A63251">
        <w:rPr>
          <w:rFonts w:ascii="Arial" w:hAnsi="Arial" w:cs="Arial"/>
        </w:rPr>
        <w:t xml:space="preserve">Through </w:t>
      </w:r>
      <w:r w:rsidRPr="00A63251">
        <w:rPr>
          <w:rFonts w:ascii="Arial" w:hAnsi="Arial" w:cs="Arial"/>
          <w:bCs/>
        </w:rPr>
        <w:t>chemical activation</w:t>
      </w:r>
      <w:r w:rsidRPr="00A63251">
        <w:rPr>
          <w:rFonts w:ascii="Arial" w:hAnsi="Arial" w:cs="Arial"/>
        </w:rPr>
        <w:t xml:space="preserve">, tea waste can be converted into </w:t>
      </w:r>
      <w:r w:rsidRPr="00A63251">
        <w:rPr>
          <w:rFonts w:ascii="Arial" w:hAnsi="Arial" w:cs="Arial"/>
          <w:bCs/>
        </w:rPr>
        <w:t>activated carbon</w:t>
      </w:r>
      <w:r w:rsidRPr="00A63251">
        <w:rPr>
          <w:rFonts w:ascii="Arial" w:hAnsi="Arial" w:cs="Arial"/>
        </w:rPr>
        <w:t xml:space="preserve"> with high adsorption capacity. This material is widely studied for removing dyes and heavy metals from wastewater, offering potential in environmental services and industrial </w:t>
      </w:r>
      <w:proofErr w:type="gramStart"/>
      <w:r w:rsidRPr="00A63251">
        <w:rPr>
          <w:rFonts w:ascii="Arial" w:hAnsi="Arial" w:cs="Arial"/>
        </w:rPr>
        <w:t>applications</w:t>
      </w:r>
      <w:r w:rsidR="000715A2">
        <w:rPr>
          <w:rFonts w:ascii="Arial" w:hAnsi="Arial" w:cs="Arial"/>
        </w:rPr>
        <w:t>[</w:t>
      </w:r>
      <w:proofErr w:type="gramEnd"/>
      <w:r w:rsidR="000715A2">
        <w:rPr>
          <w:rFonts w:ascii="Arial" w:hAnsi="Arial" w:cs="Arial"/>
        </w:rPr>
        <w:t>19]</w:t>
      </w:r>
      <w:r w:rsidRPr="00A63251">
        <w:rPr>
          <w:rFonts w:ascii="Arial" w:hAnsi="Arial" w:cs="Arial"/>
        </w:rPr>
        <w:t>.</w:t>
      </w:r>
    </w:p>
    <w:p w:rsidR="00A716C3" w:rsidRPr="00A716C3" w:rsidRDefault="00A716C3" w:rsidP="005918B6">
      <w:pPr>
        <w:pStyle w:val="Body"/>
        <w:spacing w:after="0"/>
        <w:ind w:left="990" w:right="1260"/>
        <w:rPr>
          <w:rFonts w:ascii="Arial" w:hAnsi="Arial" w:cs="Arial"/>
        </w:rPr>
      </w:pPr>
      <w:r w:rsidRPr="00A63251">
        <w:rPr>
          <w:rFonts w:ascii="Arial" w:hAnsi="Arial" w:cs="Arial"/>
        </w:rPr>
        <w:t xml:space="preserve">In India, tea-factory waste is channeled into caffeine extraction, instant-tea processing, composting trials, and handicraft initiatives. Recent regulatory updates—such as the </w:t>
      </w:r>
      <w:r w:rsidRPr="00A63251">
        <w:rPr>
          <w:rFonts w:ascii="Arial" w:hAnsi="Arial" w:cs="Arial"/>
          <w:bCs/>
        </w:rPr>
        <w:t>auction system</w:t>
      </w:r>
      <w:r w:rsidRPr="00A63251">
        <w:rPr>
          <w:rFonts w:ascii="Arial" w:hAnsi="Arial" w:cs="Arial"/>
        </w:rPr>
        <w:t xml:space="preserve"> for tea waste and restrictions on stem/fiber use—aim to reduce misuse of low-grade teas while ensuring legal industrial applications</w:t>
      </w:r>
      <w:r w:rsidR="000715A2">
        <w:rPr>
          <w:rFonts w:ascii="Arial" w:hAnsi="Arial" w:cs="Arial"/>
        </w:rPr>
        <w:t xml:space="preserve"> [3]</w:t>
      </w:r>
      <w:r w:rsidRPr="00A63251">
        <w:rPr>
          <w:rFonts w:ascii="Arial" w:hAnsi="Arial" w:cs="Arial"/>
        </w:rPr>
        <w:t xml:space="preserve">. Assam remains central to this sector, contributing around </w:t>
      </w:r>
      <w:r w:rsidRPr="00A63251">
        <w:rPr>
          <w:rFonts w:ascii="Arial" w:hAnsi="Arial" w:cs="Arial"/>
          <w:bCs/>
        </w:rPr>
        <w:t>650–690 million kg</w:t>
      </w:r>
      <w:r w:rsidRPr="00A63251">
        <w:rPr>
          <w:rFonts w:ascii="Arial" w:hAnsi="Arial" w:cs="Arial"/>
        </w:rPr>
        <w:t xml:space="preserve"> of national output in recent years. Although climate variability constrained raw material in 2024, higher prices incentivized greater utilization of tea by-products.</w:t>
      </w:r>
    </w:p>
    <w:p w:rsidR="00790ADA" w:rsidRPr="00FB3A86" w:rsidRDefault="00790ADA" w:rsidP="005918B6">
      <w:pPr>
        <w:pStyle w:val="Body"/>
        <w:spacing w:after="0"/>
        <w:ind w:left="990" w:right="1260"/>
        <w:rPr>
          <w:rFonts w:ascii="Arial" w:hAnsi="Arial" w:cs="Arial"/>
        </w:rPr>
      </w:pPr>
    </w:p>
    <w:p w:rsidR="007F7B32" w:rsidRDefault="00902823" w:rsidP="005918B6">
      <w:pPr>
        <w:pStyle w:val="AbstHead"/>
        <w:spacing w:after="0"/>
        <w:ind w:left="990" w:right="1260"/>
        <w:jc w:val="both"/>
        <w:rPr>
          <w:rFonts w:ascii="Arial" w:hAnsi="Arial" w:cs="Arial"/>
        </w:rPr>
      </w:pPr>
      <w:r>
        <w:rPr>
          <w:rFonts w:ascii="Arial" w:hAnsi="Arial" w:cs="Arial"/>
        </w:rPr>
        <w:t xml:space="preserve">2. </w:t>
      </w:r>
      <w:r w:rsidR="006B57D0">
        <w:rPr>
          <w:rFonts w:ascii="Arial" w:hAnsi="Arial" w:cs="Arial"/>
        </w:rPr>
        <w:t>methodology</w:t>
      </w:r>
    </w:p>
    <w:p w:rsidR="00790ADA" w:rsidRDefault="00790ADA" w:rsidP="005918B6">
      <w:pPr>
        <w:pStyle w:val="Body"/>
        <w:spacing w:after="0"/>
        <w:ind w:left="990" w:right="1260"/>
        <w:rPr>
          <w:rFonts w:ascii="Arial" w:hAnsi="Arial" w:cs="Arial"/>
        </w:rPr>
      </w:pPr>
    </w:p>
    <w:p w:rsidR="00A63251" w:rsidRPr="00A63251" w:rsidRDefault="00A63251" w:rsidP="005918B6">
      <w:pPr>
        <w:pStyle w:val="Body"/>
        <w:spacing w:after="0"/>
        <w:ind w:left="990" w:right="1260"/>
        <w:rPr>
          <w:rFonts w:ascii="Arial" w:hAnsi="Arial" w:cs="Arial"/>
        </w:rPr>
      </w:pPr>
      <w:r w:rsidRPr="00A63251">
        <w:rPr>
          <w:rFonts w:ascii="Arial" w:hAnsi="Arial" w:cs="Arial"/>
        </w:rPr>
        <w:t xml:space="preserve">This study undertook a </w:t>
      </w:r>
      <w:r w:rsidRPr="00A63251">
        <w:rPr>
          <w:rFonts w:ascii="Arial" w:hAnsi="Arial" w:cs="Arial"/>
          <w:bCs/>
        </w:rPr>
        <w:t>structured review</w:t>
      </w:r>
      <w:r w:rsidRPr="00A63251">
        <w:rPr>
          <w:rFonts w:ascii="Arial" w:hAnsi="Arial" w:cs="Arial"/>
        </w:rPr>
        <w:t xml:space="preserve"> of literature and secondary data to examine the generation, composition, processing technologies, and market applications of tea waste. The review covered peer-reviewed journal articles (2010–2025), patents, industrial reports, policy circulars, and verified trade databases. A series of targeted search strings were employed, including terms such as </w:t>
      </w:r>
      <w:r w:rsidRPr="00A63251">
        <w:rPr>
          <w:rFonts w:ascii="Arial" w:hAnsi="Arial" w:cs="Arial"/>
          <w:i/>
          <w:iCs/>
        </w:rPr>
        <w:t>“tea waste,” “BMF,” “stems and fiber,” “instant tea BMF,” “tea waste biochar,” “tea waste compost/vermicompost,” “tea waste activated carbon,” “green tea by-product animal feed,” “tea fiber packaging,” “handmade paper tea waste,” “polyphenol extraction spent tea,”</w:t>
      </w:r>
      <w:r w:rsidRPr="00A63251">
        <w:rPr>
          <w:rFonts w:ascii="Arial" w:hAnsi="Arial" w:cs="Arial"/>
        </w:rPr>
        <w:t xml:space="preserve"> and </w:t>
      </w:r>
      <w:r w:rsidRPr="00A63251">
        <w:rPr>
          <w:rFonts w:ascii="Arial" w:hAnsi="Arial" w:cs="Arial"/>
          <w:i/>
          <w:iCs/>
        </w:rPr>
        <w:t>“caffeine extraction tea waste.”</w:t>
      </w:r>
    </w:p>
    <w:p w:rsidR="00A63251" w:rsidRPr="00A63251" w:rsidRDefault="00A63251" w:rsidP="005918B6">
      <w:pPr>
        <w:pStyle w:val="Body"/>
        <w:spacing w:after="0"/>
        <w:ind w:left="990" w:right="1260"/>
        <w:rPr>
          <w:rFonts w:ascii="Arial" w:hAnsi="Arial" w:cs="Arial"/>
        </w:rPr>
      </w:pPr>
      <w:r w:rsidRPr="00A63251">
        <w:rPr>
          <w:rFonts w:ascii="Arial" w:hAnsi="Arial" w:cs="Arial"/>
        </w:rPr>
        <w:t xml:space="preserve">The inclusion criteria prioritized sources that provided detailed </w:t>
      </w:r>
      <w:r w:rsidRPr="00A63251">
        <w:rPr>
          <w:rFonts w:ascii="Arial" w:hAnsi="Arial" w:cs="Arial"/>
          <w:bCs/>
        </w:rPr>
        <w:t>process descriptions</w:t>
      </w:r>
      <w:r w:rsidRPr="00A63251">
        <w:rPr>
          <w:rFonts w:ascii="Arial" w:hAnsi="Arial" w:cs="Arial"/>
        </w:rPr>
        <w:t xml:space="preserve">, </w:t>
      </w:r>
      <w:r w:rsidRPr="00A63251">
        <w:rPr>
          <w:rFonts w:ascii="Arial" w:hAnsi="Arial" w:cs="Arial"/>
          <w:bCs/>
        </w:rPr>
        <w:t>techno-economic parameters</w:t>
      </w:r>
      <w:r w:rsidRPr="00A63251">
        <w:rPr>
          <w:rFonts w:ascii="Arial" w:hAnsi="Arial" w:cs="Arial"/>
        </w:rPr>
        <w:t xml:space="preserve"> (e.g., yields, operating conditions, cost considerations), </w:t>
      </w:r>
      <w:r w:rsidRPr="00A63251">
        <w:rPr>
          <w:rFonts w:ascii="Arial" w:hAnsi="Arial" w:cs="Arial"/>
          <w:bCs/>
        </w:rPr>
        <w:t>environmental outcomes</w:t>
      </w:r>
      <w:r w:rsidRPr="00A63251">
        <w:rPr>
          <w:rFonts w:ascii="Arial" w:hAnsi="Arial" w:cs="Arial"/>
        </w:rPr>
        <w:t xml:space="preserve"> (such as soil quality, waste reduction, and emissions), and </w:t>
      </w:r>
      <w:r w:rsidRPr="00A63251">
        <w:rPr>
          <w:rFonts w:ascii="Arial" w:hAnsi="Arial" w:cs="Arial"/>
          <w:bCs/>
        </w:rPr>
        <w:t>replicable business models</w:t>
      </w:r>
      <w:r w:rsidRPr="00A63251">
        <w:rPr>
          <w:rFonts w:ascii="Arial" w:hAnsi="Arial" w:cs="Arial"/>
        </w:rPr>
        <w:t xml:space="preserve"> relevant to tea by-product valorization. Policy relevance was cross-checked with official circulars issued by the </w:t>
      </w:r>
      <w:r w:rsidRPr="00A63251">
        <w:rPr>
          <w:rFonts w:ascii="Arial" w:hAnsi="Arial" w:cs="Arial"/>
          <w:bCs/>
        </w:rPr>
        <w:t>Tea Board of India</w:t>
      </w:r>
      <w:r w:rsidRPr="00A63251">
        <w:rPr>
          <w:rFonts w:ascii="Arial" w:hAnsi="Arial" w:cs="Arial"/>
        </w:rPr>
        <w:t xml:space="preserve"> and supplemented with national statistics wherever available.</w:t>
      </w:r>
    </w:p>
    <w:p w:rsidR="00A63251" w:rsidRPr="00A63251" w:rsidRDefault="00A63251" w:rsidP="005918B6">
      <w:pPr>
        <w:pStyle w:val="Body"/>
        <w:spacing w:after="0"/>
        <w:ind w:left="990" w:right="1260"/>
        <w:rPr>
          <w:rFonts w:ascii="Arial" w:hAnsi="Arial" w:cs="Arial"/>
        </w:rPr>
      </w:pPr>
      <w:r w:rsidRPr="00A63251">
        <w:rPr>
          <w:rFonts w:ascii="Arial" w:hAnsi="Arial" w:cs="Arial"/>
        </w:rPr>
        <w:t xml:space="preserve">Rather than relying on a primary cost survey, the study employed a </w:t>
      </w:r>
      <w:r w:rsidRPr="00A63251">
        <w:rPr>
          <w:rFonts w:ascii="Arial" w:hAnsi="Arial" w:cs="Arial"/>
          <w:bCs/>
        </w:rPr>
        <w:t>qualitative synthesis</w:t>
      </w:r>
      <w:r w:rsidRPr="00A63251">
        <w:rPr>
          <w:rFonts w:ascii="Arial" w:hAnsi="Arial" w:cs="Arial"/>
        </w:rPr>
        <w:t xml:space="preserve"> approach, combining evidence across scientific, industrial, and policy sources. This was complemented with </w:t>
      </w:r>
      <w:r w:rsidRPr="00A63251">
        <w:rPr>
          <w:rFonts w:ascii="Arial" w:hAnsi="Arial" w:cs="Arial"/>
          <w:bCs/>
        </w:rPr>
        <w:t>scenario-based economic reasoning</w:t>
      </w:r>
      <w:r w:rsidRPr="00A63251">
        <w:rPr>
          <w:rFonts w:ascii="Arial" w:hAnsi="Arial" w:cs="Arial"/>
        </w:rPr>
        <w:t xml:space="preserve"> to assess the potential scalability and feasibility of different valorization pathways. Such a design aligns with the nature of an </w:t>
      </w:r>
      <w:r w:rsidRPr="00A63251">
        <w:rPr>
          <w:rFonts w:ascii="Arial" w:hAnsi="Arial" w:cs="Arial"/>
          <w:bCs/>
        </w:rPr>
        <w:t>agribusiness desk study</w:t>
      </w:r>
      <w:r w:rsidRPr="00A63251">
        <w:rPr>
          <w:rFonts w:ascii="Arial" w:hAnsi="Arial" w:cs="Arial"/>
        </w:rPr>
        <w:t>, where the objective is to integrate diverse knowledge streams into coherent insights for practice and policy.</w:t>
      </w:r>
    </w:p>
    <w:p w:rsidR="00A63251" w:rsidRPr="00FB3A86" w:rsidRDefault="00A63251" w:rsidP="005918B6">
      <w:pPr>
        <w:pStyle w:val="Body"/>
        <w:spacing w:after="0"/>
        <w:ind w:left="990" w:right="1260"/>
        <w:rPr>
          <w:rFonts w:ascii="Arial" w:hAnsi="Arial" w:cs="Arial"/>
        </w:rPr>
      </w:pPr>
    </w:p>
    <w:p w:rsidR="00902823" w:rsidRDefault="00000F8F" w:rsidP="005918B6">
      <w:pPr>
        <w:pStyle w:val="Head1"/>
        <w:spacing w:after="0"/>
        <w:ind w:left="990" w:right="126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F131C1" w:rsidRPr="00BD2E1B" w:rsidRDefault="00F131C1" w:rsidP="005918B6">
      <w:pPr>
        <w:pStyle w:val="NormalWeb"/>
        <w:ind w:left="990" w:right="1260"/>
        <w:jc w:val="both"/>
        <w:rPr>
          <w:rFonts w:ascii="Arial" w:hAnsi="Arial" w:cs="Arial"/>
          <w:sz w:val="20"/>
          <w:szCs w:val="20"/>
        </w:rPr>
      </w:pPr>
      <w:r w:rsidRPr="00BD2E1B">
        <w:rPr>
          <w:rFonts w:ascii="Arial" w:hAnsi="Arial" w:cs="Arial"/>
          <w:sz w:val="20"/>
          <w:szCs w:val="20"/>
        </w:rPr>
        <w:t xml:space="preserve">The findings from the literature review and secondary data sources underscore the significant </w:t>
      </w:r>
      <w:r w:rsidRPr="00EF6269">
        <w:rPr>
          <w:rStyle w:val="Strong"/>
          <w:rFonts w:ascii="Arial" w:hAnsi="Arial" w:cs="Arial"/>
          <w:b w:val="0"/>
          <w:sz w:val="20"/>
          <w:szCs w:val="20"/>
        </w:rPr>
        <w:t>economic and environmental potential of tea waste utilization</w:t>
      </w:r>
      <w:r w:rsidRPr="00BD2E1B">
        <w:rPr>
          <w:rFonts w:ascii="Arial" w:hAnsi="Arial" w:cs="Arial"/>
          <w:sz w:val="20"/>
          <w:szCs w:val="20"/>
        </w:rPr>
        <w:t>, particularly in the context of Assam’s tea economy. This section synthesizes insights on applications, market opportunities, and challenges, while drawing parallels from global experiences that can be adapted locally.</w:t>
      </w:r>
    </w:p>
    <w:p w:rsidR="00F131C1" w:rsidRPr="0002619F" w:rsidRDefault="00BD2E1B" w:rsidP="005918B6">
      <w:pPr>
        <w:pStyle w:val="Heading3"/>
        <w:ind w:left="990" w:right="1260"/>
        <w:jc w:val="both"/>
        <w:rPr>
          <w:rFonts w:ascii="Arial" w:hAnsi="Arial" w:cs="Arial"/>
          <w:b/>
          <w:color w:val="auto"/>
          <w:sz w:val="22"/>
          <w:szCs w:val="20"/>
        </w:rPr>
      </w:pPr>
      <w:r w:rsidRPr="0002619F">
        <w:rPr>
          <w:rFonts w:ascii="Arial" w:hAnsi="Arial" w:cs="Arial"/>
          <w:b/>
          <w:color w:val="auto"/>
          <w:sz w:val="22"/>
          <w:szCs w:val="20"/>
        </w:rPr>
        <w:t xml:space="preserve">3.1 </w:t>
      </w:r>
      <w:r w:rsidR="00F131C1" w:rsidRPr="0002619F">
        <w:rPr>
          <w:rFonts w:ascii="Arial" w:hAnsi="Arial" w:cs="Arial"/>
          <w:b/>
          <w:color w:val="auto"/>
          <w:sz w:val="22"/>
          <w:szCs w:val="20"/>
        </w:rPr>
        <w:t>Magnitude of Tea Waste Generation</w:t>
      </w:r>
    </w:p>
    <w:p w:rsidR="00F131C1" w:rsidRPr="00EF6269" w:rsidRDefault="00F131C1" w:rsidP="005918B6">
      <w:pPr>
        <w:pStyle w:val="NormalWeb"/>
        <w:ind w:left="990" w:right="1260"/>
        <w:jc w:val="both"/>
        <w:rPr>
          <w:rFonts w:ascii="Arial" w:hAnsi="Arial" w:cs="Arial"/>
          <w:sz w:val="20"/>
          <w:szCs w:val="20"/>
        </w:rPr>
      </w:pPr>
      <w:r w:rsidRPr="00EF6269">
        <w:rPr>
          <w:rFonts w:ascii="Arial" w:hAnsi="Arial" w:cs="Arial"/>
          <w:sz w:val="20"/>
          <w:szCs w:val="20"/>
        </w:rPr>
        <w:t xml:space="preserve">Tea processing in Assam, which contributes over 50% of India’s tea output, inherently produces a large volume of </w:t>
      </w:r>
      <w:r w:rsidRPr="00EF6269">
        <w:rPr>
          <w:rStyle w:val="Strong"/>
          <w:rFonts w:ascii="Arial" w:hAnsi="Arial" w:cs="Arial"/>
          <w:b w:val="0"/>
          <w:sz w:val="20"/>
          <w:szCs w:val="20"/>
        </w:rPr>
        <w:t>by-products</w:t>
      </w:r>
      <w:r w:rsidRPr="00EF6269">
        <w:rPr>
          <w:rFonts w:ascii="Arial" w:hAnsi="Arial" w:cs="Arial"/>
          <w:sz w:val="20"/>
          <w:szCs w:val="20"/>
        </w:rPr>
        <w:t xml:space="preserve">—including stalks, stems, </w:t>
      </w:r>
      <w:proofErr w:type="spellStart"/>
      <w:r w:rsidRPr="00EF6269">
        <w:rPr>
          <w:rFonts w:ascii="Arial" w:hAnsi="Arial" w:cs="Arial"/>
          <w:sz w:val="20"/>
          <w:szCs w:val="20"/>
        </w:rPr>
        <w:t>fannings</w:t>
      </w:r>
      <w:proofErr w:type="spellEnd"/>
      <w:r w:rsidRPr="00EF6269">
        <w:rPr>
          <w:rFonts w:ascii="Arial" w:hAnsi="Arial" w:cs="Arial"/>
          <w:sz w:val="20"/>
          <w:szCs w:val="20"/>
        </w:rPr>
        <w:t xml:space="preserve">, dust, and rejected leaves. Estimates from Indian tea factories suggest that </w:t>
      </w:r>
      <w:r w:rsidRPr="00EF6269">
        <w:rPr>
          <w:rStyle w:val="Strong"/>
          <w:rFonts w:ascii="Arial" w:hAnsi="Arial" w:cs="Arial"/>
          <w:b w:val="0"/>
          <w:sz w:val="20"/>
          <w:szCs w:val="20"/>
        </w:rPr>
        <w:t>7–10% of total green leaf intake</w:t>
      </w:r>
      <w:r w:rsidRPr="00EF6269">
        <w:rPr>
          <w:rFonts w:ascii="Arial" w:hAnsi="Arial" w:cs="Arial"/>
          <w:sz w:val="20"/>
          <w:szCs w:val="20"/>
        </w:rPr>
        <w:t xml:space="preserve"> ends up as waste during processing. In Assam, with annual production exceeding 600 million kg of made tea, this translates to nearly </w:t>
      </w:r>
      <w:r w:rsidRPr="00EF6269">
        <w:rPr>
          <w:rStyle w:val="Strong"/>
          <w:rFonts w:ascii="Arial" w:hAnsi="Arial" w:cs="Arial"/>
          <w:b w:val="0"/>
          <w:sz w:val="20"/>
          <w:szCs w:val="20"/>
        </w:rPr>
        <w:t>40–50 million kg of tea waste annually</w:t>
      </w:r>
      <w:r w:rsidRPr="00EF6269">
        <w:rPr>
          <w:rFonts w:ascii="Arial" w:hAnsi="Arial" w:cs="Arial"/>
          <w:sz w:val="20"/>
          <w:szCs w:val="20"/>
        </w:rPr>
        <w:t>. Without effective valorization, such waste leads to disposal problems, environmental degradation, and opportunity costs.</w:t>
      </w:r>
    </w:p>
    <w:p w:rsidR="00F131C1" w:rsidRPr="0002619F" w:rsidRDefault="00BD2E1B" w:rsidP="005918B6">
      <w:pPr>
        <w:pStyle w:val="Heading3"/>
        <w:ind w:left="990" w:right="1260"/>
        <w:jc w:val="both"/>
        <w:rPr>
          <w:rFonts w:ascii="Arial" w:hAnsi="Arial" w:cs="Arial"/>
          <w:b/>
          <w:color w:val="auto"/>
          <w:sz w:val="22"/>
          <w:szCs w:val="20"/>
        </w:rPr>
      </w:pPr>
      <w:r w:rsidRPr="0002619F">
        <w:rPr>
          <w:rFonts w:ascii="Arial" w:hAnsi="Arial" w:cs="Arial"/>
          <w:b/>
          <w:color w:val="auto"/>
          <w:sz w:val="22"/>
          <w:szCs w:val="20"/>
        </w:rPr>
        <w:lastRenderedPageBreak/>
        <w:t>3.2</w:t>
      </w:r>
      <w:r w:rsidR="00F131C1" w:rsidRPr="0002619F">
        <w:rPr>
          <w:rFonts w:ascii="Arial" w:hAnsi="Arial" w:cs="Arial"/>
          <w:b/>
          <w:color w:val="auto"/>
          <w:sz w:val="22"/>
          <w:szCs w:val="20"/>
        </w:rPr>
        <w:t xml:space="preserve"> Pathways of Tea Waste Utilization</w:t>
      </w:r>
    </w:p>
    <w:p w:rsidR="00F131C1" w:rsidRPr="00BD2E1B" w:rsidRDefault="00F131C1" w:rsidP="005918B6">
      <w:pPr>
        <w:pStyle w:val="NormalWeb"/>
        <w:ind w:left="990" w:right="1260"/>
        <w:jc w:val="both"/>
        <w:rPr>
          <w:rFonts w:ascii="Arial" w:hAnsi="Arial" w:cs="Arial"/>
          <w:sz w:val="20"/>
          <w:szCs w:val="20"/>
        </w:rPr>
      </w:pPr>
      <w:r w:rsidRPr="00BD2E1B">
        <w:rPr>
          <w:rFonts w:ascii="Arial" w:hAnsi="Arial" w:cs="Arial"/>
          <w:sz w:val="20"/>
          <w:szCs w:val="20"/>
        </w:rPr>
        <w:t>Global literature reveals multiple sustainable pathways for tea waste repurposing, each offering distinct agribusiness opportunities for Assam.</w:t>
      </w:r>
    </w:p>
    <w:p w:rsidR="00F131C1" w:rsidRPr="0002619F" w:rsidRDefault="0002619F" w:rsidP="005918B6">
      <w:pPr>
        <w:pStyle w:val="Heading4"/>
        <w:ind w:left="990" w:right="1260"/>
        <w:jc w:val="both"/>
        <w:rPr>
          <w:rFonts w:ascii="Arial" w:hAnsi="Arial" w:cs="Arial"/>
          <w:i w:val="0"/>
          <w:color w:val="auto"/>
          <w:u w:val="single"/>
        </w:rPr>
      </w:pPr>
      <w:r w:rsidRPr="0002619F">
        <w:rPr>
          <w:rFonts w:ascii="Arial" w:hAnsi="Arial" w:cs="Arial"/>
          <w:b/>
          <w:i w:val="0"/>
          <w:color w:val="auto"/>
          <w:u w:val="single"/>
        </w:rPr>
        <w:t>3.2.1</w:t>
      </w:r>
      <w:r w:rsidR="00F131C1" w:rsidRPr="0002619F">
        <w:rPr>
          <w:rFonts w:ascii="Arial" w:hAnsi="Arial" w:cs="Arial"/>
          <w:i w:val="0"/>
          <w:color w:val="auto"/>
          <w:u w:val="single"/>
        </w:rPr>
        <w:t xml:space="preserve"> </w:t>
      </w:r>
      <w:r w:rsidR="00F131C1" w:rsidRPr="0002619F">
        <w:rPr>
          <w:rStyle w:val="Strong"/>
          <w:rFonts w:ascii="Arial" w:hAnsi="Arial" w:cs="Arial"/>
          <w:bCs w:val="0"/>
          <w:i w:val="0"/>
          <w:color w:val="auto"/>
          <w:u w:val="single"/>
        </w:rPr>
        <w:t>Instant Tea and Extracts</w:t>
      </w:r>
    </w:p>
    <w:p w:rsidR="00A40865" w:rsidRPr="00284075" w:rsidRDefault="00A40865" w:rsidP="005918B6">
      <w:pPr>
        <w:pStyle w:val="NormalWeb"/>
        <w:ind w:left="990" w:right="1260"/>
        <w:jc w:val="both"/>
        <w:rPr>
          <w:rFonts w:ascii="Arial" w:hAnsi="Arial" w:cs="Arial"/>
          <w:sz w:val="20"/>
        </w:rPr>
      </w:pPr>
      <w:r w:rsidRPr="00284075">
        <w:rPr>
          <w:rStyle w:val="Strong"/>
          <w:rFonts w:ascii="Arial" w:hAnsi="Arial" w:cs="Arial"/>
          <w:sz w:val="20"/>
        </w:rPr>
        <w:t>Process.</w:t>
      </w:r>
      <w:r w:rsidRPr="00284075">
        <w:rPr>
          <w:rFonts w:ascii="Arial" w:hAnsi="Arial" w:cs="Arial"/>
          <w:sz w:val="20"/>
        </w:rPr>
        <w:t xml:space="preserve"> Instant tea is produced by extracting soluble solids from tea particles (often </w:t>
      </w:r>
      <w:r w:rsidRPr="000C199C">
        <w:rPr>
          <w:rStyle w:val="Strong"/>
          <w:rFonts w:ascii="Arial" w:hAnsi="Arial" w:cs="Arial"/>
          <w:b w:val="0"/>
          <w:sz w:val="20"/>
        </w:rPr>
        <w:t>BMF and fine grades</w:t>
      </w:r>
      <w:r w:rsidRPr="00284075">
        <w:rPr>
          <w:rFonts w:ascii="Arial" w:hAnsi="Arial" w:cs="Arial"/>
          <w:sz w:val="20"/>
        </w:rPr>
        <w:t xml:space="preserve">) using hot water. The resulting liquor is clarified, concentrated, and dried—either by </w:t>
      </w:r>
      <w:r w:rsidRPr="000C199C">
        <w:rPr>
          <w:rStyle w:val="Strong"/>
          <w:rFonts w:ascii="Arial" w:hAnsi="Arial" w:cs="Arial"/>
          <w:b w:val="0"/>
          <w:sz w:val="20"/>
        </w:rPr>
        <w:t>spray-drying</w:t>
      </w:r>
      <w:r w:rsidRPr="000C199C">
        <w:rPr>
          <w:rFonts w:ascii="Arial" w:hAnsi="Arial" w:cs="Arial"/>
          <w:b/>
          <w:sz w:val="20"/>
        </w:rPr>
        <w:t xml:space="preserve"> </w:t>
      </w:r>
      <w:r w:rsidRPr="000C199C">
        <w:rPr>
          <w:rFonts w:ascii="Arial" w:hAnsi="Arial" w:cs="Arial"/>
          <w:sz w:val="20"/>
        </w:rPr>
        <w:t>or</w:t>
      </w:r>
      <w:r w:rsidRPr="000C199C">
        <w:rPr>
          <w:rFonts w:ascii="Arial" w:hAnsi="Arial" w:cs="Arial"/>
          <w:b/>
          <w:sz w:val="20"/>
        </w:rPr>
        <w:t xml:space="preserve"> </w:t>
      </w:r>
      <w:r w:rsidRPr="000C199C">
        <w:rPr>
          <w:rStyle w:val="Strong"/>
          <w:rFonts w:ascii="Arial" w:hAnsi="Arial" w:cs="Arial"/>
          <w:b w:val="0"/>
          <w:sz w:val="20"/>
        </w:rPr>
        <w:t>freeze-drying</w:t>
      </w:r>
      <w:r w:rsidRPr="00284075">
        <w:rPr>
          <w:rFonts w:ascii="Arial" w:hAnsi="Arial" w:cs="Arial"/>
          <w:sz w:val="20"/>
        </w:rPr>
        <w:t xml:space="preserve">. Enzymatic treatments are sometimes applied to enhance solubility and flavor. The availability of low-cost feedstock (BMF and stems, within regulatory limits) and well-established logistics make this pathway immediately investable in Assam, supporting applications in </w:t>
      </w:r>
      <w:r w:rsidRPr="000C199C">
        <w:rPr>
          <w:rStyle w:val="Strong"/>
          <w:rFonts w:ascii="Arial" w:hAnsi="Arial" w:cs="Arial"/>
          <w:b w:val="0"/>
          <w:sz w:val="20"/>
        </w:rPr>
        <w:t>beverages, ready-to-drink mixes, and tea-based shots</w:t>
      </w:r>
      <w:r w:rsidRPr="00284075">
        <w:rPr>
          <w:rFonts w:ascii="Arial" w:hAnsi="Arial" w:cs="Arial"/>
          <w:sz w:val="20"/>
        </w:rPr>
        <w:t xml:space="preserve"> [</w:t>
      </w:r>
      <w:r w:rsidR="00EF6269">
        <w:rPr>
          <w:rFonts w:ascii="Arial" w:hAnsi="Arial" w:cs="Arial"/>
          <w:sz w:val="20"/>
        </w:rPr>
        <w:t>1</w:t>
      </w:r>
      <w:r w:rsidR="00FE5DDF">
        <w:rPr>
          <w:rFonts w:ascii="Arial" w:hAnsi="Arial" w:cs="Arial"/>
          <w:sz w:val="20"/>
        </w:rPr>
        <w:t>6</w:t>
      </w:r>
      <w:r w:rsidRPr="00284075">
        <w:rPr>
          <w:rFonts w:ascii="Arial" w:hAnsi="Arial" w:cs="Arial"/>
          <w:sz w:val="20"/>
        </w:rPr>
        <w:t>].</w:t>
      </w:r>
    </w:p>
    <w:p w:rsidR="00A40865" w:rsidRPr="00284075" w:rsidRDefault="00A40865" w:rsidP="005918B6">
      <w:pPr>
        <w:pStyle w:val="NormalWeb"/>
        <w:ind w:left="990" w:right="1260"/>
        <w:jc w:val="both"/>
        <w:rPr>
          <w:rFonts w:ascii="Arial" w:hAnsi="Arial" w:cs="Arial"/>
          <w:sz w:val="20"/>
        </w:rPr>
      </w:pPr>
      <w:r w:rsidRPr="00284075">
        <w:rPr>
          <w:rStyle w:val="Strong"/>
          <w:rFonts w:ascii="Arial" w:hAnsi="Arial" w:cs="Arial"/>
          <w:sz w:val="20"/>
        </w:rPr>
        <w:t>Industrial status.</w:t>
      </w:r>
      <w:r w:rsidRPr="00284075">
        <w:rPr>
          <w:rFonts w:ascii="Arial" w:hAnsi="Arial" w:cs="Arial"/>
          <w:sz w:val="20"/>
        </w:rPr>
        <w:t xml:space="preserve"> In South Asia, particularly along the </w:t>
      </w:r>
      <w:r w:rsidRPr="000C199C">
        <w:rPr>
          <w:rStyle w:val="Strong"/>
          <w:rFonts w:ascii="Arial" w:hAnsi="Arial" w:cs="Arial"/>
          <w:b w:val="0"/>
          <w:sz w:val="20"/>
        </w:rPr>
        <w:t>Siliguri–Assam corridor</w:t>
      </w:r>
      <w:r w:rsidRPr="00284075">
        <w:rPr>
          <w:rFonts w:ascii="Arial" w:hAnsi="Arial" w:cs="Arial"/>
          <w:sz w:val="20"/>
        </w:rPr>
        <w:t>, factory waste is procured by caffeine- and instant-tea processing units. Comparable practices are reported in Sri Lanka, where BMF grades are widely used for instant tea</w:t>
      </w:r>
      <w:r w:rsidR="00FE5DDF">
        <w:rPr>
          <w:rFonts w:ascii="Arial" w:hAnsi="Arial" w:cs="Arial"/>
          <w:sz w:val="20"/>
        </w:rPr>
        <w:t xml:space="preserve"> [4,5]</w:t>
      </w:r>
      <w:r w:rsidRPr="00284075">
        <w:rPr>
          <w:rFonts w:ascii="Arial" w:hAnsi="Arial" w:cs="Arial"/>
          <w:sz w:val="20"/>
        </w:rPr>
        <w:t xml:space="preserve">. Assam’s recent </w:t>
      </w:r>
      <w:r w:rsidRPr="000C199C">
        <w:rPr>
          <w:rStyle w:val="Strong"/>
          <w:rFonts w:ascii="Arial" w:hAnsi="Arial" w:cs="Arial"/>
          <w:b w:val="0"/>
          <w:sz w:val="20"/>
        </w:rPr>
        <w:t>auction regime for stems and fiber</w:t>
      </w:r>
      <w:r w:rsidRPr="00284075">
        <w:rPr>
          <w:rFonts w:ascii="Arial" w:hAnsi="Arial" w:cs="Arial"/>
          <w:sz w:val="20"/>
        </w:rPr>
        <w:t xml:space="preserve"> has formalized sourcing, improving both traceability and regulatory compliance</w:t>
      </w:r>
      <w:r w:rsidR="00FE5DDF">
        <w:rPr>
          <w:rFonts w:ascii="Arial" w:hAnsi="Arial" w:cs="Arial"/>
          <w:sz w:val="20"/>
        </w:rPr>
        <w:t>.</w:t>
      </w:r>
    </w:p>
    <w:p w:rsidR="00F131C1" w:rsidRPr="00284075" w:rsidRDefault="00A40865" w:rsidP="005918B6">
      <w:pPr>
        <w:pStyle w:val="NormalWeb"/>
        <w:ind w:left="990" w:right="1260"/>
        <w:jc w:val="both"/>
        <w:rPr>
          <w:rFonts w:ascii="Arial" w:hAnsi="Arial" w:cs="Arial"/>
          <w:sz w:val="20"/>
        </w:rPr>
      </w:pPr>
      <w:r w:rsidRPr="00284075">
        <w:rPr>
          <w:rStyle w:val="Strong"/>
          <w:rFonts w:ascii="Arial" w:hAnsi="Arial" w:cs="Arial"/>
          <w:sz w:val="20"/>
        </w:rPr>
        <w:t>Risks and quality.</w:t>
      </w:r>
      <w:r w:rsidRPr="00284075">
        <w:rPr>
          <w:rFonts w:ascii="Arial" w:hAnsi="Arial" w:cs="Arial"/>
          <w:sz w:val="20"/>
        </w:rPr>
        <w:t xml:space="preserve"> Over-extraction can result in bitterness. Moreover, compliance with Tea Board regulations—such as the </w:t>
      </w:r>
      <w:r w:rsidRPr="000C199C">
        <w:rPr>
          <w:rStyle w:val="Strong"/>
          <w:rFonts w:ascii="Arial" w:hAnsi="Arial" w:cs="Arial"/>
          <w:b w:val="0"/>
          <w:sz w:val="20"/>
        </w:rPr>
        <w:t>0.2% threshold for stems/fiber</w:t>
      </w:r>
      <w:r w:rsidRPr="00284075">
        <w:rPr>
          <w:rFonts w:ascii="Arial" w:hAnsi="Arial" w:cs="Arial"/>
          <w:sz w:val="20"/>
        </w:rPr>
        <w:t xml:space="preserve"> and the restriction of end uses—is mandatory. Higher-value instant teas require stringent sensory quality control and consistent upstream grades [</w:t>
      </w:r>
      <w:r w:rsidR="00FE5DDF">
        <w:rPr>
          <w:rFonts w:ascii="Arial" w:hAnsi="Arial" w:cs="Arial"/>
          <w:sz w:val="20"/>
        </w:rPr>
        <w:t>4</w:t>
      </w:r>
      <w:r w:rsidRPr="00284075">
        <w:rPr>
          <w:rFonts w:ascii="Arial" w:hAnsi="Arial" w:cs="Arial"/>
          <w:sz w:val="20"/>
        </w:rPr>
        <w:t>].</w:t>
      </w:r>
    </w:p>
    <w:p w:rsidR="00A40865" w:rsidRPr="00A40865" w:rsidRDefault="00284075" w:rsidP="005918B6">
      <w:pPr>
        <w:pStyle w:val="Heading3"/>
        <w:ind w:left="990" w:right="1260"/>
        <w:jc w:val="both"/>
        <w:rPr>
          <w:rFonts w:ascii="Arial" w:hAnsi="Arial" w:cs="Arial"/>
          <w:b/>
          <w:color w:val="auto"/>
          <w:sz w:val="20"/>
          <w:szCs w:val="20"/>
          <w:u w:val="single"/>
        </w:rPr>
      </w:pPr>
      <w:r>
        <w:rPr>
          <w:rFonts w:ascii="Arial" w:hAnsi="Arial" w:cs="Arial"/>
          <w:b/>
          <w:color w:val="auto"/>
          <w:sz w:val="20"/>
          <w:szCs w:val="20"/>
          <w:u w:val="single"/>
        </w:rPr>
        <w:t>3</w:t>
      </w:r>
      <w:r w:rsidR="00A40865" w:rsidRPr="00A40865">
        <w:rPr>
          <w:rFonts w:ascii="Arial" w:hAnsi="Arial" w:cs="Arial"/>
          <w:b/>
          <w:color w:val="auto"/>
          <w:sz w:val="20"/>
          <w:szCs w:val="20"/>
          <w:u w:val="single"/>
        </w:rPr>
        <w:t>.</w:t>
      </w:r>
      <w:r>
        <w:rPr>
          <w:rFonts w:ascii="Arial" w:hAnsi="Arial" w:cs="Arial"/>
          <w:b/>
          <w:color w:val="auto"/>
          <w:sz w:val="20"/>
          <w:szCs w:val="20"/>
          <w:u w:val="single"/>
        </w:rPr>
        <w:t>2</w:t>
      </w:r>
      <w:r w:rsidR="00A40865" w:rsidRPr="00A40865">
        <w:rPr>
          <w:rFonts w:ascii="Arial" w:hAnsi="Arial" w:cs="Arial"/>
          <w:b/>
          <w:color w:val="auto"/>
          <w:sz w:val="20"/>
          <w:szCs w:val="20"/>
          <w:u w:val="single"/>
        </w:rPr>
        <w:t xml:space="preserve">.2 Tea-based packaging and </w:t>
      </w:r>
      <w:proofErr w:type="spellStart"/>
      <w:r w:rsidR="00A40865" w:rsidRPr="00A40865">
        <w:rPr>
          <w:rFonts w:ascii="Arial" w:hAnsi="Arial" w:cs="Arial"/>
          <w:b/>
          <w:color w:val="auto"/>
          <w:sz w:val="20"/>
          <w:szCs w:val="20"/>
          <w:u w:val="single"/>
        </w:rPr>
        <w:t>biocomposites</w:t>
      </w:r>
      <w:proofErr w:type="spellEnd"/>
    </w:p>
    <w:p w:rsidR="00A40865" w:rsidRPr="00EF6269" w:rsidRDefault="00A40865" w:rsidP="005918B6">
      <w:pPr>
        <w:pStyle w:val="NormalWeb"/>
        <w:ind w:left="990" w:right="1260"/>
        <w:jc w:val="both"/>
        <w:rPr>
          <w:rFonts w:ascii="Arial" w:hAnsi="Arial" w:cs="Arial"/>
          <w:sz w:val="20"/>
          <w:szCs w:val="20"/>
        </w:rPr>
      </w:pPr>
      <w:r w:rsidRPr="00A40865">
        <w:rPr>
          <w:rStyle w:val="Strong"/>
          <w:rFonts w:ascii="Arial" w:hAnsi="Arial" w:cs="Arial"/>
          <w:sz w:val="20"/>
          <w:szCs w:val="20"/>
        </w:rPr>
        <w:t>Process.</w:t>
      </w:r>
      <w:r w:rsidRPr="00A40865">
        <w:rPr>
          <w:rFonts w:ascii="Arial" w:hAnsi="Arial" w:cs="Arial"/>
          <w:sz w:val="20"/>
          <w:szCs w:val="20"/>
        </w:rPr>
        <w:t xml:space="preserve"> </w:t>
      </w:r>
      <w:r w:rsidRPr="00EF6269">
        <w:rPr>
          <w:rFonts w:ascii="Arial" w:hAnsi="Arial" w:cs="Arial"/>
          <w:sz w:val="20"/>
          <w:szCs w:val="20"/>
        </w:rPr>
        <w:t xml:space="preserve">Two technological routes are prominent: (a) production of </w:t>
      </w:r>
      <w:r w:rsidRPr="00EF6269">
        <w:rPr>
          <w:rStyle w:val="Strong"/>
          <w:rFonts w:ascii="Arial" w:hAnsi="Arial" w:cs="Arial"/>
          <w:b w:val="0"/>
          <w:sz w:val="20"/>
          <w:szCs w:val="20"/>
        </w:rPr>
        <w:t>fiber-rich papers or molded fiber</w:t>
      </w:r>
      <w:r w:rsidRPr="00EF6269">
        <w:rPr>
          <w:rFonts w:ascii="Arial" w:hAnsi="Arial" w:cs="Arial"/>
          <w:sz w:val="20"/>
          <w:szCs w:val="20"/>
        </w:rPr>
        <w:t xml:space="preserve"> reinforced with tea residues, and (b) </w:t>
      </w:r>
      <w:r w:rsidRPr="00EF6269">
        <w:rPr>
          <w:rStyle w:val="Strong"/>
          <w:rFonts w:ascii="Arial" w:hAnsi="Arial" w:cs="Arial"/>
          <w:b w:val="0"/>
          <w:sz w:val="20"/>
          <w:szCs w:val="20"/>
        </w:rPr>
        <w:t>bio-films</w:t>
      </w:r>
      <w:r w:rsidRPr="00EF6269">
        <w:rPr>
          <w:rFonts w:ascii="Arial" w:hAnsi="Arial" w:cs="Arial"/>
          <w:sz w:val="20"/>
          <w:szCs w:val="20"/>
        </w:rPr>
        <w:t xml:space="preserve"> incorporating tea-derived antioxidants (e.g., catechins) to provide </w:t>
      </w:r>
      <w:r w:rsidRPr="00EF6269">
        <w:rPr>
          <w:rStyle w:val="Strong"/>
          <w:rFonts w:ascii="Arial" w:hAnsi="Arial" w:cs="Arial"/>
          <w:b w:val="0"/>
          <w:sz w:val="20"/>
          <w:szCs w:val="20"/>
        </w:rPr>
        <w:t>active packaging</w:t>
      </w:r>
      <w:r w:rsidRPr="00EF6269">
        <w:rPr>
          <w:rFonts w:ascii="Arial" w:hAnsi="Arial" w:cs="Arial"/>
          <w:sz w:val="20"/>
          <w:szCs w:val="20"/>
        </w:rPr>
        <w:t xml:space="preserve"> with antimicrobial or antioxidant properties. Japan’s </w:t>
      </w:r>
      <w:r w:rsidRPr="00EF6269">
        <w:rPr>
          <w:rStyle w:val="Strong"/>
          <w:rFonts w:ascii="Arial" w:hAnsi="Arial" w:cs="Arial"/>
          <w:b w:val="0"/>
          <w:sz w:val="20"/>
          <w:szCs w:val="20"/>
        </w:rPr>
        <w:t>CHAMU project</w:t>
      </w:r>
      <w:r w:rsidRPr="00EF6269">
        <w:rPr>
          <w:rFonts w:ascii="Arial" w:hAnsi="Arial" w:cs="Arial"/>
          <w:sz w:val="20"/>
          <w:szCs w:val="20"/>
        </w:rPr>
        <w:t xml:space="preserve"> exemplifies this approach, using tea stems and pruned material to create culturally distinctive packaging that communicates terroir identity [</w:t>
      </w:r>
      <w:r w:rsidR="00EF6269" w:rsidRPr="00EF6269">
        <w:rPr>
          <w:rFonts w:ascii="Arial" w:hAnsi="Arial" w:cs="Arial"/>
          <w:sz w:val="20"/>
          <w:szCs w:val="20"/>
        </w:rPr>
        <w:t>1</w:t>
      </w:r>
      <w:r w:rsidR="00FE5DDF">
        <w:rPr>
          <w:rFonts w:ascii="Arial" w:hAnsi="Arial" w:cs="Arial"/>
          <w:sz w:val="20"/>
          <w:szCs w:val="20"/>
        </w:rPr>
        <w:t>2</w:t>
      </w:r>
      <w:r w:rsidRPr="00EF6269">
        <w:rPr>
          <w:rFonts w:ascii="Arial" w:hAnsi="Arial" w:cs="Arial"/>
          <w:sz w:val="20"/>
          <w:szCs w:val="20"/>
        </w:rPr>
        <w:t>].</w:t>
      </w:r>
    </w:p>
    <w:p w:rsidR="00A40865" w:rsidRPr="00A40865" w:rsidRDefault="00A40865" w:rsidP="005918B6">
      <w:pPr>
        <w:pStyle w:val="NormalWeb"/>
        <w:ind w:left="990" w:right="1260"/>
        <w:jc w:val="both"/>
        <w:rPr>
          <w:rFonts w:ascii="Arial" w:hAnsi="Arial" w:cs="Arial"/>
          <w:sz w:val="20"/>
          <w:szCs w:val="20"/>
        </w:rPr>
      </w:pPr>
      <w:r w:rsidRPr="00EF6269">
        <w:rPr>
          <w:rStyle w:val="Strong"/>
          <w:rFonts w:ascii="Arial" w:hAnsi="Arial" w:cs="Arial"/>
          <w:sz w:val="20"/>
          <w:szCs w:val="20"/>
        </w:rPr>
        <w:t>Feasibility for Assam.</w:t>
      </w:r>
      <w:r w:rsidRPr="00EF6269">
        <w:rPr>
          <w:rFonts w:ascii="Arial" w:hAnsi="Arial" w:cs="Arial"/>
          <w:sz w:val="20"/>
          <w:szCs w:val="20"/>
        </w:rPr>
        <w:t xml:space="preserve"> Blending tea fibers with </w:t>
      </w:r>
      <w:r w:rsidRPr="00EF6269">
        <w:rPr>
          <w:rStyle w:val="Strong"/>
          <w:rFonts w:ascii="Arial" w:hAnsi="Arial" w:cs="Arial"/>
          <w:b w:val="0"/>
          <w:sz w:val="20"/>
          <w:szCs w:val="20"/>
        </w:rPr>
        <w:t>bagasse or bamboo</w:t>
      </w:r>
      <w:r w:rsidRPr="00EF6269">
        <w:rPr>
          <w:rFonts w:ascii="Arial" w:hAnsi="Arial" w:cs="Arial"/>
          <w:sz w:val="20"/>
          <w:szCs w:val="20"/>
        </w:rPr>
        <w:t xml:space="preserve"> could enable artisanal and semi-industrial packaging suitable for </w:t>
      </w:r>
      <w:r w:rsidRPr="00EF6269">
        <w:rPr>
          <w:rStyle w:val="Strong"/>
          <w:rFonts w:ascii="Arial" w:hAnsi="Arial" w:cs="Arial"/>
          <w:b w:val="0"/>
          <w:sz w:val="20"/>
          <w:szCs w:val="20"/>
        </w:rPr>
        <w:t>estate gift lines, tourism markets, and premium retail outlets</w:t>
      </w:r>
      <w:r w:rsidRPr="00EF6269">
        <w:rPr>
          <w:rFonts w:ascii="Arial" w:hAnsi="Arial" w:cs="Arial"/>
          <w:sz w:val="20"/>
          <w:szCs w:val="20"/>
        </w:rPr>
        <w:t xml:space="preserve">. Small and medium enterprises (SMEs) may benefit from </w:t>
      </w:r>
      <w:r w:rsidRPr="00EF6269">
        <w:rPr>
          <w:rStyle w:val="Strong"/>
          <w:rFonts w:ascii="Arial" w:hAnsi="Arial" w:cs="Arial"/>
          <w:b w:val="0"/>
          <w:sz w:val="20"/>
          <w:szCs w:val="20"/>
        </w:rPr>
        <w:t>cluster-based models</w:t>
      </w:r>
      <w:r w:rsidRPr="00EF6269">
        <w:rPr>
          <w:rFonts w:ascii="Arial" w:hAnsi="Arial" w:cs="Arial"/>
          <w:sz w:val="20"/>
          <w:szCs w:val="20"/>
        </w:rPr>
        <w:t xml:space="preserve"> and </w:t>
      </w:r>
      <w:r w:rsidRPr="00EF6269">
        <w:rPr>
          <w:rStyle w:val="Strong"/>
          <w:rFonts w:ascii="Arial" w:hAnsi="Arial" w:cs="Arial"/>
          <w:b w:val="0"/>
          <w:sz w:val="20"/>
          <w:szCs w:val="20"/>
        </w:rPr>
        <w:t>common</w:t>
      </w:r>
      <w:r w:rsidRPr="00A40865">
        <w:rPr>
          <w:rStyle w:val="Strong"/>
          <w:rFonts w:ascii="Arial" w:hAnsi="Arial" w:cs="Arial"/>
          <w:sz w:val="20"/>
          <w:szCs w:val="20"/>
        </w:rPr>
        <w:t xml:space="preserve"> </w:t>
      </w:r>
      <w:r w:rsidRPr="00EF6269">
        <w:rPr>
          <w:rStyle w:val="Strong"/>
          <w:rFonts w:ascii="Arial" w:hAnsi="Arial" w:cs="Arial"/>
          <w:b w:val="0"/>
          <w:sz w:val="20"/>
          <w:szCs w:val="20"/>
        </w:rPr>
        <w:t>facility centers (CFCs)</w:t>
      </w:r>
      <w:r w:rsidRPr="00A40865">
        <w:rPr>
          <w:rFonts w:ascii="Arial" w:hAnsi="Arial" w:cs="Arial"/>
          <w:sz w:val="20"/>
          <w:szCs w:val="20"/>
        </w:rPr>
        <w:t xml:space="preserve"> offering pulping, sheet-forming, die-cutting, and printing services.</w:t>
      </w:r>
    </w:p>
    <w:p w:rsidR="00A40865" w:rsidRPr="00A40865" w:rsidRDefault="00284075" w:rsidP="005918B6">
      <w:pPr>
        <w:pStyle w:val="Heading3"/>
        <w:ind w:left="990" w:right="1260"/>
        <w:jc w:val="both"/>
        <w:rPr>
          <w:rFonts w:ascii="Arial" w:hAnsi="Arial" w:cs="Arial"/>
          <w:b/>
          <w:color w:val="auto"/>
          <w:sz w:val="20"/>
          <w:szCs w:val="20"/>
          <w:u w:val="single"/>
        </w:rPr>
      </w:pPr>
      <w:r>
        <w:rPr>
          <w:rFonts w:ascii="Arial" w:hAnsi="Arial" w:cs="Arial"/>
          <w:b/>
          <w:color w:val="auto"/>
          <w:sz w:val="20"/>
          <w:szCs w:val="20"/>
          <w:u w:val="single"/>
        </w:rPr>
        <w:t>3</w:t>
      </w:r>
      <w:r w:rsidR="00A40865" w:rsidRPr="00A40865">
        <w:rPr>
          <w:rFonts w:ascii="Arial" w:hAnsi="Arial" w:cs="Arial"/>
          <w:b/>
          <w:color w:val="auto"/>
          <w:sz w:val="20"/>
          <w:szCs w:val="20"/>
          <w:u w:val="single"/>
        </w:rPr>
        <w:t>.</w:t>
      </w:r>
      <w:r>
        <w:rPr>
          <w:rFonts w:ascii="Arial" w:hAnsi="Arial" w:cs="Arial"/>
          <w:b/>
          <w:color w:val="auto"/>
          <w:sz w:val="20"/>
          <w:szCs w:val="20"/>
          <w:u w:val="single"/>
        </w:rPr>
        <w:t>2</w:t>
      </w:r>
      <w:r w:rsidR="00A40865" w:rsidRPr="00A40865">
        <w:rPr>
          <w:rFonts w:ascii="Arial" w:hAnsi="Arial" w:cs="Arial"/>
          <w:b/>
          <w:color w:val="auto"/>
          <w:sz w:val="20"/>
          <w:szCs w:val="20"/>
          <w:u w:val="single"/>
        </w:rPr>
        <w:t>.3 Bio-fertilizers and composting/vermicomposting</w:t>
      </w:r>
    </w:p>
    <w:p w:rsidR="00A40865" w:rsidRPr="00EF6269" w:rsidRDefault="00A40865" w:rsidP="005918B6">
      <w:pPr>
        <w:pStyle w:val="NormalWeb"/>
        <w:ind w:left="990" w:right="1260"/>
        <w:jc w:val="both"/>
        <w:rPr>
          <w:rFonts w:ascii="Arial" w:hAnsi="Arial" w:cs="Arial"/>
          <w:sz w:val="20"/>
          <w:szCs w:val="20"/>
        </w:rPr>
      </w:pPr>
      <w:r w:rsidRPr="00A40865">
        <w:rPr>
          <w:rStyle w:val="Strong"/>
          <w:rFonts w:ascii="Arial" w:hAnsi="Arial" w:cs="Arial"/>
          <w:sz w:val="20"/>
          <w:szCs w:val="20"/>
        </w:rPr>
        <w:t>Process.</w:t>
      </w:r>
      <w:r w:rsidRPr="00A40865">
        <w:rPr>
          <w:rFonts w:ascii="Arial" w:hAnsi="Arial" w:cs="Arial"/>
          <w:sz w:val="20"/>
          <w:szCs w:val="20"/>
        </w:rPr>
        <w:t xml:space="preserve"> </w:t>
      </w:r>
      <w:r w:rsidRPr="00EF6269">
        <w:rPr>
          <w:rFonts w:ascii="Arial" w:hAnsi="Arial" w:cs="Arial"/>
          <w:sz w:val="20"/>
          <w:szCs w:val="20"/>
        </w:rPr>
        <w:t xml:space="preserve">Tea sweepings and spent leaves can be </w:t>
      </w:r>
      <w:r w:rsidRPr="000C199C">
        <w:rPr>
          <w:rStyle w:val="Strong"/>
          <w:rFonts w:ascii="Arial" w:hAnsi="Arial" w:cs="Arial"/>
          <w:b w:val="0"/>
          <w:sz w:val="20"/>
          <w:szCs w:val="20"/>
        </w:rPr>
        <w:t>co-composted with cow dung or green waste</w:t>
      </w:r>
      <w:r w:rsidRPr="00EF6269">
        <w:rPr>
          <w:rFonts w:ascii="Arial" w:hAnsi="Arial" w:cs="Arial"/>
          <w:sz w:val="20"/>
          <w:szCs w:val="20"/>
        </w:rPr>
        <w:t xml:space="preserve"> (C:N ratio 25–30:1), with moisture and temperature managed to reduce phytotoxic effects of tannins and caffeine. </w:t>
      </w:r>
      <w:r w:rsidRPr="000C199C">
        <w:rPr>
          <w:rStyle w:val="Strong"/>
          <w:rFonts w:ascii="Arial" w:hAnsi="Arial" w:cs="Arial"/>
          <w:b w:val="0"/>
          <w:sz w:val="20"/>
          <w:szCs w:val="20"/>
        </w:rPr>
        <w:t>Vermicomposting</w:t>
      </w:r>
      <w:r w:rsidRPr="00EF6269">
        <w:rPr>
          <w:rFonts w:ascii="Arial" w:hAnsi="Arial" w:cs="Arial"/>
          <w:sz w:val="20"/>
          <w:szCs w:val="20"/>
        </w:rPr>
        <w:t xml:space="preserve">, particularly using </w:t>
      </w:r>
      <w:r w:rsidRPr="00EF6269">
        <w:rPr>
          <w:rStyle w:val="Emphasis"/>
          <w:rFonts w:ascii="Arial" w:hAnsi="Arial" w:cs="Arial"/>
          <w:sz w:val="20"/>
          <w:szCs w:val="20"/>
        </w:rPr>
        <w:t xml:space="preserve">Eisenia </w:t>
      </w:r>
      <w:proofErr w:type="spellStart"/>
      <w:r w:rsidRPr="00EF6269">
        <w:rPr>
          <w:rStyle w:val="Emphasis"/>
          <w:rFonts w:ascii="Arial" w:hAnsi="Arial" w:cs="Arial"/>
          <w:sz w:val="20"/>
          <w:szCs w:val="20"/>
        </w:rPr>
        <w:t>fetida</w:t>
      </w:r>
      <w:proofErr w:type="spellEnd"/>
      <w:r w:rsidRPr="00EF6269">
        <w:rPr>
          <w:rFonts w:ascii="Arial" w:hAnsi="Arial" w:cs="Arial"/>
          <w:sz w:val="20"/>
          <w:szCs w:val="20"/>
        </w:rPr>
        <w:t xml:space="preserve">, accelerates stabilization and nutrient enrichment. Long-term application in tea plantations has been shown to mitigate </w:t>
      </w:r>
      <w:r w:rsidRPr="000C199C">
        <w:rPr>
          <w:rStyle w:val="Strong"/>
          <w:rFonts w:ascii="Arial" w:hAnsi="Arial" w:cs="Arial"/>
          <w:b w:val="0"/>
          <w:sz w:val="20"/>
          <w:szCs w:val="20"/>
        </w:rPr>
        <w:t>soil acidification</w:t>
      </w:r>
      <w:r w:rsidRPr="00EF6269">
        <w:rPr>
          <w:rFonts w:ascii="Arial" w:hAnsi="Arial" w:cs="Arial"/>
          <w:sz w:val="20"/>
          <w:szCs w:val="20"/>
        </w:rPr>
        <w:t xml:space="preserve">, enhance </w:t>
      </w:r>
      <w:r w:rsidRPr="000C199C">
        <w:rPr>
          <w:rStyle w:val="Strong"/>
          <w:rFonts w:ascii="Arial" w:hAnsi="Arial" w:cs="Arial"/>
          <w:b w:val="0"/>
          <w:sz w:val="20"/>
          <w:szCs w:val="20"/>
        </w:rPr>
        <w:t>microbial activity</w:t>
      </w:r>
      <w:r w:rsidRPr="00EF6269">
        <w:rPr>
          <w:rFonts w:ascii="Arial" w:hAnsi="Arial" w:cs="Arial"/>
          <w:sz w:val="20"/>
          <w:szCs w:val="20"/>
        </w:rPr>
        <w:t>, and improve both yield and quality.</w:t>
      </w:r>
    </w:p>
    <w:p w:rsidR="00A40865" w:rsidRPr="00A40865" w:rsidRDefault="00A40865" w:rsidP="005918B6">
      <w:pPr>
        <w:pStyle w:val="NormalWeb"/>
        <w:ind w:left="990" w:right="1260"/>
        <w:jc w:val="both"/>
        <w:rPr>
          <w:rFonts w:ascii="Arial" w:hAnsi="Arial" w:cs="Arial"/>
          <w:sz w:val="20"/>
          <w:szCs w:val="20"/>
        </w:rPr>
      </w:pPr>
      <w:r w:rsidRPr="00A40865">
        <w:rPr>
          <w:rStyle w:val="Strong"/>
          <w:rFonts w:ascii="Arial" w:hAnsi="Arial" w:cs="Arial"/>
          <w:sz w:val="20"/>
          <w:szCs w:val="20"/>
        </w:rPr>
        <w:t>Assam fit.</w:t>
      </w:r>
      <w:r w:rsidRPr="00A40865">
        <w:rPr>
          <w:rFonts w:ascii="Arial" w:hAnsi="Arial" w:cs="Arial"/>
          <w:sz w:val="20"/>
          <w:szCs w:val="20"/>
        </w:rPr>
        <w:t xml:space="preserve"> Urban centers such as </w:t>
      </w:r>
      <w:r w:rsidRPr="000C199C">
        <w:rPr>
          <w:rStyle w:val="Strong"/>
          <w:rFonts w:ascii="Arial" w:hAnsi="Arial" w:cs="Arial"/>
          <w:b w:val="0"/>
          <w:sz w:val="20"/>
          <w:szCs w:val="20"/>
        </w:rPr>
        <w:t>Guwahati and Dibrugarh</w:t>
      </w:r>
      <w:r w:rsidRPr="00A40865">
        <w:rPr>
          <w:rFonts w:ascii="Arial" w:hAnsi="Arial" w:cs="Arial"/>
          <w:sz w:val="20"/>
          <w:szCs w:val="20"/>
        </w:rPr>
        <w:t xml:space="preserve"> generate considerable spent leaves from food-service outlets, providing feedstock for decentralized composting enterprises that can supply organic inputs to estates and smallholders.</w:t>
      </w:r>
    </w:p>
    <w:p w:rsidR="00A40865" w:rsidRPr="00A40865" w:rsidRDefault="00284075" w:rsidP="005918B6">
      <w:pPr>
        <w:pStyle w:val="Heading3"/>
        <w:ind w:left="990" w:right="1260"/>
        <w:jc w:val="both"/>
        <w:rPr>
          <w:rFonts w:ascii="Arial" w:hAnsi="Arial" w:cs="Arial"/>
          <w:b/>
          <w:color w:val="auto"/>
          <w:sz w:val="20"/>
          <w:szCs w:val="20"/>
          <w:u w:val="single"/>
        </w:rPr>
      </w:pPr>
      <w:r>
        <w:rPr>
          <w:rFonts w:ascii="Arial" w:hAnsi="Arial" w:cs="Arial"/>
          <w:b/>
          <w:color w:val="auto"/>
          <w:sz w:val="20"/>
          <w:szCs w:val="20"/>
          <w:u w:val="single"/>
        </w:rPr>
        <w:t>3</w:t>
      </w:r>
      <w:r w:rsidR="00A40865" w:rsidRPr="00A40865">
        <w:rPr>
          <w:rFonts w:ascii="Arial" w:hAnsi="Arial" w:cs="Arial"/>
          <w:b/>
          <w:color w:val="auto"/>
          <w:sz w:val="20"/>
          <w:szCs w:val="20"/>
          <w:u w:val="single"/>
        </w:rPr>
        <w:t>.</w:t>
      </w:r>
      <w:r>
        <w:rPr>
          <w:rFonts w:ascii="Arial" w:hAnsi="Arial" w:cs="Arial"/>
          <w:b/>
          <w:color w:val="auto"/>
          <w:sz w:val="20"/>
          <w:szCs w:val="20"/>
          <w:u w:val="single"/>
        </w:rPr>
        <w:t>2</w:t>
      </w:r>
      <w:r w:rsidR="00A40865" w:rsidRPr="00A40865">
        <w:rPr>
          <w:rFonts w:ascii="Arial" w:hAnsi="Arial" w:cs="Arial"/>
          <w:b/>
          <w:color w:val="auto"/>
          <w:sz w:val="20"/>
          <w:szCs w:val="20"/>
          <w:u w:val="single"/>
        </w:rPr>
        <w:t>.4 Tea-waste biochar</w:t>
      </w:r>
    </w:p>
    <w:p w:rsidR="00A40865" w:rsidRPr="00A40865" w:rsidRDefault="00A40865" w:rsidP="005918B6">
      <w:pPr>
        <w:pStyle w:val="NormalWeb"/>
        <w:ind w:left="990" w:right="1260"/>
        <w:jc w:val="both"/>
        <w:rPr>
          <w:rFonts w:ascii="Arial" w:hAnsi="Arial" w:cs="Arial"/>
          <w:sz w:val="20"/>
          <w:szCs w:val="20"/>
        </w:rPr>
      </w:pPr>
      <w:r w:rsidRPr="00A40865">
        <w:rPr>
          <w:rStyle w:val="Strong"/>
          <w:rFonts w:ascii="Arial" w:hAnsi="Arial" w:cs="Arial"/>
          <w:sz w:val="20"/>
          <w:szCs w:val="20"/>
        </w:rPr>
        <w:t>Process.</w:t>
      </w:r>
      <w:r w:rsidRPr="00A40865">
        <w:rPr>
          <w:rFonts w:ascii="Arial" w:hAnsi="Arial" w:cs="Arial"/>
          <w:sz w:val="20"/>
          <w:szCs w:val="20"/>
        </w:rPr>
        <w:t xml:space="preserve"> Pyrolysis of tea stems and </w:t>
      </w:r>
      <w:proofErr w:type="spellStart"/>
      <w:r w:rsidRPr="00A40865">
        <w:rPr>
          <w:rFonts w:ascii="Arial" w:hAnsi="Arial" w:cs="Arial"/>
          <w:sz w:val="20"/>
          <w:szCs w:val="20"/>
        </w:rPr>
        <w:t>fannings</w:t>
      </w:r>
      <w:proofErr w:type="spellEnd"/>
      <w:r w:rsidRPr="00A40865">
        <w:rPr>
          <w:rFonts w:ascii="Arial" w:hAnsi="Arial" w:cs="Arial"/>
          <w:sz w:val="20"/>
          <w:szCs w:val="20"/>
        </w:rPr>
        <w:t xml:space="preserve"> at </w:t>
      </w:r>
      <w:r w:rsidRPr="000C199C">
        <w:rPr>
          <w:rStyle w:val="Strong"/>
          <w:rFonts w:ascii="Arial" w:hAnsi="Arial" w:cs="Arial"/>
          <w:b w:val="0"/>
          <w:sz w:val="20"/>
          <w:szCs w:val="20"/>
        </w:rPr>
        <w:t>350–600 °C</w:t>
      </w:r>
      <w:r w:rsidRPr="00A40865">
        <w:rPr>
          <w:rFonts w:ascii="Arial" w:hAnsi="Arial" w:cs="Arial"/>
          <w:sz w:val="20"/>
          <w:szCs w:val="20"/>
        </w:rPr>
        <w:t xml:space="preserve"> yields </w:t>
      </w:r>
      <w:r w:rsidRPr="000C199C">
        <w:rPr>
          <w:rStyle w:val="Strong"/>
          <w:rFonts w:ascii="Arial" w:hAnsi="Arial" w:cs="Arial"/>
          <w:b w:val="0"/>
          <w:sz w:val="20"/>
          <w:szCs w:val="20"/>
        </w:rPr>
        <w:t>biochar</w:t>
      </w:r>
      <w:r w:rsidRPr="00A40865">
        <w:rPr>
          <w:rFonts w:ascii="Arial" w:hAnsi="Arial" w:cs="Arial"/>
          <w:sz w:val="20"/>
          <w:szCs w:val="20"/>
        </w:rPr>
        <w:t xml:space="preserve"> with high surface area and reactive functional groups. In tea </w:t>
      </w:r>
      <w:proofErr w:type="spellStart"/>
      <w:r w:rsidRPr="00A40865">
        <w:rPr>
          <w:rFonts w:ascii="Arial" w:hAnsi="Arial" w:cs="Arial"/>
          <w:sz w:val="20"/>
          <w:szCs w:val="20"/>
        </w:rPr>
        <w:t>agro</w:t>
      </w:r>
      <w:proofErr w:type="spellEnd"/>
      <w:r w:rsidRPr="00A40865">
        <w:rPr>
          <w:rFonts w:ascii="Arial" w:hAnsi="Arial" w:cs="Arial"/>
          <w:sz w:val="20"/>
          <w:szCs w:val="20"/>
        </w:rPr>
        <w:t xml:space="preserve">-ecosystems, tea-waste biochar has been shown to improve </w:t>
      </w:r>
      <w:r w:rsidRPr="000C199C">
        <w:rPr>
          <w:rStyle w:val="Strong"/>
          <w:rFonts w:ascii="Arial" w:hAnsi="Arial" w:cs="Arial"/>
          <w:b w:val="0"/>
          <w:sz w:val="20"/>
          <w:szCs w:val="20"/>
        </w:rPr>
        <w:t>soil pH</w:t>
      </w:r>
      <w:r w:rsidRPr="00A40865">
        <w:rPr>
          <w:rFonts w:ascii="Arial" w:hAnsi="Arial" w:cs="Arial"/>
          <w:sz w:val="20"/>
          <w:szCs w:val="20"/>
        </w:rPr>
        <w:t xml:space="preserve">, increase retention of nutrients such as phosphorus, potassium, and </w:t>
      </w:r>
      <w:r w:rsidRPr="00A40865">
        <w:rPr>
          <w:rFonts w:ascii="Arial" w:hAnsi="Arial" w:cs="Arial"/>
          <w:sz w:val="20"/>
          <w:szCs w:val="20"/>
        </w:rPr>
        <w:lastRenderedPageBreak/>
        <w:t xml:space="preserve">magnesium, and reduce </w:t>
      </w:r>
      <w:r w:rsidRPr="000C199C">
        <w:rPr>
          <w:rStyle w:val="Strong"/>
          <w:rFonts w:ascii="Arial" w:hAnsi="Arial" w:cs="Arial"/>
          <w:b w:val="0"/>
          <w:sz w:val="20"/>
          <w:szCs w:val="20"/>
        </w:rPr>
        <w:t>fluoride uptake</w:t>
      </w:r>
      <w:r w:rsidRPr="00A40865">
        <w:rPr>
          <w:rFonts w:ascii="Arial" w:hAnsi="Arial" w:cs="Arial"/>
          <w:sz w:val="20"/>
          <w:szCs w:val="20"/>
        </w:rPr>
        <w:t xml:space="preserve"> in tea leaves. Modified tea-waste biochar also holds promise for remediation of contaminated soils beyond tea-growing regions [</w:t>
      </w:r>
      <w:r w:rsidR="00FE5DDF">
        <w:rPr>
          <w:rFonts w:ascii="Arial" w:hAnsi="Arial" w:cs="Arial"/>
          <w:sz w:val="20"/>
          <w:szCs w:val="20"/>
        </w:rPr>
        <w:t>7,8,9,10</w:t>
      </w:r>
      <w:r w:rsidRPr="00A40865">
        <w:rPr>
          <w:rFonts w:ascii="Arial" w:hAnsi="Arial" w:cs="Arial"/>
          <w:sz w:val="20"/>
          <w:szCs w:val="20"/>
        </w:rPr>
        <w:t>].</w:t>
      </w:r>
    </w:p>
    <w:p w:rsidR="00A40865" w:rsidRPr="00A40865" w:rsidRDefault="00A40865" w:rsidP="005918B6">
      <w:pPr>
        <w:pStyle w:val="NormalWeb"/>
        <w:ind w:left="990" w:right="1260"/>
        <w:jc w:val="both"/>
        <w:rPr>
          <w:rFonts w:ascii="Arial" w:hAnsi="Arial" w:cs="Arial"/>
          <w:sz w:val="20"/>
          <w:szCs w:val="20"/>
        </w:rPr>
      </w:pPr>
      <w:r w:rsidRPr="00A40865">
        <w:rPr>
          <w:rStyle w:val="Strong"/>
          <w:rFonts w:ascii="Arial" w:hAnsi="Arial" w:cs="Arial"/>
          <w:sz w:val="20"/>
          <w:szCs w:val="20"/>
        </w:rPr>
        <w:t>Assam fit.</w:t>
      </w:r>
      <w:r w:rsidRPr="00A40865">
        <w:rPr>
          <w:rFonts w:ascii="Arial" w:hAnsi="Arial" w:cs="Arial"/>
          <w:sz w:val="20"/>
          <w:szCs w:val="20"/>
        </w:rPr>
        <w:t xml:space="preserve"> Given Assam’s </w:t>
      </w:r>
      <w:r w:rsidRPr="000C199C">
        <w:rPr>
          <w:rStyle w:val="Strong"/>
          <w:rFonts w:ascii="Arial" w:hAnsi="Arial" w:cs="Arial"/>
          <w:b w:val="0"/>
          <w:sz w:val="20"/>
          <w:szCs w:val="20"/>
        </w:rPr>
        <w:t>acidic soils</w:t>
      </w:r>
      <w:r w:rsidRPr="00A40865">
        <w:rPr>
          <w:rFonts w:ascii="Arial" w:hAnsi="Arial" w:cs="Arial"/>
          <w:sz w:val="20"/>
          <w:szCs w:val="20"/>
        </w:rPr>
        <w:t xml:space="preserve"> and high rainfall, nutrient leaching is a significant challenge. Small-scale </w:t>
      </w:r>
      <w:r w:rsidRPr="000C199C">
        <w:rPr>
          <w:rStyle w:val="Strong"/>
          <w:rFonts w:ascii="Arial" w:hAnsi="Arial" w:cs="Arial"/>
          <w:b w:val="0"/>
          <w:sz w:val="20"/>
          <w:szCs w:val="20"/>
        </w:rPr>
        <w:t>retort-kiln biochar units</w:t>
      </w:r>
      <w:r w:rsidRPr="00A40865">
        <w:rPr>
          <w:rFonts w:ascii="Arial" w:hAnsi="Arial" w:cs="Arial"/>
          <w:sz w:val="20"/>
          <w:szCs w:val="20"/>
        </w:rPr>
        <w:t xml:space="preserve"> linked to tea estates could serve both tea and non-tea farmers, while also generating </w:t>
      </w:r>
      <w:r w:rsidRPr="000C199C">
        <w:rPr>
          <w:rStyle w:val="Strong"/>
          <w:rFonts w:ascii="Arial" w:hAnsi="Arial" w:cs="Arial"/>
          <w:b w:val="0"/>
          <w:sz w:val="20"/>
          <w:szCs w:val="20"/>
        </w:rPr>
        <w:t>carbon-credit opportunities</w:t>
      </w:r>
      <w:r w:rsidRPr="00A40865">
        <w:rPr>
          <w:rFonts w:ascii="Arial" w:hAnsi="Arial" w:cs="Arial"/>
          <w:sz w:val="20"/>
          <w:szCs w:val="20"/>
        </w:rPr>
        <w:t>.</w:t>
      </w:r>
    </w:p>
    <w:p w:rsidR="00A40865" w:rsidRPr="00A40865" w:rsidRDefault="00284075" w:rsidP="005918B6">
      <w:pPr>
        <w:pStyle w:val="Heading3"/>
        <w:ind w:left="990" w:right="1260"/>
        <w:jc w:val="both"/>
        <w:rPr>
          <w:rFonts w:ascii="Arial" w:hAnsi="Arial" w:cs="Arial"/>
          <w:b/>
          <w:color w:val="auto"/>
          <w:sz w:val="20"/>
          <w:szCs w:val="20"/>
          <w:u w:val="single"/>
        </w:rPr>
      </w:pPr>
      <w:r>
        <w:rPr>
          <w:rFonts w:ascii="Arial" w:hAnsi="Arial" w:cs="Arial"/>
          <w:b/>
          <w:color w:val="auto"/>
          <w:sz w:val="20"/>
          <w:szCs w:val="20"/>
          <w:u w:val="single"/>
        </w:rPr>
        <w:t>3.2</w:t>
      </w:r>
      <w:r w:rsidR="00A40865" w:rsidRPr="00A40865">
        <w:rPr>
          <w:rFonts w:ascii="Arial" w:hAnsi="Arial" w:cs="Arial"/>
          <w:b/>
          <w:color w:val="auto"/>
          <w:sz w:val="20"/>
          <w:szCs w:val="20"/>
          <w:u w:val="single"/>
        </w:rPr>
        <w:t>.5 Paper manufacturing</w:t>
      </w:r>
    </w:p>
    <w:p w:rsidR="00A40865" w:rsidRPr="00A40865" w:rsidRDefault="00A40865" w:rsidP="005918B6">
      <w:pPr>
        <w:pStyle w:val="NormalWeb"/>
        <w:ind w:left="990" w:right="1260"/>
        <w:jc w:val="both"/>
        <w:rPr>
          <w:rFonts w:ascii="Arial" w:hAnsi="Arial" w:cs="Arial"/>
          <w:sz w:val="20"/>
          <w:szCs w:val="20"/>
        </w:rPr>
      </w:pPr>
      <w:r w:rsidRPr="00A40865">
        <w:rPr>
          <w:rStyle w:val="Strong"/>
          <w:rFonts w:ascii="Arial" w:hAnsi="Arial" w:cs="Arial"/>
          <w:sz w:val="20"/>
          <w:szCs w:val="20"/>
        </w:rPr>
        <w:t>Process.</w:t>
      </w:r>
      <w:r w:rsidRPr="00A40865">
        <w:rPr>
          <w:rFonts w:ascii="Arial" w:hAnsi="Arial" w:cs="Arial"/>
          <w:sz w:val="20"/>
          <w:szCs w:val="20"/>
        </w:rPr>
        <w:t xml:space="preserve"> Tea fibers can be pulped and bleached to produce </w:t>
      </w:r>
      <w:r w:rsidRPr="000C199C">
        <w:rPr>
          <w:rStyle w:val="Strong"/>
          <w:rFonts w:ascii="Arial" w:hAnsi="Arial" w:cs="Arial"/>
          <w:b w:val="0"/>
          <w:sz w:val="20"/>
          <w:szCs w:val="20"/>
        </w:rPr>
        <w:t>handmade and specialty papers</w:t>
      </w:r>
      <w:r w:rsidRPr="00A40865">
        <w:rPr>
          <w:rFonts w:ascii="Arial" w:hAnsi="Arial" w:cs="Arial"/>
          <w:sz w:val="20"/>
          <w:szCs w:val="20"/>
        </w:rPr>
        <w:t xml:space="preserve">, suitable for </w:t>
      </w:r>
      <w:r w:rsidRPr="000C199C">
        <w:rPr>
          <w:rStyle w:val="Strong"/>
          <w:rFonts w:ascii="Arial" w:hAnsi="Arial" w:cs="Arial"/>
          <w:b w:val="0"/>
          <w:sz w:val="20"/>
          <w:szCs w:val="20"/>
        </w:rPr>
        <w:t>stationery, labels, and premium packaging</w:t>
      </w:r>
      <w:r w:rsidRPr="00A40865">
        <w:rPr>
          <w:rFonts w:ascii="Arial" w:hAnsi="Arial" w:cs="Arial"/>
          <w:sz w:val="20"/>
          <w:szCs w:val="20"/>
        </w:rPr>
        <w:t xml:space="preserve">. India’s craft sector already demonstrates prototypes of such applications. Assam’s established </w:t>
      </w:r>
      <w:r w:rsidRPr="000C199C">
        <w:rPr>
          <w:rStyle w:val="Strong"/>
          <w:rFonts w:ascii="Arial" w:hAnsi="Arial" w:cs="Arial"/>
          <w:b w:val="0"/>
          <w:sz w:val="20"/>
          <w:szCs w:val="20"/>
        </w:rPr>
        <w:t>handicraft ecosystem</w:t>
      </w:r>
      <w:r w:rsidRPr="00A40865">
        <w:rPr>
          <w:rFonts w:ascii="Arial" w:hAnsi="Arial" w:cs="Arial"/>
          <w:sz w:val="20"/>
          <w:szCs w:val="20"/>
        </w:rPr>
        <w:t xml:space="preserve"> (notably in bamboo, cane, and </w:t>
      </w:r>
      <w:proofErr w:type="spellStart"/>
      <w:r w:rsidRPr="00A40865">
        <w:rPr>
          <w:rFonts w:ascii="Arial" w:hAnsi="Arial" w:cs="Arial"/>
          <w:sz w:val="20"/>
          <w:szCs w:val="20"/>
        </w:rPr>
        <w:t>sitalpati</w:t>
      </w:r>
      <w:proofErr w:type="spellEnd"/>
      <w:r w:rsidRPr="00A40865">
        <w:rPr>
          <w:rFonts w:ascii="Arial" w:hAnsi="Arial" w:cs="Arial"/>
          <w:sz w:val="20"/>
          <w:szCs w:val="20"/>
        </w:rPr>
        <w:t xml:space="preserve"> weaving) provides a natural synergy for scaling these initiatives [</w:t>
      </w:r>
      <w:r w:rsidR="00FE5DDF">
        <w:rPr>
          <w:rFonts w:ascii="Arial" w:hAnsi="Arial" w:cs="Arial"/>
          <w:sz w:val="20"/>
          <w:szCs w:val="20"/>
        </w:rPr>
        <w:t>11</w:t>
      </w:r>
      <w:r w:rsidRPr="00A40865">
        <w:rPr>
          <w:rFonts w:ascii="Arial" w:hAnsi="Arial" w:cs="Arial"/>
          <w:sz w:val="20"/>
          <w:szCs w:val="20"/>
        </w:rPr>
        <w:t>].</w:t>
      </w:r>
    </w:p>
    <w:p w:rsidR="00A40865" w:rsidRPr="00284075" w:rsidRDefault="00284075" w:rsidP="005918B6">
      <w:pPr>
        <w:pStyle w:val="Heading3"/>
        <w:ind w:left="990" w:right="1260"/>
        <w:jc w:val="both"/>
        <w:rPr>
          <w:rFonts w:ascii="Arial" w:hAnsi="Arial" w:cs="Arial"/>
          <w:b/>
          <w:color w:val="auto"/>
          <w:sz w:val="20"/>
          <w:szCs w:val="20"/>
          <w:u w:val="single"/>
        </w:rPr>
      </w:pPr>
      <w:r>
        <w:rPr>
          <w:rFonts w:ascii="Arial" w:hAnsi="Arial" w:cs="Arial"/>
          <w:b/>
          <w:color w:val="auto"/>
          <w:sz w:val="20"/>
          <w:szCs w:val="20"/>
          <w:u w:val="single"/>
        </w:rPr>
        <w:t>3</w:t>
      </w:r>
      <w:r w:rsidR="00A40865" w:rsidRPr="00284075">
        <w:rPr>
          <w:rFonts w:ascii="Arial" w:hAnsi="Arial" w:cs="Arial"/>
          <w:b/>
          <w:color w:val="auto"/>
          <w:sz w:val="20"/>
          <w:szCs w:val="20"/>
          <w:u w:val="single"/>
        </w:rPr>
        <w:t>.</w:t>
      </w:r>
      <w:r>
        <w:rPr>
          <w:rFonts w:ascii="Arial" w:hAnsi="Arial" w:cs="Arial"/>
          <w:b/>
          <w:color w:val="auto"/>
          <w:sz w:val="20"/>
          <w:szCs w:val="20"/>
          <w:u w:val="single"/>
        </w:rPr>
        <w:t>2</w:t>
      </w:r>
      <w:r w:rsidR="00A40865" w:rsidRPr="00284075">
        <w:rPr>
          <w:rFonts w:ascii="Arial" w:hAnsi="Arial" w:cs="Arial"/>
          <w:b/>
          <w:color w:val="auto"/>
          <w:sz w:val="20"/>
          <w:szCs w:val="20"/>
          <w:u w:val="single"/>
        </w:rPr>
        <w:t>.6 Animal feed</w:t>
      </w:r>
    </w:p>
    <w:p w:rsidR="00A40865" w:rsidRPr="00A40865" w:rsidRDefault="00A40865" w:rsidP="005918B6">
      <w:pPr>
        <w:pStyle w:val="NormalWeb"/>
        <w:ind w:left="990" w:right="1260"/>
        <w:jc w:val="both"/>
        <w:rPr>
          <w:rFonts w:ascii="Arial" w:hAnsi="Arial" w:cs="Arial"/>
          <w:sz w:val="20"/>
          <w:szCs w:val="20"/>
        </w:rPr>
      </w:pPr>
      <w:r w:rsidRPr="00A40865">
        <w:rPr>
          <w:rStyle w:val="Strong"/>
          <w:rFonts w:ascii="Arial" w:hAnsi="Arial" w:cs="Arial"/>
          <w:sz w:val="20"/>
          <w:szCs w:val="20"/>
        </w:rPr>
        <w:t>Process/status.</w:t>
      </w:r>
      <w:r w:rsidRPr="00A40865">
        <w:rPr>
          <w:rFonts w:ascii="Arial" w:hAnsi="Arial" w:cs="Arial"/>
          <w:sz w:val="20"/>
          <w:szCs w:val="20"/>
        </w:rPr>
        <w:t xml:space="preserve"> </w:t>
      </w:r>
      <w:r w:rsidRPr="000C199C">
        <w:rPr>
          <w:rStyle w:val="Strong"/>
          <w:rFonts w:ascii="Arial" w:hAnsi="Arial" w:cs="Arial"/>
          <w:b w:val="0"/>
          <w:sz w:val="20"/>
          <w:szCs w:val="20"/>
        </w:rPr>
        <w:t>Green tea by-products (GTBP)</w:t>
      </w:r>
      <w:r w:rsidRPr="00A40865">
        <w:rPr>
          <w:rFonts w:ascii="Arial" w:hAnsi="Arial" w:cs="Arial"/>
          <w:sz w:val="20"/>
          <w:szCs w:val="20"/>
        </w:rPr>
        <w:t xml:space="preserve"> have been evaluated as feed supplements for pigs, poultry, goats, and cattle. Trials report improved </w:t>
      </w:r>
      <w:r w:rsidRPr="000C199C">
        <w:rPr>
          <w:rStyle w:val="Strong"/>
          <w:rFonts w:ascii="Arial" w:hAnsi="Arial" w:cs="Arial"/>
          <w:b w:val="0"/>
          <w:sz w:val="20"/>
          <w:szCs w:val="20"/>
        </w:rPr>
        <w:t>oxidative stability of meat</w:t>
      </w:r>
      <w:r w:rsidRPr="00A40865">
        <w:rPr>
          <w:rFonts w:ascii="Arial" w:hAnsi="Arial" w:cs="Arial"/>
          <w:sz w:val="20"/>
          <w:szCs w:val="20"/>
        </w:rPr>
        <w:t xml:space="preserve"> and certain performance parameters. However, high </w:t>
      </w:r>
      <w:r w:rsidRPr="000C199C">
        <w:rPr>
          <w:rStyle w:val="Strong"/>
          <w:rFonts w:ascii="Arial" w:hAnsi="Arial" w:cs="Arial"/>
          <w:b w:val="0"/>
          <w:sz w:val="20"/>
          <w:szCs w:val="20"/>
        </w:rPr>
        <w:t>tannin content</w:t>
      </w:r>
      <w:r w:rsidRPr="00A40865">
        <w:rPr>
          <w:rFonts w:ascii="Arial" w:hAnsi="Arial" w:cs="Arial"/>
          <w:sz w:val="20"/>
          <w:szCs w:val="20"/>
        </w:rPr>
        <w:t xml:space="preserve"> depresses protein digestibility unless mitigated through</w:t>
      </w:r>
      <w:r w:rsidRPr="000C199C">
        <w:rPr>
          <w:rFonts w:ascii="Arial" w:hAnsi="Arial" w:cs="Arial"/>
          <w:sz w:val="20"/>
          <w:szCs w:val="20"/>
        </w:rPr>
        <w:t xml:space="preserve"> </w:t>
      </w:r>
      <w:r w:rsidRPr="000C199C">
        <w:rPr>
          <w:rStyle w:val="Strong"/>
          <w:rFonts w:ascii="Arial" w:hAnsi="Arial" w:cs="Arial"/>
          <w:b w:val="0"/>
          <w:sz w:val="20"/>
          <w:szCs w:val="20"/>
        </w:rPr>
        <w:t>ensiling</w:t>
      </w:r>
      <w:r w:rsidRPr="000C199C">
        <w:rPr>
          <w:rFonts w:ascii="Arial" w:hAnsi="Arial" w:cs="Arial"/>
          <w:b/>
          <w:sz w:val="20"/>
          <w:szCs w:val="20"/>
        </w:rPr>
        <w:t xml:space="preserve"> </w:t>
      </w:r>
      <w:r w:rsidRPr="00A40865">
        <w:rPr>
          <w:rFonts w:ascii="Arial" w:hAnsi="Arial" w:cs="Arial"/>
          <w:sz w:val="20"/>
          <w:szCs w:val="20"/>
        </w:rPr>
        <w:t xml:space="preserve">or addition </w:t>
      </w:r>
      <w:r w:rsidRPr="000C199C">
        <w:rPr>
          <w:rFonts w:ascii="Arial" w:hAnsi="Arial" w:cs="Arial"/>
          <w:sz w:val="20"/>
          <w:szCs w:val="20"/>
        </w:rPr>
        <w:t>of</w:t>
      </w:r>
      <w:r w:rsidRPr="000C199C">
        <w:rPr>
          <w:rFonts w:ascii="Arial" w:hAnsi="Arial" w:cs="Arial"/>
          <w:b/>
          <w:sz w:val="20"/>
          <w:szCs w:val="20"/>
        </w:rPr>
        <w:t xml:space="preserve"> </w:t>
      </w:r>
      <w:r w:rsidRPr="000C199C">
        <w:rPr>
          <w:rStyle w:val="Strong"/>
          <w:rFonts w:ascii="Arial" w:hAnsi="Arial" w:cs="Arial"/>
          <w:b w:val="0"/>
          <w:sz w:val="20"/>
          <w:szCs w:val="20"/>
        </w:rPr>
        <w:t>tannin-binding agents</w:t>
      </w:r>
      <w:r w:rsidRPr="00A40865">
        <w:rPr>
          <w:rFonts w:ascii="Arial" w:hAnsi="Arial" w:cs="Arial"/>
          <w:sz w:val="20"/>
          <w:szCs w:val="20"/>
        </w:rPr>
        <w:t xml:space="preserve"> such as polyethylene glycol (PEG). Caffeine content also imposes strict inclusion limits, making this a </w:t>
      </w:r>
      <w:r w:rsidRPr="000C199C">
        <w:rPr>
          <w:rStyle w:val="Strong"/>
          <w:rFonts w:ascii="Arial" w:hAnsi="Arial" w:cs="Arial"/>
          <w:b w:val="0"/>
          <w:sz w:val="20"/>
          <w:szCs w:val="20"/>
        </w:rPr>
        <w:t>knowledge-intensive niche</w:t>
      </w:r>
      <w:r w:rsidRPr="00A40865">
        <w:rPr>
          <w:rFonts w:ascii="Arial" w:hAnsi="Arial" w:cs="Arial"/>
          <w:sz w:val="20"/>
          <w:szCs w:val="20"/>
        </w:rPr>
        <w:t xml:space="preserve"> rather than a bulk outlet [</w:t>
      </w:r>
      <w:r w:rsidR="00FE5DDF">
        <w:rPr>
          <w:rFonts w:ascii="Arial" w:hAnsi="Arial" w:cs="Arial"/>
          <w:sz w:val="20"/>
          <w:szCs w:val="20"/>
        </w:rPr>
        <w:t>15</w:t>
      </w:r>
      <w:r w:rsidRPr="00A40865">
        <w:rPr>
          <w:rFonts w:ascii="Arial" w:hAnsi="Arial" w:cs="Arial"/>
          <w:sz w:val="20"/>
          <w:szCs w:val="20"/>
        </w:rPr>
        <w:t>].</w:t>
      </w:r>
    </w:p>
    <w:p w:rsidR="00A40865" w:rsidRPr="00284075" w:rsidRDefault="00284075" w:rsidP="005918B6">
      <w:pPr>
        <w:pStyle w:val="Heading3"/>
        <w:ind w:left="990" w:right="1260"/>
        <w:jc w:val="both"/>
        <w:rPr>
          <w:rFonts w:ascii="Arial" w:hAnsi="Arial" w:cs="Arial"/>
          <w:b/>
          <w:color w:val="auto"/>
          <w:sz w:val="20"/>
          <w:szCs w:val="20"/>
          <w:u w:val="single"/>
        </w:rPr>
      </w:pPr>
      <w:r>
        <w:rPr>
          <w:rFonts w:ascii="Arial" w:hAnsi="Arial" w:cs="Arial"/>
          <w:b/>
          <w:color w:val="auto"/>
          <w:sz w:val="20"/>
          <w:szCs w:val="20"/>
          <w:u w:val="single"/>
        </w:rPr>
        <w:t>3</w:t>
      </w:r>
      <w:r w:rsidR="00A40865" w:rsidRPr="00284075">
        <w:rPr>
          <w:rFonts w:ascii="Arial" w:hAnsi="Arial" w:cs="Arial"/>
          <w:b/>
          <w:color w:val="auto"/>
          <w:sz w:val="20"/>
          <w:szCs w:val="20"/>
          <w:u w:val="single"/>
        </w:rPr>
        <w:t>.</w:t>
      </w:r>
      <w:r>
        <w:rPr>
          <w:rFonts w:ascii="Arial" w:hAnsi="Arial" w:cs="Arial"/>
          <w:b/>
          <w:color w:val="auto"/>
          <w:sz w:val="20"/>
          <w:szCs w:val="20"/>
          <w:u w:val="single"/>
        </w:rPr>
        <w:t>2</w:t>
      </w:r>
      <w:r w:rsidR="00A40865" w:rsidRPr="00284075">
        <w:rPr>
          <w:rFonts w:ascii="Arial" w:hAnsi="Arial" w:cs="Arial"/>
          <w:b/>
          <w:color w:val="auto"/>
          <w:sz w:val="20"/>
          <w:szCs w:val="20"/>
          <w:u w:val="single"/>
        </w:rPr>
        <w:t>.7 Cosmetics and nutraceuticals</w:t>
      </w:r>
    </w:p>
    <w:p w:rsidR="00A40865" w:rsidRPr="00A40865" w:rsidRDefault="00A40865" w:rsidP="005918B6">
      <w:pPr>
        <w:pStyle w:val="NormalWeb"/>
        <w:ind w:left="990" w:right="1260"/>
        <w:jc w:val="both"/>
        <w:rPr>
          <w:rFonts w:ascii="Arial" w:hAnsi="Arial" w:cs="Arial"/>
          <w:sz w:val="20"/>
          <w:szCs w:val="20"/>
        </w:rPr>
      </w:pPr>
      <w:r w:rsidRPr="00A40865">
        <w:rPr>
          <w:rStyle w:val="Strong"/>
          <w:rFonts w:ascii="Arial" w:hAnsi="Arial" w:cs="Arial"/>
          <w:sz w:val="20"/>
          <w:szCs w:val="20"/>
        </w:rPr>
        <w:t>Process/status.</w:t>
      </w:r>
      <w:r w:rsidRPr="00A40865">
        <w:rPr>
          <w:rFonts w:ascii="Arial" w:hAnsi="Arial" w:cs="Arial"/>
          <w:sz w:val="20"/>
          <w:szCs w:val="20"/>
        </w:rPr>
        <w:t xml:space="preserve"> Spent tea retains valuable </w:t>
      </w:r>
      <w:r w:rsidRPr="000C199C">
        <w:rPr>
          <w:rStyle w:val="Strong"/>
          <w:rFonts w:ascii="Arial" w:hAnsi="Arial" w:cs="Arial"/>
          <w:b w:val="0"/>
          <w:sz w:val="20"/>
          <w:szCs w:val="20"/>
        </w:rPr>
        <w:t>polyphenols, flavonoids, and caffeine</w:t>
      </w:r>
      <w:r w:rsidRPr="00A40865">
        <w:rPr>
          <w:rFonts w:ascii="Arial" w:hAnsi="Arial" w:cs="Arial"/>
          <w:sz w:val="20"/>
          <w:szCs w:val="20"/>
        </w:rPr>
        <w:t xml:space="preserve">. Modern </w:t>
      </w:r>
      <w:r w:rsidRPr="000C199C">
        <w:rPr>
          <w:rStyle w:val="Strong"/>
          <w:rFonts w:ascii="Arial" w:hAnsi="Arial" w:cs="Arial"/>
          <w:b w:val="0"/>
          <w:sz w:val="20"/>
          <w:szCs w:val="20"/>
        </w:rPr>
        <w:t>green extraction technologies</w:t>
      </w:r>
      <w:r w:rsidRPr="00A40865">
        <w:rPr>
          <w:rFonts w:ascii="Arial" w:hAnsi="Arial" w:cs="Arial"/>
          <w:sz w:val="20"/>
          <w:szCs w:val="20"/>
        </w:rPr>
        <w:t>—including ultrasound-assisted extraction and supercritical CO</w:t>
      </w:r>
      <w:r w:rsidRPr="00A40865">
        <w:rPr>
          <w:rFonts w:ascii="Cambria Math" w:hAnsi="Cambria Math" w:cs="Cambria Math"/>
          <w:sz w:val="20"/>
          <w:szCs w:val="20"/>
        </w:rPr>
        <w:t>₂</w:t>
      </w:r>
      <w:r w:rsidRPr="00A40865">
        <w:rPr>
          <w:rFonts w:ascii="Arial" w:hAnsi="Arial" w:cs="Arial"/>
          <w:sz w:val="20"/>
          <w:szCs w:val="20"/>
        </w:rPr>
        <w:t xml:space="preserve"> extraction—have been shown to enhance recovery efficiency with reduced environmental impact. Extracts are used in </w:t>
      </w:r>
      <w:r w:rsidRPr="000C199C">
        <w:rPr>
          <w:rStyle w:val="Strong"/>
          <w:rFonts w:ascii="Arial" w:hAnsi="Arial" w:cs="Arial"/>
          <w:b w:val="0"/>
          <w:sz w:val="20"/>
          <w:szCs w:val="20"/>
        </w:rPr>
        <w:t>cosmeceuticals</w:t>
      </w:r>
      <w:r w:rsidRPr="00A40865">
        <w:rPr>
          <w:rFonts w:ascii="Arial" w:hAnsi="Arial" w:cs="Arial"/>
          <w:sz w:val="20"/>
          <w:szCs w:val="20"/>
        </w:rPr>
        <w:t xml:space="preserve"> (anti-sebum, antioxidant skincare) and functional food formulations. Assam’s estates could supply standardized spent tea under </w:t>
      </w:r>
      <w:r w:rsidRPr="000C199C">
        <w:rPr>
          <w:rStyle w:val="Strong"/>
          <w:rFonts w:ascii="Arial" w:hAnsi="Arial" w:cs="Arial"/>
          <w:b w:val="0"/>
          <w:sz w:val="20"/>
          <w:szCs w:val="20"/>
        </w:rPr>
        <w:t>Good Manufacturing Practice (GMP)</w:t>
      </w:r>
      <w:r w:rsidRPr="00A40865">
        <w:rPr>
          <w:rFonts w:ascii="Arial" w:hAnsi="Arial" w:cs="Arial"/>
          <w:sz w:val="20"/>
          <w:szCs w:val="20"/>
        </w:rPr>
        <w:t xml:space="preserve"> regimes to regional extractors targeting </w:t>
      </w:r>
      <w:r w:rsidRPr="000C199C">
        <w:rPr>
          <w:rStyle w:val="Strong"/>
          <w:rFonts w:ascii="Arial" w:hAnsi="Arial" w:cs="Arial"/>
          <w:b w:val="0"/>
          <w:sz w:val="20"/>
          <w:szCs w:val="20"/>
        </w:rPr>
        <w:t>cosmeceutical and nutraceutical markets</w:t>
      </w:r>
      <w:r w:rsidRPr="000C199C">
        <w:rPr>
          <w:rFonts w:ascii="Arial" w:hAnsi="Arial" w:cs="Arial"/>
          <w:b/>
          <w:sz w:val="20"/>
          <w:szCs w:val="20"/>
        </w:rPr>
        <w:t xml:space="preserve"> </w:t>
      </w:r>
      <w:r w:rsidRPr="000C199C">
        <w:rPr>
          <w:rFonts w:ascii="Arial" w:hAnsi="Arial" w:cs="Arial"/>
          <w:sz w:val="20"/>
          <w:szCs w:val="20"/>
        </w:rPr>
        <w:t>[</w:t>
      </w:r>
      <w:r w:rsidR="00FE5DDF">
        <w:rPr>
          <w:rFonts w:ascii="Arial" w:hAnsi="Arial" w:cs="Arial"/>
          <w:sz w:val="20"/>
          <w:szCs w:val="20"/>
        </w:rPr>
        <w:t>17,20</w:t>
      </w:r>
      <w:r w:rsidRPr="000C199C">
        <w:rPr>
          <w:rFonts w:ascii="Arial" w:hAnsi="Arial" w:cs="Arial"/>
          <w:sz w:val="20"/>
          <w:szCs w:val="20"/>
        </w:rPr>
        <w:t>].</w:t>
      </w:r>
    </w:p>
    <w:p w:rsidR="00A40865" w:rsidRPr="00284075" w:rsidRDefault="00284075" w:rsidP="005918B6">
      <w:pPr>
        <w:pStyle w:val="Heading3"/>
        <w:ind w:left="990" w:right="1260"/>
        <w:jc w:val="both"/>
        <w:rPr>
          <w:rFonts w:ascii="Arial" w:hAnsi="Arial" w:cs="Arial"/>
          <w:b/>
          <w:color w:val="auto"/>
          <w:sz w:val="20"/>
          <w:szCs w:val="20"/>
          <w:u w:val="single"/>
        </w:rPr>
      </w:pPr>
      <w:r w:rsidRPr="00284075">
        <w:rPr>
          <w:rFonts w:ascii="Arial" w:hAnsi="Arial" w:cs="Arial"/>
          <w:b/>
          <w:color w:val="auto"/>
          <w:sz w:val="20"/>
          <w:szCs w:val="20"/>
          <w:u w:val="single"/>
        </w:rPr>
        <w:t>3</w:t>
      </w:r>
      <w:r w:rsidR="00A40865" w:rsidRPr="00284075">
        <w:rPr>
          <w:rFonts w:ascii="Arial" w:hAnsi="Arial" w:cs="Arial"/>
          <w:b/>
          <w:color w:val="auto"/>
          <w:sz w:val="20"/>
          <w:szCs w:val="20"/>
          <w:u w:val="single"/>
        </w:rPr>
        <w:t>.</w:t>
      </w:r>
      <w:r w:rsidRPr="00284075">
        <w:rPr>
          <w:rFonts w:ascii="Arial" w:hAnsi="Arial" w:cs="Arial"/>
          <w:b/>
          <w:color w:val="auto"/>
          <w:sz w:val="20"/>
          <w:szCs w:val="20"/>
          <w:u w:val="single"/>
        </w:rPr>
        <w:t>2</w:t>
      </w:r>
      <w:r w:rsidR="00A40865" w:rsidRPr="00284075">
        <w:rPr>
          <w:rFonts w:ascii="Arial" w:hAnsi="Arial" w:cs="Arial"/>
          <w:b/>
          <w:color w:val="auto"/>
          <w:sz w:val="20"/>
          <w:szCs w:val="20"/>
          <w:u w:val="single"/>
        </w:rPr>
        <w:t xml:space="preserve">.8 Handicrafts and </w:t>
      </w:r>
      <w:r>
        <w:rPr>
          <w:rFonts w:ascii="Arial" w:hAnsi="Arial" w:cs="Arial"/>
          <w:b/>
          <w:color w:val="auto"/>
          <w:sz w:val="20"/>
          <w:szCs w:val="20"/>
          <w:u w:val="single"/>
        </w:rPr>
        <w:t>“</w:t>
      </w:r>
      <w:proofErr w:type="spellStart"/>
      <w:r w:rsidR="00A40865" w:rsidRPr="00284075">
        <w:rPr>
          <w:rFonts w:ascii="Arial" w:hAnsi="Arial" w:cs="Arial"/>
          <w:b/>
          <w:color w:val="auto"/>
          <w:sz w:val="20"/>
          <w:szCs w:val="20"/>
          <w:u w:val="single"/>
        </w:rPr>
        <w:t>Chamu</w:t>
      </w:r>
      <w:proofErr w:type="spellEnd"/>
      <w:r w:rsidR="00A40865" w:rsidRPr="00284075">
        <w:rPr>
          <w:rFonts w:ascii="Arial" w:hAnsi="Arial" w:cs="Arial"/>
          <w:b/>
          <w:color w:val="auto"/>
          <w:sz w:val="20"/>
          <w:szCs w:val="20"/>
          <w:u w:val="single"/>
        </w:rPr>
        <w:t>”–style products</w:t>
      </w:r>
    </w:p>
    <w:p w:rsidR="00A40865" w:rsidRPr="00A40865" w:rsidRDefault="00A40865" w:rsidP="005918B6">
      <w:pPr>
        <w:pStyle w:val="NormalWeb"/>
        <w:ind w:left="990" w:right="1260"/>
        <w:jc w:val="both"/>
        <w:rPr>
          <w:rFonts w:ascii="Arial" w:hAnsi="Arial" w:cs="Arial"/>
          <w:sz w:val="20"/>
          <w:szCs w:val="20"/>
        </w:rPr>
      </w:pPr>
      <w:r w:rsidRPr="00A40865">
        <w:rPr>
          <w:rStyle w:val="Strong"/>
          <w:rFonts w:ascii="Arial" w:hAnsi="Arial" w:cs="Arial"/>
          <w:sz w:val="20"/>
          <w:szCs w:val="20"/>
        </w:rPr>
        <w:t>Process/status.</w:t>
      </w:r>
      <w:r w:rsidRPr="00A40865">
        <w:rPr>
          <w:rFonts w:ascii="Arial" w:hAnsi="Arial" w:cs="Arial"/>
          <w:sz w:val="20"/>
          <w:szCs w:val="20"/>
        </w:rPr>
        <w:t xml:space="preserve"> Dried tea bushes and stems are already incorporated into decorative craft products in Assam. Building on this practice, </w:t>
      </w:r>
      <w:r w:rsidRPr="000C199C">
        <w:rPr>
          <w:rStyle w:val="Strong"/>
          <w:rFonts w:ascii="Arial" w:hAnsi="Arial" w:cs="Arial"/>
          <w:b w:val="0"/>
          <w:sz w:val="20"/>
          <w:szCs w:val="20"/>
        </w:rPr>
        <w:t>CHAMU-style packaging and tableware</w:t>
      </w:r>
      <w:r w:rsidRPr="00A40865">
        <w:rPr>
          <w:rFonts w:ascii="Arial" w:hAnsi="Arial" w:cs="Arial"/>
          <w:sz w:val="20"/>
          <w:szCs w:val="20"/>
        </w:rPr>
        <w:t xml:space="preserve"> integrate tea wood and fibers into consumer goods, embedding </w:t>
      </w:r>
      <w:r w:rsidRPr="000C199C">
        <w:rPr>
          <w:rStyle w:val="Strong"/>
          <w:rFonts w:ascii="Arial" w:hAnsi="Arial" w:cs="Arial"/>
          <w:b w:val="0"/>
          <w:sz w:val="20"/>
          <w:szCs w:val="20"/>
        </w:rPr>
        <w:t>cultural storytelling and terroir branding</w:t>
      </w:r>
      <w:r w:rsidRPr="00A40865">
        <w:rPr>
          <w:rFonts w:ascii="Arial" w:hAnsi="Arial" w:cs="Arial"/>
          <w:sz w:val="20"/>
          <w:szCs w:val="20"/>
        </w:rPr>
        <w:t xml:space="preserve">. This represents a </w:t>
      </w:r>
      <w:r w:rsidRPr="000C199C">
        <w:rPr>
          <w:rStyle w:val="Strong"/>
          <w:rFonts w:ascii="Arial" w:hAnsi="Arial" w:cs="Arial"/>
          <w:b w:val="0"/>
          <w:sz w:val="20"/>
          <w:szCs w:val="20"/>
        </w:rPr>
        <w:t>low-capital pathway</w:t>
      </w:r>
      <w:r w:rsidRPr="00A40865">
        <w:rPr>
          <w:rFonts w:ascii="Arial" w:hAnsi="Arial" w:cs="Arial"/>
          <w:sz w:val="20"/>
          <w:szCs w:val="20"/>
        </w:rPr>
        <w:t xml:space="preserve"> for cottage industries and aligns with </w:t>
      </w:r>
      <w:r w:rsidRPr="000C199C">
        <w:rPr>
          <w:rStyle w:val="Strong"/>
          <w:rFonts w:ascii="Arial" w:hAnsi="Arial" w:cs="Arial"/>
          <w:b w:val="0"/>
          <w:sz w:val="20"/>
          <w:szCs w:val="20"/>
        </w:rPr>
        <w:t>rural livelihood promotion</w:t>
      </w:r>
      <w:r w:rsidRPr="00A40865">
        <w:rPr>
          <w:rFonts w:ascii="Arial" w:hAnsi="Arial" w:cs="Arial"/>
          <w:sz w:val="20"/>
          <w:szCs w:val="20"/>
        </w:rPr>
        <w:t xml:space="preserve"> [</w:t>
      </w:r>
      <w:r w:rsidR="00FE5DDF">
        <w:rPr>
          <w:rFonts w:ascii="Arial" w:hAnsi="Arial" w:cs="Arial"/>
          <w:sz w:val="20"/>
          <w:szCs w:val="20"/>
        </w:rPr>
        <w:t>12</w:t>
      </w:r>
      <w:r w:rsidRPr="00A40865">
        <w:rPr>
          <w:rFonts w:ascii="Arial" w:hAnsi="Arial" w:cs="Arial"/>
          <w:sz w:val="20"/>
          <w:szCs w:val="20"/>
        </w:rPr>
        <w:t>].</w:t>
      </w:r>
    </w:p>
    <w:p w:rsidR="00F131C1" w:rsidRPr="0002619F" w:rsidRDefault="00BD2E1B" w:rsidP="005918B6">
      <w:pPr>
        <w:pStyle w:val="Heading3"/>
        <w:ind w:left="990" w:right="1260"/>
        <w:jc w:val="both"/>
        <w:rPr>
          <w:rFonts w:ascii="Arial" w:hAnsi="Arial" w:cs="Arial"/>
          <w:b/>
          <w:color w:val="auto"/>
          <w:sz w:val="20"/>
          <w:szCs w:val="20"/>
        </w:rPr>
      </w:pPr>
      <w:r w:rsidRPr="0002619F">
        <w:rPr>
          <w:rFonts w:ascii="Arial" w:hAnsi="Arial" w:cs="Arial"/>
          <w:b/>
          <w:color w:val="auto"/>
          <w:sz w:val="22"/>
          <w:szCs w:val="20"/>
        </w:rPr>
        <w:t>3.</w:t>
      </w:r>
      <w:r w:rsidR="00F131C1" w:rsidRPr="0002619F">
        <w:rPr>
          <w:rFonts w:ascii="Arial" w:hAnsi="Arial" w:cs="Arial"/>
          <w:b/>
          <w:color w:val="auto"/>
          <w:sz w:val="22"/>
          <w:szCs w:val="20"/>
        </w:rPr>
        <w:t>4. Challenges and Barriers</w:t>
      </w:r>
    </w:p>
    <w:p w:rsidR="00F131C1" w:rsidRPr="00BD2E1B" w:rsidRDefault="00F131C1" w:rsidP="005918B6">
      <w:pPr>
        <w:pStyle w:val="NormalWeb"/>
        <w:ind w:left="990" w:right="1260"/>
        <w:jc w:val="both"/>
        <w:rPr>
          <w:rFonts w:ascii="Arial" w:hAnsi="Arial" w:cs="Arial"/>
          <w:sz w:val="20"/>
          <w:szCs w:val="20"/>
        </w:rPr>
      </w:pPr>
      <w:r w:rsidRPr="00BD2E1B">
        <w:rPr>
          <w:rFonts w:ascii="Arial" w:hAnsi="Arial" w:cs="Arial"/>
          <w:sz w:val="20"/>
          <w:szCs w:val="20"/>
        </w:rPr>
        <w:t>Despite the promising outlook, tea waste utilization in Assam faces several challenges:</w:t>
      </w:r>
    </w:p>
    <w:p w:rsidR="00F131C1" w:rsidRPr="00BD2E1B" w:rsidRDefault="00F131C1" w:rsidP="00FE5DDF">
      <w:pPr>
        <w:pStyle w:val="NormalWeb"/>
        <w:numPr>
          <w:ilvl w:val="0"/>
          <w:numId w:val="2"/>
        </w:numPr>
        <w:ind w:left="1350" w:right="1260"/>
        <w:jc w:val="both"/>
        <w:rPr>
          <w:rFonts w:ascii="Arial" w:hAnsi="Arial" w:cs="Arial"/>
          <w:sz w:val="20"/>
          <w:szCs w:val="20"/>
        </w:rPr>
      </w:pPr>
      <w:r w:rsidRPr="00BD2E1B">
        <w:rPr>
          <w:rStyle w:val="Strong"/>
          <w:rFonts w:ascii="Arial" w:hAnsi="Arial" w:cs="Arial"/>
          <w:sz w:val="20"/>
          <w:szCs w:val="20"/>
        </w:rPr>
        <w:t>Technological gaps</w:t>
      </w:r>
      <w:r w:rsidRPr="00BD2E1B">
        <w:rPr>
          <w:rFonts w:ascii="Arial" w:hAnsi="Arial" w:cs="Arial"/>
          <w:sz w:val="20"/>
          <w:szCs w:val="20"/>
        </w:rPr>
        <w:t>: Limited access to advanced processing technologies hinders extraction of high-value compounds.</w:t>
      </w:r>
    </w:p>
    <w:p w:rsidR="00F131C1" w:rsidRPr="00BD2E1B" w:rsidRDefault="00F131C1" w:rsidP="00FE5DDF">
      <w:pPr>
        <w:pStyle w:val="NormalWeb"/>
        <w:numPr>
          <w:ilvl w:val="0"/>
          <w:numId w:val="2"/>
        </w:numPr>
        <w:ind w:left="1350" w:right="1260"/>
        <w:jc w:val="both"/>
        <w:rPr>
          <w:rFonts w:ascii="Arial" w:hAnsi="Arial" w:cs="Arial"/>
          <w:sz w:val="20"/>
          <w:szCs w:val="20"/>
        </w:rPr>
      </w:pPr>
      <w:r w:rsidRPr="00BD2E1B">
        <w:rPr>
          <w:rStyle w:val="Strong"/>
          <w:rFonts w:ascii="Arial" w:hAnsi="Arial" w:cs="Arial"/>
          <w:sz w:val="20"/>
          <w:szCs w:val="20"/>
        </w:rPr>
        <w:t>Awareness and training</w:t>
      </w:r>
      <w:r w:rsidRPr="00BD2E1B">
        <w:rPr>
          <w:rFonts w:ascii="Arial" w:hAnsi="Arial" w:cs="Arial"/>
          <w:sz w:val="20"/>
          <w:szCs w:val="20"/>
        </w:rPr>
        <w:t>: Smallholder growers and local entrepreneurs often lack knowledge about tea waste valorization opportunities.</w:t>
      </w:r>
    </w:p>
    <w:p w:rsidR="00F131C1" w:rsidRPr="00BD2E1B" w:rsidRDefault="00F131C1" w:rsidP="00FE5DDF">
      <w:pPr>
        <w:pStyle w:val="NormalWeb"/>
        <w:numPr>
          <w:ilvl w:val="0"/>
          <w:numId w:val="2"/>
        </w:numPr>
        <w:ind w:left="1350" w:right="1260"/>
        <w:jc w:val="both"/>
        <w:rPr>
          <w:rFonts w:ascii="Arial" w:hAnsi="Arial" w:cs="Arial"/>
          <w:sz w:val="20"/>
          <w:szCs w:val="20"/>
        </w:rPr>
      </w:pPr>
      <w:r w:rsidRPr="00BD2E1B">
        <w:rPr>
          <w:rStyle w:val="Strong"/>
          <w:rFonts w:ascii="Arial" w:hAnsi="Arial" w:cs="Arial"/>
          <w:sz w:val="20"/>
          <w:szCs w:val="20"/>
        </w:rPr>
        <w:t>Policy and regulatory hurdles</w:t>
      </w:r>
      <w:r w:rsidRPr="00BD2E1B">
        <w:rPr>
          <w:rFonts w:ascii="Arial" w:hAnsi="Arial" w:cs="Arial"/>
          <w:sz w:val="20"/>
          <w:szCs w:val="20"/>
        </w:rPr>
        <w:t>: Absence of structured incentives, subsidies, and clear guidelines on waste utilization reduces investment interest.</w:t>
      </w:r>
    </w:p>
    <w:p w:rsidR="00F131C1" w:rsidRPr="00BD2E1B" w:rsidRDefault="00F131C1" w:rsidP="00FE5DDF">
      <w:pPr>
        <w:pStyle w:val="NormalWeb"/>
        <w:numPr>
          <w:ilvl w:val="0"/>
          <w:numId w:val="2"/>
        </w:numPr>
        <w:ind w:left="1350" w:right="1260"/>
        <w:jc w:val="both"/>
        <w:rPr>
          <w:rFonts w:ascii="Arial" w:hAnsi="Arial" w:cs="Arial"/>
          <w:sz w:val="20"/>
          <w:szCs w:val="20"/>
        </w:rPr>
      </w:pPr>
      <w:r w:rsidRPr="00BD2E1B">
        <w:rPr>
          <w:rStyle w:val="Strong"/>
          <w:rFonts w:ascii="Arial" w:hAnsi="Arial" w:cs="Arial"/>
          <w:sz w:val="20"/>
          <w:szCs w:val="20"/>
        </w:rPr>
        <w:t>Market linkages</w:t>
      </w:r>
      <w:r w:rsidRPr="00BD2E1B">
        <w:rPr>
          <w:rFonts w:ascii="Arial" w:hAnsi="Arial" w:cs="Arial"/>
          <w:sz w:val="20"/>
          <w:szCs w:val="20"/>
        </w:rPr>
        <w:t>: Weak connections between tea estates, MSMEs, and end-user industries (cosmetics, packaging, bioenergy) limit scale-up potential.</w:t>
      </w:r>
    </w:p>
    <w:p w:rsidR="00F131C1" w:rsidRDefault="00F131C1" w:rsidP="00FE5DDF">
      <w:pPr>
        <w:pStyle w:val="NormalWeb"/>
        <w:numPr>
          <w:ilvl w:val="0"/>
          <w:numId w:val="2"/>
        </w:numPr>
        <w:ind w:left="1350" w:right="1260"/>
        <w:jc w:val="both"/>
        <w:rPr>
          <w:rFonts w:ascii="Arial" w:hAnsi="Arial" w:cs="Arial"/>
          <w:sz w:val="20"/>
          <w:szCs w:val="20"/>
        </w:rPr>
      </w:pPr>
      <w:r w:rsidRPr="00BD2E1B">
        <w:rPr>
          <w:rStyle w:val="Strong"/>
          <w:rFonts w:ascii="Arial" w:hAnsi="Arial" w:cs="Arial"/>
          <w:sz w:val="20"/>
          <w:szCs w:val="20"/>
        </w:rPr>
        <w:t>Quality and safety issues</w:t>
      </w:r>
      <w:r w:rsidRPr="00BD2E1B">
        <w:rPr>
          <w:rFonts w:ascii="Arial" w:hAnsi="Arial" w:cs="Arial"/>
          <w:sz w:val="20"/>
          <w:szCs w:val="20"/>
        </w:rPr>
        <w:t>: Concerns over pesticide residues in tea waste may constrain its application in food, feed, or cosmetics unless strict quality control measures are ensured.</w:t>
      </w:r>
    </w:p>
    <w:p w:rsidR="00FE5DDF" w:rsidRPr="00BD2E1B" w:rsidRDefault="00FE5DDF" w:rsidP="00FE5DDF">
      <w:pPr>
        <w:pStyle w:val="NormalWeb"/>
        <w:numPr>
          <w:ilvl w:val="0"/>
          <w:numId w:val="2"/>
        </w:numPr>
        <w:ind w:left="1350" w:right="1260"/>
        <w:jc w:val="both"/>
        <w:rPr>
          <w:rFonts w:ascii="Arial" w:hAnsi="Arial" w:cs="Arial"/>
          <w:sz w:val="20"/>
          <w:szCs w:val="20"/>
        </w:rPr>
      </w:pPr>
      <w:r>
        <w:rPr>
          <w:rStyle w:val="Strong"/>
          <w:rFonts w:ascii="Arial" w:hAnsi="Arial" w:cs="Arial"/>
          <w:sz w:val="20"/>
          <w:szCs w:val="20"/>
        </w:rPr>
        <w:lastRenderedPageBreak/>
        <w:t>Climate Change</w:t>
      </w:r>
      <w:r w:rsidRPr="00FE5DDF">
        <w:t>:</w:t>
      </w:r>
      <w:r>
        <w:rPr>
          <w:rFonts w:ascii="Arial" w:hAnsi="Arial" w:cs="Arial"/>
          <w:sz w:val="20"/>
          <w:szCs w:val="20"/>
        </w:rPr>
        <w:t xml:space="preserve"> </w:t>
      </w:r>
      <w:r w:rsidRPr="00FE5DDF">
        <w:rPr>
          <w:rFonts w:ascii="Arial" w:hAnsi="Arial" w:cs="Arial"/>
          <w:sz w:val="20"/>
          <w:szCs w:val="20"/>
        </w:rPr>
        <w:t>Tea yield in Assam is declining due to climate change, as rising temperatures, erratic rainfall, and increased pest incidence adversely affect plant growth and productivity</w:t>
      </w:r>
      <w:r>
        <w:rPr>
          <w:rFonts w:ascii="Arial" w:hAnsi="Arial" w:cs="Arial"/>
          <w:sz w:val="20"/>
          <w:szCs w:val="20"/>
        </w:rPr>
        <w:t xml:space="preserve"> [21]</w:t>
      </w:r>
      <w:r w:rsidRPr="00FE5DDF">
        <w:rPr>
          <w:rFonts w:ascii="Arial" w:hAnsi="Arial" w:cs="Arial"/>
          <w:sz w:val="20"/>
          <w:szCs w:val="20"/>
        </w:rPr>
        <w:t>.</w:t>
      </w:r>
    </w:p>
    <w:p w:rsidR="00F131C1" w:rsidRPr="0002619F" w:rsidRDefault="00BD2E1B" w:rsidP="005918B6">
      <w:pPr>
        <w:pStyle w:val="Heading3"/>
        <w:ind w:left="990" w:right="1260"/>
        <w:jc w:val="both"/>
        <w:rPr>
          <w:rFonts w:ascii="Arial" w:hAnsi="Arial" w:cs="Arial"/>
          <w:b/>
          <w:color w:val="auto"/>
          <w:sz w:val="22"/>
          <w:szCs w:val="20"/>
        </w:rPr>
      </w:pPr>
      <w:r w:rsidRPr="0002619F">
        <w:rPr>
          <w:rFonts w:ascii="Arial" w:hAnsi="Arial" w:cs="Arial"/>
          <w:b/>
          <w:color w:val="auto"/>
          <w:sz w:val="22"/>
          <w:szCs w:val="20"/>
        </w:rPr>
        <w:t>3.</w:t>
      </w:r>
      <w:r w:rsidR="00F131C1" w:rsidRPr="0002619F">
        <w:rPr>
          <w:rFonts w:ascii="Arial" w:hAnsi="Arial" w:cs="Arial"/>
          <w:b/>
          <w:color w:val="auto"/>
          <w:sz w:val="22"/>
          <w:szCs w:val="20"/>
        </w:rPr>
        <w:t>5. Strategic Pathways Forward</w:t>
      </w:r>
    </w:p>
    <w:p w:rsidR="00F131C1" w:rsidRPr="00BD2E1B" w:rsidRDefault="00F131C1" w:rsidP="005918B6">
      <w:pPr>
        <w:pStyle w:val="NormalWeb"/>
        <w:ind w:left="990" w:right="1260"/>
        <w:jc w:val="both"/>
        <w:rPr>
          <w:rFonts w:ascii="Arial" w:hAnsi="Arial" w:cs="Arial"/>
          <w:sz w:val="20"/>
          <w:szCs w:val="20"/>
        </w:rPr>
      </w:pPr>
      <w:r w:rsidRPr="00BD2E1B">
        <w:rPr>
          <w:rFonts w:ascii="Arial" w:hAnsi="Arial" w:cs="Arial"/>
          <w:sz w:val="20"/>
          <w:szCs w:val="20"/>
        </w:rPr>
        <w:t xml:space="preserve">The discussion suggests that Assam’s tea economy can transition toward a </w:t>
      </w:r>
      <w:r w:rsidRPr="000C199C">
        <w:rPr>
          <w:rStyle w:val="Strong"/>
          <w:rFonts w:ascii="Arial" w:hAnsi="Arial" w:cs="Arial"/>
          <w:b w:val="0"/>
          <w:sz w:val="20"/>
          <w:szCs w:val="20"/>
        </w:rPr>
        <w:t xml:space="preserve">circular </w:t>
      </w:r>
      <w:proofErr w:type="spellStart"/>
      <w:r w:rsidRPr="000C199C">
        <w:rPr>
          <w:rStyle w:val="Strong"/>
          <w:rFonts w:ascii="Arial" w:hAnsi="Arial" w:cs="Arial"/>
          <w:b w:val="0"/>
          <w:sz w:val="20"/>
          <w:szCs w:val="20"/>
        </w:rPr>
        <w:t>bioeconomy</w:t>
      </w:r>
      <w:proofErr w:type="spellEnd"/>
      <w:r w:rsidRPr="000C199C">
        <w:rPr>
          <w:rStyle w:val="Strong"/>
          <w:rFonts w:ascii="Arial" w:hAnsi="Arial" w:cs="Arial"/>
          <w:b w:val="0"/>
          <w:sz w:val="20"/>
          <w:szCs w:val="20"/>
        </w:rPr>
        <w:t xml:space="preserve"> model</w:t>
      </w:r>
      <w:r w:rsidRPr="00BD2E1B">
        <w:rPr>
          <w:rFonts w:ascii="Arial" w:hAnsi="Arial" w:cs="Arial"/>
          <w:sz w:val="20"/>
          <w:szCs w:val="20"/>
        </w:rPr>
        <w:t xml:space="preserve"> if tea waste valorization is integrated into mainstream tea industry policies. This requires a multi-pronged approach involving:</w:t>
      </w:r>
    </w:p>
    <w:p w:rsidR="00F131C1" w:rsidRPr="00BD2E1B" w:rsidRDefault="00F131C1" w:rsidP="00FE5DDF">
      <w:pPr>
        <w:pStyle w:val="NormalWeb"/>
        <w:numPr>
          <w:ilvl w:val="0"/>
          <w:numId w:val="3"/>
        </w:numPr>
        <w:ind w:left="1350" w:right="1260"/>
        <w:jc w:val="both"/>
        <w:rPr>
          <w:rFonts w:ascii="Arial" w:hAnsi="Arial" w:cs="Arial"/>
          <w:sz w:val="20"/>
          <w:szCs w:val="20"/>
        </w:rPr>
      </w:pPr>
      <w:r w:rsidRPr="00BD2E1B">
        <w:rPr>
          <w:rStyle w:val="Strong"/>
          <w:rFonts w:ascii="Arial" w:hAnsi="Arial" w:cs="Arial"/>
          <w:sz w:val="20"/>
          <w:szCs w:val="20"/>
        </w:rPr>
        <w:t>Research &amp; Development</w:t>
      </w:r>
      <w:r w:rsidRPr="00BD2E1B">
        <w:rPr>
          <w:rFonts w:ascii="Arial" w:hAnsi="Arial" w:cs="Arial"/>
          <w:sz w:val="20"/>
          <w:szCs w:val="20"/>
        </w:rPr>
        <w:t xml:space="preserve">: Collaboration between Assam Agricultural University, </w:t>
      </w:r>
      <w:proofErr w:type="spellStart"/>
      <w:r w:rsidRPr="00BD2E1B">
        <w:rPr>
          <w:rFonts w:ascii="Arial" w:hAnsi="Arial" w:cs="Arial"/>
          <w:sz w:val="20"/>
          <w:szCs w:val="20"/>
        </w:rPr>
        <w:t>Tocklai</w:t>
      </w:r>
      <w:proofErr w:type="spellEnd"/>
      <w:r w:rsidRPr="00BD2E1B">
        <w:rPr>
          <w:rFonts w:ascii="Arial" w:hAnsi="Arial" w:cs="Arial"/>
          <w:sz w:val="20"/>
          <w:szCs w:val="20"/>
        </w:rPr>
        <w:t xml:space="preserve"> Tea Research Institute, and international institutions to innovate scalable technologies.</w:t>
      </w:r>
    </w:p>
    <w:p w:rsidR="00F131C1" w:rsidRPr="00BD2E1B" w:rsidRDefault="00F131C1" w:rsidP="00FE5DDF">
      <w:pPr>
        <w:pStyle w:val="NormalWeb"/>
        <w:numPr>
          <w:ilvl w:val="0"/>
          <w:numId w:val="3"/>
        </w:numPr>
        <w:ind w:left="1350" w:right="1260"/>
        <w:jc w:val="both"/>
        <w:rPr>
          <w:rFonts w:ascii="Arial" w:hAnsi="Arial" w:cs="Arial"/>
          <w:sz w:val="20"/>
          <w:szCs w:val="20"/>
        </w:rPr>
      </w:pPr>
      <w:r w:rsidRPr="00BD2E1B">
        <w:rPr>
          <w:rStyle w:val="Strong"/>
          <w:rFonts w:ascii="Arial" w:hAnsi="Arial" w:cs="Arial"/>
          <w:sz w:val="20"/>
          <w:szCs w:val="20"/>
        </w:rPr>
        <w:t>Public–Private Partnerships (PPP)</w:t>
      </w:r>
      <w:r w:rsidRPr="00BD2E1B">
        <w:rPr>
          <w:rFonts w:ascii="Arial" w:hAnsi="Arial" w:cs="Arial"/>
          <w:sz w:val="20"/>
          <w:szCs w:val="20"/>
        </w:rPr>
        <w:t>: Linking tea boards, local cooperatives, and private firms for investment in processing infrastructure.</w:t>
      </w:r>
    </w:p>
    <w:p w:rsidR="00F131C1" w:rsidRPr="00BD2E1B" w:rsidRDefault="00F131C1" w:rsidP="00FE5DDF">
      <w:pPr>
        <w:pStyle w:val="NormalWeb"/>
        <w:numPr>
          <w:ilvl w:val="0"/>
          <w:numId w:val="3"/>
        </w:numPr>
        <w:ind w:left="1350" w:right="1260"/>
        <w:jc w:val="both"/>
        <w:rPr>
          <w:rFonts w:ascii="Arial" w:hAnsi="Arial" w:cs="Arial"/>
          <w:sz w:val="20"/>
          <w:szCs w:val="20"/>
        </w:rPr>
      </w:pPr>
      <w:r w:rsidRPr="00BD2E1B">
        <w:rPr>
          <w:rStyle w:val="Strong"/>
          <w:rFonts w:ascii="Arial" w:hAnsi="Arial" w:cs="Arial"/>
          <w:sz w:val="20"/>
          <w:szCs w:val="20"/>
        </w:rPr>
        <w:t>Policy Interventions</w:t>
      </w:r>
      <w:r w:rsidRPr="00BD2E1B">
        <w:rPr>
          <w:rFonts w:ascii="Arial" w:hAnsi="Arial" w:cs="Arial"/>
          <w:sz w:val="20"/>
          <w:szCs w:val="20"/>
        </w:rPr>
        <w:t>: Tax incentives, subsidies for biochar/</w:t>
      </w:r>
      <w:proofErr w:type="spellStart"/>
      <w:r w:rsidRPr="00BD2E1B">
        <w:rPr>
          <w:rFonts w:ascii="Arial" w:hAnsi="Arial" w:cs="Arial"/>
          <w:sz w:val="20"/>
          <w:szCs w:val="20"/>
        </w:rPr>
        <w:t>biopackaging</w:t>
      </w:r>
      <w:proofErr w:type="spellEnd"/>
      <w:r w:rsidRPr="00BD2E1B">
        <w:rPr>
          <w:rFonts w:ascii="Arial" w:hAnsi="Arial" w:cs="Arial"/>
          <w:sz w:val="20"/>
          <w:szCs w:val="20"/>
        </w:rPr>
        <w:t xml:space="preserve"> plants, and inclusion of tea waste valorization under government sustainability missions.</w:t>
      </w:r>
    </w:p>
    <w:p w:rsidR="00F131C1" w:rsidRPr="00BD2E1B" w:rsidRDefault="00F131C1" w:rsidP="00FE5DDF">
      <w:pPr>
        <w:pStyle w:val="NormalWeb"/>
        <w:numPr>
          <w:ilvl w:val="0"/>
          <w:numId w:val="3"/>
        </w:numPr>
        <w:ind w:left="1350" w:right="1260"/>
        <w:jc w:val="both"/>
        <w:rPr>
          <w:rFonts w:ascii="Arial" w:hAnsi="Arial" w:cs="Arial"/>
          <w:sz w:val="20"/>
          <w:szCs w:val="20"/>
        </w:rPr>
      </w:pPr>
      <w:r w:rsidRPr="00BD2E1B">
        <w:rPr>
          <w:rStyle w:val="Strong"/>
          <w:rFonts w:ascii="Arial" w:hAnsi="Arial" w:cs="Arial"/>
          <w:sz w:val="20"/>
          <w:szCs w:val="20"/>
        </w:rPr>
        <w:t>Skill Development</w:t>
      </w:r>
      <w:r w:rsidRPr="00BD2E1B">
        <w:rPr>
          <w:rFonts w:ascii="Arial" w:hAnsi="Arial" w:cs="Arial"/>
          <w:sz w:val="20"/>
          <w:szCs w:val="20"/>
        </w:rPr>
        <w:t>: Training rural youth and women in tea waste-based handicrafts, packaging, and biofertilizer production.</w:t>
      </w:r>
    </w:p>
    <w:p w:rsidR="00790ADA" w:rsidRPr="00382EC8" w:rsidRDefault="00F131C1" w:rsidP="00FE5DDF">
      <w:pPr>
        <w:pStyle w:val="NormalWeb"/>
        <w:numPr>
          <w:ilvl w:val="0"/>
          <w:numId w:val="3"/>
        </w:numPr>
        <w:ind w:left="1350" w:right="1260"/>
        <w:jc w:val="both"/>
        <w:rPr>
          <w:rFonts w:ascii="Arial" w:hAnsi="Arial" w:cs="Arial"/>
          <w:sz w:val="20"/>
          <w:szCs w:val="20"/>
        </w:rPr>
      </w:pPr>
      <w:r w:rsidRPr="00BD2E1B">
        <w:rPr>
          <w:rStyle w:val="Strong"/>
          <w:rFonts w:ascii="Arial" w:hAnsi="Arial" w:cs="Arial"/>
          <w:sz w:val="20"/>
          <w:szCs w:val="20"/>
        </w:rPr>
        <w:t>Market Integration</w:t>
      </w:r>
      <w:r w:rsidRPr="00BD2E1B">
        <w:rPr>
          <w:rFonts w:ascii="Arial" w:hAnsi="Arial" w:cs="Arial"/>
          <w:sz w:val="20"/>
          <w:szCs w:val="20"/>
        </w:rPr>
        <w:t xml:space="preserve">: Branding Assam’s tea waste-based products as </w:t>
      </w:r>
      <w:r w:rsidRPr="000C199C">
        <w:rPr>
          <w:rStyle w:val="Strong"/>
          <w:rFonts w:ascii="Arial" w:hAnsi="Arial" w:cs="Arial"/>
          <w:b w:val="0"/>
          <w:sz w:val="20"/>
          <w:szCs w:val="20"/>
        </w:rPr>
        <w:t>sustainable, eco-friendly, and culturally rooted</w:t>
      </w:r>
      <w:r w:rsidRPr="00BD2E1B">
        <w:rPr>
          <w:rFonts w:ascii="Arial" w:hAnsi="Arial" w:cs="Arial"/>
          <w:sz w:val="20"/>
          <w:szCs w:val="20"/>
        </w:rPr>
        <w:t>, enabling access to premium domestic and export markets.</w:t>
      </w:r>
    </w:p>
    <w:p w:rsidR="00790ADA" w:rsidRDefault="00000F8F" w:rsidP="005918B6">
      <w:pPr>
        <w:pStyle w:val="ConcHead"/>
        <w:spacing w:after="0"/>
        <w:ind w:left="990" w:right="1260"/>
        <w:jc w:val="both"/>
        <w:rPr>
          <w:rFonts w:ascii="Arial" w:hAnsi="Arial" w:cs="Arial"/>
        </w:rPr>
      </w:pPr>
      <w:r>
        <w:rPr>
          <w:rFonts w:ascii="Arial" w:hAnsi="Arial" w:cs="Arial"/>
        </w:rPr>
        <w:t xml:space="preserve">4. </w:t>
      </w:r>
      <w:r w:rsidR="00B01FCD" w:rsidRPr="00FB3A86">
        <w:rPr>
          <w:rFonts w:ascii="Arial" w:hAnsi="Arial" w:cs="Arial"/>
        </w:rPr>
        <w:t>Conclusion</w:t>
      </w:r>
    </w:p>
    <w:p w:rsidR="00382EC8" w:rsidRPr="00FB3A86" w:rsidRDefault="00382EC8" w:rsidP="005918B6">
      <w:pPr>
        <w:pStyle w:val="ConcHead"/>
        <w:spacing w:after="0"/>
        <w:ind w:left="990" w:right="1260"/>
        <w:jc w:val="both"/>
        <w:rPr>
          <w:rFonts w:ascii="Arial" w:hAnsi="Arial" w:cs="Arial"/>
        </w:rPr>
      </w:pPr>
    </w:p>
    <w:p w:rsidR="000C199C" w:rsidRDefault="000C199C" w:rsidP="005918B6">
      <w:pPr>
        <w:pStyle w:val="Body"/>
        <w:spacing w:after="0"/>
        <w:ind w:left="990" w:right="1260"/>
        <w:rPr>
          <w:rFonts w:ascii="Arial" w:hAnsi="Arial" w:cs="Arial"/>
        </w:rPr>
      </w:pPr>
      <w:r w:rsidRPr="000C199C">
        <w:rPr>
          <w:rFonts w:ascii="Arial" w:hAnsi="Arial" w:cs="Arial"/>
        </w:rPr>
        <w:t xml:space="preserve">The utilization of tea waste offers a significant and underexplored opportunity for restructuring the economic and environmental landscape of Assam’s tea industry. Large volumes of by-products—such as broken mixed </w:t>
      </w:r>
      <w:proofErr w:type="spellStart"/>
      <w:r w:rsidRPr="000C199C">
        <w:rPr>
          <w:rFonts w:ascii="Arial" w:hAnsi="Arial" w:cs="Arial"/>
        </w:rPr>
        <w:t>fannings</w:t>
      </w:r>
      <w:proofErr w:type="spellEnd"/>
      <w:r w:rsidRPr="000C199C">
        <w:rPr>
          <w:rFonts w:ascii="Arial" w:hAnsi="Arial" w:cs="Arial"/>
        </w:rPr>
        <w:t>, stems, dust, and other residues—are generated each year as an inevitable outcome of processing. Historically, these materials have been treated as low-value refuse, often discarded or used in limited traditional applications. However, contemporary research and industrial practices increasingly recognize tea waste as a resource with substantial potential for value addition, sustainability, and rural livelihood enhancement.</w:t>
      </w:r>
    </w:p>
    <w:p w:rsidR="000C199C" w:rsidRPr="000C199C" w:rsidRDefault="000C199C" w:rsidP="005918B6">
      <w:pPr>
        <w:pStyle w:val="Body"/>
        <w:spacing w:after="0"/>
        <w:ind w:left="990" w:right="1260"/>
        <w:rPr>
          <w:rFonts w:ascii="Arial" w:hAnsi="Arial" w:cs="Arial"/>
        </w:rPr>
      </w:pPr>
    </w:p>
    <w:p w:rsidR="000C199C" w:rsidRDefault="000C199C" w:rsidP="005918B6">
      <w:pPr>
        <w:pStyle w:val="Body"/>
        <w:spacing w:after="0"/>
        <w:ind w:left="990" w:right="1260"/>
        <w:rPr>
          <w:rFonts w:ascii="Arial" w:hAnsi="Arial" w:cs="Arial"/>
        </w:rPr>
      </w:pPr>
      <w:r w:rsidRPr="000C199C">
        <w:rPr>
          <w:rFonts w:ascii="Arial" w:hAnsi="Arial" w:cs="Arial"/>
        </w:rPr>
        <w:t>This review has demonstrated that tea waste can be valorized through diverse technological and artisanal pathways. Established industrial routes include the production of instant tea powder, bio-fertilizers, compost, vermicompost, activated carbon, and animal feed supplements. Parallel to these, emerging applications in packaging, specialty paper, cosmetics, and nutraceuticals reflect a growing alignment with global trends in green materials and bio-based industries. International case studies show that such valorization strategies not only reduce the environmental burden of disposal but also create new market opportunities through the development of high-value products.</w:t>
      </w:r>
    </w:p>
    <w:p w:rsidR="000C199C" w:rsidRPr="000C199C" w:rsidRDefault="000C199C" w:rsidP="005918B6">
      <w:pPr>
        <w:pStyle w:val="Body"/>
        <w:spacing w:after="0"/>
        <w:ind w:left="990" w:right="1260"/>
        <w:rPr>
          <w:rFonts w:ascii="Arial" w:hAnsi="Arial" w:cs="Arial"/>
        </w:rPr>
      </w:pPr>
    </w:p>
    <w:p w:rsidR="000C199C" w:rsidRDefault="000C199C" w:rsidP="005918B6">
      <w:pPr>
        <w:pStyle w:val="Body"/>
        <w:spacing w:after="0"/>
        <w:ind w:left="990" w:right="1260"/>
        <w:rPr>
          <w:rFonts w:ascii="Arial" w:hAnsi="Arial" w:cs="Arial"/>
        </w:rPr>
      </w:pPr>
      <w:r w:rsidRPr="000C199C">
        <w:rPr>
          <w:rFonts w:ascii="Arial" w:hAnsi="Arial" w:cs="Arial"/>
        </w:rPr>
        <w:t>For Assam—the world’s leading producer of black tea—the adoption of structured valorization strategies carries multidimensional benefits. Economically, converting waste into marketable outputs can diversify revenue streams for estates, smallholders, and allied enterprises. Socially, these initiatives could generate employment and entrepreneurial opportunities, particularly for rural women and community-based groups engaged in processing, crafts, and small-scale enterprises. Environmentally, valorization mitigates landfill accumulation, lowers pollution risks, and supports circular economy practices by closing production loops.</w:t>
      </w:r>
    </w:p>
    <w:p w:rsidR="000C199C" w:rsidRPr="000C199C" w:rsidRDefault="000C199C" w:rsidP="005918B6">
      <w:pPr>
        <w:pStyle w:val="Body"/>
        <w:spacing w:after="0"/>
        <w:ind w:left="990" w:right="1260"/>
        <w:rPr>
          <w:rFonts w:ascii="Arial" w:hAnsi="Arial" w:cs="Arial"/>
        </w:rPr>
      </w:pPr>
    </w:p>
    <w:p w:rsidR="000C199C" w:rsidRDefault="000C199C" w:rsidP="005918B6">
      <w:pPr>
        <w:pStyle w:val="Body"/>
        <w:spacing w:after="0"/>
        <w:ind w:left="990" w:right="1260"/>
        <w:rPr>
          <w:rFonts w:ascii="Arial" w:hAnsi="Arial" w:cs="Arial"/>
        </w:rPr>
      </w:pPr>
      <w:r w:rsidRPr="000C199C">
        <w:rPr>
          <w:rFonts w:ascii="Arial" w:hAnsi="Arial" w:cs="Arial"/>
        </w:rPr>
        <w:t>Despite this promise, significant challenges remain. Constraints include limited technological diffusion, inadequate awareness among stakeholders, fragmented markets for tea-waste products, and the need for substantial upfront investment in processing infrastructure. Policy alignment and institutional support will therefore be crucial. Coordinated actions by the Tea Board of India, research institutions, government agencies, and private investors can accelerate the transition from isolated pilots to commercially viable industries. Incentives for innovation, targeted research and development, and awareness-building campaigns are essential to mainstream these practices.</w:t>
      </w:r>
    </w:p>
    <w:p w:rsidR="000C199C" w:rsidRPr="000C199C" w:rsidRDefault="000C199C" w:rsidP="005918B6">
      <w:pPr>
        <w:pStyle w:val="Body"/>
        <w:spacing w:after="0"/>
        <w:ind w:left="990" w:right="1260"/>
        <w:rPr>
          <w:rFonts w:ascii="Arial" w:hAnsi="Arial" w:cs="Arial"/>
        </w:rPr>
      </w:pPr>
    </w:p>
    <w:p w:rsidR="002B685A" w:rsidRDefault="000C199C" w:rsidP="005918B6">
      <w:pPr>
        <w:pStyle w:val="Body"/>
        <w:spacing w:after="0"/>
        <w:ind w:left="990" w:right="1260"/>
        <w:rPr>
          <w:rFonts w:ascii="Arial" w:hAnsi="Arial" w:cs="Arial"/>
        </w:rPr>
      </w:pPr>
      <w:r>
        <w:rPr>
          <w:rFonts w:ascii="Arial" w:hAnsi="Arial" w:cs="Arial"/>
        </w:rPr>
        <w:t>T</w:t>
      </w:r>
      <w:r w:rsidRPr="000C199C">
        <w:rPr>
          <w:rFonts w:ascii="Arial" w:hAnsi="Arial" w:cs="Arial"/>
        </w:rPr>
        <w:t xml:space="preserve">ea waste valorization represents more than a sustainability measure. It constitutes a forward-looking agribusiness strategy that can enhance Assam’s competitiveness, embed circular </w:t>
      </w:r>
      <w:r w:rsidRPr="000C199C">
        <w:rPr>
          <w:rFonts w:ascii="Arial" w:hAnsi="Arial" w:cs="Arial"/>
        </w:rPr>
        <w:lastRenderedPageBreak/>
        <w:t>economy principles in the tea sector, and secure long-term ecological and economic resilience. By reimagining waste as a resource, Assam has the potential to position itself as a global leader in sustainable tea production and bio-based innovation.</w:t>
      </w:r>
    </w:p>
    <w:p w:rsidR="00382EC8" w:rsidRDefault="00382EC8" w:rsidP="005918B6">
      <w:pPr>
        <w:pStyle w:val="Body"/>
        <w:spacing w:after="0"/>
        <w:ind w:left="990" w:right="1260"/>
        <w:rPr>
          <w:rFonts w:ascii="Arial" w:hAnsi="Arial" w:cs="Arial"/>
        </w:rPr>
      </w:pPr>
    </w:p>
    <w:p w:rsidR="00860000" w:rsidRDefault="00860000" w:rsidP="005918B6">
      <w:pPr>
        <w:pStyle w:val="ReferHead"/>
        <w:spacing w:after="0"/>
        <w:ind w:left="990" w:right="1260"/>
        <w:jc w:val="both"/>
        <w:rPr>
          <w:rFonts w:ascii="Arial" w:hAnsi="Arial" w:cs="Arial"/>
        </w:rPr>
      </w:pPr>
    </w:p>
    <w:p w:rsidR="00E35059" w:rsidRDefault="00E35059" w:rsidP="005918B6">
      <w:pPr>
        <w:pStyle w:val="ReferHead"/>
        <w:spacing w:after="0"/>
        <w:ind w:left="990" w:right="1260"/>
        <w:jc w:val="both"/>
        <w:rPr>
          <w:rFonts w:ascii="Arial" w:hAnsi="Arial" w:cs="Arial"/>
        </w:rPr>
      </w:pPr>
    </w:p>
    <w:p w:rsidR="00B01FCD" w:rsidRDefault="00B01FCD" w:rsidP="005918B6">
      <w:pPr>
        <w:pStyle w:val="ReferHead"/>
        <w:spacing w:after="0"/>
        <w:ind w:left="990" w:right="1260"/>
        <w:jc w:val="both"/>
        <w:rPr>
          <w:rFonts w:ascii="Arial" w:hAnsi="Arial" w:cs="Arial"/>
        </w:rPr>
      </w:pPr>
      <w:r w:rsidRPr="00FB3A86">
        <w:rPr>
          <w:rFonts w:ascii="Arial" w:hAnsi="Arial" w:cs="Arial"/>
        </w:rPr>
        <w:t>References</w:t>
      </w:r>
    </w:p>
    <w:p w:rsidR="00790ADA" w:rsidRPr="00FB3A86" w:rsidRDefault="00790ADA" w:rsidP="005918B6">
      <w:pPr>
        <w:pStyle w:val="ReferHead"/>
        <w:spacing w:after="0"/>
        <w:ind w:left="990" w:right="1260"/>
        <w:jc w:val="both"/>
        <w:rPr>
          <w:rFonts w:ascii="Arial" w:hAnsi="Arial" w:cs="Arial"/>
        </w:rPr>
      </w:pPr>
    </w:p>
    <w:p w:rsidR="00CF69B6" w:rsidRPr="00CF69B6" w:rsidRDefault="00CF69B6" w:rsidP="005918B6">
      <w:pPr>
        <w:pStyle w:val="Body"/>
        <w:numPr>
          <w:ilvl w:val="0"/>
          <w:numId w:val="5"/>
        </w:numPr>
        <w:spacing w:after="0"/>
        <w:ind w:left="990" w:right="1260"/>
      </w:pPr>
      <w:r w:rsidRPr="00CF69B6">
        <w:t xml:space="preserve">Choudhary S. Top tea producing states in India [Internet]. Times of Agriculture: e-Magazine. 2024 Jun 6 [cited 2025 Aug 20]. Available from: </w:t>
      </w:r>
      <w:hyperlink r:id="rId14" w:tgtFrame="_new" w:history="1">
        <w:r w:rsidRPr="00CF69B6">
          <w:rPr>
            <w:rStyle w:val="Hyperlink"/>
          </w:rPr>
          <w:t>https://timesofagriculture.in/tea-producing-states-in-india/</w:t>
        </w:r>
      </w:hyperlink>
    </w:p>
    <w:p w:rsidR="00D41D02" w:rsidRDefault="00CF69B6" w:rsidP="005918B6">
      <w:pPr>
        <w:pStyle w:val="Body"/>
        <w:numPr>
          <w:ilvl w:val="0"/>
          <w:numId w:val="5"/>
        </w:numPr>
        <w:spacing w:after="0"/>
        <w:ind w:left="990" w:right="1260"/>
      </w:pPr>
      <w:proofErr w:type="spellStart"/>
      <w:r w:rsidRPr="00CF69B6">
        <w:t>Saikia</w:t>
      </w:r>
      <w:proofErr w:type="spellEnd"/>
      <w:r w:rsidRPr="00CF69B6">
        <w:t xml:space="preserve"> AK. </w:t>
      </w:r>
      <w:r w:rsidR="005918B6">
        <w:t>Contribution of Tea Industry in Employment Generation of Assam.</w:t>
      </w:r>
      <w:r w:rsidRPr="00CF69B6">
        <w:t xml:space="preserve"> J Adv Sch Res Allied Educ. 2019 Jan;16(1):2960-2.</w:t>
      </w:r>
      <w:r w:rsidR="00D41D02">
        <w:t xml:space="preserve"> Available at </w:t>
      </w:r>
      <w:hyperlink r:id="rId15" w:history="1">
        <w:r w:rsidR="00D41D02" w:rsidRPr="00CB3143">
          <w:rPr>
            <w:rStyle w:val="Hyperlink"/>
          </w:rPr>
          <w:t>https://ignited.in/index.php/jasrae/article/view/10003</w:t>
        </w:r>
      </w:hyperlink>
    </w:p>
    <w:p w:rsidR="005918B6" w:rsidRDefault="005918B6" w:rsidP="005918B6">
      <w:pPr>
        <w:pStyle w:val="Body"/>
        <w:numPr>
          <w:ilvl w:val="0"/>
          <w:numId w:val="5"/>
        </w:numPr>
        <w:spacing w:after="0"/>
        <w:ind w:left="990" w:right="1260"/>
      </w:pPr>
      <w:r w:rsidRPr="005918B6">
        <w:rPr>
          <w:rStyle w:val="Strong"/>
          <w:b w:val="0"/>
        </w:rPr>
        <w:t>Tea Board of India.</w:t>
      </w:r>
      <w:r>
        <w:t xml:space="preserve"> Circular—Declaration of tea waste. (Ref. No.: 12(82)/LC/2009/295). Tea Board of India; 15 Jan 2024. Available from: [</w:t>
      </w:r>
      <w:hyperlink r:id="rId16" w:tgtFrame="_new" w:history="1">
        <w:r>
          <w:rPr>
            <w:rStyle w:val="Hyperlink"/>
          </w:rPr>
          <w:t>https://www.teaboard.gov.in/pdf/Circular_dt_15_01_24_Tea_Waste_pdf6627.pdf</w:t>
        </w:r>
      </w:hyperlink>
      <w:r>
        <w:t>]</w:t>
      </w:r>
    </w:p>
    <w:p w:rsidR="003243FD" w:rsidRDefault="003243FD" w:rsidP="005918B6">
      <w:pPr>
        <w:pStyle w:val="Body"/>
        <w:numPr>
          <w:ilvl w:val="0"/>
          <w:numId w:val="5"/>
        </w:numPr>
        <w:spacing w:after="0"/>
        <w:ind w:left="990" w:right="1260"/>
      </w:pPr>
      <w:proofErr w:type="spellStart"/>
      <w:r>
        <w:t>Dalpathadu</w:t>
      </w:r>
      <w:proofErr w:type="spellEnd"/>
      <w:r>
        <w:t xml:space="preserve"> KAP, </w:t>
      </w:r>
      <w:proofErr w:type="spellStart"/>
      <w:r>
        <w:t>Rajapakse</w:t>
      </w:r>
      <w:proofErr w:type="spellEnd"/>
      <w:r>
        <w:t xml:space="preserve"> HUKDZ, Jayasinghe CVL, </w:t>
      </w:r>
      <w:proofErr w:type="spellStart"/>
      <w:r>
        <w:t>Nissanka</w:t>
      </w:r>
      <w:proofErr w:type="spellEnd"/>
      <w:r>
        <w:t xml:space="preserve"> SP. Manufacturing of low haze instant tea extracts using Sri Lankan broken mixed </w:t>
      </w:r>
      <w:proofErr w:type="spellStart"/>
      <w:r>
        <w:t>fannings</w:t>
      </w:r>
      <w:proofErr w:type="spellEnd"/>
      <w:r>
        <w:t xml:space="preserve"> (BMF) as raw materials. Trop Agric Res. 2022;33(4):319-29. </w:t>
      </w:r>
      <w:hyperlink r:id="rId17" w:history="1">
        <w:r w:rsidRPr="00CB3143">
          <w:rPr>
            <w:rStyle w:val="Hyperlink"/>
          </w:rPr>
          <w:t>https://doi.org/10.4038/tar.v33i4.8585</w:t>
        </w:r>
      </w:hyperlink>
    </w:p>
    <w:p w:rsidR="00704512" w:rsidRPr="00CF69B6" w:rsidRDefault="00704512" w:rsidP="005918B6">
      <w:pPr>
        <w:pStyle w:val="Body"/>
        <w:numPr>
          <w:ilvl w:val="0"/>
          <w:numId w:val="5"/>
        </w:numPr>
        <w:spacing w:after="0"/>
        <w:ind w:left="990" w:right="1260"/>
      </w:pPr>
      <w:r w:rsidRPr="00704512">
        <w:t xml:space="preserve">Chowdhury A, Sarkar S, Chowdhury A, </w:t>
      </w:r>
      <w:proofErr w:type="spellStart"/>
      <w:r w:rsidRPr="00704512">
        <w:t>Bardhan</w:t>
      </w:r>
      <w:proofErr w:type="spellEnd"/>
      <w:r w:rsidRPr="00704512">
        <w:t xml:space="preserve"> S, Mandal P, Chowdhury M. Tea waste management: a case study from West Bengal, India. Indian J Sci Technol. 2016;9(42). </w:t>
      </w:r>
      <w:hyperlink r:id="rId18" w:history="1">
        <w:r w:rsidRPr="009F43F8">
          <w:rPr>
            <w:rStyle w:val="Hyperlink"/>
          </w:rPr>
          <w:t>https://doi.org/10.17485/ijst/2016/v9i42/89790</w:t>
        </w:r>
      </w:hyperlink>
    </w:p>
    <w:p w:rsidR="00704512" w:rsidRDefault="00704512" w:rsidP="005918B6">
      <w:pPr>
        <w:pStyle w:val="ListParagraph"/>
        <w:numPr>
          <w:ilvl w:val="0"/>
          <w:numId w:val="5"/>
        </w:numPr>
        <w:shd w:val="clear" w:color="auto" w:fill="FFFFFF"/>
        <w:ind w:left="990" w:right="1260"/>
        <w:rPr>
          <w:rFonts w:ascii="Arial" w:hAnsi="Arial" w:cs="Arial"/>
          <w:color w:val="333333"/>
          <w:szCs w:val="27"/>
        </w:rPr>
      </w:pPr>
      <w:r w:rsidRPr="00704512">
        <w:rPr>
          <w:rFonts w:ascii="Arial" w:hAnsi="Arial" w:cs="Arial"/>
          <w:color w:val="333333"/>
          <w:szCs w:val="27"/>
        </w:rPr>
        <w:t xml:space="preserve">Kavitha, V., and R. </w:t>
      </w:r>
      <w:proofErr w:type="spellStart"/>
      <w:r w:rsidRPr="00704512">
        <w:rPr>
          <w:rFonts w:ascii="Arial" w:hAnsi="Arial" w:cs="Arial"/>
          <w:color w:val="333333"/>
          <w:szCs w:val="27"/>
        </w:rPr>
        <w:t>Anandhan</w:t>
      </w:r>
      <w:proofErr w:type="spellEnd"/>
      <w:r w:rsidRPr="00704512">
        <w:rPr>
          <w:rFonts w:ascii="Arial" w:hAnsi="Arial" w:cs="Arial"/>
          <w:color w:val="333333"/>
          <w:szCs w:val="27"/>
        </w:rPr>
        <w:t xml:space="preserve">. 2024. “Optimizing Vermicomposting of Coffee and Tea Wastes Using the Indian Earthworm </w:t>
      </w:r>
      <w:proofErr w:type="spellStart"/>
      <w:r w:rsidRPr="00704512">
        <w:rPr>
          <w:rFonts w:ascii="Arial" w:hAnsi="Arial" w:cs="Arial"/>
          <w:color w:val="333333"/>
          <w:szCs w:val="27"/>
        </w:rPr>
        <w:t>Lampito</w:t>
      </w:r>
      <w:proofErr w:type="spellEnd"/>
      <w:r w:rsidRPr="00704512">
        <w:rPr>
          <w:rFonts w:ascii="Arial" w:hAnsi="Arial" w:cs="Arial"/>
          <w:color w:val="333333"/>
          <w:szCs w:val="27"/>
        </w:rPr>
        <w:t xml:space="preserve"> </w:t>
      </w:r>
      <w:proofErr w:type="spellStart"/>
      <w:r w:rsidRPr="00704512">
        <w:rPr>
          <w:rFonts w:ascii="Arial" w:hAnsi="Arial" w:cs="Arial"/>
          <w:color w:val="333333"/>
          <w:szCs w:val="27"/>
        </w:rPr>
        <w:t>Mauritii</w:t>
      </w:r>
      <w:proofErr w:type="spellEnd"/>
      <w:r w:rsidRPr="00704512">
        <w:rPr>
          <w:rFonts w:ascii="Arial" w:hAnsi="Arial" w:cs="Arial"/>
          <w:color w:val="333333"/>
          <w:szCs w:val="27"/>
        </w:rPr>
        <w:t>: A Sustainable Waste Management Approach”. </w:t>
      </w:r>
      <w:r w:rsidRPr="00704512">
        <w:rPr>
          <w:rFonts w:ascii="Arial" w:hAnsi="Arial" w:cs="Arial"/>
          <w:i/>
          <w:iCs/>
          <w:color w:val="333333"/>
          <w:szCs w:val="27"/>
        </w:rPr>
        <w:t>UTTAR PRADESH JOURNAL OF ZOOLOGY</w:t>
      </w:r>
      <w:r w:rsidRPr="00704512">
        <w:rPr>
          <w:rFonts w:ascii="Arial" w:hAnsi="Arial" w:cs="Arial"/>
          <w:color w:val="333333"/>
          <w:szCs w:val="27"/>
        </w:rPr>
        <w:t xml:space="preserve"> 45 (22):193-204. </w:t>
      </w:r>
      <w:hyperlink r:id="rId19" w:history="1">
        <w:r w:rsidRPr="009F43F8">
          <w:rPr>
            <w:rStyle w:val="Hyperlink"/>
            <w:rFonts w:ascii="Arial" w:hAnsi="Arial" w:cs="Arial"/>
            <w:szCs w:val="27"/>
          </w:rPr>
          <w:t>https://doi.org/10.56557/upjoz/2024/v45i224673</w:t>
        </w:r>
      </w:hyperlink>
      <w:r w:rsidRPr="00704512">
        <w:rPr>
          <w:rFonts w:ascii="Arial" w:hAnsi="Arial" w:cs="Arial"/>
          <w:color w:val="333333"/>
          <w:szCs w:val="27"/>
        </w:rPr>
        <w:t>.</w:t>
      </w:r>
    </w:p>
    <w:p w:rsidR="00033D3B" w:rsidRPr="00033D3B" w:rsidRDefault="00704512" w:rsidP="005918B6">
      <w:pPr>
        <w:pStyle w:val="ListParagraph"/>
        <w:numPr>
          <w:ilvl w:val="0"/>
          <w:numId w:val="5"/>
        </w:numPr>
        <w:shd w:val="clear" w:color="auto" w:fill="FFFFFF"/>
        <w:ind w:left="990" w:right="1260"/>
        <w:rPr>
          <w:rStyle w:val="url"/>
          <w:rFonts w:ascii="Arial" w:hAnsi="Arial" w:cs="Arial"/>
          <w:color w:val="333333"/>
          <w:szCs w:val="27"/>
        </w:rPr>
      </w:pPr>
      <w:proofErr w:type="spellStart"/>
      <w:r w:rsidRPr="00704512">
        <w:t>Borgohain</w:t>
      </w:r>
      <w:proofErr w:type="spellEnd"/>
      <w:r w:rsidRPr="00704512">
        <w:t xml:space="preserve"> A, </w:t>
      </w:r>
      <w:proofErr w:type="spellStart"/>
      <w:r w:rsidRPr="00704512">
        <w:t>Konwar</w:t>
      </w:r>
      <w:proofErr w:type="spellEnd"/>
      <w:r w:rsidRPr="00704512">
        <w:t xml:space="preserve"> K, </w:t>
      </w:r>
      <w:proofErr w:type="spellStart"/>
      <w:r w:rsidRPr="00704512">
        <w:t>Buragohain</w:t>
      </w:r>
      <w:proofErr w:type="spellEnd"/>
      <w:r w:rsidRPr="00704512">
        <w:t xml:space="preserve"> D, Varghese S, Dutta AK, Paul RK, et al. Temperature effect on biochar produced from tea (Camellia </w:t>
      </w:r>
      <w:proofErr w:type="spellStart"/>
      <w:r w:rsidRPr="00704512">
        <w:t>sinensis</w:t>
      </w:r>
      <w:proofErr w:type="spellEnd"/>
      <w:r w:rsidRPr="00704512">
        <w:t xml:space="preserve"> L.) pruning litters: A comprehensive treatise on </w:t>
      </w:r>
      <w:proofErr w:type="spellStart"/>
      <w:r w:rsidRPr="00704512">
        <w:t>physico</w:t>
      </w:r>
      <w:proofErr w:type="spellEnd"/>
      <w:r w:rsidRPr="00704512">
        <w:t xml:space="preserve">-chemical and statistical approaches. Bioresource Technology [Internet]. 2020 Aug </w:t>
      </w:r>
      <w:proofErr w:type="gramStart"/>
      <w:r w:rsidRPr="00704512">
        <w:t>18;318:124023</w:t>
      </w:r>
      <w:proofErr w:type="gramEnd"/>
      <w:r w:rsidRPr="00704512">
        <w:t xml:space="preserve">. Available from: </w:t>
      </w:r>
      <w:hyperlink r:id="rId20" w:history="1">
        <w:r w:rsidRPr="00704512">
          <w:rPr>
            <w:rStyle w:val="Hyperlink"/>
          </w:rPr>
          <w:t>https://www.sciencedirect.com/science/article/pii/S0960852420312955</w:t>
        </w:r>
      </w:hyperlink>
    </w:p>
    <w:p w:rsidR="00033D3B" w:rsidRPr="00033D3B" w:rsidRDefault="00704512" w:rsidP="005918B6">
      <w:pPr>
        <w:pStyle w:val="ListParagraph"/>
        <w:numPr>
          <w:ilvl w:val="0"/>
          <w:numId w:val="5"/>
        </w:numPr>
        <w:shd w:val="clear" w:color="auto" w:fill="FFFFFF"/>
        <w:ind w:left="990" w:right="1260"/>
        <w:rPr>
          <w:rStyle w:val="url"/>
          <w:rFonts w:ascii="Arial" w:hAnsi="Arial" w:cs="Arial"/>
          <w:color w:val="333333"/>
          <w:szCs w:val="27"/>
        </w:rPr>
      </w:pPr>
      <w:r>
        <w:t xml:space="preserve">Dhobi SH, Neupane D, Koirala S, </w:t>
      </w:r>
      <w:proofErr w:type="spellStart"/>
      <w:r>
        <w:t>Mulmi</w:t>
      </w:r>
      <w:proofErr w:type="spellEnd"/>
      <w:r>
        <w:t xml:space="preserve"> DD. Waste Tea as Absorbent for Removal of Heavy Metal present in Contaminated Water. </w:t>
      </w:r>
      <w:proofErr w:type="spellStart"/>
      <w:r>
        <w:t>Heliyon</w:t>
      </w:r>
      <w:proofErr w:type="spellEnd"/>
      <w:r>
        <w:t xml:space="preserve"> [Internet]. 2024 Oct 18;10(21</w:t>
      </w:r>
      <w:proofErr w:type="gramStart"/>
      <w:r>
        <w:t>):e</w:t>
      </w:r>
      <w:proofErr w:type="gramEnd"/>
      <w:r>
        <w:t xml:space="preserve">39519. Available from: </w:t>
      </w:r>
      <w:hyperlink r:id="rId21" w:history="1">
        <w:r w:rsidR="00033D3B" w:rsidRPr="009F43F8">
          <w:rPr>
            <w:rStyle w:val="Hyperlink"/>
          </w:rPr>
          <w:t>https://www.sciencedirect.com/science/article/pii/S2405844024155508</w:t>
        </w:r>
      </w:hyperlink>
    </w:p>
    <w:p w:rsidR="00033D3B" w:rsidRPr="00033D3B" w:rsidRDefault="00033D3B" w:rsidP="005918B6">
      <w:pPr>
        <w:pStyle w:val="ListParagraph"/>
        <w:numPr>
          <w:ilvl w:val="0"/>
          <w:numId w:val="5"/>
        </w:numPr>
        <w:shd w:val="clear" w:color="auto" w:fill="FFFFFF"/>
        <w:ind w:left="990" w:right="1260"/>
        <w:rPr>
          <w:rStyle w:val="url"/>
          <w:rFonts w:ascii="Arial" w:hAnsi="Arial" w:cs="Arial"/>
          <w:color w:val="333333"/>
          <w:szCs w:val="27"/>
        </w:rPr>
      </w:pPr>
      <w:r>
        <w:t xml:space="preserve">Pathak SK, Singh S, Rajput VD, Shan S, Srivastava S. Sulfur-modified tea-waste biochar improves rice growth in arsenic contaminated soil and reduces arsenic accumulation. </w:t>
      </w:r>
      <w:proofErr w:type="spellStart"/>
      <w:r>
        <w:t>iScience</w:t>
      </w:r>
      <w:proofErr w:type="spellEnd"/>
      <w:r>
        <w:t xml:space="preserve"> [Internet]. 2024 Nov 22;27(12):111445. Available from: </w:t>
      </w:r>
      <w:hyperlink r:id="rId22" w:history="1">
        <w:r w:rsidRPr="009F43F8">
          <w:rPr>
            <w:rStyle w:val="Hyperlink"/>
          </w:rPr>
          <w:t>https://www.sciencedirect.com/science/article/pii/S2589004224026725</w:t>
        </w:r>
      </w:hyperlink>
    </w:p>
    <w:p w:rsidR="00F969AD" w:rsidRPr="00F969AD" w:rsidRDefault="00033D3B" w:rsidP="005918B6">
      <w:pPr>
        <w:pStyle w:val="ListParagraph"/>
        <w:numPr>
          <w:ilvl w:val="0"/>
          <w:numId w:val="5"/>
        </w:numPr>
        <w:shd w:val="clear" w:color="auto" w:fill="FFFFFF"/>
        <w:ind w:left="990" w:right="1260"/>
        <w:rPr>
          <w:rStyle w:val="url"/>
          <w:rFonts w:ascii="Arial" w:hAnsi="Arial" w:cs="Arial"/>
          <w:color w:val="333333"/>
          <w:szCs w:val="27"/>
        </w:rPr>
      </w:pPr>
      <w:proofErr w:type="spellStart"/>
      <w:r>
        <w:t>Tunklová</w:t>
      </w:r>
      <w:proofErr w:type="spellEnd"/>
      <w:r>
        <w:t xml:space="preserve"> B, </w:t>
      </w:r>
      <w:proofErr w:type="spellStart"/>
      <w:r>
        <w:t>Jeníček</w:t>
      </w:r>
      <w:proofErr w:type="spellEnd"/>
      <w:r>
        <w:t xml:space="preserve"> L, </w:t>
      </w:r>
      <w:proofErr w:type="spellStart"/>
      <w:r>
        <w:t>Malaťák</w:t>
      </w:r>
      <w:proofErr w:type="spellEnd"/>
      <w:r>
        <w:t xml:space="preserve"> J, </w:t>
      </w:r>
      <w:proofErr w:type="spellStart"/>
      <w:r>
        <w:t>Neškudla</w:t>
      </w:r>
      <w:proofErr w:type="spellEnd"/>
      <w:r>
        <w:t xml:space="preserve"> M, </w:t>
      </w:r>
      <w:proofErr w:type="spellStart"/>
      <w:r>
        <w:t>Velebil</w:t>
      </w:r>
      <w:proofErr w:type="spellEnd"/>
      <w:r>
        <w:t xml:space="preserve"> J, </w:t>
      </w:r>
      <w:proofErr w:type="spellStart"/>
      <w:r>
        <w:t>Hnilička</w:t>
      </w:r>
      <w:proofErr w:type="spellEnd"/>
      <w:r>
        <w:t xml:space="preserve"> F. Properties of Biochar Derived from Tea Waste as an Alternative Fuel and Its Effect on Phytotoxicity of Seed Germination for Soil Applications. Materials [Internet]. 2022 Dec 7;15(24):8709. Available from: </w:t>
      </w:r>
      <w:hyperlink r:id="rId23" w:history="1">
        <w:r w:rsidRPr="009F43F8">
          <w:rPr>
            <w:rStyle w:val="Hyperlink"/>
          </w:rPr>
          <w:t>https://www.mdpi.com/1996-1944/15/24/8709</w:t>
        </w:r>
      </w:hyperlink>
    </w:p>
    <w:p w:rsidR="00F969AD" w:rsidRPr="00F969AD" w:rsidRDefault="00033D3B" w:rsidP="005918B6">
      <w:pPr>
        <w:pStyle w:val="ListParagraph"/>
        <w:numPr>
          <w:ilvl w:val="0"/>
          <w:numId w:val="5"/>
        </w:numPr>
        <w:shd w:val="clear" w:color="auto" w:fill="FFFFFF"/>
        <w:ind w:left="990" w:right="1260"/>
        <w:rPr>
          <w:rStyle w:val="url"/>
          <w:rFonts w:ascii="Arial" w:hAnsi="Arial" w:cs="Arial"/>
          <w:color w:val="333333"/>
          <w:szCs w:val="27"/>
        </w:rPr>
      </w:pPr>
      <w:r>
        <w:t xml:space="preserve">Present Handicrafts industries in Assam | Commissionerate of Industries &amp; Commerce | Government </w:t>
      </w:r>
      <w:proofErr w:type="gramStart"/>
      <w:r>
        <w:t>Of</w:t>
      </w:r>
      <w:proofErr w:type="gramEnd"/>
      <w:r>
        <w:t xml:space="preserve"> Assam, India [Internet]. Available from: </w:t>
      </w:r>
      <w:hyperlink r:id="rId24" w:anchor="main10" w:history="1">
        <w:r w:rsidR="00F969AD" w:rsidRPr="009F43F8">
          <w:rPr>
            <w:rStyle w:val="Hyperlink"/>
          </w:rPr>
          <w:t>https://industriescom.assam.gov.in/portlet-innerpage/present-handicrafts-industries-in-assam#main10</w:t>
        </w:r>
      </w:hyperlink>
    </w:p>
    <w:p w:rsidR="00F969AD" w:rsidRPr="00F969AD" w:rsidRDefault="00F969AD" w:rsidP="005918B6">
      <w:pPr>
        <w:pStyle w:val="ListParagraph"/>
        <w:numPr>
          <w:ilvl w:val="0"/>
          <w:numId w:val="5"/>
        </w:numPr>
        <w:shd w:val="clear" w:color="auto" w:fill="FFFFFF"/>
        <w:ind w:left="990" w:right="1260"/>
        <w:rPr>
          <w:rStyle w:val="url"/>
          <w:rFonts w:ascii="Arial" w:hAnsi="Arial" w:cs="Arial"/>
          <w:color w:val="333333"/>
          <w:szCs w:val="27"/>
        </w:rPr>
      </w:pPr>
      <w:r>
        <w:t xml:space="preserve">Gao P, Ogata Y. CHAMU: An effective approach for improving the recycling of tea waste. IOP Conference Series Materials Science and Engineering [Internet]. 2020 Jan 1;711(1):012024. Available from: </w:t>
      </w:r>
      <w:hyperlink r:id="rId25" w:history="1">
        <w:r w:rsidRPr="009F43F8">
          <w:rPr>
            <w:rStyle w:val="Hyperlink"/>
          </w:rPr>
          <w:t>https://www.researchgate.net/publication/338433694_CHAMU_An_effective_approach_for_improving_the_recycling_of_tea_waste</w:t>
        </w:r>
      </w:hyperlink>
    </w:p>
    <w:p w:rsidR="00F969AD" w:rsidRPr="00F969AD" w:rsidRDefault="00F969AD" w:rsidP="005918B6">
      <w:pPr>
        <w:pStyle w:val="ListParagraph"/>
        <w:numPr>
          <w:ilvl w:val="0"/>
          <w:numId w:val="5"/>
        </w:numPr>
        <w:shd w:val="clear" w:color="auto" w:fill="FFFFFF"/>
        <w:ind w:left="990" w:right="1260"/>
        <w:rPr>
          <w:rStyle w:val="url"/>
          <w:rFonts w:ascii="Arial" w:hAnsi="Arial" w:cs="Arial"/>
          <w:color w:val="333333"/>
          <w:szCs w:val="27"/>
        </w:rPr>
      </w:pPr>
      <w:proofErr w:type="spellStart"/>
      <w:r>
        <w:t>Oanh</w:t>
      </w:r>
      <w:proofErr w:type="spellEnd"/>
      <w:r>
        <w:t xml:space="preserve"> NC, Thu CTT, Hong NT, </w:t>
      </w:r>
      <w:proofErr w:type="spellStart"/>
      <w:r>
        <w:t>Giang</w:t>
      </w:r>
      <w:proofErr w:type="spellEnd"/>
      <w:r>
        <w:t xml:space="preserve"> NTP, </w:t>
      </w:r>
      <w:proofErr w:type="spellStart"/>
      <w:r>
        <w:t>Hornick</w:t>
      </w:r>
      <w:proofErr w:type="spellEnd"/>
      <w:r>
        <w:t xml:space="preserve"> JL, Dang PK. Growth performance, meat quality, and blood characteristics of finisher crossbred pigs fed diets supplemented with different levels of green tea (Camellia </w:t>
      </w:r>
      <w:proofErr w:type="spellStart"/>
      <w:r>
        <w:t>sinensis</w:t>
      </w:r>
      <w:proofErr w:type="spellEnd"/>
      <w:r>
        <w:t xml:space="preserve">) by-products. Veterinary World [Internet]. 2023 Jan 7;27–34. Available from: </w:t>
      </w:r>
      <w:hyperlink r:id="rId26" w:history="1">
        <w:r w:rsidRPr="009F43F8">
          <w:rPr>
            <w:rStyle w:val="Hyperlink"/>
          </w:rPr>
          <w:t>https://pmc.ncbi.nlm.nih.gov/articles/PMC9967713/</w:t>
        </w:r>
      </w:hyperlink>
    </w:p>
    <w:p w:rsidR="00CF69B6" w:rsidRPr="00F969AD" w:rsidRDefault="00F969AD" w:rsidP="005918B6">
      <w:pPr>
        <w:pStyle w:val="ListParagraph"/>
        <w:numPr>
          <w:ilvl w:val="0"/>
          <w:numId w:val="5"/>
        </w:numPr>
        <w:shd w:val="clear" w:color="auto" w:fill="FFFFFF"/>
        <w:ind w:left="990" w:right="1260"/>
        <w:rPr>
          <w:rFonts w:ascii="Arial" w:hAnsi="Arial" w:cs="Arial"/>
          <w:color w:val="333333"/>
          <w:szCs w:val="27"/>
        </w:rPr>
      </w:pPr>
      <w:r>
        <w:t>Hossain M. Dietary supplementation of green tea by-products on growth performance, meat quality, blood parameters and immunity in finishing pigs. J Med Plants Res. 2012;6(27):5203-10.</w:t>
      </w:r>
      <w:hyperlink r:id="rId27" w:history="1">
        <w:r>
          <w:rPr>
            <w:rStyle w:val="Hyperlink"/>
          </w:rPr>
          <w:t>https://doi.org/10.5897/JMPR11.1643</w:t>
        </w:r>
      </w:hyperlink>
    </w:p>
    <w:p w:rsidR="00E03A37" w:rsidRDefault="00F969AD" w:rsidP="005918B6">
      <w:pPr>
        <w:pStyle w:val="Body"/>
        <w:numPr>
          <w:ilvl w:val="0"/>
          <w:numId w:val="5"/>
        </w:numPr>
        <w:spacing w:after="0"/>
        <w:ind w:left="990" w:right="1260"/>
      </w:pPr>
      <w:r>
        <w:lastRenderedPageBreak/>
        <w:t xml:space="preserve">Nishida T, </w:t>
      </w:r>
      <w:proofErr w:type="spellStart"/>
      <w:r>
        <w:t>Eruden</w:t>
      </w:r>
      <w:proofErr w:type="spellEnd"/>
      <w:r>
        <w:t xml:space="preserve"> B, Hosoda K, Matsuyama H, Nakagawa K, Miyazawa T, et al. Effects of green tea (Camellia </w:t>
      </w:r>
      <w:proofErr w:type="spellStart"/>
      <w:r>
        <w:t>sinensis</w:t>
      </w:r>
      <w:proofErr w:type="spellEnd"/>
      <w:r>
        <w:t>) waste silage and polyethylene glycol on ruminal fermentation and blood components in cattle. Asian-</w:t>
      </w:r>
      <w:proofErr w:type="spellStart"/>
      <w:r>
        <w:t>Australas</w:t>
      </w:r>
      <w:proofErr w:type="spellEnd"/>
      <w:r>
        <w:t xml:space="preserve"> J </w:t>
      </w:r>
      <w:proofErr w:type="spellStart"/>
      <w:r>
        <w:t>Anim</w:t>
      </w:r>
      <w:proofErr w:type="spellEnd"/>
      <w:r>
        <w:t xml:space="preserve"> Sci. 2006;19(12):1728-36.</w:t>
      </w:r>
      <w:r w:rsidRPr="00CF69B6">
        <w:t xml:space="preserve"> </w:t>
      </w:r>
      <w:hyperlink r:id="rId28" w:history="1">
        <w:r w:rsidR="00E03A37" w:rsidRPr="009F43F8">
          <w:rPr>
            <w:rStyle w:val="Hyperlink"/>
          </w:rPr>
          <w:t>https://doi.org/10.5713/ajas.2006.1728</w:t>
        </w:r>
      </w:hyperlink>
    </w:p>
    <w:p w:rsidR="00E03A37" w:rsidRDefault="00E03A37" w:rsidP="005918B6">
      <w:pPr>
        <w:pStyle w:val="Body"/>
        <w:numPr>
          <w:ilvl w:val="0"/>
          <w:numId w:val="5"/>
        </w:numPr>
        <w:spacing w:after="0"/>
        <w:ind w:left="990" w:right="1260"/>
        <w:rPr>
          <w:rStyle w:val="url"/>
        </w:rPr>
      </w:pPr>
      <w:r>
        <w:t xml:space="preserve">Wang H, Xu C. Utilization of tea grounds as feedstuff for ruminant. Journal of Animal Science and Biotechnology/Journal of Animal Science and Biotechnology [Internet]. 2013 Dec 1;4(1). Available from: </w:t>
      </w:r>
      <w:hyperlink r:id="rId29" w:history="1">
        <w:r w:rsidRPr="009F43F8">
          <w:rPr>
            <w:rStyle w:val="Hyperlink"/>
          </w:rPr>
          <w:t>https://pmc.ncbi.nlm.nih.gov/articles/PMC3901555/</w:t>
        </w:r>
      </w:hyperlink>
    </w:p>
    <w:p w:rsidR="00E03A37" w:rsidRDefault="00E03A37" w:rsidP="005918B6">
      <w:pPr>
        <w:pStyle w:val="Body"/>
        <w:numPr>
          <w:ilvl w:val="0"/>
          <w:numId w:val="5"/>
        </w:numPr>
        <w:spacing w:after="0"/>
        <w:ind w:left="990" w:right="1260"/>
        <w:rPr>
          <w:rStyle w:val="url"/>
        </w:rPr>
      </w:pPr>
      <w:r>
        <w:t xml:space="preserve">Koch W, </w:t>
      </w:r>
      <w:proofErr w:type="spellStart"/>
      <w:r>
        <w:t>Zagórska</w:t>
      </w:r>
      <w:proofErr w:type="spellEnd"/>
      <w:r>
        <w:t xml:space="preserve"> J, </w:t>
      </w:r>
      <w:proofErr w:type="spellStart"/>
      <w:r>
        <w:t>Marzec</w:t>
      </w:r>
      <w:proofErr w:type="spellEnd"/>
      <w:r>
        <w:t xml:space="preserve"> Z, </w:t>
      </w:r>
      <w:proofErr w:type="spellStart"/>
      <w:r>
        <w:t>Kukula</w:t>
      </w:r>
      <w:proofErr w:type="spellEnd"/>
      <w:r>
        <w:t xml:space="preserve">-Koch W. Applications of Tea (Camellia </w:t>
      </w:r>
      <w:proofErr w:type="spellStart"/>
      <w:r>
        <w:t>sinensis</w:t>
      </w:r>
      <w:proofErr w:type="spellEnd"/>
      <w:r>
        <w:t xml:space="preserve">) and Its Active Constituents in Cosmetics. Molecules [Internet]. 2019 Nov 24;24(23):4277. Available from: </w:t>
      </w:r>
      <w:hyperlink r:id="rId30" w:history="1">
        <w:r w:rsidRPr="009F43F8">
          <w:rPr>
            <w:rStyle w:val="Hyperlink"/>
          </w:rPr>
          <w:t>https://pmc.ncbi.nlm.nih.gov/articles/PMC6930595/</w:t>
        </w:r>
      </w:hyperlink>
    </w:p>
    <w:p w:rsidR="00E03A37" w:rsidRDefault="00E03A37" w:rsidP="005918B6">
      <w:pPr>
        <w:pStyle w:val="Body"/>
        <w:numPr>
          <w:ilvl w:val="0"/>
          <w:numId w:val="5"/>
        </w:numPr>
        <w:spacing w:after="0"/>
        <w:ind w:left="990" w:right="1260"/>
        <w:rPr>
          <w:rStyle w:val="url"/>
        </w:rPr>
      </w:pPr>
      <w:r>
        <w:t xml:space="preserve">Tang W, Li D, </w:t>
      </w:r>
      <w:proofErr w:type="spellStart"/>
      <w:r>
        <w:t>Lv</w:t>
      </w:r>
      <w:proofErr w:type="spellEnd"/>
      <w:r>
        <w:t xml:space="preserve"> Y, Jiang J. Extraction and Removal of Caffeine from Green Tea by Ultrasonic</w:t>
      </w:r>
      <w:r w:rsidRPr="00E03A37">
        <w:rPr>
          <w:rFonts w:ascii="Cambria Math" w:hAnsi="Cambria Math" w:cs="Cambria Math"/>
        </w:rPr>
        <w:t>‐</w:t>
      </w:r>
      <w:r>
        <w:t xml:space="preserve">Enhanced Supercritical Fluid. Journal of Food Science [Internet]. 2010 May 1;75(4). Available from: </w:t>
      </w:r>
      <w:hyperlink r:id="rId31" w:history="1">
        <w:r w:rsidRPr="009F43F8">
          <w:rPr>
            <w:rStyle w:val="Hyperlink"/>
          </w:rPr>
          <w:t>https://ift.onlinelibrary.wiley.com/doi/10.1111/j.1750-3841.2010.01604.x</w:t>
        </w:r>
      </w:hyperlink>
    </w:p>
    <w:p w:rsidR="00BC4AA2" w:rsidRDefault="00E03A37" w:rsidP="005918B6">
      <w:pPr>
        <w:pStyle w:val="Body"/>
        <w:numPr>
          <w:ilvl w:val="0"/>
          <w:numId w:val="5"/>
        </w:numPr>
        <w:spacing w:after="0"/>
        <w:ind w:left="990" w:right="1260"/>
        <w:rPr>
          <w:rStyle w:val="url"/>
        </w:rPr>
      </w:pPr>
      <w:proofErr w:type="spellStart"/>
      <w:r>
        <w:t>Çakmak</w:t>
      </w:r>
      <w:proofErr w:type="spellEnd"/>
      <w:r>
        <w:t xml:space="preserve"> TG, </w:t>
      </w:r>
      <w:proofErr w:type="spellStart"/>
      <w:r>
        <w:t>Saricaoglu</w:t>
      </w:r>
      <w:proofErr w:type="spellEnd"/>
      <w:r>
        <w:t xml:space="preserve"> B, </w:t>
      </w:r>
      <w:proofErr w:type="spellStart"/>
      <w:r>
        <w:t>Ozkan</w:t>
      </w:r>
      <w:proofErr w:type="spellEnd"/>
      <w:r>
        <w:t xml:space="preserve"> G, Tomas M, </w:t>
      </w:r>
      <w:proofErr w:type="spellStart"/>
      <w:r>
        <w:t>Capanoglu</w:t>
      </w:r>
      <w:proofErr w:type="spellEnd"/>
      <w:r>
        <w:t xml:space="preserve"> E. Valorization of tea waste: Composition, bioactivity, extraction methods, and utilization. Food Science &amp; Nutrition [Internet]. 2024 Mar 4;12(5):3112–24. Available from: </w:t>
      </w:r>
      <w:hyperlink r:id="rId32" w:anchor="fsn34011-sec-0013" w:history="1">
        <w:r w:rsidRPr="009F43F8">
          <w:rPr>
            <w:rStyle w:val="Hyperlink"/>
          </w:rPr>
          <w:t>https://pmc.ncbi.nlm.nih.gov/articles/PMC11077253/#fsn34011-sec-0013</w:t>
        </w:r>
      </w:hyperlink>
    </w:p>
    <w:p w:rsidR="00BC4AA2" w:rsidRDefault="00BC4AA2" w:rsidP="005918B6">
      <w:pPr>
        <w:pStyle w:val="Body"/>
        <w:numPr>
          <w:ilvl w:val="0"/>
          <w:numId w:val="5"/>
        </w:numPr>
        <w:spacing w:after="0"/>
        <w:ind w:left="990" w:right="1260"/>
        <w:rPr>
          <w:rStyle w:val="url"/>
        </w:rPr>
      </w:pPr>
      <w:r>
        <w:t xml:space="preserve">Debnath B, </w:t>
      </w:r>
      <w:proofErr w:type="spellStart"/>
      <w:r>
        <w:t>Haldar</w:t>
      </w:r>
      <w:proofErr w:type="spellEnd"/>
      <w:r>
        <w:t xml:space="preserve"> D, </w:t>
      </w:r>
      <w:proofErr w:type="spellStart"/>
      <w:r>
        <w:t>Purkait</w:t>
      </w:r>
      <w:proofErr w:type="spellEnd"/>
      <w:r>
        <w:t xml:space="preserve"> MK. Potential and sustainable utilization of tea waste: A review on present status and future trends. Journal of Environmental Chemical Engineering [Internet]. 2021 Aug 10;9(5):106179. Available from: </w:t>
      </w:r>
      <w:hyperlink r:id="rId33" w:history="1">
        <w:r w:rsidRPr="009F43F8">
          <w:rPr>
            <w:rStyle w:val="Hyperlink"/>
          </w:rPr>
          <w:t>https://www.sciencedirect.com/science/article/pii/S2213343721011568</w:t>
        </w:r>
      </w:hyperlink>
    </w:p>
    <w:p w:rsidR="00A63251" w:rsidRPr="00326AEB" w:rsidRDefault="00BC4AA2" w:rsidP="005918B6">
      <w:pPr>
        <w:pStyle w:val="Body"/>
        <w:numPr>
          <w:ilvl w:val="0"/>
          <w:numId w:val="5"/>
        </w:numPr>
        <w:spacing w:after="0"/>
        <w:ind w:left="990" w:right="1260"/>
      </w:pPr>
      <w:r>
        <w:t xml:space="preserve">Duncan JMA, </w:t>
      </w:r>
      <w:proofErr w:type="spellStart"/>
      <w:r>
        <w:t>Saikia</w:t>
      </w:r>
      <w:proofErr w:type="spellEnd"/>
      <w:r>
        <w:t xml:space="preserve"> SD, Gupta N, Biggs EM. Observing climate impacts on tea yield in Assam, India. Applied Geography [Internet]. 2016 Nov </w:t>
      </w:r>
      <w:proofErr w:type="gramStart"/>
      <w:r>
        <w:t>9;77:64</w:t>
      </w:r>
      <w:proofErr w:type="gramEnd"/>
      <w:r>
        <w:t xml:space="preserve">–71. Available from: </w:t>
      </w:r>
      <w:hyperlink r:id="rId34" w:history="1">
        <w:r w:rsidRPr="009F43F8">
          <w:rPr>
            <w:rStyle w:val="Hyperlink"/>
          </w:rPr>
          <w:t>https://www.sciencedirect.com/science/article/pii/S0143622816306075</w:t>
        </w:r>
      </w:hyperlink>
    </w:p>
    <w:sectPr w:rsidR="00A63251" w:rsidRPr="00326AEB" w:rsidSect="003A3EA7">
      <w:headerReference w:type="even" r:id="rId35"/>
      <w:headerReference w:type="default" r:id="rId36"/>
      <w:footerReference w:type="default" r:id="rId37"/>
      <w:headerReference w:type="first" r:id="rId3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2CD" w:rsidRDefault="00EF42CD" w:rsidP="00C37E61">
      <w:r>
        <w:separator/>
      </w:r>
    </w:p>
  </w:endnote>
  <w:endnote w:type="continuationSeparator" w:id="0">
    <w:p w:rsidR="00EF42CD" w:rsidRDefault="00EF42C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059" w:rsidRDefault="00E35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059" w:rsidRDefault="00E350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C9A" w:rsidRPr="003A6F4E" w:rsidRDefault="00754C9A" w:rsidP="003A6F4E">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2CD" w:rsidRDefault="00EF42CD" w:rsidP="00C37E61">
      <w:r>
        <w:separator/>
      </w:r>
    </w:p>
  </w:footnote>
  <w:footnote w:type="continuationSeparator" w:id="0">
    <w:p w:rsidR="00EF42CD" w:rsidRDefault="00EF42C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059" w:rsidRDefault="00E350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29235"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059" w:rsidRDefault="00E350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29236"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E35059"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29234"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059" w:rsidRDefault="00E350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29238"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059" w:rsidRDefault="00E350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29239"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059" w:rsidRDefault="00E350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29237"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575F0"/>
    <w:multiLevelType w:val="multilevel"/>
    <w:tmpl w:val="AE8EEA5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3061F6E"/>
    <w:multiLevelType w:val="multilevel"/>
    <w:tmpl w:val="0782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D33613"/>
    <w:multiLevelType w:val="multilevel"/>
    <w:tmpl w:val="8C8073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4" w15:restartNumberingAfterBreak="0">
    <w:nsid w:val="7C971122"/>
    <w:multiLevelType w:val="multilevel"/>
    <w:tmpl w:val="DF0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619F"/>
    <w:rsid w:val="00030174"/>
    <w:rsid w:val="00033D3B"/>
    <w:rsid w:val="0004579C"/>
    <w:rsid w:val="000715A2"/>
    <w:rsid w:val="000A47FA"/>
    <w:rsid w:val="000A65D3"/>
    <w:rsid w:val="000B1E33"/>
    <w:rsid w:val="000C199C"/>
    <w:rsid w:val="000D689F"/>
    <w:rsid w:val="000E7B7B"/>
    <w:rsid w:val="000E7D62"/>
    <w:rsid w:val="00103357"/>
    <w:rsid w:val="00106157"/>
    <w:rsid w:val="00123C9F"/>
    <w:rsid w:val="00126190"/>
    <w:rsid w:val="00130F17"/>
    <w:rsid w:val="001320BF"/>
    <w:rsid w:val="00163BC4"/>
    <w:rsid w:val="00191062"/>
    <w:rsid w:val="00191885"/>
    <w:rsid w:val="00192B72"/>
    <w:rsid w:val="001A29D8"/>
    <w:rsid w:val="001A5CAA"/>
    <w:rsid w:val="001B0427"/>
    <w:rsid w:val="001D3A51"/>
    <w:rsid w:val="001E10D2"/>
    <w:rsid w:val="001E25B4"/>
    <w:rsid w:val="001E44FE"/>
    <w:rsid w:val="001E7307"/>
    <w:rsid w:val="00200595"/>
    <w:rsid w:val="00204835"/>
    <w:rsid w:val="00231920"/>
    <w:rsid w:val="0023195C"/>
    <w:rsid w:val="0024282C"/>
    <w:rsid w:val="002460DC"/>
    <w:rsid w:val="00250985"/>
    <w:rsid w:val="002556F6"/>
    <w:rsid w:val="00283105"/>
    <w:rsid w:val="00284075"/>
    <w:rsid w:val="00284C4C"/>
    <w:rsid w:val="00287E68"/>
    <w:rsid w:val="00295AB1"/>
    <w:rsid w:val="00296529"/>
    <w:rsid w:val="002B27FB"/>
    <w:rsid w:val="002B685A"/>
    <w:rsid w:val="002C57D2"/>
    <w:rsid w:val="002E0D56"/>
    <w:rsid w:val="00315186"/>
    <w:rsid w:val="003243FD"/>
    <w:rsid w:val="00326AEB"/>
    <w:rsid w:val="0033343E"/>
    <w:rsid w:val="003512C2"/>
    <w:rsid w:val="00371FB6"/>
    <w:rsid w:val="003763C1"/>
    <w:rsid w:val="00376BBE"/>
    <w:rsid w:val="00382EC8"/>
    <w:rsid w:val="0039224F"/>
    <w:rsid w:val="003A3EA7"/>
    <w:rsid w:val="003A43A4"/>
    <w:rsid w:val="003A6F4E"/>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93980"/>
    <w:rsid w:val="004B5E38"/>
    <w:rsid w:val="004C0C3B"/>
    <w:rsid w:val="004D305E"/>
    <w:rsid w:val="004D4277"/>
    <w:rsid w:val="00502516"/>
    <w:rsid w:val="00505F06"/>
    <w:rsid w:val="00506828"/>
    <w:rsid w:val="0053056E"/>
    <w:rsid w:val="00543C1F"/>
    <w:rsid w:val="00554FDA"/>
    <w:rsid w:val="005918B6"/>
    <w:rsid w:val="005C00B3"/>
    <w:rsid w:val="005C40D3"/>
    <w:rsid w:val="005C784C"/>
    <w:rsid w:val="005D17F6"/>
    <w:rsid w:val="005E5539"/>
    <w:rsid w:val="00602BF5"/>
    <w:rsid w:val="00617FDD"/>
    <w:rsid w:val="006318D3"/>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3FF"/>
    <w:rsid w:val="0070082C"/>
    <w:rsid w:val="00704512"/>
    <w:rsid w:val="007369E6"/>
    <w:rsid w:val="00746E59"/>
    <w:rsid w:val="00754C9A"/>
    <w:rsid w:val="0075599A"/>
    <w:rsid w:val="00761D52"/>
    <w:rsid w:val="0077749E"/>
    <w:rsid w:val="00787CBB"/>
    <w:rsid w:val="00790ADA"/>
    <w:rsid w:val="00793148"/>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4242"/>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0865"/>
    <w:rsid w:val="00A51431"/>
    <w:rsid w:val="00A539AD"/>
    <w:rsid w:val="00A63251"/>
    <w:rsid w:val="00A716C3"/>
    <w:rsid w:val="00A94063"/>
    <w:rsid w:val="00AA6219"/>
    <w:rsid w:val="00AA74E0"/>
    <w:rsid w:val="00AB703F"/>
    <w:rsid w:val="00AC6BB8"/>
    <w:rsid w:val="00AE008F"/>
    <w:rsid w:val="00AE2B5D"/>
    <w:rsid w:val="00B01FCD"/>
    <w:rsid w:val="00B1776C"/>
    <w:rsid w:val="00B347F8"/>
    <w:rsid w:val="00B52583"/>
    <w:rsid w:val="00B52896"/>
    <w:rsid w:val="00B67F40"/>
    <w:rsid w:val="00B95236"/>
    <w:rsid w:val="00B96BD9"/>
    <w:rsid w:val="00BA1B01"/>
    <w:rsid w:val="00BA2641"/>
    <w:rsid w:val="00BB37AA"/>
    <w:rsid w:val="00BC4AA2"/>
    <w:rsid w:val="00BC53A0"/>
    <w:rsid w:val="00BD2E1B"/>
    <w:rsid w:val="00BE62AD"/>
    <w:rsid w:val="00BF121F"/>
    <w:rsid w:val="00BF1F80"/>
    <w:rsid w:val="00C166EF"/>
    <w:rsid w:val="00C17EB0"/>
    <w:rsid w:val="00C27F5F"/>
    <w:rsid w:val="00C30A0F"/>
    <w:rsid w:val="00C37E61"/>
    <w:rsid w:val="00C432B9"/>
    <w:rsid w:val="00C70F1B"/>
    <w:rsid w:val="00C71A47"/>
    <w:rsid w:val="00C7464C"/>
    <w:rsid w:val="00C85588"/>
    <w:rsid w:val="00CC0C4D"/>
    <w:rsid w:val="00CD6755"/>
    <w:rsid w:val="00CD6856"/>
    <w:rsid w:val="00CE0089"/>
    <w:rsid w:val="00CE793C"/>
    <w:rsid w:val="00CF193C"/>
    <w:rsid w:val="00CF69B6"/>
    <w:rsid w:val="00D173F1"/>
    <w:rsid w:val="00D303A0"/>
    <w:rsid w:val="00D41D02"/>
    <w:rsid w:val="00D74CB0"/>
    <w:rsid w:val="00D8295D"/>
    <w:rsid w:val="00DC2A65"/>
    <w:rsid w:val="00DE15F0"/>
    <w:rsid w:val="00DE5663"/>
    <w:rsid w:val="00DE78AA"/>
    <w:rsid w:val="00E02B43"/>
    <w:rsid w:val="00E03A37"/>
    <w:rsid w:val="00E053D0"/>
    <w:rsid w:val="00E15994"/>
    <w:rsid w:val="00E3076C"/>
    <w:rsid w:val="00E3114E"/>
    <w:rsid w:val="00E31A70"/>
    <w:rsid w:val="00E35059"/>
    <w:rsid w:val="00E35B02"/>
    <w:rsid w:val="00E66496"/>
    <w:rsid w:val="00E66B35"/>
    <w:rsid w:val="00E66E10"/>
    <w:rsid w:val="00E769F6"/>
    <w:rsid w:val="00E8407C"/>
    <w:rsid w:val="00E84F3C"/>
    <w:rsid w:val="00EA012C"/>
    <w:rsid w:val="00EC6A55"/>
    <w:rsid w:val="00ED0288"/>
    <w:rsid w:val="00EE52CB"/>
    <w:rsid w:val="00EF42CD"/>
    <w:rsid w:val="00EF581D"/>
    <w:rsid w:val="00EF6269"/>
    <w:rsid w:val="00EF7FD8"/>
    <w:rsid w:val="00F06F59"/>
    <w:rsid w:val="00F131C1"/>
    <w:rsid w:val="00F17988"/>
    <w:rsid w:val="00F469F0"/>
    <w:rsid w:val="00F53273"/>
    <w:rsid w:val="00F755E4"/>
    <w:rsid w:val="00F77D02"/>
    <w:rsid w:val="00F90E6A"/>
    <w:rsid w:val="00F969AD"/>
    <w:rsid w:val="00FB3A86"/>
    <w:rsid w:val="00FC6A97"/>
    <w:rsid w:val="00FD36C8"/>
    <w:rsid w:val="00FE053D"/>
    <w:rsid w:val="00FE5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78A4BA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4939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49398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F131C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793148"/>
    <w:pPr>
      <w:spacing w:before="100" w:beforeAutospacing="1" w:after="100" w:afterAutospacing="1"/>
    </w:pPr>
    <w:rPr>
      <w:rFonts w:ascii="Times New Roman" w:hAnsi="Times New Roman"/>
      <w:sz w:val="24"/>
      <w:szCs w:val="24"/>
    </w:rPr>
  </w:style>
  <w:style w:type="character" w:customStyle="1" w:styleId="Heading2Char">
    <w:name w:val="Heading 2 Char"/>
    <w:basedOn w:val="DefaultParagraphFont"/>
    <w:link w:val="Heading2"/>
    <w:semiHidden/>
    <w:rsid w:val="0049398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493980"/>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493980"/>
    <w:rPr>
      <w:b/>
      <w:bCs/>
    </w:rPr>
  </w:style>
  <w:style w:type="character" w:customStyle="1" w:styleId="Heading4Char">
    <w:name w:val="Heading 4 Char"/>
    <w:basedOn w:val="DefaultParagraphFont"/>
    <w:link w:val="Heading4"/>
    <w:semiHidden/>
    <w:rsid w:val="00F131C1"/>
    <w:rPr>
      <w:rFonts w:asciiTheme="majorHAnsi" w:eastAsiaTheme="majorEastAsia" w:hAnsiTheme="majorHAnsi" w:cstheme="majorBidi"/>
      <w:i/>
      <w:iCs/>
      <w:color w:val="365F91" w:themeColor="accent1" w:themeShade="BF"/>
    </w:rPr>
  </w:style>
  <w:style w:type="paragraph" w:customStyle="1" w:styleId="Default">
    <w:name w:val="Default"/>
    <w:rsid w:val="00382EC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04512"/>
    <w:pPr>
      <w:ind w:left="720"/>
      <w:contextualSpacing/>
    </w:pPr>
  </w:style>
  <w:style w:type="character" w:customStyle="1" w:styleId="url">
    <w:name w:val="url"/>
    <w:basedOn w:val="DefaultParagraphFont"/>
    <w:rsid w:val="00704512"/>
  </w:style>
  <w:style w:type="character" w:customStyle="1" w:styleId="text-token-text-secondary">
    <w:name w:val="text-token-text-secondary"/>
    <w:basedOn w:val="DefaultParagraphFont"/>
    <w:rsid w:val="00E03A37"/>
  </w:style>
  <w:style w:type="character" w:customStyle="1" w:styleId="text-token-text-primary">
    <w:name w:val="text-token-text-primary"/>
    <w:basedOn w:val="DefaultParagraphFont"/>
    <w:rsid w:val="00E03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0180976">
      <w:bodyDiv w:val="1"/>
      <w:marLeft w:val="0"/>
      <w:marRight w:val="0"/>
      <w:marTop w:val="0"/>
      <w:marBottom w:val="0"/>
      <w:divBdr>
        <w:top w:val="none" w:sz="0" w:space="0" w:color="auto"/>
        <w:left w:val="none" w:sz="0" w:space="0" w:color="auto"/>
        <w:bottom w:val="none" w:sz="0" w:space="0" w:color="auto"/>
        <w:right w:val="none" w:sz="0" w:space="0" w:color="auto"/>
      </w:divBdr>
    </w:div>
    <w:div w:id="25066424">
      <w:bodyDiv w:val="1"/>
      <w:marLeft w:val="0"/>
      <w:marRight w:val="0"/>
      <w:marTop w:val="0"/>
      <w:marBottom w:val="0"/>
      <w:divBdr>
        <w:top w:val="none" w:sz="0" w:space="0" w:color="auto"/>
        <w:left w:val="none" w:sz="0" w:space="0" w:color="auto"/>
        <w:bottom w:val="none" w:sz="0" w:space="0" w:color="auto"/>
        <w:right w:val="none" w:sz="0" w:space="0" w:color="auto"/>
      </w:divBdr>
      <w:divsChild>
        <w:div w:id="1881554942">
          <w:marLeft w:val="0"/>
          <w:marRight w:val="0"/>
          <w:marTop w:val="0"/>
          <w:marBottom w:val="0"/>
          <w:divBdr>
            <w:top w:val="none" w:sz="0" w:space="0" w:color="auto"/>
            <w:left w:val="none" w:sz="0" w:space="0" w:color="auto"/>
            <w:bottom w:val="none" w:sz="0" w:space="0" w:color="auto"/>
            <w:right w:val="none" w:sz="0" w:space="0" w:color="auto"/>
          </w:divBdr>
        </w:div>
      </w:divsChild>
    </w:div>
    <w:div w:id="27529940">
      <w:bodyDiv w:val="1"/>
      <w:marLeft w:val="0"/>
      <w:marRight w:val="0"/>
      <w:marTop w:val="0"/>
      <w:marBottom w:val="0"/>
      <w:divBdr>
        <w:top w:val="none" w:sz="0" w:space="0" w:color="auto"/>
        <w:left w:val="none" w:sz="0" w:space="0" w:color="auto"/>
        <w:bottom w:val="none" w:sz="0" w:space="0" w:color="auto"/>
        <w:right w:val="none" w:sz="0" w:space="0" w:color="auto"/>
      </w:divBdr>
    </w:div>
    <w:div w:id="41636277">
      <w:bodyDiv w:val="1"/>
      <w:marLeft w:val="0"/>
      <w:marRight w:val="0"/>
      <w:marTop w:val="0"/>
      <w:marBottom w:val="0"/>
      <w:divBdr>
        <w:top w:val="none" w:sz="0" w:space="0" w:color="auto"/>
        <w:left w:val="none" w:sz="0" w:space="0" w:color="auto"/>
        <w:bottom w:val="none" w:sz="0" w:space="0" w:color="auto"/>
        <w:right w:val="none" w:sz="0" w:space="0" w:color="auto"/>
      </w:divBdr>
    </w:div>
    <w:div w:id="146172912">
      <w:bodyDiv w:val="1"/>
      <w:marLeft w:val="0"/>
      <w:marRight w:val="0"/>
      <w:marTop w:val="0"/>
      <w:marBottom w:val="0"/>
      <w:divBdr>
        <w:top w:val="none" w:sz="0" w:space="0" w:color="auto"/>
        <w:left w:val="none" w:sz="0" w:space="0" w:color="auto"/>
        <w:bottom w:val="none" w:sz="0" w:space="0" w:color="auto"/>
        <w:right w:val="none" w:sz="0" w:space="0" w:color="auto"/>
      </w:divBdr>
      <w:divsChild>
        <w:div w:id="1717971684">
          <w:marLeft w:val="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1419763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6623538">
      <w:bodyDiv w:val="1"/>
      <w:marLeft w:val="0"/>
      <w:marRight w:val="0"/>
      <w:marTop w:val="0"/>
      <w:marBottom w:val="0"/>
      <w:divBdr>
        <w:top w:val="none" w:sz="0" w:space="0" w:color="auto"/>
        <w:left w:val="none" w:sz="0" w:space="0" w:color="auto"/>
        <w:bottom w:val="none" w:sz="0" w:space="0" w:color="auto"/>
        <w:right w:val="none" w:sz="0" w:space="0" w:color="auto"/>
      </w:divBdr>
    </w:div>
    <w:div w:id="334653702">
      <w:bodyDiv w:val="1"/>
      <w:marLeft w:val="0"/>
      <w:marRight w:val="0"/>
      <w:marTop w:val="0"/>
      <w:marBottom w:val="0"/>
      <w:divBdr>
        <w:top w:val="none" w:sz="0" w:space="0" w:color="auto"/>
        <w:left w:val="none" w:sz="0" w:space="0" w:color="auto"/>
        <w:bottom w:val="none" w:sz="0" w:space="0" w:color="auto"/>
        <w:right w:val="none" w:sz="0" w:space="0" w:color="auto"/>
      </w:divBdr>
    </w:div>
    <w:div w:id="453135743">
      <w:bodyDiv w:val="1"/>
      <w:marLeft w:val="0"/>
      <w:marRight w:val="0"/>
      <w:marTop w:val="0"/>
      <w:marBottom w:val="0"/>
      <w:divBdr>
        <w:top w:val="none" w:sz="0" w:space="0" w:color="auto"/>
        <w:left w:val="none" w:sz="0" w:space="0" w:color="auto"/>
        <w:bottom w:val="none" w:sz="0" w:space="0" w:color="auto"/>
        <w:right w:val="none" w:sz="0" w:space="0" w:color="auto"/>
      </w:divBdr>
    </w:div>
    <w:div w:id="470561388">
      <w:bodyDiv w:val="1"/>
      <w:marLeft w:val="0"/>
      <w:marRight w:val="0"/>
      <w:marTop w:val="0"/>
      <w:marBottom w:val="0"/>
      <w:divBdr>
        <w:top w:val="none" w:sz="0" w:space="0" w:color="auto"/>
        <w:left w:val="none" w:sz="0" w:space="0" w:color="auto"/>
        <w:bottom w:val="none" w:sz="0" w:space="0" w:color="auto"/>
        <w:right w:val="none" w:sz="0" w:space="0" w:color="auto"/>
      </w:divBdr>
    </w:div>
    <w:div w:id="48902998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5189648">
      <w:bodyDiv w:val="1"/>
      <w:marLeft w:val="0"/>
      <w:marRight w:val="0"/>
      <w:marTop w:val="0"/>
      <w:marBottom w:val="0"/>
      <w:divBdr>
        <w:top w:val="none" w:sz="0" w:space="0" w:color="auto"/>
        <w:left w:val="none" w:sz="0" w:space="0" w:color="auto"/>
        <w:bottom w:val="none" w:sz="0" w:space="0" w:color="auto"/>
        <w:right w:val="none" w:sz="0" w:space="0" w:color="auto"/>
      </w:divBdr>
      <w:divsChild>
        <w:div w:id="1791438465">
          <w:marLeft w:val="0"/>
          <w:marRight w:val="0"/>
          <w:marTop w:val="0"/>
          <w:marBottom w:val="0"/>
          <w:divBdr>
            <w:top w:val="none" w:sz="0" w:space="0" w:color="auto"/>
            <w:left w:val="none" w:sz="0" w:space="0" w:color="auto"/>
            <w:bottom w:val="none" w:sz="0" w:space="0" w:color="auto"/>
            <w:right w:val="none" w:sz="0" w:space="0" w:color="auto"/>
          </w:divBdr>
        </w:div>
      </w:divsChild>
    </w:div>
    <w:div w:id="700668555">
      <w:bodyDiv w:val="1"/>
      <w:marLeft w:val="0"/>
      <w:marRight w:val="0"/>
      <w:marTop w:val="0"/>
      <w:marBottom w:val="0"/>
      <w:divBdr>
        <w:top w:val="none" w:sz="0" w:space="0" w:color="auto"/>
        <w:left w:val="none" w:sz="0" w:space="0" w:color="auto"/>
        <w:bottom w:val="none" w:sz="0" w:space="0" w:color="auto"/>
        <w:right w:val="none" w:sz="0" w:space="0" w:color="auto"/>
      </w:divBdr>
    </w:div>
    <w:div w:id="701173595">
      <w:bodyDiv w:val="1"/>
      <w:marLeft w:val="0"/>
      <w:marRight w:val="0"/>
      <w:marTop w:val="0"/>
      <w:marBottom w:val="0"/>
      <w:divBdr>
        <w:top w:val="none" w:sz="0" w:space="0" w:color="auto"/>
        <w:left w:val="none" w:sz="0" w:space="0" w:color="auto"/>
        <w:bottom w:val="none" w:sz="0" w:space="0" w:color="auto"/>
        <w:right w:val="none" w:sz="0" w:space="0" w:color="auto"/>
      </w:divBdr>
    </w:div>
    <w:div w:id="708918316">
      <w:bodyDiv w:val="1"/>
      <w:marLeft w:val="0"/>
      <w:marRight w:val="0"/>
      <w:marTop w:val="0"/>
      <w:marBottom w:val="0"/>
      <w:divBdr>
        <w:top w:val="none" w:sz="0" w:space="0" w:color="auto"/>
        <w:left w:val="none" w:sz="0" w:space="0" w:color="auto"/>
        <w:bottom w:val="none" w:sz="0" w:space="0" w:color="auto"/>
        <w:right w:val="none" w:sz="0" w:space="0" w:color="auto"/>
      </w:divBdr>
    </w:div>
    <w:div w:id="723022558">
      <w:bodyDiv w:val="1"/>
      <w:marLeft w:val="0"/>
      <w:marRight w:val="0"/>
      <w:marTop w:val="0"/>
      <w:marBottom w:val="0"/>
      <w:divBdr>
        <w:top w:val="none" w:sz="0" w:space="0" w:color="auto"/>
        <w:left w:val="none" w:sz="0" w:space="0" w:color="auto"/>
        <w:bottom w:val="none" w:sz="0" w:space="0" w:color="auto"/>
        <w:right w:val="none" w:sz="0" w:space="0" w:color="auto"/>
      </w:divBdr>
    </w:div>
    <w:div w:id="732705786">
      <w:bodyDiv w:val="1"/>
      <w:marLeft w:val="0"/>
      <w:marRight w:val="0"/>
      <w:marTop w:val="0"/>
      <w:marBottom w:val="0"/>
      <w:divBdr>
        <w:top w:val="none" w:sz="0" w:space="0" w:color="auto"/>
        <w:left w:val="none" w:sz="0" w:space="0" w:color="auto"/>
        <w:bottom w:val="none" w:sz="0" w:space="0" w:color="auto"/>
        <w:right w:val="none" w:sz="0" w:space="0" w:color="auto"/>
      </w:divBdr>
    </w:div>
    <w:div w:id="750395961">
      <w:bodyDiv w:val="1"/>
      <w:marLeft w:val="0"/>
      <w:marRight w:val="0"/>
      <w:marTop w:val="0"/>
      <w:marBottom w:val="0"/>
      <w:divBdr>
        <w:top w:val="none" w:sz="0" w:space="0" w:color="auto"/>
        <w:left w:val="none" w:sz="0" w:space="0" w:color="auto"/>
        <w:bottom w:val="none" w:sz="0" w:space="0" w:color="auto"/>
        <w:right w:val="none" w:sz="0" w:space="0" w:color="auto"/>
      </w:divBdr>
      <w:divsChild>
        <w:div w:id="175930214">
          <w:marLeft w:val="0"/>
          <w:marRight w:val="0"/>
          <w:marTop w:val="0"/>
          <w:marBottom w:val="0"/>
          <w:divBdr>
            <w:top w:val="none" w:sz="0" w:space="0" w:color="auto"/>
            <w:left w:val="none" w:sz="0" w:space="0" w:color="auto"/>
            <w:bottom w:val="none" w:sz="0" w:space="0" w:color="auto"/>
            <w:right w:val="none" w:sz="0" w:space="0" w:color="auto"/>
          </w:divBdr>
          <w:divsChild>
            <w:div w:id="684864489">
              <w:marLeft w:val="0"/>
              <w:marRight w:val="0"/>
              <w:marTop w:val="0"/>
              <w:marBottom w:val="0"/>
              <w:divBdr>
                <w:top w:val="none" w:sz="0" w:space="0" w:color="auto"/>
                <w:left w:val="none" w:sz="0" w:space="0" w:color="auto"/>
                <w:bottom w:val="none" w:sz="0" w:space="0" w:color="auto"/>
                <w:right w:val="none" w:sz="0" w:space="0" w:color="auto"/>
              </w:divBdr>
              <w:divsChild>
                <w:div w:id="366295705">
                  <w:marLeft w:val="0"/>
                  <w:marRight w:val="0"/>
                  <w:marTop w:val="0"/>
                  <w:marBottom w:val="0"/>
                  <w:divBdr>
                    <w:top w:val="none" w:sz="0" w:space="0" w:color="auto"/>
                    <w:left w:val="none" w:sz="0" w:space="0" w:color="auto"/>
                    <w:bottom w:val="none" w:sz="0" w:space="0" w:color="auto"/>
                    <w:right w:val="none" w:sz="0" w:space="0" w:color="auto"/>
                  </w:divBdr>
                  <w:divsChild>
                    <w:div w:id="62724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43124">
      <w:bodyDiv w:val="1"/>
      <w:marLeft w:val="0"/>
      <w:marRight w:val="0"/>
      <w:marTop w:val="0"/>
      <w:marBottom w:val="0"/>
      <w:divBdr>
        <w:top w:val="none" w:sz="0" w:space="0" w:color="auto"/>
        <w:left w:val="none" w:sz="0" w:space="0" w:color="auto"/>
        <w:bottom w:val="none" w:sz="0" w:space="0" w:color="auto"/>
        <w:right w:val="none" w:sz="0" w:space="0" w:color="auto"/>
      </w:divBdr>
    </w:div>
    <w:div w:id="829298371">
      <w:bodyDiv w:val="1"/>
      <w:marLeft w:val="0"/>
      <w:marRight w:val="0"/>
      <w:marTop w:val="0"/>
      <w:marBottom w:val="0"/>
      <w:divBdr>
        <w:top w:val="none" w:sz="0" w:space="0" w:color="auto"/>
        <w:left w:val="none" w:sz="0" w:space="0" w:color="auto"/>
        <w:bottom w:val="none" w:sz="0" w:space="0" w:color="auto"/>
        <w:right w:val="none" w:sz="0" w:space="0" w:color="auto"/>
      </w:divBdr>
    </w:div>
    <w:div w:id="865215734">
      <w:bodyDiv w:val="1"/>
      <w:marLeft w:val="0"/>
      <w:marRight w:val="0"/>
      <w:marTop w:val="0"/>
      <w:marBottom w:val="0"/>
      <w:divBdr>
        <w:top w:val="none" w:sz="0" w:space="0" w:color="auto"/>
        <w:left w:val="none" w:sz="0" w:space="0" w:color="auto"/>
        <w:bottom w:val="none" w:sz="0" w:space="0" w:color="auto"/>
        <w:right w:val="none" w:sz="0" w:space="0" w:color="auto"/>
      </w:divBdr>
      <w:divsChild>
        <w:div w:id="1111364457">
          <w:marLeft w:val="0"/>
          <w:marRight w:val="0"/>
          <w:marTop w:val="0"/>
          <w:marBottom w:val="0"/>
          <w:divBdr>
            <w:top w:val="none" w:sz="0" w:space="0" w:color="auto"/>
            <w:left w:val="none" w:sz="0" w:space="0" w:color="auto"/>
            <w:bottom w:val="none" w:sz="0" w:space="0" w:color="auto"/>
            <w:right w:val="none" w:sz="0" w:space="0" w:color="auto"/>
          </w:divBdr>
        </w:div>
      </w:divsChild>
    </w:div>
    <w:div w:id="902908602">
      <w:bodyDiv w:val="1"/>
      <w:marLeft w:val="0"/>
      <w:marRight w:val="0"/>
      <w:marTop w:val="0"/>
      <w:marBottom w:val="0"/>
      <w:divBdr>
        <w:top w:val="none" w:sz="0" w:space="0" w:color="auto"/>
        <w:left w:val="none" w:sz="0" w:space="0" w:color="auto"/>
        <w:bottom w:val="none" w:sz="0" w:space="0" w:color="auto"/>
        <w:right w:val="none" w:sz="0" w:space="0" w:color="auto"/>
      </w:divBdr>
      <w:divsChild>
        <w:div w:id="1374040262">
          <w:marLeft w:val="0"/>
          <w:marRight w:val="0"/>
          <w:marTop w:val="0"/>
          <w:marBottom w:val="0"/>
          <w:divBdr>
            <w:top w:val="none" w:sz="0" w:space="0" w:color="auto"/>
            <w:left w:val="none" w:sz="0" w:space="0" w:color="auto"/>
            <w:bottom w:val="none" w:sz="0" w:space="0" w:color="auto"/>
            <w:right w:val="none" w:sz="0" w:space="0" w:color="auto"/>
          </w:divBdr>
        </w:div>
      </w:divsChild>
    </w:div>
    <w:div w:id="906839016">
      <w:bodyDiv w:val="1"/>
      <w:marLeft w:val="0"/>
      <w:marRight w:val="0"/>
      <w:marTop w:val="0"/>
      <w:marBottom w:val="0"/>
      <w:divBdr>
        <w:top w:val="none" w:sz="0" w:space="0" w:color="auto"/>
        <w:left w:val="none" w:sz="0" w:space="0" w:color="auto"/>
        <w:bottom w:val="none" w:sz="0" w:space="0" w:color="auto"/>
        <w:right w:val="none" w:sz="0" w:space="0" w:color="auto"/>
      </w:divBdr>
    </w:div>
    <w:div w:id="951666667">
      <w:bodyDiv w:val="1"/>
      <w:marLeft w:val="0"/>
      <w:marRight w:val="0"/>
      <w:marTop w:val="0"/>
      <w:marBottom w:val="0"/>
      <w:divBdr>
        <w:top w:val="none" w:sz="0" w:space="0" w:color="auto"/>
        <w:left w:val="none" w:sz="0" w:space="0" w:color="auto"/>
        <w:bottom w:val="none" w:sz="0" w:space="0" w:color="auto"/>
        <w:right w:val="none" w:sz="0" w:space="0" w:color="auto"/>
      </w:divBdr>
    </w:div>
    <w:div w:id="96790131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7068646">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3817908">
      <w:bodyDiv w:val="1"/>
      <w:marLeft w:val="0"/>
      <w:marRight w:val="0"/>
      <w:marTop w:val="0"/>
      <w:marBottom w:val="0"/>
      <w:divBdr>
        <w:top w:val="none" w:sz="0" w:space="0" w:color="auto"/>
        <w:left w:val="none" w:sz="0" w:space="0" w:color="auto"/>
        <w:bottom w:val="none" w:sz="0" w:space="0" w:color="auto"/>
        <w:right w:val="none" w:sz="0" w:space="0" w:color="auto"/>
      </w:divBdr>
      <w:divsChild>
        <w:div w:id="1270627010">
          <w:marLeft w:val="0"/>
          <w:marRight w:val="0"/>
          <w:marTop w:val="0"/>
          <w:marBottom w:val="0"/>
          <w:divBdr>
            <w:top w:val="none" w:sz="0" w:space="0" w:color="auto"/>
            <w:left w:val="none" w:sz="0" w:space="0" w:color="auto"/>
            <w:bottom w:val="none" w:sz="0" w:space="0" w:color="auto"/>
            <w:right w:val="none" w:sz="0" w:space="0" w:color="auto"/>
          </w:divBdr>
        </w:div>
      </w:divsChild>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3016414">
      <w:bodyDiv w:val="1"/>
      <w:marLeft w:val="0"/>
      <w:marRight w:val="0"/>
      <w:marTop w:val="0"/>
      <w:marBottom w:val="0"/>
      <w:divBdr>
        <w:top w:val="none" w:sz="0" w:space="0" w:color="auto"/>
        <w:left w:val="none" w:sz="0" w:space="0" w:color="auto"/>
        <w:bottom w:val="none" w:sz="0" w:space="0" w:color="auto"/>
        <w:right w:val="none" w:sz="0" w:space="0" w:color="auto"/>
      </w:divBdr>
      <w:divsChild>
        <w:div w:id="1658341446">
          <w:marLeft w:val="0"/>
          <w:marRight w:val="0"/>
          <w:marTop w:val="0"/>
          <w:marBottom w:val="0"/>
          <w:divBdr>
            <w:top w:val="none" w:sz="0" w:space="0" w:color="auto"/>
            <w:left w:val="none" w:sz="0" w:space="0" w:color="auto"/>
            <w:bottom w:val="none" w:sz="0" w:space="0" w:color="auto"/>
            <w:right w:val="none" w:sz="0" w:space="0" w:color="auto"/>
          </w:divBdr>
        </w:div>
      </w:divsChild>
    </w:div>
    <w:div w:id="1166675561">
      <w:bodyDiv w:val="1"/>
      <w:marLeft w:val="0"/>
      <w:marRight w:val="0"/>
      <w:marTop w:val="0"/>
      <w:marBottom w:val="0"/>
      <w:divBdr>
        <w:top w:val="none" w:sz="0" w:space="0" w:color="auto"/>
        <w:left w:val="none" w:sz="0" w:space="0" w:color="auto"/>
        <w:bottom w:val="none" w:sz="0" w:space="0" w:color="auto"/>
        <w:right w:val="none" w:sz="0" w:space="0" w:color="auto"/>
      </w:divBdr>
      <w:divsChild>
        <w:div w:id="1315722361">
          <w:marLeft w:val="0"/>
          <w:marRight w:val="0"/>
          <w:marTop w:val="0"/>
          <w:marBottom w:val="0"/>
          <w:divBdr>
            <w:top w:val="none" w:sz="0" w:space="0" w:color="auto"/>
            <w:left w:val="none" w:sz="0" w:space="0" w:color="auto"/>
            <w:bottom w:val="none" w:sz="0" w:space="0" w:color="auto"/>
            <w:right w:val="none" w:sz="0" w:space="0" w:color="auto"/>
          </w:divBdr>
        </w:div>
      </w:divsChild>
    </w:div>
    <w:div w:id="1227259123">
      <w:bodyDiv w:val="1"/>
      <w:marLeft w:val="0"/>
      <w:marRight w:val="0"/>
      <w:marTop w:val="0"/>
      <w:marBottom w:val="0"/>
      <w:divBdr>
        <w:top w:val="none" w:sz="0" w:space="0" w:color="auto"/>
        <w:left w:val="none" w:sz="0" w:space="0" w:color="auto"/>
        <w:bottom w:val="none" w:sz="0" w:space="0" w:color="auto"/>
        <w:right w:val="none" w:sz="0" w:space="0" w:color="auto"/>
      </w:divBdr>
    </w:div>
    <w:div w:id="1229150180">
      <w:bodyDiv w:val="1"/>
      <w:marLeft w:val="0"/>
      <w:marRight w:val="0"/>
      <w:marTop w:val="0"/>
      <w:marBottom w:val="0"/>
      <w:divBdr>
        <w:top w:val="none" w:sz="0" w:space="0" w:color="auto"/>
        <w:left w:val="none" w:sz="0" w:space="0" w:color="auto"/>
        <w:bottom w:val="none" w:sz="0" w:space="0" w:color="auto"/>
        <w:right w:val="none" w:sz="0" w:space="0" w:color="auto"/>
      </w:divBdr>
    </w:div>
    <w:div w:id="1248735344">
      <w:bodyDiv w:val="1"/>
      <w:marLeft w:val="0"/>
      <w:marRight w:val="0"/>
      <w:marTop w:val="0"/>
      <w:marBottom w:val="0"/>
      <w:divBdr>
        <w:top w:val="none" w:sz="0" w:space="0" w:color="auto"/>
        <w:left w:val="none" w:sz="0" w:space="0" w:color="auto"/>
        <w:bottom w:val="none" w:sz="0" w:space="0" w:color="auto"/>
        <w:right w:val="none" w:sz="0" w:space="0" w:color="auto"/>
      </w:divBdr>
      <w:divsChild>
        <w:div w:id="659768333">
          <w:marLeft w:val="0"/>
          <w:marRight w:val="0"/>
          <w:marTop w:val="0"/>
          <w:marBottom w:val="0"/>
          <w:divBdr>
            <w:top w:val="none" w:sz="0" w:space="0" w:color="auto"/>
            <w:left w:val="none" w:sz="0" w:space="0" w:color="auto"/>
            <w:bottom w:val="none" w:sz="0" w:space="0" w:color="auto"/>
            <w:right w:val="none" w:sz="0" w:space="0" w:color="auto"/>
          </w:divBdr>
        </w:div>
      </w:divsChild>
    </w:div>
    <w:div w:id="1251424726">
      <w:bodyDiv w:val="1"/>
      <w:marLeft w:val="0"/>
      <w:marRight w:val="0"/>
      <w:marTop w:val="0"/>
      <w:marBottom w:val="0"/>
      <w:divBdr>
        <w:top w:val="none" w:sz="0" w:space="0" w:color="auto"/>
        <w:left w:val="none" w:sz="0" w:space="0" w:color="auto"/>
        <w:bottom w:val="none" w:sz="0" w:space="0" w:color="auto"/>
        <w:right w:val="none" w:sz="0" w:space="0" w:color="auto"/>
      </w:divBdr>
    </w:div>
    <w:div w:id="1308440505">
      <w:bodyDiv w:val="1"/>
      <w:marLeft w:val="0"/>
      <w:marRight w:val="0"/>
      <w:marTop w:val="0"/>
      <w:marBottom w:val="0"/>
      <w:divBdr>
        <w:top w:val="none" w:sz="0" w:space="0" w:color="auto"/>
        <w:left w:val="none" w:sz="0" w:space="0" w:color="auto"/>
        <w:bottom w:val="none" w:sz="0" w:space="0" w:color="auto"/>
        <w:right w:val="none" w:sz="0" w:space="0" w:color="auto"/>
      </w:divBdr>
    </w:div>
    <w:div w:id="1442064662">
      <w:bodyDiv w:val="1"/>
      <w:marLeft w:val="0"/>
      <w:marRight w:val="0"/>
      <w:marTop w:val="0"/>
      <w:marBottom w:val="0"/>
      <w:divBdr>
        <w:top w:val="none" w:sz="0" w:space="0" w:color="auto"/>
        <w:left w:val="none" w:sz="0" w:space="0" w:color="auto"/>
        <w:bottom w:val="none" w:sz="0" w:space="0" w:color="auto"/>
        <w:right w:val="none" w:sz="0" w:space="0" w:color="auto"/>
      </w:divBdr>
    </w:div>
    <w:div w:id="1482884949">
      <w:bodyDiv w:val="1"/>
      <w:marLeft w:val="0"/>
      <w:marRight w:val="0"/>
      <w:marTop w:val="0"/>
      <w:marBottom w:val="0"/>
      <w:divBdr>
        <w:top w:val="none" w:sz="0" w:space="0" w:color="auto"/>
        <w:left w:val="none" w:sz="0" w:space="0" w:color="auto"/>
        <w:bottom w:val="none" w:sz="0" w:space="0" w:color="auto"/>
        <w:right w:val="none" w:sz="0" w:space="0" w:color="auto"/>
      </w:divBdr>
    </w:div>
    <w:div w:id="1517766954">
      <w:bodyDiv w:val="1"/>
      <w:marLeft w:val="0"/>
      <w:marRight w:val="0"/>
      <w:marTop w:val="0"/>
      <w:marBottom w:val="0"/>
      <w:divBdr>
        <w:top w:val="none" w:sz="0" w:space="0" w:color="auto"/>
        <w:left w:val="none" w:sz="0" w:space="0" w:color="auto"/>
        <w:bottom w:val="none" w:sz="0" w:space="0" w:color="auto"/>
        <w:right w:val="none" w:sz="0" w:space="0" w:color="auto"/>
      </w:divBdr>
      <w:divsChild>
        <w:div w:id="592932787">
          <w:marLeft w:val="0"/>
          <w:marRight w:val="0"/>
          <w:marTop w:val="0"/>
          <w:marBottom w:val="0"/>
          <w:divBdr>
            <w:top w:val="none" w:sz="0" w:space="0" w:color="auto"/>
            <w:left w:val="none" w:sz="0" w:space="0" w:color="auto"/>
            <w:bottom w:val="none" w:sz="0" w:space="0" w:color="auto"/>
            <w:right w:val="none" w:sz="0" w:space="0" w:color="auto"/>
          </w:divBdr>
        </w:div>
      </w:divsChild>
    </w:div>
    <w:div w:id="1527981692">
      <w:bodyDiv w:val="1"/>
      <w:marLeft w:val="0"/>
      <w:marRight w:val="0"/>
      <w:marTop w:val="0"/>
      <w:marBottom w:val="0"/>
      <w:divBdr>
        <w:top w:val="none" w:sz="0" w:space="0" w:color="auto"/>
        <w:left w:val="none" w:sz="0" w:space="0" w:color="auto"/>
        <w:bottom w:val="none" w:sz="0" w:space="0" w:color="auto"/>
        <w:right w:val="none" w:sz="0" w:space="0" w:color="auto"/>
      </w:divBdr>
    </w:div>
    <w:div w:id="1550536608">
      <w:bodyDiv w:val="1"/>
      <w:marLeft w:val="0"/>
      <w:marRight w:val="0"/>
      <w:marTop w:val="0"/>
      <w:marBottom w:val="0"/>
      <w:divBdr>
        <w:top w:val="none" w:sz="0" w:space="0" w:color="auto"/>
        <w:left w:val="none" w:sz="0" w:space="0" w:color="auto"/>
        <w:bottom w:val="none" w:sz="0" w:space="0" w:color="auto"/>
        <w:right w:val="none" w:sz="0" w:space="0" w:color="auto"/>
      </w:divBdr>
    </w:div>
    <w:div w:id="1601912155">
      <w:bodyDiv w:val="1"/>
      <w:marLeft w:val="0"/>
      <w:marRight w:val="0"/>
      <w:marTop w:val="0"/>
      <w:marBottom w:val="0"/>
      <w:divBdr>
        <w:top w:val="none" w:sz="0" w:space="0" w:color="auto"/>
        <w:left w:val="none" w:sz="0" w:space="0" w:color="auto"/>
        <w:bottom w:val="none" w:sz="0" w:space="0" w:color="auto"/>
        <w:right w:val="none" w:sz="0" w:space="0" w:color="auto"/>
      </w:divBdr>
    </w:div>
    <w:div w:id="1620601790">
      <w:bodyDiv w:val="1"/>
      <w:marLeft w:val="0"/>
      <w:marRight w:val="0"/>
      <w:marTop w:val="0"/>
      <w:marBottom w:val="0"/>
      <w:divBdr>
        <w:top w:val="none" w:sz="0" w:space="0" w:color="auto"/>
        <w:left w:val="none" w:sz="0" w:space="0" w:color="auto"/>
        <w:bottom w:val="none" w:sz="0" w:space="0" w:color="auto"/>
        <w:right w:val="none" w:sz="0" w:space="0" w:color="auto"/>
      </w:divBdr>
    </w:div>
    <w:div w:id="1634360741">
      <w:bodyDiv w:val="1"/>
      <w:marLeft w:val="0"/>
      <w:marRight w:val="0"/>
      <w:marTop w:val="0"/>
      <w:marBottom w:val="0"/>
      <w:divBdr>
        <w:top w:val="none" w:sz="0" w:space="0" w:color="auto"/>
        <w:left w:val="none" w:sz="0" w:space="0" w:color="auto"/>
        <w:bottom w:val="none" w:sz="0" w:space="0" w:color="auto"/>
        <w:right w:val="none" w:sz="0" w:space="0" w:color="auto"/>
      </w:divBdr>
    </w:div>
    <w:div w:id="1641693231">
      <w:bodyDiv w:val="1"/>
      <w:marLeft w:val="0"/>
      <w:marRight w:val="0"/>
      <w:marTop w:val="0"/>
      <w:marBottom w:val="0"/>
      <w:divBdr>
        <w:top w:val="none" w:sz="0" w:space="0" w:color="auto"/>
        <w:left w:val="none" w:sz="0" w:space="0" w:color="auto"/>
        <w:bottom w:val="none" w:sz="0" w:space="0" w:color="auto"/>
        <w:right w:val="none" w:sz="0" w:space="0" w:color="auto"/>
      </w:divBdr>
      <w:divsChild>
        <w:div w:id="111870331">
          <w:marLeft w:val="0"/>
          <w:marRight w:val="0"/>
          <w:marTop w:val="0"/>
          <w:marBottom w:val="0"/>
          <w:divBdr>
            <w:top w:val="none" w:sz="0" w:space="0" w:color="auto"/>
            <w:left w:val="none" w:sz="0" w:space="0" w:color="auto"/>
            <w:bottom w:val="none" w:sz="0" w:space="0" w:color="auto"/>
            <w:right w:val="none" w:sz="0" w:space="0" w:color="auto"/>
          </w:divBdr>
        </w:div>
      </w:divsChild>
    </w:div>
    <w:div w:id="1672443361">
      <w:bodyDiv w:val="1"/>
      <w:marLeft w:val="0"/>
      <w:marRight w:val="0"/>
      <w:marTop w:val="0"/>
      <w:marBottom w:val="0"/>
      <w:divBdr>
        <w:top w:val="none" w:sz="0" w:space="0" w:color="auto"/>
        <w:left w:val="none" w:sz="0" w:space="0" w:color="auto"/>
        <w:bottom w:val="none" w:sz="0" w:space="0" w:color="auto"/>
        <w:right w:val="none" w:sz="0" w:space="0" w:color="auto"/>
      </w:divBdr>
    </w:div>
    <w:div w:id="1679428710">
      <w:bodyDiv w:val="1"/>
      <w:marLeft w:val="0"/>
      <w:marRight w:val="0"/>
      <w:marTop w:val="0"/>
      <w:marBottom w:val="0"/>
      <w:divBdr>
        <w:top w:val="none" w:sz="0" w:space="0" w:color="auto"/>
        <w:left w:val="none" w:sz="0" w:space="0" w:color="auto"/>
        <w:bottom w:val="none" w:sz="0" w:space="0" w:color="auto"/>
        <w:right w:val="none" w:sz="0" w:space="0" w:color="auto"/>
      </w:divBdr>
    </w:div>
    <w:div w:id="169672960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6995335">
      <w:bodyDiv w:val="1"/>
      <w:marLeft w:val="0"/>
      <w:marRight w:val="0"/>
      <w:marTop w:val="0"/>
      <w:marBottom w:val="0"/>
      <w:divBdr>
        <w:top w:val="none" w:sz="0" w:space="0" w:color="auto"/>
        <w:left w:val="none" w:sz="0" w:space="0" w:color="auto"/>
        <w:bottom w:val="none" w:sz="0" w:space="0" w:color="auto"/>
        <w:right w:val="none" w:sz="0" w:space="0" w:color="auto"/>
      </w:divBdr>
    </w:div>
    <w:div w:id="1772626008">
      <w:bodyDiv w:val="1"/>
      <w:marLeft w:val="0"/>
      <w:marRight w:val="0"/>
      <w:marTop w:val="0"/>
      <w:marBottom w:val="0"/>
      <w:divBdr>
        <w:top w:val="none" w:sz="0" w:space="0" w:color="auto"/>
        <w:left w:val="none" w:sz="0" w:space="0" w:color="auto"/>
        <w:bottom w:val="none" w:sz="0" w:space="0" w:color="auto"/>
        <w:right w:val="none" w:sz="0" w:space="0" w:color="auto"/>
      </w:divBdr>
    </w:div>
    <w:div w:id="1828087692">
      <w:bodyDiv w:val="1"/>
      <w:marLeft w:val="0"/>
      <w:marRight w:val="0"/>
      <w:marTop w:val="0"/>
      <w:marBottom w:val="0"/>
      <w:divBdr>
        <w:top w:val="none" w:sz="0" w:space="0" w:color="auto"/>
        <w:left w:val="none" w:sz="0" w:space="0" w:color="auto"/>
        <w:bottom w:val="none" w:sz="0" w:space="0" w:color="auto"/>
        <w:right w:val="none" w:sz="0" w:space="0" w:color="auto"/>
      </w:divBdr>
      <w:divsChild>
        <w:div w:id="220095404">
          <w:marLeft w:val="0"/>
          <w:marRight w:val="0"/>
          <w:marTop w:val="0"/>
          <w:marBottom w:val="0"/>
          <w:divBdr>
            <w:top w:val="none" w:sz="0" w:space="0" w:color="auto"/>
            <w:left w:val="none" w:sz="0" w:space="0" w:color="auto"/>
            <w:bottom w:val="none" w:sz="0" w:space="0" w:color="auto"/>
            <w:right w:val="none" w:sz="0" w:space="0" w:color="auto"/>
          </w:divBdr>
        </w:div>
      </w:divsChild>
    </w:div>
    <w:div w:id="1885824606">
      <w:bodyDiv w:val="1"/>
      <w:marLeft w:val="0"/>
      <w:marRight w:val="0"/>
      <w:marTop w:val="0"/>
      <w:marBottom w:val="0"/>
      <w:divBdr>
        <w:top w:val="none" w:sz="0" w:space="0" w:color="auto"/>
        <w:left w:val="none" w:sz="0" w:space="0" w:color="auto"/>
        <w:bottom w:val="none" w:sz="0" w:space="0" w:color="auto"/>
        <w:right w:val="none" w:sz="0" w:space="0" w:color="auto"/>
      </w:divBdr>
      <w:divsChild>
        <w:div w:id="809596115">
          <w:marLeft w:val="0"/>
          <w:marRight w:val="0"/>
          <w:marTop w:val="0"/>
          <w:marBottom w:val="0"/>
          <w:divBdr>
            <w:top w:val="none" w:sz="0" w:space="0" w:color="auto"/>
            <w:left w:val="none" w:sz="0" w:space="0" w:color="auto"/>
            <w:bottom w:val="none" w:sz="0" w:space="0" w:color="auto"/>
            <w:right w:val="none" w:sz="0" w:space="0" w:color="auto"/>
          </w:divBdr>
        </w:div>
      </w:divsChild>
    </w:div>
    <w:div w:id="1893731268">
      <w:bodyDiv w:val="1"/>
      <w:marLeft w:val="0"/>
      <w:marRight w:val="0"/>
      <w:marTop w:val="0"/>
      <w:marBottom w:val="0"/>
      <w:divBdr>
        <w:top w:val="none" w:sz="0" w:space="0" w:color="auto"/>
        <w:left w:val="none" w:sz="0" w:space="0" w:color="auto"/>
        <w:bottom w:val="none" w:sz="0" w:space="0" w:color="auto"/>
        <w:right w:val="none" w:sz="0" w:space="0" w:color="auto"/>
      </w:divBdr>
    </w:div>
    <w:div w:id="1919749139">
      <w:bodyDiv w:val="1"/>
      <w:marLeft w:val="0"/>
      <w:marRight w:val="0"/>
      <w:marTop w:val="0"/>
      <w:marBottom w:val="0"/>
      <w:divBdr>
        <w:top w:val="none" w:sz="0" w:space="0" w:color="auto"/>
        <w:left w:val="none" w:sz="0" w:space="0" w:color="auto"/>
        <w:bottom w:val="none" w:sz="0" w:space="0" w:color="auto"/>
        <w:right w:val="none" w:sz="0" w:space="0" w:color="auto"/>
      </w:divBdr>
      <w:divsChild>
        <w:div w:id="717583251">
          <w:marLeft w:val="0"/>
          <w:marRight w:val="0"/>
          <w:marTop w:val="0"/>
          <w:marBottom w:val="0"/>
          <w:divBdr>
            <w:top w:val="none" w:sz="0" w:space="0" w:color="auto"/>
            <w:left w:val="none" w:sz="0" w:space="0" w:color="auto"/>
            <w:bottom w:val="none" w:sz="0" w:space="0" w:color="auto"/>
            <w:right w:val="none" w:sz="0" w:space="0" w:color="auto"/>
          </w:divBdr>
        </w:div>
      </w:divsChild>
    </w:div>
    <w:div w:id="1929388300">
      <w:bodyDiv w:val="1"/>
      <w:marLeft w:val="0"/>
      <w:marRight w:val="0"/>
      <w:marTop w:val="0"/>
      <w:marBottom w:val="0"/>
      <w:divBdr>
        <w:top w:val="none" w:sz="0" w:space="0" w:color="auto"/>
        <w:left w:val="none" w:sz="0" w:space="0" w:color="auto"/>
        <w:bottom w:val="none" w:sz="0" w:space="0" w:color="auto"/>
        <w:right w:val="none" w:sz="0" w:space="0" w:color="auto"/>
      </w:divBdr>
    </w:div>
    <w:div w:id="194033445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95067035">
      <w:bodyDiv w:val="1"/>
      <w:marLeft w:val="0"/>
      <w:marRight w:val="0"/>
      <w:marTop w:val="0"/>
      <w:marBottom w:val="0"/>
      <w:divBdr>
        <w:top w:val="none" w:sz="0" w:space="0" w:color="auto"/>
        <w:left w:val="none" w:sz="0" w:space="0" w:color="auto"/>
        <w:bottom w:val="none" w:sz="0" w:space="0" w:color="auto"/>
        <w:right w:val="none" w:sz="0" w:space="0" w:color="auto"/>
      </w:divBdr>
    </w:div>
    <w:div w:id="2016688382">
      <w:bodyDiv w:val="1"/>
      <w:marLeft w:val="0"/>
      <w:marRight w:val="0"/>
      <w:marTop w:val="0"/>
      <w:marBottom w:val="0"/>
      <w:divBdr>
        <w:top w:val="none" w:sz="0" w:space="0" w:color="auto"/>
        <w:left w:val="none" w:sz="0" w:space="0" w:color="auto"/>
        <w:bottom w:val="none" w:sz="0" w:space="0" w:color="auto"/>
        <w:right w:val="none" w:sz="0" w:space="0" w:color="auto"/>
      </w:divBdr>
    </w:div>
    <w:div w:id="2065130446">
      <w:bodyDiv w:val="1"/>
      <w:marLeft w:val="0"/>
      <w:marRight w:val="0"/>
      <w:marTop w:val="0"/>
      <w:marBottom w:val="0"/>
      <w:divBdr>
        <w:top w:val="none" w:sz="0" w:space="0" w:color="auto"/>
        <w:left w:val="none" w:sz="0" w:space="0" w:color="auto"/>
        <w:bottom w:val="none" w:sz="0" w:space="0" w:color="auto"/>
        <w:right w:val="none" w:sz="0" w:space="0" w:color="auto"/>
      </w:divBdr>
    </w:div>
    <w:div w:id="213667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7485/ijst/2016/v9i42/89790" TargetMode="External"/><Relationship Id="rId26" Type="http://schemas.openxmlformats.org/officeDocument/2006/relationships/hyperlink" Target="https://pmc.ncbi.nlm.nih.gov/articles/PMC9967713/" TargetMode="External"/><Relationship Id="rId39" Type="http://schemas.openxmlformats.org/officeDocument/2006/relationships/fontTable" Target="fontTable.xml"/><Relationship Id="rId21" Type="http://schemas.openxmlformats.org/officeDocument/2006/relationships/hyperlink" Target="https://www.sciencedirect.com/science/article/pii/S2405844024155508" TargetMode="External"/><Relationship Id="rId34" Type="http://schemas.openxmlformats.org/officeDocument/2006/relationships/hyperlink" Target="https://www.sciencedirect.com/science/article/pii/S014362281630607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4038/tar.v33i4.8585" TargetMode="External"/><Relationship Id="rId25" Type="http://schemas.openxmlformats.org/officeDocument/2006/relationships/hyperlink" Target="https://www.researchgate.net/publication/338433694_CHAMU_An_effective_approach_for_improving_the_recycling_of_tea_waste" TargetMode="External"/><Relationship Id="rId33" Type="http://schemas.openxmlformats.org/officeDocument/2006/relationships/hyperlink" Target="https://www.sciencedirect.com/science/article/pii/S2213343721011568"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www.teaboard.gov.in/pdf/Circular_dt_15_01_24_Tea_Waste_pdf6627.pdf" TargetMode="External"/><Relationship Id="rId20" Type="http://schemas.openxmlformats.org/officeDocument/2006/relationships/hyperlink" Target="https://www.sciencedirect.com/science/article/pii/S0960852420312955" TargetMode="External"/><Relationship Id="rId29" Type="http://schemas.openxmlformats.org/officeDocument/2006/relationships/hyperlink" Target="https://pmc.ncbi.nlm.nih.gov/articles/PMC39015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industriescom.assam.gov.in/portlet-innerpage/present-handicrafts-industries-in-assam" TargetMode="External"/><Relationship Id="rId32" Type="http://schemas.openxmlformats.org/officeDocument/2006/relationships/hyperlink" Target="https://pmc.ncbi.nlm.nih.gov/articles/PMC11077253/"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gnited.in/index.php/jasrae/article/view/10003" TargetMode="External"/><Relationship Id="rId23" Type="http://schemas.openxmlformats.org/officeDocument/2006/relationships/hyperlink" Target="https://www.mdpi.com/1996-1944/15/24/8709" TargetMode="External"/><Relationship Id="rId28" Type="http://schemas.openxmlformats.org/officeDocument/2006/relationships/hyperlink" Target="https://doi.org/10.5713/ajas.2006.1728"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56557/upjoz/2024/v45i224673" TargetMode="External"/><Relationship Id="rId31" Type="http://schemas.openxmlformats.org/officeDocument/2006/relationships/hyperlink" Target="https://ift.onlinelibrary.wiley.com/doi/10.1111/j.1750-3841.2010.01604.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imesofagriculture.in/tea-producing-states-in-india/" TargetMode="External"/><Relationship Id="rId22" Type="http://schemas.openxmlformats.org/officeDocument/2006/relationships/hyperlink" Target="https://www.sciencedirect.com/science/article/pii/S2589004224026725" TargetMode="External"/><Relationship Id="rId27" Type="http://schemas.openxmlformats.org/officeDocument/2006/relationships/hyperlink" Target="https://doi.org/10.5897/JMPR11.1643" TargetMode="External"/><Relationship Id="rId30" Type="http://schemas.openxmlformats.org/officeDocument/2006/relationships/hyperlink" Target="https://pmc.ncbi.nlm.nih.gov/articles/PMC6930595/" TargetMode="External"/><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C5B9B-6C72-49DB-BECD-8B59D0B57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607</TotalTime>
  <Pages>8</Pages>
  <Words>4380</Words>
  <Characters>24966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29288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20</cp:revision>
  <cp:lastPrinted>1999-07-06T11:00:00Z</cp:lastPrinted>
  <dcterms:created xsi:type="dcterms:W3CDTF">2014-10-25T14:34:00Z</dcterms:created>
  <dcterms:modified xsi:type="dcterms:W3CDTF">2025-08-23T11:58:00Z</dcterms:modified>
</cp:coreProperties>
</file>