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5E3A3" w14:textId="0442F8DF" w:rsidR="00023427" w:rsidRDefault="00023427" w:rsidP="00023427">
      <w:pPr>
        <w:spacing w:line="360" w:lineRule="auto"/>
        <w:jc w:val="right"/>
        <w:rPr>
          <w:rFonts w:ascii="Arial" w:eastAsia="Times New Roman" w:hAnsi="Arial" w:cs="Arial"/>
          <w:b/>
          <w:bCs/>
          <w:sz w:val="36"/>
          <w:szCs w:val="36"/>
          <w:lang w:eastAsia="pt-BR"/>
        </w:rPr>
      </w:pPr>
      <w:r w:rsidRPr="00023427">
        <w:rPr>
          <w:rFonts w:ascii="Arial" w:eastAsia="Times New Roman" w:hAnsi="Arial" w:cs="Arial"/>
          <w:b/>
          <w:bCs/>
          <w:sz w:val="36"/>
          <w:szCs w:val="36"/>
          <w:lang w:eastAsia="pt-BR"/>
        </w:rPr>
        <w:t>Therapeutic Strategies Targeting the Endocrine-Metabolic-Immunological Response to Trauma: A Systematic Review</w:t>
      </w:r>
    </w:p>
    <w:p w14:paraId="20DBB485" w14:textId="77777777" w:rsidR="007A3BEE" w:rsidRDefault="007A3BEE" w:rsidP="00023427">
      <w:pPr>
        <w:spacing w:line="360" w:lineRule="auto"/>
        <w:jc w:val="right"/>
        <w:rPr>
          <w:rFonts w:ascii="Arial" w:eastAsia="Times New Roman" w:hAnsi="Arial" w:cs="Arial"/>
          <w:b/>
          <w:bCs/>
          <w:sz w:val="36"/>
          <w:szCs w:val="36"/>
          <w:lang w:eastAsia="pt-BR"/>
        </w:rPr>
      </w:pPr>
    </w:p>
    <w:p w14:paraId="1A362F96" w14:textId="77777777" w:rsidR="007A3BEE" w:rsidRPr="00023427" w:rsidRDefault="007A3BEE" w:rsidP="00023427">
      <w:pPr>
        <w:spacing w:line="360" w:lineRule="auto"/>
        <w:jc w:val="right"/>
        <w:rPr>
          <w:rFonts w:ascii="Arial" w:eastAsia="Times New Roman" w:hAnsi="Arial" w:cs="Arial"/>
          <w:b/>
          <w:bCs/>
          <w:sz w:val="36"/>
          <w:szCs w:val="36"/>
          <w:lang w:eastAsia="pt-BR"/>
        </w:rPr>
      </w:pPr>
      <w:bookmarkStart w:id="0" w:name="_GoBack"/>
      <w:bookmarkEnd w:id="0"/>
    </w:p>
    <w:p w14:paraId="445AB4EA" w14:textId="77777777" w:rsidR="00023427" w:rsidRDefault="00023427" w:rsidP="00023427">
      <w:pPr>
        <w:spacing w:line="360" w:lineRule="auto"/>
        <w:rPr>
          <w:rFonts w:ascii="Arial" w:hAnsi="Arial" w:cs="Arial"/>
          <w:b/>
          <w:bCs/>
        </w:rPr>
      </w:pPr>
      <w:r w:rsidRPr="00BB74C5">
        <w:rPr>
          <w:rFonts w:ascii="Arial" w:hAnsi="Arial" w:cs="Arial"/>
          <w:b/>
          <w:bCs/>
        </w:rPr>
        <w:t>ABSTRACT</w:t>
      </w:r>
    </w:p>
    <w:p w14:paraId="4BD9BDF3"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Objective: </w:t>
      </w:r>
      <w:r w:rsidRPr="00023427">
        <w:rPr>
          <w:rFonts w:ascii="Arial" w:hAnsi="Arial" w:cs="Arial"/>
          <w:sz w:val="20"/>
          <w:szCs w:val="20"/>
        </w:rPr>
        <w:t>This systematic review aims to evaluate the clinical effectiveness, associated risks, and applicability of key therapeutic strategies designed to modulate the endocrine-metabolic-immunological response to trauma (REMIT). The analysis focuses on interventions targeting the endocrine, metabolic, and immunological axes in critically ill or polytraumatized adult patients.</w:t>
      </w:r>
    </w:p>
    <w:p w14:paraId="7B58FFFF"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Study Design: </w:t>
      </w:r>
      <w:r w:rsidRPr="00023427">
        <w:rPr>
          <w:rFonts w:ascii="Arial" w:hAnsi="Arial" w:cs="Arial"/>
          <w:sz w:val="20"/>
          <w:szCs w:val="20"/>
        </w:rPr>
        <w:t>Systematic literature review.</w:t>
      </w:r>
    </w:p>
    <w:p w14:paraId="2061C8FC"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Place and Duration of Study: </w:t>
      </w:r>
      <w:r w:rsidRPr="00023427">
        <w:rPr>
          <w:rFonts w:ascii="Arial" w:hAnsi="Arial" w:cs="Arial"/>
          <w:sz w:val="20"/>
          <w:szCs w:val="20"/>
        </w:rPr>
        <w:t>Searches conducted in PubMed, SciELO, LILACS, BVS, and MEDLINE databases from January 2014 to April 2024.</w:t>
      </w:r>
    </w:p>
    <w:p w14:paraId="62681C06"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Methodology: </w:t>
      </w:r>
      <w:r w:rsidRPr="00023427">
        <w:rPr>
          <w:rFonts w:ascii="Arial" w:hAnsi="Arial" w:cs="Arial"/>
          <w:sz w:val="20"/>
          <w:szCs w:val="20"/>
        </w:rPr>
        <w:t>The review followed PRISMA guidelines. Included studies were original research (clinical trials, cohort studies, experimental models, and systematic reviews) involving adult patients with physical, surgical, or burn trauma. Interventions analyzed included glycemic control, nutrition, immunonutrition, beta-blockers, corticosteroids, antioxidants, and DAMP-targeting therapies. Selection, data extraction, and methodological quality assessment were independently conducted by two reviewers using appropriate tools (ROBIS, Cochrane, NOS).</w:t>
      </w:r>
    </w:p>
    <w:p w14:paraId="4F080006" w14:textId="5FB01D6E"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Results: </w:t>
      </w:r>
      <w:r w:rsidRPr="00023427">
        <w:rPr>
          <w:rFonts w:ascii="Arial" w:hAnsi="Arial" w:cs="Arial"/>
          <w:sz w:val="20"/>
          <w:szCs w:val="20"/>
        </w:rPr>
        <w:t>Out of 117 studies screened, 15 were included, covering diverse trauma types and interventions. Early enteral nutrition, immunonutrients, and beta-blockers demonstrated the most positive clinical impact, reducing infectious complications, organ dysfunction, and hospital stay. Experimental therapies like DAMP inhibition and mitochondrial modulation showed promise in animal models. Intensive glycemic control and corticosteroid use had limited benefits and posed risks such as hypoglycemia and immunosuppression. Treatment approaches varied widely depending on trauma type and severity.</w:t>
      </w:r>
    </w:p>
    <w:p w14:paraId="00F5CAF6"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 xml:space="preserve">Conclusion: </w:t>
      </w:r>
      <w:r w:rsidRPr="00023427">
        <w:rPr>
          <w:rFonts w:ascii="Arial" w:hAnsi="Arial" w:cs="Arial"/>
          <w:sz w:val="20"/>
          <w:szCs w:val="20"/>
        </w:rPr>
        <w:t>Effective modulation of REMIT requires integrated, individualized interventions. Early enteral nutrition and immunonutrition are supported by the strongest clinical evidence. Further multicenter trials and biomarker development are needed to optimize therapeutic decision-making and improve outcomes in critical care.</w:t>
      </w:r>
    </w:p>
    <w:p w14:paraId="758FADEF" w14:textId="77777777" w:rsidR="00023427" w:rsidRPr="00914DDB" w:rsidRDefault="00023427" w:rsidP="00023427">
      <w:pPr>
        <w:spacing w:line="360" w:lineRule="auto"/>
        <w:jc w:val="both"/>
        <w:rPr>
          <w:rFonts w:ascii="Arial" w:hAnsi="Arial" w:cs="Arial"/>
          <w:b/>
          <w:bCs/>
          <w:sz w:val="20"/>
          <w:szCs w:val="20"/>
        </w:rPr>
      </w:pPr>
    </w:p>
    <w:p w14:paraId="241097E5" w14:textId="77777777" w:rsidR="00023427" w:rsidRDefault="00023427" w:rsidP="00023427">
      <w:pPr>
        <w:pStyle w:val="ListParagraph"/>
        <w:numPr>
          <w:ilvl w:val="0"/>
          <w:numId w:val="1"/>
        </w:numPr>
        <w:spacing w:line="360" w:lineRule="auto"/>
        <w:rPr>
          <w:rFonts w:ascii="Arial" w:hAnsi="Arial" w:cs="Arial"/>
          <w:b/>
          <w:bCs/>
        </w:rPr>
      </w:pPr>
      <w:r w:rsidRPr="00B67CC6">
        <w:rPr>
          <w:rFonts w:ascii="Arial" w:hAnsi="Arial" w:cs="Arial"/>
          <w:b/>
          <w:bCs/>
        </w:rPr>
        <w:lastRenderedPageBreak/>
        <w:t>INTRODUCTION</w:t>
      </w:r>
    </w:p>
    <w:p w14:paraId="1768E33D" w14:textId="7777777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The Endocrine-Metabolic-Immunological Response to Trauma (REMIT) encompasses a complex set of physiological adaptations triggered immediately after trauma events—such as injury, surgery, burns, or hemorrhage—with the aim of restoring homeostasis, maintaining tissue perfusion, and providing the energy needed for survival (1,2). This response operates through three main interconnected axes: endocrine, metabolic, and immunological.</w:t>
      </w:r>
    </w:p>
    <w:p w14:paraId="5F9901BF" w14:textId="7777777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The endocrine axis is rapidly activated through the hypothalamic-pituitary-adrenal (HPA) axis and sympathetic nervous system, leading to the release of cortisol, catecholamines (adrenaline and noradrenaline), glucagon, ADH, and other hormones (1,3). These mediators promote vasoconstriction, blood pressure maintenance, energy mobilization, and insulin resistance (1,3,4).</w:t>
      </w:r>
    </w:p>
    <w:p w14:paraId="657F7ACB" w14:textId="7777777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In the metabolic axis, hyperglycemia, gluconeogenesis, insulin resistance, protein catabolism, and lipolysis are observed. Free fatty acids may meet up to 50–80% of energy demands during acute stress (1,3,5). While these responses ensure rapid energy supply, they can also cause lean mass degradation and prolonged metabolic dysfunction (2,3).</w:t>
      </w:r>
    </w:p>
    <w:p w14:paraId="6FD91F7A" w14:textId="77777777"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The immunological axis involves the release of pro-inflammatory cytokines (IL-1, IL-6, TNF-α), activation of leukocytes and the complement system as central defense mechanisms. However, this response can escalate into systemic inflammation and organ dysfunction (1,4,6).</w:t>
      </w:r>
    </w:p>
    <w:p w14:paraId="21C39CA5" w14:textId="77777777"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These axes interact intricately: cortisol and catecholamines amplify catabolism and modulate inflammation, while pro-inflammatory cytokines stimulate HPA axis activation, forming an adaptive feedback loop (1,4,7). While vital for immediate survival, this coordination can become dysregulated, resulting in systemic inflammatory response syndrome (SIRS), sepsis, and multiple organ failure (1,4,6,7).</w:t>
      </w:r>
    </w:p>
    <w:p w14:paraId="748FC7D0" w14:textId="77777777"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Proper management of REMIT is therefore crucial for improving outcomes in polytraumatized or critically ill patients. Without modulation, the persistent stress response may lead to muscle catabolism, immune dysfunction, increased sepsis risk, and mortality (8). Therapeutic strategies—such as glycemic control, early nutritional support, cautious corticosteroid use, and immunonutrition—have been associated with reduced complications and better functional recovery (9,10).</w:t>
      </w:r>
    </w:p>
    <w:p w14:paraId="783D1631" w14:textId="77777777" w:rsid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Nevertheless, there are still important gaps in clinical management of REMIT. These include the lack of standardized protocols integrating all three axes, uncertainties regarding optimal metabolic targets (e.g., glycemic thresholds or route of nutrition), and limited, conflicting evidence for immunomodulatory therapies (9,11,12). Additionally, few studies address personalized treatment approaches based on trauma type, age, comorbidities, or the evolving phase of the stress response (9,12).</w:t>
      </w:r>
    </w:p>
    <w:p w14:paraId="1C8C71B1" w14:textId="5A893E2D" w:rsidR="00023427" w:rsidRPr="00914DDB"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This context highlights the urgent need to synthesize available evidence through a comprehensive systematic review.</w:t>
      </w:r>
    </w:p>
    <w:p w14:paraId="52F25670" w14:textId="03D1294F" w:rsidR="00023427" w:rsidRDefault="00023427" w:rsidP="00023427">
      <w:pPr>
        <w:pStyle w:val="ListParagraph"/>
        <w:numPr>
          <w:ilvl w:val="0"/>
          <w:numId w:val="1"/>
        </w:numPr>
        <w:spacing w:line="360" w:lineRule="auto"/>
        <w:rPr>
          <w:rFonts w:ascii="Arial" w:hAnsi="Arial" w:cs="Arial"/>
          <w:b/>
          <w:bCs/>
          <w:lang w:val="en-US"/>
        </w:rPr>
      </w:pPr>
      <w:r w:rsidRPr="003175A8">
        <w:rPr>
          <w:rFonts w:ascii="Arial" w:hAnsi="Arial" w:cs="Arial"/>
          <w:b/>
          <w:bCs/>
          <w:lang w:val="en-US"/>
        </w:rPr>
        <w:lastRenderedPageBreak/>
        <w:t>MATERIAL AND METHODS</w:t>
      </w:r>
    </w:p>
    <w:p w14:paraId="08939088" w14:textId="77777777" w:rsidR="00023427" w:rsidRPr="00023427" w:rsidRDefault="00023427" w:rsidP="00023427">
      <w:pPr>
        <w:spacing w:line="360" w:lineRule="auto"/>
        <w:ind w:firstLine="360"/>
        <w:jc w:val="both"/>
        <w:rPr>
          <w:rFonts w:ascii="Arial" w:hAnsi="Arial" w:cs="Arial"/>
          <w:sz w:val="20"/>
          <w:szCs w:val="20"/>
        </w:rPr>
      </w:pPr>
      <w:r w:rsidRPr="00023427">
        <w:rPr>
          <w:rFonts w:ascii="Arial" w:hAnsi="Arial" w:cs="Arial"/>
          <w:sz w:val="20"/>
          <w:szCs w:val="20"/>
        </w:rPr>
        <w:t>This systematic review was conducted following the PRISMA (Preferred Reporting Items for Systematic Reviews and Meta-Analyses) guidelines to ensure transparency and methodological rigor throughout the process.</w:t>
      </w:r>
    </w:p>
    <w:p w14:paraId="4A2D534C"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Databases and Search Strategy</w:t>
      </w:r>
    </w:p>
    <w:p w14:paraId="37CCB05A" w14:textId="77777777" w:rsidR="00023427" w:rsidRDefault="00023427" w:rsidP="00023427">
      <w:pPr>
        <w:spacing w:line="360" w:lineRule="auto"/>
        <w:ind w:firstLine="708"/>
        <w:jc w:val="both"/>
        <w:rPr>
          <w:rFonts w:ascii="Arial" w:hAnsi="Arial" w:cs="Arial"/>
          <w:sz w:val="20"/>
          <w:szCs w:val="20"/>
        </w:rPr>
      </w:pPr>
      <w:r w:rsidRPr="00023427">
        <w:rPr>
          <w:rFonts w:ascii="Arial" w:hAnsi="Arial" w:cs="Arial"/>
          <w:sz w:val="20"/>
          <w:szCs w:val="20"/>
        </w:rPr>
        <w:t>The literature search was carried out between January 2014 and April 2024 across the following databases: PubMed, SciELO, LILACS, BVS, and MEDLINE. The search strategy combined descriptors related to trauma and systemic physiological response using Boolean operators:</w:t>
      </w:r>
      <w:r>
        <w:rPr>
          <w:rFonts w:ascii="Arial" w:hAnsi="Arial" w:cs="Arial"/>
          <w:sz w:val="20"/>
          <w:szCs w:val="20"/>
        </w:rPr>
        <w:t xml:space="preserve"> </w:t>
      </w:r>
      <w:r w:rsidRPr="00023427">
        <w:rPr>
          <w:rFonts w:ascii="Arial" w:hAnsi="Arial" w:cs="Arial"/>
          <w:sz w:val="20"/>
          <w:szCs w:val="20"/>
        </w:rPr>
        <w:t>(“trauma” OR “injury” OR “burn” OR “surgical trauma”) AND (“stress response” OR “metabolic response” OR “immune response” OR “endocrine response”) AND (“therapeutic strategies” OR “interventions” OR “modulation”).</w:t>
      </w:r>
    </w:p>
    <w:p w14:paraId="201C59DF" w14:textId="301BDBD1" w:rsidR="00023427" w:rsidRPr="00023427" w:rsidRDefault="00023427" w:rsidP="00023427">
      <w:pPr>
        <w:spacing w:line="360" w:lineRule="auto"/>
        <w:ind w:firstLine="708"/>
        <w:jc w:val="both"/>
        <w:rPr>
          <w:rFonts w:ascii="Arial" w:hAnsi="Arial" w:cs="Arial"/>
          <w:sz w:val="20"/>
          <w:szCs w:val="20"/>
        </w:rPr>
      </w:pPr>
      <w:r w:rsidRPr="00023427">
        <w:rPr>
          <w:rFonts w:ascii="Arial" w:hAnsi="Arial" w:cs="Arial"/>
          <w:sz w:val="20"/>
          <w:szCs w:val="20"/>
        </w:rPr>
        <w:t>Filters were applied to include only full-text studies published in Portuguese, English, or Spanish, involving human adults (≥18 years). Duplicates were removed using Mendeley reference manager.</w:t>
      </w:r>
    </w:p>
    <w:p w14:paraId="379D4CE2"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Eligibility Criteria</w:t>
      </w:r>
    </w:p>
    <w:p w14:paraId="7AB076C8" w14:textId="0EA3A929"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Studies were included if they met the following criteria:</w:t>
      </w:r>
    </w:p>
    <w:p w14:paraId="5EC9CE64"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Original studies (randomized clinical trials, cohort studies, experimental models, or systematic reviews).</w:t>
      </w:r>
    </w:p>
    <w:p w14:paraId="7EFFB65B"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Published between 2014 and 2024.</w:t>
      </w:r>
    </w:p>
    <w:p w14:paraId="3303ADB5"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Investigated therapeutic interventions targeting the endocrine, metabolic, or immune axes in adult trauma patients (e.g., physical trauma, burns, surgical trauma, hemorrhage).</w:t>
      </w:r>
    </w:p>
    <w:p w14:paraId="2F2BBAEB" w14:textId="77777777" w:rsidR="00023427" w:rsidRPr="00023427" w:rsidRDefault="00023427" w:rsidP="00023427">
      <w:pPr>
        <w:numPr>
          <w:ilvl w:val="0"/>
          <w:numId w:val="7"/>
        </w:numPr>
        <w:spacing w:line="360" w:lineRule="auto"/>
        <w:jc w:val="both"/>
        <w:rPr>
          <w:rFonts w:ascii="Arial" w:hAnsi="Arial" w:cs="Arial"/>
          <w:sz w:val="20"/>
          <w:szCs w:val="20"/>
        </w:rPr>
      </w:pPr>
      <w:r w:rsidRPr="00023427">
        <w:rPr>
          <w:rFonts w:ascii="Arial" w:hAnsi="Arial" w:cs="Arial"/>
          <w:sz w:val="20"/>
          <w:szCs w:val="20"/>
        </w:rPr>
        <w:t>Assessed clinical outcomes such as infection rate, inflammatory markers, metabolic control, organ dysfunction, or mortality.</w:t>
      </w:r>
    </w:p>
    <w:p w14:paraId="3BAE8BC2" w14:textId="77777777"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Exclusion criteria:</w:t>
      </w:r>
    </w:p>
    <w:p w14:paraId="323468C5"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Case reports, expert opinions, and narrative reviews without critical analysis.</w:t>
      </w:r>
    </w:p>
    <w:p w14:paraId="1FA4187F"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Pediatric populations or patients with trauma secondary to obstetric or iatrogenic causes.</w:t>
      </w:r>
    </w:p>
    <w:p w14:paraId="754C8C30" w14:textId="77777777" w:rsidR="00023427" w:rsidRPr="00023427" w:rsidRDefault="00023427" w:rsidP="00023427">
      <w:pPr>
        <w:numPr>
          <w:ilvl w:val="0"/>
          <w:numId w:val="8"/>
        </w:numPr>
        <w:spacing w:line="360" w:lineRule="auto"/>
        <w:jc w:val="both"/>
        <w:rPr>
          <w:rFonts w:ascii="Arial" w:hAnsi="Arial" w:cs="Arial"/>
          <w:sz w:val="20"/>
          <w:szCs w:val="20"/>
        </w:rPr>
      </w:pPr>
      <w:r w:rsidRPr="00023427">
        <w:rPr>
          <w:rFonts w:ascii="Arial" w:hAnsi="Arial" w:cs="Arial"/>
          <w:sz w:val="20"/>
          <w:szCs w:val="20"/>
        </w:rPr>
        <w:t>Studies not evaluating the effects of interventions on REMIT-related outcomes.</w:t>
      </w:r>
    </w:p>
    <w:p w14:paraId="12F8C928"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t>Study Selection and Data Extraction</w:t>
      </w:r>
    </w:p>
    <w:p w14:paraId="14AAF54B" w14:textId="12BA5FC5"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Two independent reviewers screened the titles and abstracts according to the inclusion criteria. Eligible full texts were analyzed in detail to extract data related to study design, sample characteristics, type of trauma, intervention applied, and clinical outcomes. Discrepancies between reviewers were resolved by consensus or consultation with a third reviewer.</w:t>
      </w:r>
    </w:p>
    <w:p w14:paraId="7833564F" w14:textId="77777777" w:rsidR="00023427" w:rsidRDefault="00023427" w:rsidP="00023427">
      <w:pPr>
        <w:spacing w:line="360" w:lineRule="auto"/>
        <w:jc w:val="both"/>
        <w:rPr>
          <w:rFonts w:ascii="Arial" w:hAnsi="Arial" w:cs="Arial"/>
          <w:sz w:val="20"/>
          <w:szCs w:val="20"/>
        </w:rPr>
      </w:pPr>
      <w:r w:rsidRPr="00023427">
        <w:rPr>
          <w:rFonts w:ascii="Arial" w:hAnsi="Arial" w:cs="Arial"/>
          <w:b/>
          <w:bCs/>
          <w:sz w:val="20"/>
          <w:szCs w:val="20"/>
        </w:rPr>
        <w:lastRenderedPageBreak/>
        <w:t>Quality Assessment</w:t>
      </w:r>
    </w:p>
    <w:p w14:paraId="7D90E86D" w14:textId="3341A3BD"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The methodological quality of the included studies was evaluated using appropriate tools:</w:t>
      </w:r>
    </w:p>
    <w:p w14:paraId="3B31A7EA" w14:textId="77777777"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ROBIS (Risk Of Bias In Systematic reviews) for included systematic reviews.</w:t>
      </w:r>
    </w:p>
    <w:p w14:paraId="7B03A1D5" w14:textId="77777777"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Jadad scale for randomized clinical trials.</w:t>
      </w:r>
    </w:p>
    <w:p w14:paraId="556462D0" w14:textId="77777777" w:rsidR="00023427" w:rsidRPr="00023427" w:rsidRDefault="00023427" w:rsidP="00023427">
      <w:pPr>
        <w:numPr>
          <w:ilvl w:val="0"/>
          <w:numId w:val="9"/>
        </w:numPr>
        <w:spacing w:line="360" w:lineRule="auto"/>
        <w:jc w:val="both"/>
        <w:rPr>
          <w:rFonts w:ascii="Arial" w:hAnsi="Arial" w:cs="Arial"/>
          <w:sz w:val="20"/>
          <w:szCs w:val="20"/>
        </w:rPr>
      </w:pPr>
      <w:r w:rsidRPr="00023427">
        <w:rPr>
          <w:rFonts w:ascii="Arial" w:hAnsi="Arial" w:cs="Arial"/>
          <w:sz w:val="20"/>
          <w:szCs w:val="20"/>
        </w:rPr>
        <w:t>Newcastle-Ottawa Scale (NOS) for observational studies.</w:t>
      </w:r>
    </w:p>
    <w:p w14:paraId="0A2A697C" w14:textId="7833806D" w:rsidR="00023427" w:rsidRPr="00023427" w:rsidRDefault="00023427" w:rsidP="00023427">
      <w:pPr>
        <w:spacing w:line="360" w:lineRule="auto"/>
        <w:jc w:val="both"/>
        <w:rPr>
          <w:rFonts w:ascii="Arial" w:hAnsi="Arial" w:cs="Arial"/>
          <w:sz w:val="20"/>
          <w:szCs w:val="20"/>
        </w:rPr>
      </w:pPr>
      <w:r w:rsidRPr="00023427">
        <w:rPr>
          <w:rFonts w:ascii="Arial" w:hAnsi="Arial" w:cs="Arial"/>
          <w:sz w:val="20"/>
          <w:szCs w:val="20"/>
        </w:rPr>
        <w:t>The risk of bias, study limitations, and heterogeneity of interventions were also considered during synthesis and interpretation of results.</w:t>
      </w:r>
    </w:p>
    <w:p w14:paraId="177665F7" w14:textId="1244D15E" w:rsidR="00023427" w:rsidRPr="00256975" w:rsidRDefault="00023427" w:rsidP="00023427">
      <w:pPr>
        <w:pStyle w:val="ListParagraph"/>
        <w:numPr>
          <w:ilvl w:val="0"/>
          <w:numId w:val="1"/>
        </w:numPr>
        <w:spacing w:before="100" w:beforeAutospacing="1" w:after="100" w:afterAutospacing="1" w:line="360" w:lineRule="auto"/>
        <w:jc w:val="both"/>
        <w:rPr>
          <w:rFonts w:ascii="Arial" w:eastAsia="Times New Roman" w:hAnsi="Arial" w:cs="Arial"/>
          <w:b/>
          <w:bCs/>
          <w:lang w:eastAsia="pt-BR"/>
        </w:rPr>
      </w:pPr>
      <w:r w:rsidRPr="003175A8">
        <w:rPr>
          <w:rFonts w:ascii="Arial" w:hAnsi="Arial" w:cs="Arial"/>
          <w:b/>
          <w:bCs/>
        </w:rPr>
        <w:t xml:space="preserve">RESULTS </w:t>
      </w:r>
    </w:p>
    <w:p w14:paraId="2C0D11D6" w14:textId="134EED94"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1. Studies Included in the Systematic Review</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66"/>
        <w:gridCol w:w="1278"/>
        <w:gridCol w:w="1935"/>
        <w:gridCol w:w="2094"/>
        <w:gridCol w:w="2131"/>
      </w:tblGrid>
      <w:tr w:rsidR="00023427" w:rsidRPr="00023427" w14:paraId="41F0140C" w14:textId="77777777" w:rsidTr="00023427">
        <w:trPr>
          <w:tblHeader/>
          <w:tblCellSpacing w:w="15" w:type="dxa"/>
        </w:trPr>
        <w:tc>
          <w:tcPr>
            <w:tcW w:w="0" w:type="auto"/>
            <w:vAlign w:val="center"/>
            <w:hideMark/>
          </w:tcPr>
          <w:p w14:paraId="78D725BD"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Author (Year)</w:t>
            </w:r>
          </w:p>
        </w:tc>
        <w:tc>
          <w:tcPr>
            <w:tcW w:w="0" w:type="auto"/>
            <w:vAlign w:val="center"/>
            <w:hideMark/>
          </w:tcPr>
          <w:p w14:paraId="70CFC955"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Study Type</w:t>
            </w:r>
          </w:p>
        </w:tc>
        <w:tc>
          <w:tcPr>
            <w:tcW w:w="0" w:type="auto"/>
            <w:vAlign w:val="center"/>
            <w:hideMark/>
          </w:tcPr>
          <w:p w14:paraId="6E6BA90D"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Population</w:t>
            </w:r>
          </w:p>
        </w:tc>
        <w:tc>
          <w:tcPr>
            <w:tcW w:w="0" w:type="auto"/>
            <w:vAlign w:val="center"/>
            <w:hideMark/>
          </w:tcPr>
          <w:p w14:paraId="33415C92"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Intervention</w:t>
            </w:r>
          </w:p>
        </w:tc>
        <w:tc>
          <w:tcPr>
            <w:tcW w:w="0" w:type="auto"/>
            <w:vAlign w:val="center"/>
            <w:hideMark/>
          </w:tcPr>
          <w:p w14:paraId="6D8928D3" w14:textId="77777777" w:rsidR="00023427" w:rsidRPr="00023427" w:rsidRDefault="00023427" w:rsidP="00023427">
            <w:pPr>
              <w:spacing w:before="100" w:beforeAutospacing="1" w:after="100" w:afterAutospacing="1" w:line="360" w:lineRule="auto"/>
              <w:jc w:val="both"/>
              <w:rPr>
                <w:rFonts w:ascii="Arial" w:eastAsia="Times New Roman" w:hAnsi="Arial" w:cs="Arial"/>
                <w:b/>
                <w:bCs/>
                <w:sz w:val="20"/>
                <w:szCs w:val="20"/>
                <w:lang w:eastAsia="pt-BR"/>
              </w:rPr>
            </w:pPr>
            <w:r w:rsidRPr="00023427">
              <w:rPr>
                <w:rFonts w:ascii="Arial" w:eastAsia="Times New Roman" w:hAnsi="Arial" w:cs="Arial"/>
                <w:b/>
                <w:bCs/>
                <w:sz w:val="20"/>
                <w:szCs w:val="20"/>
                <w:lang w:eastAsia="pt-BR"/>
              </w:rPr>
              <w:t>Main Findings</w:t>
            </w:r>
          </w:p>
        </w:tc>
      </w:tr>
      <w:tr w:rsidR="00023427" w:rsidRPr="00023427" w14:paraId="42475CDD" w14:textId="77777777" w:rsidTr="00023427">
        <w:trPr>
          <w:tblCellSpacing w:w="15" w:type="dxa"/>
        </w:trPr>
        <w:tc>
          <w:tcPr>
            <w:tcW w:w="0" w:type="auto"/>
            <w:vAlign w:val="center"/>
            <w:hideMark/>
          </w:tcPr>
          <w:p w14:paraId="323DF1B1"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MacColl et al. (2024)</w:t>
            </w:r>
          </w:p>
        </w:tc>
        <w:tc>
          <w:tcPr>
            <w:tcW w:w="0" w:type="auto"/>
            <w:vAlign w:val="center"/>
            <w:hideMark/>
          </w:tcPr>
          <w:p w14:paraId="0D6DEB4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Physiological review</w:t>
            </w:r>
          </w:p>
        </w:tc>
        <w:tc>
          <w:tcPr>
            <w:tcW w:w="0" w:type="auto"/>
            <w:vAlign w:val="center"/>
            <w:hideMark/>
          </w:tcPr>
          <w:p w14:paraId="4CE772F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acute trauma</w:t>
            </w:r>
          </w:p>
        </w:tc>
        <w:tc>
          <w:tcPr>
            <w:tcW w:w="0" w:type="auto"/>
            <w:vAlign w:val="center"/>
            <w:hideMark/>
          </w:tcPr>
          <w:p w14:paraId="6632FAD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Discussion of metabolic cascade and clinical strategies</w:t>
            </w:r>
          </w:p>
        </w:tc>
        <w:tc>
          <w:tcPr>
            <w:tcW w:w="0" w:type="auto"/>
            <w:vAlign w:val="center"/>
            <w:hideMark/>
          </w:tcPr>
          <w:p w14:paraId="4CCF283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Highlights hypermetabolism; recommends aggressive glycemic and thermal control</w:t>
            </w:r>
          </w:p>
        </w:tc>
      </w:tr>
      <w:tr w:rsidR="00023427" w:rsidRPr="00023427" w14:paraId="6C2F0972" w14:textId="77777777" w:rsidTr="00023427">
        <w:trPr>
          <w:tblCellSpacing w:w="15" w:type="dxa"/>
        </w:trPr>
        <w:tc>
          <w:tcPr>
            <w:tcW w:w="0" w:type="auto"/>
            <w:vAlign w:val="center"/>
            <w:hideMark/>
          </w:tcPr>
          <w:p w14:paraId="46C266A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Bouras et al. (2022)</w:t>
            </w:r>
          </w:p>
        </w:tc>
        <w:tc>
          <w:tcPr>
            <w:tcW w:w="0" w:type="auto"/>
            <w:vAlign w:val="center"/>
            <w:hideMark/>
          </w:tcPr>
          <w:p w14:paraId="2AE9ACE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619ADA4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TBI</w:t>
            </w:r>
          </w:p>
        </w:tc>
        <w:tc>
          <w:tcPr>
            <w:tcW w:w="0" w:type="auto"/>
            <w:vAlign w:val="center"/>
            <w:hideMark/>
          </w:tcPr>
          <w:p w14:paraId="0CB4D71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Immunomodulatory therapies post-TBI</w:t>
            </w:r>
          </w:p>
        </w:tc>
        <w:tc>
          <w:tcPr>
            <w:tcW w:w="0" w:type="auto"/>
            <w:vAlign w:val="center"/>
            <w:hideMark/>
          </w:tcPr>
          <w:p w14:paraId="10AD875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Neuroimmune regulation may prevent infection and late dysfunction</w:t>
            </w:r>
          </w:p>
        </w:tc>
      </w:tr>
      <w:tr w:rsidR="00023427" w:rsidRPr="00023427" w14:paraId="3B0DD022" w14:textId="77777777" w:rsidTr="00023427">
        <w:trPr>
          <w:tblCellSpacing w:w="15" w:type="dxa"/>
        </w:trPr>
        <w:tc>
          <w:tcPr>
            <w:tcW w:w="0" w:type="auto"/>
            <w:vAlign w:val="center"/>
            <w:hideMark/>
          </w:tcPr>
          <w:p w14:paraId="638A549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Skelton &amp; Purcell (2020)</w:t>
            </w:r>
          </w:p>
        </w:tc>
        <w:tc>
          <w:tcPr>
            <w:tcW w:w="0" w:type="auto"/>
            <w:vAlign w:val="center"/>
            <w:hideMark/>
          </w:tcPr>
          <w:p w14:paraId="4CDD3B7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review</w:t>
            </w:r>
          </w:p>
        </w:tc>
        <w:tc>
          <w:tcPr>
            <w:tcW w:w="0" w:type="auto"/>
            <w:vAlign w:val="center"/>
            <w:hideMark/>
          </w:tcPr>
          <w:p w14:paraId="5E40218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Animal trauma models</w:t>
            </w:r>
          </w:p>
        </w:tc>
        <w:tc>
          <w:tcPr>
            <w:tcW w:w="0" w:type="auto"/>
            <w:vAlign w:val="center"/>
            <w:hideMark/>
          </w:tcPr>
          <w:p w14:paraId="5D53CA5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Preclinical models for immune regulation</w:t>
            </w:r>
          </w:p>
        </w:tc>
        <w:tc>
          <w:tcPr>
            <w:tcW w:w="0" w:type="auto"/>
            <w:vAlign w:val="center"/>
            <w:hideMark/>
          </w:tcPr>
          <w:p w14:paraId="7286DE5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Models replicate inflammatory response and are useful for testing interventions</w:t>
            </w:r>
          </w:p>
        </w:tc>
      </w:tr>
      <w:tr w:rsidR="00023427" w:rsidRPr="00023427" w14:paraId="61C1F8B7" w14:textId="77777777" w:rsidTr="00023427">
        <w:trPr>
          <w:tblCellSpacing w:w="15" w:type="dxa"/>
        </w:trPr>
        <w:tc>
          <w:tcPr>
            <w:tcW w:w="0" w:type="auto"/>
            <w:vAlign w:val="center"/>
            <w:hideMark/>
          </w:tcPr>
          <w:p w14:paraId="1BF6784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Aswani et al. (2018)</w:t>
            </w:r>
          </w:p>
        </w:tc>
        <w:tc>
          <w:tcPr>
            <w:tcW w:w="0" w:type="auto"/>
            <w:vAlign w:val="center"/>
            <w:hideMark/>
          </w:tcPr>
          <w:p w14:paraId="5971F48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study</w:t>
            </w:r>
          </w:p>
        </w:tc>
        <w:tc>
          <w:tcPr>
            <w:tcW w:w="0" w:type="auto"/>
            <w:vAlign w:val="center"/>
            <w:hideMark/>
          </w:tcPr>
          <w:p w14:paraId="03BF58C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Animal model of trauma/hemorrhage</w:t>
            </w:r>
          </w:p>
        </w:tc>
        <w:tc>
          <w:tcPr>
            <w:tcW w:w="0" w:type="auto"/>
            <w:vAlign w:val="center"/>
            <w:hideMark/>
          </w:tcPr>
          <w:p w14:paraId="5EBDB3C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Circulating mitochondrial DNA blockade</w:t>
            </w:r>
          </w:p>
        </w:tc>
        <w:tc>
          <w:tcPr>
            <w:tcW w:w="0" w:type="auto"/>
            <w:vAlign w:val="center"/>
            <w:hideMark/>
          </w:tcPr>
          <w:p w14:paraId="2EA742F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organ failure and inflammation via DAMP inhibition</w:t>
            </w:r>
          </w:p>
        </w:tc>
      </w:tr>
      <w:tr w:rsidR="00023427" w:rsidRPr="00023427" w14:paraId="05BBB373" w14:textId="77777777" w:rsidTr="00023427">
        <w:trPr>
          <w:tblCellSpacing w:w="15" w:type="dxa"/>
        </w:trPr>
        <w:tc>
          <w:tcPr>
            <w:tcW w:w="0" w:type="auto"/>
            <w:vAlign w:val="center"/>
            <w:hideMark/>
          </w:tcPr>
          <w:p w14:paraId="696F7AA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Lederer (2014)</w:t>
            </w:r>
          </w:p>
        </w:tc>
        <w:tc>
          <w:tcPr>
            <w:tcW w:w="0" w:type="auto"/>
            <w:vAlign w:val="center"/>
            <w:hideMark/>
          </w:tcPr>
          <w:p w14:paraId="74C0D09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Theoretical review</w:t>
            </w:r>
          </w:p>
        </w:tc>
        <w:tc>
          <w:tcPr>
            <w:tcW w:w="0" w:type="auto"/>
            <w:vAlign w:val="center"/>
            <w:hideMark/>
          </w:tcPr>
          <w:p w14:paraId="240E7FE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Polytraumatized patients</w:t>
            </w:r>
          </w:p>
        </w:tc>
        <w:tc>
          <w:tcPr>
            <w:tcW w:w="0" w:type="auto"/>
            <w:vAlign w:val="center"/>
            <w:hideMark/>
          </w:tcPr>
          <w:p w14:paraId="5B4E8FEC"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Discussion of trauma as an inflammatory disease</w:t>
            </w:r>
          </w:p>
        </w:tc>
        <w:tc>
          <w:tcPr>
            <w:tcW w:w="0" w:type="auto"/>
            <w:vAlign w:val="center"/>
            <w:hideMark/>
          </w:tcPr>
          <w:p w14:paraId="6FF42EF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Suggests need for specific immunoregulatory therapies</w:t>
            </w:r>
          </w:p>
        </w:tc>
      </w:tr>
      <w:tr w:rsidR="00023427" w:rsidRPr="00023427" w14:paraId="4B9E25D5" w14:textId="77777777" w:rsidTr="00023427">
        <w:trPr>
          <w:tblCellSpacing w:w="15" w:type="dxa"/>
        </w:trPr>
        <w:tc>
          <w:tcPr>
            <w:tcW w:w="0" w:type="auto"/>
            <w:vAlign w:val="center"/>
            <w:hideMark/>
          </w:tcPr>
          <w:p w14:paraId="0CDFE8E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Li &amp; Shen (2017)</w:t>
            </w:r>
          </w:p>
        </w:tc>
        <w:tc>
          <w:tcPr>
            <w:tcW w:w="0" w:type="auto"/>
            <w:vAlign w:val="center"/>
            <w:hideMark/>
          </w:tcPr>
          <w:p w14:paraId="04F7444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1D044260"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Critically ill/trauma patients</w:t>
            </w:r>
          </w:p>
        </w:tc>
        <w:tc>
          <w:tcPr>
            <w:tcW w:w="0" w:type="auto"/>
            <w:vAlign w:val="center"/>
            <w:hideMark/>
          </w:tcPr>
          <w:p w14:paraId="47730EC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Early enteral nutrition</w:t>
            </w:r>
          </w:p>
        </w:tc>
        <w:tc>
          <w:tcPr>
            <w:tcW w:w="0" w:type="auto"/>
            <w:vAlign w:val="center"/>
            <w:hideMark/>
          </w:tcPr>
          <w:p w14:paraId="240AC11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 xml:space="preserve">Fewer complications and better </w:t>
            </w:r>
            <w:r w:rsidRPr="00023427">
              <w:rPr>
                <w:rFonts w:ascii="Arial" w:eastAsia="Times New Roman" w:hAnsi="Arial" w:cs="Arial"/>
                <w:sz w:val="20"/>
                <w:szCs w:val="20"/>
                <w:lang w:eastAsia="pt-BR"/>
              </w:rPr>
              <w:lastRenderedPageBreak/>
              <w:t>immunometabolic response</w:t>
            </w:r>
          </w:p>
        </w:tc>
      </w:tr>
      <w:tr w:rsidR="00023427" w:rsidRPr="00023427" w14:paraId="08DF2346" w14:textId="77777777" w:rsidTr="00023427">
        <w:trPr>
          <w:tblCellSpacing w:w="15" w:type="dxa"/>
        </w:trPr>
        <w:tc>
          <w:tcPr>
            <w:tcW w:w="0" w:type="auto"/>
            <w:vAlign w:val="center"/>
            <w:hideMark/>
          </w:tcPr>
          <w:p w14:paraId="0D1E491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lastRenderedPageBreak/>
              <w:t>Chignalia et al. (2015)</w:t>
            </w:r>
          </w:p>
        </w:tc>
        <w:tc>
          <w:tcPr>
            <w:tcW w:w="0" w:type="auto"/>
            <w:vAlign w:val="center"/>
            <w:hideMark/>
          </w:tcPr>
          <w:p w14:paraId="5DE7336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Thematic review</w:t>
            </w:r>
          </w:p>
        </w:tc>
        <w:tc>
          <w:tcPr>
            <w:tcW w:w="0" w:type="auto"/>
            <w:vAlign w:val="center"/>
            <w:hideMark/>
          </w:tcPr>
          <w:p w14:paraId="09ACB34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pulmonary trauma</w:t>
            </w:r>
          </w:p>
        </w:tc>
        <w:tc>
          <w:tcPr>
            <w:tcW w:w="0" w:type="auto"/>
            <w:vAlign w:val="center"/>
            <w:hideMark/>
          </w:tcPr>
          <w:p w14:paraId="4166FDC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Study of endothelial glycocalyx</w:t>
            </w:r>
          </w:p>
        </w:tc>
        <w:tc>
          <w:tcPr>
            <w:tcW w:w="0" w:type="auto"/>
            <w:vAlign w:val="center"/>
            <w:hideMark/>
          </w:tcPr>
          <w:p w14:paraId="27231B6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Glycocalyx as a therapeutic target for inflammation and endothelial dysfunction</w:t>
            </w:r>
          </w:p>
        </w:tc>
      </w:tr>
      <w:tr w:rsidR="00023427" w:rsidRPr="00023427" w14:paraId="2C865D66" w14:textId="77777777" w:rsidTr="00023427">
        <w:trPr>
          <w:tblCellSpacing w:w="15" w:type="dxa"/>
        </w:trPr>
        <w:tc>
          <w:tcPr>
            <w:tcW w:w="0" w:type="auto"/>
            <w:vAlign w:val="center"/>
            <w:hideMark/>
          </w:tcPr>
          <w:p w14:paraId="7358FAA2"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Palmer et al. (2019)</w:t>
            </w:r>
          </w:p>
        </w:tc>
        <w:tc>
          <w:tcPr>
            <w:tcW w:w="0" w:type="auto"/>
            <w:vAlign w:val="center"/>
            <w:hideMark/>
          </w:tcPr>
          <w:p w14:paraId="3794209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Cohort study</w:t>
            </w:r>
          </w:p>
        </w:tc>
        <w:tc>
          <w:tcPr>
            <w:tcW w:w="0" w:type="auto"/>
            <w:vAlign w:val="center"/>
            <w:hideMark/>
          </w:tcPr>
          <w:p w14:paraId="48B452B2"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Elderly polytraumatized patients</w:t>
            </w:r>
          </w:p>
        </w:tc>
        <w:tc>
          <w:tcPr>
            <w:tcW w:w="0" w:type="auto"/>
            <w:vAlign w:val="center"/>
            <w:hideMark/>
          </w:tcPr>
          <w:p w14:paraId="48D555D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and hormonal biomarker analysis</w:t>
            </w:r>
          </w:p>
        </w:tc>
        <w:tc>
          <w:tcPr>
            <w:tcW w:w="0" w:type="auto"/>
            <w:vAlign w:val="center"/>
            <w:hideMark/>
          </w:tcPr>
          <w:p w14:paraId="3B4A4D5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Frailty associated with ↑ TNF-α, IL-6 and ↓ IGF-1</w:t>
            </w:r>
          </w:p>
        </w:tc>
      </w:tr>
      <w:tr w:rsidR="00023427" w:rsidRPr="00023427" w14:paraId="15BBF934" w14:textId="77777777" w:rsidTr="00023427">
        <w:trPr>
          <w:tblCellSpacing w:w="15" w:type="dxa"/>
        </w:trPr>
        <w:tc>
          <w:tcPr>
            <w:tcW w:w="0" w:type="auto"/>
            <w:vAlign w:val="center"/>
            <w:hideMark/>
          </w:tcPr>
          <w:p w14:paraId="39B9D48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Al-Tarrah et al. (2017)</w:t>
            </w:r>
          </w:p>
        </w:tc>
        <w:tc>
          <w:tcPr>
            <w:tcW w:w="0" w:type="auto"/>
            <w:vAlign w:val="center"/>
            <w:hideMark/>
          </w:tcPr>
          <w:p w14:paraId="291AAA3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7F00C6C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Burn patients</w:t>
            </w:r>
          </w:p>
        </w:tc>
        <w:tc>
          <w:tcPr>
            <w:tcW w:w="0" w:type="auto"/>
            <w:vAlign w:val="center"/>
            <w:hideMark/>
          </w:tcPr>
          <w:p w14:paraId="5BD6FFC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Influence of sex hormones</w:t>
            </w:r>
          </w:p>
        </w:tc>
        <w:tc>
          <w:tcPr>
            <w:tcW w:w="0" w:type="auto"/>
            <w:vAlign w:val="center"/>
            <w:hideMark/>
          </w:tcPr>
          <w:p w14:paraId="62208C8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Immunological and inflammatory effects mediated by estrogen and testosterone</w:t>
            </w:r>
          </w:p>
        </w:tc>
      </w:tr>
      <w:tr w:rsidR="00023427" w:rsidRPr="00023427" w14:paraId="1A4E7F77" w14:textId="77777777" w:rsidTr="00023427">
        <w:trPr>
          <w:tblCellSpacing w:w="15" w:type="dxa"/>
        </w:trPr>
        <w:tc>
          <w:tcPr>
            <w:tcW w:w="0" w:type="auto"/>
            <w:vAlign w:val="center"/>
            <w:hideMark/>
          </w:tcPr>
          <w:p w14:paraId="6753F16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Horner et al. (2023)</w:t>
            </w:r>
          </w:p>
        </w:tc>
        <w:tc>
          <w:tcPr>
            <w:tcW w:w="0" w:type="auto"/>
            <w:vAlign w:val="center"/>
            <w:hideMark/>
          </w:tcPr>
          <w:p w14:paraId="1A61722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2766468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severe trauma</w:t>
            </w:r>
          </w:p>
        </w:tc>
        <w:tc>
          <w:tcPr>
            <w:tcW w:w="0" w:type="auto"/>
            <w:vAlign w:val="center"/>
            <w:hideMark/>
          </w:tcPr>
          <w:p w14:paraId="19AC472B"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Blockade of immunosuppressive DAMPs</w:t>
            </w:r>
          </w:p>
        </w:tc>
        <w:tc>
          <w:tcPr>
            <w:tcW w:w="0" w:type="auto"/>
            <w:vAlign w:val="center"/>
            <w:hideMark/>
          </w:tcPr>
          <w:p w14:paraId="0132F0D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post-trauma immune dysfunction via DAMP inhibition</w:t>
            </w:r>
          </w:p>
        </w:tc>
      </w:tr>
      <w:tr w:rsidR="00023427" w:rsidRPr="00023427" w14:paraId="5F1D52BA" w14:textId="77777777" w:rsidTr="00023427">
        <w:trPr>
          <w:tblCellSpacing w:w="15" w:type="dxa"/>
        </w:trPr>
        <w:tc>
          <w:tcPr>
            <w:tcW w:w="0" w:type="auto"/>
            <w:vAlign w:val="center"/>
            <w:hideMark/>
          </w:tcPr>
          <w:p w14:paraId="507CA86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Hazeldine et al. (2015)</w:t>
            </w:r>
          </w:p>
        </w:tc>
        <w:tc>
          <w:tcPr>
            <w:tcW w:w="0" w:type="auto"/>
            <w:vAlign w:val="center"/>
            <w:hideMark/>
          </w:tcPr>
          <w:p w14:paraId="5955A19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Critical review</w:t>
            </w:r>
          </w:p>
        </w:tc>
        <w:tc>
          <w:tcPr>
            <w:tcW w:w="0" w:type="auto"/>
            <w:vAlign w:val="center"/>
            <w:hideMark/>
          </w:tcPr>
          <w:p w14:paraId="452607E9"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Elderly trauma patients</w:t>
            </w:r>
          </w:p>
        </w:tc>
        <w:tc>
          <w:tcPr>
            <w:tcW w:w="0" w:type="auto"/>
            <w:vAlign w:val="center"/>
            <w:hideMark/>
          </w:tcPr>
          <w:p w14:paraId="5F0A437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Immunosenescence and chronic inflammation</w:t>
            </w:r>
          </w:p>
        </w:tc>
        <w:tc>
          <w:tcPr>
            <w:tcW w:w="0" w:type="auto"/>
            <w:vAlign w:val="center"/>
            <w:hideMark/>
          </w:tcPr>
          <w:p w14:paraId="27CC2E6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Immune frailty in elderly worsens prognosis</w:t>
            </w:r>
          </w:p>
        </w:tc>
      </w:tr>
      <w:tr w:rsidR="00023427" w:rsidRPr="00023427" w14:paraId="034C4CF2" w14:textId="77777777" w:rsidTr="00023427">
        <w:trPr>
          <w:tblCellSpacing w:w="15" w:type="dxa"/>
        </w:trPr>
        <w:tc>
          <w:tcPr>
            <w:tcW w:w="0" w:type="auto"/>
            <w:vAlign w:val="center"/>
            <w:hideMark/>
          </w:tcPr>
          <w:p w14:paraId="02FB889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Cabrera et al. (2017)</w:t>
            </w:r>
          </w:p>
        </w:tc>
        <w:tc>
          <w:tcPr>
            <w:tcW w:w="0" w:type="auto"/>
            <w:vAlign w:val="center"/>
            <w:hideMark/>
          </w:tcPr>
          <w:p w14:paraId="06B37BE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Molecular study</w:t>
            </w:r>
          </w:p>
        </w:tc>
        <w:tc>
          <w:tcPr>
            <w:tcW w:w="0" w:type="auto"/>
            <w:vAlign w:val="center"/>
            <w:hideMark/>
          </w:tcPr>
          <w:p w14:paraId="2EA4C9C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Patients with severe trauma</w:t>
            </w:r>
          </w:p>
        </w:tc>
        <w:tc>
          <w:tcPr>
            <w:tcW w:w="0" w:type="auto"/>
            <w:vAlign w:val="center"/>
            <w:hideMark/>
          </w:tcPr>
          <w:p w14:paraId="02DD89A4"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Identification of organ dysfunction biomarkers</w:t>
            </w:r>
          </w:p>
        </w:tc>
        <w:tc>
          <w:tcPr>
            <w:tcW w:w="0" w:type="auto"/>
            <w:vAlign w:val="center"/>
            <w:hideMark/>
          </w:tcPr>
          <w:p w14:paraId="07F5FF35"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signatures predict early multi-organ failure</w:t>
            </w:r>
          </w:p>
        </w:tc>
      </w:tr>
      <w:tr w:rsidR="00023427" w:rsidRPr="00023427" w14:paraId="507D8560" w14:textId="77777777" w:rsidTr="00023427">
        <w:trPr>
          <w:tblCellSpacing w:w="15" w:type="dxa"/>
        </w:trPr>
        <w:tc>
          <w:tcPr>
            <w:tcW w:w="0" w:type="auto"/>
            <w:vAlign w:val="center"/>
            <w:hideMark/>
          </w:tcPr>
          <w:p w14:paraId="2130809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Bonaroti et al. (2021)</w:t>
            </w:r>
          </w:p>
        </w:tc>
        <w:tc>
          <w:tcPr>
            <w:tcW w:w="0" w:type="auto"/>
            <w:vAlign w:val="center"/>
            <w:hideMark/>
          </w:tcPr>
          <w:p w14:paraId="5CC2C96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Multiplexing study</w:t>
            </w:r>
          </w:p>
        </w:tc>
        <w:tc>
          <w:tcPr>
            <w:tcW w:w="0" w:type="auto"/>
            <w:vAlign w:val="center"/>
            <w:hideMark/>
          </w:tcPr>
          <w:p w14:paraId="37B5C68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Trauma and sepsis patients</w:t>
            </w:r>
          </w:p>
        </w:tc>
        <w:tc>
          <w:tcPr>
            <w:tcW w:w="0" w:type="auto"/>
            <w:vAlign w:val="center"/>
            <w:hideMark/>
          </w:tcPr>
          <w:p w14:paraId="538F0C0D"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Cytokine analysis via multiplex technology</w:t>
            </w:r>
          </w:p>
        </w:tc>
        <w:tc>
          <w:tcPr>
            <w:tcW w:w="0" w:type="auto"/>
            <w:vAlign w:val="center"/>
            <w:hideMark/>
          </w:tcPr>
          <w:p w14:paraId="31CE401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Inflammatory network mapping to guide therapy</w:t>
            </w:r>
          </w:p>
        </w:tc>
      </w:tr>
      <w:tr w:rsidR="00023427" w:rsidRPr="00023427" w14:paraId="7E30AB7A" w14:textId="77777777" w:rsidTr="00023427">
        <w:trPr>
          <w:tblCellSpacing w:w="15" w:type="dxa"/>
        </w:trPr>
        <w:tc>
          <w:tcPr>
            <w:tcW w:w="0" w:type="auto"/>
            <w:vAlign w:val="center"/>
            <w:hideMark/>
          </w:tcPr>
          <w:p w14:paraId="7A72979A"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Valade et al. (2021)</w:t>
            </w:r>
          </w:p>
        </w:tc>
        <w:tc>
          <w:tcPr>
            <w:tcW w:w="0" w:type="auto"/>
            <w:vAlign w:val="center"/>
            <w:hideMark/>
          </w:tcPr>
          <w:p w14:paraId="192EE61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Experimental study</w:t>
            </w:r>
          </w:p>
        </w:tc>
        <w:tc>
          <w:tcPr>
            <w:tcW w:w="0" w:type="auto"/>
            <w:vAlign w:val="center"/>
            <w:hideMark/>
          </w:tcPr>
          <w:p w14:paraId="373D864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Trauma models</w:t>
            </w:r>
          </w:p>
        </w:tc>
        <w:tc>
          <w:tcPr>
            <w:tcW w:w="0" w:type="auto"/>
            <w:vAlign w:val="center"/>
            <w:hideMark/>
          </w:tcPr>
          <w:p w14:paraId="4E5512AE"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Stem cell-derived extracellular vesicles</w:t>
            </w:r>
          </w:p>
        </w:tc>
        <w:tc>
          <w:tcPr>
            <w:tcW w:w="0" w:type="auto"/>
            <w:vAlign w:val="center"/>
            <w:hideMark/>
          </w:tcPr>
          <w:p w14:paraId="30BA8297"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Reduced inflammation and organ dysfunction in experimental models</w:t>
            </w:r>
          </w:p>
        </w:tc>
      </w:tr>
      <w:tr w:rsidR="00023427" w:rsidRPr="00023427" w14:paraId="2D87D200" w14:textId="77777777" w:rsidTr="00023427">
        <w:trPr>
          <w:tblCellSpacing w:w="15" w:type="dxa"/>
        </w:trPr>
        <w:tc>
          <w:tcPr>
            <w:tcW w:w="0" w:type="auto"/>
            <w:vAlign w:val="center"/>
            <w:hideMark/>
          </w:tcPr>
          <w:p w14:paraId="2C2F523F"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McBride et al. (2020)</w:t>
            </w:r>
          </w:p>
        </w:tc>
        <w:tc>
          <w:tcPr>
            <w:tcW w:w="0" w:type="auto"/>
            <w:vAlign w:val="center"/>
            <w:hideMark/>
          </w:tcPr>
          <w:p w14:paraId="2E72F628"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Narrative review</w:t>
            </w:r>
          </w:p>
        </w:tc>
        <w:tc>
          <w:tcPr>
            <w:tcW w:w="0" w:type="auto"/>
            <w:vAlign w:val="center"/>
            <w:hideMark/>
          </w:tcPr>
          <w:p w14:paraId="0B5A2A03"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Immunosuppressed post-trauma</w:t>
            </w:r>
          </w:p>
        </w:tc>
        <w:tc>
          <w:tcPr>
            <w:tcW w:w="0" w:type="auto"/>
            <w:vAlign w:val="center"/>
            <w:hideMark/>
          </w:tcPr>
          <w:p w14:paraId="1D0A6186"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Mitochondrial modulation</w:t>
            </w:r>
          </w:p>
        </w:tc>
        <w:tc>
          <w:tcPr>
            <w:tcW w:w="0" w:type="auto"/>
            <w:vAlign w:val="center"/>
            <w:hideMark/>
          </w:tcPr>
          <w:p w14:paraId="324C2081" w14:textId="77777777" w:rsidR="00023427" w:rsidRPr="00023427" w:rsidRDefault="00023427" w:rsidP="00023427">
            <w:pPr>
              <w:spacing w:before="100" w:beforeAutospacing="1" w:after="100" w:afterAutospacing="1" w:line="360" w:lineRule="auto"/>
              <w:jc w:val="both"/>
              <w:rPr>
                <w:rFonts w:ascii="Arial" w:eastAsia="Times New Roman" w:hAnsi="Arial" w:cs="Arial"/>
                <w:sz w:val="20"/>
                <w:szCs w:val="20"/>
                <w:lang w:eastAsia="pt-BR"/>
              </w:rPr>
            </w:pPr>
            <w:r w:rsidRPr="00023427">
              <w:rPr>
                <w:rFonts w:ascii="Arial" w:eastAsia="Times New Roman" w:hAnsi="Arial" w:cs="Arial"/>
                <w:sz w:val="20"/>
                <w:szCs w:val="20"/>
                <w:lang w:eastAsia="pt-BR"/>
              </w:rPr>
              <w:t>Mitochondrial dysfunction as a therapeutic target in immune suppression</w:t>
            </w:r>
          </w:p>
        </w:tc>
      </w:tr>
    </w:tbl>
    <w:p w14:paraId="1A6AC73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15820938" w14:textId="77843705" w:rsidR="00023427" w:rsidRDefault="00256975" w:rsidP="00023427">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2. Main therapeutic interventions by REMIT axis and related outcomes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029"/>
        <w:gridCol w:w="2368"/>
        <w:gridCol w:w="2035"/>
        <w:gridCol w:w="3072"/>
      </w:tblGrid>
      <w:tr w:rsidR="00256975" w:rsidRPr="00256975" w14:paraId="01B795EC" w14:textId="77777777" w:rsidTr="00256975">
        <w:trPr>
          <w:tblHeader/>
          <w:tblCellSpacing w:w="15" w:type="dxa"/>
        </w:trPr>
        <w:tc>
          <w:tcPr>
            <w:tcW w:w="0" w:type="auto"/>
            <w:vAlign w:val="center"/>
            <w:hideMark/>
          </w:tcPr>
          <w:p w14:paraId="301B345D"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lastRenderedPageBreak/>
              <w:t>REMIT Axis</w:t>
            </w:r>
          </w:p>
        </w:tc>
        <w:tc>
          <w:tcPr>
            <w:tcW w:w="0" w:type="auto"/>
            <w:vAlign w:val="center"/>
            <w:hideMark/>
          </w:tcPr>
          <w:p w14:paraId="1EB4925A"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Therapeutic Strategy</w:t>
            </w:r>
          </w:p>
        </w:tc>
        <w:tc>
          <w:tcPr>
            <w:tcW w:w="0" w:type="auto"/>
            <w:vAlign w:val="center"/>
            <w:hideMark/>
          </w:tcPr>
          <w:p w14:paraId="105F53E0"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Study</w:t>
            </w:r>
          </w:p>
        </w:tc>
        <w:tc>
          <w:tcPr>
            <w:tcW w:w="0" w:type="auto"/>
            <w:vAlign w:val="center"/>
            <w:hideMark/>
          </w:tcPr>
          <w:p w14:paraId="34216F4C"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Main Outcomes</w:t>
            </w:r>
          </w:p>
        </w:tc>
      </w:tr>
      <w:tr w:rsidR="00256975" w:rsidRPr="00256975" w14:paraId="756B9DF6" w14:textId="77777777" w:rsidTr="00256975">
        <w:trPr>
          <w:tblCellSpacing w:w="15" w:type="dxa"/>
        </w:trPr>
        <w:tc>
          <w:tcPr>
            <w:tcW w:w="0" w:type="auto"/>
            <w:vAlign w:val="center"/>
            <w:hideMark/>
          </w:tcPr>
          <w:p w14:paraId="7AFF340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2B7B103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Beta-blockers (e.g., propranolol)</w:t>
            </w:r>
          </w:p>
        </w:tc>
        <w:tc>
          <w:tcPr>
            <w:tcW w:w="0" w:type="auto"/>
            <w:vAlign w:val="center"/>
            <w:hideMark/>
          </w:tcPr>
          <w:p w14:paraId="2B28DBB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MacColl &amp; Morton (2024) </w:t>
            </w:r>
            <w:hyperlink r:id="rId7" w:history="1">
              <w:r w:rsidRPr="00256975">
                <w:rPr>
                  <w:rStyle w:val="Hyperlink"/>
                  <w:rFonts w:ascii="Arial" w:eastAsia="Times New Roman" w:hAnsi="Arial" w:cs="Arial"/>
                  <w:color w:val="auto"/>
                  <w:sz w:val="20"/>
                  <w:szCs w:val="20"/>
                  <w:u w:val="none"/>
                  <w:lang w:eastAsia="pt-BR"/>
                </w:rPr>
                <w:t>(13)</w:t>
              </w:r>
            </w:hyperlink>
          </w:p>
        </w:tc>
        <w:tc>
          <w:tcPr>
            <w:tcW w:w="0" w:type="auto"/>
            <w:vAlign w:val="center"/>
            <w:hideMark/>
          </w:tcPr>
          <w:p w14:paraId="598243B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cardiac stress and hypermetabolism in burn trauma</w:t>
            </w:r>
          </w:p>
        </w:tc>
      </w:tr>
      <w:tr w:rsidR="00256975" w:rsidRPr="00256975" w14:paraId="4B6BC12D" w14:textId="77777777" w:rsidTr="00256975">
        <w:trPr>
          <w:tblCellSpacing w:w="15" w:type="dxa"/>
        </w:trPr>
        <w:tc>
          <w:tcPr>
            <w:tcW w:w="0" w:type="auto"/>
            <w:vAlign w:val="center"/>
            <w:hideMark/>
          </w:tcPr>
          <w:p w14:paraId="3C97DD3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290DF10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Sex hormone modulation (estrogen, testosterone)</w:t>
            </w:r>
          </w:p>
        </w:tc>
        <w:tc>
          <w:tcPr>
            <w:tcW w:w="0" w:type="auto"/>
            <w:vAlign w:val="center"/>
            <w:hideMark/>
          </w:tcPr>
          <w:p w14:paraId="16E46AE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Al-Tarrah et al. (2017) </w:t>
            </w:r>
            <w:hyperlink r:id="rId8" w:history="1">
              <w:r w:rsidRPr="00256975">
                <w:rPr>
                  <w:rStyle w:val="Hyperlink"/>
                  <w:rFonts w:ascii="Arial" w:eastAsia="Times New Roman" w:hAnsi="Arial" w:cs="Arial"/>
                  <w:color w:val="auto"/>
                  <w:sz w:val="20"/>
                  <w:szCs w:val="20"/>
                  <w:u w:val="none"/>
                  <w:lang w:eastAsia="pt-BR"/>
                </w:rPr>
                <w:t>(21)</w:t>
              </w:r>
            </w:hyperlink>
          </w:p>
        </w:tc>
        <w:tc>
          <w:tcPr>
            <w:tcW w:w="0" w:type="auto"/>
            <w:vAlign w:val="center"/>
            <w:hideMark/>
          </w:tcPr>
          <w:p w14:paraId="53E676E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Modulated inflammatory and immune response</w:t>
            </w:r>
          </w:p>
        </w:tc>
      </w:tr>
      <w:tr w:rsidR="00256975" w:rsidRPr="00256975" w14:paraId="57EA61EA" w14:textId="77777777" w:rsidTr="00256975">
        <w:trPr>
          <w:tblCellSpacing w:w="15" w:type="dxa"/>
        </w:trPr>
        <w:tc>
          <w:tcPr>
            <w:tcW w:w="0" w:type="auto"/>
            <w:vAlign w:val="center"/>
            <w:hideMark/>
          </w:tcPr>
          <w:p w14:paraId="7FDEA59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Endocrine</w:t>
            </w:r>
          </w:p>
        </w:tc>
        <w:tc>
          <w:tcPr>
            <w:tcW w:w="0" w:type="auto"/>
            <w:vAlign w:val="center"/>
            <w:hideMark/>
          </w:tcPr>
          <w:p w14:paraId="1B83DF0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Corticosteroids</w:t>
            </w:r>
          </w:p>
        </w:tc>
        <w:tc>
          <w:tcPr>
            <w:tcW w:w="0" w:type="auto"/>
            <w:vAlign w:val="center"/>
            <w:hideMark/>
          </w:tcPr>
          <w:p w14:paraId="2D0F367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Lederer (2014) </w:t>
            </w:r>
            <w:hyperlink r:id="rId9" w:history="1">
              <w:r w:rsidRPr="00256975">
                <w:rPr>
                  <w:rStyle w:val="Hyperlink"/>
                  <w:rFonts w:ascii="Arial" w:eastAsia="Times New Roman" w:hAnsi="Arial" w:cs="Arial"/>
                  <w:color w:val="auto"/>
                  <w:sz w:val="20"/>
                  <w:szCs w:val="20"/>
                  <w:u w:val="none"/>
                  <w:lang w:eastAsia="pt-BR"/>
                </w:rPr>
                <w:t>(17)</w:t>
              </w:r>
            </w:hyperlink>
          </w:p>
        </w:tc>
        <w:tc>
          <w:tcPr>
            <w:tcW w:w="0" w:type="auto"/>
            <w:vAlign w:val="center"/>
            <w:hideMark/>
          </w:tcPr>
          <w:p w14:paraId="3BA8DB1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Discussed as potentially immunosuppressive if used chronically</w:t>
            </w:r>
          </w:p>
        </w:tc>
      </w:tr>
      <w:tr w:rsidR="00256975" w:rsidRPr="00256975" w14:paraId="2A0A8427" w14:textId="77777777" w:rsidTr="00256975">
        <w:trPr>
          <w:tblCellSpacing w:w="15" w:type="dxa"/>
        </w:trPr>
        <w:tc>
          <w:tcPr>
            <w:tcW w:w="0" w:type="auto"/>
            <w:vAlign w:val="center"/>
            <w:hideMark/>
          </w:tcPr>
          <w:p w14:paraId="55BB364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Metabolic</w:t>
            </w:r>
          </w:p>
        </w:tc>
        <w:tc>
          <w:tcPr>
            <w:tcW w:w="0" w:type="auto"/>
            <w:vAlign w:val="center"/>
            <w:hideMark/>
          </w:tcPr>
          <w:p w14:paraId="0A1F488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Early enteral nutrition</w:t>
            </w:r>
          </w:p>
        </w:tc>
        <w:tc>
          <w:tcPr>
            <w:tcW w:w="0" w:type="auto"/>
            <w:vAlign w:val="center"/>
            <w:hideMark/>
          </w:tcPr>
          <w:p w14:paraId="6D2EE02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Li &amp; Shen (2017) </w:t>
            </w:r>
            <w:hyperlink r:id="rId10"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3A5A01F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Fewer infections, improved glycemic control, and reduced catabolism</w:t>
            </w:r>
          </w:p>
        </w:tc>
      </w:tr>
      <w:tr w:rsidR="00256975" w:rsidRPr="00256975" w14:paraId="53A15621" w14:textId="77777777" w:rsidTr="00256975">
        <w:trPr>
          <w:tblCellSpacing w:w="15" w:type="dxa"/>
        </w:trPr>
        <w:tc>
          <w:tcPr>
            <w:tcW w:w="0" w:type="auto"/>
            <w:vAlign w:val="center"/>
            <w:hideMark/>
          </w:tcPr>
          <w:p w14:paraId="707C85B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Metabolic</w:t>
            </w:r>
          </w:p>
        </w:tc>
        <w:tc>
          <w:tcPr>
            <w:tcW w:w="0" w:type="auto"/>
            <w:vAlign w:val="center"/>
            <w:hideMark/>
          </w:tcPr>
          <w:p w14:paraId="7422842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Immunonutrition (glutamine, omega-3)</w:t>
            </w:r>
          </w:p>
        </w:tc>
        <w:tc>
          <w:tcPr>
            <w:tcW w:w="0" w:type="auto"/>
            <w:vAlign w:val="center"/>
            <w:hideMark/>
          </w:tcPr>
          <w:p w14:paraId="6B3417A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Rahman et al. (2020) </w:t>
            </w:r>
            <w:hyperlink r:id="rId11" w:history="1">
              <w:r w:rsidRPr="00256975">
                <w:rPr>
                  <w:rStyle w:val="Hyperlink"/>
                  <w:rFonts w:ascii="Arial" w:eastAsia="Times New Roman" w:hAnsi="Arial" w:cs="Arial"/>
                  <w:color w:val="auto"/>
                  <w:sz w:val="20"/>
                  <w:szCs w:val="20"/>
                  <w:u w:val="none"/>
                  <w:lang w:eastAsia="pt-BR"/>
                </w:rPr>
                <w:t>(12)</w:t>
              </w:r>
            </w:hyperlink>
            <w:r w:rsidRPr="00256975">
              <w:rPr>
                <w:rFonts w:ascii="Arial" w:eastAsia="Times New Roman" w:hAnsi="Arial" w:cs="Arial"/>
                <w:sz w:val="20"/>
                <w:szCs w:val="20"/>
                <w:lang w:eastAsia="pt-BR"/>
              </w:rPr>
              <w:t xml:space="preserve">; Li &amp; Shen (2017) </w:t>
            </w:r>
            <w:hyperlink r:id="rId12"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487BE23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Anti-inflammatory effects, varied clinical efficacy</w:t>
            </w:r>
          </w:p>
        </w:tc>
      </w:tr>
      <w:tr w:rsidR="00256975" w:rsidRPr="00256975" w14:paraId="50E66CA0" w14:textId="77777777" w:rsidTr="00256975">
        <w:trPr>
          <w:tblCellSpacing w:w="15" w:type="dxa"/>
        </w:trPr>
        <w:tc>
          <w:tcPr>
            <w:tcW w:w="0" w:type="auto"/>
            <w:vAlign w:val="center"/>
            <w:hideMark/>
          </w:tcPr>
          <w:p w14:paraId="6F72122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Metabolic</w:t>
            </w:r>
          </w:p>
        </w:tc>
        <w:tc>
          <w:tcPr>
            <w:tcW w:w="0" w:type="auto"/>
            <w:vAlign w:val="center"/>
            <w:hideMark/>
          </w:tcPr>
          <w:p w14:paraId="062EED5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Mitochondrial modulation</w:t>
            </w:r>
          </w:p>
        </w:tc>
        <w:tc>
          <w:tcPr>
            <w:tcW w:w="0" w:type="auto"/>
            <w:vAlign w:val="center"/>
            <w:hideMark/>
          </w:tcPr>
          <w:p w14:paraId="5153B2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McBride et al. (2020) </w:t>
            </w:r>
            <w:hyperlink r:id="rId13" w:history="1">
              <w:r w:rsidRPr="00256975">
                <w:rPr>
                  <w:rStyle w:val="Hyperlink"/>
                  <w:rFonts w:ascii="Arial" w:eastAsia="Times New Roman" w:hAnsi="Arial" w:cs="Arial"/>
                  <w:color w:val="auto"/>
                  <w:sz w:val="20"/>
                  <w:szCs w:val="20"/>
                  <w:u w:val="none"/>
                  <w:lang w:eastAsia="pt-BR"/>
                </w:rPr>
                <w:t>(27)</w:t>
              </w:r>
            </w:hyperlink>
          </w:p>
        </w:tc>
        <w:tc>
          <w:tcPr>
            <w:tcW w:w="0" w:type="auto"/>
            <w:vAlign w:val="center"/>
            <w:hideMark/>
          </w:tcPr>
          <w:p w14:paraId="12EAB31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Targeted reversal of immunosuppression via mitochondrial support</w:t>
            </w:r>
          </w:p>
        </w:tc>
      </w:tr>
      <w:tr w:rsidR="00256975" w:rsidRPr="00256975" w14:paraId="251C56E3" w14:textId="77777777" w:rsidTr="00256975">
        <w:trPr>
          <w:tblCellSpacing w:w="15" w:type="dxa"/>
        </w:trPr>
        <w:tc>
          <w:tcPr>
            <w:tcW w:w="0" w:type="auto"/>
            <w:vAlign w:val="center"/>
            <w:hideMark/>
          </w:tcPr>
          <w:p w14:paraId="32E2111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25B6667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DAMP blockade (mitochondrial DNA scavenging, etc.)</w:t>
            </w:r>
          </w:p>
        </w:tc>
        <w:tc>
          <w:tcPr>
            <w:tcW w:w="0" w:type="auto"/>
            <w:vAlign w:val="center"/>
            <w:hideMark/>
          </w:tcPr>
          <w:p w14:paraId="6185A52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Aswani &amp; Manson (2018) </w:t>
            </w:r>
            <w:hyperlink r:id="rId14" w:history="1">
              <w:r w:rsidRPr="00256975">
                <w:rPr>
                  <w:rStyle w:val="Hyperlink"/>
                  <w:rFonts w:ascii="Arial" w:eastAsia="Times New Roman" w:hAnsi="Arial" w:cs="Arial"/>
                  <w:color w:val="auto"/>
                  <w:sz w:val="20"/>
                  <w:szCs w:val="20"/>
                  <w:u w:val="none"/>
                  <w:lang w:eastAsia="pt-BR"/>
                </w:rPr>
                <w:t>(16)</w:t>
              </w:r>
            </w:hyperlink>
            <w:r w:rsidRPr="00256975">
              <w:rPr>
                <w:rFonts w:ascii="Arial" w:eastAsia="Times New Roman" w:hAnsi="Arial" w:cs="Arial"/>
                <w:sz w:val="20"/>
                <w:szCs w:val="20"/>
                <w:lang w:eastAsia="pt-BR"/>
              </w:rPr>
              <w:t xml:space="preserve">; Horner &amp; Lord (2023) </w:t>
            </w:r>
            <w:hyperlink r:id="rId15" w:history="1">
              <w:r w:rsidRPr="00256975">
                <w:rPr>
                  <w:rStyle w:val="Hyperlink"/>
                  <w:rFonts w:ascii="Arial" w:eastAsia="Times New Roman" w:hAnsi="Arial" w:cs="Arial"/>
                  <w:color w:val="auto"/>
                  <w:sz w:val="20"/>
                  <w:szCs w:val="20"/>
                  <w:u w:val="none"/>
                  <w:lang w:eastAsia="pt-BR"/>
                </w:rPr>
                <w:t>(22)</w:t>
              </w:r>
            </w:hyperlink>
          </w:p>
        </w:tc>
        <w:tc>
          <w:tcPr>
            <w:tcW w:w="0" w:type="auto"/>
            <w:vAlign w:val="center"/>
            <w:hideMark/>
          </w:tcPr>
          <w:p w14:paraId="5F1E367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inflammation and organ dysfunction</w:t>
            </w:r>
          </w:p>
        </w:tc>
      </w:tr>
      <w:tr w:rsidR="00256975" w:rsidRPr="00256975" w14:paraId="01B8C36B" w14:textId="77777777" w:rsidTr="00256975">
        <w:trPr>
          <w:tblCellSpacing w:w="15" w:type="dxa"/>
        </w:trPr>
        <w:tc>
          <w:tcPr>
            <w:tcW w:w="0" w:type="auto"/>
            <w:vAlign w:val="center"/>
            <w:hideMark/>
          </w:tcPr>
          <w:p w14:paraId="4B3E0C45"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266989A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Mesenchymal stem cell-derived extracellular vesicles</w:t>
            </w:r>
          </w:p>
        </w:tc>
        <w:tc>
          <w:tcPr>
            <w:tcW w:w="0" w:type="auto"/>
            <w:vAlign w:val="center"/>
            <w:hideMark/>
          </w:tcPr>
          <w:p w14:paraId="39D3D78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Valade et al. (2021) </w:t>
            </w:r>
            <w:hyperlink r:id="rId16" w:history="1">
              <w:r w:rsidRPr="00256975">
                <w:rPr>
                  <w:rStyle w:val="Hyperlink"/>
                  <w:rFonts w:ascii="Arial" w:eastAsia="Times New Roman" w:hAnsi="Arial" w:cs="Arial"/>
                  <w:color w:val="auto"/>
                  <w:sz w:val="20"/>
                  <w:szCs w:val="20"/>
                  <w:u w:val="none"/>
                  <w:lang w:eastAsia="pt-BR"/>
                </w:rPr>
                <w:t>(26)</w:t>
              </w:r>
            </w:hyperlink>
          </w:p>
        </w:tc>
        <w:tc>
          <w:tcPr>
            <w:tcW w:w="0" w:type="auto"/>
            <w:vAlign w:val="center"/>
            <w:hideMark/>
          </w:tcPr>
          <w:p w14:paraId="0EFFADB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Reduced systemic inflammation and organ injury in experimental models</w:t>
            </w:r>
          </w:p>
        </w:tc>
      </w:tr>
      <w:tr w:rsidR="00256975" w:rsidRPr="00256975" w14:paraId="60D16554" w14:textId="77777777" w:rsidTr="00256975">
        <w:trPr>
          <w:tblCellSpacing w:w="15" w:type="dxa"/>
        </w:trPr>
        <w:tc>
          <w:tcPr>
            <w:tcW w:w="0" w:type="auto"/>
            <w:vAlign w:val="center"/>
            <w:hideMark/>
          </w:tcPr>
          <w:p w14:paraId="282D833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75108AC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 aging and frailty analysis</w:t>
            </w:r>
          </w:p>
        </w:tc>
        <w:tc>
          <w:tcPr>
            <w:tcW w:w="0" w:type="auto"/>
            <w:vAlign w:val="center"/>
            <w:hideMark/>
          </w:tcPr>
          <w:p w14:paraId="16AA1B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Hazeldine &amp; Lord (2015) </w:t>
            </w:r>
            <w:hyperlink r:id="rId17" w:history="1">
              <w:r w:rsidRPr="00256975">
                <w:rPr>
                  <w:rStyle w:val="Hyperlink"/>
                  <w:rFonts w:ascii="Arial" w:eastAsia="Times New Roman" w:hAnsi="Arial" w:cs="Arial"/>
                  <w:color w:val="auto"/>
                  <w:sz w:val="20"/>
                  <w:szCs w:val="20"/>
                  <w:u w:val="none"/>
                  <w:lang w:eastAsia="pt-BR"/>
                </w:rPr>
                <w:t>(23)</w:t>
              </w:r>
            </w:hyperlink>
            <w:r w:rsidRPr="00256975">
              <w:rPr>
                <w:rFonts w:ascii="Arial" w:eastAsia="Times New Roman" w:hAnsi="Arial" w:cs="Arial"/>
                <w:sz w:val="20"/>
                <w:szCs w:val="20"/>
                <w:lang w:eastAsia="pt-BR"/>
              </w:rPr>
              <w:t xml:space="preserve">; Palmer et al. (2019) </w:t>
            </w:r>
            <w:hyperlink r:id="rId18" w:history="1">
              <w:r w:rsidRPr="00256975">
                <w:rPr>
                  <w:rStyle w:val="Hyperlink"/>
                  <w:rFonts w:ascii="Arial" w:eastAsia="Times New Roman" w:hAnsi="Arial" w:cs="Arial"/>
                  <w:color w:val="auto"/>
                  <w:sz w:val="20"/>
                  <w:szCs w:val="20"/>
                  <w:u w:val="none"/>
                  <w:lang w:eastAsia="pt-BR"/>
                </w:rPr>
                <w:t>(20)</w:t>
              </w:r>
            </w:hyperlink>
          </w:p>
        </w:tc>
        <w:tc>
          <w:tcPr>
            <w:tcW w:w="0" w:type="auto"/>
            <w:vAlign w:val="center"/>
            <w:hideMark/>
          </w:tcPr>
          <w:p w14:paraId="16E4C11E"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Inflammatory vulnerability in elderly worsens trauma outcomes</w:t>
            </w:r>
          </w:p>
        </w:tc>
      </w:tr>
      <w:tr w:rsidR="00256975" w:rsidRPr="00256975" w14:paraId="65B78477" w14:textId="77777777" w:rsidTr="00256975">
        <w:trPr>
          <w:tblCellSpacing w:w="15" w:type="dxa"/>
        </w:trPr>
        <w:tc>
          <w:tcPr>
            <w:tcW w:w="0" w:type="auto"/>
            <w:vAlign w:val="center"/>
            <w:hideMark/>
          </w:tcPr>
          <w:p w14:paraId="5C2921A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Immune</w:t>
            </w:r>
          </w:p>
        </w:tc>
        <w:tc>
          <w:tcPr>
            <w:tcW w:w="0" w:type="auto"/>
            <w:vAlign w:val="center"/>
            <w:hideMark/>
          </w:tcPr>
          <w:p w14:paraId="30FCF13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Multiplex cytokine mapping</w:t>
            </w:r>
          </w:p>
        </w:tc>
        <w:tc>
          <w:tcPr>
            <w:tcW w:w="0" w:type="auto"/>
            <w:vAlign w:val="center"/>
            <w:hideMark/>
          </w:tcPr>
          <w:p w14:paraId="72BE93E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Bonaroti et al. (2021) </w:t>
            </w:r>
            <w:hyperlink r:id="rId19" w:history="1">
              <w:r w:rsidRPr="00256975">
                <w:rPr>
                  <w:rStyle w:val="Hyperlink"/>
                  <w:rFonts w:ascii="Arial" w:eastAsia="Times New Roman" w:hAnsi="Arial" w:cs="Arial"/>
                  <w:color w:val="auto"/>
                  <w:sz w:val="20"/>
                  <w:szCs w:val="20"/>
                  <w:u w:val="none"/>
                  <w:lang w:eastAsia="pt-BR"/>
                </w:rPr>
                <w:t>(25)</w:t>
              </w:r>
            </w:hyperlink>
          </w:p>
        </w:tc>
        <w:tc>
          <w:tcPr>
            <w:tcW w:w="0" w:type="auto"/>
            <w:vAlign w:val="center"/>
            <w:hideMark/>
          </w:tcPr>
          <w:p w14:paraId="143C3B3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Biomarker network analysis to guide personalized immune therapy</w:t>
            </w:r>
          </w:p>
        </w:tc>
      </w:tr>
    </w:tbl>
    <w:p w14:paraId="119F8058" w14:textId="5F7083FC"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263FAA3D" w14:textId="03E55FF9" w:rsidR="00256975" w:rsidRDefault="00256975" w:rsidP="00023427">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Table 3. Summary of clinical benefit and evidence consistency across included studies</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365"/>
        <w:gridCol w:w="2163"/>
        <w:gridCol w:w="3976"/>
      </w:tblGrid>
      <w:tr w:rsidR="00256975" w:rsidRPr="00256975" w14:paraId="58DC9B65" w14:textId="77777777" w:rsidTr="00256975">
        <w:trPr>
          <w:tblHeader/>
          <w:tblCellSpacing w:w="15" w:type="dxa"/>
        </w:trPr>
        <w:tc>
          <w:tcPr>
            <w:tcW w:w="0" w:type="auto"/>
            <w:vAlign w:val="center"/>
            <w:hideMark/>
          </w:tcPr>
          <w:p w14:paraId="615EC2FB"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Study</w:t>
            </w:r>
          </w:p>
        </w:tc>
        <w:tc>
          <w:tcPr>
            <w:tcW w:w="0" w:type="auto"/>
            <w:vAlign w:val="center"/>
            <w:hideMark/>
          </w:tcPr>
          <w:p w14:paraId="0B6B0E9F"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Clear Clinical Benefits</w:t>
            </w:r>
          </w:p>
        </w:tc>
        <w:tc>
          <w:tcPr>
            <w:tcW w:w="0" w:type="auto"/>
            <w:vAlign w:val="center"/>
            <w:hideMark/>
          </w:tcPr>
          <w:p w14:paraId="251CB1C5" w14:textId="77777777" w:rsidR="00256975" w:rsidRPr="00256975" w:rsidRDefault="00256975" w:rsidP="00256975">
            <w:pPr>
              <w:spacing w:before="100" w:beforeAutospacing="1" w:after="100" w:afterAutospacing="1" w:line="360" w:lineRule="auto"/>
              <w:jc w:val="both"/>
              <w:rPr>
                <w:rFonts w:ascii="Arial" w:eastAsia="Times New Roman" w:hAnsi="Arial" w:cs="Arial"/>
                <w:b/>
                <w:bCs/>
                <w:sz w:val="20"/>
                <w:szCs w:val="20"/>
                <w:lang w:eastAsia="pt-BR"/>
              </w:rPr>
            </w:pPr>
            <w:r w:rsidRPr="00256975">
              <w:rPr>
                <w:rFonts w:ascii="Arial" w:eastAsia="Times New Roman" w:hAnsi="Arial" w:cs="Arial"/>
                <w:b/>
                <w:bCs/>
                <w:sz w:val="20"/>
                <w:szCs w:val="20"/>
                <w:lang w:eastAsia="pt-BR"/>
              </w:rPr>
              <w:t>Contradictory Results / Limitations</w:t>
            </w:r>
          </w:p>
        </w:tc>
      </w:tr>
      <w:tr w:rsidR="00256975" w:rsidRPr="00256975" w14:paraId="163BEED8" w14:textId="77777777" w:rsidTr="00256975">
        <w:trPr>
          <w:tblCellSpacing w:w="15" w:type="dxa"/>
        </w:trPr>
        <w:tc>
          <w:tcPr>
            <w:tcW w:w="0" w:type="auto"/>
            <w:vAlign w:val="center"/>
            <w:hideMark/>
          </w:tcPr>
          <w:p w14:paraId="224260D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MacColl &amp; Morton (2024) </w:t>
            </w:r>
            <w:hyperlink r:id="rId20" w:history="1">
              <w:r w:rsidRPr="00256975">
                <w:rPr>
                  <w:rStyle w:val="Hyperlink"/>
                  <w:rFonts w:ascii="Arial" w:eastAsia="Times New Roman" w:hAnsi="Arial" w:cs="Arial"/>
                  <w:color w:val="auto"/>
                  <w:sz w:val="20"/>
                  <w:szCs w:val="20"/>
                  <w:u w:val="none"/>
                  <w:lang w:eastAsia="pt-BR"/>
                </w:rPr>
                <w:t>(13)</w:t>
              </w:r>
            </w:hyperlink>
          </w:p>
        </w:tc>
        <w:tc>
          <w:tcPr>
            <w:tcW w:w="0" w:type="auto"/>
            <w:vAlign w:val="center"/>
            <w:hideMark/>
          </w:tcPr>
          <w:p w14:paraId="6788CD5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063ABB9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Review only; lacks original clinical data</w:t>
            </w:r>
          </w:p>
        </w:tc>
      </w:tr>
      <w:tr w:rsidR="00256975" w:rsidRPr="00256975" w14:paraId="70132DCC" w14:textId="77777777" w:rsidTr="00256975">
        <w:trPr>
          <w:tblCellSpacing w:w="15" w:type="dxa"/>
        </w:trPr>
        <w:tc>
          <w:tcPr>
            <w:tcW w:w="0" w:type="auto"/>
            <w:vAlign w:val="center"/>
            <w:hideMark/>
          </w:tcPr>
          <w:p w14:paraId="14469D87"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lastRenderedPageBreak/>
              <w:t xml:space="preserve">Bouras &amp; Asehnoune (2022) </w:t>
            </w:r>
            <w:hyperlink r:id="rId21" w:history="1">
              <w:r w:rsidRPr="00256975">
                <w:rPr>
                  <w:rStyle w:val="Hyperlink"/>
                  <w:rFonts w:ascii="Arial" w:eastAsia="Times New Roman" w:hAnsi="Arial" w:cs="Arial"/>
                  <w:color w:val="auto"/>
                  <w:sz w:val="20"/>
                  <w:szCs w:val="20"/>
                  <w:u w:val="none"/>
                  <w:lang w:eastAsia="pt-BR"/>
                </w:rPr>
                <w:t>(14)</w:t>
              </w:r>
            </w:hyperlink>
          </w:p>
        </w:tc>
        <w:tc>
          <w:tcPr>
            <w:tcW w:w="0" w:type="auto"/>
            <w:vAlign w:val="center"/>
            <w:hideMark/>
          </w:tcPr>
          <w:p w14:paraId="7415FB5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0A581465"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Specific to TBI; limited generalizability</w:t>
            </w:r>
          </w:p>
        </w:tc>
      </w:tr>
      <w:tr w:rsidR="00256975" w:rsidRPr="00256975" w14:paraId="7AF0637A" w14:textId="77777777" w:rsidTr="00256975">
        <w:trPr>
          <w:tblCellSpacing w:w="15" w:type="dxa"/>
        </w:trPr>
        <w:tc>
          <w:tcPr>
            <w:tcW w:w="0" w:type="auto"/>
            <w:vAlign w:val="center"/>
            <w:hideMark/>
          </w:tcPr>
          <w:p w14:paraId="2AD0D36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Li &amp; Shen (2017) </w:t>
            </w:r>
            <w:hyperlink r:id="rId22" w:history="1">
              <w:r w:rsidRPr="00256975">
                <w:rPr>
                  <w:rStyle w:val="Hyperlink"/>
                  <w:rFonts w:ascii="Arial" w:eastAsia="Times New Roman" w:hAnsi="Arial" w:cs="Arial"/>
                  <w:color w:val="auto"/>
                  <w:sz w:val="20"/>
                  <w:szCs w:val="20"/>
                  <w:u w:val="none"/>
                  <w:lang w:eastAsia="pt-BR"/>
                </w:rPr>
                <w:t>(18)</w:t>
              </w:r>
            </w:hyperlink>
          </w:p>
        </w:tc>
        <w:tc>
          <w:tcPr>
            <w:tcW w:w="0" w:type="auto"/>
            <w:vAlign w:val="center"/>
            <w:hideMark/>
          </w:tcPr>
          <w:p w14:paraId="284B36FE"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w:t>
            </w:r>
          </w:p>
        </w:tc>
        <w:tc>
          <w:tcPr>
            <w:tcW w:w="0" w:type="auto"/>
            <w:vAlign w:val="center"/>
            <w:hideMark/>
          </w:tcPr>
          <w:p w14:paraId="68896B9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Mostly observational data; moderate level of evidence</w:t>
            </w:r>
          </w:p>
        </w:tc>
      </w:tr>
      <w:tr w:rsidR="00256975" w:rsidRPr="00256975" w14:paraId="452B9072" w14:textId="77777777" w:rsidTr="00256975">
        <w:trPr>
          <w:tblCellSpacing w:w="15" w:type="dxa"/>
        </w:trPr>
        <w:tc>
          <w:tcPr>
            <w:tcW w:w="0" w:type="auto"/>
            <w:vAlign w:val="center"/>
            <w:hideMark/>
          </w:tcPr>
          <w:p w14:paraId="73253C4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Rahman et al. (2020) </w:t>
            </w:r>
            <w:hyperlink r:id="rId23" w:history="1">
              <w:r w:rsidRPr="00256975">
                <w:rPr>
                  <w:rStyle w:val="Hyperlink"/>
                  <w:rFonts w:ascii="Arial" w:eastAsia="Times New Roman" w:hAnsi="Arial" w:cs="Arial"/>
                  <w:color w:val="auto"/>
                  <w:sz w:val="20"/>
                  <w:szCs w:val="20"/>
                  <w:u w:val="none"/>
                  <w:lang w:eastAsia="pt-BR"/>
                </w:rPr>
                <w:t>(12)</w:t>
              </w:r>
            </w:hyperlink>
          </w:p>
        </w:tc>
        <w:tc>
          <w:tcPr>
            <w:tcW w:w="0" w:type="auto"/>
            <w:vAlign w:val="center"/>
            <w:hideMark/>
          </w:tcPr>
          <w:p w14:paraId="76872EE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(for immunonutrition)</w:t>
            </w:r>
          </w:p>
        </w:tc>
        <w:tc>
          <w:tcPr>
            <w:tcW w:w="0" w:type="auto"/>
            <w:vAlign w:val="center"/>
            <w:hideMark/>
          </w:tcPr>
          <w:p w14:paraId="3B1F91D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Heterogeneity between trials and small sample sizes</w:t>
            </w:r>
          </w:p>
        </w:tc>
      </w:tr>
      <w:tr w:rsidR="00256975" w:rsidRPr="00256975" w14:paraId="36FDCBFB" w14:textId="77777777" w:rsidTr="00256975">
        <w:trPr>
          <w:tblCellSpacing w:w="15" w:type="dxa"/>
        </w:trPr>
        <w:tc>
          <w:tcPr>
            <w:tcW w:w="0" w:type="auto"/>
            <w:vAlign w:val="center"/>
            <w:hideMark/>
          </w:tcPr>
          <w:p w14:paraId="335131FE"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Valade et al. (2021) </w:t>
            </w:r>
            <w:hyperlink r:id="rId24" w:history="1">
              <w:r w:rsidRPr="00256975">
                <w:rPr>
                  <w:rStyle w:val="Hyperlink"/>
                  <w:rFonts w:ascii="Arial" w:eastAsia="Times New Roman" w:hAnsi="Arial" w:cs="Arial"/>
                  <w:color w:val="auto"/>
                  <w:sz w:val="20"/>
                  <w:szCs w:val="20"/>
                  <w:u w:val="none"/>
                  <w:lang w:eastAsia="pt-BR"/>
                </w:rPr>
                <w:t>(26)</w:t>
              </w:r>
            </w:hyperlink>
          </w:p>
        </w:tc>
        <w:tc>
          <w:tcPr>
            <w:tcW w:w="0" w:type="auto"/>
            <w:vAlign w:val="center"/>
            <w:hideMark/>
          </w:tcPr>
          <w:p w14:paraId="4CF7A92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(experimental)</w:t>
            </w:r>
          </w:p>
        </w:tc>
        <w:tc>
          <w:tcPr>
            <w:tcW w:w="0" w:type="auto"/>
            <w:vAlign w:val="center"/>
            <w:hideMark/>
          </w:tcPr>
          <w:p w14:paraId="5421FD43"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Preclinical only; not yet validated in humans</w:t>
            </w:r>
          </w:p>
        </w:tc>
      </w:tr>
      <w:tr w:rsidR="00256975" w:rsidRPr="00256975" w14:paraId="45C8DD59" w14:textId="77777777" w:rsidTr="00256975">
        <w:trPr>
          <w:tblCellSpacing w:w="15" w:type="dxa"/>
        </w:trPr>
        <w:tc>
          <w:tcPr>
            <w:tcW w:w="0" w:type="auto"/>
            <w:vAlign w:val="center"/>
            <w:hideMark/>
          </w:tcPr>
          <w:p w14:paraId="4187317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Aswani &amp; Manson (2018) </w:t>
            </w:r>
            <w:hyperlink r:id="rId25" w:history="1">
              <w:r w:rsidRPr="00256975">
                <w:rPr>
                  <w:rStyle w:val="Hyperlink"/>
                  <w:rFonts w:ascii="Arial" w:eastAsia="Times New Roman" w:hAnsi="Arial" w:cs="Arial"/>
                  <w:color w:val="auto"/>
                  <w:sz w:val="20"/>
                  <w:szCs w:val="20"/>
                  <w:u w:val="none"/>
                  <w:lang w:eastAsia="pt-BR"/>
                </w:rPr>
                <w:t>(16)</w:t>
              </w:r>
            </w:hyperlink>
          </w:p>
        </w:tc>
        <w:tc>
          <w:tcPr>
            <w:tcW w:w="0" w:type="auto"/>
            <w:vAlign w:val="center"/>
            <w:hideMark/>
          </w:tcPr>
          <w:p w14:paraId="7A80FDBD"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(experimental)</w:t>
            </w:r>
          </w:p>
        </w:tc>
        <w:tc>
          <w:tcPr>
            <w:tcW w:w="0" w:type="auto"/>
            <w:vAlign w:val="center"/>
            <w:hideMark/>
          </w:tcPr>
          <w:p w14:paraId="41932A41"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Experimental model only; translation to clinical use needed</w:t>
            </w:r>
          </w:p>
        </w:tc>
      </w:tr>
      <w:tr w:rsidR="00256975" w:rsidRPr="00256975" w14:paraId="09F74198" w14:textId="77777777" w:rsidTr="00256975">
        <w:trPr>
          <w:tblCellSpacing w:w="15" w:type="dxa"/>
        </w:trPr>
        <w:tc>
          <w:tcPr>
            <w:tcW w:w="0" w:type="auto"/>
            <w:vAlign w:val="center"/>
            <w:hideMark/>
          </w:tcPr>
          <w:p w14:paraId="45E08216"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Palmer et al. (2019) </w:t>
            </w:r>
            <w:hyperlink r:id="rId26" w:history="1">
              <w:r w:rsidRPr="00256975">
                <w:rPr>
                  <w:rStyle w:val="Hyperlink"/>
                  <w:rFonts w:ascii="Arial" w:eastAsia="Times New Roman" w:hAnsi="Arial" w:cs="Arial"/>
                  <w:color w:val="auto"/>
                  <w:sz w:val="20"/>
                  <w:szCs w:val="20"/>
                  <w:u w:val="none"/>
                  <w:lang w:eastAsia="pt-BR"/>
                </w:rPr>
                <w:t>(20)</w:t>
              </w:r>
            </w:hyperlink>
          </w:p>
        </w:tc>
        <w:tc>
          <w:tcPr>
            <w:tcW w:w="0" w:type="auto"/>
            <w:vAlign w:val="center"/>
            <w:hideMark/>
          </w:tcPr>
          <w:p w14:paraId="50EB6F44"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(biomarker correlation)</w:t>
            </w:r>
          </w:p>
        </w:tc>
        <w:tc>
          <w:tcPr>
            <w:tcW w:w="0" w:type="auto"/>
            <w:vAlign w:val="center"/>
            <w:hideMark/>
          </w:tcPr>
          <w:p w14:paraId="7318656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No intervention evaluated; observational design</w:t>
            </w:r>
          </w:p>
        </w:tc>
      </w:tr>
      <w:tr w:rsidR="00256975" w:rsidRPr="00256975" w14:paraId="645A23CF" w14:textId="77777777" w:rsidTr="00256975">
        <w:trPr>
          <w:tblCellSpacing w:w="15" w:type="dxa"/>
        </w:trPr>
        <w:tc>
          <w:tcPr>
            <w:tcW w:w="0" w:type="auto"/>
            <w:vAlign w:val="center"/>
            <w:hideMark/>
          </w:tcPr>
          <w:p w14:paraId="6D9C0C9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Hazeldine &amp; Lord (2015) </w:t>
            </w:r>
            <w:hyperlink r:id="rId27" w:history="1">
              <w:r w:rsidRPr="00256975">
                <w:rPr>
                  <w:rStyle w:val="Hyperlink"/>
                  <w:rFonts w:ascii="Arial" w:eastAsia="Times New Roman" w:hAnsi="Arial" w:cs="Arial"/>
                  <w:color w:val="auto"/>
                  <w:sz w:val="20"/>
                  <w:szCs w:val="20"/>
                  <w:u w:val="none"/>
                  <w:lang w:eastAsia="pt-BR"/>
                </w:rPr>
                <w:t>(23)</w:t>
              </w:r>
            </w:hyperlink>
          </w:p>
        </w:tc>
        <w:tc>
          <w:tcPr>
            <w:tcW w:w="0" w:type="auto"/>
            <w:vAlign w:val="center"/>
            <w:hideMark/>
          </w:tcPr>
          <w:p w14:paraId="169C6C7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Yes (conceptual analysis)</w:t>
            </w:r>
          </w:p>
        </w:tc>
        <w:tc>
          <w:tcPr>
            <w:tcW w:w="0" w:type="auto"/>
            <w:vAlign w:val="center"/>
            <w:hideMark/>
          </w:tcPr>
          <w:p w14:paraId="09FA59F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Theoretical basis; lacks direct therapeutic application</w:t>
            </w:r>
          </w:p>
        </w:tc>
      </w:tr>
      <w:tr w:rsidR="00256975" w:rsidRPr="00256975" w14:paraId="09CA9A48" w14:textId="77777777" w:rsidTr="00256975">
        <w:trPr>
          <w:tblCellSpacing w:w="15" w:type="dxa"/>
        </w:trPr>
        <w:tc>
          <w:tcPr>
            <w:tcW w:w="0" w:type="auto"/>
            <w:vAlign w:val="center"/>
            <w:hideMark/>
          </w:tcPr>
          <w:p w14:paraId="711C962F"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McBride et al. (2020) </w:t>
            </w:r>
            <w:hyperlink r:id="rId28" w:history="1">
              <w:r w:rsidRPr="00256975">
                <w:rPr>
                  <w:rStyle w:val="Hyperlink"/>
                  <w:rFonts w:ascii="Arial" w:eastAsia="Times New Roman" w:hAnsi="Arial" w:cs="Arial"/>
                  <w:color w:val="auto"/>
                  <w:sz w:val="20"/>
                  <w:szCs w:val="20"/>
                  <w:u w:val="none"/>
                  <w:lang w:eastAsia="pt-BR"/>
                </w:rPr>
                <w:t>(27)</w:t>
              </w:r>
            </w:hyperlink>
          </w:p>
        </w:tc>
        <w:tc>
          <w:tcPr>
            <w:tcW w:w="0" w:type="auto"/>
            <w:vAlign w:val="center"/>
            <w:hideMark/>
          </w:tcPr>
          <w:p w14:paraId="70BA8F0B"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(mitochondrial)</w:t>
            </w:r>
          </w:p>
        </w:tc>
        <w:tc>
          <w:tcPr>
            <w:tcW w:w="0" w:type="auto"/>
            <w:vAlign w:val="center"/>
            <w:hideMark/>
          </w:tcPr>
          <w:p w14:paraId="400E9082"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Needs clinical testing in trauma populations</w:t>
            </w:r>
          </w:p>
        </w:tc>
      </w:tr>
      <w:tr w:rsidR="00256975" w:rsidRPr="00256975" w14:paraId="2F55C371" w14:textId="77777777" w:rsidTr="00256975">
        <w:trPr>
          <w:tblCellSpacing w:w="15" w:type="dxa"/>
        </w:trPr>
        <w:tc>
          <w:tcPr>
            <w:tcW w:w="0" w:type="auto"/>
            <w:vAlign w:val="center"/>
            <w:hideMark/>
          </w:tcPr>
          <w:p w14:paraId="3C8D6179"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Bonaroti et al. (2021) </w:t>
            </w:r>
            <w:hyperlink r:id="rId29" w:history="1">
              <w:r w:rsidRPr="00256975">
                <w:rPr>
                  <w:rStyle w:val="Hyperlink"/>
                  <w:rFonts w:ascii="Arial" w:eastAsia="Times New Roman" w:hAnsi="Arial" w:cs="Arial"/>
                  <w:color w:val="auto"/>
                  <w:sz w:val="20"/>
                  <w:szCs w:val="20"/>
                  <w:u w:val="none"/>
                  <w:lang w:eastAsia="pt-BR"/>
                </w:rPr>
                <w:t>(25)</w:t>
              </w:r>
            </w:hyperlink>
          </w:p>
        </w:tc>
        <w:tc>
          <w:tcPr>
            <w:tcW w:w="0" w:type="auto"/>
            <w:vAlign w:val="center"/>
            <w:hideMark/>
          </w:tcPr>
          <w:p w14:paraId="16E123F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Informative for stratification</w:t>
            </w:r>
          </w:p>
        </w:tc>
        <w:tc>
          <w:tcPr>
            <w:tcW w:w="0" w:type="auto"/>
            <w:vAlign w:val="center"/>
            <w:hideMark/>
          </w:tcPr>
          <w:p w14:paraId="562D9FBC"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Diagnostic only; does not test interventions</w:t>
            </w:r>
          </w:p>
        </w:tc>
      </w:tr>
      <w:tr w:rsidR="00256975" w:rsidRPr="00256975" w14:paraId="4F6AA93A" w14:textId="77777777" w:rsidTr="00256975">
        <w:trPr>
          <w:tblCellSpacing w:w="15" w:type="dxa"/>
        </w:trPr>
        <w:tc>
          <w:tcPr>
            <w:tcW w:w="0" w:type="auto"/>
            <w:vAlign w:val="center"/>
            <w:hideMark/>
          </w:tcPr>
          <w:p w14:paraId="08379F38"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 xml:space="preserve">Horner &amp; Lord (2023) </w:t>
            </w:r>
            <w:hyperlink r:id="rId30" w:history="1">
              <w:r w:rsidRPr="00256975">
                <w:rPr>
                  <w:rStyle w:val="Hyperlink"/>
                  <w:rFonts w:ascii="Arial" w:eastAsia="Times New Roman" w:hAnsi="Arial" w:cs="Arial"/>
                  <w:color w:val="auto"/>
                  <w:sz w:val="20"/>
                  <w:szCs w:val="20"/>
                  <w:u w:val="none"/>
                  <w:lang w:eastAsia="pt-BR"/>
                </w:rPr>
                <w:t>(22)</w:t>
              </w:r>
            </w:hyperlink>
          </w:p>
        </w:tc>
        <w:tc>
          <w:tcPr>
            <w:tcW w:w="0" w:type="auto"/>
            <w:vAlign w:val="center"/>
            <w:hideMark/>
          </w:tcPr>
          <w:p w14:paraId="58E3E0AA"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Promising (anti-DAMPs)</w:t>
            </w:r>
          </w:p>
        </w:tc>
        <w:tc>
          <w:tcPr>
            <w:tcW w:w="0" w:type="auto"/>
            <w:vAlign w:val="center"/>
            <w:hideMark/>
          </w:tcPr>
          <w:p w14:paraId="392EB1E0" w14:textId="77777777" w:rsidR="00256975" w:rsidRPr="00256975" w:rsidRDefault="00256975" w:rsidP="00256975">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eastAsia="pt-BR"/>
              </w:rPr>
              <w:t>Preclinical evidence; no clinical trial available</w:t>
            </w:r>
          </w:p>
        </w:tc>
      </w:tr>
    </w:tbl>
    <w:p w14:paraId="37AE3DC0" w14:textId="7B463633"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32A3EF6F" w14:textId="064AAEDE" w:rsidR="00256975" w:rsidRDefault="0083123D" w:rsidP="00023427">
      <w:pPr>
        <w:spacing w:before="100" w:beforeAutospacing="1" w:after="100" w:afterAutospacing="1" w:line="360" w:lineRule="auto"/>
        <w:jc w:val="both"/>
        <w:rPr>
          <w:rFonts w:ascii="Arial" w:eastAsia="Times New Roman" w:hAnsi="Arial" w:cs="Arial"/>
          <w:b/>
          <w:bCs/>
          <w:sz w:val="20"/>
          <w:szCs w:val="20"/>
          <w:lang w:eastAsia="pt-BR"/>
        </w:rPr>
      </w:pPr>
      <w:r w:rsidRPr="0083123D">
        <w:rPr>
          <w:rFonts w:ascii="Arial" w:eastAsia="Times New Roman" w:hAnsi="Arial" w:cs="Arial"/>
          <w:b/>
          <w:bCs/>
          <w:sz w:val="20"/>
          <w:szCs w:val="20"/>
          <w:lang w:eastAsia="pt-BR"/>
        </w:rPr>
        <w:t>Table 4. Variation of therapeutic strategies according to trauma type or severity</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85"/>
        <w:gridCol w:w="4722"/>
        <w:gridCol w:w="2297"/>
      </w:tblGrid>
      <w:tr w:rsidR="0083123D" w:rsidRPr="0083123D" w14:paraId="06C90A6E" w14:textId="77777777" w:rsidTr="0083123D">
        <w:trPr>
          <w:tblHeader/>
          <w:tblCellSpacing w:w="15" w:type="dxa"/>
        </w:trPr>
        <w:tc>
          <w:tcPr>
            <w:tcW w:w="0" w:type="auto"/>
            <w:vAlign w:val="center"/>
            <w:hideMark/>
          </w:tcPr>
          <w:p w14:paraId="00C1C5A4"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Trauma Type</w:t>
            </w:r>
          </w:p>
        </w:tc>
        <w:tc>
          <w:tcPr>
            <w:tcW w:w="0" w:type="auto"/>
            <w:vAlign w:val="center"/>
            <w:hideMark/>
          </w:tcPr>
          <w:p w14:paraId="24C7CC5E"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Preferred or Studied Strategies</w:t>
            </w:r>
          </w:p>
        </w:tc>
        <w:tc>
          <w:tcPr>
            <w:tcW w:w="0" w:type="auto"/>
            <w:vAlign w:val="center"/>
            <w:hideMark/>
          </w:tcPr>
          <w:p w14:paraId="1FF7F6F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Studies</w:t>
            </w:r>
          </w:p>
        </w:tc>
      </w:tr>
      <w:tr w:rsidR="0083123D" w:rsidRPr="0083123D" w14:paraId="02F5FCBF" w14:textId="77777777" w:rsidTr="0083123D">
        <w:trPr>
          <w:tblCellSpacing w:w="15" w:type="dxa"/>
        </w:trPr>
        <w:tc>
          <w:tcPr>
            <w:tcW w:w="0" w:type="auto"/>
            <w:vAlign w:val="center"/>
            <w:hideMark/>
          </w:tcPr>
          <w:p w14:paraId="69A1C063"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Blunt Trauma</w:t>
            </w:r>
          </w:p>
        </w:tc>
        <w:tc>
          <w:tcPr>
            <w:tcW w:w="0" w:type="auto"/>
            <w:vAlign w:val="center"/>
            <w:hideMark/>
          </w:tcPr>
          <w:p w14:paraId="7D5E94C7"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to attenuate adrenergic response; immunonutrition; early enteral nutrition</w:t>
            </w:r>
          </w:p>
        </w:tc>
        <w:tc>
          <w:tcPr>
            <w:tcW w:w="0" w:type="auto"/>
            <w:vAlign w:val="center"/>
            <w:hideMark/>
          </w:tcPr>
          <w:p w14:paraId="307E93B9"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MacColl &amp; Morton (2024) </w:t>
            </w:r>
            <w:hyperlink r:id="rId31" w:history="1">
              <w:r w:rsidRPr="0083123D">
                <w:rPr>
                  <w:rStyle w:val="Hyperlink"/>
                  <w:rFonts w:ascii="Arial" w:eastAsia="Times New Roman" w:hAnsi="Arial" w:cs="Arial"/>
                  <w:color w:val="auto"/>
                  <w:sz w:val="20"/>
                  <w:szCs w:val="20"/>
                  <w:u w:val="none"/>
                  <w:lang w:eastAsia="pt-BR"/>
                </w:rPr>
                <w:t>(13)</w:t>
              </w:r>
            </w:hyperlink>
            <w:r w:rsidRPr="0083123D">
              <w:rPr>
                <w:rFonts w:ascii="Arial" w:eastAsia="Times New Roman" w:hAnsi="Arial" w:cs="Arial"/>
                <w:sz w:val="20"/>
                <w:szCs w:val="20"/>
                <w:lang w:eastAsia="pt-BR"/>
              </w:rPr>
              <w:t xml:space="preserve">; Li &amp; Shen (2017) </w:t>
            </w:r>
            <w:hyperlink r:id="rId32" w:history="1">
              <w:r w:rsidRPr="0083123D">
                <w:rPr>
                  <w:rStyle w:val="Hyperlink"/>
                  <w:rFonts w:ascii="Arial" w:eastAsia="Times New Roman" w:hAnsi="Arial" w:cs="Arial"/>
                  <w:color w:val="auto"/>
                  <w:sz w:val="20"/>
                  <w:szCs w:val="20"/>
                  <w:u w:val="none"/>
                  <w:lang w:eastAsia="pt-BR"/>
                </w:rPr>
                <w:t>(18)</w:t>
              </w:r>
            </w:hyperlink>
          </w:p>
        </w:tc>
      </w:tr>
      <w:tr w:rsidR="0083123D" w:rsidRPr="0083123D" w14:paraId="5C510813" w14:textId="77777777" w:rsidTr="0083123D">
        <w:trPr>
          <w:tblCellSpacing w:w="15" w:type="dxa"/>
        </w:trPr>
        <w:tc>
          <w:tcPr>
            <w:tcW w:w="0" w:type="auto"/>
            <w:vAlign w:val="center"/>
            <w:hideMark/>
          </w:tcPr>
          <w:p w14:paraId="31EDEB6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Burns</w:t>
            </w:r>
          </w:p>
        </w:tc>
        <w:tc>
          <w:tcPr>
            <w:tcW w:w="0" w:type="auto"/>
            <w:vAlign w:val="center"/>
            <w:hideMark/>
          </w:tcPr>
          <w:p w14:paraId="0F6BA05D"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to reduce hypermetabolism; hormone modulation (estrogen/testosterone); antioxidant and mitochondrial therapies</w:t>
            </w:r>
          </w:p>
        </w:tc>
        <w:tc>
          <w:tcPr>
            <w:tcW w:w="0" w:type="auto"/>
            <w:vAlign w:val="center"/>
            <w:hideMark/>
          </w:tcPr>
          <w:p w14:paraId="2EF3DC23"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Al-Tarrah et al. (2017) </w:t>
            </w:r>
            <w:hyperlink r:id="rId33" w:history="1">
              <w:r w:rsidRPr="0083123D">
                <w:rPr>
                  <w:rStyle w:val="Hyperlink"/>
                  <w:rFonts w:ascii="Arial" w:eastAsia="Times New Roman" w:hAnsi="Arial" w:cs="Arial"/>
                  <w:color w:val="auto"/>
                  <w:sz w:val="20"/>
                  <w:szCs w:val="20"/>
                  <w:u w:val="none"/>
                  <w:lang w:eastAsia="pt-BR"/>
                </w:rPr>
                <w:t>(21)</w:t>
              </w:r>
            </w:hyperlink>
            <w:r w:rsidRPr="0083123D">
              <w:rPr>
                <w:rFonts w:ascii="Arial" w:eastAsia="Times New Roman" w:hAnsi="Arial" w:cs="Arial"/>
                <w:sz w:val="20"/>
                <w:szCs w:val="20"/>
                <w:lang w:eastAsia="pt-BR"/>
              </w:rPr>
              <w:t xml:space="preserve">; McBride et al. (2020) </w:t>
            </w:r>
            <w:hyperlink r:id="rId34" w:history="1">
              <w:r w:rsidRPr="0083123D">
                <w:rPr>
                  <w:rStyle w:val="Hyperlink"/>
                  <w:rFonts w:ascii="Arial" w:eastAsia="Times New Roman" w:hAnsi="Arial" w:cs="Arial"/>
                  <w:color w:val="auto"/>
                  <w:sz w:val="20"/>
                  <w:szCs w:val="20"/>
                  <w:u w:val="none"/>
                  <w:lang w:eastAsia="pt-BR"/>
                </w:rPr>
                <w:t>(27)</w:t>
              </w:r>
            </w:hyperlink>
          </w:p>
        </w:tc>
      </w:tr>
      <w:tr w:rsidR="0083123D" w:rsidRPr="0083123D" w14:paraId="7795B2F8" w14:textId="77777777" w:rsidTr="0083123D">
        <w:trPr>
          <w:tblCellSpacing w:w="15" w:type="dxa"/>
        </w:trPr>
        <w:tc>
          <w:tcPr>
            <w:tcW w:w="0" w:type="auto"/>
            <w:vAlign w:val="center"/>
            <w:hideMark/>
          </w:tcPr>
          <w:p w14:paraId="2BAFA72E"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Surgical Trauma</w:t>
            </w:r>
          </w:p>
        </w:tc>
        <w:tc>
          <w:tcPr>
            <w:tcW w:w="0" w:type="auto"/>
            <w:vAlign w:val="center"/>
            <w:hideMark/>
          </w:tcPr>
          <w:p w14:paraId="0CAD673B"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Early enteral nutrition; glycemic control; reduction of inflammatory complications</w:t>
            </w:r>
          </w:p>
        </w:tc>
        <w:tc>
          <w:tcPr>
            <w:tcW w:w="0" w:type="auto"/>
            <w:vAlign w:val="center"/>
            <w:hideMark/>
          </w:tcPr>
          <w:p w14:paraId="735DFBE7"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Li &amp; Shen (2017) </w:t>
            </w:r>
            <w:hyperlink r:id="rId35" w:history="1">
              <w:r w:rsidRPr="0083123D">
                <w:rPr>
                  <w:rStyle w:val="Hyperlink"/>
                  <w:rFonts w:ascii="Arial" w:eastAsia="Times New Roman" w:hAnsi="Arial" w:cs="Arial"/>
                  <w:color w:val="auto"/>
                  <w:sz w:val="20"/>
                  <w:szCs w:val="20"/>
                  <w:u w:val="none"/>
                  <w:lang w:eastAsia="pt-BR"/>
                </w:rPr>
                <w:t>(18)</w:t>
              </w:r>
            </w:hyperlink>
            <w:r w:rsidRPr="0083123D">
              <w:rPr>
                <w:rFonts w:ascii="Arial" w:eastAsia="Times New Roman" w:hAnsi="Arial" w:cs="Arial"/>
                <w:sz w:val="20"/>
                <w:szCs w:val="20"/>
                <w:lang w:eastAsia="pt-BR"/>
              </w:rPr>
              <w:t xml:space="preserve">; Casaer &amp; Van den Berghe (2014) </w:t>
            </w:r>
            <w:hyperlink r:id="rId36" w:history="1">
              <w:r w:rsidRPr="0083123D">
                <w:rPr>
                  <w:rStyle w:val="Hyperlink"/>
                  <w:rFonts w:ascii="Arial" w:eastAsia="Times New Roman" w:hAnsi="Arial" w:cs="Arial"/>
                  <w:color w:val="auto"/>
                  <w:sz w:val="20"/>
                  <w:szCs w:val="20"/>
                  <w:u w:val="none"/>
                  <w:lang w:eastAsia="pt-BR"/>
                </w:rPr>
                <w:t>(10)</w:t>
              </w:r>
            </w:hyperlink>
          </w:p>
        </w:tc>
      </w:tr>
      <w:tr w:rsidR="0083123D" w:rsidRPr="0083123D" w14:paraId="0E21AC87" w14:textId="77777777" w:rsidTr="0083123D">
        <w:trPr>
          <w:tblCellSpacing w:w="15" w:type="dxa"/>
        </w:trPr>
        <w:tc>
          <w:tcPr>
            <w:tcW w:w="0" w:type="auto"/>
            <w:vAlign w:val="center"/>
            <w:hideMark/>
          </w:tcPr>
          <w:p w14:paraId="44FFBD38"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lastRenderedPageBreak/>
              <w:t>Traumatic Brain Injury (TBI)</w:t>
            </w:r>
          </w:p>
        </w:tc>
        <w:tc>
          <w:tcPr>
            <w:tcW w:w="0" w:type="auto"/>
            <w:vAlign w:val="center"/>
            <w:hideMark/>
          </w:tcPr>
          <w:p w14:paraId="220AE131"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Immunomodulators to prevent late immune suppression; cytokine regulation; modulation of blood-brain barrier inflammation</w:t>
            </w:r>
          </w:p>
        </w:tc>
        <w:tc>
          <w:tcPr>
            <w:tcW w:w="0" w:type="auto"/>
            <w:vAlign w:val="center"/>
            <w:hideMark/>
          </w:tcPr>
          <w:p w14:paraId="166DD218"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Bouras &amp; Asehnoune (2022) </w:t>
            </w:r>
            <w:hyperlink r:id="rId37" w:history="1">
              <w:r w:rsidRPr="0083123D">
                <w:rPr>
                  <w:rStyle w:val="Hyperlink"/>
                  <w:rFonts w:ascii="Arial" w:eastAsia="Times New Roman" w:hAnsi="Arial" w:cs="Arial"/>
                  <w:color w:val="auto"/>
                  <w:sz w:val="20"/>
                  <w:szCs w:val="20"/>
                  <w:u w:val="none"/>
                  <w:lang w:eastAsia="pt-BR"/>
                </w:rPr>
                <w:t>(14)</w:t>
              </w:r>
            </w:hyperlink>
          </w:p>
        </w:tc>
      </w:tr>
      <w:tr w:rsidR="0083123D" w:rsidRPr="0083123D" w14:paraId="73A8BF7A" w14:textId="77777777" w:rsidTr="0083123D">
        <w:trPr>
          <w:tblCellSpacing w:w="15" w:type="dxa"/>
        </w:trPr>
        <w:tc>
          <w:tcPr>
            <w:tcW w:w="0" w:type="auto"/>
            <w:vAlign w:val="center"/>
            <w:hideMark/>
          </w:tcPr>
          <w:p w14:paraId="3CE4674C"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Polytrauma in the Elderly</w:t>
            </w:r>
          </w:p>
        </w:tc>
        <w:tc>
          <w:tcPr>
            <w:tcW w:w="0" w:type="auto"/>
            <w:vAlign w:val="center"/>
            <w:hideMark/>
          </w:tcPr>
          <w:p w14:paraId="215BA78D"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Inflammatory biomarker monitoring; focus on immunosenescence; limited tolerance to metabolic therapies</w:t>
            </w:r>
          </w:p>
        </w:tc>
        <w:tc>
          <w:tcPr>
            <w:tcW w:w="0" w:type="auto"/>
            <w:vAlign w:val="center"/>
            <w:hideMark/>
          </w:tcPr>
          <w:p w14:paraId="54379700" w14:textId="77777777" w:rsidR="0083123D" w:rsidRPr="0083123D" w:rsidRDefault="0083123D" w:rsidP="0083123D">
            <w:pPr>
              <w:spacing w:before="100" w:beforeAutospacing="1" w:after="100" w:afterAutospacing="1" w:line="360" w:lineRule="auto"/>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Palmer et al. (2019) </w:t>
            </w:r>
            <w:hyperlink r:id="rId38" w:history="1">
              <w:r w:rsidRPr="0083123D">
                <w:rPr>
                  <w:rStyle w:val="Hyperlink"/>
                  <w:rFonts w:ascii="Arial" w:eastAsia="Times New Roman" w:hAnsi="Arial" w:cs="Arial"/>
                  <w:color w:val="auto"/>
                  <w:sz w:val="20"/>
                  <w:szCs w:val="20"/>
                  <w:u w:val="none"/>
                  <w:lang w:eastAsia="pt-BR"/>
                </w:rPr>
                <w:t>(20)</w:t>
              </w:r>
            </w:hyperlink>
            <w:r w:rsidRPr="0083123D">
              <w:rPr>
                <w:rFonts w:ascii="Arial" w:eastAsia="Times New Roman" w:hAnsi="Arial" w:cs="Arial"/>
                <w:sz w:val="20"/>
                <w:szCs w:val="20"/>
                <w:lang w:eastAsia="pt-BR"/>
              </w:rPr>
              <w:t xml:space="preserve">; Hazeldine &amp; Lord (2015) </w:t>
            </w:r>
            <w:hyperlink r:id="rId39" w:history="1">
              <w:r w:rsidRPr="0083123D">
                <w:rPr>
                  <w:rStyle w:val="Hyperlink"/>
                  <w:rFonts w:ascii="Arial" w:eastAsia="Times New Roman" w:hAnsi="Arial" w:cs="Arial"/>
                  <w:color w:val="auto"/>
                  <w:sz w:val="20"/>
                  <w:szCs w:val="20"/>
                  <w:u w:val="none"/>
                  <w:lang w:eastAsia="pt-BR"/>
                </w:rPr>
                <w:t>(23)</w:t>
              </w:r>
            </w:hyperlink>
          </w:p>
        </w:tc>
      </w:tr>
    </w:tbl>
    <w:p w14:paraId="51EB17A3" w14:textId="0A6C80FA" w:rsidR="0083123D" w:rsidRPr="0083123D" w:rsidRDefault="0083123D" w:rsidP="00023427">
      <w:pPr>
        <w:spacing w:before="100" w:beforeAutospacing="1" w:after="100" w:afterAutospacing="1" w:line="360" w:lineRule="auto"/>
        <w:jc w:val="both"/>
        <w:rPr>
          <w:rFonts w:ascii="Arial" w:eastAsia="Times New Roman" w:hAnsi="Arial" w:cs="Arial"/>
          <w:sz w:val="20"/>
          <w:szCs w:val="20"/>
          <w:lang w:eastAsia="pt-BR"/>
        </w:rPr>
      </w:pPr>
      <w:r w:rsidRPr="00256975">
        <w:rPr>
          <w:rFonts w:ascii="Arial" w:eastAsia="Times New Roman" w:hAnsi="Arial" w:cs="Arial"/>
          <w:sz w:val="20"/>
          <w:szCs w:val="20"/>
          <w:lang w:val="en" w:eastAsia="pt-BR"/>
        </w:rPr>
        <w:t>source: authors (2025)</w:t>
      </w:r>
    </w:p>
    <w:p w14:paraId="5D31798A" w14:textId="36AA32A9" w:rsidR="00023427" w:rsidRDefault="00023427" w:rsidP="00023427">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256975">
        <w:rPr>
          <w:rFonts w:ascii="Arial" w:eastAsia="Times New Roman" w:hAnsi="Arial" w:cs="Arial"/>
          <w:b/>
          <w:bCs/>
          <w:lang w:eastAsia="pt-BR"/>
        </w:rPr>
        <w:t>DISCUSSION</w:t>
      </w:r>
    </w:p>
    <w:p w14:paraId="631E8EF6"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The results of this systematic review indicate that therapeutic modulation of the endocrine-metabolic-immunological response to trauma (REMIT) offers clinical benefits when based on integrated and targeted approaches. Among the interventions studied, those with the highest level of evidence and clearest clinical impact were early enteral nutrition, beta-blockers, and immunonutrition.</w:t>
      </w:r>
    </w:p>
    <w:p w14:paraId="5E67B2DD"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Early enteral nutrition demonstrated consistent efficacy in reducing infectious complications, improving glycemic and metabolic control, and preserving intestinal and immunological barrier integrity [(10,18)]. These benefits are attributed to the physiological stimulation of the gastrointestinal tract, prevention of bacterial translocation, and attenuation of catabolic processes triggered by trauma.</w:t>
      </w:r>
    </w:p>
    <w:p w14:paraId="45D9A954"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Beta-blockers, particularly propranolol, were highlighted in patients with severe trauma and burns due to their ability to mitigate adrenergic hyperactivation, reduce resting energy expenditure, and limit cardiac and metabolic overload [(13,21)]. Their effectiveness is supported by the understanding that trauma triggers an exaggerated sympathetic response, which, if prolonged, worsens metabolic and immune imbalance</w:t>
      </w:r>
      <w:r>
        <w:rPr>
          <w:rFonts w:ascii="Arial" w:eastAsia="Times New Roman" w:hAnsi="Arial" w:cs="Arial"/>
          <w:sz w:val="20"/>
          <w:szCs w:val="20"/>
          <w:lang w:eastAsia="pt-BR"/>
        </w:rPr>
        <w:t>.</w:t>
      </w:r>
    </w:p>
    <w:p w14:paraId="19AB1304"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Immunonutrients, such as omega-3 fatty acids, glutamine, and arginine, also showed benefits in certain contexts by modulating the immune response, reducing oxidative stress, and improving nitrogen balance [(12,18)]. However, their effectiveness depends on timing, composition, and individual patient factors</w:t>
      </w:r>
      <w:r>
        <w:rPr>
          <w:rFonts w:ascii="Arial" w:eastAsia="Times New Roman" w:hAnsi="Arial" w:cs="Arial"/>
          <w:sz w:val="20"/>
          <w:szCs w:val="20"/>
          <w:lang w:eastAsia="pt-BR"/>
        </w:rPr>
        <w:t>.</w:t>
      </w:r>
    </w:p>
    <w:p w14:paraId="27016DF3"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 xml:space="preserve">Mechanistically, the success of these therapies is supported by their action on key pathophysiological pathways. For example, the inhibition of DAMPs (Damage-Associated Molecular Patterns) and mitochondrial dysfunction aims to reduce the release of pro-inflammatory mediators and prevent immune exhaustion, a process demonstrated in experimental models [(16,22,26)]. Similarly, the role of hormonal modulation (e.g., estrogens) in burn trauma suggests </w:t>
      </w:r>
      <w:r w:rsidRPr="0083123D">
        <w:rPr>
          <w:rFonts w:ascii="Arial" w:eastAsia="Times New Roman" w:hAnsi="Arial" w:cs="Arial"/>
          <w:sz w:val="20"/>
          <w:szCs w:val="20"/>
          <w:lang w:eastAsia="pt-BR"/>
        </w:rPr>
        <w:lastRenderedPageBreak/>
        <w:t>that sex hormones influence post-trauma inflammation, with evidence pointing to immunoregulatory effects [(21)].</w:t>
      </w:r>
    </w:p>
    <w:p w14:paraId="3A664613" w14:textId="0AF65401" w:rsidR="0083123D" w:rsidRP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Despite these promising findings, several interventions—such as corticosteroids and intensive glycemic control—have shown inconsistent or even deleterious results. Corticosteroids, although anti-inflammatory, are associated with immune suppression and increased infection risk when used indiscriminately [(17)]. Similarly, tight glycemic control may result in hypoglycemia and adverse outcomes in critically ill patients [(10)].</w:t>
      </w:r>
    </w:p>
    <w:p w14:paraId="193C612B" w14:textId="77777777" w:rsidR="00023427" w:rsidRPr="002B257F" w:rsidRDefault="00023427" w:rsidP="00023427">
      <w:pPr>
        <w:pStyle w:val="ListParagraph"/>
        <w:numPr>
          <w:ilvl w:val="0"/>
          <w:numId w:val="1"/>
        </w:numPr>
        <w:spacing w:before="100" w:beforeAutospacing="1" w:after="100" w:afterAutospacing="1" w:line="360" w:lineRule="auto"/>
        <w:ind w:left="360"/>
        <w:jc w:val="both"/>
        <w:rPr>
          <w:rFonts w:ascii="Arial" w:eastAsia="Times New Roman" w:hAnsi="Arial" w:cs="Arial"/>
          <w:b/>
          <w:bCs/>
          <w:lang w:eastAsia="pt-BR"/>
        </w:rPr>
      </w:pPr>
      <w:r w:rsidRPr="00D73877">
        <w:rPr>
          <w:rFonts w:ascii="Arial" w:hAnsi="Arial" w:cs="Arial"/>
          <w:b/>
          <w:bCs/>
        </w:rPr>
        <w:t>CONCLUSION</w:t>
      </w:r>
    </w:p>
    <w:p w14:paraId="6AB8990C"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The modulation of the endocrine-metabolic-immunological response to trauma (REMIT) is essential for improving clinical outcomes in critically ill or polytraumatized patients. Although this physiological response initially plays an adaptive role, its prolonged or exacerbated activation can lead to severe complications such as sepsis, organ dysfunction, and increased mortality.</w:t>
      </w:r>
    </w:p>
    <w:p w14:paraId="47EE725C"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This systematic review identified that early enteral nutrition, beta-blockers, and immunonutrition represent the most evidence-based and effective strategies for positively influencing REMIT. These interventions act on different physiological axes and help restore homeostasis while minimizing adverse effects. In contrast, therapies such as corticosteroids or tight glycemic control showed limited or conflicting results and require cautious, individualized use.</w:t>
      </w:r>
    </w:p>
    <w:p w14:paraId="7D6851B4" w14:textId="77777777" w:rsidR="0083123D" w:rsidRDefault="0083123D" w:rsidP="0083123D">
      <w:pPr>
        <w:spacing w:before="100" w:beforeAutospacing="1" w:after="100" w:afterAutospacing="1" w:line="360" w:lineRule="auto"/>
        <w:ind w:firstLine="360"/>
        <w:jc w:val="both"/>
        <w:rPr>
          <w:rFonts w:ascii="Arial" w:eastAsia="Times New Roman" w:hAnsi="Arial" w:cs="Arial"/>
          <w:sz w:val="20"/>
          <w:szCs w:val="20"/>
          <w:lang w:eastAsia="pt-BR"/>
        </w:rPr>
      </w:pPr>
      <w:r w:rsidRPr="0083123D">
        <w:rPr>
          <w:rFonts w:ascii="Arial" w:eastAsia="Times New Roman" w:hAnsi="Arial" w:cs="Arial"/>
          <w:sz w:val="20"/>
          <w:szCs w:val="20"/>
          <w:lang w:eastAsia="pt-BR"/>
        </w:rPr>
        <w:t>Nonetheless, the literature still presents significant gaps, particularly regarding the integration of therapeutic strategies across REMIT’s three axes and the personalization of treatment based on trauma type, patient frailty, and biological markers. Therefore, future studies—especially multicenter randomized clinical trials—are essential to guide safe and effective implementation of these strategies in routine clinical practice.</w:t>
      </w:r>
    </w:p>
    <w:p w14:paraId="0DDB75AE" w14:textId="77777777" w:rsidR="00023427" w:rsidRDefault="00023427" w:rsidP="00023427">
      <w:pPr>
        <w:spacing w:before="100" w:beforeAutospacing="1" w:after="100" w:afterAutospacing="1" w:line="360" w:lineRule="auto"/>
        <w:jc w:val="both"/>
        <w:rPr>
          <w:rFonts w:ascii="Arial" w:eastAsia="Times New Roman" w:hAnsi="Arial" w:cs="Arial"/>
          <w:b/>
          <w:lang w:val="en-US" w:eastAsia="pt-BR"/>
        </w:rPr>
      </w:pPr>
      <w:r w:rsidRPr="009D0805">
        <w:rPr>
          <w:rFonts w:ascii="Arial" w:eastAsia="Times New Roman" w:hAnsi="Arial" w:cs="Arial"/>
          <w:b/>
          <w:lang w:val="en-US" w:eastAsia="pt-BR"/>
        </w:rPr>
        <w:t>REFERENCES</w:t>
      </w:r>
    </w:p>
    <w:p w14:paraId="45D30ED0"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Akinci S, Cakir O. Response to trauma includes various endocrine, metabolic and immunological changes. </w:t>
      </w:r>
      <w:r w:rsidRPr="0083123D">
        <w:rPr>
          <w:rFonts w:ascii="Arial" w:eastAsia="Times New Roman" w:hAnsi="Arial" w:cs="Arial"/>
          <w:bCs/>
          <w:i/>
          <w:iCs/>
          <w:sz w:val="20"/>
          <w:szCs w:val="20"/>
          <w:lang w:eastAsia="pt-BR"/>
        </w:rPr>
        <w:t>Int J Surg</w:t>
      </w:r>
      <w:r w:rsidRPr="0083123D">
        <w:rPr>
          <w:rFonts w:ascii="Arial" w:eastAsia="Times New Roman" w:hAnsi="Arial" w:cs="Arial"/>
          <w:bCs/>
          <w:sz w:val="20"/>
          <w:szCs w:val="20"/>
          <w:lang w:eastAsia="pt-BR"/>
        </w:rPr>
        <w:t>. 2014;12(3):e112–8.</w:t>
      </w:r>
    </w:p>
    <w:p w14:paraId="061A549B"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Mehdi SF, Qureshi MH, Pervaiz S, Kumari K. Endocrine and metabolic alterations in response to systemic inflammation and sepsis: a review. </w:t>
      </w:r>
      <w:r w:rsidRPr="0083123D">
        <w:rPr>
          <w:rFonts w:ascii="Arial" w:eastAsia="Times New Roman" w:hAnsi="Arial" w:cs="Arial"/>
          <w:bCs/>
          <w:i/>
          <w:iCs/>
          <w:sz w:val="20"/>
          <w:szCs w:val="20"/>
          <w:lang w:eastAsia="pt-BR"/>
        </w:rPr>
        <w:t>Mol Med</w:t>
      </w:r>
      <w:r w:rsidRPr="0083123D">
        <w:rPr>
          <w:rFonts w:ascii="Arial" w:eastAsia="Times New Roman" w:hAnsi="Arial" w:cs="Arial"/>
          <w:bCs/>
          <w:sz w:val="20"/>
          <w:szCs w:val="20"/>
          <w:lang w:eastAsia="pt-BR"/>
        </w:rPr>
        <w:t>. 2025;31:16.</w:t>
      </w:r>
    </w:p>
    <w:p w14:paraId="71F46C7C"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Silva FN, Souza DP, Medeiros MM. Endocrine, neurological and immunological interactions in the metabolic response to trauma. </w:t>
      </w:r>
      <w:r w:rsidRPr="0083123D">
        <w:rPr>
          <w:rFonts w:ascii="Arial" w:eastAsia="Times New Roman" w:hAnsi="Arial" w:cs="Arial"/>
          <w:bCs/>
          <w:i/>
          <w:iCs/>
          <w:sz w:val="20"/>
          <w:szCs w:val="20"/>
          <w:lang w:eastAsia="pt-BR"/>
        </w:rPr>
        <w:t>Rev Bras Ter Intensiva</w:t>
      </w:r>
      <w:r w:rsidRPr="0083123D">
        <w:rPr>
          <w:rFonts w:ascii="Arial" w:eastAsia="Times New Roman" w:hAnsi="Arial" w:cs="Arial"/>
          <w:bCs/>
          <w:sz w:val="20"/>
          <w:szCs w:val="20"/>
          <w:lang w:eastAsia="pt-BR"/>
        </w:rPr>
        <w:t>. 2023;35(2):123–30.</w:t>
      </w:r>
    </w:p>
    <w:p w14:paraId="7861BA5F"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Smith J, et al. Immunology of stress: pathways linking HPA axis and immunity. </w:t>
      </w:r>
      <w:r w:rsidRPr="0083123D">
        <w:rPr>
          <w:rFonts w:ascii="Arial" w:eastAsia="Times New Roman" w:hAnsi="Arial" w:cs="Arial"/>
          <w:bCs/>
          <w:i/>
          <w:iCs/>
          <w:sz w:val="20"/>
          <w:szCs w:val="20"/>
          <w:lang w:eastAsia="pt-BR"/>
        </w:rPr>
        <w:t>J Clin Immunol</w:t>
      </w:r>
      <w:r w:rsidRPr="0083123D">
        <w:rPr>
          <w:rFonts w:ascii="Arial" w:eastAsia="Times New Roman" w:hAnsi="Arial" w:cs="Arial"/>
          <w:bCs/>
          <w:sz w:val="20"/>
          <w:szCs w:val="20"/>
          <w:lang w:eastAsia="pt-BR"/>
        </w:rPr>
        <w:t>. 2024;44(4):567–77.</w:t>
      </w:r>
    </w:p>
    <w:p w14:paraId="363C41FC" w14:textId="77777777" w:rsidR="0083123D"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lastRenderedPageBreak/>
        <w:t xml:space="preserve">Cuthbertson DP. The metabolic response to surgical trauma: 70 years later. </w:t>
      </w:r>
      <w:r w:rsidRPr="0083123D">
        <w:rPr>
          <w:rFonts w:ascii="Arial" w:eastAsia="Times New Roman" w:hAnsi="Arial" w:cs="Arial"/>
          <w:bCs/>
          <w:i/>
          <w:iCs/>
          <w:sz w:val="20"/>
          <w:szCs w:val="20"/>
          <w:lang w:eastAsia="pt-BR"/>
        </w:rPr>
        <w:t>Surg Today</w:t>
      </w:r>
      <w:r w:rsidRPr="0083123D">
        <w:rPr>
          <w:rFonts w:ascii="Arial" w:eastAsia="Times New Roman" w:hAnsi="Arial" w:cs="Arial"/>
          <w:bCs/>
          <w:sz w:val="20"/>
          <w:szCs w:val="20"/>
          <w:lang w:eastAsia="pt-BR"/>
        </w:rPr>
        <w:t>. 2024;54(1):14–22.</w:t>
      </w:r>
    </w:p>
    <w:p w14:paraId="2853B7D2"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83123D">
        <w:rPr>
          <w:rFonts w:ascii="Arial" w:eastAsia="Times New Roman" w:hAnsi="Arial" w:cs="Arial"/>
          <w:bCs/>
          <w:sz w:val="20"/>
          <w:szCs w:val="20"/>
          <w:lang w:eastAsia="pt-BR"/>
        </w:rPr>
        <w:t xml:space="preserve">Jones RL, et al. The systemic immune response to trauma: overview of biological mechanisms. </w:t>
      </w:r>
      <w:r w:rsidRPr="0083123D">
        <w:rPr>
          <w:rFonts w:ascii="Arial" w:eastAsia="Times New Roman" w:hAnsi="Arial" w:cs="Arial"/>
          <w:bCs/>
          <w:i/>
          <w:iCs/>
          <w:sz w:val="20"/>
          <w:szCs w:val="20"/>
          <w:lang w:eastAsia="pt-BR"/>
        </w:rPr>
        <w:t>J Trauma Acute Care Surg</w:t>
      </w:r>
      <w:r w:rsidRPr="0083123D">
        <w:rPr>
          <w:rFonts w:ascii="Arial" w:eastAsia="Times New Roman" w:hAnsi="Arial" w:cs="Arial"/>
          <w:bCs/>
          <w:sz w:val="20"/>
          <w:szCs w:val="20"/>
          <w:lang w:eastAsia="pt-BR"/>
        </w:rPr>
        <w:t>. 2016;81(1):S19–29.</w:t>
      </w:r>
    </w:p>
    <w:p w14:paraId="71E8BC18"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Liu H, et al. Stress on immune and endocrine cross-talk: Endotext. </w:t>
      </w:r>
      <w:r w:rsidRPr="000650D8">
        <w:rPr>
          <w:rFonts w:ascii="Arial" w:eastAsia="Times New Roman" w:hAnsi="Arial" w:cs="Arial"/>
          <w:bCs/>
          <w:i/>
          <w:iCs/>
          <w:sz w:val="20"/>
          <w:szCs w:val="20"/>
          <w:lang w:eastAsia="pt-BR"/>
        </w:rPr>
        <w:t>NCBI Bookshelf</w:t>
      </w:r>
      <w:r w:rsidRPr="000650D8">
        <w:rPr>
          <w:rFonts w:ascii="Arial" w:eastAsia="Times New Roman" w:hAnsi="Arial" w:cs="Arial"/>
          <w:bCs/>
          <w:sz w:val="20"/>
          <w:szCs w:val="20"/>
          <w:lang w:eastAsia="pt-BR"/>
        </w:rPr>
        <w:t xml:space="preserve"> [Internet]. 2020.</w:t>
      </w:r>
    </w:p>
    <w:p w14:paraId="660359F9"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Hotchkiss RS, Moldawer LL. Parallels between cancer and infectious disease. </w:t>
      </w:r>
      <w:r w:rsidRPr="000650D8">
        <w:rPr>
          <w:rFonts w:ascii="Arial" w:eastAsia="Times New Roman" w:hAnsi="Arial" w:cs="Arial"/>
          <w:bCs/>
          <w:i/>
          <w:iCs/>
          <w:sz w:val="20"/>
          <w:szCs w:val="20"/>
          <w:lang w:eastAsia="pt-BR"/>
        </w:rPr>
        <w:t>N Engl J Med</w:t>
      </w:r>
      <w:r w:rsidRPr="000650D8">
        <w:rPr>
          <w:rFonts w:ascii="Arial" w:eastAsia="Times New Roman" w:hAnsi="Arial" w:cs="Arial"/>
          <w:bCs/>
          <w:sz w:val="20"/>
          <w:szCs w:val="20"/>
          <w:lang w:eastAsia="pt-BR"/>
        </w:rPr>
        <w:t>. 2014;371(4):380–3.</w:t>
      </w:r>
    </w:p>
    <w:p w14:paraId="6052081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Preiser JC, Ichai C, Orban JC, Groeneveld ABJ. Metabolic response to the stress of critical illness. </w:t>
      </w:r>
      <w:r w:rsidRPr="000650D8">
        <w:rPr>
          <w:rFonts w:ascii="Arial" w:eastAsia="Times New Roman" w:hAnsi="Arial" w:cs="Arial"/>
          <w:bCs/>
          <w:i/>
          <w:iCs/>
          <w:sz w:val="20"/>
          <w:szCs w:val="20"/>
          <w:lang w:eastAsia="pt-BR"/>
        </w:rPr>
        <w:t>Br J Anaesth</w:t>
      </w:r>
      <w:r w:rsidRPr="000650D8">
        <w:rPr>
          <w:rFonts w:ascii="Arial" w:eastAsia="Times New Roman" w:hAnsi="Arial" w:cs="Arial"/>
          <w:bCs/>
          <w:sz w:val="20"/>
          <w:szCs w:val="20"/>
          <w:lang w:eastAsia="pt-BR"/>
        </w:rPr>
        <w:t>. 2014;113(6):945–54.</w:t>
      </w:r>
    </w:p>
    <w:p w14:paraId="1594440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Casaer MP, Van den Berghe G. Nutrition in the acute phase of critical illness. </w:t>
      </w:r>
      <w:r w:rsidRPr="000650D8">
        <w:rPr>
          <w:rFonts w:ascii="Arial" w:eastAsia="Times New Roman" w:hAnsi="Arial" w:cs="Arial"/>
          <w:bCs/>
          <w:i/>
          <w:iCs/>
          <w:sz w:val="20"/>
          <w:szCs w:val="20"/>
          <w:lang w:eastAsia="pt-BR"/>
        </w:rPr>
        <w:t>N Engl J Med</w:t>
      </w:r>
      <w:r w:rsidRPr="000650D8">
        <w:rPr>
          <w:rFonts w:ascii="Arial" w:eastAsia="Times New Roman" w:hAnsi="Arial" w:cs="Arial"/>
          <w:bCs/>
          <w:sz w:val="20"/>
          <w:szCs w:val="20"/>
          <w:lang w:eastAsia="pt-BR"/>
        </w:rPr>
        <w:t>. 2014;370(13):1227–36.</w:t>
      </w:r>
    </w:p>
    <w:p w14:paraId="03DE5DBD"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Singer M, et al. The third international consensus definitions for sepsis and septic shock (Sepsis-3). </w:t>
      </w:r>
      <w:r w:rsidRPr="000650D8">
        <w:rPr>
          <w:rFonts w:ascii="Arial" w:eastAsia="Times New Roman" w:hAnsi="Arial" w:cs="Arial"/>
          <w:bCs/>
          <w:i/>
          <w:iCs/>
          <w:sz w:val="20"/>
          <w:szCs w:val="20"/>
          <w:lang w:eastAsia="pt-BR"/>
        </w:rPr>
        <w:t>JAMA</w:t>
      </w:r>
      <w:r w:rsidRPr="000650D8">
        <w:rPr>
          <w:rFonts w:ascii="Arial" w:eastAsia="Times New Roman" w:hAnsi="Arial" w:cs="Arial"/>
          <w:bCs/>
          <w:sz w:val="20"/>
          <w:szCs w:val="20"/>
          <w:lang w:eastAsia="pt-BR"/>
        </w:rPr>
        <w:t>. 2016;315(8):801–10.</w:t>
      </w:r>
    </w:p>
    <w:p w14:paraId="72C732B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Rahman A, et al. Immunonutrition in critical illness: a systematic review of recent literature. </w:t>
      </w:r>
      <w:r w:rsidRPr="000650D8">
        <w:rPr>
          <w:rFonts w:ascii="Arial" w:eastAsia="Times New Roman" w:hAnsi="Arial" w:cs="Arial"/>
          <w:bCs/>
          <w:i/>
          <w:iCs/>
          <w:sz w:val="20"/>
          <w:szCs w:val="20"/>
          <w:lang w:eastAsia="pt-BR"/>
        </w:rPr>
        <w:t>Clin Nutr ESPEN</w:t>
      </w:r>
      <w:r w:rsidRPr="000650D8">
        <w:rPr>
          <w:rFonts w:ascii="Arial" w:eastAsia="Times New Roman" w:hAnsi="Arial" w:cs="Arial"/>
          <w:bCs/>
          <w:sz w:val="20"/>
          <w:szCs w:val="20"/>
          <w:lang w:eastAsia="pt-BR"/>
        </w:rPr>
        <w:t>. 2020;38:30–6.</w:t>
      </w:r>
    </w:p>
    <w:p w14:paraId="09CF386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MacColl E, Morton J. The metabolic response to trauma. </w:t>
      </w:r>
      <w:r w:rsidRPr="000650D8">
        <w:rPr>
          <w:rFonts w:ascii="Arial" w:eastAsia="Times New Roman" w:hAnsi="Arial" w:cs="Arial"/>
          <w:bCs/>
          <w:i/>
          <w:iCs/>
          <w:sz w:val="20"/>
          <w:szCs w:val="20"/>
          <w:lang w:eastAsia="pt-BR"/>
        </w:rPr>
        <w:t>Br J Anaesth</w:t>
      </w:r>
      <w:r w:rsidRPr="000650D8">
        <w:rPr>
          <w:rFonts w:ascii="Arial" w:eastAsia="Times New Roman" w:hAnsi="Arial" w:cs="Arial"/>
          <w:bCs/>
          <w:sz w:val="20"/>
          <w:szCs w:val="20"/>
          <w:lang w:eastAsia="pt-BR"/>
        </w:rPr>
        <w:t>. 2024;132(4):559–69.</w:t>
      </w:r>
    </w:p>
    <w:p w14:paraId="6B691A4F"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Bouras M, Asehnoune K. Immune modulation after traumatic brain injury. </w:t>
      </w:r>
      <w:r w:rsidRPr="000650D8">
        <w:rPr>
          <w:rFonts w:ascii="Arial" w:eastAsia="Times New Roman" w:hAnsi="Arial" w:cs="Arial"/>
          <w:bCs/>
          <w:i/>
          <w:iCs/>
          <w:sz w:val="20"/>
          <w:szCs w:val="20"/>
          <w:lang w:eastAsia="pt-BR"/>
        </w:rPr>
        <w:t>J Neuroinflammation</w:t>
      </w:r>
      <w:r w:rsidRPr="000650D8">
        <w:rPr>
          <w:rFonts w:ascii="Arial" w:eastAsia="Times New Roman" w:hAnsi="Arial" w:cs="Arial"/>
          <w:bCs/>
          <w:sz w:val="20"/>
          <w:szCs w:val="20"/>
          <w:lang w:eastAsia="pt-BR"/>
        </w:rPr>
        <w:t>. 2022;19(1):119.</w:t>
      </w:r>
    </w:p>
    <w:p w14:paraId="0F2019A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Skelton RJ, Purcell LN. Preclinical models for studying immune responses to trauma. </w:t>
      </w:r>
      <w:r w:rsidRPr="000650D8">
        <w:rPr>
          <w:rFonts w:ascii="Arial" w:eastAsia="Times New Roman" w:hAnsi="Arial" w:cs="Arial"/>
          <w:bCs/>
          <w:i/>
          <w:iCs/>
          <w:sz w:val="20"/>
          <w:szCs w:val="20"/>
          <w:lang w:eastAsia="pt-BR"/>
        </w:rPr>
        <w:t>Shock</w:t>
      </w:r>
      <w:r w:rsidRPr="000650D8">
        <w:rPr>
          <w:rFonts w:ascii="Arial" w:eastAsia="Times New Roman" w:hAnsi="Arial" w:cs="Arial"/>
          <w:bCs/>
          <w:sz w:val="20"/>
          <w:szCs w:val="20"/>
          <w:lang w:eastAsia="pt-BR"/>
        </w:rPr>
        <w:t>. 2020;54(4):424–32.</w:t>
      </w:r>
    </w:p>
    <w:p w14:paraId="032D7A0A"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Aswani A, Manson J. Scavenging circulating mitochondrial DNA as a potential therapeutic option for multiple organ failure. </w:t>
      </w:r>
      <w:r w:rsidRPr="000650D8">
        <w:rPr>
          <w:rFonts w:ascii="Arial" w:eastAsia="Times New Roman" w:hAnsi="Arial" w:cs="Arial"/>
          <w:bCs/>
          <w:i/>
          <w:iCs/>
          <w:sz w:val="20"/>
          <w:szCs w:val="20"/>
          <w:lang w:eastAsia="pt-BR"/>
        </w:rPr>
        <w:t>Crit Care</w:t>
      </w:r>
      <w:r w:rsidRPr="000650D8">
        <w:rPr>
          <w:rFonts w:ascii="Arial" w:eastAsia="Times New Roman" w:hAnsi="Arial" w:cs="Arial"/>
          <w:bCs/>
          <w:sz w:val="20"/>
          <w:szCs w:val="20"/>
          <w:lang w:eastAsia="pt-BR"/>
        </w:rPr>
        <w:t>. 2018;22(1):120.</w:t>
      </w:r>
    </w:p>
    <w:p w14:paraId="3A7E952E"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Lederer JA. Defining traumatic injury as a disease. </w:t>
      </w:r>
      <w:r w:rsidRPr="000650D8">
        <w:rPr>
          <w:rFonts w:ascii="Arial" w:eastAsia="Times New Roman" w:hAnsi="Arial" w:cs="Arial"/>
          <w:bCs/>
          <w:i/>
          <w:iCs/>
          <w:sz w:val="20"/>
          <w:szCs w:val="20"/>
          <w:lang w:eastAsia="pt-BR"/>
        </w:rPr>
        <w:t>J Trauma Acute Care Surg</w:t>
      </w:r>
      <w:r w:rsidRPr="000650D8">
        <w:rPr>
          <w:rFonts w:ascii="Arial" w:eastAsia="Times New Roman" w:hAnsi="Arial" w:cs="Arial"/>
          <w:bCs/>
          <w:sz w:val="20"/>
          <w:szCs w:val="20"/>
          <w:lang w:eastAsia="pt-BR"/>
        </w:rPr>
        <w:t>. 2014;77(6):1139–45.</w:t>
      </w:r>
    </w:p>
    <w:p w14:paraId="393C9BF5"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Li Y, Shen Y. Research progress in trauma metabolism and nutrition. </w:t>
      </w:r>
      <w:r w:rsidRPr="000650D8">
        <w:rPr>
          <w:rFonts w:ascii="Arial" w:eastAsia="Times New Roman" w:hAnsi="Arial" w:cs="Arial"/>
          <w:bCs/>
          <w:i/>
          <w:iCs/>
          <w:sz w:val="20"/>
          <w:szCs w:val="20"/>
          <w:lang w:eastAsia="pt-BR"/>
        </w:rPr>
        <w:t>Chin J Traumatol</w:t>
      </w:r>
      <w:r w:rsidRPr="000650D8">
        <w:rPr>
          <w:rFonts w:ascii="Arial" w:eastAsia="Times New Roman" w:hAnsi="Arial" w:cs="Arial"/>
          <w:bCs/>
          <w:sz w:val="20"/>
          <w:szCs w:val="20"/>
          <w:lang w:eastAsia="pt-BR"/>
        </w:rPr>
        <w:t>. 2017;20(3):129–34.</w:t>
      </w:r>
    </w:p>
    <w:p w14:paraId="418D342C"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Chignalia AZ, Yetimakman F, et al. The endothelial glycocalyx and trauma. </w:t>
      </w:r>
      <w:r w:rsidRPr="000650D8">
        <w:rPr>
          <w:rFonts w:ascii="Arial" w:eastAsia="Times New Roman" w:hAnsi="Arial" w:cs="Arial"/>
          <w:bCs/>
          <w:i/>
          <w:iCs/>
          <w:sz w:val="20"/>
          <w:szCs w:val="20"/>
          <w:lang w:eastAsia="pt-BR"/>
        </w:rPr>
        <w:t>Vascul Pharmacol</w:t>
      </w:r>
      <w:r w:rsidRPr="000650D8">
        <w:rPr>
          <w:rFonts w:ascii="Arial" w:eastAsia="Times New Roman" w:hAnsi="Arial" w:cs="Arial"/>
          <w:bCs/>
          <w:sz w:val="20"/>
          <w:szCs w:val="20"/>
          <w:lang w:eastAsia="pt-BR"/>
        </w:rPr>
        <w:t>. 2015;71:110–20.</w:t>
      </w:r>
    </w:p>
    <w:p w14:paraId="1536419D"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Palmer J, Pandit V, et al. The acute inflammatory response after trauma is influenced by patient frailty. </w:t>
      </w:r>
      <w:r w:rsidRPr="000650D8">
        <w:rPr>
          <w:rFonts w:ascii="Arial" w:eastAsia="Times New Roman" w:hAnsi="Arial" w:cs="Arial"/>
          <w:bCs/>
          <w:i/>
          <w:iCs/>
          <w:sz w:val="20"/>
          <w:szCs w:val="20"/>
          <w:lang w:eastAsia="pt-BR"/>
        </w:rPr>
        <w:t>Injury</w:t>
      </w:r>
      <w:r w:rsidRPr="000650D8">
        <w:rPr>
          <w:rFonts w:ascii="Arial" w:eastAsia="Times New Roman" w:hAnsi="Arial" w:cs="Arial"/>
          <w:bCs/>
          <w:sz w:val="20"/>
          <w:szCs w:val="20"/>
          <w:lang w:eastAsia="pt-BR"/>
        </w:rPr>
        <w:t>. 2019;50(9):1537–44.</w:t>
      </w:r>
    </w:p>
    <w:p w14:paraId="628DFFFA"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Al-Tarrah K, Moiemen NS, et al. The influence of sex steroid hormones on the response to burn injury. </w:t>
      </w:r>
      <w:r w:rsidRPr="000650D8">
        <w:rPr>
          <w:rFonts w:ascii="Arial" w:eastAsia="Times New Roman" w:hAnsi="Arial" w:cs="Arial"/>
          <w:bCs/>
          <w:i/>
          <w:iCs/>
          <w:sz w:val="20"/>
          <w:szCs w:val="20"/>
          <w:lang w:eastAsia="pt-BR"/>
        </w:rPr>
        <w:t>Burns</w:t>
      </w:r>
      <w:r w:rsidRPr="000650D8">
        <w:rPr>
          <w:rFonts w:ascii="Arial" w:eastAsia="Times New Roman" w:hAnsi="Arial" w:cs="Arial"/>
          <w:bCs/>
          <w:sz w:val="20"/>
          <w:szCs w:val="20"/>
          <w:lang w:eastAsia="pt-BR"/>
        </w:rPr>
        <w:t>. 2017;43(4):894–901.</w:t>
      </w:r>
    </w:p>
    <w:p w14:paraId="7CFA1832"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Horner F, Lord JM. The immune-suppressive properties of DAMPs after trauma. </w:t>
      </w:r>
      <w:r w:rsidRPr="000650D8">
        <w:rPr>
          <w:rFonts w:ascii="Arial" w:eastAsia="Times New Roman" w:hAnsi="Arial" w:cs="Arial"/>
          <w:bCs/>
          <w:i/>
          <w:iCs/>
          <w:sz w:val="20"/>
          <w:szCs w:val="20"/>
          <w:lang w:eastAsia="pt-BR"/>
        </w:rPr>
        <w:t>J Leukoc Biol</w:t>
      </w:r>
      <w:r w:rsidRPr="000650D8">
        <w:rPr>
          <w:rFonts w:ascii="Arial" w:eastAsia="Times New Roman" w:hAnsi="Arial" w:cs="Arial"/>
          <w:bCs/>
          <w:sz w:val="20"/>
          <w:szCs w:val="20"/>
          <w:lang w:eastAsia="pt-BR"/>
        </w:rPr>
        <w:t>. 2023;114(3):499–510.</w:t>
      </w:r>
    </w:p>
    <w:p w14:paraId="1955047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Hazeldine J, Lord JM. Immunosenescence and inflammaging: a contributory factor in the poor outcome of the older patient with trauma. </w:t>
      </w:r>
      <w:r w:rsidRPr="000650D8">
        <w:rPr>
          <w:rFonts w:ascii="Arial" w:eastAsia="Times New Roman" w:hAnsi="Arial" w:cs="Arial"/>
          <w:bCs/>
          <w:i/>
          <w:iCs/>
          <w:sz w:val="20"/>
          <w:szCs w:val="20"/>
          <w:lang w:eastAsia="pt-BR"/>
        </w:rPr>
        <w:t>Immun Ageing</w:t>
      </w:r>
      <w:r w:rsidRPr="000650D8">
        <w:rPr>
          <w:rFonts w:ascii="Arial" w:eastAsia="Times New Roman" w:hAnsi="Arial" w:cs="Arial"/>
          <w:bCs/>
          <w:sz w:val="20"/>
          <w:szCs w:val="20"/>
          <w:lang w:eastAsia="pt-BR"/>
        </w:rPr>
        <w:t>. 2015;12:20.</w:t>
      </w:r>
    </w:p>
    <w:p w14:paraId="5A83F819"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lastRenderedPageBreak/>
        <w:t xml:space="preserve">Cabrera CP, Manson J, et al. Signatures of inflammation and impending multiple organ dysfunction in trauma patients. </w:t>
      </w:r>
      <w:r w:rsidRPr="000650D8">
        <w:rPr>
          <w:rFonts w:ascii="Arial" w:eastAsia="Times New Roman" w:hAnsi="Arial" w:cs="Arial"/>
          <w:bCs/>
          <w:i/>
          <w:iCs/>
          <w:sz w:val="20"/>
          <w:szCs w:val="20"/>
          <w:lang w:eastAsia="pt-BR"/>
        </w:rPr>
        <w:t>Crit Care</w:t>
      </w:r>
      <w:r w:rsidRPr="000650D8">
        <w:rPr>
          <w:rFonts w:ascii="Arial" w:eastAsia="Times New Roman" w:hAnsi="Arial" w:cs="Arial"/>
          <w:bCs/>
          <w:sz w:val="20"/>
          <w:szCs w:val="20"/>
          <w:lang w:eastAsia="pt-BR"/>
        </w:rPr>
        <w:t>. 2017;21(1):152.</w:t>
      </w:r>
    </w:p>
    <w:p w14:paraId="590315F7"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Bonaroti JR, Abdelhamid K, et al. The use of multiplexing to identify cytokine and chemokine profiles in trauma. </w:t>
      </w:r>
      <w:r w:rsidRPr="000650D8">
        <w:rPr>
          <w:rFonts w:ascii="Arial" w:eastAsia="Times New Roman" w:hAnsi="Arial" w:cs="Arial"/>
          <w:bCs/>
          <w:i/>
          <w:iCs/>
          <w:sz w:val="20"/>
          <w:szCs w:val="20"/>
          <w:lang w:eastAsia="pt-BR"/>
        </w:rPr>
        <w:t>J Trauma Acute Care Surg</w:t>
      </w:r>
      <w:r w:rsidRPr="000650D8">
        <w:rPr>
          <w:rFonts w:ascii="Arial" w:eastAsia="Times New Roman" w:hAnsi="Arial" w:cs="Arial"/>
          <w:bCs/>
          <w:sz w:val="20"/>
          <w:szCs w:val="20"/>
          <w:lang w:eastAsia="pt-BR"/>
        </w:rPr>
        <w:t>. 2021;91(5):842–50.</w:t>
      </w:r>
    </w:p>
    <w:p w14:paraId="31417870" w14:textId="77777777" w:rsid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Valade D, Libert N, et al. Therapeutic potential of mesenchymal stromal cell-derived extracellular vesicles in trauma. </w:t>
      </w:r>
      <w:r w:rsidRPr="000650D8">
        <w:rPr>
          <w:rFonts w:ascii="Arial" w:eastAsia="Times New Roman" w:hAnsi="Arial" w:cs="Arial"/>
          <w:bCs/>
          <w:i/>
          <w:iCs/>
          <w:sz w:val="20"/>
          <w:szCs w:val="20"/>
          <w:lang w:eastAsia="pt-BR"/>
        </w:rPr>
        <w:t>Front Immunol</w:t>
      </w:r>
      <w:r w:rsidRPr="000650D8">
        <w:rPr>
          <w:rFonts w:ascii="Arial" w:eastAsia="Times New Roman" w:hAnsi="Arial" w:cs="Arial"/>
          <w:bCs/>
          <w:sz w:val="20"/>
          <w:szCs w:val="20"/>
          <w:lang w:eastAsia="pt-BR"/>
        </w:rPr>
        <w:t>. 2021;12:706438.</w:t>
      </w:r>
    </w:p>
    <w:p w14:paraId="0DD0FB1A" w14:textId="10734597" w:rsidR="0083123D" w:rsidRPr="000650D8" w:rsidRDefault="0083123D" w:rsidP="0083123D">
      <w:pPr>
        <w:pStyle w:val="ListParagraph"/>
        <w:numPr>
          <w:ilvl w:val="1"/>
          <w:numId w:val="9"/>
        </w:numPr>
        <w:spacing w:line="360" w:lineRule="auto"/>
        <w:jc w:val="both"/>
        <w:rPr>
          <w:rFonts w:ascii="Arial" w:eastAsia="Times New Roman" w:hAnsi="Arial" w:cs="Arial"/>
          <w:bCs/>
          <w:sz w:val="20"/>
          <w:szCs w:val="20"/>
          <w:lang w:eastAsia="pt-BR"/>
        </w:rPr>
      </w:pPr>
      <w:r w:rsidRPr="000650D8">
        <w:rPr>
          <w:rFonts w:ascii="Arial" w:eastAsia="Times New Roman" w:hAnsi="Arial" w:cs="Arial"/>
          <w:bCs/>
          <w:sz w:val="20"/>
          <w:szCs w:val="20"/>
          <w:lang w:eastAsia="pt-BR"/>
        </w:rPr>
        <w:t xml:space="preserve">McBride MA, Owen AM, et al. The metabolic basis of immune dysfunction following sepsis and trauma. </w:t>
      </w:r>
      <w:r w:rsidRPr="000650D8">
        <w:rPr>
          <w:rFonts w:ascii="Arial" w:eastAsia="Times New Roman" w:hAnsi="Arial" w:cs="Arial"/>
          <w:bCs/>
          <w:i/>
          <w:iCs/>
          <w:sz w:val="20"/>
          <w:szCs w:val="20"/>
          <w:lang w:eastAsia="pt-BR"/>
        </w:rPr>
        <w:t>Front Immunol</w:t>
      </w:r>
      <w:r w:rsidRPr="000650D8">
        <w:rPr>
          <w:rFonts w:ascii="Arial" w:eastAsia="Times New Roman" w:hAnsi="Arial" w:cs="Arial"/>
          <w:bCs/>
          <w:sz w:val="20"/>
          <w:szCs w:val="20"/>
          <w:lang w:eastAsia="pt-BR"/>
        </w:rPr>
        <w:t>. 2020;11:1041.</w:t>
      </w:r>
    </w:p>
    <w:p w14:paraId="7FDE33B8" w14:textId="77777777" w:rsidR="00023427" w:rsidRPr="000F73A3" w:rsidRDefault="00023427" w:rsidP="00023427">
      <w:pPr>
        <w:spacing w:line="360" w:lineRule="auto"/>
        <w:jc w:val="both"/>
        <w:rPr>
          <w:rFonts w:ascii="Times New Roman" w:hAnsi="Times New Roman" w:cs="Times New Roman"/>
          <w:b/>
          <w:bCs/>
          <w:sz w:val="24"/>
          <w:szCs w:val="24"/>
        </w:rPr>
      </w:pPr>
    </w:p>
    <w:p w14:paraId="0A730D29" w14:textId="77777777" w:rsidR="00023427" w:rsidRDefault="00023427" w:rsidP="00023427">
      <w:pPr>
        <w:spacing w:line="360" w:lineRule="auto"/>
      </w:pPr>
    </w:p>
    <w:p w14:paraId="7ACCA659" w14:textId="77777777" w:rsidR="00023427" w:rsidRDefault="00023427" w:rsidP="00023427">
      <w:pPr>
        <w:spacing w:line="360" w:lineRule="auto"/>
      </w:pPr>
    </w:p>
    <w:p w14:paraId="181696FA" w14:textId="77777777" w:rsidR="00023427" w:rsidRDefault="00023427" w:rsidP="00023427">
      <w:pPr>
        <w:spacing w:line="360" w:lineRule="auto"/>
      </w:pPr>
    </w:p>
    <w:p w14:paraId="35AAA500" w14:textId="77777777" w:rsidR="00023427" w:rsidRDefault="00023427" w:rsidP="00023427">
      <w:pPr>
        <w:spacing w:line="360" w:lineRule="auto"/>
      </w:pPr>
    </w:p>
    <w:p w14:paraId="6E88C2F8" w14:textId="77777777" w:rsidR="00023427" w:rsidRDefault="00023427" w:rsidP="00023427"/>
    <w:p w14:paraId="273EE56D" w14:textId="77777777" w:rsidR="00F36420" w:rsidRDefault="00F36420"/>
    <w:sectPr w:rsidR="00F36420">
      <w:headerReference w:type="even" r:id="rId40"/>
      <w:headerReference w:type="default" r:id="rId41"/>
      <w:footerReference w:type="even" r:id="rId42"/>
      <w:footerReference w:type="default" r:id="rId43"/>
      <w:headerReference w:type="first" r:id="rId44"/>
      <w:footerReference w:type="first" r:id="rId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3FD5" w14:textId="77777777" w:rsidR="001F7104" w:rsidRDefault="001F7104" w:rsidP="003929F9">
      <w:pPr>
        <w:spacing w:after="0" w:line="240" w:lineRule="auto"/>
      </w:pPr>
      <w:r>
        <w:separator/>
      </w:r>
    </w:p>
  </w:endnote>
  <w:endnote w:type="continuationSeparator" w:id="0">
    <w:p w14:paraId="53CDDCB9" w14:textId="77777777" w:rsidR="001F7104" w:rsidRDefault="001F7104" w:rsidP="0039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11C6" w14:textId="77777777" w:rsidR="003929F9" w:rsidRDefault="00392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7431" w14:textId="77777777" w:rsidR="003929F9" w:rsidRDefault="00392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43F3F" w14:textId="77777777" w:rsidR="003929F9" w:rsidRDefault="0039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D5A9" w14:textId="77777777" w:rsidR="001F7104" w:rsidRDefault="001F7104" w:rsidP="003929F9">
      <w:pPr>
        <w:spacing w:after="0" w:line="240" w:lineRule="auto"/>
      </w:pPr>
      <w:r>
        <w:separator/>
      </w:r>
    </w:p>
  </w:footnote>
  <w:footnote w:type="continuationSeparator" w:id="0">
    <w:p w14:paraId="13C81C17" w14:textId="77777777" w:rsidR="001F7104" w:rsidRDefault="001F7104" w:rsidP="0039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FD57" w14:textId="479FE379" w:rsidR="003929F9" w:rsidRDefault="003929F9">
    <w:pPr>
      <w:pStyle w:val="Header"/>
    </w:pPr>
    <w:r>
      <w:rPr>
        <w:noProof/>
      </w:rPr>
      <w:pict w14:anchorId="2212D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1"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639DE" w14:textId="266372FF" w:rsidR="003929F9" w:rsidRDefault="003929F9">
    <w:pPr>
      <w:pStyle w:val="Header"/>
    </w:pPr>
    <w:r>
      <w:rPr>
        <w:noProof/>
      </w:rPr>
      <w:pict w14:anchorId="1B18E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2"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318E" w14:textId="783379F4" w:rsidR="003929F9" w:rsidRDefault="003929F9">
    <w:pPr>
      <w:pStyle w:val="Header"/>
    </w:pPr>
    <w:r>
      <w:rPr>
        <w:noProof/>
      </w:rPr>
      <w:pict w14:anchorId="5F090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841250"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4EE5"/>
    <w:multiLevelType w:val="hybridMultilevel"/>
    <w:tmpl w:val="C9F8B3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CD3657"/>
    <w:multiLevelType w:val="hybridMultilevel"/>
    <w:tmpl w:val="E5AEC2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817EE"/>
    <w:multiLevelType w:val="multilevel"/>
    <w:tmpl w:val="8A00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E5948"/>
    <w:multiLevelType w:val="hybridMultilevel"/>
    <w:tmpl w:val="DDAE1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3A15BFD"/>
    <w:multiLevelType w:val="multilevel"/>
    <w:tmpl w:val="7CECF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42A96"/>
    <w:multiLevelType w:val="hybridMultilevel"/>
    <w:tmpl w:val="B8648BFE"/>
    <w:lvl w:ilvl="0" w:tplc="28362AB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B81404"/>
    <w:multiLevelType w:val="multilevel"/>
    <w:tmpl w:val="30545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823C1"/>
    <w:multiLevelType w:val="hybridMultilevel"/>
    <w:tmpl w:val="D9B0C4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A6611A"/>
    <w:multiLevelType w:val="multilevel"/>
    <w:tmpl w:val="CC5A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0"/>
  </w:num>
  <w:num w:numId="5">
    <w:abstractNumId w:val="1"/>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20"/>
    <w:rsid w:val="00023427"/>
    <w:rsid w:val="000650D8"/>
    <w:rsid w:val="001F7104"/>
    <w:rsid w:val="00255868"/>
    <w:rsid w:val="00256975"/>
    <w:rsid w:val="003929F9"/>
    <w:rsid w:val="00745043"/>
    <w:rsid w:val="007A3BEE"/>
    <w:rsid w:val="0083123D"/>
    <w:rsid w:val="00A314D3"/>
    <w:rsid w:val="00C25D47"/>
    <w:rsid w:val="00E82708"/>
    <w:rsid w:val="00F11FE8"/>
    <w:rsid w:val="00F364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7937D4"/>
  <w15:chartTrackingRefBased/>
  <w15:docId w15:val="{14B7FEFD-3100-4B99-A72F-5BAA30E4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427"/>
    <w:pPr>
      <w:ind w:left="720"/>
      <w:contextualSpacing/>
    </w:pPr>
  </w:style>
  <w:style w:type="character" w:styleId="Hyperlink">
    <w:name w:val="Hyperlink"/>
    <w:basedOn w:val="DefaultParagraphFont"/>
    <w:uiPriority w:val="99"/>
    <w:unhideWhenUsed/>
    <w:rsid w:val="00256975"/>
    <w:rPr>
      <w:color w:val="0563C1" w:themeColor="hyperlink"/>
      <w:u w:val="single"/>
    </w:rPr>
  </w:style>
  <w:style w:type="character" w:styleId="UnresolvedMention">
    <w:name w:val="Unresolved Mention"/>
    <w:basedOn w:val="DefaultParagraphFont"/>
    <w:uiPriority w:val="99"/>
    <w:semiHidden/>
    <w:unhideWhenUsed/>
    <w:rsid w:val="00256975"/>
    <w:rPr>
      <w:color w:val="605E5C"/>
      <w:shd w:val="clear" w:color="auto" w:fill="E1DFDD"/>
    </w:rPr>
  </w:style>
  <w:style w:type="paragraph" w:styleId="Header">
    <w:name w:val="header"/>
    <w:basedOn w:val="Normal"/>
    <w:link w:val="HeaderChar"/>
    <w:uiPriority w:val="99"/>
    <w:unhideWhenUsed/>
    <w:rsid w:val="00392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F9"/>
  </w:style>
  <w:style w:type="paragraph" w:styleId="Footer">
    <w:name w:val="footer"/>
    <w:basedOn w:val="Normal"/>
    <w:link w:val="FooterChar"/>
    <w:uiPriority w:val="99"/>
    <w:unhideWhenUsed/>
    <w:rsid w:val="00392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72190">
      <w:bodyDiv w:val="1"/>
      <w:marLeft w:val="0"/>
      <w:marRight w:val="0"/>
      <w:marTop w:val="0"/>
      <w:marBottom w:val="0"/>
      <w:divBdr>
        <w:top w:val="none" w:sz="0" w:space="0" w:color="auto"/>
        <w:left w:val="none" w:sz="0" w:space="0" w:color="auto"/>
        <w:bottom w:val="none" w:sz="0" w:space="0" w:color="auto"/>
        <w:right w:val="none" w:sz="0" w:space="0" w:color="auto"/>
      </w:divBdr>
    </w:div>
    <w:div w:id="120343179">
      <w:bodyDiv w:val="1"/>
      <w:marLeft w:val="0"/>
      <w:marRight w:val="0"/>
      <w:marTop w:val="0"/>
      <w:marBottom w:val="0"/>
      <w:divBdr>
        <w:top w:val="none" w:sz="0" w:space="0" w:color="auto"/>
        <w:left w:val="none" w:sz="0" w:space="0" w:color="auto"/>
        <w:bottom w:val="none" w:sz="0" w:space="0" w:color="auto"/>
        <w:right w:val="none" w:sz="0" w:space="0" w:color="auto"/>
      </w:divBdr>
    </w:div>
    <w:div w:id="149715191">
      <w:bodyDiv w:val="1"/>
      <w:marLeft w:val="0"/>
      <w:marRight w:val="0"/>
      <w:marTop w:val="0"/>
      <w:marBottom w:val="0"/>
      <w:divBdr>
        <w:top w:val="none" w:sz="0" w:space="0" w:color="auto"/>
        <w:left w:val="none" w:sz="0" w:space="0" w:color="auto"/>
        <w:bottom w:val="none" w:sz="0" w:space="0" w:color="auto"/>
        <w:right w:val="none" w:sz="0" w:space="0" w:color="auto"/>
      </w:divBdr>
    </w:div>
    <w:div w:id="256793453">
      <w:bodyDiv w:val="1"/>
      <w:marLeft w:val="0"/>
      <w:marRight w:val="0"/>
      <w:marTop w:val="0"/>
      <w:marBottom w:val="0"/>
      <w:divBdr>
        <w:top w:val="none" w:sz="0" w:space="0" w:color="auto"/>
        <w:left w:val="none" w:sz="0" w:space="0" w:color="auto"/>
        <w:bottom w:val="none" w:sz="0" w:space="0" w:color="auto"/>
        <w:right w:val="none" w:sz="0" w:space="0" w:color="auto"/>
      </w:divBdr>
    </w:div>
    <w:div w:id="595021861">
      <w:bodyDiv w:val="1"/>
      <w:marLeft w:val="0"/>
      <w:marRight w:val="0"/>
      <w:marTop w:val="0"/>
      <w:marBottom w:val="0"/>
      <w:divBdr>
        <w:top w:val="none" w:sz="0" w:space="0" w:color="auto"/>
        <w:left w:val="none" w:sz="0" w:space="0" w:color="auto"/>
        <w:bottom w:val="none" w:sz="0" w:space="0" w:color="auto"/>
        <w:right w:val="none" w:sz="0" w:space="0" w:color="auto"/>
      </w:divBdr>
    </w:div>
    <w:div w:id="598099823">
      <w:bodyDiv w:val="1"/>
      <w:marLeft w:val="0"/>
      <w:marRight w:val="0"/>
      <w:marTop w:val="0"/>
      <w:marBottom w:val="0"/>
      <w:divBdr>
        <w:top w:val="none" w:sz="0" w:space="0" w:color="auto"/>
        <w:left w:val="none" w:sz="0" w:space="0" w:color="auto"/>
        <w:bottom w:val="none" w:sz="0" w:space="0" w:color="auto"/>
        <w:right w:val="none" w:sz="0" w:space="0" w:color="auto"/>
      </w:divBdr>
    </w:div>
    <w:div w:id="805243068">
      <w:bodyDiv w:val="1"/>
      <w:marLeft w:val="0"/>
      <w:marRight w:val="0"/>
      <w:marTop w:val="0"/>
      <w:marBottom w:val="0"/>
      <w:divBdr>
        <w:top w:val="none" w:sz="0" w:space="0" w:color="auto"/>
        <w:left w:val="none" w:sz="0" w:space="0" w:color="auto"/>
        <w:bottom w:val="none" w:sz="0" w:space="0" w:color="auto"/>
        <w:right w:val="none" w:sz="0" w:space="0" w:color="auto"/>
      </w:divBdr>
    </w:div>
    <w:div w:id="2007777476">
      <w:bodyDiv w:val="1"/>
      <w:marLeft w:val="0"/>
      <w:marRight w:val="0"/>
      <w:marTop w:val="0"/>
      <w:marBottom w:val="0"/>
      <w:divBdr>
        <w:top w:val="none" w:sz="0" w:space="0" w:color="auto"/>
        <w:left w:val="none" w:sz="0" w:space="0" w:color="auto"/>
        <w:bottom w:val="none" w:sz="0" w:space="0" w:color="auto"/>
        <w:right w:val="none" w:sz="0" w:space="0" w:color="auto"/>
      </w:divBdr>
    </w:div>
    <w:div w:id="21129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immu.2020.01041" TargetMode="External"/><Relationship Id="rId18" Type="http://schemas.openxmlformats.org/officeDocument/2006/relationships/hyperlink" Target="https://doi.org/10.1016/j.injury.2019.05.041" TargetMode="External"/><Relationship Id="rId26" Type="http://schemas.openxmlformats.org/officeDocument/2006/relationships/hyperlink" Target="https://doi.org/10.1016/j.injury.2019.05.041" TargetMode="External"/><Relationship Id="rId39" Type="http://schemas.openxmlformats.org/officeDocument/2006/relationships/hyperlink" Target="https://doi.org/10.1186/s12979-015-0046-4" TargetMode="External"/><Relationship Id="rId21" Type="http://schemas.openxmlformats.org/officeDocument/2006/relationships/hyperlink" Target="https://doi.org/10.1186/s12974-022-02430-3" TargetMode="External"/><Relationship Id="rId34" Type="http://schemas.openxmlformats.org/officeDocument/2006/relationships/hyperlink" Target="https://doi.org/10.3389/fimmu.2020.01041"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bja.2024.01.012" TargetMode="External"/><Relationship Id="rId2" Type="http://schemas.openxmlformats.org/officeDocument/2006/relationships/styles" Target="styles.xml"/><Relationship Id="rId16" Type="http://schemas.openxmlformats.org/officeDocument/2006/relationships/hyperlink" Target="https://doi.org/10.3389/fimmu.2021.706438" TargetMode="External"/><Relationship Id="rId29" Type="http://schemas.openxmlformats.org/officeDocument/2006/relationships/hyperlink" Target="https://doi.org/10.1097/TA.00000000000033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lnesp.2020.03.003" TargetMode="External"/><Relationship Id="rId24" Type="http://schemas.openxmlformats.org/officeDocument/2006/relationships/hyperlink" Target="https://doi.org/10.3389/fimmu.2021.706438" TargetMode="External"/><Relationship Id="rId32" Type="http://schemas.openxmlformats.org/officeDocument/2006/relationships/hyperlink" Target="https://doi.org/10.1016/j.cjtee.2017.03.003" TargetMode="External"/><Relationship Id="rId37" Type="http://schemas.openxmlformats.org/officeDocument/2006/relationships/hyperlink" Target="https://doi.org/10.1186/s12974-022-02430-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93/leukbio/liq116" TargetMode="External"/><Relationship Id="rId23" Type="http://schemas.openxmlformats.org/officeDocument/2006/relationships/hyperlink" Target="https://doi.org/10.1016/j.clnesp.2020.03.003" TargetMode="External"/><Relationship Id="rId28" Type="http://schemas.openxmlformats.org/officeDocument/2006/relationships/hyperlink" Target="https://doi.org/10.3389/fimmu.2020.01041" TargetMode="External"/><Relationship Id="rId36" Type="http://schemas.openxmlformats.org/officeDocument/2006/relationships/hyperlink" Target="https://doi.org/10.1056/NEJMra1204869" TargetMode="External"/><Relationship Id="rId10" Type="http://schemas.openxmlformats.org/officeDocument/2006/relationships/hyperlink" Target="https://doi.org/10.1016/j.cjtee.2017.03.003" TargetMode="External"/><Relationship Id="rId19" Type="http://schemas.openxmlformats.org/officeDocument/2006/relationships/hyperlink" Target="https://doi.org/10.1097/TA.0000000000003304" TargetMode="External"/><Relationship Id="rId31" Type="http://schemas.openxmlformats.org/officeDocument/2006/relationships/hyperlink" Target="https://doi.org/10.1016/j.bja.2024.01.012"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97/TA.0000000000000463" TargetMode="External"/><Relationship Id="rId14" Type="http://schemas.openxmlformats.org/officeDocument/2006/relationships/hyperlink" Target="https://doi.org/10.1186/s13054-018-2044-0" TargetMode="External"/><Relationship Id="rId22" Type="http://schemas.openxmlformats.org/officeDocument/2006/relationships/hyperlink" Target="https://doi.org/10.1016/j.cjtee.2017.03.003" TargetMode="External"/><Relationship Id="rId27" Type="http://schemas.openxmlformats.org/officeDocument/2006/relationships/hyperlink" Target="https://doi.org/10.1186/s12979-015-0046-4" TargetMode="External"/><Relationship Id="rId30" Type="http://schemas.openxmlformats.org/officeDocument/2006/relationships/hyperlink" Target="https://doi.org/10.1093/leukbio/liq116" TargetMode="External"/><Relationship Id="rId35" Type="http://schemas.openxmlformats.org/officeDocument/2006/relationships/hyperlink" Target="https://doi.org/10.1016/j.cjtee.2017.03.003" TargetMode="External"/><Relationship Id="rId43" Type="http://schemas.openxmlformats.org/officeDocument/2006/relationships/footer" Target="footer2.xml"/><Relationship Id="rId8" Type="http://schemas.openxmlformats.org/officeDocument/2006/relationships/hyperlink" Target="https://doi.org/10.1016/j.burns.2017.01.024" TargetMode="External"/><Relationship Id="rId3" Type="http://schemas.openxmlformats.org/officeDocument/2006/relationships/settings" Target="settings.xml"/><Relationship Id="rId12" Type="http://schemas.openxmlformats.org/officeDocument/2006/relationships/hyperlink" Target="https://doi.org/10.1016/j.cjtee.2017.03.003" TargetMode="External"/><Relationship Id="rId17" Type="http://schemas.openxmlformats.org/officeDocument/2006/relationships/hyperlink" Target="https://doi.org/10.1186/s12979-015-0046-4" TargetMode="External"/><Relationship Id="rId25" Type="http://schemas.openxmlformats.org/officeDocument/2006/relationships/hyperlink" Target="https://doi.org/10.1186/s13054-018-2044-0" TargetMode="External"/><Relationship Id="rId33" Type="http://schemas.openxmlformats.org/officeDocument/2006/relationships/hyperlink" Target="https://doi.org/10.1016/j.burns.2017.01.024" TargetMode="External"/><Relationship Id="rId38" Type="http://schemas.openxmlformats.org/officeDocument/2006/relationships/hyperlink" Target="https://doi.org/10.1016/j.injury.2019.05.041" TargetMode="External"/><Relationship Id="rId46" Type="http://schemas.openxmlformats.org/officeDocument/2006/relationships/fontTable" Target="fontTable.xml"/><Relationship Id="rId20" Type="http://schemas.openxmlformats.org/officeDocument/2006/relationships/hyperlink" Target="https://doi.org/10.1016/j.bja.2024.01.012" TargetMode="External"/><Relationship Id="rId41"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3474</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Queiroz</dc:creator>
  <cp:keywords/>
  <dc:description/>
  <cp:lastModifiedBy>SDI 1180</cp:lastModifiedBy>
  <cp:revision>15</cp:revision>
  <dcterms:created xsi:type="dcterms:W3CDTF">2025-07-01T16:06:00Z</dcterms:created>
  <dcterms:modified xsi:type="dcterms:W3CDTF">2025-08-01T07:12:00Z</dcterms:modified>
</cp:coreProperties>
</file>