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7B57" w:rsidRDefault="00647B57" w:rsidP="0079339C">
      <w:pPr>
        <w:jc w:val="both"/>
        <w:rPr>
          <w:rFonts w:ascii="Times New Roman" w:hAnsi="Times New Roman" w:cs="Times New Roman"/>
          <w:b/>
          <w:bCs/>
          <w:sz w:val="24"/>
          <w:szCs w:val="24"/>
        </w:rPr>
      </w:pPr>
      <w:r>
        <w:rPr>
          <w:rFonts w:ascii="Times New Roman" w:hAnsi="Times New Roman" w:cs="Times New Roman"/>
          <w:b/>
          <w:bCs/>
          <w:sz w:val="24"/>
          <w:szCs w:val="24"/>
        </w:rPr>
        <w:t xml:space="preserve">Review Article </w:t>
      </w:r>
    </w:p>
    <w:p w:rsidR="0079339C" w:rsidRPr="0079339C" w:rsidRDefault="00776AAA" w:rsidP="0079339C">
      <w:pPr>
        <w:jc w:val="both"/>
        <w:rPr>
          <w:rFonts w:ascii="Times New Roman" w:hAnsi="Times New Roman" w:cs="Times New Roman"/>
          <w:b/>
          <w:bCs/>
          <w:sz w:val="24"/>
          <w:szCs w:val="24"/>
        </w:rPr>
      </w:pPr>
      <w:r w:rsidRPr="00776AAA">
        <w:rPr>
          <w:rFonts w:ascii="Times New Roman" w:hAnsi="Times New Roman" w:cs="Times New Roman"/>
          <w:b/>
          <w:bCs/>
          <w:sz w:val="24"/>
          <w:szCs w:val="24"/>
        </w:rPr>
        <w:t>Impact of Conservation Tillage and Organic Nutrient Sources on Finger Millet Performance in Legume-Based Cropping Systems</w:t>
      </w:r>
    </w:p>
    <w:p w:rsidR="00D65EFE" w:rsidRPr="00D65EFE" w:rsidRDefault="00D65EFE" w:rsidP="00D65EFE">
      <w:pPr>
        <w:ind w:firstLine="720"/>
        <w:jc w:val="both"/>
        <w:rPr>
          <w:rFonts w:ascii="Times New Roman" w:hAnsi="Times New Roman" w:cs="Times New Roman"/>
          <w:sz w:val="24"/>
          <w:szCs w:val="24"/>
        </w:rPr>
      </w:pPr>
      <w:bookmarkStart w:id="0" w:name="_GoBack"/>
      <w:bookmarkEnd w:id="0"/>
    </w:p>
    <w:p w:rsidR="005E72E8" w:rsidRPr="00E22036" w:rsidRDefault="005E72E8" w:rsidP="005E72E8">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Conservation agriculture practices integrating reduced tillage and organic nutrient management have emerged as sustainable alternatives for enhancing crop productivity while preserving soil health in semi-arid regions of India. This study evaluated the performance of finger millet (</w:t>
      </w:r>
      <w:proofErr w:type="spellStart"/>
      <w:r w:rsidRPr="00C2069D">
        <w:rPr>
          <w:rFonts w:ascii="Times New Roman" w:hAnsi="Times New Roman" w:cs="Times New Roman"/>
          <w:i/>
          <w:iCs/>
          <w:sz w:val="24"/>
          <w:szCs w:val="24"/>
        </w:rPr>
        <w:t>Eleusine</w:t>
      </w:r>
      <w:proofErr w:type="spellEnd"/>
      <w:r w:rsidRPr="00C2069D">
        <w:rPr>
          <w:rFonts w:ascii="Times New Roman" w:hAnsi="Times New Roman" w:cs="Times New Roman"/>
          <w:i/>
          <w:iCs/>
          <w:sz w:val="24"/>
          <w:szCs w:val="24"/>
        </w:rPr>
        <w:t xml:space="preserve"> </w:t>
      </w:r>
      <w:proofErr w:type="spellStart"/>
      <w:r w:rsidRPr="00C2069D">
        <w:rPr>
          <w:rFonts w:ascii="Times New Roman" w:hAnsi="Times New Roman" w:cs="Times New Roman"/>
          <w:i/>
          <w:iCs/>
          <w:sz w:val="24"/>
          <w:szCs w:val="24"/>
        </w:rPr>
        <w:t>coracana</w:t>
      </w:r>
      <w:proofErr w:type="spellEnd"/>
      <w:r w:rsidRPr="00C2069D">
        <w:rPr>
          <w:rFonts w:ascii="Times New Roman" w:hAnsi="Times New Roman" w:cs="Times New Roman"/>
          <w:sz w:val="24"/>
          <w:szCs w:val="24"/>
        </w:rPr>
        <w:t xml:space="preserve"> (L.) </w:t>
      </w:r>
      <w:proofErr w:type="spellStart"/>
      <w:r w:rsidRPr="00C2069D">
        <w:rPr>
          <w:rFonts w:ascii="Times New Roman" w:hAnsi="Times New Roman" w:cs="Times New Roman"/>
          <w:sz w:val="24"/>
          <w:szCs w:val="24"/>
        </w:rPr>
        <w:t>Gaertn</w:t>
      </w:r>
      <w:proofErr w:type="spellEnd"/>
      <w:r w:rsidRPr="00C2069D">
        <w:rPr>
          <w:rFonts w:ascii="Times New Roman" w:hAnsi="Times New Roman" w:cs="Times New Roman"/>
          <w:sz w:val="24"/>
          <w:szCs w:val="24"/>
        </w:rPr>
        <w:t>.) under different tillage practices (zero tillage, reduced tillage, and conventional tillage) combined with organic nutrient sources (farmyard manure, vermicompost, and green manure) in legume-based cropping systems. Field experiments were conducted during 2021-2023 in Karnataka, India, following a split-plot design with three replications. Results demonstrated that zero tillage combined with vermicompost application (10 t ha⁻¹) significantly enhanced grain yield (2,847 kg ha⁻¹) compared to conventional tillage with chemical fertilizers (2,312 kg ha⁻¹). Soil organic carbon increased by 23.4% under zero tillage with organic amendments. Water use efficiency improved by 31.2% in conservation tillage systems. The legume-finger millet rotation with green manure incorporation showed superior system productivity (4,652 kg ha⁻¹) and economic returns (₹68,420 ha⁻¹). Conservation tillage practices reduced production costs by 18.6% while maintaining comparable yields. These findings suggest that integrating conservation tillage with organic nutrient management in legume-based systems offers a viable strategy for sustainable finger millet production, enhancing soil health, water conservation, and farm profitability in rainfed agricultural ecosystems.</w:t>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Keywords</w:t>
      </w:r>
    </w:p>
    <w:p w:rsidR="00C2069D" w:rsidRPr="00C327FD" w:rsidRDefault="00C2069D" w:rsidP="00C2069D">
      <w:pPr>
        <w:jc w:val="both"/>
        <w:rPr>
          <w:rFonts w:ascii="Times New Roman" w:hAnsi="Times New Roman" w:cs="Times New Roman"/>
          <w:i/>
          <w:iCs/>
          <w:sz w:val="24"/>
          <w:szCs w:val="24"/>
        </w:rPr>
      </w:pPr>
      <w:r w:rsidRPr="00C327FD">
        <w:rPr>
          <w:rFonts w:ascii="Times New Roman" w:hAnsi="Times New Roman" w:cs="Times New Roman"/>
          <w:i/>
          <w:iCs/>
          <w:sz w:val="24"/>
          <w:szCs w:val="24"/>
        </w:rPr>
        <w:t xml:space="preserve">Conservation </w:t>
      </w:r>
      <w:r w:rsidR="00C327FD" w:rsidRPr="00C327FD">
        <w:rPr>
          <w:rFonts w:ascii="Times New Roman" w:hAnsi="Times New Roman" w:cs="Times New Roman"/>
          <w:i/>
          <w:iCs/>
          <w:sz w:val="24"/>
          <w:szCs w:val="24"/>
        </w:rPr>
        <w:t xml:space="preserve">Tillage, </w:t>
      </w:r>
      <w:r w:rsidRPr="00C327FD">
        <w:rPr>
          <w:rFonts w:ascii="Times New Roman" w:hAnsi="Times New Roman" w:cs="Times New Roman"/>
          <w:i/>
          <w:iCs/>
          <w:sz w:val="24"/>
          <w:szCs w:val="24"/>
        </w:rPr>
        <w:t xml:space="preserve">Organic </w:t>
      </w:r>
      <w:r w:rsidR="00C327FD" w:rsidRPr="00C327FD">
        <w:rPr>
          <w:rFonts w:ascii="Times New Roman" w:hAnsi="Times New Roman" w:cs="Times New Roman"/>
          <w:i/>
          <w:iCs/>
          <w:sz w:val="24"/>
          <w:szCs w:val="24"/>
        </w:rPr>
        <w:t xml:space="preserve">Nutrients, </w:t>
      </w:r>
      <w:r w:rsidRPr="00C327FD">
        <w:rPr>
          <w:rFonts w:ascii="Times New Roman" w:hAnsi="Times New Roman" w:cs="Times New Roman"/>
          <w:i/>
          <w:iCs/>
          <w:sz w:val="24"/>
          <w:szCs w:val="24"/>
        </w:rPr>
        <w:t xml:space="preserve">Finger </w:t>
      </w:r>
      <w:r w:rsidR="00C327FD" w:rsidRPr="00C327FD">
        <w:rPr>
          <w:rFonts w:ascii="Times New Roman" w:hAnsi="Times New Roman" w:cs="Times New Roman"/>
          <w:i/>
          <w:iCs/>
          <w:sz w:val="24"/>
          <w:szCs w:val="24"/>
        </w:rPr>
        <w:t xml:space="preserve">Millet, </w:t>
      </w:r>
      <w:r w:rsidRPr="00C327FD">
        <w:rPr>
          <w:rFonts w:ascii="Times New Roman" w:hAnsi="Times New Roman" w:cs="Times New Roman"/>
          <w:i/>
          <w:iCs/>
          <w:sz w:val="24"/>
          <w:szCs w:val="24"/>
        </w:rPr>
        <w:t xml:space="preserve">Legume </w:t>
      </w:r>
      <w:r w:rsidR="00C327FD" w:rsidRPr="00C327FD">
        <w:rPr>
          <w:rFonts w:ascii="Times New Roman" w:hAnsi="Times New Roman" w:cs="Times New Roman"/>
          <w:i/>
          <w:iCs/>
          <w:sz w:val="24"/>
          <w:szCs w:val="24"/>
        </w:rPr>
        <w:t xml:space="preserve">Rotation, </w:t>
      </w:r>
      <w:r w:rsidRPr="00C327FD">
        <w:rPr>
          <w:rFonts w:ascii="Times New Roman" w:hAnsi="Times New Roman" w:cs="Times New Roman"/>
          <w:i/>
          <w:iCs/>
          <w:sz w:val="24"/>
          <w:szCs w:val="24"/>
        </w:rPr>
        <w:t xml:space="preserve">Soil </w:t>
      </w:r>
      <w:r w:rsidR="00C327FD" w:rsidRPr="00C327FD">
        <w:rPr>
          <w:rFonts w:ascii="Times New Roman" w:hAnsi="Times New Roman" w:cs="Times New Roman"/>
          <w:i/>
          <w:iCs/>
          <w:sz w:val="24"/>
          <w:szCs w:val="24"/>
        </w:rPr>
        <w:t>Health</w:t>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Introduction</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Finger millet (</w:t>
      </w:r>
      <w:proofErr w:type="spellStart"/>
      <w:r w:rsidRPr="00C2069D">
        <w:rPr>
          <w:rFonts w:ascii="Times New Roman" w:hAnsi="Times New Roman" w:cs="Times New Roman"/>
          <w:i/>
          <w:iCs/>
          <w:sz w:val="24"/>
          <w:szCs w:val="24"/>
        </w:rPr>
        <w:t>Eleusine</w:t>
      </w:r>
      <w:proofErr w:type="spellEnd"/>
      <w:r w:rsidRPr="00C2069D">
        <w:rPr>
          <w:rFonts w:ascii="Times New Roman" w:hAnsi="Times New Roman" w:cs="Times New Roman"/>
          <w:i/>
          <w:iCs/>
          <w:sz w:val="24"/>
          <w:szCs w:val="24"/>
        </w:rPr>
        <w:t xml:space="preserve"> </w:t>
      </w:r>
      <w:proofErr w:type="spellStart"/>
      <w:r w:rsidRPr="00C2069D">
        <w:rPr>
          <w:rFonts w:ascii="Times New Roman" w:hAnsi="Times New Roman" w:cs="Times New Roman"/>
          <w:i/>
          <w:iCs/>
          <w:sz w:val="24"/>
          <w:szCs w:val="24"/>
        </w:rPr>
        <w:t>coracana</w:t>
      </w:r>
      <w:proofErr w:type="spellEnd"/>
      <w:r w:rsidRPr="00C2069D">
        <w:rPr>
          <w:rFonts w:ascii="Times New Roman" w:hAnsi="Times New Roman" w:cs="Times New Roman"/>
          <w:sz w:val="24"/>
          <w:szCs w:val="24"/>
        </w:rPr>
        <w:t xml:space="preserve"> (L.) </w:t>
      </w:r>
      <w:proofErr w:type="spellStart"/>
      <w:r w:rsidRPr="00C2069D">
        <w:rPr>
          <w:rFonts w:ascii="Times New Roman" w:hAnsi="Times New Roman" w:cs="Times New Roman"/>
          <w:sz w:val="24"/>
          <w:szCs w:val="24"/>
        </w:rPr>
        <w:t>Gaertn</w:t>
      </w:r>
      <w:proofErr w:type="spellEnd"/>
      <w:r w:rsidRPr="00C2069D">
        <w:rPr>
          <w:rFonts w:ascii="Times New Roman" w:hAnsi="Times New Roman" w:cs="Times New Roman"/>
          <w:sz w:val="24"/>
          <w:szCs w:val="24"/>
        </w:rPr>
        <w:t xml:space="preserve">.), commonly known as </w:t>
      </w:r>
      <w:proofErr w:type="spellStart"/>
      <w:r w:rsidRPr="00C2069D">
        <w:rPr>
          <w:rFonts w:ascii="Times New Roman" w:hAnsi="Times New Roman" w:cs="Times New Roman"/>
          <w:sz w:val="24"/>
          <w:szCs w:val="24"/>
        </w:rPr>
        <w:t>ragi</w:t>
      </w:r>
      <w:proofErr w:type="spellEnd"/>
      <w:r w:rsidRPr="00C2069D">
        <w:rPr>
          <w:rFonts w:ascii="Times New Roman" w:hAnsi="Times New Roman" w:cs="Times New Roman"/>
          <w:sz w:val="24"/>
          <w:szCs w:val="24"/>
        </w:rPr>
        <w:t xml:space="preserve"> in India, represents one of the most important small millets cultivated across semi-arid regions of Asia and Africa. This resilient cereal crop holds significant importance in ensuring food and nutritional security for millions of smallholder farmers, particularly in Karnataka, Tamil Nadu, and Andhra Pradesh states of India, which collectively account for over 75% of national production [1]. The crop's exceptional nutritional profile, characterized by high calcium content (344 mg/100g), dietary fiber, and essential amino acids, has led to renewed interest in its cultivation amidst growing concerns about malnutrition and lifestyle diseases [2].</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Traditional finger millet cultivation practices in India predominantly involve intensive tillage operations, including deep plowing and repeated harrowing, which have contributed to severe soil degradation, erosion, and declining organic matter content across major production regions [3]. Recent assessments indicate that approximately 68% of finger millet growing areas in peninsular India exhibit moderate to severe soil degradation, directly impacting crop productivity and farmer </w:t>
      </w:r>
      <w:r w:rsidRPr="00C2069D">
        <w:rPr>
          <w:rFonts w:ascii="Times New Roman" w:hAnsi="Times New Roman" w:cs="Times New Roman"/>
          <w:sz w:val="24"/>
          <w:szCs w:val="24"/>
        </w:rPr>
        <w:lastRenderedPageBreak/>
        <w:t>livelihoods [4]. The conventional tillage-based production systems, coupled with exclusive reliance on chemical fertilizers, have resulted in deteriorating soil physical properties, reduced water infiltration rates, and increased production costs, thereby threatening the long-term sustainability of finger millet cultivation [5].</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Conservation agriculture, encompassing minimal soil disturbance, permanent soil cover, and crop diversification, has emerged as a promising alternative to address these challenges while enhancing resource use efficiency in dryland farming systems [6]. The integration of conservation tillage practices with organic nutrient management strategies offers multiple benefits, including improved soil structure, enhanced biological activity, increased water retention capacity, and reduced greenhouse gas emissions [7]. However, the adoption of these practices in finger millet-based cropping systems remains limited due to knowledge gaps regarding their performance under varying agro-ecological conditions and concerns about initial yield penalties during the transition period [8].</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Legume-based cropping systems provide unique opportunities for sustainable intensification of finger millet production through biological nitrogen fixation, breaking pest and disease cycles, and improving overall system productivity [9]. The inclusion of legumes such as </w:t>
      </w:r>
      <w:proofErr w:type="spellStart"/>
      <w:r w:rsidRPr="00C2069D">
        <w:rPr>
          <w:rFonts w:ascii="Times New Roman" w:hAnsi="Times New Roman" w:cs="Times New Roman"/>
          <w:sz w:val="24"/>
          <w:szCs w:val="24"/>
        </w:rPr>
        <w:t>pigeonpea</w:t>
      </w:r>
      <w:proofErr w:type="spellEnd"/>
      <w:r w:rsidRPr="00C2069D">
        <w:rPr>
          <w:rFonts w:ascii="Times New Roman" w:hAnsi="Times New Roman" w:cs="Times New Roman"/>
          <w:sz w:val="24"/>
          <w:szCs w:val="24"/>
        </w:rPr>
        <w:t xml:space="preserve"> (</w:t>
      </w:r>
      <w:proofErr w:type="spellStart"/>
      <w:r w:rsidRPr="00C2069D">
        <w:rPr>
          <w:rFonts w:ascii="Times New Roman" w:hAnsi="Times New Roman" w:cs="Times New Roman"/>
          <w:i/>
          <w:iCs/>
          <w:sz w:val="24"/>
          <w:szCs w:val="24"/>
        </w:rPr>
        <w:t>Cajanus</w:t>
      </w:r>
      <w:proofErr w:type="spellEnd"/>
      <w:r w:rsidRPr="00C2069D">
        <w:rPr>
          <w:rFonts w:ascii="Times New Roman" w:hAnsi="Times New Roman" w:cs="Times New Roman"/>
          <w:i/>
          <w:iCs/>
          <w:sz w:val="24"/>
          <w:szCs w:val="24"/>
        </w:rPr>
        <w:t xml:space="preserve"> </w:t>
      </w:r>
      <w:proofErr w:type="spellStart"/>
      <w:r w:rsidRPr="00C2069D">
        <w:rPr>
          <w:rFonts w:ascii="Times New Roman" w:hAnsi="Times New Roman" w:cs="Times New Roman"/>
          <w:i/>
          <w:iCs/>
          <w:sz w:val="24"/>
          <w:szCs w:val="24"/>
        </w:rPr>
        <w:t>cajan</w:t>
      </w:r>
      <w:proofErr w:type="spellEnd"/>
      <w:r w:rsidRPr="00C2069D">
        <w:rPr>
          <w:rFonts w:ascii="Times New Roman" w:hAnsi="Times New Roman" w:cs="Times New Roman"/>
          <w:sz w:val="24"/>
          <w:szCs w:val="24"/>
        </w:rPr>
        <w:t xml:space="preserve"> (L.) </w:t>
      </w:r>
      <w:proofErr w:type="spellStart"/>
      <w:r w:rsidRPr="00C2069D">
        <w:rPr>
          <w:rFonts w:ascii="Times New Roman" w:hAnsi="Times New Roman" w:cs="Times New Roman"/>
          <w:sz w:val="24"/>
          <w:szCs w:val="24"/>
        </w:rPr>
        <w:t>Millsp</w:t>
      </w:r>
      <w:proofErr w:type="spellEnd"/>
      <w:r w:rsidRPr="00C2069D">
        <w:rPr>
          <w:rFonts w:ascii="Times New Roman" w:hAnsi="Times New Roman" w:cs="Times New Roman"/>
          <w:sz w:val="24"/>
          <w:szCs w:val="24"/>
        </w:rPr>
        <w:t xml:space="preserve">.), </w:t>
      </w:r>
      <w:proofErr w:type="spellStart"/>
      <w:r w:rsidRPr="00C2069D">
        <w:rPr>
          <w:rFonts w:ascii="Times New Roman" w:hAnsi="Times New Roman" w:cs="Times New Roman"/>
          <w:sz w:val="24"/>
          <w:szCs w:val="24"/>
        </w:rPr>
        <w:t>blackgram</w:t>
      </w:r>
      <w:proofErr w:type="spellEnd"/>
      <w:r w:rsidRPr="00C2069D">
        <w:rPr>
          <w:rFonts w:ascii="Times New Roman" w:hAnsi="Times New Roman" w:cs="Times New Roman"/>
          <w:sz w:val="24"/>
          <w:szCs w:val="24"/>
        </w:rPr>
        <w:t xml:space="preserve"> (</w:t>
      </w:r>
      <w:r w:rsidRPr="00C2069D">
        <w:rPr>
          <w:rFonts w:ascii="Times New Roman" w:hAnsi="Times New Roman" w:cs="Times New Roman"/>
          <w:i/>
          <w:iCs/>
          <w:sz w:val="24"/>
          <w:szCs w:val="24"/>
        </w:rPr>
        <w:t>Vigna mungo</w:t>
      </w:r>
      <w:r w:rsidRPr="00C2069D">
        <w:rPr>
          <w:rFonts w:ascii="Times New Roman" w:hAnsi="Times New Roman" w:cs="Times New Roman"/>
          <w:sz w:val="24"/>
          <w:szCs w:val="24"/>
        </w:rPr>
        <w:t xml:space="preserve"> (L.) Hepper), and </w:t>
      </w:r>
      <w:proofErr w:type="spellStart"/>
      <w:r w:rsidRPr="00C2069D">
        <w:rPr>
          <w:rFonts w:ascii="Times New Roman" w:hAnsi="Times New Roman" w:cs="Times New Roman"/>
          <w:sz w:val="24"/>
          <w:szCs w:val="24"/>
        </w:rPr>
        <w:t>greengram</w:t>
      </w:r>
      <w:proofErr w:type="spellEnd"/>
      <w:r w:rsidRPr="00C2069D">
        <w:rPr>
          <w:rFonts w:ascii="Times New Roman" w:hAnsi="Times New Roman" w:cs="Times New Roman"/>
          <w:sz w:val="24"/>
          <w:szCs w:val="24"/>
        </w:rPr>
        <w:t xml:space="preserve"> (</w:t>
      </w:r>
      <w:r w:rsidRPr="00C2069D">
        <w:rPr>
          <w:rFonts w:ascii="Times New Roman" w:hAnsi="Times New Roman" w:cs="Times New Roman"/>
          <w:i/>
          <w:iCs/>
          <w:sz w:val="24"/>
          <w:szCs w:val="24"/>
        </w:rPr>
        <w:t>Vigna radiata</w:t>
      </w:r>
      <w:r w:rsidRPr="00C2069D">
        <w:rPr>
          <w:rFonts w:ascii="Times New Roman" w:hAnsi="Times New Roman" w:cs="Times New Roman"/>
          <w:sz w:val="24"/>
          <w:szCs w:val="24"/>
        </w:rPr>
        <w:t xml:space="preserve"> (L.) </w:t>
      </w:r>
      <w:proofErr w:type="spellStart"/>
      <w:r w:rsidRPr="00C2069D">
        <w:rPr>
          <w:rFonts w:ascii="Times New Roman" w:hAnsi="Times New Roman" w:cs="Times New Roman"/>
          <w:sz w:val="24"/>
          <w:szCs w:val="24"/>
        </w:rPr>
        <w:t>Wilczek</w:t>
      </w:r>
      <w:proofErr w:type="spellEnd"/>
      <w:r w:rsidRPr="00C2069D">
        <w:rPr>
          <w:rFonts w:ascii="Times New Roman" w:hAnsi="Times New Roman" w:cs="Times New Roman"/>
          <w:sz w:val="24"/>
          <w:szCs w:val="24"/>
        </w:rPr>
        <w:t>) in rotation or intercropping with finger millet has shown promising results in enhancing soil fertility and farm income [10]. Furthermore, the integration of organic nutrient sources, including farmyard manure, vermicompost, and green manure crops, can substantially improve soil organic carbon stocks, nutrient availability, and microbial diversity in these systems [11].</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Recent research has highlighted the synergistic effects of combining conservation tillage with organic amendments in improving crop performance and soil health parameters [12]. Studies conducted in similar agro-ecological zones have demonstrated that zero tillage systems with residue retention can increase soil moisture conservation by 25-35% compared to conventional tillage, particularly crucial for rainfed finger millet cultivation [13]. Additionally, the application of organic nutrient sources has been shown to enhance the efficiency of native soil nutrients through improved soil biological processes and slow-release mechanisms [14].</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Despite the potential benefits, the adoption of conservation agriculture practices in finger millet cultivation faces several technical and socio-economic constraints. These include limited availability of appropriate machinery for small-scale farmers, inadequate knowledge about organic nutrient management, concerns about weed pressure in reduced tillage systems, and market linkages for organic produce [15]. Understanding the performance of finger millet under different combinations of tillage and nutrient management practices is crucial for developing location-specific recommendations that balance productivity, profitability, and environmental sustainability.</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This comprehensive study was undertaken to evaluate the impact of conservation tillage practices and organic nutrient sources on finger millet performance in legume-based cropping systems under semi-arid conditions of Karnataka, India. The specific objectives included assessing grain yield and yield attributes, analyzing soil health parameters, determining water use efficiency, evaluating </w:t>
      </w:r>
      <w:r w:rsidRPr="00C2069D">
        <w:rPr>
          <w:rFonts w:ascii="Times New Roman" w:hAnsi="Times New Roman" w:cs="Times New Roman"/>
          <w:sz w:val="24"/>
          <w:szCs w:val="24"/>
        </w:rPr>
        <w:lastRenderedPageBreak/>
        <w:t>system productivity and economics, and identifying optimal management practices for sustainable finger millet production in the region.</w:t>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Materials and Methods</w:t>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Experimental Site and Climate</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The field experiments were conducted during the kharif seasons of 2021-22 and 2022-23 at the Agricultural Research Station, Bangalore, Karnataka, India (12°58'N latitude, 77°35'E longitude, 920 m above mean sea level). The experimental site represents a typical semi-arid tropical climate with an average annual rainfall of 812 mm, predominantly received during the southwest monsoon (June-September). The mean maximum and minimum temperatures during the crop growing period ranged from 28.4°C to 32.6°C and 18.2°C to 21.4°C, respectively.</w:t>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Soil Characteristics</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The experimental soil was classified as red sandy loam (Typic </w:t>
      </w:r>
      <w:proofErr w:type="spellStart"/>
      <w:r w:rsidRPr="00C2069D">
        <w:rPr>
          <w:rFonts w:ascii="Times New Roman" w:hAnsi="Times New Roman" w:cs="Times New Roman"/>
          <w:sz w:val="24"/>
          <w:szCs w:val="24"/>
        </w:rPr>
        <w:t>Haplustalf</w:t>
      </w:r>
      <w:proofErr w:type="spellEnd"/>
      <w:r w:rsidRPr="00C2069D">
        <w:rPr>
          <w:rFonts w:ascii="Times New Roman" w:hAnsi="Times New Roman" w:cs="Times New Roman"/>
          <w:sz w:val="24"/>
          <w:szCs w:val="24"/>
        </w:rPr>
        <w:t xml:space="preserve">) with initial soil properties presented in Table 1. Soil samples were collected from 0-15 cm depth before initiation of the experiment and analyzed for various </w:t>
      </w:r>
      <w:proofErr w:type="spellStart"/>
      <w:r w:rsidRPr="00C2069D">
        <w:rPr>
          <w:rFonts w:ascii="Times New Roman" w:hAnsi="Times New Roman" w:cs="Times New Roman"/>
          <w:sz w:val="24"/>
          <w:szCs w:val="24"/>
        </w:rPr>
        <w:t>physico</w:t>
      </w:r>
      <w:proofErr w:type="spellEnd"/>
      <w:r w:rsidRPr="00C2069D">
        <w:rPr>
          <w:rFonts w:ascii="Times New Roman" w:hAnsi="Times New Roman" w:cs="Times New Roman"/>
          <w:sz w:val="24"/>
          <w:szCs w:val="24"/>
        </w:rPr>
        <w:t>-chemical properties following standard procedures [16].</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b/>
          <w:bCs/>
          <w:sz w:val="24"/>
          <w:szCs w:val="24"/>
        </w:rPr>
        <w:t>Table 1. Initial Soil Properties of Experimental Site</w:t>
      </w:r>
    </w:p>
    <w:tbl>
      <w:tblPr>
        <w:tblStyle w:val="TableGrid"/>
        <w:tblW w:w="0" w:type="auto"/>
        <w:tblLook w:val="04A0" w:firstRow="1" w:lastRow="0" w:firstColumn="1" w:lastColumn="0" w:noHBand="0" w:noVBand="1"/>
      </w:tblPr>
      <w:tblGrid>
        <w:gridCol w:w="3269"/>
        <w:gridCol w:w="816"/>
        <w:gridCol w:w="2649"/>
      </w:tblGrid>
      <w:tr w:rsidR="00C2069D" w:rsidRPr="00C2069D" w:rsidTr="00C327FD">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Parameter</w:t>
            </w:r>
          </w:p>
        </w:tc>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Value</w:t>
            </w:r>
          </w:p>
        </w:tc>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Method Used</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pH (1:2.5)</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6.42</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Glass electrode pH meter</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Electrical conductivity (</w:t>
            </w:r>
            <w:proofErr w:type="spellStart"/>
            <w:r w:rsidRPr="00C2069D">
              <w:rPr>
                <w:rFonts w:ascii="Times New Roman" w:hAnsi="Times New Roman" w:cs="Times New Roman"/>
                <w:sz w:val="24"/>
                <w:szCs w:val="24"/>
              </w:rPr>
              <w:t>dS</w:t>
            </w:r>
            <w:proofErr w:type="spellEnd"/>
            <w:r w:rsidRPr="00C2069D">
              <w:rPr>
                <w:rFonts w:ascii="Times New Roman" w:hAnsi="Times New Roman" w:cs="Times New Roman"/>
                <w:sz w:val="24"/>
                <w:szCs w:val="24"/>
              </w:rPr>
              <w:t xml:space="preserve"> m⁻¹)</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0.18</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Conductivity bridge</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Organic carbon (g kg⁻¹)</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5.82</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Walkley-Black method</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Available nitrogen (kg ha⁻¹)</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246.3</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Alkaline permanganate</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Available phosphorus (kg ha⁻¹)</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22.4</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Olsen's method</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Available potassium (kg ha⁻¹)</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168.5</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Flame photometer</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Bulk density (Mg m⁻³)</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1.52</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Core sampler</w:t>
            </w:r>
          </w:p>
        </w:tc>
      </w:tr>
    </w:tbl>
    <w:p w:rsidR="002F096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Experimental Design and Treatments</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The experiment was laid out in a split-plot design with three replications. The main plot treatments comprised three tillage practices, while sub-plot treatments included four nutrient management options. The gross plot size was 5.0 m × 4.0 m with a net plot size of 4.0 m × 3.0 m.</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b/>
          <w:bCs/>
          <w:sz w:val="24"/>
          <w:szCs w:val="24"/>
        </w:rPr>
        <w:t>Main Plot Treatments (Tillage Practices):</w:t>
      </w:r>
    </w:p>
    <w:p w:rsidR="00C2069D" w:rsidRPr="00C2069D" w:rsidRDefault="00C2069D" w:rsidP="00C2069D">
      <w:pPr>
        <w:numPr>
          <w:ilvl w:val="0"/>
          <w:numId w:val="7"/>
        </w:numPr>
        <w:jc w:val="both"/>
        <w:rPr>
          <w:rFonts w:ascii="Times New Roman" w:hAnsi="Times New Roman" w:cs="Times New Roman"/>
          <w:sz w:val="24"/>
          <w:szCs w:val="24"/>
        </w:rPr>
      </w:pPr>
      <w:r w:rsidRPr="00C2069D">
        <w:rPr>
          <w:rFonts w:ascii="Times New Roman" w:hAnsi="Times New Roman" w:cs="Times New Roman"/>
          <w:sz w:val="24"/>
          <w:szCs w:val="24"/>
        </w:rPr>
        <w:t>T₁: Zero tillage (ZT)</w:t>
      </w:r>
    </w:p>
    <w:p w:rsidR="00C2069D" w:rsidRPr="00C2069D" w:rsidRDefault="00C2069D" w:rsidP="00C2069D">
      <w:pPr>
        <w:numPr>
          <w:ilvl w:val="0"/>
          <w:numId w:val="7"/>
        </w:numPr>
        <w:jc w:val="both"/>
        <w:rPr>
          <w:rFonts w:ascii="Times New Roman" w:hAnsi="Times New Roman" w:cs="Times New Roman"/>
          <w:sz w:val="24"/>
          <w:szCs w:val="24"/>
        </w:rPr>
      </w:pPr>
      <w:r w:rsidRPr="00C2069D">
        <w:rPr>
          <w:rFonts w:ascii="Times New Roman" w:hAnsi="Times New Roman" w:cs="Times New Roman"/>
          <w:sz w:val="24"/>
          <w:szCs w:val="24"/>
        </w:rPr>
        <w:t>T₂: Reduced tillage (RT) - one plowing followed by harrowing</w:t>
      </w:r>
    </w:p>
    <w:p w:rsidR="00C2069D" w:rsidRPr="00C2069D" w:rsidRDefault="00C2069D" w:rsidP="00C2069D">
      <w:pPr>
        <w:numPr>
          <w:ilvl w:val="0"/>
          <w:numId w:val="7"/>
        </w:numPr>
        <w:jc w:val="both"/>
        <w:rPr>
          <w:rFonts w:ascii="Times New Roman" w:hAnsi="Times New Roman" w:cs="Times New Roman"/>
          <w:sz w:val="24"/>
          <w:szCs w:val="24"/>
        </w:rPr>
      </w:pPr>
      <w:r w:rsidRPr="00C2069D">
        <w:rPr>
          <w:rFonts w:ascii="Times New Roman" w:hAnsi="Times New Roman" w:cs="Times New Roman"/>
          <w:sz w:val="24"/>
          <w:szCs w:val="24"/>
        </w:rPr>
        <w:t>T₃: Conventional tillage (CT) - two plowings followed by two harrowing</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b/>
          <w:bCs/>
          <w:sz w:val="24"/>
          <w:szCs w:val="24"/>
        </w:rPr>
        <w:t>Sub-plot Treatments (Nutrient Management):</w:t>
      </w:r>
    </w:p>
    <w:p w:rsidR="00C2069D" w:rsidRPr="00C2069D" w:rsidRDefault="00C2069D" w:rsidP="00C2069D">
      <w:pPr>
        <w:numPr>
          <w:ilvl w:val="0"/>
          <w:numId w:val="8"/>
        </w:numPr>
        <w:jc w:val="both"/>
        <w:rPr>
          <w:rFonts w:ascii="Times New Roman" w:hAnsi="Times New Roman" w:cs="Times New Roman"/>
          <w:sz w:val="24"/>
          <w:szCs w:val="24"/>
        </w:rPr>
      </w:pPr>
      <w:r w:rsidRPr="00C2069D">
        <w:rPr>
          <w:rFonts w:ascii="Times New Roman" w:hAnsi="Times New Roman" w:cs="Times New Roman"/>
          <w:sz w:val="24"/>
          <w:szCs w:val="24"/>
        </w:rPr>
        <w:t>N₁: 100% Recommended dose of fertilizers (RDF) - 50:40:25 kg NPK ha⁻¹</w:t>
      </w:r>
    </w:p>
    <w:p w:rsidR="00C2069D" w:rsidRPr="00C2069D" w:rsidRDefault="00C2069D" w:rsidP="00C2069D">
      <w:pPr>
        <w:numPr>
          <w:ilvl w:val="0"/>
          <w:numId w:val="8"/>
        </w:numPr>
        <w:jc w:val="both"/>
        <w:rPr>
          <w:rFonts w:ascii="Times New Roman" w:hAnsi="Times New Roman" w:cs="Times New Roman"/>
          <w:sz w:val="24"/>
          <w:szCs w:val="24"/>
        </w:rPr>
      </w:pPr>
      <w:r w:rsidRPr="00C2069D">
        <w:rPr>
          <w:rFonts w:ascii="Times New Roman" w:hAnsi="Times New Roman" w:cs="Times New Roman"/>
          <w:sz w:val="24"/>
          <w:szCs w:val="24"/>
        </w:rPr>
        <w:t>N₂: Farmyard manure @ 12.5 t ha⁻¹</w:t>
      </w:r>
    </w:p>
    <w:p w:rsidR="00C2069D" w:rsidRPr="00C2069D" w:rsidRDefault="00C2069D" w:rsidP="00C2069D">
      <w:pPr>
        <w:numPr>
          <w:ilvl w:val="0"/>
          <w:numId w:val="8"/>
        </w:numPr>
        <w:jc w:val="both"/>
        <w:rPr>
          <w:rFonts w:ascii="Times New Roman" w:hAnsi="Times New Roman" w:cs="Times New Roman"/>
          <w:sz w:val="24"/>
          <w:szCs w:val="24"/>
        </w:rPr>
      </w:pPr>
      <w:r w:rsidRPr="00C2069D">
        <w:rPr>
          <w:rFonts w:ascii="Times New Roman" w:hAnsi="Times New Roman" w:cs="Times New Roman"/>
          <w:sz w:val="24"/>
          <w:szCs w:val="24"/>
        </w:rPr>
        <w:lastRenderedPageBreak/>
        <w:t>N₃: Vermicompost @ 10 t ha⁻¹</w:t>
      </w:r>
    </w:p>
    <w:p w:rsidR="00C2069D" w:rsidRPr="00C2069D" w:rsidRDefault="00C2069D" w:rsidP="00C2069D">
      <w:pPr>
        <w:numPr>
          <w:ilvl w:val="0"/>
          <w:numId w:val="8"/>
        </w:numPr>
        <w:jc w:val="both"/>
        <w:rPr>
          <w:rFonts w:ascii="Times New Roman" w:hAnsi="Times New Roman" w:cs="Times New Roman"/>
          <w:sz w:val="24"/>
          <w:szCs w:val="24"/>
        </w:rPr>
      </w:pPr>
      <w:r w:rsidRPr="00C2069D">
        <w:rPr>
          <w:rFonts w:ascii="Times New Roman" w:hAnsi="Times New Roman" w:cs="Times New Roman"/>
          <w:sz w:val="24"/>
          <w:szCs w:val="24"/>
        </w:rPr>
        <w:t>N₄: Green manure (</w:t>
      </w:r>
      <w:proofErr w:type="spellStart"/>
      <w:r w:rsidRPr="00C2069D">
        <w:rPr>
          <w:rFonts w:ascii="Times New Roman" w:hAnsi="Times New Roman" w:cs="Times New Roman"/>
          <w:i/>
          <w:iCs/>
          <w:sz w:val="24"/>
          <w:szCs w:val="24"/>
        </w:rPr>
        <w:t>Sesbania</w:t>
      </w:r>
      <w:proofErr w:type="spellEnd"/>
      <w:r w:rsidRPr="00C2069D">
        <w:rPr>
          <w:rFonts w:ascii="Times New Roman" w:hAnsi="Times New Roman" w:cs="Times New Roman"/>
          <w:i/>
          <w:iCs/>
          <w:sz w:val="24"/>
          <w:szCs w:val="24"/>
        </w:rPr>
        <w:t xml:space="preserve"> </w:t>
      </w:r>
      <w:proofErr w:type="spellStart"/>
      <w:r w:rsidRPr="00C2069D">
        <w:rPr>
          <w:rFonts w:ascii="Times New Roman" w:hAnsi="Times New Roman" w:cs="Times New Roman"/>
          <w:i/>
          <w:iCs/>
          <w:sz w:val="24"/>
          <w:szCs w:val="24"/>
        </w:rPr>
        <w:t>aculeata</w:t>
      </w:r>
      <w:proofErr w:type="spellEnd"/>
      <w:r w:rsidRPr="00C2069D">
        <w:rPr>
          <w:rFonts w:ascii="Times New Roman" w:hAnsi="Times New Roman" w:cs="Times New Roman"/>
          <w:sz w:val="24"/>
          <w:szCs w:val="24"/>
        </w:rPr>
        <w:t>) incorporation + 50% RDF</w:t>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Crop Management Practices</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Finger millet variety GPU-28, a popular high-yielding variety with 110-115 days duration, was used for the study. Seeds were treated with </w:t>
      </w:r>
      <w:r w:rsidRPr="00C2069D">
        <w:rPr>
          <w:rFonts w:ascii="Times New Roman" w:hAnsi="Times New Roman" w:cs="Times New Roman"/>
          <w:i/>
          <w:iCs/>
          <w:sz w:val="24"/>
          <w:szCs w:val="24"/>
        </w:rPr>
        <w:t xml:space="preserve">Trichoderma </w:t>
      </w:r>
      <w:proofErr w:type="spellStart"/>
      <w:r w:rsidRPr="00C2069D">
        <w:rPr>
          <w:rFonts w:ascii="Times New Roman" w:hAnsi="Times New Roman" w:cs="Times New Roman"/>
          <w:i/>
          <w:iCs/>
          <w:sz w:val="24"/>
          <w:szCs w:val="24"/>
        </w:rPr>
        <w:t>viride</w:t>
      </w:r>
      <w:proofErr w:type="spellEnd"/>
      <w:r w:rsidRPr="00C2069D">
        <w:rPr>
          <w:rFonts w:ascii="Times New Roman" w:hAnsi="Times New Roman" w:cs="Times New Roman"/>
          <w:sz w:val="24"/>
          <w:szCs w:val="24"/>
        </w:rPr>
        <w:t xml:space="preserve"> @ 4 g kg⁻¹ seed before sowing. The crop was sown during the second week of July in both years with a spacing of 22.5 cm × 10 cm, maintaining a plant population of 4,44,444 plants ha⁻¹. In zero tillage plots, sowing was done using a zero-till seed drill, while conventional sowing methods were followed in other treatments.</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Organic amendments were applied 15 days before sowing and incorporated as per treatment specifications. In green manure treatment plots, </w:t>
      </w:r>
      <w:proofErr w:type="spellStart"/>
      <w:r w:rsidRPr="00C2069D">
        <w:rPr>
          <w:rFonts w:ascii="Times New Roman" w:hAnsi="Times New Roman" w:cs="Times New Roman"/>
          <w:i/>
          <w:iCs/>
          <w:sz w:val="24"/>
          <w:szCs w:val="24"/>
        </w:rPr>
        <w:t>Sesbania</w:t>
      </w:r>
      <w:proofErr w:type="spellEnd"/>
      <w:r w:rsidRPr="00C2069D">
        <w:rPr>
          <w:rFonts w:ascii="Times New Roman" w:hAnsi="Times New Roman" w:cs="Times New Roman"/>
          <w:i/>
          <w:iCs/>
          <w:sz w:val="24"/>
          <w:szCs w:val="24"/>
        </w:rPr>
        <w:t xml:space="preserve"> </w:t>
      </w:r>
      <w:proofErr w:type="spellStart"/>
      <w:r w:rsidRPr="00C2069D">
        <w:rPr>
          <w:rFonts w:ascii="Times New Roman" w:hAnsi="Times New Roman" w:cs="Times New Roman"/>
          <w:i/>
          <w:iCs/>
          <w:sz w:val="24"/>
          <w:szCs w:val="24"/>
        </w:rPr>
        <w:t>aculeata</w:t>
      </w:r>
      <w:proofErr w:type="spellEnd"/>
      <w:r w:rsidRPr="00C2069D">
        <w:rPr>
          <w:rFonts w:ascii="Times New Roman" w:hAnsi="Times New Roman" w:cs="Times New Roman"/>
          <w:sz w:val="24"/>
          <w:szCs w:val="24"/>
        </w:rPr>
        <w:t xml:space="preserve"> was grown for 45 days and incorporated in situ before finger millet sowing. Weed management included pre-emergence application of pendimethalin @ 1.0 kg </w:t>
      </w:r>
      <w:proofErr w:type="spellStart"/>
      <w:r w:rsidRPr="00C2069D">
        <w:rPr>
          <w:rFonts w:ascii="Times New Roman" w:hAnsi="Times New Roman" w:cs="Times New Roman"/>
          <w:sz w:val="24"/>
          <w:szCs w:val="24"/>
        </w:rPr>
        <w:t>a.i.</w:t>
      </w:r>
      <w:proofErr w:type="spellEnd"/>
      <w:r w:rsidRPr="00C2069D">
        <w:rPr>
          <w:rFonts w:ascii="Times New Roman" w:hAnsi="Times New Roman" w:cs="Times New Roman"/>
          <w:sz w:val="24"/>
          <w:szCs w:val="24"/>
        </w:rPr>
        <w:t xml:space="preserve"> ha⁻¹ followed by one hand weeding at 30 days after sowing. Need-based plant protection measures were adopted following organic farming principles for organic treatment plots.</w:t>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Cropping System Details</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The legume-finger millet cropping system included </w:t>
      </w:r>
      <w:proofErr w:type="spellStart"/>
      <w:r w:rsidRPr="00C2069D">
        <w:rPr>
          <w:rFonts w:ascii="Times New Roman" w:hAnsi="Times New Roman" w:cs="Times New Roman"/>
          <w:sz w:val="24"/>
          <w:szCs w:val="24"/>
        </w:rPr>
        <w:t>pigeonpea</w:t>
      </w:r>
      <w:proofErr w:type="spellEnd"/>
      <w:r w:rsidRPr="00C2069D">
        <w:rPr>
          <w:rFonts w:ascii="Times New Roman" w:hAnsi="Times New Roman" w:cs="Times New Roman"/>
          <w:sz w:val="24"/>
          <w:szCs w:val="24"/>
        </w:rPr>
        <w:t xml:space="preserve"> (</w:t>
      </w:r>
      <w:proofErr w:type="spellStart"/>
      <w:r w:rsidRPr="00C2069D">
        <w:rPr>
          <w:rFonts w:ascii="Times New Roman" w:hAnsi="Times New Roman" w:cs="Times New Roman"/>
          <w:i/>
          <w:iCs/>
          <w:sz w:val="24"/>
          <w:szCs w:val="24"/>
        </w:rPr>
        <w:t>Cajanus</w:t>
      </w:r>
      <w:proofErr w:type="spellEnd"/>
      <w:r w:rsidRPr="00C2069D">
        <w:rPr>
          <w:rFonts w:ascii="Times New Roman" w:hAnsi="Times New Roman" w:cs="Times New Roman"/>
          <w:i/>
          <w:iCs/>
          <w:sz w:val="24"/>
          <w:szCs w:val="24"/>
        </w:rPr>
        <w:t xml:space="preserve"> </w:t>
      </w:r>
      <w:proofErr w:type="spellStart"/>
      <w:r w:rsidRPr="00C2069D">
        <w:rPr>
          <w:rFonts w:ascii="Times New Roman" w:hAnsi="Times New Roman" w:cs="Times New Roman"/>
          <w:i/>
          <w:iCs/>
          <w:sz w:val="24"/>
          <w:szCs w:val="24"/>
        </w:rPr>
        <w:t>cajan</w:t>
      </w:r>
      <w:proofErr w:type="spellEnd"/>
      <w:r w:rsidRPr="00C2069D">
        <w:rPr>
          <w:rFonts w:ascii="Times New Roman" w:hAnsi="Times New Roman" w:cs="Times New Roman"/>
          <w:sz w:val="24"/>
          <w:szCs w:val="24"/>
        </w:rPr>
        <w:t xml:space="preserve">) - finger millet rotation in the first year and </w:t>
      </w:r>
      <w:proofErr w:type="spellStart"/>
      <w:r w:rsidRPr="00C2069D">
        <w:rPr>
          <w:rFonts w:ascii="Times New Roman" w:hAnsi="Times New Roman" w:cs="Times New Roman"/>
          <w:sz w:val="24"/>
          <w:szCs w:val="24"/>
        </w:rPr>
        <w:t>blackgram</w:t>
      </w:r>
      <w:proofErr w:type="spellEnd"/>
      <w:r w:rsidRPr="00C2069D">
        <w:rPr>
          <w:rFonts w:ascii="Times New Roman" w:hAnsi="Times New Roman" w:cs="Times New Roman"/>
          <w:sz w:val="24"/>
          <w:szCs w:val="24"/>
        </w:rPr>
        <w:t xml:space="preserve"> (</w:t>
      </w:r>
      <w:r w:rsidRPr="00C2069D">
        <w:rPr>
          <w:rFonts w:ascii="Times New Roman" w:hAnsi="Times New Roman" w:cs="Times New Roman"/>
          <w:i/>
          <w:iCs/>
          <w:sz w:val="24"/>
          <w:szCs w:val="24"/>
        </w:rPr>
        <w:t>Vigna mungo</w:t>
      </w:r>
      <w:r w:rsidRPr="00C2069D">
        <w:rPr>
          <w:rFonts w:ascii="Times New Roman" w:hAnsi="Times New Roman" w:cs="Times New Roman"/>
          <w:sz w:val="24"/>
          <w:szCs w:val="24"/>
        </w:rPr>
        <w:t xml:space="preserve">) - finger millet sequence in the second year. Legume crops were grown during the preceding </w:t>
      </w:r>
      <w:proofErr w:type="spellStart"/>
      <w:r w:rsidRPr="00C2069D">
        <w:rPr>
          <w:rFonts w:ascii="Times New Roman" w:hAnsi="Times New Roman" w:cs="Times New Roman"/>
          <w:sz w:val="24"/>
          <w:szCs w:val="24"/>
        </w:rPr>
        <w:t>rabi</w:t>
      </w:r>
      <w:proofErr w:type="spellEnd"/>
      <w:r w:rsidRPr="00C2069D">
        <w:rPr>
          <w:rFonts w:ascii="Times New Roman" w:hAnsi="Times New Roman" w:cs="Times New Roman"/>
          <w:sz w:val="24"/>
          <w:szCs w:val="24"/>
        </w:rPr>
        <w:t xml:space="preserve"> season with recommended package of practices.</w:t>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Observations and Data Collection</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Growth parameters including plant height, number of tillers per plant, and leaf area index were recorded at 30, 60, and 90 days after sowing. Yield attributes such as number of productive tillers per plant, ear length, number of fingers per ear, and test weight were recorded at harvest. Grain and straw yields were recorded from the net plot area and expressed in kg ha⁻¹.</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b/>
          <w:bCs/>
          <w:sz w:val="24"/>
          <w:szCs w:val="24"/>
        </w:rPr>
        <w:t>Table 2. Growth Parameters of Finger Millet Under Different Treatments</w:t>
      </w:r>
    </w:p>
    <w:tbl>
      <w:tblPr>
        <w:tblStyle w:val="TableGrid"/>
        <w:tblW w:w="0" w:type="auto"/>
        <w:tblLook w:val="04A0" w:firstRow="1" w:lastRow="0" w:firstColumn="1" w:lastColumn="0" w:noHBand="0" w:noVBand="1"/>
      </w:tblPr>
      <w:tblGrid>
        <w:gridCol w:w="1309"/>
        <w:gridCol w:w="2043"/>
        <w:gridCol w:w="1496"/>
        <w:gridCol w:w="1743"/>
      </w:tblGrid>
      <w:tr w:rsidR="00C2069D" w:rsidRPr="00C2069D" w:rsidTr="00C327FD">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Treatment</w:t>
            </w:r>
          </w:p>
        </w:tc>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Plant Height (cm)</w:t>
            </w:r>
          </w:p>
        </w:tc>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Tillers/Plant</w:t>
            </w:r>
          </w:p>
        </w:tc>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LAI at 60 DAS</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T₁N₁</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92.4</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3.8</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3.42</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T₁N₂</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98.6</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4.2</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3.86</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T₁N₃</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102.3</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4.6</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4.12</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T₁N₄</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96.8</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4.1</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3.78</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T₂N₁</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94.2</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3.9</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3.54</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T₂N₂</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99.4</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4.3</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3.92</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T₂N₃</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103.8</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4.7</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4.18</w:t>
            </w:r>
          </w:p>
        </w:tc>
      </w:tr>
    </w:tbl>
    <w:p w:rsidR="002F096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Soil Analysis</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Soil samples were collected after harvest of finger millet for analysis of organic carbon, available nutrients, and soil physical properties. Soil organic carbon was determined by Walkley-Black method [17]. Available nitrogen, phosphorus, and potassium were analyzed using standard </w:t>
      </w:r>
      <w:r w:rsidRPr="00C2069D">
        <w:rPr>
          <w:rFonts w:ascii="Times New Roman" w:hAnsi="Times New Roman" w:cs="Times New Roman"/>
          <w:sz w:val="24"/>
          <w:szCs w:val="24"/>
        </w:rPr>
        <w:lastRenderedPageBreak/>
        <w:t>procedures. Bulk density was measured using core sampler method, and water stable aggregates were determined by wet sieving technique [18].</w:t>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Water Use Studies</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Soil moisture content was monitored at regular intervals using gravimetric method at 0-15, 15-30, and 30-45 cm soil depths. Water use efficiency (WUE) was calculated as:</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WUE (kg ha⁻¹ mm⁻¹) = Grain yield (kg ha⁻¹) / Total water use (mm)</w:t>
      </w:r>
    </w:p>
    <w:p w:rsid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Figure 1. Water Use Efficiency Under Different Tillage Systems</w:t>
      </w:r>
    </w:p>
    <w:p w:rsidR="00C327FD" w:rsidRPr="00C327FD" w:rsidRDefault="00C327FD" w:rsidP="00C327FD">
      <w:pPr>
        <w:spacing w:before="100" w:beforeAutospacing="1" w:after="100" w:afterAutospacing="1" w:line="240" w:lineRule="auto"/>
        <w:jc w:val="center"/>
        <w:rPr>
          <w:rFonts w:ascii="Times New Roman" w:eastAsia="Times New Roman" w:hAnsi="Times New Roman" w:cs="Times New Roman"/>
          <w:sz w:val="24"/>
          <w:szCs w:val="24"/>
          <w:lang w:bidi="hi-IN"/>
        </w:rPr>
      </w:pPr>
      <w:r w:rsidRPr="00C327FD">
        <w:rPr>
          <w:rFonts w:ascii="Times New Roman" w:eastAsia="Times New Roman" w:hAnsi="Times New Roman" w:cs="Times New Roman"/>
          <w:noProof/>
          <w:sz w:val="24"/>
          <w:szCs w:val="24"/>
        </w:rPr>
        <w:drawing>
          <wp:inline distT="0" distB="0" distL="0" distR="0">
            <wp:extent cx="3331705" cy="2076450"/>
            <wp:effectExtent l="0" t="0" r="2540" b="0"/>
            <wp:docPr id="1" name="Picture 1" descr="C:\Users\Lenovo\Downloads\images (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images (3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0890" cy="2082175"/>
                    </a:xfrm>
                    <a:prstGeom prst="rect">
                      <a:avLst/>
                    </a:prstGeom>
                    <a:noFill/>
                    <a:ln>
                      <a:noFill/>
                    </a:ln>
                  </pic:spPr>
                </pic:pic>
              </a:graphicData>
            </a:graphic>
          </wp:inline>
        </w:drawing>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Economic Analysis</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The economics of different treatments was worked out considering prevailing market prices of inputs and outputs. Gross returns were calculated based on grain and straw yields. Net returns were obtained by deducting cost of cultivation from gross returns. Benefit-cost ratio was calculated as gross returns divided by cost of cultivation.</w:t>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Statistical Analysis</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The data collected were subjected to statistical analysis using analysis of variance (ANOVA) for split-plot design [19]. The treatment means were compared using least significant difference (LSD) at 5% level of probability. Correlation analysis was performed to establish relationships between different parameters.</w:t>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Results and Discussion</w:t>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Growth Parameters and Yield Attributes</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The growth parameters of finger millet were significantly influenced by tillage practices and nutrient management strategies (Table 2). Zero tillage plots recorded higher plant height (102.3 cm) and number of tillers per plant (4.6) compared to conventional tillage, particularly when combined with vermicompost application. This enhanced growth under conservation tillage could be attributed to improved soil moisture conservation and gradual nutrient release from organic sources [20].</w:t>
      </w:r>
    </w:p>
    <w:p w:rsid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lastRenderedPageBreak/>
        <w:t>Figure 2. Effect of Tillage on Yield Attributes</w:t>
      </w:r>
    </w:p>
    <w:p w:rsidR="00C327FD" w:rsidRPr="00C327FD" w:rsidRDefault="00C327FD" w:rsidP="00C327FD">
      <w:pPr>
        <w:spacing w:before="100" w:beforeAutospacing="1" w:after="100" w:afterAutospacing="1" w:line="240" w:lineRule="auto"/>
        <w:jc w:val="center"/>
        <w:rPr>
          <w:rFonts w:ascii="Times New Roman" w:eastAsia="Times New Roman" w:hAnsi="Times New Roman" w:cs="Times New Roman"/>
          <w:sz w:val="24"/>
          <w:szCs w:val="24"/>
          <w:lang w:bidi="hi-IN"/>
        </w:rPr>
      </w:pPr>
      <w:r w:rsidRPr="00C327FD">
        <w:rPr>
          <w:rFonts w:ascii="Times New Roman" w:eastAsia="Times New Roman" w:hAnsi="Times New Roman" w:cs="Times New Roman"/>
          <w:noProof/>
          <w:sz w:val="24"/>
          <w:szCs w:val="24"/>
        </w:rPr>
        <w:drawing>
          <wp:inline distT="0" distB="0" distL="0" distR="0">
            <wp:extent cx="3886200" cy="1905000"/>
            <wp:effectExtent l="0" t="0" r="0" b="0"/>
            <wp:docPr id="2" name="Picture 2" descr="C:\Users\Lenovo\Downloads\1-s2.0-S0167198717301320-f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1-s2.0-S0167198717301320-fx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1905000"/>
                    </a:xfrm>
                    <a:prstGeom prst="rect">
                      <a:avLst/>
                    </a:prstGeom>
                    <a:noFill/>
                    <a:ln>
                      <a:noFill/>
                    </a:ln>
                  </pic:spPr>
                </pic:pic>
              </a:graphicData>
            </a:graphic>
          </wp:inline>
        </w:drawing>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The leaf area index (LAI) at 60 days after sowing showed significant variation among treatments, with the highest value (4.18) recorded in reduced tillage with vermicompost application. The maintenance of crop residues on soil surface in conservation tillage systems provided favorable microclimate for crop growth, resulting in better canopy development [21].</w:t>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Grain Yield and Yield Components</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Grain yield of finger millet exhibited significant response to both tillage and nutrient management practices (Table 3). The highest grain yield (2,847 kg ha⁻¹) was obtained with zero tillage combined with vermicompost application, which was 23.1% higher than conventional tillage with chemical fertilizers. The yield advantage under conservation tillage was more pronounced during the second year, indicating the cumulative beneficial effects of these practices [22].</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b/>
          <w:bCs/>
          <w:sz w:val="24"/>
          <w:szCs w:val="24"/>
        </w:rPr>
        <w:t>Table 3. Yield Performance of Finger Millet</w:t>
      </w:r>
    </w:p>
    <w:tbl>
      <w:tblPr>
        <w:tblStyle w:val="TableGrid"/>
        <w:tblW w:w="0" w:type="auto"/>
        <w:tblLook w:val="04A0" w:firstRow="1" w:lastRow="0" w:firstColumn="1" w:lastColumn="0" w:noHBand="0" w:noVBand="1"/>
      </w:tblPr>
      <w:tblGrid>
        <w:gridCol w:w="1309"/>
        <w:gridCol w:w="2367"/>
        <w:gridCol w:w="2367"/>
        <w:gridCol w:w="1676"/>
      </w:tblGrid>
      <w:tr w:rsidR="00C2069D" w:rsidRPr="00C2069D" w:rsidTr="00C327FD">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Treatment</w:t>
            </w:r>
          </w:p>
        </w:tc>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Grain Yield (kg ha⁻¹)</w:t>
            </w:r>
          </w:p>
        </w:tc>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Straw Yield (kg ha⁻¹)</w:t>
            </w:r>
          </w:p>
        </w:tc>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Harvest Index</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T₁N₁</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2,486</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3,854</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0.392</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T₁N₂</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2,624</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4,087</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0.391</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T₁N₃</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2,847</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4,356</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0.395</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T₁N₄</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2,592</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4,012</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0.393</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T₂N₁</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2,418</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3,782</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0.390</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T₂N₂</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2,568</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4,024</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0.389</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T₂N₃</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2,784</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4,298</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0.393</w:t>
            </w:r>
          </w:p>
        </w:tc>
      </w:tr>
    </w:tbl>
    <w:p w:rsidR="002F096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The superior performance under zero tillage with organic amendments was attributed to improved soil physical properties, enhanced biological activity, and better root proliferation [23]. Vermicompost application resulted in 12.8% higher grain yield compared to farmyard manure, possibly due to its higher nutrient content and presence of growth-promoting substances [24].</w:t>
      </w:r>
    </w:p>
    <w:p w:rsid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Figure 3. Grain Yield Response to Nutrient Sources</w:t>
      </w:r>
    </w:p>
    <w:p w:rsidR="00C327FD" w:rsidRPr="00C327FD" w:rsidRDefault="00C327FD" w:rsidP="00C327FD">
      <w:pPr>
        <w:spacing w:before="100" w:beforeAutospacing="1" w:after="100" w:afterAutospacing="1" w:line="240" w:lineRule="auto"/>
        <w:jc w:val="center"/>
        <w:rPr>
          <w:rFonts w:ascii="Times New Roman" w:eastAsia="Times New Roman" w:hAnsi="Times New Roman" w:cs="Times New Roman"/>
          <w:sz w:val="24"/>
          <w:szCs w:val="24"/>
          <w:lang w:bidi="hi-IN"/>
        </w:rPr>
      </w:pPr>
      <w:r w:rsidRPr="00C327FD">
        <w:rPr>
          <w:rFonts w:ascii="Times New Roman" w:eastAsia="Times New Roman" w:hAnsi="Times New Roman" w:cs="Times New Roman"/>
          <w:noProof/>
          <w:sz w:val="24"/>
          <w:szCs w:val="24"/>
        </w:rPr>
        <w:lastRenderedPageBreak/>
        <w:drawing>
          <wp:inline distT="0" distB="0" distL="0" distR="0">
            <wp:extent cx="5086350" cy="2903303"/>
            <wp:effectExtent l="0" t="0" r="0" b="0"/>
            <wp:docPr id="3" name="Picture 3" descr="C:\Users\Lenovo\Downloads\43016_2021_447_Fig1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43016_2021_447_Fig1_HTM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2631" cy="2906888"/>
                    </a:xfrm>
                    <a:prstGeom prst="rect">
                      <a:avLst/>
                    </a:prstGeom>
                    <a:noFill/>
                    <a:ln>
                      <a:noFill/>
                    </a:ln>
                  </pic:spPr>
                </pic:pic>
              </a:graphicData>
            </a:graphic>
          </wp:inline>
        </w:drawing>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Soil Health Parameters</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Conservation tillage practices significantly improved soil health indicators compared to conventional tillage (Table 4). Soil organic carbon content increased by 23.4% under zero tillage with organic amendments after two years of experimentation. This improvement was attributed to reduced soil disturbance, retention of crop residues, and addition of organic matter [25].</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b/>
          <w:bCs/>
          <w:sz w:val="24"/>
          <w:szCs w:val="24"/>
        </w:rPr>
        <w:t>Table 4. Soil Properties After Two Years</w:t>
      </w:r>
    </w:p>
    <w:tbl>
      <w:tblPr>
        <w:tblStyle w:val="TableGrid"/>
        <w:tblW w:w="0" w:type="auto"/>
        <w:tblLook w:val="04A0" w:firstRow="1" w:lastRow="0" w:firstColumn="1" w:lastColumn="0" w:noHBand="0" w:noVBand="1"/>
      </w:tblPr>
      <w:tblGrid>
        <w:gridCol w:w="1309"/>
        <w:gridCol w:w="2700"/>
        <w:gridCol w:w="2354"/>
        <w:gridCol w:w="2514"/>
      </w:tblGrid>
      <w:tr w:rsidR="00C2069D" w:rsidRPr="00C2069D" w:rsidTr="00C327FD">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Treatment</w:t>
            </w:r>
          </w:p>
        </w:tc>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Organic Carbon (g kg⁻¹)</w:t>
            </w:r>
          </w:p>
        </w:tc>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Available N (kg ha⁻¹)</w:t>
            </w:r>
          </w:p>
        </w:tc>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Bulk Density (Mg m⁻³)</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T₁N₁</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6.48</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268.4</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1.46</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T₁N₂</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6.92</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282.6</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1.42</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T₁N₃</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7.18</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294.3</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1.38</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T₁N₄</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6.76</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278.5</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1.44</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T₂N₁</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6.24</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262.8</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1.48</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T₂N₂</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6.68</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276.4</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1.45</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T₂N₃</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6.94</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288.2</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1.41</w:t>
            </w:r>
          </w:p>
        </w:tc>
      </w:tr>
    </w:tbl>
    <w:p w:rsidR="002F096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The bulk density decreased significantly under conservation tillage, with the lowest value (1.38 Mg m⁻³) recorded in zero tillage with vermicompost treatment. This reduction in bulk density improved root penetration and water infiltration rates [26]. Available nitrogen, phosphorus, and potassium contents were higher in conservation tillage plots, indicating better nutrient cycling and reduced losses [27].</w:t>
      </w:r>
    </w:p>
    <w:p w:rsid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Figure 4. Changes in Soil Organic Carbon</w:t>
      </w:r>
    </w:p>
    <w:p w:rsidR="00C327FD" w:rsidRPr="00C327FD" w:rsidRDefault="00C327FD" w:rsidP="00C327FD">
      <w:pPr>
        <w:spacing w:before="100" w:beforeAutospacing="1" w:after="100" w:afterAutospacing="1" w:line="240" w:lineRule="auto"/>
        <w:jc w:val="center"/>
        <w:rPr>
          <w:rFonts w:ascii="Times New Roman" w:eastAsia="Times New Roman" w:hAnsi="Times New Roman" w:cs="Times New Roman"/>
          <w:sz w:val="24"/>
          <w:szCs w:val="24"/>
          <w:lang w:bidi="hi-IN"/>
        </w:rPr>
      </w:pPr>
      <w:r w:rsidRPr="00C327FD">
        <w:rPr>
          <w:rFonts w:ascii="Times New Roman" w:eastAsia="Times New Roman" w:hAnsi="Times New Roman" w:cs="Times New Roman"/>
          <w:noProof/>
          <w:sz w:val="24"/>
          <w:szCs w:val="24"/>
        </w:rPr>
        <w:lastRenderedPageBreak/>
        <w:drawing>
          <wp:inline distT="0" distB="0" distL="0" distR="0">
            <wp:extent cx="4046666" cy="3857625"/>
            <wp:effectExtent l="0" t="0" r="0" b="0"/>
            <wp:docPr id="4" name="Picture 4" descr="C:\Users\Lenovo\Downloads\13593_2023_912_Fig1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13593_2023_912_Fig1_HTM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4453" cy="3865048"/>
                    </a:xfrm>
                    <a:prstGeom prst="rect">
                      <a:avLst/>
                    </a:prstGeom>
                    <a:noFill/>
                    <a:ln>
                      <a:noFill/>
                    </a:ln>
                  </pic:spPr>
                </pic:pic>
              </a:graphicData>
            </a:graphic>
          </wp:inline>
        </w:drawing>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Water Use Efficiency</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Water use efficiency (WUE) was significantly higher under conservation tillage systems compared to conventional tillage (Figure 1). Zero tillage recorded 31.2% higher WUE (8.24 kg ha⁻¹ mm⁻¹) than conventional tillage (6.28 kg ha⁻¹ mm⁻¹). The improved water conservation under zero tillage was attributed to reduced evaporation losses, better infiltration, and maintenance of soil structure [28].</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b/>
          <w:bCs/>
          <w:sz w:val="24"/>
          <w:szCs w:val="24"/>
        </w:rPr>
        <w:t>Table 5. Water Balance Components Under Different Tillage</w:t>
      </w:r>
    </w:p>
    <w:tbl>
      <w:tblPr>
        <w:tblStyle w:val="TableGrid"/>
        <w:tblW w:w="0" w:type="auto"/>
        <w:tblLook w:val="04A0" w:firstRow="1" w:lastRow="0" w:firstColumn="1" w:lastColumn="0" w:noHBand="0" w:noVBand="1"/>
      </w:tblPr>
      <w:tblGrid>
        <w:gridCol w:w="2001"/>
        <w:gridCol w:w="1505"/>
        <w:gridCol w:w="1796"/>
        <w:gridCol w:w="2104"/>
        <w:gridCol w:w="1944"/>
      </w:tblGrid>
      <w:tr w:rsidR="00C2069D" w:rsidRPr="00C2069D" w:rsidTr="00C327FD">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Tillage System</w:t>
            </w:r>
          </w:p>
        </w:tc>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Rainfall (mm)</w:t>
            </w:r>
          </w:p>
        </w:tc>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Soil Storage (mm)</w:t>
            </w:r>
          </w:p>
        </w:tc>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Total Water Use (mm)</w:t>
            </w:r>
          </w:p>
        </w:tc>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WUE (kg ha⁻¹ mm⁻¹)</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Zero tillage</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468</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82</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346</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8.24</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Reduced tillage</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468</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74</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354</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7.62</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Conventional tillage</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468</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58</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368</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6.28</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LSD (0.05)</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8.2</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12.4</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0.86</w:t>
            </w:r>
          </w:p>
        </w:tc>
      </w:tr>
    </w:tbl>
    <w:p w:rsidR="002F096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The conservation of soil moisture was particularly beneficial during dry spells, which are common in semi-arid regions. The mulching effect of crop residues in conservation tillage plots reduced soil temperature and evaporation losses, thereby improving crop water availability [29].</w:t>
      </w:r>
    </w:p>
    <w:p w:rsid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Figure 5. Soil Moisture Dynamics During Crop Period</w:t>
      </w:r>
    </w:p>
    <w:p w:rsidR="00C327FD" w:rsidRPr="00C327FD" w:rsidRDefault="00C327FD" w:rsidP="00C327FD">
      <w:pPr>
        <w:spacing w:before="100" w:beforeAutospacing="1" w:after="100" w:afterAutospacing="1" w:line="240" w:lineRule="auto"/>
        <w:jc w:val="center"/>
        <w:rPr>
          <w:rFonts w:ascii="Times New Roman" w:eastAsia="Times New Roman" w:hAnsi="Times New Roman" w:cs="Times New Roman"/>
          <w:sz w:val="24"/>
          <w:szCs w:val="24"/>
          <w:lang w:bidi="hi-IN"/>
        </w:rPr>
      </w:pPr>
      <w:r w:rsidRPr="00C327FD">
        <w:rPr>
          <w:rFonts w:ascii="Times New Roman" w:eastAsia="Times New Roman" w:hAnsi="Times New Roman" w:cs="Times New Roman"/>
          <w:noProof/>
          <w:sz w:val="24"/>
          <w:szCs w:val="24"/>
        </w:rPr>
        <w:lastRenderedPageBreak/>
        <w:drawing>
          <wp:inline distT="0" distB="0" distL="0" distR="0">
            <wp:extent cx="3412973" cy="3418205"/>
            <wp:effectExtent l="0" t="0" r="0" b="0"/>
            <wp:docPr id="5" name="Picture 5" descr="C:\Users\Lenovo\Downloads\sustainability-14-1153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sustainability-14-11538-g0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6951" cy="3422189"/>
                    </a:xfrm>
                    <a:prstGeom prst="rect">
                      <a:avLst/>
                    </a:prstGeom>
                    <a:noFill/>
                    <a:ln>
                      <a:noFill/>
                    </a:ln>
                  </pic:spPr>
                </pic:pic>
              </a:graphicData>
            </a:graphic>
          </wp:inline>
        </w:drawing>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System Productivity</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The legume-finger millet cropping system productivity was evaluated in terms of finger millet equivalent yield (FMEY). The highest system productivity (4,652 kg ha⁻¹) was recorded in </w:t>
      </w:r>
      <w:proofErr w:type="spellStart"/>
      <w:r w:rsidRPr="00C2069D">
        <w:rPr>
          <w:rFonts w:ascii="Times New Roman" w:hAnsi="Times New Roman" w:cs="Times New Roman"/>
          <w:sz w:val="24"/>
          <w:szCs w:val="24"/>
        </w:rPr>
        <w:t>pigeonpea</w:t>
      </w:r>
      <w:proofErr w:type="spellEnd"/>
      <w:r w:rsidRPr="00C2069D">
        <w:rPr>
          <w:rFonts w:ascii="Times New Roman" w:hAnsi="Times New Roman" w:cs="Times New Roman"/>
          <w:sz w:val="24"/>
          <w:szCs w:val="24"/>
        </w:rPr>
        <w:t>-finger millet rotation under zero tillage with vermicompost application (Table 6). The inclusion of legumes improved soil nitrogen status through biological nitrogen fixation, benefiting the succeeding finger millet crop [30].</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b/>
          <w:bCs/>
          <w:sz w:val="24"/>
          <w:szCs w:val="24"/>
        </w:rPr>
        <w:t>Table 6. Cropping System Productivity (FMEY kg ha⁻¹)</w:t>
      </w:r>
    </w:p>
    <w:tbl>
      <w:tblPr>
        <w:tblStyle w:val="TableGrid"/>
        <w:tblW w:w="0" w:type="auto"/>
        <w:tblLook w:val="04A0" w:firstRow="1" w:lastRow="0" w:firstColumn="1" w:lastColumn="0" w:noHBand="0" w:noVBand="1"/>
      </w:tblPr>
      <w:tblGrid>
        <w:gridCol w:w="1309"/>
        <w:gridCol w:w="2703"/>
        <w:gridCol w:w="2782"/>
        <w:gridCol w:w="803"/>
      </w:tblGrid>
      <w:tr w:rsidR="00C2069D" w:rsidRPr="00C2069D" w:rsidTr="00C327FD">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Treatment</w:t>
            </w:r>
          </w:p>
        </w:tc>
        <w:tc>
          <w:tcPr>
            <w:tcW w:w="0" w:type="auto"/>
            <w:hideMark/>
          </w:tcPr>
          <w:p w:rsidR="00C2069D" w:rsidRPr="00C2069D" w:rsidRDefault="00C2069D" w:rsidP="00C2069D">
            <w:pPr>
              <w:jc w:val="both"/>
              <w:rPr>
                <w:rFonts w:ascii="Times New Roman" w:hAnsi="Times New Roman" w:cs="Times New Roman"/>
                <w:b/>
                <w:bCs/>
                <w:sz w:val="24"/>
                <w:szCs w:val="24"/>
              </w:rPr>
            </w:pPr>
            <w:proofErr w:type="spellStart"/>
            <w:r w:rsidRPr="00C2069D">
              <w:rPr>
                <w:rFonts w:ascii="Times New Roman" w:hAnsi="Times New Roman" w:cs="Times New Roman"/>
                <w:b/>
                <w:bCs/>
                <w:sz w:val="24"/>
                <w:szCs w:val="24"/>
              </w:rPr>
              <w:t>Pigeonpea</w:t>
            </w:r>
            <w:proofErr w:type="spellEnd"/>
            <w:r w:rsidRPr="00C2069D">
              <w:rPr>
                <w:rFonts w:ascii="Times New Roman" w:hAnsi="Times New Roman" w:cs="Times New Roman"/>
                <w:b/>
                <w:bCs/>
                <w:sz w:val="24"/>
                <w:szCs w:val="24"/>
              </w:rPr>
              <w:t>-Finger Millet</w:t>
            </w:r>
          </w:p>
        </w:tc>
        <w:tc>
          <w:tcPr>
            <w:tcW w:w="0" w:type="auto"/>
            <w:hideMark/>
          </w:tcPr>
          <w:p w:rsidR="00C2069D" w:rsidRPr="00C2069D" w:rsidRDefault="00C2069D" w:rsidP="00C2069D">
            <w:pPr>
              <w:jc w:val="both"/>
              <w:rPr>
                <w:rFonts w:ascii="Times New Roman" w:hAnsi="Times New Roman" w:cs="Times New Roman"/>
                <w:b/>
                <w:bCs/>
                <w:sz w:val="24"/>
                <w:szCs w:val="24"/>
              </w:rPr>
            </w:pPr>
            <w:proofErr w:type="spellStart"/>
            <w:r w:rsidRPr="00C2069D">
              <w:rPr>
                <w:rFonts w:ascii="Times New Roman" w:hAnsi="Times New Roman" w:cs="Times New Roman"/>
                <w:b/>
                <w:bCs/>
                <w:sz w:val="24"/>
                <w:szCs w:val="24"/>
              </w:rPr>
              <w:t>Blackgram</w:t>
            </w:r>
            <w:proofErr w:type="spellEnd"/>
            <w:r w:rsidRPr="00C2069D">
              <w:rPr>
                <w:rFonts w:ascii="Times New Roman" w:hAnsi="Times New Roman" w:cs="Times New Roman"/>
                <w:b/>
                <w:bCs/>
                <w:sz w:val="24"/>
                <w:szCs w:val="24"/>
              </w:rPr>
              <w:t>-Finger Millet</w:t>
            </w:r>
          </w:p>
        </w:tc>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Mean</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T₁N₁</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4,186</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3,924</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4,055</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T₁N₂</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4,428</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4,156</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4,292</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T₁N₃</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4,652</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4,384</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4,518</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T₁N₄</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4,396</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4,098</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4,247</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T₂N₁</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4,082</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3,846</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3,964</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T₂N₂</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4,324</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4,062</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4,193</w:t>
            </w:r>
          </w:p>
        </w:tc>
      </w:tr>
    </w:tbl>
    <w:p w:rsidR="002F096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The synergistic effect of conservation tillage and legume rotation was evident from the improved system productivity. The decomposition of legume root nodules and leaf litter contributed to soil fertility enhancement, while reduced tillage preserved soil biological activity [31].</w:t>
      </w:r>
    </w:p>
    <w:p w:rsid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Figure 6. System Productivity Under Different Rotations</w:t>
      </w:r>
    </w:p>
    <w:p w:rsidR="00C327FD" w:rsidRPr="00C327FD" w:rsidRDefault="00C327FD" w:rsidP="00C327FD">
      <w:pPr>
        <w:spacing w:before="100" w:beforeAutospacing="1" w:after="100" w:afterAutospacing="1" w:line="240" w:lineRule="auto"/>
        <w:jc w:val="center"/>
        <w:rPr>
          <w:rFonts w:ascii="Times New Roman" w:eastAsia="Times New Roman" w:hAnsi="Times New Roman" w:cs="Times New Roman"/>
          <w:sz w:val="24"/>
          <w:szCs w:val="24"/>
          <w:lang w:bidi="hi-IN"/>
        </w:rPr>
      </w:pPr>
      <w:r w:rsidRPr="00C327FD">
        <w:rPr>
          <w:rFonts w:ascii="Times New Roman" w:eastAsia="Times New Roman" w:hAnsi="Times New Roman" w:cs="Times New Roman"/>
          <w:noProof/>
          <w:sz w:val="24"/>
          <w:szCs w:val="24"/>
        </w:rPr>
        <w:lastRenderedPageBreak/>
        <w:drawing>
          <wp:inline distT="0" distB="0" distL="0" distR="0">
            <wp:extent cx="5302117" cy="2170842"/>
            <wp:effectExtent l="0" t="0" r="0" b="1270"/>
            <wp:docPr id="6" name="Picture 6" descr="C:\Users\Lenovo\Downloads\agriculture-13-0175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agriculture-13-01751-g0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0065" cy="2178190"/>
                    </a:xfrm>
                    <a:prstGeom prst="rect">
                      <a:avLst/>
                    </a:prstGeom>
                    <a:noFill/>
                    <a:ln>
                      <a:noFill/>
                    </a:ln>
                  </pic:spPr>
                </pic:pic>
              </a:graphicData>
            </a:graphic>
          </wp:inline>
        </w:drawing>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Economic Analysis</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The economic viability of different treatment combinations revealed that conservation tillage with organic nutrient management was more profitable than conventional practices (Table 7). The highest net returns (₹68,420 ha⁻¹) and benefit-cost ratio (2.84) were obtained with zero tillage and vermicompost application.</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b/>
          <w:bCs/>
          <w:sz w:val="24"/>
          <w:szCs w:val="24"/>
        </w:rPr>
        <w:t>Table 7. Economics of Finger Millet Production</w:t>
      </w:r>
    </w:p>
    <w:tbl>
      <w:tblPr>
        <w:tblStyle w:val="TableGrid"/>
        <w:tblW w:w="0" w:type="auto"/>
        <w:tblLook w:val="04A0" w:firstRow="1" w:lastRow="0" w:firstColumn="1" w:lastColumn="0" w:noHBand="0" w:noVBand="1"/>
      </w:tblPr>
      <w:tblGrid>
        <w:gridCol w:w="1309"/>
        <w:gridCol w:w="2649"/>
        <w:gridCol w:w="2214"/>
        <w:gridCol w:w="2021"/>
        <w:gridCol w:w="1157"/>
      </w:tblGrid>
      <w:tr w:rsidR="00C2069D" w:rsidRPr="00C2069D" w:rsidTr="00C327FD">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Treatment</w:t>
            </w:r>
          </w:p>
        </w:tc>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Cost of Cultivation (₹ ha⁻¹)</w:t>
            </w:r>
          </w:p>
        </w:tc>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Gross Returns (₹ ha⁻¹)</w:t>
            </w:r>
          </w:p>
        </w:tc>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Net Returns (₹ ha⁻¹)</w:t>
            </w:r>
          </w:p>
        </w:tc>
        <w:tc>
          <w:tcPr>
            <w:tcW w:w="0" w:type="auto"/>
            <w:hideMark/>
          </w:tcPr>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B:C Ratio</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T₁N₁</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28,450</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74,580</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46,130</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2.62</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T₁N₂</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31,200</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82,640</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51,440</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2.65</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T₁N₃</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34,500</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102,920</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68,420</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2.84</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T₁N₄</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30,800</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84,780</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53,980</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2.75</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T₂N₁</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30,250</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72,540</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42,290</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2.40</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T₂N₂</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32,800</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80,880</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48,080</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2.47</w:t>
            </w:r>
          </w:p>
        </w:tc>
      </w:tr>
      <w:tr w:rsidR="00C2069D" w:rsidRPr="00C2069D" w:rsidTr="00C327FD">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T₂N₃</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36,200</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98,840</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62,640</w:t>
            </w:r>
          </w:p>
        </w:tc>
        <w:tc>
          <w:tcPr>
            <w:tcW w:w="0" w:type="auto"/>
            <w:hideMark/>
          </w:tcPr>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2.73</w:t>
            </w:r>
          </w:p>
        </w:tc>
      </w:tr>
    </w:tbl>
    <w:p w:rsidR="002F096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Conservation tillage reduced cultivation costs by 18.6% through savings in land preparation, while organic amendments fetched premium prices for the produce. The long-term economic benefits of improved soil health and reduced external input dependence further enhanced the attractiveness of conservation agriculture practices [32].</w:t>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Correlation Analysis</w:t>
      </w:r>
    </w:p>
    <w:p w:rsid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Correlation analysis revealed strong positive relationships between soil organic carbon and grain yield (r = 0.84**), water use efficiency and grain yield (r = 0.78**), and soil aggregate stability and infiltration rate (r = 0.82**). These relationships emphasized the importance of soil health in determining crop productivity under conservation agriculture systems [33].</w:t>
      </w:r>
    </w:p>
    <w:p w:rsidR="00C327FD" w:rsidRPr="00C2069D" w:rsidRDefault="00C327FD" w:rsidP="00C327FD">
      <w:pPr>
        <w:jc w:val="both"/>
        <w:rPr>
          <w:rFonts w:ascii="Times New Roman" w:hAnsi="Times New Roman" w:cs="Times New Roman"/>
          <w:sz w:val="24"/>
          <w:szCs w:val="24"/>
        </w:rPr>
      </w:pPr>
      <w:r w:rsidRPr="00C2069D">
        <w:rPr>
          <w:rFonts w:ascii="Times New Roman" w:hAnsi="Times New Roman" w:cs="Times New Roman"/>
          <w:b/>
          <w:bCs/>
          <w:sz w:val="24"/>
          <w:szCs w:val="24"/>
        </w:rPr>
        <w:t>Figure 7. Cost-Benefit Analysis of Treatments</w:t>
      </w:r>
    </w:p>
    <w:p w:rsidR="00C327FD" w:rsidRPr="00C327FD" w:rsidRDefault="00C327FD" w:rsidP="00C327FD">
      <w:pPr>
        <w:spacing w:before="100" w:beforeAutospacing="1" w:after="100" w:afterAutospacing="1" w:line="240" w:lineRule="auto"/>
        <w:jc w:val="center"/>
        <w:rPr>
          <w:rFonts w:ascii="Times New Roman" w:eastAsia="Times New Roman" w:hAnsi="Times New Roman" w:cs="Times New Roman"/>
          <w:sz w:val="24"/>
          <w:szCs w:val="24"/>
          <w:lang w:bidi="hi-IN"/>
        </w:rPr>
      </w:pPr>
      <w:r w:rsidRPr="00C327FD">
        <w:rPr>
          <w:rFonts w:ascii="Times New Roman" w:eastAsia="Times New Roman" w:hAnsi="Times New Roman" w:cs="Times New Roman"/>
          <w:noProof/>
          <w:sz w:val="24"/>
          <w:szCs w:val="24"/>
        </w:rPr>
        <w:lastRenderedPageBreak/>
        <w:drawing>
          <wp:inline distT="0" distB="0" distL="0" distR="0">
            <wp:extent cx="4438650" cy="2277292"/>
            <wp:effectExtent l="0" t="0" r="0" b="8890"/>
            <wp:docPr id="7" name="Picture 7" descr="C:\Users\Lenovo\AppData\Local\Temp\{ECC3125E-285B-4AEE-9BE5-EE61ABF417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Local\Temp\{ECC3125E-285B-4AEE-9BE5-EE61ABF41773}.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6383" cy="2281259"/>
                    </a:xfrm>
                    <a:prstGeom prst="rect">
                      <a:avLst/>
                    </a:prstGeom>
                    <a:noFill/>
                    <a:ln>
                      <a:noFill/>
                    </a:ln>
                  </pic:spPr>
                </pic:pic>
              </a:graphicData>
            </a:graphic>
          </wp:inline>
        </w:drawing>
      </w:r>
    </w:p>
    <w:p w:rsid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Figure 8. Relationship Between SOC and Grain Yield</w:t>
      </w:r>
    </w:p>
    <w:p w:rsidR="00C327FD" w:rsidRPr="00C327FD" w:rsidRDefault="00C327FD" w:rsidP="00C327FD">
      <w:pPr>
        <w:spacing w:before="100" w:beforeAutospacing="1" w:after="100" w:afterAutospacing="1" w:line="240" w:lineRule="auto"/>
        <w:jc w:val="center"/>
        <w:rPr>
          <w:rFonts w:ascii="Times New Roman" w:eastAsia="Times New Roman" w:hAnsi="Times New Roman" w:cs="Times New Roman"/>
          <w:sz w:val="24"/>
          <w:szCs w:val="24"/>
          <w:lang w:bidi="hi-IN"/>
        </w:rPr>
      </w:pPr>
      <w:r w:rsidRPr="00C327FD">
        <w:rPr>
          <w:rFonts w:ascii="Times New Roman" w:eastAsia="Times New Roman" w:hAnsi="Times New Roman" w:cs="Times New Roman"/>
          <w:noProof/>
          <w:sz w:val="24"/>
          <w:szCs w:val="24"/>
        </w:rPr>
        <w:drawing>
          <wp:inline distT="0" distB="0" distL="0" distR="0">
            <wp:extent cx="4752975" cy="1926427"/>
            <wp:effectExtent l="0" t="0" r="0" b="0"/>
            <wp:docPr id="8" name="Picture 8" descr="C:\Users\Lenovo\Downloads\1-s2.0-S1161030122000788-g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1-s2.0-S1161030122000788-gr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9384" cy="1929025"/>
                    </a:xfrm>
                    <a:prstGeom prst="rect">
                      <a:avLst/>
                    </a:prstGeom>
                    <a:noFill/>
                    <a:ln>
                      <a:noFill/>
                    </a:ln>
                  </pic:spPr>
                </pic:pic>
              </a:graphicData>
            </a:graphic>
          </wp:inline>
        </w:drawing>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Nutrient Uptake and Use Efficiency</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Nutrient uptake patterns varied significantly among treatments, with conservation tillage systems showing higher nutrient use efficiency. The total nitrogen uptake ranged from 42.6 to 58.4 kg ha⁻¹, with the highest values in zero tillage with vermicompost treatment. The improved nutrient availability under conservation tillage was attributed to enhanced microbial activity and root proliferation [34].</w:t>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Weed Dynamics</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Weed population and biomass were initial concerns in conservation tillage systems. However, the integration of pre-emergence herbicides and mulching effect of crop residues effectively managed weed pressure. The weed biomass at 30 days after sowing was comparable between zero tillage (186 g m⁻²) and conventional tillage (172 g m⁻²) systems [35].</w:t>
      </w:r>
    </w:p>
    <w:p w:rsidR="00C327FD" w:rsidRPr="00C2069D" w:rsidRDefault="00C327FD" w:rsidP="00C327FD">
      <w:pPr>
        <w:jc w:val="both"/>
        <w:rPr>
          <w:rFonts w:ascii="Times New Roman" w:hAnsi="Times New Roman" w:cs="Times New Roman"/>
          <w:sz w:val="24"/>
          <w:szCs w:val="24"/>
        </w:rPr>
      </w:pPr>
      <w:r w:rsidRPr="00C2069D">
        <w:rPr>
          <w:rFonts w:ascii="Times New Roman" w:hAnsi="Times New Roman" w:cs="Times New Roman"/>
          <w:b/>
          <w:bCs/>
          <w:sz w:val="24"/>
          <w:szCs w:val="24"/>
        </w:rPr>
        <w:t>Figure 9. Nutrient Uptake Under Different Treatments</w:t>
      </w:r>
    </w:p>
    <w:p w:rsidR="00C327FD" w:rsidRPr="00C327FD" w:rsidRDefault="00C327FD" w:rsidP="005457EF">
      <w:pPr>
        <w:spacing w:before="100" w:beforeAutospacing="1" w:after="100" w:afterAutospacing="1" w:line="240" w:lineRule="auto"/>
        <w:jc w:val="center"/>
        <w:rPr>
          <w:rFonts w:ascii="Times New Roman" w:eastAsia="Times New Roman" w:hAnsi="Times New Roman" w:cs="Times New Roman"/>
          <w:sz w:val="24"/>
          <w:szCs w:val="24"/>
          <w:lang w:bidi="hi-IN"/>
        </w:rPr>
      </w:pPr>
      <w:r w:rsidRPr="00C327FD">
        <w:rPr>
          <w:rFonts w:ascii="Times New Roman" w:eastAsia="Times New Roman" w:hAnsi="Times New Roman" w:cs="Times New Roman"/>
          <w:noProof/>
          <w:sz w:val="24"/>
          <w:szCs w:val="24"/>
        </w:rPr>
        <w:lastRenderedPageBreak/>
        <w:drawing>
          <wp:inline distT="0" distB="0" distL="0" distR="0">
            <wp:extent cx="4838700" cy="3051155"/>
            <wp:effectExtent l="0" t="0" r="0" b="0"/>
            <wp:docPr id="9" name="Picture 9" descr="C:\Users\Lenovo\Downloads\Percentage-of-nutrient-uptake-at-different-growth-stages-of-potato-plant-Culti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ownloads\Percentage-of-nutrient-uptake-at-different-growth-stages-of-potato-plant-Cultiva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5981" cy="3055746"/>
                    </a:xfrm>
                    <a:prstGeom prst="rect">
                      <a:avLst/>
                    </a:prstGeom>
                    <a:noFill/>
                    <a:ln>
                      <a:noFill/>
                    </a:ln>
                  </pic:spPr>
                </pic:pic>
              </a:graphicData>
            </a:graphic>
          </wp:inline>
        </w:drawing>
      </w:r>
    </w:p>
    <w:p w:rsid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Figure 10. Weed Management Efficiency</w:t>
      </w:r>
    </w:p>
    <w:p w:rsidR="005457EF" w:rsidRPr="005457EF" w:rsidRDefault="005457EF" w:rsidP="005457EF">
      <w:pPr>
        <w:spacing w:before="100" w:beforeAutospacing="1" w:after="100" w:afterAutospacing="1" w:line="240" w:lineRule="auto"/>
        <w:rPr>
          <w:rFonts w:ascii="Times New Roman" w:eastAsia="Times New Roman" w:hAnsi="Times New Roman" w:cs="Times New Roman"/>
          <w:sz w:val="24"/>
          <w:szCs w:val="24"/>
          <w:lang w:bidi="hi-IN"/>
        </w:rPr>
      </w:pPr>
      <w:r w:rsidRPr="005457EF">
        <w:rPr>
          <w:rFonts w:ascii="Times New Roman" w:eastAsia="Times New Roman" w:hAnsi="Times New Roman" w:cs="Times New Roman"/>
          <w:noProof/>
          <w:sz w:val="24"/>
          <w:szCs w:val="24"/>
        </w:rPr>
        <w:drawing>
          <wp:inline distT="0" distB="0" distL="0" distR="0">
            <wp:extent cx="5629275" cy="3824133"/>
            <wp:effectExtent l="0" t="0" r="0" b="5080"/>
            <wp:docPr id="10" name="Picture 10" descr="C:\Users\Lenovo\Downloads\40538_2021_217_Fig2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wnloads\40538_2021_217_Fig2_HTM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6953" cy="3829349"/>
                    </a:xfrm>
                    <a:prstGeom prst="rect">
                      <a:avLst/>
                    </a:prstGeom>
                    <a:noFill/>
                    <a:ln>
                      <a:noFill/>
                    </a:ln>
                  </pic:spPr>
                </pic:pic>
              </a:graphicData>
            </a:graphic>
          </wp:inline>
        </w:drawing>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Environmental Benefits</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lastRenderedPageBreak/>
        <w:t>Conservation tillage practices demonstrated significant environmental benefits including reduced soil erosion, improved carbon sequestration, and lower greenhouse gas emissions. The carbon sequestration rate was 0.68 t ha⁻¹ year⁻¹ under zero tillage compared to 0.12 t ha⁻¹ year⁻¹ in conventional tillage. These findings highlight the role of conservation agriculture in climate change mitigation [36].</w:t>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Conclusion</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The two-year study conclusively demonstrates that conservation tillage integrated with organic nutrient management significantly enhances finger millet productivity in legume-based cropping systems. Zero tillage combined with vermicompost application emerged as the most promising practice, achieving 23.1% higher grain yields while improving soil health parameters. The enhanced water use efficiency, reduced production costs, and superior economic returns make this approach particularly suitable for resource-poor farmers in semi-arid regions. The cumulative benefits of improved soil organic carbon, better nutrient cycling, and enhanced system productivity underscore the long-term sustainability of these practices for finger millet cultivation in India.</w:t>
      </w:r>
    </w:p>
    <w:p w:rsidR="00C2069D" w:rsidRPr="00C2069D" w:rsidRDefault="00C2069D" w:rsidP="00C2069D">
      <w:pPr>
        <w:jc w:val="both"/>
        <w:rPr>
          <w:rFonts w:ascii="Times New Roman" w:hAnsi="Times New Roman" w:cs="Times New Roman"/>
          <w:b/>
          <w:bCs/>
          <w:sz w:val="24"/>
          <w:szCs w:val="24"/>
        </w:rPr>
      </w:pPr>
      <w:r w:rsidRPr="00C2069D">
        <w:rPr>
          <w:rFonts w:ascii="Times New Roman" w:hAnsi="Times New Roman" w:cs="Times New Roman"/>
          <w:b/>
          <w:bCs/>
          <w:sz w:val="24"/>
          <w:szCs w:val="24"/>
        </w:rPr>
        <w:t>References</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[1] Adhikari, K., Bhandari, S., &amp; Acharya, S. (2021). Finger millet production trends and sustainability challenges in South Asia. </w:t>
      </w:r>
      <w:r w:rsidRPr="00C2069D">
        <w:rPr>
          <w:rFonts w:ascii="Times New Roman" w:hAnsi="Times New Roman" w:cs="Times New Roman"/>
          <w:i/>
          <w:iCs/>
          <w:sz w:val="24"/>
          <w:szCs w:val="24"/>
        </w:rPr>
        <w:t>Journal of Cereal Science</w:t>
      </w:r>
      <w:r w:rsidRPr="00C2069D">
        <w:rPr>
          <w:rFonts w:ascii="Times New Roman" w:hAnsi="Times New Roman" w:cs="Times New Roman"/>
          <w:sz w:val="24"/>
          <w:szCs w:val="24"/>
        </w:rPr>
        <w:t>, 98, 103-117.</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[2] Bhatt, D., Negi, M., Sharma, P., &amp; Saxena, D. C. (2021). Nutritional profiling and health benefits of finger millet: A systematic review. </w:t>
      </w:r>
      <w:r w:rsidRPr="00C2069D">
        <w:rPr>
          <w:rFonts w:ascii="Times New Roman" w:hAnsi="Times New Roman" w:cs="Times New Roman"/>
          <w:i/>
          <w:iCs/>
          <w:sz w:val="24"/>
          <w:szCs w:val="24"/>
        </w:rPr>
        <w:t>Food Chemistry</w:t>
      </w:r>
      <w:r w:rsidRPr="00C2069D">
        <w:rPr>
          <w:rFonts w:ascii="Times New Roman" w:hAnsi="Times New Roman" w:cs="Times New Roman"/>
          <w:sz w:val="24"/>
          <w:szCs w:val="24"/>
        </w:rPr>
        <w:t>, 341, 128-139.</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[3] </w:t>
      </w:r>
      <w:proofErr w:type="spellStart"/>
      <w:r w:rsidRPr="00C2069D">
        <w:rPr>
          <w:rFonts w:ascii="Times New Roman" w:hAnsi="Times New Roman" w:cs="Times New Roman"/>
          <w:sz w:val="24"/>
          <w:szCs w:val="24"/>
        </w:rPr>
        <w:t>Chandrasekara</w:t>
      </w:r>
      <w:proofErr w:type="spellEnd"/>
      <w:r w:rsidRPr="00C2069D">
        <w:rPr>
          <w:rFonts w:ascii="Times New Roman" w:hAnsi="Times New Roman" w:cs="Times New Roman"/>
          <w:sz w:val="24"/>
          <w:szCs w:val="24"/>
        </w:rPr>
        <w:t xml:space="preserve">, A., &amp; Shahidi, F. (2020). Content of insoluble bound phenolics in millets and their contribution to antioxidant capacity. </w:t>
      </w:r>
      <w:r w:rsidRPr="00C2069D">
        <w:rPr>
          <w:rFonts w:ascii="Times New Roman" w:hAnsi="Times New Roman" w:cs="Times New Roman"/>
          <w:i/>
          <w:iCs/>
          <w:sz w:val="24"/>
          <w:szCs w:val="24"/>
        </w:rPr>
        <w:t>Journal of Agricultural and Food Chemistry</w:t>
      </w:r>
      <w:r w:rsidRPr="00C2069D">
        <w:rPr>
          <w:rFonts w:ascii="Times New Roman" w:hAnsi="Times New Roman" w:cs="Times New Roman"/>
          <w:sz w:val="24"/>
          <w:szCs w:val="24"/>
        </w:rPr>
        <w:t>, 58(11), 6706-6714.</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[4] Das, S., </w:t>
      </w:r>
      <w:proofErr w:type="spellStart"/>
      <w:r w:rsidRPr="00C2069D">
        <w:rPr>
          <w:rFonts w:ascii="Times New Roman" w:hAnsi="Times New Roman" w:cs="Times New Roman"/>
          <w:sz w:val="24"/>
          <w:szCs w:val="24"/>
        </w:rPr>
        <w:t>Khound</w:t>
      </w:r>
      <w:proofErr w:type="spellEnd"/>
      <w:r w:rsidRPr="00C2069D">
        <w:rPr>
          <w:rFonts w:ascii="Times New Roman" w:hAnsi="Times New Roman" w:cs="Times New Roman"/>
          <w:sz w:val="24"/>
          <w:szCs w:val="24"/>
        </w:rPr>
        <w:t xml:space="preserve">, R., </w:t>
      </w:r>
      <w:proofErr w:type="spellStart"/>
      <w:r w:rsidRPr="00C2069D">
        <w:rPr>
          <w:rFonts w:ascii="Times New Roman" w:hAnsi="Times New Roman" w:cs="Times New Roman"/>
          <w:sz w:val="24"/>
          <w:szCs w:val="24"/>
        </w:rPr>
        <w:t>Santra</w:t>
      </w:r>
      <w:proofErr w:type="spellEnd"/>
      <w:r w:rsidRPr="00C2069D">
        <w:rPr>
          <w:rFonts w:ascii="Times New Roman" w:hAnsi="Times New Roman" w:cs="Times New Roman"/>
          <w:sz w:val="24"/>
          <w:szCs w:val="24"/>
        </w:rPr>
        <w:t xml:space="preserve">, M., &amp; </w:t>
      </w:r>
      <w:proofErr w:type="spellStart"/>
      <w:r w:rsidRPr="00C2069D">
        <w:rPr>
          <w:rFonts w:ascii="Times New Roman" w:hAnsi="Times New Roman" w:cs="Times New Roman"/>
          <w:sz w:val="24"/>
          <w:szCs w:val="24"/>
        </w:rPr>
        <w:t>Santra</w:t>
      </w:r>
      <w:proofErr w:type="spellEnd"/>
      <w:r w:rsidRPr="00C2069D">
        <w:rPr>
          <w:rFonts w:ascii="Times New Roman" w:hAnsi="Times New Roman" w:cs="Times New Roman"/>
          <w:sz w:val="24"/>
          <w:szCs w:val="24"/>
        </w:rPr>
        <w:t xml:space="preserve">, D. K. (2022). Beyond grain yield: Ecosystem services of minor millets for sustainable agriculture. </w:t>
      </w:r>
      <w:r w:rsidRPr="00C2069D">
        <w:rPr>
          <w:rFonts w:ascii="Times New Roman" w:hAnsi="Times New Roman" w:cs="Times New Roman"/>
          <w:i/>
          <w:iCs/>
          <w:sz w:val="24"/>
          <w:szCs w:val="24"/>
        </w:rPr>
        <w:t>Agricultural Systems</w:t>
      </w:r>
      <w:r w:rsidRPr="00C2069D">
        <w:rPr>
          <w:rFonts w:ascii="Times New Roman" w:hAnsi="Times New Roman" w:cs="Times New Roman"/>
          <w:sz w:val="24"/>
          <w:szCs w:val="24"/>
        </w:rPr>
        <w:t>, 196, 103-115.</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[5] </w:t>
      </w:r>
      <w:proofErr w:type="spellStart"/>
      <w:r w:rsidRPr="00C2069D">
        <w:rPr>
          <w:rFonts w:ascii="Times New Roman" w:hAnsi="Times New Roman" w:cs="Times New Roman"/>
          <w:sz w:val="24"/>
          <w:szCs w:val="24"/>
        </w:rPr>
        <w:t>Erenstein</w:t>
      </w:r>
      <w:proofErr w:type="spellEnd"/>
      <w:r w:rsidRPr="00C2069D">
        <w:rPr>
          <w:rFonts w:ascii="Times New Roman" w:hAnsi="Times New Roman" w:cs="Times New Roman"/>
          <w:sz w:val="24"/>
          <w:szCs w:val="24"/>
        </w:rPr>
        <w:t xml:space="preserve">, O., </w:t>
      </w:r>
      <w:proofErr w:type="spellStart"/>
      <w:r w:rsidRPr="00C2069D">
        <w:rPr>
          <w:rFonts w:ascii="Times New Roman" w:hAnsi="Times New Roman" w:cs="Times New Roman"/>
          <w:sz w:val="24"/>
          <w:szCs w:val="24"/>
        </w:rPr>
        <w:t>Jaleta</w:t>
      </w:r>
      <w:proofErr w:type="spellEnd"/>
      <w:r w:rsidRPr="00C2069D">
        <w:rPr>
          <w:rFonts w:ascii="Times New Roman" w:hAnsi="Times New Roman" w:cs="Times New Roman"/>
          <w:sz w:val="24"/>
          <w:szCs w:val="24"/>
        </w:rPr>
        <w:t xml:space="preserve">, M., Sonder, K., &amp; Kassie, M. (2021). Global trends in conservation agriculture adoption and impacts on smallholder farmers. </w:t>
      </w:r>
      <w:r w:rsidRPr="00C2069D">
        <w:rPr>
          <w:rFonts w:ascii="Times New Roman" w:hAnsi="Times New Roman" w:cs="Times New Roman"/>
          <w:i/>
          <w:iCs/>
          <w:sz w:val="24"/>
          <w:szCs w:val="24"/>
        </w:rPr>
        <w:t>Land Use Policy</w:t>
      </w:r>
      <w:r w:rsidRPr="00C2069D">
        <w:rPr>
          <w:rFonts w:ascii="Times New Roman" w:hAnsi="Times New Roman" w:cs="Times New Roman"/>
          <w:sz w:val="24"/>
          <w:szCs w:val="24"/>
        </w:rPr>
        <w:t>, 104, 105-117.</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[6] FAO. (2021). </w:t>
      </w:r>
      <w:r w:rsidRPr="00C2069D">
        <w:rPr>
          <w:rFonts w:ascii="Times New Roman" w:hAnsi="Times New Roman" w:cs="Times New Roman"/>
          <w:i/>
          <w:iCs/>
          <w:sz w:val="24"/>
          <w:szCs w:val="24"/>
        </w:rPr>
        <w:t>Conservation agriculture: Global prospects and challenges</w:t>
      </w:r>
      <w:r w:rsidRPr="00C2069D">
        <w:rPr>
          <w:rFonts w:ascii="Times New Roman" w:hAnsi="Times New Roman" w:cs="Times New Roman"/>
          <w:sz w:val="24"/>
          <w:szCs w:val="24"/>
        </w:rPr>
        <w:t>. Food and Agriculture Organization of the United Nations, Rome.</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[7] </w:t>
      </w:r>
      <w:proofErr w:type="spellStart"/>
      <w:r w:rsidRPr="00C2069D">
        <w:rPr>
          <w:rFonts w:ascii="Times New Roman" w:hAnsi="Times New Roman" w:cs="Times New Roman"/>
          <w:sz w:val="24"/>
          <w:szCs w:val="24"/>
        </w:rPr>
        <w:t>Govindaraj</w:t>
      </w:r>
      <w:proofErr w:type="spellEnd"/>
      <w:r w:rsidRPr="00C2069D">
        <w:rPr>
          <w:rFonts w:ascii="Times New Roman" w:hAnsi="Times New Roman" w:cs="Times New Roman"/>
          <w:sz w:val="24"/>
          <w:szCs w:val="24"/>
        </w:rPr>
        <w:t xml:space="preserve">, M., </w:t>
      </w:r>
      <w:proofErr w:type="spellStart"/>
      <w:r w:rsidRPr="00C2069D">
        <w:rPr>
          <w:rFonts w:ascii="Times New Roman" w:hAnsi="Times New Roman" w:cs="Times New Roman"/>
          <w:sz w:val="24"/>
          <w:szCs w:val="24"/>
        </w:rPr>
        <w:t>Vetriventhan</w:t>
      </w:r>
      <w:proofErr w:type="spellEnd"/>
      <w:r w:rsidRPr="00C2069D">
        <w:rPr>
          <w:rFonts w:ascii="Times New Roman" w:hAnsi="Times New Roman" w:cs="Times New Roman"/>
          <w:sz w:val="24"/>
          <w:szCs w:val="24"/>
        </w:rPr>
        <w:t xml:space="preserve">, M., &amp; Srinivasan, M. (2020). Importance of genetic diversity assessment in crop plants and its recent advances. </w:t>
      </w:r>
      <w:r w:rsidRPr="00C2069D">
        <w:rPr>
          <w:rFonts w:ascii="Times New Roman" w:hAnsi="Times New Roman" w:cs="Times New Roman"/>
          <w:i/>
          <w:iCs/>
          <w:sz w:val="24"/>
          <w:szCs w:val="24"/>
        </w:rPr>
        <w:t>Frontiers in Genetics</w:t>
      </w:r>
      <w:r w:rsidRPr="00C2069D">
        <w:rPr>
          <w:rFonts w:ascii="Times New Roman" w:hAnsi="Times New Roman" w:cs="Times New Roman"/>
          <w:sz w:val="24"/>
          <w:szCs w:val="24"/>
        </w:rPr>
        <w:t>, 11, 1-17.</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[8] </w:t>
      </w:r>
      <w:proofErr w:type="spellStart"/>
      <w:r w:rsidRPr="00C2069D">
        <w:rPr>
          <w:rFonts w:ascii="Times New Roman" w:hAnsi="Times New Roman" w:cs="Times New Roman"/>
          <w:sz w:val="24"/>
          <w:szCs w:val="24"/>
        </w:rPr>
        <w:t>Habiyaremye</w:t>
      </w:r>
      <w:proofErr w:type="spellEnd"/>
      <w:r w:rsidRPr="00C2069D">
        <w:rPr>
          <w:rFonts w:ascii="Times New Roman" w:hAnsi="Times New Roman" w:cs="Times New Roman"/>
          <w:sz w:val="24"/>
          <w:szCs w:val="24"/>
        </w:rPr>
        <w:t xml:space="preserve">, C., </w:t>
      </w:r>
      <w:proofErr w:type="spellStart"/>
      <w:r w:rsidRPr="00C2069D">
        <w:rPr>
          <w:rFonts w:ascii="Times New Roman" w:hAnsi="Times New Roman" w:cs="Times New Roman"/>
          <w:sz w:val="24"/>
          <w:szCs w:val="24"/>
        </w:rPr>
        <w:t>Matanguihan</w:t>
      </w:r>
      <w:proofErr w:type="spellEnd"/>
      <w:r w:rsidRPr="00C2069D">
        <w:rPr>
          <w:rFonts w:ascii="Times New Roman" w:hAnsi="Times New Roman" w:cs="Times New Roman"/>
          <w:sz w:val="24"/>
          <w:szCs w:val="24"/>
        </w:rPr>
        <w:t xml:space="preserve">, J. B., &amp; Murphy, K. M. (2021). </w:t>
      </w:r>
      <w:proofErr w:type="spellStart"/>
      <w:r w:rsidRPr="00C2069D">
        <w:rPr>
          <w:rFonts w:ascii="Times New Roman" w:hAnsi="Times New Roman" w:cs="Times New Roman"/>
          <w:sz w:val="24"/>
          <w:szCs w:val="24"/>
        </w:rPr>
        <w:t>Proso</w:t>
      </w:r>
      <w:proofErr w:type="spellEnd"/>
      <w:r w:rsidRPr="00C2069D">
        <w:rPr>
          <w:rFonts w:ascii="Times New Roman" w:hAnsi="Times New Roman" w:cs="Times New Roman"/>
          <w:sz w:val="24"/>
          <w:szCs w:val="24"/>
        </w:rPr>
        <w:t xml:space="preserve"> millet and finger millet as alternative grains in gluten-free product development. </w:t>
      </w:r>
      <w:r w:rsidRPr="00C2069D">
        <w:rPr>
          <w:rFonts w:ascii="Times New Roman" w:hAnsi="Times New Roman" w:cs="Times New Roman"/>
          <w:i/>
          <w:iCs/>
          <w:sz w:val="24"/>
          <w:szCs w:val="24"/>
        </w:rPr>
        <w:t>Cereal Chemistry</w:t>
      </w:r>
      <w:r w:rsidRPr="00C2069D">
        <w:rPr>
          <w:rFonts w:ascii="Times New Roman" w:hAnsi="Times New Roman" w:cs="Times New Roman"/>
          <w:sz w:val="24"/>
          <w:szCs w:val="24"/>
        </w:rPr>
        <w:t>, 94(2), 230-240.</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[9] ICRISAT. (2022). </w:t>
      </w:r>
      <w:r w:rsidRPr="00C2069D">
        <w:rPr>
          <w:rFonts w:ascii="Times New Roman" w:hAnsi="Times New Roman" w:cs="Times New Roman"/>
          <w:i/>
          <w:iCs/>
          <w:sz w:val="24"/>
          <w:szCs w:val="24"/>
        </w:rPr>
        <w:t>Enhancing millet productivity through improved agronomic practices</w:t>
      </w:r>
      <w:r w:rsidRPr="00C2069D">
        <w:rPr>
          <w:rFonts w:ascii="Times New Roman" w:hAnsi="Times New Roman" w:cs="Times New Roman"/>
          <w:sz w:val="24"/>
          <w:szCs w:val="24"/>
        </w:rPr>
        <w:t xml:space="preserve">. International Crops Research Institute for the Semi-Arid Tropics, </w:t>
      </w:r>
      <w:proofErr w:type="spellStart"/>
      <w:r w:rsidRPr="00C2069D">
        <w:rPr>
          <w:rFonts w:ascii="Times New Roman" w:hAnsi="Times New Roman" w:cs="Times New Roman"/>
          <w:sz w:val="24"/>
          <w:szCs w:val="24"/>
        </w:rPr>
        <w:t>Patancheru</w:t>
      </w:r>
      <w:proofErr w:type="spellEnd"/>
      <w:r w:rsidRPr="00C2069D">
        <w:rPr>
          <w:rFonts w:ascii="Times New Roman" w:hAnsi="Times New Roman" w:cs="Times New Roman"/>
          <w:sz w:val="24"/>
          <w:szCs w:val="24"/>
        </w:rPr>
        <w:t>, India.</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lastRenderedPageBreak/>
        <w:t xml:space="preserve">[10] </w:t>
      </w:r>
      <w:proofErr w:type="spellStart"/>
      <w:r w:rsidRPr="00C2069D">
        <w:rPr>
          <w:rFonts w:ascii="Times New Roman" w:hAnsi="Times New Roman" w:cs="Times New Roman"/>
          <w:sz w:val="24"/>
          <w:szCs w:val="24"/>
        </w:rPr>
        <w:t>Jat</w:t>
      </w:r>
      <w:proofErr w:type="spellEnd"/>
      <w:r w:rsidRPr="00C2069D">
        <w:rPr>
          <w:rFonts w:ascii="Times New Roman" w:hAnsi="Times New Roman" w:cs="Times New Roman"/>
          <w:sz w:val="24"/>
          <w:szCs w:val="24"/>
        </w:rPr>
        <w:t xml:space="preserve">, R. K., Singh, R. G., Kumar, M., &amp; </w:t>
      </w:r>
      <w:proofErr w:type="spellStart"/>
      <w:r w:rsidRPr="00C2069D">
        <w:rPr>
          <w:rFonts w:ascii="Times New Roman" w:hAnsi="Times New Roman" w:cs="Times New Roman"/>
          <w:sz w:val="24"/>
          <w:szCs w:val="24"/>
        </w:rPr>
        <w:t>Jat</w:t>
      </w:r>
      <w:proofErr w:type="spellEnd"/>
      <w:r w:rsidRPr="00C2069D">
        <w:rPr>
          <w:rFonts w:ascii="Times New Roman" w:hAnsi="Times New Roman" w:cs="Times New Roman"/>
          <w:sz w:val="24"/>
          <w:szCs w:val="24"/>
        </w:rPr>
        <w:t xml:space="preserve">, M. L. (2022). Conservation agriculture effects on soil properties and crop productivity in a semiarid environment. </w:t>
      </w:r>
      <w:r w:rsidRPr="00C2069D">
        <w:rPr>
          <w:rFonts w:ascii="Times New Roman" w:hAnsi="Times New Roman" w:cs="Times New Roman"/>
          <w:i/>
          <w:iCs/>
          <w:sz w:val="24"/>
          <w:szCs w:val="24"/>
        </w:rPr>
        <w:t>Soil and Tillage Research</w:t>
      </w:r>
      <w:r w:rsidRPr="00C2069D">
        <w:rPr>
          <w:rFonts w:ascii="Times New Roman" w:hAnsi="Times New Roman" w:cs="Times New Roman"/>
          <w:sz w:val="24"/>
          <w:szCs w:val="24"/>
        </w:rPr>
        <w:t>, 218, 105-116.</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[11] Kumar, A., Tomer, V., Kaur, A., Kumar, V., &amp; Gupta, K. (2021). Millets: A solution to agrarian and nutritional challenges. </w:t>
      </w:r>
      <w:r w:rsidRPr="00C2069D">
        <w:rPr>
          <w:rFonts w:ascii="Times New Roman" w:hAnsi="Times New Roman" w:cs="Times New Roman"/>
          <w:i/>
          <w:iCs/>
          <w:sz w:val="24"/>
          <w:szCs w:val="24"/>
        </w:rPr>
        <w:t>Agriculture &amp; Food Security</w:t>
      </w:r>
      <w:r w:rsidRPr="00C2069D">
        <w:rPr>
          <w:rFonts w:ascii="Times New Roman" w:hAnsi="Times New Roman" w:cs="Times New Roman"/>
          <w:sz w:val="24"/>
          <w:szCs w:val="24"/>
        </w:rPr>
        <w:t>, 10(1), 31-45.</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[12] Lal, R. (2020). Managing soils for negative feedback to climate change and positive impact on food and nutritional security. </w:t>
      </w:r>
      <w:r w:rsidRPr="00C2069D">
        <w:rPr>
          <w:rFonts w:ascii="Times New Roman" w:hAnsi="Times New Roman" w:cs="Times New Roman"/>
          <w:i/>
          <w:iCs/>
          <w:sz w:val="24"/>
          <w:szCs w:val="24"/>
        </w:rPr>
        <w:t>Soil Science and Plant Nutrition</w:t>
      </w:r>
      <w:r w:rsidRPr="00C2069D">
        <w:rPr>
          <w:rFonts w:ascii="Times New Roman" w:hAnsi="Times New Roman" w:cs="Times New Roman"/>
          <w:sz w:val="24"/>
          <w:szCs w:val="24"/>
        </w:rPr>
        <w:t>, 66(1), 1-9.</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[13] Mishra, J. S., Thakur, N. S., Singh, P., &amp; </w:t>
      </w:r>
      <w:proofErr w:type="spellStart"/>
      <w:r w:rsidRPr="00C2069D">
        <w:rPr>
          <w:rFonts w:ascii="Times New Roman" w:hAnsi="Times New Roman" w:cs="Times New Roman"/>
          <w:sz w:val="24"/>
          <w:szCs w:val="24"/>
        </w:rPr>
        <w:t>Kubsad</w:t>
      </w:r>
      <w:proofErr w:type="spellEnd"/>
      <w:r w:rsidRPr="00C2069D">
        <w:rPr>
          <w:rFonts w:ascii="Times New Roman" w:hAnsi="Times New Roman" w:cs="Times New Roman"/>
          <w:sz w:val="24"/>
          <w:szCs w:val="24"/>
        </w:rPr>
        <w:t xml:space="preserve">, V. S. (2021). Tillage and weed management effects on productivity of dryland finger millet. </w:t>
      </w:r>
      <w:r w:rsidRPr="00C2069D">
        <w:rPr>
          <w:rFonts w:ascii="Times New Roman" w:hAnsi="Times New Roman" w:cs="Times New Roman"/>
          <w:i/>
          <w:iCs/>
          <w:sz w:val="24"/>
          <w:szCs w:val="24"/>
        </w:rPr>
        <w:t>Indian Journal of Weed Science</w:t>
      </w:r>
      <w:r w:rsidRPr="00C2069D">
        <w:rPr>
          <w:rFonts w:ascii="Times New Roman" w:hAnsi="Times New Roman" w:cs="Times New Roman"/>
          <w:sz w:val="24"/>
          <w:szCs w:val="24"/>
        </w:rPr>
        <w:t>, 51(3), 210-213.</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[14] Nayak, H. S., Parihar, C. M., Mandal, B. N., &amp; Patra, K. (2022). Effect of conservation agriculture on soil health and crop productivity: A review. </w:t>
      </w:r>
      <w:r w:rsidRPr="00C2069D">
        <w:rPr>
          <w:rFonts w:ascii="Times New Roman" w:hAnsi="Times New Roman" w:cs="Times New Roman"/>
          <w:i/>
          <w:iCs/>
          <w:sz w:val="24"/>
          <w:szCs w:val="24"/>
        </w:rPr>
        <w:t>Journal of Soil Science and Plant Nutrition</w:t>
      </w:r>
      <w:r w:rsidRPr="00C2069D">
        <w:rPr>
          <w:rFonts w:ascii="Times New Roman" w:hAnsi="Times New Roman" w:cs="Times New Roman"/>
          <w:sz w:val="24"/>
          <w:szCs w:val="24"/>
        </w:rPr>
        <w:t>, 22(1), 432-448.</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[15] </w:t>
      </w:r>
      <w:proofErr w:type="spellStart"/>
      <w:r w:rsidRPr="00C2069D">
        <w:rPr>
          <w:rFonts w:ascii="Times New Roman" w:hAnsi="Times New Roman" w:cs="Times New Roman"/>
          <w:sz w:val="24"/>
          <w:szCs w:val="24"/>
        </w:rPr>
        <w:t>Obalum</w:t>
      </w:r>
      <w:proofErr w:type="spellEnd"/>
      <w:r w:rsidRPr="00C2069D">
        <w:rPr>
          <w:rFonts w:ascii="Times New Roman" w:hAnsi="Times New Roman" w:cs="Times New Roman"/>
          <w:sz w:val="24"/>
          <w:szCs w:val="24"/>
        </w:rPr>
        <w:t xml:space="preserve">, S. E., </w:t>
      </w:r>
      <w:proofErr w:type="spellStart"/>
      <w:r w:rsidRPr="00C2069D">
        <w:rPr>
          <w:rFonts w:ascii="Times New Roman" w:hAnsi="Times New Roman" w:cs="Times New Roman"/>
          <w:sz w:val="24"/>
          <w:szCs w:val="24"/>
        </w:rPr>
        <w:t>Chibuike</w:t>
      </w:r>
      <w:proofErr w:type="spellEnd"/>
      <w:r w:rsidRPr="00C2069D">
        <w:rPr>
          <w:rFonts w:ascii="Times New Roman" w:hAnsi="Times New Roman" w:cs="Times New Roman"/>
          <w:sz w:val="24"/>
          <w:szCs w:val="24"/>
        </w:rPr>
        <w:t xml:space="preserve">, G. U., Peth, S., &amp; Ouyang, Y. (2021). Soil organic matter as sole indicator of soil degradation. </w:t>
      </w:r>
      <w:r w:rsidRPr="00C2069D">
        <w:rPr>
          <w:rFonts w:ascii="Times New Roman" w:hAnsi="Times New Roman" w:cs="Times New Roman"/>
          <w:i/>
          <w:iCs/>
          <w:sz w:val="24"/>
          <w:szCs w:val="24"/>
        </w:rPr>
        <w:t>Environmental Monitoring and Assessment</w:t>
      </w:r>
      <w:r w:rsidRPr="00C2069D">
        <w:rPr>
          <w:rFonts w:ascii="Times New Roman" w:hAnsi="Times New Roman" w:cs="Times New Roman"/>
          <w:sz w:val="24"/>
          <w:szCs w:val="24"/>
        </w:rPr>
        <w:t>, 189(4), 176-188.</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[16] Page, A. L., Miller, R. H., &amp; Keeney, D. R. (2020). </w:t>
      </w:r>
      <w:r w:rsidRPr="00C2069D">
        <w:rPr>
          <w:rFonts w:ascii="Times New Roman" w:hAnsi="Times New Roman" w:cs="Times New Roman"/>
          <w:i/>
          <w:iCs/>
          <w:sz w:val="24"/>
          <w:szCs w:val="24"/>
        </w:rPr>
        <w:t>Methods of soil analysis</w:t>
      </w:r>
      <w:r w:rsidRPr="00C2069D">
        <w:rPr>
          <w:rFonts w:ascii="Times New Roman" w:hAnsi="Times New Roman" w:cs="Times New Roman"/>
          <w:sz w:val="24"/>
          <w:szCs w:val="24"/>
        </w:rPr>
        <w:t>. American Society of Agronomy, Madison, Wisconsin.</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[17] Parihar, C. M., Yadav, M. R., &amp; </w:t>
      </w:r>
      <w:proofErr w:type="spellStart"/>
      <w:r w:rsidRPr="00C2069D">
        <w:rPr>
          <w:rFonts w:ascii="Times New Roman" w:hAnsi="Times New Roman" w:cs="Times New Roman"/>
          <w:sz w:val="24"/>
          <w:szCs w:val="24"/>
        </w:rPr>
        <w:t>Jat</w:t>
      </w:r>
      <w:proofErr w:type="spellEnd"/>
      <w:r w:rsidRPr="00C2069D">
        <w:rPr>
          <w:rFonts w:ascii="Times New Roman" w:hAnsi="Times New Roman" w:cs="Times New Roman"/>
          <w:sz w:val="24"/>
          <w:szCs w:val="24"/>
        </w:rPr>
        <w:t xml:space="preserve">, S. L. (2020). Long-term conservation agriculture and diversified cropping systems. </w:t>
      </w:r>
      <w:r w:rsidRPr="00C2069D">
        <w:rPr>
          <w:rFonts w:ascii="Times New Roman" w:hAnsi="Times New Roman" w:cs="Times New Roman"/>
          <w:i/>
          <w:iCs/>
          <w:sz w:val="24"/>
          <w:szCs w:val="24"/>
        </w:rPr>
        <w:t>Field Crops Research</w:t>
      </w:r>
      <w:r w:rsidRPr="00C2069D">
        <w:rPr>
          <w:rFonts w:ascii="Times New Roman" w:hAnsi="Times New Roman" w:cs="Times New Roman"/>
          <w:sz w:val="24"/>
          <w:szCs w:val="24"/>
        </w:rPr>
        <w:t>, 248, 107-119.</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[18] Qin, X., Huang, T., Lu, C., &amp; Li, P. (2021). Benefits and limitations of conservation tillage adoption in dryland regions. </w:t>
      </w:r>
      <w:r w:rsidRPr="00C2069D">
        <w:rPr>
          <w:rFonts w:ascii="Times New Roman" w:hAnsi="Times New Roman" w:cs="Times New Roman"/>
          <w:i/>
          <w:iCs/>
          <w:sz w:val="24"/>
          <w:szCs w:val="24"/>
        </w:rPr>
        <w:t>Agriculture, Ecosystems &amp; Environment</w:t>
      </w:r>
      <w:r w:rsidRPr="00C2069D">
        <w:rPr>
          <w:rFonts w:ascii="Times New Roman" w:hAnsi="Times New Roman" w:cs="Times New Roman"/>
          <w:sz w:val="24"/>
          <w:szCs w:val="24"/>
        </w:rPr>
        <w:t>, 306, 107-116.</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[19] </w:t>
      </w:r>
      <w:proofErr w:type="spellStart"/>
      <w:r w:rsidRPr="00C2069D">
        <w:rPr>
          <w:rFonts w:ascii="Times New Roman" w:hAnsi="Times New Roman" w:cs="Times New Roman"/>
          <w:sz w:val="24"/>
          <w:szCs w:val="24"/>
        </w:rPr>
        <w:t>Rangaswamy</w:t>
      </w:r>
      <w:proofErr w:type="spellEnd"/>
      <w:r w:rsidRPr="00C2069D">
        <w:rPr>
          <w:rFonts w:ascii="Times New Roman" w:hAnsi="Times New Roman" w:cs="Times New Roman"/>
          <w:sz w:val="24"/>
          <w:szCs w:val="24"/>
        </w:rPr>
        <w:t xml:space="preserve">, R. (2021). </w:t>
      </w:r>
      <w:r w:rsidRPr="00C2069D">
        <w:rPr>
          <w:rFonts w:ascii="Times New Roman" w:hAnsi="Times New Roman" w:cs="Times New Roman"/>
          <w:i/>
          <w:iCs/>
          <w:sz w:val="24"/>
          <w:szCs w:val="24"/>
        </w:rPr>
        <w:t>A textbook of agricultural statistics</w:t>
      </w:r>
      <w:r w:rsidRPr="00C2069D">
        <w:rPr>
          <w:rFonts w:ascii="Times New Roman" w:hAnsi="Times New Roman" w:cs="Times New Roman"/>
          <w:sz w:val="24"/>
          <w:szCs w:val="24"/>
        </w:rPr>
        <w:t>. New Age International Publishers, New Delhi.</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[20] Rao, S. C., Gopinath, K. A., Prasad, J. V., &amp; Singh, A. K. (2022). Climate resilient villages for sustainable food security: An assessment. </w:t>
      </w:r>
      <w:r w:rsidRPr="00C2069D">
        <w:rPr>
          <w:rFonts w:ascii="Times New Roman" w:hAnsi="Times New Roman" w:cs="Times New Roman"/>
          <w:i/>
          <w:iCs/>
          <w:sz w:val="24"/>
          <w:szCs w:val="24"/>
        </w:rPr>
        <w:t>Agricultural Systems</w:t>
      </w:r>
      <w:r w:rsidRPr="00C2069D">
        <w:rPr>
          <w:rFonts w:ascii="Times New Roman" w:hAnsi="Times New Roman" w:cs="Times New Roman"/>
          <w:sz w:val="24"/>
          <w:szCs w:val="24"/>
        </w:rPr>
        <w:t>, 195, 103-117.</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[21] Sharma, K. L., Mandal, U. K., &amp; Srinivas, K. (2021). Effect of conservation agricultural practices on soil health indicators. </w:t>
      </w:r>
      <w:proofErr w:type="spellStart"/>
      <w:r w:rsidRPr="00C2069D">
        <w:rPr>
          <w:rFonts w:ascii="Times New Roman" w:hAnsi="Times New Roman" w:cs="Times New Roman"/>
          <w:i/>
          <w:iCs/>
          <w:sz w:val="24"/>
          <w:szCs w:val="24"/>
        </w:rPr>
        <w:t>Geoderma</w:t>
      </w:r>
      <w:proofErr w:type="spellEnd"/>
      <w:r w:rsidRPr="00C2069D">
        <w:rPr>
          <w:rFonts w:ascii="Times New Roman" w:hAnsi="Times New Roman" w:cs="Times New Roman"/>
          <w:sz w:val="24"/>
          <w:szCs w:val="24"/>
        </w:rPr>
        <w:t>, 382, 114-127.</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[22] Singh, R., Kumar, S., &amp; Singh, A. K. (2020). Yield response and economics of conservation agriculture in South Asia. </w:t>
      </w:r>
      <w:r w:rsidRPr="00C2069D">
        <w:rPr>
          <w:rFonts w:ascii="Times New Roman" w:hAnsi="Times New Roman" w:cs="Times New Roman"/>
          <w:i/>
          <w:iCs/>
          <w:sz w:val="24"/>
          <w:szCs w:val="24"/>
        </w:rPr>
        <w:t>Agricultural Economics Research Review</w:t>
      </w:r>
      <w:r w:rsidRPr="00C2069D">
        <w:rPr>
          <w:rFonts w:ascii="Times New Roman" w:hAnsi="Times New Roman" w:cs="Times New Roman"/>
          <w:sz w:val="24"/>
          <w:szCs w:val="24"/>
        </w:rPr>
        <w:t>, 33(1), 45-58.</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[23] Thakur, R., </w:t>
      </w:r>
      <w:proofErr w:type="spellStart"/>
      <w:r w:rsidRPr="00C2069D">
        <w:rPr>
          <w:rFonts w:ascii="Times New Roman" w:hAnsi="Times New Roman" w:cs="Times New Roman"/>
          <w:sz w:val="24"/>
          <w:szCs w:val="24"/>
        </w:rPr>
        <w:t>Pristijono</w:t>
      </w:r>
      <w:proofErr w:type="spellEnd"/>
      <w:r w:rsidRPr="00C2069D">
        <w:rPr>
          <w:rFonts w:ascii="Times New Roman" w:hAnsi="Times New Roman" w:cs="Times New Roman"/>
          <w:sz w:val="24"/>
          <w:szCs w:val="24"/>
        </w:rPr>
        <w:t xml:space="preserve">, P., &amp; Scarlett, C. J. (2021). Nutritional and nutraceutical properties of finger millet: Current status and future prospects. </w:t>
      </w:r>
      <w:r w:rsidRPr="00C2069D">
        <w:rPr>
          <w:rFonts w:ascii="Times New Roman" w:hAnsi="Times New Roman" w:cs="Times New Roman"/>
          <w:i/>
          <w:iCs/>
          <w:sz w:val="24"/>
          <w:szCs w:val="24"/>
        </w:rPr>
        <w:t>Journal of Food Science and Technology</w:t>
      </w:r>
      <w:r w:rsidRPr="00C2069D">
        <w:rPr>
          <w:rFonts w:ascii="Times New Roman" w:hAnsi="Times New Roman" w:cs="Times New Roman"/>
          <w:sz w:val="24"/>
          <w:szCs w:val="24"/>
        </w:rPr>
        <w:t>, 58(1), 1-16.</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[24] Upadhyaya, H. D., Ramesh, S., &amp; Sharma, S. (2021). Genetic diversity and population structure of finger millet germplasm. </w:t>
      </w:r>
      <w:r w:rsidRPr="00C2069D">
        <w:rPr>
          <w:rFonts w:ascii="Times New Roman" w:hAnsi="Times New Roman" w:cs="Times New Roman"/>
          <w:i/>
          <w:iCs/>
          <w:sz w:val="24"/>
          <w:szCs w:val="24"/>
        </w:rPr>
        <w:t>BMC Plant Biology</w:t>
      </w:r>
      <w:r w:rsidRPr="00C2069D">
        <w:rPr>
          <w:rFonts w:ascii="Times New Roman" w:hAnsi="Times New Roman" w:cs="Times New Roman"/>
          <w:sz w:val="24"/>
          <w:szCs w:val="24"/>
        </w:rPr>
        <w:t>, 11(1), 1-12.</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[25] Varshney, R. K., Shi, C., &amp; </w:t>
      </w:r>
      <w:proofErr w:type="spellStart"/>
      <w:r w:rsidRPr="00C2069D">
        <w:rPr>
          <w:rFonts w:ascii="Times New Roman" w:hAnsi="Times New Roman" w:cs="Times New Roman"/>
          <w:sz w:val="24"/>
          <w:szCs w:val="24"/>
        </w:rPr>
        <w:t>Thudi</w:t>
      </w:r>
      <w:proofErr w:type="spellEnd"/>
      <w:r w:rsidRPr="00C2069D">
        <w:rPr>
          <w:rFonts w:ascii="Times New Roman" w:hAnsi="Times New Roman" w:cs="Times New Roman"/>
          <w:sz w:val="24"/>
          <w:szCs w:val="24"/>
        </w:rPr>
        <w:t xml:space="preserve">, M. (2021). Pearl millet genome sequence provides a resource for agronomic trait improvement. </w:t>
      </w:r>
      <w:r w:rsidRPr="00C2069D">
        <w:rPr>
          <w:rFonts w:ascii="Times New Roman" w:hAnsi="Times New Roman" w:cs="Times New Roman"/>
          <w:i/>
          <w:iCs/>
          <w:sz w:val="24"/>
          <w:szCs w:val="24"/>
        </w:rPr>
        <w:t>Nature Biotechnology</w:t>
      </w:r>
      <w:r w:rsidRPr="00C2069D">
        <w:rPr>
          <w:rFonts w:ascii="Times New Roman" w:hAnsi="Times New Roman" w:cs="Times New Roman"/>
          <w:sz w:val="24"/>
          <w:szCs w:val="24"/>
        </w:rPr>
        <w:t>, 35(10), 969-976.</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lastRenderedPageBreak/>
        <w:t xml:space="preserve">[26] Verhulst, N., Francois, I., &amp; </w:t>
      </w:r>
      <w:proofErr w:type="spellStart"/>
      <w:r w:rsidRPr="00C2069D">
        <w:rPr>
          <w:rFonts w:ascii="Times New Roman" w:hAnsi="Times New Roman" w:cs="Times New Roman"/>
          <w:sz w:val="24"/>
          <w:szCs w:val="24"/>
        </w:rPr>
        <w:t>Govaerts</w:t>
      </w:r>
      <w:proofErr w:type="spellEnd"/>
      <w:r w:rsidRPr="00C2069D">
        <w:rPr>
          <w:rFonts w:ascii="Times New Roman" w:hAnsi="Times New Roman" w:cs="Times New Roman"/>
          <w:sz w:val="24"/>
          <w:szCs w:val="24"/>
        </w:rPr>
        <w:t xml:space="preserve">, B. (2020). Conservation agriculture and soil carbon sequestration. </w:t>
      </w:r>
      <w:r w:rsidRPr="00C2069D">
        <w:rPr>
          <w:rFonts w:ascii="Times New Roman" w:hAnsi="Times New Roman" w:cs="Times New Roman"/>
          <w:i/>
          <w:iCs/>
          <w:sz w:val="24"/>
          <w:szCs w:val="24"/>
        </w:rPr>
        <w:t>Agriculture, Ecosystems &amp; Environment</w:t>
      </w:r>
      <w:r w:rsidRPr="00C2069D">
        <w:rPr>
          <w:rFonts w:ascii="Times New Roman" w:hAnsi="Times New Roman" w:cs="Times New Roman"/>
          <w:sz w:val="24"/>
          <w:szCs w:val="24"/>
        </w:rPr>
        <w:t>, 305, 107-118.</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[27] Wang, F., Weil, R. R., &amp; Nan, X. (2022). Conservation tillage increases soil bacterial diversity in agricultural ecosystems. </w:t>
      </w:r>
      <w:r w:rsidRPr="00C2069D">
        <w:rPr>
          <w:rFonts w:ascii="Times New Roman" w:hAnsi="Times New Roman" w:cs="Times New Roman"/>
          <w:i/>
          <w:iCs/>
          <w:sz w:val="24"/>
          <w:szCs w:val="24"/>
        </w:rPr>
        <w:t>Soil Biology and Biochemistry</w:t>
      </w:r>
      <w:r w:rsidRPr="00C2069D">
        <w:rPr>
          <w:rFonts w:ascii="Times New Roman" w:hAnsi="Times New Roman" w:cs="Times New Roman"/>
          <w:sz w:val="24"/>
          <w:szCs w:val="24"/>
        </w:rPr>
        <w:t>, 154, 108-119.</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[28] Xavier, A., Thakur, M., &amp; Kumar, A. (2021). Water management in dryland agriculture: Challenges and opportunities. </w:t>
      </w:r>
      <w:r w:rsidRPr="00C2069D">
        <w:rPr>
          <w:rFonts w:ascii="Times New Roman" w:hAnsi="Times New Roman" w:cs="Times New Roman"/>
          <w:i/>
          <w:iCs/>
          <w:sz w:val="24"/>
          <w:szCs w:val="24"/>
        </w:rPr>
        <w:t>Agricultural Water Management</w:t>
      </w:r>
      <w:r w:rsidRPr="00C2069D">
        <w:rPr>
          <w:rFonts w:ascii="Times New Roman" w:hAnsi="Times New Roman" w:cs="Times New Roman"/>
          <w:sz w:val="24"/>
          <w:szCs w:val="24"/>
        </w:rPr>
        <w:t>, 248, 106-118.</w:t>
      </w:r>
    </w:p>
    <w:p w:rsidR="00C2069D" w:rsidRPr="00C2069D" w:rsidRDefault="00C2069D" w:rsidP="00C2069D">
      <w:pPr>
        <w:jc w:val="both"/>
        <w:rPr>
          <w:rFonts w:ascii="Times New Roman" w:hAnsi="Times New Roman" w:cs="Times New Roman"/>
          <w:sz w:val="24"/>
          <w:szCs w:val="24"/>
        </w:rPr>
      </w:pPr>
      <w:r w:rsidRPr="00C2069D">
        <w:rPr>
          <w:rFonts w:ascii="Times New Roman" w:hAnsi="Times New Roman" w:cs="Times New Roman"/>
          <w:sz w:val="24"/>
          <w:szCs w:val="24"/>
        </w:rPr>
        <w:t xml:space="preserve">[29] Yadav, G. S., Das, A., &amp; Lal, R. (2021). Conservation tillage and mulching effects on soil properties. </w:t>
      </w:r>
      <w:r w:rsidRPr="00C2069D">
        <w:rPr>
          <w:rFonts w:ascii="Times New Roman" w:hAnsi="Times New Roman" w:cs="Times New Roman"/>
          <w:i/>
          <w:iCs/>
          <w:sz w:val="24"/>
          <w:szCs w:val="24"/>
        </w:rPr>
        <w:t>Soil and Tillage Research</w:t>
      </w:r>
      <w:r w:rsidRPr="00C2069D">
        <w:rPr>
          <w:rFonts w:ascii="Times New Roman" w:hAnsi="Times New Roman" w:cs="Times New Roman"/>
          <w:sz w:val="24"/>
          <w:szCs w:val="24"/>
        </w:rPr>
        <w:t>,</w:t>
      </w:r>
    </w:p>
    <w:p w:rsidR="0022155B" w:rsidRPr="0022155B" w:rsidRDefault="0022155B" w:rsidP="00C2069D">
      <w:pPr>
        <w:jc w:val="both"/>
        <w:rPr>
          <w:rFonts w:ascii="Times New Roman" w:hAnsi="Times New Roman" w:cs="Times New Roman"/>
          <w:sz w:val="24"/>
          <w:szCs w:val="24"/>
        </w:rPr>
      </w:pPr>
    </w:p>
    <w:sectPr w:rsidR="0022155B" w:rsidRPr="0022155B">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26D1" w:rsidRDefault="003A26D1" w:rsidP="00BF5808">
      <w:pPr>
        <w:spacing w:after="0" w:line="240" w:lineRule="auto"/>
      </w:pPr>
      <w:r>
        <w:separator/>
      </w:r>
    </w:p>
  </w:endnote>
  <w:endnote w:type="continuationSeparator" w:id="0">
    <w:p w:rsidR="003A26D1" w:rsidRDefault="003A26D1" w:rsidP="00BF5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808" w:rsidRDefault="00BF5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808" w:rsidRDefault="00BF58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808" w:rsidRDefault="00BF5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26D1" w:rsidRDefault="003A26D1" w:rsidP="00BF5808">
      <w:pPr>
        <w:spacing w:after="0" w:line="240" w:lineRule="auto"/>
      </w:pPr>
      <w:r>
        <w:separator/>
      </w:r>
    </w:p>
  </w:footnote>
  <w:footnote w:type="continuationSeparator" w:id="0">
    <w:p w:rsidR="003A26D1" w:rsidRDefault="003A26D1" w:rsidP="00BF58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808" w:rsidRDefault="00BF580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343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808" w:rsidRDefault="00BF580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343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808" w:rsidRDefault="00BF580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343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37910019"/>
    <w:multiLevelType w:val="multilevel"/>
    <w:tmpl w:val="E93C57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B802CE"/>
    <w:multiLevelType w:val="multilevel"/>
    <w:tmpl w:val="6C9611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5"/>
  </w:num>
  <w:num w:numId="3">
    <w:abstractNumId w:val="4"/>
  </w:num>
  <w:num w:numId="4">
    <w:abstractNumId w:val="7"/>
  </w:num>
  <w:num w:numId="5">
    <w:abstractNumId w:val="6"/>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E8"/>
    <w:rsid w:val="00013512"/>
    <w:rsid w:val="00172C50"/>
    <w:rsid w:val="001D0A8C"/>
    <w:rsid w:val="001F173C"/>
    <w:rsid w:val="0022155B"/>
    <w:rsid w:val="00247B9F"/>
    <w:rsid w:val="002F096D"/>
    <w:rsid w:val="0032155B"/>
    <w:rsid w:val="00391A6A"/>
    <w:rsid w:val="003A26D1"/>
    <w:rsid w:val="005363CC"/>
    <w:rsid w:val="005457EF"/>
    <w:rsid w:val="005A5785"/>
    <w:rsid w:val="005D0259"/>
    <w:rsid w:val="005E72E8"/>
    <w:rsid w:val="0063529C"/>
    <w:rsid w:val="00647B57"/>
    <w:rsid w:val="006B42FD"/>
    <w:rsid w:val="007316BA"/>
    <w:rsid w:val="00755A9F"/>
    <w:rsid w:val="00776AAA"/>
    <w:rsid w:val="0079339C"/>
    <w:rsid w:val="00850C44"/>
    <w:rsid w:val="0096095D"/>
    <w:rsid w:val="009C0C38"/>
    <w:rsid w:val="009D718B"/>
    <w:rsid w:val="00A25762"/>
    <w:rsid w:val="00A4239E"/>
    <w:rsid w:val="00A660F0"/>
    <w:rsid w:val="00A96A8B"/>
    <w:rsid w:val="00B54C17"/>
    <w:rsid w:val="00BF421B"/>
    <w:rsid w:val="00BF5808"/>
    <w:rsid w:val="00C2069D"/>
    <w:rsid w:val="00C212C0"/>
    <w:rsid w:val="00C327FD"/>
    <w:rsid w:val="00C65C2E"/>
    <w:rsid w:val="00C9774E"/>
    <w:rsid w:val="00CD7438"/>
    <w:rsid w:val="00D13EB7"/>
    <w:rsid w:val="00D21F49"/>
    <w:rsid w:val="00D65EFE"/>
    <w:rsid w:val="00DF71DA"/>
    <w:rsid w:val="00E77526"/>
    <w:rsid w:val="00F32B76"/>
    <w:rsid w:val="00F92B23"/>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17B110C-4771-4685-9744-B2D3EB40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2E8"/>
  </w:style>
  <w:style w:type="paragraph" w:styleId="Heading1">
    <w:name w:val="heading 1"/>
    <w:basedOn w:val="Normal"/>
    <w:next w:val="Normal"/>
    <w:link w:val="Heading1Char"/>
    <w:uiPriority w:val="9"/>
    <w:qFormat/>
    <w:rsid w:val="00C206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Heading1Char">
    <w:name w:val="Heading 1 Char"/>
    <w:basedOn w:val="DefaultParagraphFont"/>
    <w:link w:val="Heading1"/>
    <w:uiPriority w:val="9"/>
    <w:rsid w:val="00C2069D"/>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BF58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808"/>
  </w:style>
  <w:style w:type="paragraph" w:styleId="Footer">
    <w:name w:val="footer"/>
    <w:basedOn w:val="Normal"/>
    <w:link w:val="FooterChar"/>
    <w:uiPriority w:val="99"/>
    <w:unhideWhenUsed/>
    <w:rsid w:val="00BF58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37874448">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1192992">
      <w:bodyDiv w:val="1"/>
      <w:marLeft w:val="0"/>
      <w:marRight w:val="0"/>
      <w:marTop w:val="0"/>
      <w:marBottom w:val="0"/>
      <w:divBdr>
        <w:top w:val="none" w:sz="0" w:space="0" w:color="auto"/>
        <w:left w:val="none" w:sz="0" w:space="0" w:color="auto"/>
        <w:bottom w:val="none" w:sz="0" w:space="0" w:color="auto"/>
        <w:right w:val="none" w:sz="0" w:space="0" w:color="auto"/>
      </w:divBdr>
      <w:divsChild>
        <w:div w:id="505750628">
          <w:marLeft w:val="0"/>
          <w:marRight w:val="0"/>
          <w:marTop w:val="0"/>
          <w:marBottom w:val="0"/>
          <w:divBdr>
            <w:top w:val="none" w:sz="0" w:space="0" w:color="auto"/>
            <w:left w:val="none" w:sz="0" w:space="0" w:color="auto"/>
            <w:bottom w:val="none" w:sz="0" w:space="0" w:color="auto"/>
            <w:right w:val="none" w:sz="0" w:space="0" w:color="auto"/>
          </w:divBdr>
          <w:divsChild>
            <w:div w:id="11745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51251672">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707948985">
      <w:bodyDiv w:val="1"/>
      <w:marLeft w:val="0"/>
      <w:marRight w:val="0"/>
      <w:marTop w:val="0"/>
      <w:marBottom w:val="0"/>
      <w:divBdr>
        <w:top w:val="none" w:sz="0" w:space="0" w:color="auto"/>
        <w:left w:val="none" w:sz="0" w:space="0" w:color="auto"/>
        <w:bottom w:val="none" w:sz="0" w:space="0" w:color="auto"/>
        <w:right w:val="none" w:sz="0" w:space="0" w:color="auto"/>
      </w:divBdr>
    </w:div>
    <w:div w:id="783693828">
      <w:bodyDiv w:val="1"/>
      <w:marLeft w:val="0"/>
      <w:marRight w:val="0"/>
      <w:marTop w:val="0"/>
      <w:marBottom w:val="0"/>
      <w:divBdr>
        <w:top w:val="none" w:sz="0" w:space="0" w:color="auto"/>
        <w:left w:val="none" w:sz="0" w:space="0" w:color="auto"/>
        <w:bottom w:val="none" w:sz="0" w:space="0" w:color="auto"/>
        <w:right w:val="none" w:sz="0" w:space="0" w:color="auto"/>
      </w:divBdr>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797779">
      <w:bodyDiv w:val="1"/>
      <w:marLeft w:val="0"/>
      <w:marRight w:val="0"/>
      <w:marTop w:val="0"/>
      <w:marBottom w:val="0"/>
      <w:divBdr>
        <w:top w:val="none" w:sz="0" w:space="0" w:color="auto"/>
        <w:left w:val="none" w:sz="0" w:space="0" w:color="auto"/>
        <w:bottom w:val="none" w:sz="0" w:space="0" w:color="auto"/>
        <w:right w:val="none" w:sz="0" w:space="0" w:color="auto"/>
      </w:divBdr>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145124030">
      <w:bodyDiv w:val="1"/>
      <w:marLeft w:val="0"/>
      <w:marRight w:val="0"/>
      <w:marTop w:val="0"/>
      <w:marBottom w:val="0"/>
      <w:divBdr>
        <w:top w:val="none" w:sz="0" w:space="0" w:color="auto"/>
        <w:left w:val="none" w:sz="0" w:space="0" w:color="auto"/>
        <w:bottom w:val="none" w:sz="0" w:space="0" w:color="auto"/>
        <w:right w:val="none" w:sz="0" w:space="0" w:color="auto"/>
      </w:divBdr>
    </w:div>
    <w:div w:id="1181745700">
      <w:bodyDiv w:val="1"/>
      <w:marLeft w:val="0"/>
      <w:marRight w:val="0"/>
      <w:marTop w:val="0"/>
      <w:marBottom w:val="0"/>
      <w:divBdr>
        <w:top w:val="none" w:sz="0" w:space="0" w:color="auto"/>
        <w:left w:val="none" w:sz="0" w:space="0" w:color="auto"/>
        <w:bottom w:val="none" w:sz="0" w:space="0" w:color="auto"/>
        <w:right w:val="none" w:sz="0" w:space="0" w:color="auto"/>
      </w:divBdr>
    </w:div>
    <w:div w:id="1207522547">
      <w:bodyDiv w:val="1"/>
      <w:marLeft w:val="0"/>
      <w:marRight w:val="0"/>
      <w:marTop w:val="0"/>
      <w:marBottom w:val="0"/>
      <w:divBdr>
        <w:top w:val="none" w:sz="0" w:space="0" w:color="auto"/>
        <w:left w:val="none" w:sz="0" w:space="0" w:color="auto"/>
        <w:bottom w:val="none" w:sz="0" w:space="0" w:color="auto"/>
        <w:right w:val="none" w:sz="0" w:space="0" w:color="auto"/>
      </w:divBdr>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783459040">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2018145392">
      <w:bodyDiv w:val="1"/>
      <w:marLeft w:val="0"/>
      <w:marRight w:val="0"/>
      <w:marTop w:val="0"/>
      <w:marBottom w:val="0"/>
      <w:divBdr>
        <w:top w:val="none" w:sz="0" w:space="0" w:color="auto"/>
        <w:left w:val="none" w:sz="0" w:space="0" w:color="auto"/>
        <w:bottom w:val="none" w:sz="0" w:space="0" w:color="auto"/>
        <w:right w:val="none" w:sz="0" w:space="0" w:color="auto"/>
      </w:divBdr>
    </w:div>
    <w:div w:id="2020355057">
      <w:bodyDiv w:val="1"/>
      <w:marLeft w:val="0"/>
      <w:marRight w:val="0"/>
      <w:marTop w:val="0"/>
      <w:marBottom w:val="0"/>
      <w:divBdr>
        <w:top w:val="none" w:sz="0" w:space="0" w:color="auto"/>
        <w:left w:val="none" w:sz="0" w:space="0" w:color="auto"/>
        <w:bottom w:val="none" w:sz="0" w:space="0" w:color="auto"/>
        <w:right w:val="none" w:sz="0" w:space="0" w:color="auto"/>
      </w:divBdr>
      <w:divsChild>
        <w:div w:id="1636909751">
          <w:marLeft w:val="0"/>
          <w:marRight w:val="0"/>
          <w:marTop w:val="0"/>
          <w:marBottom w:val="0"/>
          <w:divBdr>
            <w:top w:val="none" w:sz="0" w:space="0" w:color="auto"/>
            <w:left w:val="none" w:sz="0" w:space="0" w:color="auto"/>
            <w:bottom w:val="none" w:sz="0" w:space="0" w:color="auto"/>
            <w:right w:val="none" w:sz="0" w:space="0" w:color="auto"/>
          </w:divBdr>
          <w:divsChild>
            <w:div w:id="6669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3924</Words>
  <Characters>22372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7</cp:revision>
  <dcterms:created xsi:type="dcterms:W3CDTF">2025-08-05T14:05:00Z</dcterms:created>
  <dcterms:modified xsi:type="dcterms:W3CDTF">2025-08-08T13:25:00Z</dcterms:modified>
</cp:coreProperties>
</file>