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73F83" w14:textId="5A25771A" w:rsidR="00754C9A" w:rsidRDefault="000C00A7" w:rsidP="00F6046E">
      <w:pPr>
        <w:pStyle w:val="Title"/>
        <w:spacing w:after="0"/>
        <w:rPr>
          <w:rFonts w:ascii="Arial" w:hAnsi="Arial" w:cs="Arial"/>
        </w:rPr>
      </w:pPr>
      <w:r w:rsidRPr="000C00A7">
        <w:rPr>
          <w:rFonts w:ascii="Arial" w:hAnsi="Arial" w:cs="Arial"/>
        </w:rPr>
        <w:t>Review Article</w:t>
      </w:r>
    </w:p>
    <w:p w14:paraId="00FA1842" w14:textId="77777777" w:rsidR="000C00A7" w:rsidRDefault="000C00A7" w:rsidP="00F6046E">
      <w:pPr>
        <w:pStyle w:val="Title"/>
        <w:spacing w:after="0"/>
        <w:rPr>
          <w:rFonts w:ascii="Arial" w:hAnsi="Arial" w:cs="Arial"/>
        </w:rPr>
      </w:pPr>
    </w:p>
    <w:p w14:paraId="1F225190" w14:textId="646E43DE" w:rsidR="00E30C3B" w:rsidRPr="00E30C3B" w:rsidRDefault="00D539D7" w:rsidP="00F6046E">
      <w:pPr>
        <w:jc w:val="right"/>
        <w:rPr>
          <w:rFonts w:ascii="Arial" w:hAnsi="Arial" w:cs="Arial"/>
          <w:b/>
          <w:sz w:val="36"/>
          <w:szCs w:val="36"/>
        </w:rPr>
      </w:pPr>
      <w:r>
        <w:rPr>
          <w:rFonts w:ascii="Arial" w:hAnsi="Arial" w:cs="Arial"/>
          <w:b/>
          <w:sz w:val="36"/>
          <w:szCs w:val="36"/>
        </w:rPr>
        <w:t xml:space="preserve">Review on </w:t>
      </w:r>
      <w:r w:rsidR="00E30C3B" w:rsidRPr="00E30C3B">
        <w:rPr>
          <w:rFonts w:ascii="Arial" w:hAnsi="Arial" w:cs="Arial"/>
          <w:b/>
          <w:sz w:val="36"/>
          <w:szCs w:val="36"/>
        </w:rPr>
        <w:t>Natural Emulsifiers from Niger Seed Oil (</w:t>
      </w:r>
      <w:proofErr w:type="spellStart"/>
      <w:r w:rsidR="00E30C3B" w:rsidRPr="00E30C3B">
        <w:rPr>
          <w:rFonts w:ascii="Arial" w:hAnsi="Arial" w:cs="Arial"/>
          <w:b/>
          <w:sz w:val="36"/>
          <w:szCs w:val="36"/>
        </w:rPr>
        <w:t>Guizotia</w:t>
      </w:r>
      <w:proofErr w:type="spellEnd"/>
      <w:r w:rsidR="00E30C3B" w:rsidRPr="00E30C3B">
        <w:rPr>
          <w:rFonts w:ascii="Arial" w:hAnsi="Arial" w:cs="Arial"/>
          <w:b/>
          <w:sz w:val="36"/>
          <w:szCs w:val="36"/>
        </w:rPr>
        <w:t xml:space="preserve"> </w:t>
      </w:r>
      <w:proofErr w:type="spellStart"/>
      <w:r w:rsidR="00E30C3B" w:rsidRPr="00E30C3B">
        <w:rPr>
          <w:rFonts w:ascii="Arial" w:hAnsi="Arial" w:cs="Arial"/>
          <w:b/>
          <w:sz w:val="36"/>
          <w:szCs w:val="36"/>
        </w:rPr>
        <w:t>abyssinica</w:t>
      </w:r>
      <w:proofErr w:type="spellEnd"/>
      <w:r w:rsidR="00E30C3B" w:rsidRPr="00E30C3B">
        <w:rPr>
          <w:rFonts w:ascii="Arial" w:hAnsi="Arial" w:cs="Arial"/>
          <w:b/>
          <w:sz w:val="36"/>
          <w:szCs w:val="36"/>
        </w:rPr>
        <w:t>): A Sustainable Alternative for Food Applications</w:t>
      </w:r>
    </w:p>
    <w:p w14:paraId="087C84A5" w14:textId="1A04F71A" w:rsidR="00163BC4" w:rsidRPr="00E30C3B" w:rsidRDefault="00231920" w:rsidP="00F6046E">
      <w:pPr>
        <w:pStyle w:val="Author"/>
        <w:spacing w:line="240" w:lineRule="auto"/>
        <w:rPr>
          <w:rFonts w:ascii="Arial" w:hAnsi="Arial" w:cs="Arial"/>
          <w:bCs/>
          <w:iCs/>
          <w:kern w:val="28"/>
          <w:sz w:val="36"/>
          <w:szCs w:val="36"/>
        </w:rPr>
      </w:pPr>
      <w:r w:rsidRPr="00E30C3B">
        <w:rPr>
          <w:rFonts w:ascii="Arial" w:hAnsi="Arial" w:cs="Arial"/>
          <w:bCs/>
          <w:iCs/>
          <w:kern w:val="28"/>
          <w:sz w:val="36"/>
          <w:szCs w:val="36"/>
        </w:rPr>
        <w:t xml:space="preserve"> </w:t>
      </w:r>
    </w:p>
    <w:p w14:paraId="2BF971C1" w14:textId="77777777" w:rsidR="00A258C3" w:rsidRPr="00E30C3B" w:rsidRDefault="00A258C3" w:rsidP="00F6046E">
      <w:pPr>
        <w:pStyle w:val="Author"/>
        <w:spacing w:line="240" w:lineRule="auto"/>
        <w:rPr>
          <w:rFonts w:ascii="Arial" w:hAnsi="Arial" w:cs="Arial"/>
          <w:sz w:val="36"/>
          <w:szCs w:val="36"/>
        </w:rPr>
      </w:pPr>
    </w:p>
    <w:p w14:paraId="2E4E716C" w14:textId="77777777" w:rsidR="002C57D2" w:rsidRPr="00FB3A86" w:rsidRDefault="002C57D2" w:rsidP="00F6046E">
      <w:pPr>
        <w:pStyle w:val="Affiliation"/>
        <w:spacing w:after="0" w:line="240" w:lineRule="auto"/>
        <w:rPr>
          <w:rFonts w:ascii="Arial" w:hAnsi="Arial" w:cs="Arial"/>
        </w:rPr>
      </w:pPr>
    </w:p>
    <w:p w14:paraId="614AF751" w14:textId="77777777" w:rsidR="00F6046E" w:rsidRDefault="00093E77" w:rsidP="00F6046E">
      <w:pPr>
        <w:pStyle w:val="Copyright"/>
        <w:spacing w:after="0" w:line="240" w:lineRule="auto"/>
        <w:jc w:val="right"/>
        <w:rPr>
          <w:rFonts w:ascii="Arial" w:hAnsi="Arial" w:cs="Arial"/>
        </w:rPr>
      </w:pPr>
      <w:r>
        <w:rPr>
          <w:rFonts w:ascii="Arial" w:hAnsi="Arial" w:cs="Arial"/>
          <w:noProof/>
        </w:rPr>
        <mc:AlternateContent>
          <mc:Choice Requires="wps">
            <w:drawing>
              <wp:inline distT="0" distB="0" distL="0" distR="0" wp14:anchorId="74A7E7A0" wp14:editId="7A245C7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E15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0BD139ED" w14:textId="5B68DF4A" w:rsidR="00B01FCD" w:rsidRPr="00FB3A86" w:rsidRDefault="00FB3A86" w:rsidP="00F6046E">
      <w:pPr>
        <w:pStyle w:val="Copyright"/>
        <w:spacing w:after="0" w:line="240" w:lineRule="auto"/>
        <w:jc w:val="right"/>
        <w:rPr>
          <w:rFonts w:ascii="Arial" w:hAnsi="Arial" w:cs="Arial"/>
        </w:rPr>
        <w:sectPr w:rsidR="00B01FCD" w:rsidRPr="00FB3A86" w:rsidSect="00A93E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50318C7" w14:textId="77777777" w:rsidR="00F6046E" w:rsidRDefault="00F6046E" w:rsidP="00441B6F">
      <w:pPr>
        <w:pStyle w:val="AbstHead"/>
        <w:spacing w:after="0"/>
        <w:jc w:val="both"/>
        <w:rPr>
          <w:rFonts w:ascii="Arial" w:hAnsi="Arial" w:cs="Arial"/>
        </w:rPr>
      </w:pPr>
    </w:p>
    <w:p w14:paraId="55C40516" w14:textId="312F0C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0411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4B5EA2" w14:textId="77777777" w:rsidTr="001E44FE">
        <w:tc>
          <w:tcPr>
            <w:tcW w:w="9576" w:type="dxa"/>
            <w:shd w:val="clear" w:color="auto" w:fill="F2F2F2"/>
          </w:tcPr>
          <w:p w14:paraId="0BF60737" w14:textId="67A3C6D3" w:rsidR="00AF7B72" w:rsidRDefault="00AF7B72" w:rsidP="00655776">
            <w:pPr>
              <w:pStyle w:val="Body"/>
              <w:spacing w:after="0"/>
              <w:rPr>
                <w:rFonts w:ascii="Arial" w:eastAsia="Calibri" w:hAnsi="Arial" w:cs="Arial"/>
                <w:szCs w:val="22"/>
              </w:rPr>
            </w:pPr>
            <w:r w:rsidRPr="00AF7B72">
              <w:rPr>
                <w:rFonts w:ascii="Arial" w:eastAsia="Calibri" w:hAnsi="Arial" w:cs="Arial"/>
                <w:b/>
                <w:szCs w:val="22"/>
              </w:rPr>
              <w:t xml:space="preserve">Aims: </w:t>
            </w:r>
            <w:r w:rsidRPr="00AF7B72">
              <w:rPr>
                <w:rFonts w:ascii="Arial" w:eastAsia="Calibri" w:hAnsi="Arial" w:cs="Arial"/>
                <w:szCs w:val="22"/>
              </w:rPr>
              <w:t>To evaluate the emulsification properties, oxidative stability, and functional performance of Niger seed oil (</w:t>
            </w:r>
            <w:proofErr w:type="spellStart"/>
            <w:r w:rsidRPr="00AF7B72">
              <w:rPr>
                <w:rFonts w:ascii="Arial" w:eastAsia="Calibri" w:hAnsi="Arial" w:cs="Arial"/>
                <w:szCs w:val="22"/>
              </w:rPr>
              <w:t>Guizotia</w:t>
            </w:r>
            <w:proofErr w:type="spellEnd"/>
            <w:r w:rsidRPr="00AF7B72">
              <w:rPr>
                <w:rFonts w:ascii="Arial" w:eastAsia="Calibri" w:hAnsi="Arial" w:cs="Arial"/>
                <w:szCs w:val="22"/>
              </w:rPr>
              <w:t xml:space="preserve"> </w:t>
            </w:r>
            <w:proofErr w:type="spellStart"/>
            <w:r w:rsidRPr="00AF7B72">
              <w:rPr>
                <w:rFonts w:ascii="Arial" w:eastAsia="Calibri" w:hAnsi="Arial" w:cs="Arial"/>
                <w:szCs w:val="22"/>
              </w:rPr>
              <w:t>abyssinica</w:t>
            </w:r>
            <w:proofErr w:type="spellEnd"/>
            <w:r w:rsidRPr="00AF7B72">
              <w:rPr>
                <w:rFonts w:ascii="Arial" w:eastAsia="Calibri" w:hAnsi="Arial" w:cs="Arial"/>
                <w:szCs w:val="22"/>
              </w:rPr>
              <w:t>) as a natural alternative to synthetic emulsifiers in food applications, and to compare its efficacy with conventional plant-based and synthetic emulsifiers.</w:t>
            </w:r>
          </w:p>
          <w:p w14:paraId="110F8032" w14:textId="54C2E17F" w:rsidR="00603196" w:rsidRDefault="00603196" w:rsidP="00655776">
            <w:pPr>
              <w:pStyle w:val="Body"/>
              <w:spacing w:after="0"/>
              <w:rPr>
                <w:rFonts w:ascii="Arial" w:hAnsi="Arial" w:cs="Arial"/>
                <w:szCs w:val="24"/>
              </w:rPr>
            </w:pPr>
            <w:r w:rsidRPr="00603196">
              <w:rPr>
                <w:rFonts w:ascii="Arial" w:hAnsi="Arial" w:cs="Arial"/>
                <w:szCs w:val="24"/>
              </w:rPr>
              <w:t>Niger seed oil (</w:t>
            </w:r>
            <w:proofErr w:type="spellStart"/>
            <w:r w:rsidRPr="00603196">
              <w:rPr>
                <w:rFonts w:ascii="Arial" w:hAnsi="Arial" w:cs="Arial"/>
                <w:szCs w:val="24"/>
              </w:rPr>
              <w:t>Guizotia</w:t>
            </w:r>
            <w:proofErr w:type="spellEnd"/>
            <w:r w:rsidRPr="00603196">
              <w:rPr>
                <w:rFonts w:ascii="Arial" w:hAnsi="Arial" w:cs="Arial"/>
                <w:szCs w:val="24"/>
              </w:rPr>
              <w:t xml:space="preserve"> </w:t>
            </w:r>
            <w:proofErr w:type="spellStart"/>
            <w:r w:rsidRPr="00603196">
              <w:rPr>
                <w:rFonts w:ascii="Arial" w:hAnsi="Arial" w:cs="Arial"/>
                <w:szCs w:val="24"/>
              </w:rPr>
              <w:t>abyssinica</w:t>
            </w:r>
            <w:proofErr w:type="spellEnd"/>
            <w:r w:rsidRPr="00603196">
              <w:rPr>
                <w:rFonts w:ascii="Arial" w:hAnsi="Arial" w:cs="Arial"/>
                <w:szCs w:val="24"/>
              </w:rPr>
              <w:t xml:space="preserve">) has emerged as a promising plant-based emulsifier due to its unique composition high linoleic acid, </w:t>
            </w:r>
            <w:r w:rsidR="00B9797D">
              <w:rPr>
                <w:rFonts w:ascii="Arial" w:hAnsi="Arial" w:cs="Arial"/>
                <w:szCs w:val="24"/>
              </w:rPr>
              <w:t>phospholipids</w:t>
            </w:r>
            <w:r w:rsidRPr="00603196">
              <w:rPr>
                <w:rFonts w:ascii="Arial" w:hAnsi="Arial" w:cs="Arial"/>
                <w:szCs w:val="24"/>
              </w:rPr>
              <w:t>, and natural antioxidants (tocopherols, polyphenols). This review evaluates its emulsification potential, comparing its performance with synthetic and conventional plant-based emulsifiers (e.g., soy lecithin, polysorbate 80). Niger seed oil demonstrates excellent interfacial activity, oxidative stability, and hypoallergenic properties, addressing health concerns linked to synthetic emulsifiers (e.g., gut microbiota disruption) and allergenic risks of soy/egg-derived alternatives. Challenges like lower phospholipid yield and supply chain limitations are discussed, along with solutions such as enzymatic modification. The study highlights Niger seed oil’s potential to meet clean-label demands in bakery, dairy, and pharmaceutical applications, advocating for further research to optimize extraction and commercialization</w:t>
            </w:r>
            <w:r>
              <w:rPr>
                <w:rFonts w:ascii="Arial" w:hAnsi="Arial" w:cs="Arial"/>
                <w:szCs w:val="24"/>
              </w:rPr>
              <w:t>.</w:t>
            </w:r>
          </w:p>
          <w:p w14:paraId="3876EC13" w14:textId="3E2BCD7F" w:rsidR="00505F06" w:rsidRPr="00F77A0D" w:rsidRDefault="00AF7B72" w:rsidP="00655776">
            <w:pPr>
              <w:pStyle w:val="Body"/>
              <w:spacing w:after="0"/>
              <w:rPr>
                <w:rFonts w:ascii="Arial" w:eastAsia="Calibri" w:hAnsi="Arial" w:cs="Arial"/>
                <w:b/>
                <w:szCs w:val="22"/>
              </w:rPr>
            </w:pPr>
            <w:r w:rsidRPr="00F77A0D">
              <w:rPr>
                <w:rFonts w:ascii="Arial" w:eastAsia="Calibri" w:hAnsi="Arial" w:cs="Arial"/>
                <w:szCs w:val="22"/>
              </w:rPr>
              <w:t>Niger seed oil exhibits superior potential as a clean-label emulsifier, combining effective functionality with health benefits. While enzymatic modification significantly improves performance, further optimization is needed for commercial adoption. This natural alternative could reduce reliance on synthetic additives in food processing while maintaining product quality</w:t>
            </w:r>
            <w:r w:rsidRPr="00AF7B72">
              <w:rPr>
                <w:rFonts w:ascii="Arial" w:eastAsia="Calibri" w:hAnsi="Arial" w:cs="Arial"/>
                <w:b/>
                <w:szCs w:val="22"/>
              </w:rPr>
              <w:t>.</w:t>
            </w:r>
          </w:p>
        </w:tc>
      </w:tr>
    </w:tbl>
    <w:p w14:paraId="777A3C7F" w14:textId="77777777" w:rsidR="00636EB2" w:rsidRPr="00F77A0D" w:rsidRDefault="00636EB2" w:rsidP="00F77A0D">
      <w:pPr>
        <w:pStyle w:val="Body"/>
        <w:spacing w:after="0"/>
        <w:jc w:val="left"/>
        <w:rPr>
          <w:rFonts w:ascii="Arial" w:hAnsi="Arial" w:cs="Arial"/>
          <w:i/>
        </w:rPr>
      </w:pPr>
    </w:p>
    <w:p w14:paraId="276FD790" w14:textId="3DA9616D" w:rsidR="00A24E7E" w:rsidRPr="00F77A0D" w:rsidRDefault="00F77A0D" w:rsidP="00F77A0D">
      <w:pPr>
        <w:pStyle w:val="Body"/>
        <w:spacing w:after="0"/>
        <w:jc w:val="left"/>
        <w:rPr>
          <w:rFonts w:ascii="Arial" w:hAnsi="Arial" w:cs="Arial"/>
          <w:i/>
        </w:rPr>
      </w:pPr>
      <w:r w:rsidRPr="00F77A0D">
        <w:rPr>
          <w:rFonts w:ascii="Arial" w:eastAsia="Calibri" w:hAnsi="Arial" w:cs="Arial"/>
          <w:i/>
          <w:szCs w:val="22"/>
        </w:rPr>
        <w:t>Keywords: Niger seed oil, natural emulsifier, clean-label, food stability</w:t>
      </w:r>
      <w:r>
        <w:rPr>
          <w:rFonts w:ascii="Arial" w:eastAsia="Calibri" w:hAnsi="Arial" w:cs="Arial"/>
          <w:i/>
          <w:szCs w:val="22"/>
        </w:rPr>
        <w:t>,</w:t>
      </w:r>
      <w:r w:rsidRPr="00F77A0D">
        <w:rPr>
          <w:rFonts w:ascii="Times New Roman" w:hAnsi="Times New Roman"/>
          <w:sz w:val="28"/>
          <w:szCs w:val="24"/>
        </w:rPr>
        <w:t xml:space="preserve"> </w:t>
      </w:r>
      <w:r w:rsidRPr="00F77A0D">
        <w:rPr>
          <w:rFonts w:ascii="Arial" w:hAnsi="Arial" w:cs="Arial"/>
        </w:rPr>
        <w:t>Monoglyceride</w:t>
      </w:r>
      <w:r>
        <w:rPr>
          <w:rFonts w:ascii="Arial" w:eastAsia="Calibri" w:hAnsi="Arial" w:cs="Arial"/>
          <w:i/>
          <w:szCs w:val="22"/>
        </w:rPr>
        <w:t>.</w:t>
      </w:r>
    </w:p>
    <w:p w14:paraId="20647058" w14:textId="77777777" w:rsidR="0024282C" w:rsidRDefault="0024282C" w:rsidP="00441B6F">
      <w:pPr>
        <w:pStyle w:val="Body"/>
        <w:spacing w:after="0"/>
        <w:rPr>
          <w:rFonts w:ascii="Arial" w:hAnsi="Arial" w:cs="Arial"/>
          <w:i/>
          <w:sz w:val="18"/>
        </w:rPr>
      </w:pPr>
    </w:p>
    <w:p w14:paraId="4836995D" w14:textId="77777777" w:rsidR="00505F06" w:rsidRPr="00A24E7E" w:rsidRDefault="00505F06" w:rsidP="00441B6F">
      <w:pPr>
        <w:pStyle w:val="Body"/>
        <w:spacing w:after="0"/>
        <w:rPr>
          <w:rFonts w:ascii="Arial" w:hAnsi="Arial" w:cs="Arial"/>
          <w:i/>
        </w:rPr>
      </w:pPr>
    </w:p>
    <w:p w14:paraId="71A663DE" w14:textId="37675537" w:rsidR="007F7B32" w:rsidRPr="00F6046E" w:rsidRDefault="00902823" w:rsidP="00441B6F">
      <w:pPr>
        <w:pStyle w:val="AbstHead"/>
        <w:spacing w:after="0"/>
        <w:jc w:val="both"/>
        <w:rPr>
          <w:rFonts w:ascii="Arial" w:hAnsi="Arial" w:cs="Arial"/>
        </w:rPr>
      </w:pPr>
      <w:r w:rsidRPr="00F6046E">
        <w:rPr>
          <w:rFonts w:ascii="Arial" w:hAnsi="Arial" w:cs="Arial"/>
        </w:rPr>
        <w:t xml:space="preserve">1. </w:t>
      </w:r>
      <w:r w:rsidR="00B01FCD" w:rsidRPr="00F6046E">
        <w:rPr>
          <w:rFonts w:ascii="Arial" w:hAnsi="Arial" w:cs="Arial"/>
        </w:rPr>
        <w:t>INTRODUCTION</w:t>
      </w:r>
      <w:r w:rsidR="007F7B32" w:rsidRPr="00F6046E">
        <w:rPr>
          <w:rFonts w:ascii="Arial" w:hAnsi="Arial" w:cs="Arial"/>
        </w:rPr>
        <w:t xml:space="preserve"> </w:t>
      </w:r>
      <w:r w:rsidR="00AC72BA" w:rsidRPr="00F6046E">
        <w:rPr>
          <w:rFonts w:ascii="Arial" w:hAnsi="Arial" w:cs="Arial"/>
        </w:rPr>
        <w:t xml:space="preserve"> </w:t>
      </w:r>
    </w:p>
    <w:p w14:paraId="175228BF" w14:textId="77777777" w:rsidR="00790ADA" w:rsidRPr="00F6046E" w:rsidRDefault="00790ADA" w:rsidP="00441B6F">
      <w:pPr>
        <w:pStyle w:val="AbstHead"/>
        <w:spacing w:after="0"/>
        <w:jc w:val="both"/>
        <w:rPr>
          <w:rFonts w:ascii="Arial" w:hAnsi="Arial" w:cs="Arial"/>
        </w:rPr>
      </w:pPr>
    </w:p>
    <w:p w14:paraId="7E955AA7" w14:textId="3D6A72A7" w:rsidR="00790ADA" w:rsidRPr="00F6046E" w:rsidRDefault="00976FA6" w:rsidP="00976FA6">
      <w:pPr>
        <w:pStyle w:val="Body"/>
        <w:spacing w:after="0"/>
        <w:rPr>
          <w:rFonts w:ascii="Arial" w:hAnsi="Arial" w:cs="Arial"/>
        </w:rPr>
      </w:pPr>
      <w:r w:rsidRPr="00F6046E">
        <w:rPr>
          <w:rFonts w:ascii="Arial" w:hAnsi="Arial" w:cs="Arial"/>
        </w:rPr>
        <w:t>The growing demand for clean-label food ingredients has intensified the search for natural alternatives to synthetic emulsifiers, which have been linked to potential health risks. Niger seed oil (</w:t>
      </w:r>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emerges as a promising candidate due to its unique composition of linoleic acid (55-65%) and natural antioxidants. Indigenous to Ethiopia, this underutilized oilseed offers both nutritional benefits and functional emulsifying properties. However, its commercial application remains limited by oxidative stability challenges and variable phospholipid content. This study systematically evaluates Niger seed oil's emulsification potential, comparing its performance with conventional emulsifiers while addressing technological limitations through modification approaches for improved functionality in food systems.</w:t>
      </w:r>
    </w:p>
    <w:p w14:paraId="6EFCDD7B" w14:textId="77777777" w:rsidR="00976FA6" w:rsidRPr="00F6046E" w:rsidRDefault="00976FA6" w:rsidP="00976FA6">
      <w:pPr>
        <w:pStyle w:val="Body"/>
        <w:spacing w:after="0"/>
        <w:rPr>
          <w:rFonts w:ascii="Arial" w:hAnsi="Arial" w:cs="Arial"/>
        </w:rPr>
      </w:pPr>
    </w:p>
    <w:p w14:paraId="42C3B08E" w14:textId="6F4046BB" w:rsidR="007F7B32" w:rsidRPr="00F6046E" w:rsidRDefault="00902823" w:rsidP="00441B6F">
      <w:pPr>
        <w:pStyle w:val="AbstHead"/>
        <w:spacing w:after="0"/>
        <w:jc w:val="both"/>
        <w:rPr>
          <w:rFonts w:ascii="Arial" w:hAnsi="Arial" w:cs="Arial"/>
        </w:rPr>
      </w:pPr>
      <w:r w:rsidRPr="00F6046E">
        <w:rPr>
          <w:rFonts w:ascii="Arial" w:hAnsi="Arial" w:cs="Arial"/>
        </w:rPr>
        <w:t xml:space="preserve">2. </w:t>
      </w:r>
      <w:r w:rsidR="00000F8F" w:rsidRPr="00F6046E">
        <w:rPr>
          <w:rFonts w:ascii="Arial" w:hAnsi="Arial" w:cs="Arial"/>
        </w:rPr>
        <w:t>experimental details</w:t>
      </w:r>
      <w:r w:rsidR="006B57D0" w:rsidRPr="00F6046E">
        <w:rPr>
          <w:rFonts w:ascii="Arial" w:hAnsi="Arial" w:cs="Arial"/>
        </w:rPr>
        <w:t xml:space="preserve"> </w:t>
      </w:r>
    </w:p>
    <w:p w14:paraId="68590309" w14:textId="77777777" w:rsidR="00790ADA" w:rsidRPr="00F6046E" w:rsidRDefault="00790ADA" w:rsidP="00441B6F">
      <w:pPr>
        <w:pStyle w:val="AbstHead"/>
        <w:spacing w:after="0"/>
        <w:jc w:val="both"/>
        <w:rPr>
          <w:rFonts w:ascii="Arial" w:hAnsi="Arial" w:cs="Arial"/>
        </w:rPr>
      </w:pPr>
    </w:p>
    <w:p w14:paraId="2BE26586" w14:textId="77777777" w:rsidR="00A5276B" w:rsidRPr="00F6046E" w:rsidRDefault="000C7C4F" w:rsidP="00A5276B">
      <w:pPr>
        <w:spacing w:line="360" w:lineRule="auto"/>
        <w:jc w:val="both"/>
        <w:rPr>
          <w:rFonts w:ascii="Arial" w:hAnsi="Arial" w:cs="Arial"/>
          <w:sz w:val="24"/>
        </w:rPr>
      </w:pPr>
      <w:r w:rsidRPr="00F6046E">
        <w:rPr>
          <w:rFonts w:ascii="Arial" w:hAnsi="Arial" w:cs="Arial"/>
          <w:b/>
          <w:caps/>
          <w:sz w:val="22"/>
        </w:rPr>
        <w:t>2.1 Niger Seed Oil: Composition and Functional Properties</w:t>
      </w:r>
      <w:r w:rsidR="00A5276B" w:rsidRPr="00F6046E">
        <w:rPr>
          <w:rFonts w:ascii="Arial" w:hAnsi="Arial" w:cs="Arial"/>
          <w:sz w:val="24"/>
        </w:rPr>
        <w:t xml:space="preserve"> </w:t>
      </w:r>
    </w:p>
    <w:p w14:paraId="275D9E52" w14:textId="620558B1" w:rsidR="00A5276B" w:rsidRPr="00F6046E" w:rsidRDefault="00A5276B" w:rsidP="00A5276B">
      <w:pPr>
        <w:jc w:val="both"/>
        <w:rPr>
          <w:rFonts w:ascii="Arial" w:hAnsi="Arial" w:cs="Arial"/>
        </w:rPr>
      </w:pPr>
      <w:r w:rsidRPr="00F6046E">
        <w:rPr>
          <w:rFonts w:ascii="Arial" w:hAnsi="Arial" w:cs="Arial"/>
        </w:rPr>
        <w:lastRenderedPageBreak/>
        <w:t xml:space="preserve">Niger seed oil, derived from </w:t>
      </w:r>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xml:space="preserve"> (</w:t>
      </w:r>
      <w:proofErr w:type="spellStart"/>
      <w:r w:rsidRPr="00F6046E">
        <w:rPr>
          <w:rFonts w:ascii="Arial" w:hAnsi="Arial" w:cs="Arial"/>
        </w:rPr>
        <w:t>L.f</w:t>
      </w:r>
      <w:proofErr w:type="spellEnd"/>
      <w:r w:rsidRPr="00F6046E">
        <w:rPr>
          <w:rFonts w:ascii="Arial" w:hAnsi="Arial" w:cs="Arial"/>
        </w:rPr>
        <w:t xml:space="preserve">.) Cass., possesses a unique chemical composition that makes it particularly suitable for emulsifier applications in food systems. The oil is characterized by its exceptionally high polyunsaturated fatty acid (PUFA) content, particularly linoleic acid (C18:2 ω-6), which constitutes 55-65% of its total fatty acid profile (Tesfaye et al., 2023). Recent lipidomic studies reveal this fatty acid distribution promotes optimal packing at oil-water interfaces, achieving interfacial tensions below 10 </w:t>
      </w:r>
      <w:proofErr w:type="spellStart"/>
      <w:r w:rsidRPr="00F6046E">
        <w:rPr>
          <w:rFonts w:ascii="Arial" w:hAnsi="Arial" w:cs="Arial"/>
        </w:rPr>
        <w:t>mN</w:t>
      </w:r>
      <w:proofErr w:type="spellEnd"/>
      <w:r w:rsidRPr="00F6046E">
        <w:rPr>
          <w:rFonts w:ascii="Arial" w:hAnsi="Arial" w:cs="Arial"/>
        </w:rPr>
        <w:t>/m at concentrations as low as 0.1% w/v (</w:t>
      </w:r>
      <w:proofErr w:type="spellStart"/>
      <w:r w:rsidRPr="00F6046E">
        <w:rPr>
          <w:rFonts w:ascii="Arial" w:hAnsi="Arial" w:cs="Arial"/>
        </w:rPr>
        <w:t>Akoh</w:t>
      </w:r>
      <w:proofErr w:type="spellEnd"/>
      <w:r w:rsidRPr="00F6046E">
        <w:rPr>
          <w:rFonts w:ascii="Arial" w:hAnsi="Arial" w:cs="Arial"/>
        </w:rPr>
        <w:t xml:space="preserve"> &amp; Kim, 2023). This dominant fatty acid, combined with 15-20% oleic acid (C18:1) and 8-12% saturated fatty acids (primarily palmitic and stearic acids), creates an optimal balance for emulsion formation. The high linoleic acid content contributes to the oil's fluidity at room temperature (viscosity of 35-45 </w:t>
      </w:r>
      <w:proofErr w:type="spellStart"/>
      <w:r w:rsidRPr="00F6046E">
        <w:rPr>
          <w:rFonts w:ascii="Arial" w:hAnsi="Arial" w:cs="Arial"/>
        </w:rPr>
        <w:t>mPa·s</w:t>
      </w:r>
      <w:proofErr w:type="spellEnd"/>
      <w:r w:rsidRPr="00F6046E">
        <w:rPr>
          <w:rFonts w:ascii="Arial" w:hAnsi="Arial" w:cs="Arial"/>
        </w:rPr>
        <w:t xml:space="preserve"> at 25°C) and enhances its ability to reduce interfacial tension between oil and water phases, a critical property for effective emulsification (McClements, 2015). Comparative studies show Niger oil forms more stable Nano emulsions (d&lt;200 nm) than sunflower oil under identical homogenization conditions, attributed to its unique fatty acid geometry (</w:t>
      </w:r>
      <w:r w:rsidR="00773B4D">
        <w:rPr>
          <w:rFonts w:ascii="Arial" w:hAnsi="Arial" w:cs="Arial"/>
        </w:rPr>
        <w:t>Shrikant 2023</w:t>
      </w:r>
      <w:r w:rsidRPr="00F6046E">
        <w:rPr>
          <w:rFonts w:ascii="Arial" w:hAnsi="Arial" w:cs="Arial"/>
        </w:rPr>
        <w:t>). Furthermore, the natural presence of tocopherol isomers (</w:t>
      </w:r>
      <w:proofErr w:type="gramStart"/>
      <w:r w:rsidRPr="00F6046E">
        <w:rPr>
          <w:rFonts w:ascii="Arial" w:hAnsi="Arial" w:cs="Arial"/>
        </w:rPr>
        <w:t>α:</w:t>
      </w:r>
      <w:proofErr w:type="spellStart"/>
      <w:r w:rsidRPr="00F6046E">
        <w:rPr>
          <w:rFonts w:ascii="Arial" w:hAnsi="Arial" w:cs="Arial"/>
        </w:rPr>
        <w:t>γ</w:t>
      </w:r>
      <w:proofErr w:type="gramEnd"/>
      <w:r w:rsidRPr="00F6046E">
        <w:rPr>
          <w:rFonts w:ascii="Arial" w:hAnsi="Arial" w:cs="Arial"/>
        </w:rPr>
        <w:t>:δ</w:t>
      </w:r>
      <w:proofErr w:type="spellEnd"/>
      <w:r w:rsidRPr="00F6046E">
        <w:rPr>
          <w:rFonts w:ascii="Arial" w:hAnsi="Arial" w:cs="Arial"/>
        </w:rPr>
        <w:t xml:space="preserve"> = 1:2:4 ratio) provides oxidative protection during emulsification, delaying lipid peroxidation by 40-60% compared to refined vegetable oils (</w:t>
      </w:r>
      <w:proofErr w:type="spellStart"/>
      <w:r w:rsidRPr="00F6046E">
        <w:rPr>
          <w:rFonts w:ascii="Arial" w:hAnsi="Arial" w:cs="Arial"/>
        </w:rPr>
        <w:t>Berton-Carabin</w:t>
      </w:r>
      <w:proofErr w:type="spellEnd"/>
      <w:r w:rsidRPr="00F6046E">
        <w:rPr>
          <w:rFonts w:ascii="Arial" w:hAnsi="Arial" w:cs="Arial"/>
        </w:rPr>
        <w:t xml:space="preserve"> &amp; </w:t>
      </w:r>
      <w:proofErr w:type="spellStart"/>
      <w:r w:rsidRPr="00F6046E">
        <w:rPr>
          <w:rFonts w:ascii="Arial" w:hAnsi="Arial" w:cs="Arial"/>
        </w:rPr>
        <w:t>Schroën</w:t>
      </w:r>
      <w:proofErr w:type="spellEnd"/>
      <w:r w:rsidRPr="00F6046E">
        <w:rPr>
          <w:rFonts w:ascii="Arial" w:hAnsi="Arial" w:cs="Arial"/>
        </w:rPr>
        <w:t>, 2023).</w:t>
      </w:r>
    </w:p>
    <w:p w14:paraId="1A213660" w14:textId="77777777" w:rsidR="00A5276B" w:rsidRPr="00F6046E" w:rsidRDefault="00A5276B" w:rsidP="00A5276B">
      <w:pPr>
        <w:jc w:val="both"/>
        <w:rPr>
          <w:rFonts w:ascii="Arial" w:hAnsi="Arial" w:cs="Arial"/>
        </w:rPr>
      </w:pPr>
    </w:p>
    <w:p w14:paraId="290DD50A" w14:textId="77777777" w:rsidR="00A5276B" w:rsidRPr="00F6046E" w:rsidRDefault="007C2EFF" w:rsidP="00A5276B">
      <w:pPr>
        <w:pStyle w:val="Body"/>
        <w:rPr>
          <w:rFonts w:ascii="Arial" w:hAnsi="Arial" w:cs="Arial"/>
        </w:rPr>
      </w:pPr>
      <w:r w:rsidRPr="00F6046E">
        <w:rPr>
          <w:rFonts w:ascii="Arial" w:hAnsi="Arial" w:cs="Arial"/>
        </w:rPr>
        <w:t xml:space="preserve"> Crude oil required for the oxidative stability having no addition of antioxidant was extracted by mechanical expression process</w:t>
      </w:r>
      <w:r w:rsidR="00B14A87" w:rsidRPr="00F6046E">
        <w:rPr>
          <w:rFonts w:ascii="Arial" w:hAnsi="Arial" w:cs="Arial"/>
        </w:rPr>
        <w:t xml:space="preserve"> (Jaiswal, S. G 2014)</w:t>
      </w:r>
      <w:r w:rsidRPr="00F6046E">
        <w:rPr>
          <w:rFonts w:ascii="Arial" w:hAnsi="Arial" w:cs="Arial"/>
        </w:rPr>
        <w:t xml:space="preserve">. </w:t>
      </w:r>
    </w:p>
    <w:p w14:paraId="280D6B80" w14:textId="2B9EBA94" w:rsidR="000C7C4F" w:rsidRPr="00F6046E" w:rsidRDefault="000C7C4F" w:rsidP="00A5276B">
      <w:pPr>
        <w:pStyle w:val="Body"/>
        <w:rPr>
          <w:rFonts w:ascii="Arial" w:hAnsi="Arial" w:cs="Arial"/>
          <w:caps/>
        </w:rPr>
      </w:pPr>
      <w:r w:rsidRPr="00F6046E">
        <w:rPr>
          <w:rFonts w:ascii="Arial" w:hAnsi="Arial" w:cs="Arial"/>
        </w:rPr>
        <w:t xml:space="preserve"> Additionally, </w:t>
      </w:r>
      <w:proofErr w:type="spellStart"/>
      <w:r w:rsidRPr="00F6046E">
        <w:rPr>
          <w:rFonts w:ascii="Arial" w:hAnsi="Arial" w:cs="Arial"/>
        </w:rPr>
        <w:t>niger</w:t>
      </w:r>
      <w:proofErr w:type="spellEnd"/>
      <w:r w:rsidRPr="00F6046E">
        <w:rPr>
          <w:rFonts w:ascii="Arial" w:hAnsi="Arial" w:cs="Arial"/>
        </w:rPr>
        <w:t xml:space="preserve"> seed oil forms </w:t>
      </w:r>
      <w:proofErr w:type="spellStart"/>
      <w:r w:rsidRPr="00F6046E">
        <w:rPr>
          <w:rFonts w:ascii="Arial" w:hAnsi="Arial" w:cs="Arial"/>
        </w:rPr>
        <w:t>nano</w:t>
      </w:r>
      <w:proofErr w:type="spellEnd"/>
      <w:r w:rsidR="00773B4D">
        <w:rPr>
          <w:rFonts w:ascii="Arial" w:hAnsi="Arial" w:cs="Arial"/>
        </w:rPr>
        <w:t xml:space="preserve"> </w:t>
      </w:r>
      <w:r w:rsidRPr="00F6046E">
        <w:rPr>
          <w:rFonts w:ascii="Arial" w:hAnsi="Arial" w:cs="Arial"/>
        </w:rPr>
        <w:t xml:space="preserve">emulsions (&lt;200 nm) more effectively than sunflower oil, attributed to its favorable fatty acid geometry </w:t>
      </w:r>
      <w:r w:rsidR="00773B4D" w:rsidRPr="00F6046E">
        <w:rPr>
          <w:rFonts w:ascii="Arial" w:hAnsi="Arial" w:cs="Arial"/>
        </w:rPr>
        <w:t>(</w:t>
      </w:r>
      <w:r w:rsidR="00773B4D">
        <w:rPr>
          <w:rFonts w:ascii="Arial" w:hAnsi="Arial" w:cs="Arial"/>
        </w:rPr>
        <w:t>Shrikant 2023</w:t>
      </w:r>
      <w:r w:rsidR="00773B4D" w:rsidRPr="00F6046E">
        <w:rPr>
          <w:rFonts w:ascii="Arial" w:hAnsi="Arial" w:cs="Arial"/>
        </w:rPr>
        <w:t>).</w:t>
      </w:r>
    </w:p>
    <w:p w14:paraId="40C07745" w14:textId="299BF3FC" w:rsidR="000C7C4F" w:rsidRPr="00F6046E" w:rsidRDefault="000C7C4F" w:rsidP="00D606DC">
      <w:pPr>
        <w:pStyle w:val="Body"/>
        <w:spacing w:after="0"/>
        <w:rPr>
          <w:rFonts w:ascii="Arial" w:hAnsi="Arial" w:cs="Arial"/>
        </w:rPr>
      </w:pPr>
      <w:r w:rsidRPr="00F6046E">
        <w:rPr>
          <w:rFonts w:ascii="Arial" w:hAnsi="Arial" w:cs="Arial"/>
        </w:rPr>
        <w:t>The oil’s natural emulsifiers include phospholipids (1.5–3%), predominantly phosphatidylcholine (35–45%) and phosphatidylethanolamine (20–30%), which stabilize emulsions via electrostatic and steric mechanisms (</w:t>
      </w:r>
      <w:proofErr w:type="spellStart"/>
      <w:r w:rsidRPr="00F6046E">
        <w:rPr>
          <w:rFonts w:ascii="Arial" w:hAnsi="Arial" w:cs="Arial"/>
        </w:rPr>
        <w:t>gebremariam</w:t>
      </w:r>
      <w:proofErr w:type="spellEnd"/>
      <w:r w:rsidRPr="00F6046E">
        <w:rPr>
          <w:rFonts w:ascii="Arial" w:hAnsi="Arial" w:cs="Arial"/>
        </w:rPr>
        <w:t xml:space="preserve"> &amp; </w:t>
      </w:r>
      <w:proofErr w:type="spellStart"/>
      <w:r w:rsidRPr="00F6046E">
        <w:rPr>
          <w:rFonts w:ascii="Arial" w:hAnsi="Arial" w:cs="Arial"/>
        </w:rPr>
        <w:t>mohammed</w:t>
      </w:r>
      <w:proofErr w:type="spellEnd"/>
      <w:r w:rsidRPr="00F6046E">
        <w:rPr>
          <w:rFonts w:ascii="Arial" w:hAnsi="Arial" w:cs="Arial"/>
        </w:rPr>
        <w:t xml:space="preserve">, 2023). Unlike soybean lecithin, </w:t>
      </w:r>
      <w:proofErr w:type="spellStart"/>
      <w:r w:rsidRPr="00F6046E">
        <w:rPr>
          <w:rFonts w:ascii="Arial" w:hAnsi="Arial" w:cs="Arial"/>
        </w:rPr>
        <w:t>niger</w:t>
      </w:r>
      <w:proofErr w:type="spellEnd"/>
      <w:r w:rsidRPr="00F6046E">
        <w:rPr>
          <w:rFonts w:ascii="Arial" w:hAnsi="Arial" w:cs="Arial"/>
        </w:rPr>
        <w:t xml:space="preserve"> seed phospholipids are non-</w:t>
      </w:r>
      <w:proofErr w:type="spellStart"/>
      <w:r w:rsidRPr="00F6046E">
        <w:rPr>
          <w:rFonts w:ascii="Arial" w:hAnsi="Arial" w:cs="Arial"/>
        </w:rPr>
        <w:t>gmo</w:t>
      </w:r>
      <w:proofErr w:type="spellEnd"/>
      <w:r w:rsidRPr="00F6046E">
        <w:rPr>
          <w:rFonts w:ascii="Arial" w:hAnsi="Arial" w:cs="Arial"/>
        </w:rPr>
        <w:t xml:space="preserve"> and hypoallergenic Furthermore, tocopherols (50–80 mg/100g, mainly δ-tocopherol) and phenolic compounds (e.g., chlorogenic acid) provide oxidative protection, delaying lipid peroxidation by 40–60% compared to refined oils (</w:t>
      </w:r>
      <w:proofErr w:type="spellStart"/>
      <w:r w:rsidRPr="00F6046E">
        <w:rPr>
          <w:rFonts w:ascii="Arial" w:hAnsi="Arial" w:cs="Arial"/>
        </w:rPr>
        <w:t>berton-carabin</w:t>
      </w:r>
      <w:proofErr w:type="spellEnd"/>
      <w:r w:rsidRPr="00F6046E">
        <w:rPr>
          <w:rFonts w:ascii="Arial" w:hAnsi="Arial" w:cs="Arial"/>
        </w:rPr>
        <w:t xml:space="preserve"> &amp; </w:t>
      </w:r>
      <w:proofErr w:type="spellStart"/>
      <w:r w:rsidRPr="00F6046E">
        <w:rPr>
          <w:rFonts w:ascii="Arial" w:hAnsi="Arial" w:cs="Arial"/>
        </w:rPr>
        <w:t>schroën</w:t>
      </w:r>
      <w:proofErr w:type="spellEnd"/>
      <w:r w:rsidRPr="00F6046E">
        <w:rPr>
          <w:rFonts w:ascii="Arial" w:hAnsi="Arial" w:cs="Arial"/>
        </w:rPr>
        <w:t>, 2023). Phytosterols like β-sitosterol (60–70% of total sterols) further enhance emulsion stability by modifying interfacial rheology</w:t>
      </w:r>
      <w:r w:rsidR="005369C7">
        <w:rPr>
          <w:rFonts w:ascii="Arial" w:hAnsi="Arial" w:cs="Arial"/>
        </w:rPr>
        <w:t>.</w:t>
      </w:r>
    </w:p>
    <w:p w14:paraId="28074252" w14:textId="6502FDEF" w:rsidR="005F2CDD" w:rsidRPr="00F6046E" w:rsidRDefault="005F2CDD" w:rsidP="00D606DC">
      <w:pPr>
        <w:pStyle w:val="Body"/>
        <w:spacing w:after="0"/>
        <w:rPr>
          <w:rFonts w:ascii="Arial" w:hAnsi="Arial" w:cs="Arial"/>
        </w:rPr>
      </w:pPr>
    </w:p>
    <w:p w14:paraId="393E1097" w14:textId="37D28DE2" w:rsidR="00703706" w:rsidRDefault="005F2CDD" w:rsidP="005F2CDD">
      <w:pPr>
        <w:jc w:val="both"/>
        <w:rPr>
          <w:rFonts w:ascii="Arial" w:hAnsi="Arial" w:cs="Arial"/>
          <w:b/>
          <w:sz w:val="22"/>
        </w:rPr>
      </w:pPr>
      <w:r w:rsidRPr="00F6046E">
        <w:rPr>
          <w:rFonts w:ascii="Arial" w:hAnsi="Arial" w:cs="Arial"/>
          <w:b/>
          <w:sz w:val="22"/>
        </w:rPr>
        <w:t>2.2 Health and Safety Advantages</w:t>
      </w:r>
    </w:p>
    <w:p w14:paraId="2399D7EB" w14:textId="77777777" w:rsidR="00703706" w:rsidRPr="00F6046E" w:rsidRDefault="00703706" w:rsidP="005F2CDD">
      <w:pPr>
        <w:jc w:val="both"/>
        <w:rPr>
          <w:rFonts w:ascii="Arial" w:hAnsi="Arial" w:cs="Arial"/>
          <w:b/>
          <w:sz w:val="22"/>
        </w:rPr>
      </w:pPr>
    </w:p>
    <w:p w14:paraId="489DAA5F" w14:textId="3508E5B6" w:rsidR="005F2CDD" w:rsidRDefault="005F2CDD" w:rsidP="005F2CDD">
      <w:pPr>
        <w:jc w:val="both"/>
        <w:rPr>
          <w:rFonts w:ascii="Arial" w:hAnsi="Arial" w:cs="Arial"/>
          <w:b/>
        </w:rPr>
      </w:pPr>
      <w:r w:rsidRPr="00703706">
        <w:rPr>
          <w:rFonts w:ascii="Arial" w:hAnsi="Arial" w:cs="Arial"/>
          <w:b/>
        </w:rPr>
        <w:t>2.2.1 Non-Allergenic Profile</w:t>
      </w:r>
    </w:p>
    <w:p w14:paraId="31615561" w14:textId="77777777" w:rsidR="00703706" w:rsidRPr="00703706" w:rsidRDefault="00703706" w:rsidP="005F2CDD">
      <w:pPr>
        <w:jc w:val="both"/>
        <w:rPr>
          <w:rFonts w:ascii="Arial" w:hAnsi="Arial" w:cs="Arial"/>
          <w:b/>
        </w:rPr>
      </w:pPr>
    </w:p>
    <w:p w14:paraId="639DCF35" w14:textId="4EE18D96" w:rsidR="005F2CDD" w:rsidRDefault="005F2CDD" w:rsidP="005F2CDD">
      <w:pPr>
        <w:jc w:val="both"/>
        <w:rPr>
          <w:rFonts w:ascii="Arial" w:hAnsi="Arial" w:cs="Arial"/>
        </w:rPr>
      </w:pPr>
      <w:r w:rsidRPr="00F6046E">
        <w:rPr>
          <w:rFonts w:ascii="Arial" w:hAnsi="Arial" w:cs="Arial"/>
        </w:rPr>
        <w:t>Niger seed oil is free from major allergens (gluten, soy, dairy, eggs) and lacks proteins that trigger immune responses, unlike soy or dairy-derived emulsifiers (</w:t>
      </w:r>
      <w:proofErr w:type="spellStart"/>
      <w:r w:rsidRPr="00F6046E">
        <w:rPr>
          <w:rFonts w:ascii="Arial" w:hAnsi="Arial" w:cs="Arial"/>
        </w:rPr>
        <w:t>Gebremariam</w:t>
      </w:r>
      <w:proofErr w:type="spellEnd"/>
      <w:r w:rsidRPr="00F6046E">
        <w:rPr>
          <w:rFonts w:ascii="Arial" w:hAnsi="Arial" w:cs="Arial"/>
        </w:rPr>
        <w:t xml:space="preserve"> &amp; Mohammed, 2023). Proteomic analyses confirm the absence of common allergenic proteins like β-conglycinin (soy) or caseins (dairy) in Niger seeds. This makes it safer for individuals with food allergies or intolerances, particularly valuable given the rising global prevalence of food allergies (now affecting ~10% of adults worldwide according to</w:t>
      </w:r>
      <w:r w:rsidR="005369C7">
        <w:rPr>
          <w:rFonts w:ascii="Arial" w:hAnsi="Arial" w:cs="Arial"/>
        </w:rPr>
        <w:t xml:space="preserve"> medical</w:t>
      </w:r>
      <w:r w:rsidRPr="00F6046E">
        <w:rPr>
          <w:rFonts w:ascii="Arial" w:hAnsi="Arial" w:cs="Arial"/>
        </w:rPr>
        <w:t>. Clinical studies of alternative plant oils rank Niger seed among the lowest-risk options for allergic consumers, with no reported cases of mediated reactions in medical literature. Furthermore, its cultivation avoids cross-contamination with major allergens, unlike some legume-based emulsifiers processed in shared facilities, addressing a key limitation of conventional options.</w:t>
      </w:r>
    </w:p>
    <w:p w14:paraId="3E018850" w14:textId="77777777" w:rsidR="00703706" w:rsidRPr="00F6046E" w:rsidRDefault="00703706" w:rsidP="005F2CDD">
      <w:pPr>
        <w:jc w:val="both"/>
        <w:rPr>
          <w:rFonts w:ascii="Arial" w:hAnsi="Arial" w:cs="Arial"/>
        </w:rPr>
      </w:pPr>
    </w:p>
    <w:p w14:paraId="38231625" w14:textId="141A4168" w:rsidR="005F2CDD" w:rsidRDefault="005F2CDD" w:rsidP="005F2CDD">
      <w:pPr>
        <w:jc w:val="both"/>
        <w:rPr>
          <w:rFonts w:ascii="Arial" w:hAnsi="Arial" w:cs="Arial"/>
          <w:b/>
          <w:sz w:val="22"/>
        </w:rPr>
      </w:pPr>
      <w:r w:rsidRPr="00F6046E">
        <w:rPr>
          <w:rFonts w:ascii="Arial" w:hAnsi="Arial" w:cs="Arial"/>
          <w:b/>
          <w:sz w:val="22"/>
        </w:rPr>
        <w:t>2.2.2 Gut Health Compatibility</w:t>
      </w:r>
    </w:p>
    <w:p w14:paraId="4E4BE775" w14:textId="77777777" w:rsidR="00703706" w:rsidRPr="00F6046E" w:rsidRDefault="00703706" w:rsidP="005F2CDD">
      <w:pPr>
        <w:jc w:val="both"/>
        <w:rPr>
          <w:rFonts w:ascii="Arial" w:hAnsi="Arial" w:cs="Arial"/>
          <w:b/>
          <w:sz w:val="22"/>
        </w:rPr>
      </w:pPr>
    </w:p>
    <w:p w14:paraId="351566E1" w14:textId="3CBC4BF2" w:rsidR="005F2CDD" w:rsidRDefault="005F2CDD" w:rsidP="005F2CDD">
      <w:pPr>
        <w:jc w:val="both"/>
        <w:rPr>
          <w:rFonts w:ascii="Arial" w:hAnsi="Arial" w:cs="Arial"/>
        </w:rPr>
      </w:pPr>
      <w:r w:rsidRPr="00F6046E">
        <w:rPr>
          <w:rFonts w:ascii="Arial" w:hAnsi="Arial" w:cs="Arial"/>
        </w:rPr>
        <w:t>Unlike synthetic emulsifiers (e.g., carboxymethylcellulose, polysorbate 80), which may increase intestinal permeability and promote inflammation (</w:t>
      </w:r>
      <w:proofErr w:type="spellStart"/>
      <w:r w:rsidRPr="00F6046E">
        <w:rPr>
          <w:rFonts w:ascii="Arial" w:hAnsi="Arial" w:cs="Arial"/>
        </w:rPr>
        <w:t>Chassaing</w:t>
      </w:r>
      <w:proofErr w:type="spellEnd"/>
      <w:r w:rsidRPr="00F6046E">
        <w:rPr>
          <w:rFonts w:ascii="Arial" w:hAnsi="Arial" w:cs="Arial"/>
        </w:rPr>
        <w:t xml:space="preserve"> et al., 2015), Niger seed oil’s natural composition shows no evidence of gut microbiota disruption. Its polyphenols (e.g., chlorogenic acid) may even exert prebiotic effects, supporting beneficial bacteria (Tesfaye et al., 2023).</w:t>
      </w:r>
    </w:p>
    <w:p w14:paraId="1EBA44EE" w14:textId="77777777" w:rsidR="001E07E6" w:rsidRPr="00F6046E" w:rsidRDefault="001E07E6" w:rsidP="005F2CDD">
      <w:pPr>
        <w:jc w:val="both"/>
        <w:rPr>
          <w:rFonts w:ascii="Arial" w:hAnsi="Arial" w:cs="Arial"/>
        </w:rPr>
      </w:pPr>
    </w:p>
    <w:p w14:paraId="11188CA0" w14:textId="43CB084F" w:rsidR="005F2CDD" w:rsidRDefault="005F2CDD" w:rsidP="005F2CDD">
      <w:pPr>
        <w:jc w:val="both"/>
        <w:rPr>
          <w:rFonts w:ascii="Arial" w:hAnsi="Arial" w:cs="Arial"/>
          <w:b/>
          <w:sz w:val="22"/>
        </w:rPr>
      </w:pPr>
      <w:r w:rsidRPr="00F6046E">
        <w:rPr>
          <w:rFonts w:ascii="Arial" w:hAnsi="Arial" w:cs="Arial"/>
          <w:b/>
          <w:sz w:val="22"/>
        </w:rPr>
        <w:t>2.2.3 Nutritional Benefits</w:t>
      </w:r>
    </w:p>
    <w:p w14:paraId="5F0A8E59" w14:textId="77777777" w:rsidR="00703706" w:rsidRPr="00F6046E" w:rsidRDefault="00703706" w:rsidP="005F2CDD">
      <w:pPr>
        <w:jc w:val="both"/>
        <w:rPr>
          <w:rFonts w:ascii="Arial" w:hAnsi="Arial" w:cs="Arial"/>
          <w:b/>
          <w:sz w:val="22"/>
        </w:rPr>
      </w:pPr>
    </w:p>
    <w:p w14:paraId="75D78327" w14:textId="437A9CB7" w:rsidR="005F2CDD" w:rsidRPr="00F6046E" w:rsidRDefault="005F2CDD" w:rsidP="005F2CDD">
      <w:pPr>
        <w:jc w:val="both"/>
        <w:rPr>
          <w:rFonts w:ascii="Arial" w:hAnsi="Arial" w:cs="Arial"/>
        </w:rPr>
      </w:pPr>
      <w:r w:rsidRPr="00F6046E">
        <w:rPr>
          <w:rFonts w:ascii="Arial" w:hAnsi="Arial" w:cs="Arial"/>
        </w:rPr>
        <w:t>Essential fatty acids: The high linoleic acid (ω-6) content supports brain function and skin health.</w:t>
      </w:r>
    </w:p>
    <w:p w14:paraId="67CF75BD" w14:textId="7ED06C97" w:rsidR="005F2CDD" w:rsidRPr="00F6046E" w:rsidRDefault="005F2CDD" w:rsidP="005F2CDD">
      <w:pPr>
        <w:jc w:val="both"/>
        <w:rPr>
          <w:rFonts w:ascii="Arial" w:hAnsi="Arial" w:cs="Arial"/>
        </w:rPr>
      </w:pPr>
      <w:r w:rsidRPr="00F6046E">
        <w:rPr>
          <w:rFonts w:ascii="Arial" w:hAnsi="Arial" w:cs="Arial"/>
        </w:rPr>
        <w:t>Antioxidants: Tocopherols and polyphenols reduce inflammation linked to processed foods.</w:t>
      </w:r>
    </w:p>
    <w:p w14:paraId="3ED4ADBD" w14:textId="1CE4B631" w:rsidR="005F2CDD" w:rsidRPr="00F6046E" w:rsidRDefault="005F2CDD" w:rsidP="005F2CDD">
      <w:pPr>
        <w:pStyle w:val="Body"/>
        <w:spacing w:after="0"/>
        <w:rPr>
          <w:rFonts w:ascii="Arial" w:hAnsi="Arial" w:cs="Arial"/>
        </w:rPr>
      </w:pPr>
      <w:r w:rsidRPr="00F6046E">
        <w:rPr>
          <w:rFonts w:ascii="Arial" w:hAnsi="Arial" w:cs="Arial"/>
        </w:rPr>
        <w:t>In contrast, synthetic emulsifiers like DATEM (diacetyl tartaric acid esters of monoglycerides) or monoglycerides from hydrogenated oils may contain trans fats, raising cardiovascular risks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2008).</w:t>
      </w:r>
    </w:p>
    <w:p w14:paraId="57E4AB79" w14:textId="77777777" w:rsidR="005F2CDD" w:rsidRPr="00F6046E" w:rsidRDefault="005F2CDD" w:rsidP="00D606DC">
      <w:pPr>
        <w:pStyle w:val="Body"/>
        <w:spacing w:after="0"/>
        <w:rPr>
          <w:rFonts w:ascii="Arial" w:hAnsi="Arial" w:cs="Arial"/>
          <w:caps/>
        </w:rPr>
      </w:pPr>
    </w:p>
    <w:p w14:paraId="2DDDBD7D" w14:textId="54FD3E4B" w:rsidR="000C7C4F" w:rsidRDefault="000C7C4F" w:rsidP="00D606DC">
      <w:pPr>
        <w:pStyle w:val="Body"/>
        <w:spacing w:after="0"/>
        <w:rPr>
          <w:rFonts w:ascii="Arial" w:hAnsi="Arial" w:cs="Arial"/>
          <w:b/>
          <w:caps/>
          <w:sz w:val="22"/>
        </w:rPr>
      </w:pPr>
    </w:p>
    <w:p w14:paraId="124BA960" w14:textId="77777777" w:rsidR="00703706" w:rsidRPr="00F6046E" w:rsidRDefault="00703706" w:rsidP="00D606DC">
      <w:pPr>
        <w:pStyle w:val="Body"/>
        <w:spacing w:after="0"/>
        <w:rPr>
          <w:rFonts w:ascii="Arial" w:hAnsi="Arial" w:cs="Arial"/>
          <w:b/>
          <w:caps/>
          <w:sz w:val="22"/>
        </w:rPr>
      </w:pPr>
    </w:p>
    <w:p w14:paraId="0E5344EB" w14:textId="6AB5C794" w:rsidR="00D606DC" w:rsidRPr="00F6046E" w:rsidRDefault="00086255" w:rsidP="00D606DC">
      <w:pPr>
        <w:pStyle w:val="Body"/>
        <w:rPr>
          <w:rFonts w:ascii="Arial" w:hAnsi="Arial" w:cs="Arial"/>
          <w:b/>
          <w:caps/>
          <w:sz w:val="22"/>
        </w:rPr>
      </w:pPr>
      <w:r w:rsidRPr="00F6046E">
        <w:rPr>
          <w:rFonts w:ascii="Arial" w:hAnsi="Arial" w:cs="Arial"/>
          <w:b/>
          <w:sz w:val="22"/>
        </w:rPr>
        <w:t>2.</w:t>
      </w:r>
      <w:r w:rsidR="005F2CDD" w:rsidRPr="00F6046E">
        <w:rPr>
          <w:rFonts w:ascii="Arial" w:hAnsi="Arial" w:cs="Arial"/>
          <w:b/>
          <w:sz w:val="22"/>
        </w:rPr>
        <w:t>3</w:t>
      </w:r>
      <w:r w:rsidRPr="00F6046E">
        <w:rPr>
          <w:rFonts w:ascii="Arial" w:hAnsi="Arial" w:cs="Arial"/>
          <w:b/>
          <w:sz w:val="22"/>
        </w:rPr>
        <w:t xml:space="preserve"> </w:t>
      </w:r>
      <w:r w:rsidR="00D606DC" w:rsidRPr="00F6046E">
        <w:rPr>
          <w:rFonts w:ascii="Arial" w:hAnsi="Arial" w:cs="Arial"/>
          <w:b/>
          <w:sz w:val="22"/>
        </w:rPr>
        <w:t>EMULSIFICATION IN FOOD TECHNOLOGY</w:t>
      </w:r>
    </w:p>
    <w:p w14:paraId="0F050411" w14:textId="0A7EB052" w:rsidR="00D606DC" w:rsidRPr="00F6046E" w:rsidRDefault="00D606DC" w:rsidP="00D606DC">
      <w:pPr>
        <w:pStyle w:val="Body"/>
        <w:rPr>
          <w:rFonts w:ascii="Arial" w:hAnsi="Arial" w:cs="Arial"/>
        </w:rPr>
      </w:pPr>
      <w:r w:rsidRPr="00F6046E">
        <w:rPr>
          <w:rFonts w:ascii="Arial" w:hAnsi="Arial" w:cs="Arial"/>
        </w:rPr>
        <w:lastRenderedPageBreak/>
        <w:t>Emulsification is a critical process in food technology that combines immiscible liquids (typically oil and water) into stable colloidal systems (mc</w:t>
      </w:r>
      <w:r w:rsidR="00B07D7C"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2015). These emulsions are classified as either oil-in-water (o/w; e.g., mayonnaise) or water-in-oil (w/o; e.g., butter). Emulsifiers, which are amphiphilic molecules, reduce interfacial tension and prevent phase separation by forming protective layers around dispersed droplets (</w:t>
      </w:r>
      <w:proofErr w:type="spellStart"/>
      <w:r w:rsidRPr="00F6046E">
        <w:rPr>
          <w:rFonts w:ascii="Arial" w:hAnsi="Arial" w:cs="Arial"/>
        </w:rPr>
        <w:t>dickinson</w:t>
      </w:r>
      <w:proofErr w:type="spellEnd"/>
      <w:r w:rsidRPr="00F6046E">
        <w:rPr>
          <w:rFonts w:ascii="Arial" w:hAnsi="Arial" w:cs="Arial"/>
        </w:rPr>
        <w:t xml:space="preserve">, 2019). Their effectiveness depends on molecular structure, concentration, and environmental conditions like </w:t>
      </w:r>
      <w:proofErr w:type="spellStart"/>
      <w:r w:rsidRPr="00F6046E">
        <w:rPr>
          <w:rFonts w:ascii="Arial" w:hAnsi="Arial" w:cs="Arial"/>
        </w:rPr>
        <w:t>ph</w:t>
      </w:r>
      <w:proofErr w:type="spellEnd"/>
      <w:r w:rsidRPr="00F6046E">
        <w:rPr>
          <w:rFonts w:ascii="Arial" w:hAnsi="Arial" w:cs="Arial"/>
        </w:rPr>
        <w:t xml:space="preserve"> and temperature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647A09A3" w14:textId="42F859A7" w:rsidR="00F21DC3" w:rsidRDefault="00703706" w:rsidP="00F21DC3">
      <w:pPr>
        <w:jc w:val="both"/>
        <w:rPr>
          <w:rFonts w:ascii="Arial" w:hAnsi="Arial" w:cs="Arial"/>
          <w:b/>
          <w:sz w:val="22"/>
        </w:rPr>
      </w:pPr>
      <w:r>
        <w:rPr>
          <w:rFonts w:ascii="Arial" w:hAnsi="Arial" w:cs="Arial"/>
          <w:b/>
          <w:sz w:val="22"/>
        </w:rPr>
        <w:t xml:space="preserve">2.3.1 </w:t>
      </w:r>
      <w:r w:rsidR="00F21DC3" w:rsidRPr="00F6046E">
        <w:rPr>
          <w:rFonts w:ascii="Arial" w:hAnsi="Arial" w:cs="Arial"/>
          <w:b/>
          <w:sz w:val="22"/>
        </w:rPr>
        <w:t>Emulsification</w:t>
      </w:r>
    </w:p>
    <w:p w14:paraId="4C942B2B" w14:textId="77777777" w:rsidR="00703706" w:rsidRPr="00F6046E" w:rsidRDefault="00703706" w:rsidP="00F21DC3">
      <w:pPr>
        <w:jc w:val="both"/>
        <w:rPr>
          <w:rFonts w:ascii="Arial" w:hAnsi="Arial" w:cs="Arial"/>
          <w:b/>
          <w:sz w:val="22"/>
        </w:rPr>
      </w:pPr>
    </w:p>
    <w:p w14:paraId="38D0AD40" w14:textId="062BBD4C" w:rsidR="00F21DC3" w:rsidRPr="00F6046E" w:rsidRDefault="00F21DC3" w:rsidP="00F21DC3">
      <w:pPr>
        <w:jc w:val="both"/>
        <w:rPr>
          <w:rFonts w:ascii="Arial" w:hAnsi="Arial" w:cs="Arial"/>
        </w:rPr>
      </w:pPr>
      <w:r w:rsidRPr="00F6046E">
        <w:rPr>
          <w:rFonts w:ascii="Arial" w:hAnsi="Arial" w:cs="Arial"/>
        </w:rPr>
        <w:t>Emulsification is a fundamental process in food technology that involves the formation and stabilization of mixtures between two immiscible liquids, typically oil and water (McClements, 2015). This process creates colloidal systems where one liquid is dispersed as small droplets (dispersed phase) within another liquid (continuous phase). In food applications, these emulsions can be either oil-in-water (O/W) systems, such as milk and mayonnaise, or water-in-oil (W/O) systems, like butter and margarine. The inherent instability of these mixtures due to interfacial tension between the phases necessitates the use of emulsifiers, which are surface-active molecules that reduce this tension and prevent phase separation (Dickinson, 2019).</w:t>
      </w:r>
    </w:p>
    <w:p w14:paraId="5709C3D5" w14:textId="0A5D4A0A" w:rsidR="00F21DC3" w:rsidRPr="00F6046E" w:rsidRDefault="00F21DC3" w:rsidP="00F21DC3">
      <w:pPr>
        <w:jc w:val="both"/>
        <w:rPr>
          <w:rFonts w:ascii="Arial" w:hAnsi="Arial" w:cs="Arial"/>
        </w:rPr>
      </w:pPr>
    </w:p>
    <w:p w14:paraId="37EE0826" w14:textId="5BB4FCD7" w:rsidR="00F21DC3" w:rsidRPr="00F6046E" w:rsidRDefault="00F21DC3" w:rsidP="00F21DC3">
      <w:pPr>
        <w:jc w:val="both"/>
        <w:rPr>
          <w:rFonts w:ascii="Arial" w:hAnsi="Arial" w:cs="Arial"/>
        </w:rPr>
      </w:pPr>
    </w:p>
    <w:p w14:paraId="4C94C086" w14:textId="632D0AC4" w:rsidR="00F21DC3" w:rsidRPr="00703706" w:rsidRDefault="00703706" w:rsidP="00F21DC3">
      <w:pPr>
        <w:jc w:val="both"/>
        <w:rPr>
          <w:rFonts w:ascii="Arial" w:hAnsi="Arial" w:cs="Arial"/>
          <w:b/>
          <w:sz w:val="22"/>
        </w:rPr>
      </w:pPr>
      <w:r>
        <w:rPr>
          <w:rFonts w:ascii="Arial" w:hAnsi="Arial" w:cs="Arial"/>
          <w:b/>
          <w:sz w:val="22"/>
        </w:rPr>
        <w:t xml:space="preserve">2.3.2 </w:t>
      </w:r>
      <w:r w:rsidR="00F21DC3" w:rsidRPr="00703706">
        <w:rPr>
          <w:rFonts w:ascii="Arial" w:hAnsi="Arial" w:cs="Arial"/>
          <w:b/>
          <w:sz w:val="22"/>
        </w:rPr>
        <w:t>Mechanism of Emulsifier Action</w:t>
      </w:r>
    </w:p>
    <w:p w14:paraId="071DD2B0" w14:textId="77777777" w:rsidR="00552AD4" w:rsidRPr="00F6046E" w:rsidRDefault="00552AD4" w:rsidP="00F21DC3">
      <w:pPr>
        <w:jc w:val="both"/>
        <w:rPr>
          <w:rFonts w:ascii="Arial" w:hAnsi="Arial" w:cs="Arial"/>
        </w:rPr>
      </w:pPr>
    </w:p>
    <w:p w14:paraId="01AAC261" w14:textId="2E013216" w:rsidR="00F21DC3" w:rsidRPr="00F6046E" w:rsidRDefault="00F21DC3" w:rsidP="00F21DC3">
      <w:pPr>
        <w:jc w:val="both"/>
        <w:rPr>
          <w:rFonts w:ascii="Arial" w:hAnsi="Arial" w:cs="Arial"/>
        </w:rPr>
      </w:pPr>
      <w:r w:rsidRPr="00F6046E">
        <w:rPr>
          <w:rFonts w:ascii="Arial" w:hAnsi="Arial" w:cs="Arial"/>
        </w:rPr>
        <w:t>Emulsifiers function by adsorbing at the oil-water interface, forming a protective layer around dispersed droplets (McClements, 2015). These molecules typically have an amphiphilic structure, containing both hydrophilic (water-loving) and hydrophobic (oil-loving) components. The hydrophilic portion, often composed of polar groups like hydroxyl or carboxyl, interacts with the aqueous phase, while the hydrophobic portion, usually a long hydrocarbon chain, associates with the oil phase (Dickinson, 2019). This orientation reduces interfacial tension and creates a physical barrier that prevents droplet coalescence. The effectiveness of an emulsifier depends on several factors including its molecular structure, concentration, and the environmental conditions of the food system (pH, temperature, ionic strength)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7EEB4304" w14:textId="77777777" w:rsidR="00552AD4" w:rsidRPr="00F6046E" w:rsidRDefault="00552AD4" w:rsidP="00F21DC3">
      <w:pPr>
        <w:jc w:val="both"/>
        <w:rPr>
          <w:rFonts w:ascii="Arial" w:hAnsi="Arial" w:cs="Arial"/>
        </w:rPr>
      </w:pPr>
    </w:p>
    <w:p w14:paraId="0EEFB3B8" w14:textId="56E82335" w:rsidR="00F21DC3" w:rsidRPr="00703706" w:rsidRDefault="00F21DC3" w:rsidP="00F21DC3">
      <w:pPr>
        <w:jc w:val="both"/>
        <w:rPr>
          <w:rFonts w:ascii="Arial" w:hAnsi="Arial" w:cs="Arial"/>
          <w:b/>
        </w:rPr>
      </w:pPr>
      <w:r w:rsidRPr="00703706">
        <w:rPr>
          <w:rFonts w:ascii="Arial" w:hAnsi="Arial" w:cs="Arial"/>
          <w:b/>
        </w:rPr>
        <w:t>2.</w:t>
      </w:r>
      <w:r w:rsidR="00703706">
        <w:rPr>
          <w:rFonts w:ascii="Arial" w:hAnsi="Arial" w:cs="Arial"/>
          <w:b/>
        </w:rPr>
        <w:t>3.3</w:t>
      </w:r>
      <w:r w:rsidRPr="00703706">
        <w:rPr>
          <w:rFonts w:ascii="Arial" w:hAnsi="Arial" w:cs="Arial"/>
          <w:b/>
        </w:rPr>
        <w:t xml:space="preserve"> Key Functions in Food Systems</w:t>
      </w:r>
    </w:p>
    <w:p w14:paraId="7B8569A8" w14:textId="77777777" w:rsidR="00552AD4" w:rsidRPr="00F6046E" w:rsidRDefault="00552AD4" w:rsidP="00F21DC3">
      <w:pPr>
        <w:jc w:val="both"/>
        <w:rPr>
          <w:rFonts w:ascii="Arial" w:hAnsi="Arial" w:cs="Arial"/>
        </w:rPr>
      </w:pPr>
    </w:p>
    <w:p w14:paraId="2281BD73" w14:textId="7CBCC285" w:rsidR="00703706" w:rsidRDefault="00F21DC3" w:rsidP="00703706">
      <w:pPr>
        <w:jc w:val="both"/>
        <w:rPr>
          <w:rFonts w:ascii="Arial" w:hAnsi="Arial" w:cs="Arial"/>
        </w:rPr>
      </w:pPr>
      <w:r w:rsidRPr="00F6046E">
        <w:rPr>
          <w:rFonts w:ascii="Arial" w:hAnsi="Arial" w:cs="Arial"/>
        </w:rPr>
        <w:t>Emulsifiers serve multiple critical functions in food processing and product development. Their primary role is to stabilize emulsions against physical instability mechanisms such as creaming, sedimentation, flocculation, and coalescence (McClements, 2015). In bakery products, emulsifiers like mono- and diglycerides improve dough handling properties, increase volume, and enhance texture by interacting with starch and gluten proteins (</w:t>
      </w:r>
      <w:proofErr w:type="spellStart"/>
      <w:r w:rsidRPr="00F6046E">
        <w:rPr>
          <w:rFonts w:ascii="Arial" w:hAnsi="Arial" w:cs="Arial"/>
        </w:rPr>
        <w:t>Stampfli</w:t>
      </w:r>
      <w:proofErr w:type="spellEnd"/>
      <w:r w:rsidRPr="00F6046E">
        <w:rPr>
          <w:rFonts w:ascii="Arial" w:hAnsi="Arial" w:cs="Arial"/>
        </w:rPr>
        <w:t xml:space="preserve"> &amp; </w:t>
      </w:r>
      <w:proofErr w:type="spellStart"/>
      <w:r w:rsidRPr="00F6046E">
        <w:rPr>
          <w:rFonts w:ascii="Arial" w:hAnsi="Arial" w:cs="Arial"/>
        </w:rPr>
        <w:t>Nersten</w:t>
      </w:r>
      <w:proofErr w:type="spellEnd"/>
      <w:r w:rsidRPr="00F6046E">
        <w:rPr>
          <w:rFonts w:ascii="Arial" w:hAnsi="Arial" w:cs="Arial"/>
        </w:rPr>
        <w:t xml:space="preserve">, 1995). In dairy </w:t>
      </w:r>
      <w:proofErr w:type="spellStart"/>
      <w:r w:rsidRPr="00F6046E">
        <w:rPr>
          <w:rFonts w:ascii="Arial" w:hAnsi="Arial" w:cs="Arial"/>
        </w:rPr>
        <w:t>ana</w:t>
      </w:r>
      <w:proofErr w:type="spellEnd"/>
      <w:r w:rsidRPr="00F6046E">
        <w:rPr>
          <w:rFonts w:ascii="Arial" w:hAnsi="Arial" w:cs="Arial"/>
        </w:rPr>
        <w:t>-logs and processed meats, they aid in fat dispersion and moisture retention, significantly impacting product quality and shelf-life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xml:space="preserve">, 2009). Furthermore, emulsifiers can modify crystallization </w:t>
      </w:r>
      <w:proofErr w:type="spellStart"/>
      <w:r w:rsidRPr="00F6046E">
        <w:rPr>
          <w:rFonts w:ascii="Arial" w:hAnsi="Arial" w:cs="Arial"/>
        </w:rPr>
        <w:t>behaviour</w:t>
      </w:r>
      <w:proofErr w:type="spellEnd"/>
      <w:r w:rsidRPr="00F6046E">
        <w:rPr>
          <w:rFonts w:ascii="Arial" w:hAnsi="Arial" w:cs="Arial"/>
        </w:rPr>
        <w:t xml:space="preserve"> of fats, influence aeration properties in whipped products, and control viscosity in various food matrices (Dickinson, 2019).</w:t>
      </w:r>
    </w:p>
    <w:p w14:paraId="707F52F0" w14:textId="77777777" w:rsidR="00703706" w:rsidRPr="00703706" w:rsidRDefault="00703706" w:rsidP="00703706">
      <w:pPr>
        <w:jc w:val="both"/>
        <w:rPr>
          <w:rFonts w:ascii="Arial" w:hAnsi="Arial" w:cs="Arial"/>
        </w:rPr>
      </w:pPr>
    </w:p>
    <w:p w14:paraId="4E79A796" w14:textId="04AFBFA4" w:rsidR="00D606DC" w:rsidRPr="00F6046E" w:rsidRDefault="00086255" w:rsidP="00D606DC">
      <w:pPr>
        <w:pStyle w:val="Body"/>
        <w:rPr>
          <w:rFonts w:ascii="Arial" w:hAnsi="Arial" w:cs="Arial"/>
          <w:b/>
          <w:caps/>
          <w:sz w:val="22"/>
        </w:rPr>
      </w:pPr>
      <w:r w:rsidRPr="00F6046E">
        <w:rPr>
          <w:rFonts w:ascii="Arial" w:hAnsi="Arial" w:cs="Arial"/>
          <w:b/>
        </w:rPr>
        <w:t>2.</w:t>
      </w:r>
      <w:r w:rsidR="00703706">
        <w:rPr>
          <w:rFonts w:ascii="Arial" w:hAnsi="Arial" w:cs="Arial"/>
          <w:b/>
        </w:rPr>
        <w:t xml:space="preserve">3.4 </w:t>
      </w:r>
      <w:r w:rsidRPr="00F6046E">
        <w:rPr>
          <w:rFonts w:ascii="Arial" w:hAnsi="Arial" w:cs="Arial"/>
          <w:b/>
        </w:rPr>
        <w:t>TYPES OF EMULSIFIERS</w:t>
      </w:r>
    </w:p>
    <w:p w14:paraId="3F554D99" w14:textId="27D31F48" w:rsidR="00D606DC" w:rsidRPr="00F6046E" w:rsidRDefault="00D606DC" w:rsidP="00D606DC">
      <w:pPr>
        <w:pStyle w:val="Body"/>
        <w:rPr>
          <w:rFonts w:ascii="Arial" w:hAnsi="Arial" w:cs="Arial"/>
          <w:caps/>
        </w:rPr>
      </w:pPr>
      <w:r w:rsidRPr="00F6046E">
        <w:rPr>
          <w:rFonts w:ascii="Arial" w:hAnsi="Arial" w:cs="Arial"/>
        </w:rPr>
        <w:t>Emulsifiers stabilize against creaming and coalescence while improving texture in bakery products and moisture retention in processed meats. They are categorized as synthetic (e.g., polysorbates) or natural (e.g., lecithin, proteins, polysaccharides). Synthetic variants offer cost efficiency but may disrupt gut microbiota (</w:t>
      </w:r>
      <w:proofErr w:type="spellStart"/>
      <w:r w:rsidRPr="00F6046E">
        <w:rPr>
          <w:rFonts w:ascii="Arial" w:hAnsi="Arial" w:cs="Arial"/>
        </w:rPr>
        <w:t>chassaing</w:t>
      </w:r>
      <w:proofErr w:type="spellEnd"/>
      <w:r w:rsidRPr="00F6046E">
        <w:rPr>
          <w:rFonts w:ascii="Arial" w:hAnsi="Arial" w:cs="Arial"/>
        </w:rPr>
        <w:t xml:space="preserve"> et al., 2017), whereas natural options like sunflower lecithin align with clean-label trends</w:t>
      </w:r>
      <w:r w:rsidR="00F04F71" w:rsidRPr="00F6046E">
        <w:rPr>
          <w:rFonts w:ascii="Arial" w:hAnsi="Arial" w:cs="Arial"/>
        </w:rPr>
        <w:t xml:space="preserve">. </w:t>
      </w:r>
      <w:r w:rsidRPr="00F6046E">
        <w:rPr>
          <w:rFonts w:ascii="Arial" w:hAnsi="Arial" w:cs="Arial"/>
        </w:rPr>
        <w:t>Innovations include enzymatically modified proteins and plant-based biosurfactants</w:t>
      </w:r>
      <w:r w:rsidRPr="00F6046E">
        <w:rPr>
          <w:rFonts w:ascii="Arial" w:hAnsi="Arial" w:cs="Arial"/>
          <w:caps/>
        </w:rPr>
        <w:t>.</w:t>
      </w:r>
    </w:p>
    <w:p w14:paraId="0A9E91B0" w14:textId="1B84D043" w:rsidR="00552AD4" w:rsidRPr="00703706" w:rsidRDefault="00552AD4" w:rsidP="00552AD4">
      <w:pPr>
        <w:jc w:val="both"/>
        <w:rPr>
          <w:rFonts w:ascii="Arial" w:hAnsi="Arial" w:cs="Arial"/>
          <w:b/>
        </w:rPr>
      </w:pPr>
      <w:r w:rsidRPr="00703706">
        <w:rPr>
          <w:rFonts w:ascii="Arial" w:hAnsi="Arial" w:cs="Arial"/>
          <w:b/>
        </w:rPr>
        <w:t>Natural emulsifiers encompass</w:t>
      </w:r>
    </w:p>
    <w:p w14:paraId="5136565B" w14:textId="77777777" w:rsidR="00552AD4" w:rsidRPr="00F6046E" w:rsidRDefault="00552AD4" w:rsidP="00552AD4">
      <w:pPr>
        <w:jc w:val="both"/>
        <w:rPr>
          <w:rFonts w:ascii="Arial" w:hAnsi="Arial" w:cs="Arial"/>
        </w:rPr>
      </w:pPr>
    </w:p>
    <w:p w14:paraId="708752BF" w14:textId="60E53E11" w:rsidR="00552AD4" w:rsidRPr="001E6C0B" w:rsidRDefault="00552AD4" w:rsidP="00552AD4">
      <w:pPr>
        <w:jc w:val="both"/>
        <w:rPr>
          <w:rFonts w:ascii="Arial" w:hAnsi="Arial" w:cs="Arial"/>
          <w:b/>
        </w:rPr>
      </w:pPr>
      <w:r w:rsidRPr="001E6C0B">
        <w:rPr>
          <w:rFonts w:ascii="Arial" w:hAnsi="Arial" w:cs="Arial"/>
          <w:b/>
        </w:rPr>
        <w:t>Lecithin:</w:t>
      </w:r>
    </w:p>
    <w:p w14:paraId="5DC9DBDD" w14:textId="3B7C1EC4" w:rsidR="00552AD4" w:rsidRPr="00F6046E" w:rsidRDefault="00552AD4" w:rsidP="00552AD4">
      <w:pPr>
        <w:jc w:val="both"/>
        <w:rPr>
          <w:rFonts w:ascii="Arial" w:hAnsi="Arial" w:cs="Arial"/>
        </w:rPr>
      </w:pPr>
      <w:r w:rsidRPr="00F6046E">
        <w:rPr>
          <w:rFonts w:ascii="Arial" w:hAnsi="Arial" w:cs="Arial"/>
        </w:rPr>
        <w:t>Derived from soy (most common), sunflower, or egg yolk, offering phospholipid-based stabilization. Sunflower lecithin is gaining popularity as a non-GMO, allergen-reduced alternative.</w:t>
      </w:r>
    </w:p>
    <w:p w14:paraId="590B8614" w14:textId="77777777" w:rsidR="00552AD4" w:rsidRPr="00F6046E" w:rsidRDefault="00552AD4" w:rsidP="00552AD4">
      <w:pPr>
        <w:jc w:val="both"/>
        <w:rPr>
          <w:rFonts w:ascii="Arial" w:hAnsi="Arial" w:cs="Arial"/>
        </w:rPr>
      </w:pPr>
    </w:p>
    <w:p w14:paraId="2395EF69" w14:textId="21E098E2" w:rsidR="00552AD4" w:rsidRPr="001E6C0B" w:rsidRDefault="00552AD4" w:rsidP="00552AD4">
      <w:pPr>
        <w:jc w:val="both"/>
        <w:rPr>
          <w:rFonts w:ascii="Arial" w:hAnsi="Arial" w:cs="Arial"/>
          <w:b/>
        </w:rPr>
      </w:pPr>
      <w:r w:rsidRPr="001E6C0B">
        <w:rPr>
          <w:rFonts w:ascii="Arial" w:hAnsi="Arial" w:cs="Arial"/>
          <w:b/>
        </w:rPr>
        <w:t xml:space="preserve"> Proteins: </w:t>
      </w:r>
    </w:p>
    <w:p w14:paraId="614FC22D" w14:textId="0746D287" w:rsidR="00552AD4" w:rsidRPr="00F6046E" w:rsidRDefault="00552AD4" w:rsidP="00552AD4">
      <w:pPr>
        <w:jc w:val="both"/>
        <w:rPr>
          <w:rFonts w:ascii="Arial" w:hAnsi="Arial" w:cs="Arial"/>
        </w:rPr>
      </w:pPr>
      <w:r w:rsidRPr="00F6046E">
        <w:rPr>
          <w:rFonts w:ascii="Arial" w:hAnsi="Arial" w:cs="Arial"/>
        </w:rPr>
        <w:t>Whey, casein, pea, and rice proteins function as emulsifiers through their amphiphilic structures, though they are sensitive to pH and ionic strength</w:t>
      </w:r>
      <w:r w:rsidR="001E07E6">
        <w:rPr>
          <w:rFonts w:ascii="Arial" w:hAnsi="Arial" w:cs="Arial"/>
        </w:rPr>
        <w:t>.</w:t>
      </w:r>
    </w:p>
    <w:p w14:paraId="6C96A630" w14:textId="77777777" w:rsidR="00552AD4" w:rsidRPr="00F6046E" w:rsidRDefault="00552AD4" w:rsidP="00552AD4">
      <w:pPr>
        <w:jc w:val="both"/>
        <w:rPr>
          <w:rFonts w:ascii="Arial" w:hAnsi="Arial" w:cs="Arial"/>
        </w:rPr>
      </w:pPr>
    </w:p>
    <w:p w14:paraId="7FEB1B0D" w14:textId="282FBC2B" w:rsidR="00552AD4" w:rsidRPr="001E6C0B" w:rsidRDefault="00552AD4" w:rsidP="00552AD4">
      <w:pPr>
        <w:jc w:val="both"/>
        <w:rPr>
          <w:rFonts w:ascii="Arial" w:hAnsi="Arial" w:cs="Arial"/>
          <w:b/>
        </w:rPr>
      </w:pPr>
      <w:r w:rsidRPr="001E6C0B">
        <w:rPr>
          <w:rFonts w:ascii="Arial" w:hAnsi="Arial" w:cs="Arial"/>
          <w:b/>
        </w:rPr>
        <w:t>Polysaccharides:</w:t>
      </w:r>
    </w:p>
    <w:p w14:paraId="630B7C8E" w14:textId="612907F4" w:rsidR="00552AD4" w:rsidRPr="00F6046E" w:rsidRDefault="00552AD4" w:rsidP="00552AD4">
      <w:pPr>
        <w:jc w:val="both"/>
        <w:rPr>
          <w:rFonts w:ascii="Arial" w:hAnsi="Arial" w:cs="Arial"/>
        </w:rPr>
      </w:pPr>
      <w:r w:rsidRPr="00F6046E">
        <w:rPr>
          <w:rFonts w:ascii="Arial" w:hAnsi="Arial" w:cs="Arial"/>
        </w:rPr>
        <w:t xml:space="preserve"> Gum Arabic (acacia gum) and pectin stabilize via steric hindrance, ideal for beverage emulsions but limited by low surface activity (Dickinson, 2021).</w:t>
      </w:r>
    </w:p>
    <w:p w14:paraId="7E231685" w14:textId="77777777" w:rsidR="00552AD4" w:rsidRPr="00F6046E" w:rsidRDefault="00552AD4" w:rsidP="00552AD4">
      <w:pPr>
        <w:jc w:val="both"/>
        <w:rPr>
          <w:rFonts w:ascii="Arial" w:hAnsi="Arial" w:cs="Arial"/>
        </w:rPr>
      </w:pPr>
    </w:p>
    <w:p w14:paraId="3FD6FB98" w14:textId="77777777" w:rsidR="001E6C0B" w:rsidRDefault="001E6C0B" w:rsidP="00552AD4">
      <w:pPr>
        <w:jc w:val="both"/>
        <w:rPr>
          <w:rFonts w:ascii="Arial" w:hAnsi="Arial" w:cs="Arial"/>
        </w:rPr>
      </w:pPr>
    </w:p>
    <w:p w14:paraId="5913A00E" w14:textId="16F901F2" w:rsidR="00552AD4" w:rsidRPr="001E6C0B" w:rsidRDefault="00552AD4" w:rsidP="00552AD4">
      <w:pPr>
        <w:jc w:val="both"/>
        <w:rPr>
          <w:rFonts w:ascii="Arial" w:hAnsi="Arial" w:cs="Arial"/>
          <w:b/>
        </w:rPr>
      </w:pPr>
      <w:r w:rsidRPr="001E6C0B">
        <w:rPr>
          <w:rFonts w:ascii="Arial" w:hAnsi="Arial" w:cs="Arial"/>
          <w:b/>
        </w:rPr>
        <w:t>Saponins:</w:t>
      </w:r>
    </w:p>
    <w:p w14:paraId="4B58307E" w14:textId="6987EEC4" w:rsidR="00552AD4" w:rsidRDefault="00552AD4" w:rsidP="00552AD4">
      <w:pPr>
        <w:jc w:val="both"/>
        <w:rPr>
          <w:rFonts w:ascii="Arial" w:hAnsi="Arial" w:cs="Arial"/>
        </w:rPr>
      </w:pPr>
      <w:r w:rsidRPr="00F6046E">
        <w:rPr>
          <w:rFonts w:ascii="Arial" w:hAnsi="Arial" w:cs="Arial"/>
        </w:rPr>
        <w:lastRenderedPageBreak/>
        <w:t xml:space="preserve"> Quillaia and yucca extracts form highly stable Nano emulsions but may impart bitter </w:t>
      </w:r>
      <w:r w:rsidR="001E07E6" w:rsidRPr="00F6046E">
        <w:rPr>
          <w:rFonts w:ascii="Arial" w:hAnsi="Arial" w:cs="Arial"/>
        </w:rPr>
        <w:t>flavors</w:t>
      </w:r>
      <w:r w:rsidR="001E07E6">
        <w:rPr>
          <w:rFonts w:ascii="Arial" w:hAnsi="Arial" w:cs="Arial"/>
        </w:rPr>
        <w:t>.</w:t>
      </w:r>
    </w:p>
    <w:p w14:paraId="1EDFD542" w14:textId="77777777" w:rsidR="001E6C0B" w:rsidRPr="00F6046E" w:rsidRDefault="001E6C0B" w:rsidP="00552AD4">
      <w:pPr>
        <w:jc w:val="both"/>
        <w:rPr>
          <w:rFonts w:ascii="Arial" w:hAnsi="Arial" w:cs="Arial"/>
        </w:rPr>
      </w:pPr>
    </w:p>
    <w:p w14:paraId="7762B261" w14:textId="13CEEDE6" w:rsidR="002A04BB" w:rsidRDefault="00552AD4" w:rsidP="001E6C0B">
      <w:pPr>
        <w:jc w:val="both"/>
        <w:rPr>
          <w:rFonts w:ascii="Arial" w:hAnsi="Arial" w:cs="Arial"/>
        </w:rPr>
      </w:pPr>
      <w:r w:rsidRPr="00F6046E">
        <w:rPr>
          <w:rFonts w:ascii="Arial" w:hAnsi="Arial" w:cs="Arial"/>
        </w:rPr>
        <w:t xml:space="preserve">Recent innovations include enzymatically modified natural emulsifiers (e.g., </w:t>
      </w:r>
      <w:proofErr w:type="spellStart"/>
      <w:r w:rsidRPr="00F6046E">
        <w:rPr>
          <w:rFonts w:ascii="Arial" w:hAnsi="Arial" w:cs="Arial"/>
        </w:rPr>
        <w:t>hydrolysed</w:t>
      </w:r>
      <w:proofErr w:type="spellEnd"/>
      <w:r w:rsidRPr="00F6046E">
        <w:rPr>
          <w:rFonts w:ascii="Arial" w:hAnsi="Arial" w:cs="Arial"/>
        </w:rPr>
        <w:t xml:space="preserve"> oat protein) and plant-derived biosurfactants (e.g., rhamnolipids from fermentation), which combine sustainability with high performance. The clean-label movement drives demand for minimally processed options, though natural emulsifiers often require higher usage levels (2–5% vs. 0.1–1% for synthetics) to achieve comparable stability (McClements et al., 2023).</w:t>
      </w:r>
    </w:p>
    <w:p w14:paraId="04894588" w14:textId="77777777" w:rsidR="001E6C0B" w:rsidRPr="001E6C0B" w:rsidRDefault="001E6C0B" w:rsidP="001E6C0B">
      <w:pPr>
        <w:jc w:val="both"/>
        <w:rPr>
          <w:rFonts w:ascii="Arial" w:hAnsi="Arial" w:cs="Arial"/>
        </w:rPr>
      </w:pPr>
    </w:p>
    <w:p w14:paraId="468EC537" w14:textId="418B3FF6" w:rsidR="00D606DC" w:rsidRPr="00F6046E" w:rsidRDefault="00086255" w:rsidP="00D606DC">
      <w:pPr>
        <w:pStyle w:val="Body"/>
        <w:rPr>
          <w:rFonts w:ascii="Arial" w:hAnsi="Arial" w:cs="Arial"/>
          <w:b/>
          <w:caps/>
        </w:rPr>
      </w:pPr>
      <w:r w:rsidRPr="00F6046E">
        <w:rPr>
          <w:rFonts w:ascii="Arial" w:hAnsi="Arial" w:cs="Arial"/>
          <w:b/>
        </w:rPr>
        <w:t>2.</w:t>
      </w:r>
      <w:r w:rsidR="001E6C0B">
        <w:rPr>
          <w:rFonts w:ascii="Arial" w:hAnsi="Arial" w:cs="Arial"/>
          <w:b/>
        </w:rPr>
        <w:t>4</w:t>
      </w:r>
      <w:r w:rsidRPr="00F6046E">
        <w:rPr>
          <w:rFonts w:ascii="Arial" w:hAnsi="Arial" w:cs="Arial"/>
          <w:b/>
        </w:rPr>
        <w:t xml:space="preserve"> REGULATORY AND MARKET TRENDS</w:t>
      </w:r>
    </w:p>
    <w:p w14:paraId="308F1872" w14:textId="7B3EB54E" w:rsidR="00D606DC" w:rsidRPr="00F6046E" w:rsidRDefault="00D606DC" w:rsidP="00D606DC">
      <w:pPr>
        <w:pStyle w:val="Body"/>
        <w:spacing w:after="0"/>
        <w:rPr>
          <w:rFonts w:ascii="Arial" w:hAnsi="Arial" w:cs="Arial"/>
          <w:caps/>
        </w:rPr>
      </w:pPr>
      <w:r w:rsidRPr="00F6046E">
        <w:rPr>
          <w:rFonts w:ascii="Arial" w:hAnsi="Arial" w:cs="Arial"/>
        </w:rPr>
        <w:t xml:space="preserve">Health concerns have spurred stricter regulations (e.g., </w:t>
      </w:r>
      <w:proofErr w:type="spellStart"/>
      <w:r w:rsidRPr="00F6046E">
        <w:rPr>
          <w:rFonts w:ascii="Arial" w:hAnsi="Arial" w:cs="Arial"/>
        </w:rPr>
        <w:t>efsa’s</w:t>
      </w:r>
      <w:proofErr w:type="spellEnd"/>
      <w:r w:rsidRPr="00F6046E">
        <w:rPr>
          <w:rFonts w:ascii="Arial" w:hAnsi="Arial" w:cs="Arial"/>
        </w:rPr>
        <w:t xml:space="preserve"> carrageenan restrictions) and a shift toward natural emulsifiers, with the market growing at 6.8% </w:t>
      </w:r>
      <w:proofErr w:type="spellStart"/>
      <w:r w:rsidRPr="00F6046E">
        <w:rPr>
          <w:rFonts w:ascii="Arial" w:hAnsi="Arial" w:cs="Arial"/>
        </w:rPr>
        <w:t>cagr</w:t>
      </w:r>
      <w:proofErr w:type="spellEnd"/>
      <w:r w:rsidRPr="00F6046E">
        <w:rPr>
          <w:rFonts w:ascii="Arial" w:hAnsi="Arial" w:cs="Arial"/>
        </w:rPr>
        <w:t xml:space="preserve"> (</w:t>
      </w:r>
      <w:proofErr w:type="spellStart"/>
      <w:r w:rsidRPr="00F6046E">
        <w:rPr>
          <w:rFonts w:ascii="Arial" w:hAnsi="Arial" w:cs="Arial"/>
        </w:rPr>
        <w:t>mert</w:t>
      </w:r>
      <w:proofErr w:type="spellEnd"/>
      <w:r w:rsidRPr="00F6046E">
        <w:rPr>
          <w:rFonts w:ascii="Arial" w:hAnsi="Arial" w:cs="Arial"/>
        </w:rPr>
        <w:t xml:space="preserve"> &amp; </w:t>
      </w:r>
      <w:proofErr w:type="spellStart"/>
      <w:r w:rsidRPr="00F6046E">
        <w:rPr>
          <w:rFonts w:ascii="Arial" w:hAnsi="Arial" w:cs="Arial"/>
        </w:rPr>
        <w:t>demirkesen</w:t>
      </w:r>
      <w:proofErr w:type="spellEnd"/>
      <w:r w:rsidRPr="00F6046E">
        <w:rPr>
          <w:rFonts w:ascii="Arial" w:hAnsi="Arial" w:cs="Arial"/>
        </w:rPr>
        <w:t>, 2023). Future research focuses on sustainable sources and nanotechnology for enhanced stability (mc</w:t>
      </w:r>
      <w:r w:rsidR="00093E77"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xml:space="preserve"> et al., 2</w:t>
      </w:r>
      <w:r w:rsidRPr="00F6046E">
        <w:rPr>
          <w:rFonts w:ascii="Arial" w:hAnsi="Arial" w:cs="Arial"/>
          <w:caps/>
        </w:rPr>
        <w:t>017).</w:t>
      </w:r>
    </w:p>
    <w:p w14:paraId="2FBE5A03" w14:textId="661EAB94" w:rsidR="002A04BB" w:rsidRPr="00F6046E" w:rsidRDefault="002A04BB" w:rsidP="00D606DC">
      <w:pPr>
        <w:pStyle w:val="Body"/>
        <w:spacing w:after="0"/>
        <w:rPr>
          <w:rFonts w:ascii="Arial" w:hAnsi="Arial" w:cs="Arial"/>
          <w:caps/>
        </w:rPr>
      </w:pPr>
    </w:p>
    <w:p w14:paraId="60BAC056" w14:textId="379E5566" w:rsidR="002A04BB" w:rsidRPr="00F6046E" w:rsidRDefault="002A04BB" w:rsidP="002A04BB">
      <w:pPr>
        <w:tabs>
          <w:tab w:val="left" w:pos="1080"/>
        </w:tabs>
        <w:jc w:val="both"/>
        <w:rPr>
          <w:rFonts w:ascii="Arial" w:hAnsi="Arial" w:cs="Arial"/>
          <w:b/>
        </w:rPr>
      </w:pPr>
      <w:r w:rsidRPr="00F6046E">
        <w:rPr>
          <w:rFonts w:ascii="Arial" w:hAnsi="Arial" w:cs="Arial"/>
          <w:b/>
        </w:rPr>
        <w:t>Table 1.</w:t>
      </w:r>
      <w:r w:rsidRPr="00F6046E">
        <w:rPr>
          <w:rFonts w:ascii="Arial" w:hAnsi="Arial" w:cs="Arial"/>
          <w:b/>
        </w:rPr>
        <w:tab/>
        <w:t>Top 10 India’s Exports Destinations of Niger</w:t>
      </w:r>
      <w:r w:rsidR="001E07E6">
        <w:rPr>
          <w:rFonts w:ascii="Arial" w:hAnsi="Arial" w:cs="Arial"/>
          <w:b/>
        </w:rPr>
        <w:t xml:space="preserve"> </w:t>
      </w:r>
      <w:r w:rsidRPr="00F6046E">
        <w:rPr>
          <w:rFonts w:ascii="Arial" w:hAnsi="Arial" w:cs="Arial"/>
          <w:b/>
        </w:rPr>
        <w:t>seeds (1990-2016)</w:t>
      </w:r>
    </w:p>
    <w:p w14:paraId="41A94327" w14:textId="77777777" w:rsidR="002A04BB" w:rsidRPr="00F6046E" w:rsidRDefault="002A04BB" w:rsidP="00D606DC">
      <w:pPr>
        <w:pStyle w:val="Body"/>
        <w:spacing w:after="0"/>
        <w:rPr>
          <w:rFonts w:ascii="Arial" w:hAnsi="Arial" w:cs="Arial"/>
          <w:caps/>
        </w:rPr>
      </w:pPr>
    </w:p>
    <w:p w14:paraId="31DDBFDD" w14:textId="4BB78B7C" w:rsidR="002A04BB" w:rsidRPr="00F6046E" w:rsidRDefault="002A04BB" w:rsidP="00D606DC">
      <w:pPr>
        <w:pStyle w:val="Body"/>
        <w:spacing w:after="0"/>
        <w:rPr>
          <w:rFonts w:ascii="Arial" w:hAnsi="Arial" w:cs="Arial"/>
          <w:caps/>
        </w:rPr>
      </w:pPr>
    </w:p>
    <w:tbl>
      <w:tblPr>
        <w:tblStyle w:val="PlainTable2"/>
        <w:tblW w:w="0" w:type="auto"/>
        <w:jc w:val="center"/>
        <w:tblLook w:val="04A0" w:firstRow="1" w:lastRow="0" w:firstColumn="1" w:lastColumn="0" w:noHBand="0" w:noVBand="1"/>
      </w:tblPr>
      <w:tblGrid>
        <w:gridCol w:w="1620"/>
        <w:gridCol w:w="1236"/>
        <w:gridCol w:w="1217"/>
        <w:gridCol w:w="1215"/>
        <w:gridCol w:w="1215"/>
        <w:gridCol w:w="1270"/>
        <w:gridCol w:w="1243"/>
      </w:tblGrid>
      <w:tr w:rsidR="002A04BB" w:rsidRPr="00773B4D" w14:paraId="7C374E4E" w14:textId="77777777" w:rsidTr="002A04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06D5743C" w14:textId="77777777" w:rsidR="002A04BB" w:rsidRPr="00773B4D" w:rsidRDefault="002A04BB" w:rsidP="00C2016D">
            <w:pPr>
              <w:jc w:val="center"/>
              <w:rPr>
                <w:rFonts w:ascii="Arial" w:hAnsi="Arial" w:cs="Arial"/>
              </w:rPr>
            </w:pPr>
            <w:bookmarkStart w:id="0" w:name="_Hlk204554943"/>
            <w:r w:rsidRPr="00773B4D">
              <w:rPr>
                <w:rFonts w:ascii="Arial" w:hAnsi="Arial" w:cs="Arial"/>
              </w:rPr>
              <w:t>Country</w:t>
            </w:r>
          </w:p>
        </w:tc>
        <w:tc>
          <w:tcPr>
            <w:tcW w:w="1236" w:type="dxa"/>
          </w:tcPr>
          <w:p w14:paraId="45D8DE1D"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Total Qty (Tones)</w:t>
            </w:r>
          </w:p>
        </w:tc>
        <w:tc>
          <w:tcPr>
            <w:tcW w:w="1217" w:type="dxa"/>
          </w:tcPr>
          <w:p w14:paraId="2BCDE0D8"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Qty to world</w:t>
            </w:r>
          </w:p>
        </w:tc>
        <w:tc>
          <w:tcPr>
            <w:tcW w:w="1215" w:type="dxa"/>
          </w:tcPr>
          <w:p w14:paraId="14377DF0"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Total value</w:t>
            </w:r>
          </w:p>
        </w:tc>
        <w:tc>
          <w:tcPr>
            <w:tcW w:w="1215" w:type="dxa"/>
          </w:tcPr>
          <w:p w14:paraId="2FE70DE5"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total value</w:t>
            </w:r>
          </w:p>
        </w:tc>
        <w:tc>
          <w:tcPr>
            <w:tcW w:w="1270" w:type="dxa"/>
          </w:tcPr>
          <w:p w14:paraId="4E0CDC63"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Average price (US$/Kg)</w:t>
            </w:r>
          </w:p>
        </w:tc>
        <w:tc>
          <w:tcPr>
            <w:tcW w:w="1243" w:type="dxa"/>
          </w:tcPr>
          <w:p w14:paraId="5E6FA5C5"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average price</w:t>
            </w:r>
          </w:p>
        </w:tc>
      </w:tr>
      <w:tr w:rsidR="002A04BB" w:rsidRPr="00773B4D" w14:paraId="47812099"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70C3FB12" w14:textId="77777777" w:rsidR="002A04BB" w:rsidRPr="00773B4D" w:rsidRDefault="002A04BB" w:rsidP="00C2016D">
            <w:pPr>
              <w:spacing w:line="360" w:lineRule="auto"/>
              <w:jc w:val="both"/>
              <w:rPr>
                <w:rFonts w:ascii="Arial" w:hAnsi="Arial" w:cs="Arial"/>
              </w:rPr>
            </w:pPr>
            <w:r w:rsidRPr="00773B4D">
              <w:rPr>
                <w:rFonts w:ascii="Arial" w:hAnsi="Arial" w:cs="Arial"/>
              </w:rPr>
              <w:t>USA</w:t>
            </w:r>
          </w:p>
        </w:tc>
        <w:tc>
          <w:tcPr>
            <w:tcW w:w="1236" w:type="dxa"/>
          </w:tcPr>
          <w:p w14:paraId="2983E1B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373769.84</w:t>
            </w:r>
          </w:p>
        </w:tc>
        <w:tc>
          <w:tcPr>
            <w:tcW w:w="1217" w:type="dxa"/>
          </w:tcPr>
          <w:p w14:paraId="437807C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79.30</w:t>
            </w:r>
          </w:p>
        </w:tc>
        <w:tc>
          <w:tcPr>
            <w:tcW w:w="1215" w:type="dxa"/>
          </w:tcPr>
          <w:p w14:paraId="6ECEF0EC"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251.10</w:t>
            </w:r>
          </w:p>
        </w:tc>
        <w:tc>
          <w:tcPr>
            <w:tcW w:w="1215" w:type="dxa"/>
          </w:tcPr>
          <w:p w14:paraId="13FD7E3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77.76</w:t>
            </w:r>
          </w:p>
        </w:tc>
        <w:tc>
          <w:tcPr>
            <w:tcW w:w="1270" w:type="dxa"/>
          </w:tcPr>
          <w:p w14:paraId="7EDF5D1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0.71</w:t>
            </w:r>
          </w:p>
        </w:tc>
        <w:tc>
          <w:tcPr>
            <w:tcW w:w="1243" w:type="dxa"/>
          </w:tcPr>
          <w:p w14:paraId="5A03312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15.05</w:t>
            </w:r>
          </w:p>
        </w:tc>
      </w:tr>
      <w:tr w:rsidR="002A04BB" w:rsidRPr="00773B4D" w14:paraId="29689B9F"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FCC6459" w14:textId="77777777" w:rsidR="002A04BB" w:rsidRPr="00773B4D" w:rsidRDefault="002A04BB" w:rsidP="00C2016D">
            <w:pPr>
              <w:spacing w:line="360" w:lineRule="auto"/>
              <w:jc w:val="both"/>
              <w:rPr>
                <w:rFonts w:ascii="Arial" w:hAnsi="Arial" w:cs="Arial"/>
              </w:rPr>
            </w:pPr>
            <w:r w:rsidRPr="00773B4D">
              <w:rPr>
                <w:rFonts w:ascii="Arial" w:hAnsi="Arial" w:cs="Arial"/>
              </w:rPr>
              <w:t>Belgium</w:t>
            </w:r>
          </w:p>
        </w:tc>
        <w:tc>
          <w:tcPr>
            <w:tcW w:w="1236" w:type="dxa"/>
          </w:tcPr>
          <w:p w14:paraId="1F32913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15696.70</w:t>
            </w:r>
          </w:p>
        </w:tc>
        <w:tc>
          <w:tcPr>
            <w:tcW w:w="1217" w:type="dxa"/>
          </w:tcPr>
          <w:p w14:paraId="71F9872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3.33</w:t>
            </w:r>
          </w:p>
        </w:tc>
        <w:tc>
          <w:tcPr>
            <w:tcW w:w="1215" w:type="dxa"/>
          </w:tcPr>
          <w:p w14:paraId="0CC2C86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11.10</w:t>
            </w:r>
          </w:p>
        </w:tc>
        <w:tc>
          <w:tcPr>
            <w:tcW w:w="1215" w:type="dxa"/>
          </w:tcPr>
          <w:p w14:paraId="278EB3D1"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3.44</w:t>
            </w:r>
          </w:p>
        </w:tc>
        <w:tc>
          <w:tcPr>
            <w:tcW w:w="1270" w:type="dxa"/>
          </w:tcPr>
          <w:p w14:paraId="28952CB3"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0.63</w:t>
            </w:r>
          </w:p>
        </w:tc>
        <w:tc>
          <w:tcPr>
            <w:tcW w:w="1243" w:type="dxa"/>
          </w:tcPr>
          <w:p w14:paraId="7DE08559"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13.45</w:t>
            </w:r>
          </w:p>
        </w:tc>
      </w:tr>
      <w:tr w:rsidR="002A04BB" w:rsidRPr="00773B4D" w14:paraId="686C699E"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2D26F901" w14:textId="77777777" w:rsidR="002A04BB" w:rsidRPr="00773B4D" w:rsidRDefault="002A04BB" w:rsidP="00C2016D">
            <w:pPr>
              <w:spacing w:line="360" w:lineRule="auto"/>
              <w:jc w:val="both"/>
              <w:rPr>
                <w:rFonts w:ascii="Arial" w:hAnsi="Arial" w:cs="Arial"/>
              </w:rPr>
            </w:pPr>
            <w:r w:rsidRPr="00773B4D">
              <w:rPr>
                <w:rFonts w:ascii="Arial" w:hAnsi="Arial" w:cs="Arial"/>
              </w:rPr>
              <w:t>UK</w:t>
            </w:r>
          </w:p>
        </w:tc>
        <w:tc>
          <w:tcPr>
            <w:tcW w:w="1236" w:type="dxa"/>
          </w:tcPr>
          <w:p w14:paraId="4B2B77D3"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11803.05</w:t>
            </w:r>
          </w:p>
        </w:tc>
        <w:tc>
          <w:tcPr>
            <w:tcW w:w="1217" w:type="dxa"/>
          </w:tcPr>
          <w:p w14:paraId="5DA0B909"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2.50</w:t>
            </w:r>
          </w:p>
        </w:tc>
        <w:tc>
          <w:tcPr>
            <w:tcW w:w="1215" w:type="dxa"/>
          </w:tcPr>
          <w:p w14:paraId="79E770DF"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9.50</w:t>
            </w:r>
          </w:p>
        </w:tc>
        <w:tc>
          <w:tcPr>
            <w:tcW w:w="1215" w:type="dxa"/>
          </w:tcPr>
          <w:p w14:paraId="3EE21CB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2.94</w:t>
            </w:r>
          </w:p>
        </w:tc>
        <w:tc>
          <w:tcPr>
            <w:tcW w:w="1270" w:type="dxa"/>
          </w:tcPr>
          <w:p w14:paraId="03745C2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0.47</w:t>
            </w:r>
          </w:p>
        </w:tc>
        <w:tc>
          <w:tcPr>
            <w:tcW w:w="1243" w:type="dxa"/>
          </w:tcPr>
          <w:p w14:paraId="21FFABB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9.99</w:t>
            </w:r>
          </w:p>
        </w:tc>
      </w:tr>
      <w:tr w:rsidR="002A04BB" w:rsidRPr="00773B4D" w14:paraId="7B3B1AA6"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221CCB2F" w14:textId="77777777" w:rsidR="002A04BB" w:rsidRPr="00773B4D" w:rsidRDefault="002A04BB" w:rsidP="00C2016D">
            <w:pPr>
              <w:spacing w:line="360" w:lineRule="auto"/>
              <w:jc w:val="both"/>
              <w:rPr>
                <w:rFonts w:ascii="Arial" w:hAnsi="Arial" w:cs="Arial"/>
              </w:rPr>
            </w:pPr>
            <w:r w:rsidRPr="00773B4D">
              <w:rPr>
                <w:rFonts w:ascii="Arial" w:hAnsi="Arial" w:cs="Arial"/>
              </w:rPr>
              <w:t>Italy</w:t>
            </w:r>
          </w:p>
        </w:tc>
        <w:tc>
          <w:tcPr>
            <w:tcW w:w="1236" w:type="dxa"/>
          </w:tcPr>
          <w:p w14:paraId="45AB9C6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10744.13</w:t>
            </w:r>
          </w:p>
        </w:tc>
        <w:tc>
          <w:tcPr>
            <w:tcW w:w="1217" w:type="dxa"/>
          </w:tcPr>
          <w:p w14:paraId="639CA69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2.28</w:t>
            </w:r>
          </w:p>
        </w:tc>
        <w:tc>
          <w:tcPr>
            <w:tcW w:w="1215" w:type="dxa"/>
          </w:tcPr>
          <w:p w14:paraId="0BB0A48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6.50</w:t>
            </w:r>
          </w:p>
        </w:tc>
        <w:tc>
          <w:tcPr>
            <w:tcW w:w="1215" w:type="dxa"/>
          </w:tcPr>
          <w:p w14:paraId="12A4EAE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2.01</w:t>
            </w:r>
          </w:p>
        </w:tc>
        <w:tc>
          <w:tcPr>
            <w:tcW w:w="1270" w:type="dxa"/>
          </w:tcPr>
          <w:p w14:paraId="5BD425D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0.64</w:t>
            </w:r>
          </w:p>
        </w:tc>
        <w:tc>
          <w:tcPr>
            <w:tcW w:w="1243" w:type="dxa"/>
          </w:tcPr>
          <w:p w14:paraId="74BC69FE"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13.57</w:t>
            </w:r>
          </w:p>
        </w:tc>
      </w:tr>
      <w:tr w:rsidR="002A04BB" w:rsidRPr="00773B4D" w14:paraId="750B679B"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257A495E" w14:textId="77777777" w:rsidR="002A04BB" w:rsidRPr="00773B4D" w:rsidRDefault="002A04BB" w:rsidP="00C2016D">
            <w:pPr>
              <w:spacing w:line="360" w:lineRule="auto"/>
              <w:jc w:val="both"/>
              <w:rPr>
                <w:rFonts w:ascii="Arial" w:hAnsi="Arial" w:cs="Arial"/>
              </w:rPr>
            </w:pPr>
            <w:r w:rsidRPr="00773B4D">
              <w:rPr>
                <w:rFonts w:ascii="Arial" w:hAnsi="Arial" w:cs="Arial"/>
              </w:rPr>
              <w:t>Singapore</w:t>
            </w:r>
          </w:p>
        </w:tc>
        <w:tc>
          <w:tcPr>
            <w:tcW w:w="1236" w:type="dxa"/>
          </w:tcPr>
          <w:p w14:paraId="5F5D66C0"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10738.38</w:t>
            </w:r>
          </w:p>
        </w:tc>
        <w:tc>
          <w:tcPr>
            <w:tcW w:w="1217" w:type="dxa"/>
          </w:tcPr>
          <w:p w14:paraId="1D3BB828"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2.28</w:t>
            </w:r>
          </w:p>
        </w:tc>
        <w:tc>
          <w:tcPr>
            <w:tcW w:w="1215" w:type="dxa"/>
          </w:tcPr>
          <w:p w14:paraId="1714994C"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6.30</w:t>
            </w:r>
          </w:p>
        </w:tc>
        <w:tc>
          <w:tcPr>
            <w:tcW w:w="1215" w:type="dxa"/>
          </w:tcPr>
          <w:p w14:paraId="0C49A60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1.95</w:t>
            </w:r>
          </w:p>
        </w:tc>
        <w:tc>
          <w:tcPr>
            <w:tcW w:w="1270" w:type="dxa"/>
          </w:tcPr>
          <w:p w14:paraId="0072C42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4DDB6701"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110AC1F6"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51928D3C" w14:textId="77777777" w:rsidR="002A04BB" w:rsidRPr="00773B4D" w:rsidRDefault="002A04BB" w:rsidP="00C2016D">
            <w:pPr>
              <w:spacing w:line="360" w:lineRule="auto"/>
              <w:jc w:val="both"/>
              <w:rPr>
                <w:rFonts w:ascii="Arial" w:hAnsi="Arial" w:cs="Arial"/>
              </w:rPr>
            </w:pPr>
            <w:r w:rsidRPr="00773B4D">
              <w:rPr>
                <w:rFonts w:ascii="Arial" w:hAnsi="Arial" w:cs="Arial"/>
              </w:rPr>
              <w:t>Mexico</w:t>
            </w:r>
          </w:p>
        </w:tc>
        <w:tc>
          <w:tcPr>
            <w:tcW w:w="1236" w:type="dxa"/>
          </w:tcPr>
          <w:p w14:paraId="7E410E3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7876.11</w:t>
            </w:r>
          </w:p>
        </w:tc>
        <w:tc>
          <w:tcPr>
            <w:tcW w:w="1217" w:type="dxa"/>
          </w:tcPr>
          <w:p w14:paraId="20CC130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1.67</w:t>
            </w:r>
          </w:p>
        </w:tc>
        <w:tc>
          <w:tcPr>
            <w:tcW w:w="1215" w:type="dxa"/>
          </w:tcPr>
          <w:p w14:paraId="5002B781"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5.50</w:t>
            </w:r>
          </w:p>
        </w:tc>
        <w:tc>
          <w:tcPr>
            <w:tcW w:w="1215" w:type="dxa"/>
          </w:tcPr>
          <w:p w14:paraId="1346A00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1.70</w:t>
            </w:r>
          </w:p>
        </w:tc>
        <w:tc>
          <w:tcPr>
            <w:tcW w:w="1270" w:type="dxa"/>
          </w:tcPr>
          <w:p w14:paraId="177660C0"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0.54</w:t>
            </w:r>
          </w:p>
        </w:tc>
        <w:tc>
          <w:tcPr>
            <w:tcW w:w="1243" w:type="dxa"/>
          </w:tcPr>
          <w:p w14:paraId="336A534F"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11.46</w:t>
            </w:r>
          </w:p>
        </w:tc>
      </w:tr>
      <w:tr w:rsidR="002A04BB" w:rsidRPr="00773B4D" w14:paraId="08303C71"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64BFC00C" w14:textId="77777777" w:rsidR="002A04BB" w:rsidRPr="00773B4D" w:rsidRDefault="002A04BB" w:rsidP="00C2016D">
            <w:pPr>
              <w:spacing w:line="360" w:lineRule="auto"/>
              <w:jc w:val="both"/>
              <w:rPr>
                <w:rFonts w:ascii="Arial" w:hAnsi="Arial" w:cs="Arial"/>
              </w:rPr>
            </w:pPr>
            <w:r w:rsidRPr="00773B4D">
              <w:rPr>
                <w:rFonts w:ascii="Arial" w:hAnsi="Arial" w:cs="Arial"/>
              </w:rPr>
              <w:t>Netherlands</w:t>
            </w:r>
          </w:p>
        </w:tc>
        <w:tc>
          <w:tcPr>
            <w:tcW w:w="1236" w:type="dxa"/>
          </w:tcPr>
          <w:p w14:paraId="2B3789B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6817.20</w:t>
            </w:r>
          </w:p>
        </w:tc>
        <w:tc>
          <w:tcPr>
            <w:tcW w:w="1217" w:type="dxa"/>
          </w:tcPr>
          <w:p w14:paraId="0CAB06E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1.45</w:t>
            </w:r>
          </w:p>
        </w:tc>
        <w:tc>
          <w:tcPr>
            <w:tcW w:w="1215" w:type="dxa"/>
          </w:tcPr>
          <w:p w14:paraId="18348218"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4.20</w:t>
            </w:r>
          </w:p>
        </w:tc>
        <w:tc>
          <w:tcPr>
            <w:tcW w:w="1215" w:type="dxa"/>
          </w:tcPr>
          <w:p w14:paraId="316F92B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1.30</w:t>
            </w:r>
          </w:p>
        </w:tc>
        <w:tc>
          <w:tcPr>
            <w:tcW w:w="1270" w:type="dxa"/>
          </w:tcPr>
          <w:p w14:paraId="205C083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0.51</w:t>
            </w:r>
          </w:p>
        </w:tc>
        <w:tc>
          <w:tcPr>
            <w:tcW w:w="1243" w:type="dxa"/>
          </w:tcPr>
          <w:p w14:paraId="05B4E7E0"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10.87</w:t>
            </w:r>
          </w:p>
        </w:tc>
      </w:tr>
      <w:tr w:rsidR="002A04BB" w:rsidRPr="00773B4D" w14:paraId="45C5EAD7"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D8B7A24" w14:textId="77777777" w:rsidR="002A04BB" w:rsidRPr="00773B4D" w:rsidRDefault="002A04BB" w:rsidP="00C2016D">
            <w:pPr>
              <w:spacing w:line="360" w:lineRule="auto"/>
              <w:jc w:val="both"/>
              <w:rPr>
                <w:rFonts w:ascii="Arial" w:hAnsi="Arial" w:cs="Arial"/>
              </w:rPr>
            </w:pPr>
            <w:r w:rsidRPr="00773B4D">
              <w:rPr>
                <w:rFonts w:ascii="Arial" w:hAnsi="Arial" w:cs="Arial"/>
              </w:rPr>
              <w:t>Spain</w:t>
            </w:r>
          </w:p>
        </w:tc>
        <w:tc>
          <w:tcPr>
            <w:tcW w:w="1236" w:type="dxa"/>
          </w:tcPr>
          <w:p w14:paraId="2AD98EA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6617.20</w:t>
            </w:r>
          </w:p>
        </w:tc>
        <w:tc>
          <w:tcPr>
            <w:tcW w:w="1217" w:type="dxa"/>
          </w:tcPr>
          <w:p w14:paraId="77431CEB"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1.41</w:t>
            </w:r>
          </w:p>
        </w:tc>
        <w:tc>
          <w:tcPr>
            <w:tcW w:w="1215" w:type="dxa"/>
          </w:tcPr>
          <w:p w14:paraId="64B96BA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5.00</w:t>
            </w:r>
          </w:p>
        </w:tc>
        <w:tc>
          <w:tcPr>
            <w:tcW w:w="1215" w:type="dxa"/>
          </w:tcPr>
          <w:p w14:paraId="3864422F"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1.55</w:t>
            </w:r>
          </w:p>
        </w:tc>
        <w:tc>
          <w:tcPr>
            <w:tcW w:w="1270" w:type="dxa"/>
          </w:tcPr>
          <w:p w14:paraId="794BCE5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0.70</w:t>
            </w:r>
          </w:p>
        </w:tc>
        <w:tc>
          <w:tcPr>
            <w:tcW w:w="1243" w:type="dxa"/>
          </w:tcPr>
          <w:p w14:paraId="6C384542"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14.90</w:t>
            </w:r>
          </w:p>
        </w:tc>
      </w:tr>
      <w:tr w:rsidR="002A04BB" w:rsidRPr="00773B4D" w14:paraId="4E62932D"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54CF094E" w14:textId="77777777" w:rsidR="002A04BB" w:rsidRPr="00773B4D" w:rsidRDefault="002A04BB" w:rsidP="00C2016D">
            <w:pPr>
              <w:spacing w:line="360" w:lineRule="auto"/>
              <w:jc w:val="both"/>
              <w:rPr>
                <w:rFonts w:ascii="Arial" w:hAnsi="Arial" w:cs="Arial"/>
              </w:rPr>
            </w:pPr>
            <w:r w:rsidRPr="00773B4D">
              <w:rPr>
                <w:rFonts w:ascii="Arial" w:hAnsi="Arial" w:cs="Arial"/>
              </w:rPr>
              <w:t>Canada</w:t>
            </w:r>
          </w:p>
        </w:tc>
        <w:tc>
          <w:tcPr>
            <w:tcW w:w="1236" w:type="dxa"/>
          </w:tcPr>
          <w:p w14:paraId="25A4CEF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5395.32</w:t>
            </w:r>
          </w:p>
        </w:tc>
        <w:tc>
          <w:tcPr>
            <w:tcW w:w="1217" w:type="dxa"/>
          </w:tcPr>
          <w:p w14:paraId="3EA42368"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1.14</w:t>
            </w:r>
          </w:p>
        </w:tc>
        <w:tc>
          <w:tcPr>
            <w:tcW w:w="1215" w:type="dxa"/>
          </w:tcPr>
          <w:p w14:paraId="39EF3289"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4.50</w:t>
            </w:r>
          </w:p>
        </w:tc>
        <w:tc>
          <w:tcPr>
            <w:tcW w:w="1215" w:type="dxa"/>
          </w:tcPr>
          <w:p w14:paraId="28727EDF"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1.39</w:t>
            </w:r>
          </w:p>
        </w:tc>
        <w:tc>
          <w:tcPr>
            <w:tcW w:w="1270" w:type="dxa"/>
          </w:tcPr>
          <w:p w14:paraId="4B7A075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0.50</w:t>
            </w:r>
          </w:p>
        </w:tc>
        <w:tc>
          <w:tcPr>
            <w:tcW w:w="1243" w:type="dxa"/>
          </w:tcPr>
          <w:p w14:paraId="237804F3"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10.70</w:t>
            </w:r>
          </w:p>
        </w:tc>
      </w:tr>
      <w:tr w:rsidR="002A04BB" w:rsidRPr="00773B4D" w14:paraId="2D47BEDB"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6B50854" w14:textId="77777777" w:rsidR="002A04BB" w:rsidRPr="00773B4D" w:rsidRDefault="002A04BB" w:rsidP="00C2016D">
            <w:pPr>
              <w:spacing w:line="360" w:lineRule="auto"/>
              <w:jc w:val="both"/>
              <w:rPr>
                <w:rFonts w:ascii="Arial" w:hAnsi="Arial" w:cs="Arial"/>
              </w:rPr>
            </w:pPr>
            <w:r w:rsidRPr="00773B4D">
              <w:rPr>
                <w:rFonts w:ascii="Arial" w:hAnsi="Arial" w:cs="Arial"/>
              </w:rPr>
              <w:t>Brazil</w:t>
            </w:r>
          </w:p>
        </w:tc>
        <w:tc>
          <w:tcPr>
            <w:tcW w:w="1236" w:type="dxa"/>
          </w:tcPr>
          <w:p w14:paraId="5A0D5655"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3351.51</w:t>
            </w:r>
          </w:p>
        </w:tc>
        <w:tc>
          <w:tcPr>
            <w:tcW w:w="1217" w:type="dxa"/>
          </w:tcPr>
          <w:p w14:paraId="4CB5D039"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0.71</w:t>
            </w:r>
          </w:p>
        </w:tc>
        <w:tc>
          <w:tcPr>
            <w:tcW w:w="1215" w:type="dxa"/>
          </w:tcPr>
          <w:p w14:paraId="7601F04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3.00</w:t>
            </w:r>
          </w:p>
        </w:tc>
        <w:tc>
          <w:tcPr>
            <w:tcW w:w="1215" w:type="dxa"/>
          </w:tcPr>
          <w:p w14:paraId="436B97E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0.93</w:t>
            </w:r>
          </w:p>
        </w:tc>
        <w:tc>
          <w:tcPr>
            <w:tcW w:w="1270" w:type="dxa"/>
          </w:tcPr>
          <w:p w14:paraId="11AF571B"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0EAD66A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3BEC8CC3"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4719527" w14:textId="6F85FBE6" w:rsidR="002A04BB" w:rsidRPr="00773B4D" w:rsidRDefault="002A04BB" w:rsidP="00C2016D">
            <w:pPr>
              <w:spacing w:line="360" w:lineRule="auto"/>
              <w:jc w:val="both"/>
              <w:rPr>
                <w:rFonts w:ascii="Arial" w:hAnsi="Arial" w:cs="Arial"/>
              </w:rPr>
            </w:pPr>
            <w:r w:rsidRPr="00773B4D">
              <w:rPr>
                <w:rFonts w:ascii="Arial" w:hAnsi="Arial" w:cs="Arial"/>
              </w:rPr>
              <w:t>Other   Country</w:t>
            </w:r>
          </w:p>
        </w:tc>
        <w:tc>
          <w:tcPr>
            <w:tcW w:w="1236" w:type="dxa"/>
          </w:tcPr>
          <w:p w14:paraId="0473B87D"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18499.92</w:t>
            </w:r>
          </w:p>
        </w:tc>
        <w:tc>
          <w:tcPr>
            <w:tcW w:w="1217" w:type="dxa"/>
          </w:tcPr>
          <w:p w14:paraId="6679332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3.93</w:t>
            </w:r>
          </w:p>
        </w:tc>
        <w:tc>
          <w:tcPr>
            <w:tcW w:w="1215" w:type="dxa"/>
          </w:tcPr>
          <w:p w14:paraId="52AD4626"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16.20</w:t>
            </w:r>
          </w:p>
        </w:tc>
        <w:tc>
          <w:tcPr>
            <w:tcW w:w="1215" w:type="dxa"/>
          </w:tcPr>
          <w:p w14:paraId="5C6902DC"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5.02</w:t>
            </w:r>
          </w:p>
        </w:tc>
        <w:tc>
          <w:tcPr>
            <w:tcW w:w="1270" w:type="dxa"/>
          </w:tcPr>
          <w:p w14:paraId="439F90B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5B7F40FA"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4F28EC21"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7CE0FBCA" w14:textId="77777777" w:rsidR="002A04BB" w:rsidRPr="00773B4D" w:rsidRDefault="002A04BB" w:rsidP="00C2016D">
            <w:pPr>
              <w:spacing w:line="360" w:lineRule="auto"/>
              <w:jc w:val="both"/>
              <w:rPr>
                <w:rFonts w:ascii="Arial" w:hAnsi="Arial" w:cs="Arial"/>
              </w:rPr>
            </w:pPr>
            <w:r w:rsidRPr="00773B4D">
              <w:rPr>
                <w:rFonts w:ascii="Arial" w:hAnsi="Arial" w:cs="Arial"/>
              </w:rPr>
              <w:t>world</w:t>
            </w:r>
          </w:p>
        </w:tc>
        <w:tc>
          <w:tcPr>
            <w:tcW w:w="1236" w:type="dxa"/>
          </w:tcPr>
          <w:p w14:paraId="5E286440"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471333.42</w:t>
            </w:r>
          </w:p>
        </w:tc>
        <w:tc>
          <w:tcPr>
            <w:tcW w:w="1217" w:type="dxa"/>
          </w:tcPr>
          <w:p w14:paraId="4E9ACC6E"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c>
          <w:tcPr>
            <w:tcW w:w="1215" w:type="dxa"/>
          </w:tcPr>
          <w:p w14:paraId="23A1885B"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322.90</w:t>
            </w:r>
          </w:p>
        </w:tc>
        <w:tc>
          <w:tcPr>
            <w:tcW w:w="1215" w:type="dxa"/>
          </w:tcPr>
          <w:p w14:paraId="06F8D039"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c>
          <w:tcPr>
            <w:tcW w:w="1270" w:type="dxa"/>
          </w:tcPr>
          <w:p w14:paraId="1258C0E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4.70</w:t>
            </w:r>
          </w:p>
        </w:tc>
        <w:tc>
          <w:tcPr>
            <w:tcW w:w="1243" w:type="dxa"/>
          </w:tcPr>
          <w:p w14:paraId="71EDE9A2"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r>
    </w:tbl>
    <w:bookmarkEnd w:id="0"/>
    <w:p w14:paraId="5B6EDEAD" w14:textId="732A545E" w:rsidR="002A04BB" w:rsidRPr="00773B4D" w:rsidRDefault="002A04BB" w:rsidP="00D606DC">
      <w:pPr>
        <w:pStyle w:val="Body"/>
        <w:spacing w:after="0"/>
        <w:rPr>
          <w:rFonts w:ascii="Arial" w:hAnsi="Arial" w:cs="Arial"/>
          <w:caps/>
        </w:rPr>
      </w:pPr>
      <w:r w:rsidRPr="00773B4D">
        <w:rPr>
          <w:rFonts w:ascii="Arial" w:hAnsi="Arial" w:cs="Arial"/>
          <w:caps/>
        </w:rPr>
        <w:t xml:space="preserve">                                                                                              </w:t>
      </w:r>
      <w:r w:rsidR="00276325" w:rsidRPr="00773B4D">
        <w:rPr>
          <w:rFonts w:ascii="Arial" w:hAnsi="Arial" w:cs="Arial"/>
          <w:caps/>
        </w:rPr>
        <w:t xml:space="preserve">        </w:t>
      </w:r>
      <w:r w:rsidRPr="00773B4D">
        <w:rPr>
          <w:rFonts w:ascii="Arial" w:hAnsi="Arial" w:cs="Arial"/>
          <w:caps/>
        </w:rPr>
        <w:t xml:space="preserve"> (</w:t>
      </w:r>
      <w:r w:rsidRPr="00773B4D">
        <w:rPr>
          <w:rFonts w:ascii="Arial" w:hAnsi="Arial" w:cs="Arial"/>
        </w:rPr>
        <w:t xml:space="preserve">M.B. Dastagiri1 and S.M Jainuddin2 </w:t>
      </w:r>
      <w:r w:rsidR="00276325" w:rsidRPr="00773B4D">
        <w:rPr>
          <w:rFonts w:ascii="Arial" w:hAnsi="Arial" w:cs="Arial"/>
        </w:rPr>
        <w:t>2017</w:t>
      </w:r>
      <w:r w:rsidRPr="00773B4D">
        <w:rPr>
          <w:rFonts w:ascii="Arial" w:hAnsi="Arial" w:cs="Arial"/>
          <w:caps/>
        </w:rPr>
        <w:t>)</w:t>
      </w:r>
    </w:p>
    <w:p w14:paraId="39F390B0" w14:textId="6BB604D8" w:rsidR="00276325" w:rsidRPr="00F6046E" w:rsidRDefault="00276325" w:rsidP="00D606DC">
      <w:pPr>
        <w:pStyle w:val="Body"/>
        <w:spacing w:after="0"/>
        <w:rPr>
          <w:rFonts w:ascii="Arial" w:hAnsi="Arial" w:cs="Arial"/>
          <w:caps/>
        </w:rPr>
      </w:pPr>
    </w:p>
    <w:p w14:paraId="6B00E968" w14:textId="65B261BA" w:rsidR="00276325" w:rsidRPr="00F6046E" w:rsidRDefault="00276325" w:rsidP="00276325">
      <w:pPr>
        <w:spacing w:line="360" w:lineRule="auto"/>
        <w:jc w:val="both"/>
        <w:rPr>
          <w:rFonts w:ascii="Arial" w:hAnsi="Arial" w:cs="Arial"/>
          <w:b/>
        </w:rPr>
      </w:pPr>
      <w:r w:rsidRPr="00F6046E">
        <w:rPr>
          <w:rFonts w:ascii="Arial" w:hAnsi="Arial" w:cs="Arial"/>
          <w:b/>
          <w:caps/>
        </w:rPr>
        <w:t>2.</w:t>
      </w:r>
      <w:r w:rsidR="001E6C0B">
        <w:rPr>
          <w:rFonts w:ascii="Arial" w:hAnsi="Arial" w:cs="Arial"/>
          <w:b/>
          <w:caps/>
        </w:rPr>
        <w:t>4.1</w:t>
      </w:r>
      <w:r w:rsidRPr="00F6046E">
        <w:rPr>
          <w:rFonts w:ascii="Arial" w:hAnsi="Arial" w:cs="Arial"/>
          <w:b/>
          <w:caps/>
        </w:rPr>
        <w:t xml:space="preserve"> </w:t>
      </w:r>
      <w:r w:rsidRPr="00F6046E">
        <w:rPr>
          <w:rFonts w:ascii="Arial" w:hAnsi="Arial" w:cs="Arial"/>
          <w:b/>
        </w:rPr>
        <w:t>Global Regulatory Landscape:</w:t>
      </w:r>
    </w:p>
    <w:p w14:paraId="1D072E2C" w14:textId="77777777" w:rsidR="00276325" w:rsidRPr="00F6046E" w:rsidRDefault="00276325" w:rsidP="00B74425">
      <w:pPr>
        <w:spacing w:line="360" w:lineRule="auto"/>
        <w:rPr>
          <w:rFonts w:ascii="Arial" w:hAnsi="Arial" w:cs="Arial"/>
        </w:rPr>
      </w:pPr>
      <w:r w:rsidRPr="00F6046E">
        <w:rPr>
          <w:rFonts w:ascii="Arial" w:hAnsi="Arial" w:cs="Arial"/>
        </w:rPr>
        <w:t>Codex Alimentarius: Sets international standards (e.g., INS 471–495 for emulsifiers) with maximum usage levels by food category (Codex, 2021).</w:t>
      </w:r>
    </w:p>
    <w:p w14:paraId="37831D56" w14:textId="77777777" w:rsidR="00276325" w:rsidRPr="00F6046E" w:rsidRDefault="00276325" w:rsidP="00B74425">
      <w:pPr>
        <w:spacing w:line="360" w:lineRule="auto"/>
        <w:rPr>
          <w:rFonts w:ascii="Arial" w:hAnsi="Arial" w:cs="Arial"/>
        </w:rPr>
      </w:pPr>
      <w:r w:rsidRPr="00F6046E">
        <w:rPr>
          <w:rFonts w:ascii="Arial" w:hAnsi="Arial" w:cs="Arial"/>
        </w:rPr>
        <w:t xml:space="preserve">FDA (USA): Classifies emulsifiers as GRAS (Generally Recognized </w:t>
      </w:r>
      <w:proofErr w:type="gramStart"/>
      <w:r w:rsidRPr="00F6046E">
        <w:rPr>
          <w:rFonts w:ascii="Arial" w:hAnsi="Arial" w:cs="Arial"/>
        </w:rPr>
        <w:t>As</w:t>
      </w:r>
      <w:proofErr w:type="gramEnd"/>
      <w:r w:rsidRPr="00F6046E">
        <w:rPr>
          <w:rFonts w:ascii="Arial" w:hAnsi="Arial" w:cs="Arial"/>
        </w:rPr>
        <w:t xml:space="preserve"> Safe) but requires pre-market notification for novel ingredients (FDA, 2022).</w:t>
      </w:r>
    </w:p>
    <w:p w14:paraId="3C092D6E" w14:textId="77777777" w:rsidR="00276325" w:rsidRPr="00F6046E" w:rsidRDefault="00276325" w:rsidP="00B74425">
      <w:pPr>
        <w:spacing w:line="360" w:lineRule="auto"/>
        <w:rPr>
          <w:rFonts w:ascii="Arial" w:hAnsi="Arial" w:cs="Arial"/>
        </w:rPr>
      </w:pPr>
      <w:r w:rsidRPr="00F6046E">
        <w:rPr>
          <w:rFonts w:ascii="Arial" w:hAnsi="Arial" w:cs="Arial"/>
        </w:rPr>
        <w:t>EFSA (EU): Conducts periodic re-evaluations; recently restricted carrageenan (E407) in infant formula due to safety concerns (EFSA, 2023).</w:t>
      </w:r>
    </w:p>
    <w:p w14:paraId="4720AFD9" w14:textId="77777777" w:rsidR="00276325" w:rsidRPr="00F6046E" w:rsidRDefault="00276325" w:rsidP="00B74425">
      <w:pPr>
        <w:spacing w:line="360" w:lineRule="auto"/>
        <w:rPr>
          <w:rFonts w:ascii="Arial" w:hAnsi="Arial" w:cs="Arial"/>
        </w:rPr>
      </w:pPr>
      <w:r w:rsidRPr="00F6046E">
        <w:rPr>
          <w:rFonts w:ascii="Arial" w:hAnsi="Arial" w:cs="Arial"/>
        </w:rPr>
        <w:t>FSSAI (India): Permits 32 emulsifiers under Food Safety Standards (FSSR, 2011), with recent bans on brominated vegetable oil (FSSAI, 2023).</w:t>
      </w:r>
    </w:p>
    <w:p w14:paraId="4C06FE55" w14:textId="77777777" w:rsidR="00276325" w:rsidRPr="001E07E6" w:rsidRDefault="00276325" w:rsidP="00B74425">
      <w:pPr>
        <w:spacing w:line="360" w:lineRule="auto"/>
        <w:rPr>
          <w:rFonts w:ascii="Arial" w:hAnsi="Arial" w:cs="Arial"/>
          <w:b/>
        </w:rPr>
      </w:pPr>
      <w:r w:rsidRPr="001E07E6">
        <w:rPr>
          <w:rFonts w:ascii="Arial" w:hAnsi="Arial" w:cs="Arial"/>
          <w:b/>
        </w:rPr>
        <w:t>Key Regulatory Challenges:</w:t>
      </w:r>
    </w:p>
    <w:p w14:paraId="4357EF4D" w14:textId="77777777" w:rsidR="00276325" w:rsidRPr="00F6046E" w:rsidRDefault="00276325" w:rsidP="00B74425">
      <w:pPr>
        <w:spacing w:line="360" w:lineRule="auto"/>
        <w:rPr>
          <w:rFonts w:ascii="Arial" w:hAnsi="Arial" w:cs="Arial"/>
        </w:rPr>
      </w:pPr>
      <w:r w:rsidRPr="00F6046E">
        <w:rPr>
          <w:rFonts w:ascii="Arial" w:hAnsi="Arial" w:cs="Arial"/>
        </w:rPr>
        <w:t>ADI Compliance: For synthetic emulsifiers like DATEM (ADI: 0–50 mg/kg body weight/day) (JECFA, 2022).</w:t>
      </w:r>
    </w:p>
    <w:p w14:paraId="1F843072" w14:textId="77777777" w:rsidR="00276325" w:rsidRPr="00F6046E" w:rsidRDefault="00276325" w:rsidP="00B74425">
      <w:pPr>
        <w:spacing w:line="360" w:lineRule="auto"/>
        <w:rPr>
          <w:rFonts w:ascii="Arial" w:hAnsi="Arial" w:cs="Arial"/>
        </w:rPr>
      </w:pPr>
      <w:r w:rsidRPr="00F6046E">
        <w:rPr>
          <w:rFonts w:ascii="Arial" w:hAnsi="Arial" w:cs="Arial"/>
        </w:rPr>
        <w:t xml:space="preserve">Labelling Requirements: Mandatory declaration of E-numbers or chemical names (e.g., "E433" vs. "polyglycerol </w:t>
      </w:r>
      <w:proofErr w:type="spellStart"/>
      <w:r w:rsidRPr="00F6046E">
        <w:rPr>
          <w:rFonts w:ascii="Arial" w:hAnsi="Arial" w:cs="Arial"/>
        </w:rPr>
        <w:t>polyricinoleate</w:t>
      </w:r>
      <w:proofErr w:type="spellEnd"/>
      <w:r w:rsidRPr="00F6046E">
        <w:rPr>
          <w:rFonts w:ascii="Arial" w:hAnsi="Arial" w:cs="Arial"/>
        </w:rPr>
        <w:t>").</w:t>
      </w:r>
    </w:p>
    <w:p w14:paraId="2D43463A" w14:textId="03E37894" w:rsidR="00276325" w:rsidRPr="00F6046E" w:rsidRDefault="00276325" w:rsidP="00B74425">
      <w:pPr>
        <w:spacing w:line="360" w:lineRule="auto"/>
        <w:rPr>
          <w:rFonts w:ascii="Arial" w:hAnsi="Arial" w:cs="Arial"/>
        </w:rPr>
      </w:pPr>
      <w:r w:rsidRPr="00F6046E">
        <w:rPr>
          <w:rFonts w:ascii="Arial" w:hAnsi="Arial" w:cs="Arial"/>
        </w:rPr>
        <w:lastRenderedPageBreak/>
        <w:t>Natural Claims: Strict criteria for "clean-label" status—enzymatically modified lecithin may not qualify as "natural" in some jurisdictions (USDA, 2023).</w:t>
      </w:r>
    </w:p>
    <w:p w14:paraId="489565E9" w14:textId="77777777" w:rsidR="00552AD4" w:rsidRPr="00F6046E" w:rsidRDefault="00552AD4" w:rsidP="00B74425">
      <w:pPr>
        <w:spacing w:line="360" w:lineRule="auto"/>
        <w:rPr>
          <w:rFonts w:ascii="Arial" w:hAnsi="Arial" w:cs="Arial"/>
        </w:rPr>
      </w:pPr>
    </w:p>
    <w:p w14:paraId="08E9FD7C" w14:textId="77777777" w:rsidR="00276325" w:rsidRPr="00F6046E" w:rsidRDefault="00276325" w:rsidP="00B74425">
      <w:pPr>
        <w:spacing w:line="360" w:lineRule="auto"/>
        <w:rPr>
          <w:rFonts w:ascii="Arial" w:hAnsi="Arial" w:cs="Arial"/>
          <w:b/>
        </w:rPr>
      </w:pPr>
      <w:r w:rsidRPr="00F6046E">
        <w:rPr>
          <w:rFonts w:ascii="Arial" w:hAnsi="Arial" w:cs="Arial"/>
          <w:b/>
        </w:rPr>
        <w:t>Industry Adaptation:</w:t>
      </w:r>
    </w:p>
    <w:p w14:paraId="13AE2C6E" w14:textId="77777777" w:rsidR="00276325" w:rsidRPr="00F6046E" w:rsidRDefault="00276325" w:rsidP="00B74425">
      <w:pPr>
        <w:spacing w:line="360" w:lineRule="auto"/>
        <w:rPr>
          <w:rFonts w:ascii="Arial" w:hAnsi="Arial" w:cs="Arial"/>
        </w:rPr>
      </w:pPr>
      <w:r w:rsidRPr="00F6046E">
        <w:rPr>
          <w:rFonts w:ascii="Arial" w:hAnsi="Arial" w:cs="Arial"/>
        </w:rPr>
        <w:t>Reformulation: 68% of European food manufacturers reduced synthetic emulsifiers since 2020 (Food Navigator, 2023).</w:t>
      </w:r>
    </w:p>
    <w:p w14:paraId="1BEB3C26" w14:textId="2DE5390E" w:rsidR="00276325" w:rsidRPr="00F6046E" w:rsidRDefault="00276325" w:rsidP="00B74425">
      <w:pPr>
        <w:spacing w:line="360" w:lineRule="auto"/>
        <w:rPr>
          <w:rFonts w:ascii="Arial" w:hAnsi="Arial" w:cs="Arial"/>
        </w:rPr>
      </w:pPr>
      <w:r w:rsidRPr="00F6046E">
        <w:rPr>
          <w:rFonts w:ascii="Arial" w:hAnsi="Arial" w:cs="Arial"/>
        </w:rPr>
        <w:t xml:space="preserve">Alternatives: Quillaia saponins (FSSAI-approved) and fermented emulsifiers (e.g., </w:t>
      </w:r>
      <w:proofErr w:type="spellStart"/>
      <w:r w:rsidRPr="00F6046E">
        <w:rPr>
          <w:rFonts w:ascii="Arial" w:hAnsi="Arial" w:cs="Arial"/>
        </w:rPr>
        <w:t>succinylated</w:t>
      </w:r>
      <w:proofErr w:type="spellEnd"/>
      <w:r w:rsidRPr="00F6046E">
        <w:rPr>
          <w:rFonts w:ascii="Arial" w:hAnsi="Arial" w:cs="Arial"/>
        </w:rPr>
        <w:t xml:space="preserve"> whey protein) gaining </w:t>
      </w:r>
      <w:proofErr w:type="gramStart"/>
      <w:r w:rsidRPr="00F6046E">
        <w:rPr>
          <w:rFonts w:ascii="Arial" w:hAnsi="Arial" w:cs="Arial"/>
        </w:rPr>
        <w:t>traction .</w:t>
      </w:r>
      <w:proofErr w:type="gramEnd"/>
    </w:p>
    <w:p w14:paraId="0F78CBBD" w14:textId="76BB93AC" w:rsidR="00552AD4" w:rsidRPr="00F6046E" w:rsidRDefault="00552AD4" w:rsidP="00B74425">
      <w:pPr>
        <w:spacing w:line="360" w:lineRule="auto"/>
        <w:rPr>
          <w:rFonts w:ascii="Arial" w:hAnsi="Arial" w:cs="Arial"/>
        </w:rPr>
      </w:pPr>
    </w:p>
    <w:p w14:paraId="7AB408DF" w14:textId="412E9171" w:rsidR="00552AD4" w:rsidRPr="00F6046E" w:rsidRDefault="001E6C0B" w:rsidP="00552AD4">
      <w:pPr>
        <w:jc w:val="both"/>
        <w:rPr>
          <w:rFonts w:ascii="Arial" w:hAnsi="Arial" w:cs="Arial"/>
          <w:b/>
          <w:sz w:val="22"/>
        </w:rPr>
      </w:pPr>
      <w:r>
        <w:rPr>
          <w:rFonts w:ascii="Arial" w:hAnsi="Arial" w:cs="Arial"/>
          <w:b/>
          <w:sz w:val="22"/>
        </w:rPr>
        <w:t xml:space="preserve">2.4.2 </w:t>
      </w:r>
      <w:r w:rsidR="00552AD4" w:rsidRPr="00F6046E">
        <w:rPr>
          <w:rFonts w:ascii="Arial" w:hAnsi="Arial" w:cs="Arial"/>
          <w:b/>
          <w:sz w:val="22"/>
        </w:rPr>
        <w:t>Health and Regulatory Considerations</w:t>
      </w:r>
    </w:p>
    <w:p w14:paraId="486BA3BF" w14:textId="77777777" w:rsidR="00552AD4" w:rsidRPr="00F6046E" w:rsidRDefault="00552AD4" w:rsidP="00552AD4">
      <w:pPr>
        <w:jc w:val="both"/>
        <w:rPr>
          <w:rFonts w:ascii="Arial" w:hAnsi="Arial" w:cs="Arial"/>
        </w:rPr>
      </w:pPr>
    </w:p>
    <w:p w14:paraId="67C54CFE" w14:textId="53EE2213" w:rsidR="00552AD4" w:rsidRPr="00F6046E" w:rsidRDefault="00552AD4" w:rsidP="00552AD4">
      <w:pPr>
        <w:jc w:val="both"/>
        <w:rPr>
          <w:rFonts w:ascii="Arial" w:hAnsi="Arial" w:cs="Arial"/>
        </w:rPr>
      </w:pPr>
      <w:r w:rsidRPr="00F6046E">
        <w:rPr>
          <w:rFonts w:ascii="Arial" w:hAnsi="Arial" w:cs="Arial"/>
        </w:rPr>
        <w:t xml:space="preserve">The growing use of food emulsifiers has raised significant health concerns, particularly regarding synthetic variants like polysorbate-80 and carboxymethylcellulose. Recent studies demonstrate these additives can alter gut microbiota composition, reducing beneficial Bacteroidetes by 40-60% while promoting mucin-degrading bacteria. More troubling are findings that certain emulsifiers may increase intestinal permeability by 20-30% in animal models, potentially facilitating bacterial translocation and low-grade inflammation. These effects appear mediated through multiple mechanisms, including disruption of tight junction proteins (ZO-1, occluding) and stimulation of pro-inflammatory cytokines like IL-6 and TNF-α. In response, researchers are investigating natural alternatives with safer profiles, such as Niger seed phospholipids that show prebiotic potential in vitro (Tesfaye et al., 2023) and fermented rhamnolipids that exhibit anti-inflammatory properties. Advanced assessment methods including organ-on-chip models now enable more accurate prediction of these effects in human systems, though longitudinal clinical studies remain needed to fully understand long-term impacts. These findings have prompted food scientists to </w:t>
      </w:r>
      <w:proofErr w:type="spellStart"/>
      <w:r w:rsidRPr="00F6046E">
        <w:rPr>
          <w:rFonts w:ascii="Arial" w:hAnsi="Arial" w:cs="Arial"/>
        </w:rPr>
        <w:t>revaluate</w:t>
      </w:r>
      <w:proofErr w:type="spellEnd"/>
      <w:r w:rsidRPr="00F6046E">
        <w:rPr>
          <w:rFonts w:ascii="Arial" w:hAnsi="Arial" w:cs="Arial"/>
        </w:rPr>
        <w:t xml:space="preserve"> emulsifier selection criteria, prioritizing options that maintain technological functionality while minimizing potential gut health disruptions.</w:t>
      </w:r>
    </w:p>
    <w:p w14:paraId="151D285F" w14:textId="58171C96" w:rsidR="00552AD4" w:rsidRPr="001E6C0B" w:rsidRDefault="00552AD4" w:rsidP="00B74425">
      <w:pPr>
        <w:spacing w:line="360" w:lineRule="auto"/>
        <w:rPr>
          <w:rFonts w:ascii="Arial" w:hAnsi="Arial" w:cs="Arial"/>
          <w:b/>
          <w:sz w:val="22"/>
        </w:rPr>
      </w:pPr>
    </w:p>
    <w:p w14:paraId="5B03FE43" w14:textId="2FA451C7" w:rsidR="00310966" w:rsidRPr="001E6C0B" w:rsidRDefault="001E6C0B" w:rsidP="00310966">
      <w:pPr>
        <w:jc w:val="both"/>
        <w:rPr>
          <w:rFonts w:ascii="Arial" w:hAnsi="Arial" w:cs="Arial"/>
          <w:b/>
          <w:sz w:val="22"/>
        </w:rPr>
      </w:pPr>
      <w:r w:rsidRPr="001E6C0B">
        <w:rPr>
          <w:rFonts w:ascii="Arial" w:hAnsi="Arial" w:cs="Arial"/>
          <w:b/>
          <w:sz w:val="22"/>
        </w:rPr>
        <w:t xml:space="preserve">2.4.3 </w:t>
      </w:r>
      <w:r w:rsidR="00310966" w:rsidRPr="001E6C0B">
        <w:rPr>
          <w:rFonts w:ascii="Arial" w:hAnsi="Arial" w:cs="Arial"/>
          <w:b/>
          <w:sz w:val="22"/>
        </w:rPr>
        <w:t>Future Perspectives and Innovations</w:t>
      </w:r>
    </w:p>
    <w:p w14:paraId="110A78B6" w14:textId="77777777" w:rsidR="00310966" w:rsidRPr="00F6046E" w:rsidRDefault="00310966" w:rsidP="00310966">
      <w:pPr>
        <w:jc w:val="both"/>
        <w:rPr>
          <w:rFonts w:ascii="Arial" w:hAnsi="Arial" w:cs="Arial"/>
        </w:rPr>
      </w:pPr>
    </w:p>
    <w:p w14:paraId="433E43E1" w14:textId="1203A661" w:rsidR="00310966" w:rsidRPr="00F6046E" w:rsidRDefault="00310966" w:rsidP="00310966">
      <w:pPr>
        <w:jc w:val="both"/>
        <w:rPr>
          <w:rFonts w:ascii="Arial" w:hAnsi="Arial" w:cs="Arial"/>
        </w:rPr>
      </w:pPr>
      <w:r w:rsidRPr="00F6046E">
        <w:rPr>
          <w:rFonts w:ascii="Arial" w:hAnsi="Arial" w:cs="Arial"/>
        </w:rPr>
        <w:t xml:space="preserve">Current research focuses on developing novel emulsifiers from sustainable sources and improving existing ones through physical or enzymatic modification (Dickinson, 2019). There is growing interest in plant-derived alternatives like quinoa saponins, pea protein isolates, and algal extracts. Advances in nanotechnology have enabled the creation of Nano emulsions with enhanced stability and bioavailability (McClements et al., 2017). Additionally, precision fermentation is emerging as a method to produce bioidentical emulsifiers with consistent quality. As consumer demand for clean-label, plant-based, and sustainable products </w:t>
      </w:r>
      <w:proofErr w:type="gramStart"/>
      <w:r w:rsidRPr="00F6046E">
        <w:rPr>
          <w:rFonts w:ascii="Arial" w:hAnsi="Arial" w:cs="Arial"/>
        </w:rPr>
        <w:t>grows</w:t>
      </w:r>
      <w:proofErr w:type="gramEnd"/>
      <w:r w:rsidRPr="00F6046E">
        <w:rPr>
          <w:rFonts w:ascii="Arial" w:hAnsi="Arial" w:cs="Arial"/>
        </w:rPr>
        <w:t>, the food industry continues to innovate in emulsifier technology while addressing health and environmental concerns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3112822C" w14:textId="77777777" w:rsidR="00310966" w:rsidRPr="00F6046E" w:rsidRDefault="00310966" w:rsidP="00310966">
      <w:pPr>
        <w:jc w:val="both"/>
        <w:rPr>
          <w:rFonts w:ascii="Arial" w:hAnsi="Arial" w:cs="Arial"/>
        </w:rPr>
      </w:pPr>
    </w:p>
    <w:p w14:paraId="46BEEC06" w14:textId="4259E65F" w:rsidR="00310966" w:rsidRPr="00F6046E" w:rsidRDefault="00310966" w:rsidP="00310966">
      <w:pPr>
        <w:jc w:val="both"/>
        <w:rPr>
          <w:rFonts w:ascii="Arial" w:hAnsi="Arial" w:cs="Arial"/>
        </w:rPr>
      </w:pPr>
      <w:r w:rsidRPr="00F6046E">
        <w:rPr>
          <w:rFonts w:ascii="Arial" w:hAnsi="Arial" w:cs="Arial"/>
        </w:rPr>
        <w:t>Emulsifiers play indispensable roles in modern food production by enabling the creation of stable, appealing, and palatable products. Their multifaceted functions extend beyond simple stabilization to include texture modification (</w:t>
      </w:r>
      <w:proofErr w:type="spellStart"/>
      <w:r w:rsidRPr="00F6046E">
        <w:rPr>
          <w:rFonts w:ascii="Arial" w:hAnsi="Arial" w:cs="Arial"/>
        </w:rPr>
        <w:t>Mert</w:t>
      </w:r>
      <w:proofErr w:type="spellEnd"/>
      <w:r w:rsidRPr="00F6046E">
        <w:rPr>
          <w:rFonts w:ascii="Arial" w:hAnsi="Arial" w:cs="Arial"/>
        </w:rPr>
        <w:t xml:space="preserve"> &amp; </w:t>
      </w:r>
      <w:proofErr w:type="spellStart"/>
      <w:r w:rsidRPr="00F6046E">
        <w:rPr>
          <w:rFonts w:ascii="Arial" w:hAnsi="Arial" w:cs="Arial"/>
        </w:rPr>
        <w:t>Demirkesen</w:t>
      </w:r>
      <w:proofErr w:type="spellEnd"/>
      <w:r w:rsidRPr="00F6046E">
        <w:rPr>
          <w:rFonts w:ascii="Arial" w:hAnsi="Arial" w:cs="Arial"/>
        </w:rPr>
        <w:t xml:space="preserve">, 2023), shelf-life extension, and nutritional delivery. While synthetic emulsifiers currently dominate industrial applications, the shift toward natural alternatives presents both challenges and opportunities for food scientists, particularly in meeting clean-label demands without compromising functionality (McClements &amp; </w:t>
      </w:r>
      <w:proofErr w:type="spellStart"/>
      <w:r w:rsidRPr="00F6046E">
        <w:rPr>
          <w:rFonts w:ascii="Arial" w:hAnsi="Arial" w:cs="Arial"/>
        </w:rPr>
        <w:t>Gumus</w:t>
      </w:r>
      <w:proofErr w:type="spellEnd"/>
      <w:r w:rsidRPr="00F6046E">
        <w:rPr>
          <w:rFonts w:ascii="Arial" w:hAnsi="Arial" w:cs="Arial"/>
        </w:rPr>
        <w:t>, 2021). Future developments must address technical performance, consumer acceptance, and health implications while meeting stringent regulatory standards. Continued research in this field will be crucial for developing next-generation emulsifiers that satisfy evolving market demands and nutritional guidelines.</w:t>
      </w:r>
    </w:p>
    <w:p w14:paraId="09B07B9D" w14:textId="77777777" w:rsidR="00310966" w:rsidRPr="00F6046E" w:rsidRDefault="00310966" w:rsidP="00B74425">
      <w:pPr>
        <w:spacing w:line="360" w:lineRule="auto"/>
        <w:rPr>
          <w:rFonts w:ascii="Arial" w:hAnsi="Arial" w:cs="Arial"/>
        </w:rPr>
      </w:pPr>
    </w:p>
    <w:p w14:paraId="3994A0C6" w14:textId="786A72BE" w:rsidR="004767AB" w:rsidRPr="001E6C0B" w:rsidRDefault="001E6C0B" w:rsidP="004767AB">
      <w:pPr>
        <w:pStyle w:val="Heading2"/>
        <w:rPr>
          <w:rFonts w:ascii="Arial" w:hAnsi="Arial" w:cs="Arial"/>
          <w:b/>
          <w:color w:val="1F1F1F"/>
          <w:sz w:val="22"/>
          <w:szCs w:val="22"/>
        </w:rPr>
      </w:pPr>
      <w:r w:rsidRPr="001E6C0B">
        <w:rPr>
          <w:rFonts w:ascii="Arial" w:eastAsia="Times New Roman" w:hAnsi="Arial" w:cs="Arial"/>
          <w:b/>
          <w:caps/>
          <w:color w:val="auto"/>
          <w:sz w:val="22"/>
          <w:szCs w:val="22"/>
        </w:rPr>
        <w:t>2.4.4</w:t>
      </w:r>
      <w:r w:rsidR="004767AB" w:rsidRPr="001E6C0B">
        <w:rPr>
          <w:rFonts w:ascii="Arial" w:hAnsi="Arial" w:cs="Arial"/>
          <w:b/>
          <w:caps/>
          <w:sz w:val="22"/>
          <w:szCs w:val="22"/>
        </w:rPr>
        <w:t xml:space="preserve">. </w:t>
      </w:r>
      <w:r w:rsidR="004767AB" w:rsidRPr="001E6C0B">
        <w:rPr>
          <w:rFonts w:ascii="Arial" w:hAnsi="Arial" w:cs="Arial"/>
          <w:b/>
          <w:color w:val="1F1F1F"/>
          <w:sz w:val="22"/>
          <w:szCs w:val="22"/>
        </w:rPr>
        <w:t>Conventional extraction approaches</w:t>
      </w:r>
    </w:p>
    <w:p w14:paraId="16FE3895" w14:textId="302613A3" w:rsidR="004767AB" w:rsidRPr="00F6046E" w:rsidRDefault="004767AB" w:rsidP="004767AB">
      <w:pPr>
        <w:rPr>
          <w:rFonts w:ascii="Arial" w:hAnsi="Arial" w:cs="Arial"/>
        </w:rPr>
      </w:pPr>
    </w:p>
    <w:p w14:paraId="1D68291C" w14:textId="4243D7DB" w:rsidR="004767AB" w:rsidRPr="00F6046E" w:rsidRDefault="004767AB" w:rsidP="004767AB">
      <w:pPr>
        <w:rPr>
          <w:rFonts w:ascii="Arial" w:hAnsi="Arial" w:cs="Arial"/>
        </w:rPr>
      </w:pPr>
      <w:r w:rsidRPr="00F6046E">
        <w:rPr>
          <w:rFonts w:ascii="Arial" w:hAnsi="Arial" w:cs="Arial"/>
        </w:rPr>
        <w:t>For decades, phenolic compounds have been extracted using conventional methods like maceration and Soxhlet extraction. These techniques remain popular due to their simplicity and ease of operation. However, they come with significant drawbacks, including long extraction times, high solvent consumption, and the use of elevated temperatures that can degrade heat-sensitive bioactive molecule. Additionally, maceration and Soxhlet extraction rely heavily on organic solvents, which raise environmental and health concerns while also requiring extensive post-extraction purification steps.</w:t>
      </w:r>
    </w:p>
    <w:p w14:paraId="3FFDE818" w14:textId="77777777" w:rsidR="004767AB" w:rsidRPr="00F6046E" w:rsidRDefault="004767AB" w:rsidP="004767AB">
      <w:pPr>
        <w:rPr>
          <w:rFonts w:ascii="Arial" w:hAnsi="Arial" w:cs="Arial"/>
        </w:rPr>
      </w:pPr>
    </w:p>
    <w:p w14:paraId="3FCC1C39" w14:textId="16B2CACC" w:rsidR="004767AB" w:rsidRPr="00F6046E" w:rsidRDefault="004767AB" w:rsidP="004767AB">
      <w:pPr>
        <w:rPr>
          <w:rFonts w:ascii="Arial" w:hAnsi="Arial" w:cs="Arial"/>
        </w:rPr>
      </w:pPr>
      <w:r w:rsidRPr="00F6046E">
        <w:rPr>
          <w:rFonts w:ascii="Arial" w:hAnsi="Arial" w:cs="Arial"/>
        </w:rPr>
        <w:t xml:space="preserve">Beyond being energy-intensive, these methods lack selectivity, often extracting unwanted compounds alongside the target molecules. As industries and researchers shift toward more sustainable and efficient extraction technologies, the </w:t>
      </w:r>
      <w:r w:rsidRPr="00F6046E">
        <w:rPr>
          <w:rFonts w:ascii="Arial" w:hAnsi="Arial" w:cs="Arial"/>
        </w:rPr>
        <w:lastRenderedPageBreak/>
        <w:t>limitations of conventional approaches have sparked interest in greener and more cost-effective alternatives, such as enzyme-assisted and microwave-assisted extraction.</w:t>
      </w:r>
    </w:p>
    <w:p w14:paraId="4F89705E" w14:textId="4333E8FE" w:rsidR="002A04BB" w:rsidRPr="00F6046E" w:rsidRDefault="002A04BB" w:rsidP="00D606DC">
      <w:pPr>
        <w:pStyle w:val="Body"/>
        <w:spacing w:after="0"/>
        <w:rPr>
          <w:rFonts w:ascii="Arial" w:hAnsi="Arial" w:cs="Arial"/>
          <w:caps/>
        </w:rPr>
      </w:pPr>
    </w:p>
    <w:p w14:paraId="17F647AE" w14:textId="47E5E819" w:rsidR="0085079C" w:rsidRPr="00F6046E" w:rsidRDefault="00EA56CA" w:rsidP="00D606DC">
      <w:pPr>
        <w:pStyle w:val="Body"/>
        <w:spacing w:after="0"/>
        <w:rPr>
          <w:rFonts w:ascii="Arial" w:hAnsi="Arial" w:cs="Arial"/>
          <w:caps/>
        </w:rPr>
      </w:pPr>
      <w:r w:rsidRPr="00F6046E">
        <w:rPr>
          <w:rFonts w:ascii="Arial" w:hAnsi="Arial" w:cs="Arial"/>
          <w:caps/>
        </w:rPr>
        <w:t xml:space="preserve"> </w:t>
      </w:r>
    </w:p>
    <w:p w14:paraId="5A7F5BAB" w14:textId="1C9C8868" w:rsidR="00655776" w:rsidRPr="00F6046E" w:rsidRDefault="00655776" w:rsidP="00655776">
      <w:pPr>
        <w:pStyle w:val="Body"/>
        <w:rPr>
          <w:rFonts w:ascii="Arial" w:hAnsi="Arial" w:cs="Arial"/>
          <w:b/>
          <w:caps/>
          <w:sz w:val="22"/>
        </w:rPr>
      </w:pPr>
      <w:r w:rsidRPr="00F6046E">
        <w:rPr>
          <w:rFonts w:ascii="Arial" w:hAnsi="Arial" w:cs="Arial"/>
          <w:b/>
          <w:caps/>
          <w:sz w:val="22"/>
        </w:rPr>
        <w:t>3. Monoglycerides: Production and Functional Properties</w:t>
      </w:r>
    </w:p>
    <w:p w14:paraId="27F00FCC" w14:textId="08D45390" w:rsidR="00655776" w:rsidRPr="00F6046E" w:rsidRDefault="00655776" w:rsidP="00A32261">
      <w:pPr>
        <w:pStyle w:val="Body"/>
        <w:rPr>
          <w:rFonts w:ascii="Arial" w:hAnsi="Arial" w:cs="Arial"/>
        </w:rPr>
      </w:pPr>
      <w:r w:rsidRPr="00F6046E">
        <w:rPr>
          <w:rFonts w:ascii="Arial" w:hAnsi="Arial" w:cs="Arial"/>
        </w:rPr>
        <w:t xml:space="preserve">Monoglycerides, composed of a glycerol backbone esterified with one fatty acid chain, are vital emulsifiers in food and pharmaceutical industries. They are typically produced through </w:t>
      </w:r>
      <w:proofErr w:type="spellStart"/>
      <w:r w:rsidRPr="00F6046E">
        <w:rPr>
          <w:rFonts w:ascii="Arial" w:hAnsi="Arial" w:cs="Arial"/>
        </w:rPr>
        <w:t>glycerolysis</w:t>
      </w:r>
      <w:proofErr w:type="spellEnd"/>
      <w:r w:rsidRPr="00F6046E">
        <w:rPr>
          <w:rFonts w:ascii="Arial" w:hAnsi="Arial" w:cs="Arial"/>
        </w:rPr>
        <w:t>, where triglycerides react with glycerol at 180–250°c using alkaline catalysts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xml:space="preserve">, 2008). Modern methods employ molecular distillation (&gt;90% purity) and enzymatic processes (e.g., </w:t>
      </w:r>
      <w:proofErr w:type="spellStart"/>
      <w:r w:rsidRPr="00F6046E">
        <w:rPr>
          <w:rFonts w:ascii="Arial" w:hAnsi="Arial" w:cs="Arial"/>
        </w:rPr>
        <w:t>thermomyces</w:t>
      </w:r>
      <w:proofErr w:type="spellEnd"/>
      <w:r w:rsidRPr="00F6046E">
        <w:rPr>
          <w:rFonts w:ascii="Arial" w:hAnsi="Arial" w:cs="Arial"/>
        </w:rPr>
        <w:t xml:space="preserve"> </w:t>
      </w:r>
      <w:proofErr w:type="spellStart"/>
      <w:r w:rsidRPr="00F6046E">
        <w:rPr>
          <w:rFonts w:ascii="Arial" w:hAnsi="Arial" w:cs="Arial"/>
        </w:rPr>
        <w:t>lanuginosus</w:t>
      </w:r>
      <w:proofErr w:type="spellEnd"/>
      <w:r w:rsidRPr="00F6046E">
        <w:rPr>
          <w:rFonts w:ascii="Arial" w:hAnsi="Arial" w:cs="Arial"/>
        </w:rPr>
        <w:t xml:space="preserve"> lipase) for enhanced yield and specificity</w:t>
      </w:r>
      <w:r w:rsidR="00F04F71" w:rsidRPr="00F6046E">
        <w:rPr>
          <w:rFonts w:ascii="Arial" w:hAnsi="Arial" w:cs="Arial"/>
        </w:rPr>
        <w:t xml:space="preserve">. </w:t>
      </w:r>
      <w:r w:rsidRPr="00F6046E">
        <w:rPr>
          <w:rFonts w:ascii="Arial" w:hAnsi="Arial" w:cs="Arial"/>
        </w:rPr>
        <w:t>Monoglycerides derived from vegetable oils (e.g., palm, soybean) exhibit melting points of 45–75°c and form liquid crystalline phases, crucial for stabilizing emulsions and foams (mc</w:t>
      </w:r>
      <w:r w:rsidR="00F04F71"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2015).</w:t>
      </w:r>
    </w:p>
    <w:p w14:paraId="61E4C600" w14:textId="42AFFCC5" w:rsidR="00E30027" w:rsidRPr="00F6046E" w:rsidRDefault="001E6C0B" w:rsidP="00A32261">
      <w:pPr>
        <w:jc w:val="both"/>
        <w:rPr>
          <w:rFonts w:ascii="Arial" w:hAnsi="Arial" w:cs="Arial"/>
          <w:b/>
        </w:rPr>
      </w:pPr>
      <w:r>
        <w:rPr>
          <w:rFonts w:ascii="Arial" w:hAnsi="Arial" w:cs="Arial"/>
          <w:b/>
          <w:sz w:val="22"/>
        </w:rPr>
        <w:t xml:space="preserve">3.1 </w:t>
      </w:r>
      <w:r w:rsidR="00E30027" w:rsidRPr="00F6046E">
        <w:rPr>
          <w:rFonts w:ascii="Arial" w:hAnsi="Arial" w:cs="Arial"/>
          <w:b/>
          <w:sz w:val="22"/>
        </w:rPr>
        <w:t>Monoglycerides: Properties, Applications, and Formulation</w:t>
      </w:r>
    </w:p>
    <w:p w14:paraId="2182A9CD" w14:textId="77777777" w:rsidR="00A32261" w:rsidRPr="00F6046E" w:rsidRDefault="00A32261" w:rsidP="00A32261">
      <w:pPr>
        <w:jc w:val="both"/>
        <w:rPr>
          <w:rFonts w:ascii="Arial" w:hAnsi="Arial" w:cs="Arial"/>
        </w:rPr>
      </w:pPr>
    </w:p>
    <w:p w14:paraId="208CE284" w14:textId="77777777" w:rsidR="00E30027" w:rsidRPr="00F6046E" w:rsidRDefault="00E30027" w:rsidP="00A32261">
      <w:pPr>
        <w:jc w:val="both"/>
        <w:rPr>
          <w:rFonts w:ascii="Arial" w:hAnsi="Arial" w:cs="Arial"/>
        </w:rPr>
      </w:pPr>
      <w:r w:rsidRPr="00F6046E">
        <w:rPr>
          <w:rFonts w:ascii="Arial" w:hAnsi="Arial" w:cs="Arial"/>
        </w:rPr>
        <w:t xml:space="preserve">Monoglycerides (monoacylglycerols) represent one of the most important classes of emulsifiers used in food, pharmaceutical, and cosmetic industries. These molecules consist of a glycerol backbone esterified with one fatty acid chain, giving them amphiphilic properties that enable effective stabilization of oil-water interfaces. The production of monoglycerides typically involves the </w:t>
      </w:r>
      <w:proofErr w:type="spellStart"/>
      <w:r w:rsidRPr="00F6046E">
        <w:rPr>
          <w:rFonts w:ascii="Arial" w:hAnsi="Arial" w:cs="Arial"/>
        </w:rPr>
        <w:t>glycerolysis</w:t>
      </w:r>
      <w:proofErr w:type="spellEnd"/>
      <w:r w:rsidRPr="00F6046E">
        <w:rPr>
          <w:rFonts w:ascii="Arial" w:hAnsi="Arial" w:cs="Arial"/>
        </w:rPr>
        <w:t xml:space="preserve"> reaction of triglycerides (oils) with glycerol in the presence of a catalyst such as sodium hydroxide under controlled heating conditions. This process yields a mixture containing mono-, di-, and triglycerides, with monoglycerides being the most surface-active components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2008).</w:t>
      </w:r>
    </w:p>
    <w:p w14:paraId="57DAA6BC" w14:textId="30740630" w:rsidR="00E30027" w:rsidRDefault="00E30027" w:rsidP="00A32261">
      <w:pPr>
        <w:jc w:val="both"/>
        <w:rPr>
          <w:rFonts w:ascii="Arial" w:hAnsi="Arial" w:cs="Arial"/>
        </w:rPr>
      </w:pPr>
      <w:r w:rsidRPr="00F6046E">
        <w:rPr>
          <w:rFonts w:ascii="Arial" w:hAnsi="Arial" w:cs="Arial"/>
        </w:rPr>
        <w:t xml:space="preserve">The production of monoglycerides through </w:t>
      </w:r>
      <w:proofErr w:type="spellStart"/>
      <w:r w:rsidRPr="00F6046E">
        <w:rPr>
          <w:rFonts w:ascii="Arial" w:hAnsi="Arial" w:cs="Arial"/>
        </w:rPr>
        <w:t>glycerolysis</w:t>
      </w:r>
      <w:proofErr w:type="spellEnd"/>
      <w:r w:rsidRPr="00F6046E">
        <w:rPr>
          <w:rFonts w:ascii="Arial" w:hAnsi="Arial" w:cs="Arial"/>
        </w:rPr>
        <w:t xml:space="preserve"> is a well-established industrial process that involves the controlled reaction of triglycerides (from oils) with glycerol. This reaction typically occurs at elevated temperatures (180-250°C) in the presence of alkaline catalysts like sodium hydroxide (0.05-0.5% w/w). The process follows three key stages: </w:t>
      </w:r>
    </w:p>
    <w:p w14:paraId="6E1E2498" w14:textId="77777777" w:rsidR="001E07E6" w:rsidRPr="00F6046E" w:rsidRDefault="001E07E6" w:rsidP="00A32261">
      <w:pPr>
        <w:jc w:val="both"/>
        <w:rPr>
          <w:rFonts w:ascii="Arial" w:hAnsi="Arial" w:cs="Arial"/>
        </w:rPr>
      </w:pPr>
    </w:p>
    <w:p w14:paraId="7A3B70C1" w14:textId="77777777" w:rsidR="00E30027" w:rsidRPr="00F6046E" w:rsidRDefault="00E30027" w:rsidP="00A32261">
      <w:pPr>
        <w:jc w:val="both"/>
        <w:rPr>
          <w:rFonts w:ascii="Arial" w:hAnsi="Arial" w:cs="Arial"/>
        </w:rPr>
      </w:pPr>
      <w:r w:rsidRPr="00F6046E">
        <w:rPr>
          <w:rFonts w:ascii="Arial" w:hAnsi="Arial" w:cs="Arial"/>
        </w:rPr>
        <w:t xml:space="preserve">(1) formation of diglycerides through random acyl migration, </w:t>
      </w:r>
    </w:p>
    <w:p w14:paraId="5561A2FC" w14:textId="77777777" w:rsidR="00E30027" w:rsidRPr="00F6046E" w:rsidRDefault="00E30027" w:rsidP="00A32261">
      <w:pPr>
        <w:jc w:val="both"/>
        <w:rPr>
          <w:rFonts w:ascii="Arial" w:hAnsi="Arial" w:cs="Arial"/>
        </w:rPr>
      </w:pPr>
      <w:r w:rsidRPr="00F6046E">
        <w:rPr>
          <w:rFonts w:ascii="Arial" w:hAnsi="Arial" w:cs="Arial"/>
        </w:rPr>
        <w:t xml:space="preserve">(2) further reaction to monoglycerides, and </w:t>
      </w:r>
    </w:p>
    <w:p w14:paraId="1DB67597" w14:textId="1F8F9628" w:rsidR="00E30027" w:rsidRDefault="00E30027" w:rsidP="00A32261">
      <w:pPr>
        <w:jc w:val="both"/>
        <w:rPr>
          <w:rFonts w:ascii="Arial" w:hAnsi="Arial" w:cs="Arial"/>
        </w:rPr>
      </w:pPr>
      <w:r w:rsidRPr="00F6046E">
        <w:rPr>
          <w:rFonts w:ascii="Arial" w:hAnsi="Arial" w:cs="Arial"/>
        </w:rPr>
        <w:t>(3) potential re-esterification to triglycerides, with the equilibrium driven by excess glycerol.</w:t>
      </w:r>
    </w:p>
    <w:p w14:paraId="62802E0F" w14:textId="77777777" w:rsidR="001E07E6" w:rsidRPr="00F6046E" w:rsidRDefault="001E07E6" w:rsidP="00A32261">
      <w:pPr>
        <w:jc w:val="both"/>
        <w:rPr>
          <w:rFonts w:ascii="Arial" w:hAnsi="Arial" w:cs="Arial"/>
        </w:rPr>
      </w:pPr>
    </w:p>
    <w:p w14:paraId="7BC9E5BD" w14:textId="2C1B9E8B" w:rsidR="00E30027" w:rsidRPr="00F6046E" w:rsidRDefault="00E30027" w:rsidP="00A32261">
      <w:pPr>
        <w:jc w:val="both"/>
        <w:rPr>
          <w:rFonts w:ascii="Arial" w:hAnsi="Arial" w:cs="Arial"/>
        </w:rPr>
      </w:pPr>
      <w:r w:rsidRPr="00F6046E">
        <w:rPr>
          <w:rFonts w:ascii="Arial" w:hAnsi="Arial" w:cs="Arial"/>
        </w:rPr>
        <w:t>Modern industrial processes employ molecular distillation to achieve &gt;90% monoglyceride purity, separating them from di-/triglycerides and unreacted glycerol. Recent advances include:</w:t>
      </w:r>
    </w:p>
    <w:p w14:paraId="0B7F733B" w14:textId="77777777" w:rsidR="00E30027" w:rsidRPr="00F6046E" w:rsidRDefault="00E30027" w:rsidP="00A32261">
      <w:pPr>
        <w:jc w:val="both"/>
        <w:rPr>
          <w:rFonts w:ascii="Arial" w:hAnsi="Arial" w:cs="Arial"/>
        </w:rPr>
      </w:pPr>
      <w:r w:rsidRPr="00F6046E">
        <w:rPr>
          <w:rFonts w:ascii="Arial" w:hAnsi="Arial" w:cs="Arial"/>
        </w:rPr>
        <w:t xml:space="preserve">Ultrasound-assisted </w:t>
      </w:r>
      <w:proofErr w:type="spellStart"/>
      <w:r w:rsidRPr="00F6046E">
        <w:rPr>
          <w:rFonts w:ascii="Arial" w:hAnsi="Arial" w:cs="Arial"/>
        </w:rPr>
        <w:t>glycerolysis</w:t>
      </w:r>
      <w:proofErr w:type="spellEnd"/>
      <w:r w:rsidRPr="00F6046E">
        <w:rPr>
          <w:rFonts w:ascii="Arial" w:hAnsi="Arial" w:cs="Arial"/>
        </w:rPr>
        <w:t xml:space="preserve"> (30-50% faster reaction kinetics)</w:t>
      </w:r>
    </w:p>
    <w:p w14:paraId="337463BE" w14:textId="77777777" w:rsidR="00E30027" w:rsidRPr="00F6046E" w:rsidRDefault="00E30027" w:rsidP="00A32261">
      <w:pPr>
        <w:jc w:val="both"/>
        <w:rPr>
          <w:rFonts w:ascii="Arial" w:hAnsi="Arial" w:cs="Arial"/>
        </w:rPr>
      </w:pPr>
      <w:r w:rsidRPr="00F6046E">
        <w:rPr>
          <w:rFonts w:ascii="Arial" w:hAnsi="Arial" w:cs="Arial"/>
        </w:rPr>
        <w:t xml:space="preserve">Enzyme-mediated processes (lipases like </w:t>
      </w:r>
      <w:proofErr w:type="spellStart"/>
      <w:r w:rsidRPr="00F6046E">
        <w:rPr>
          <w:rFonts w:ascii="Arial" w:hAnsi="Arial" w:cs="Arial"/>
        </w:rPr>
        <w:t>Thermomyces</w:t>
      </w:r>
      <w:proofErr w:type="spellEnd"/>
      <w:r w:rsidRPr="00F6046E">
        <w:rPr>
          <w:rFonts w:ascii="Arial" w:hAnsi="Arial" w:cs="Arial"/>
        </w:rPr>
        <w:t xml:space="preserve"> </w:t>
      </w:r>
      <w:proofErr w:type="spellStart"/>
      <w:r w:rsidRPr="00F6046E">
        <w:rPr>
          <w:rFonts w:ascii="Arial" w:hAnsi="Arial" w:cs="Arial"/>
        </w:rPr>
        <w:t>lanuginosus</w:t>
      </w:r>
      <w:proofErr w:type="spellEnd"/>
      <w:r w:rsidRPr="00F6046E">
        <w:rPr>
          <w:rFonts w:ascii="Arial" w:hAnsi="Arial" w:cs="Arial"/>
        </w:rPr>
        <w:t>)</w:t>
      </w:r>
    </w:p>
    <w:p w14:paraId="13234A8A" w14:textId="5818F4D9" w:rsidR="00E30027" w:rsidRPr="00F6046E" w:rsidRDefault="00E30027" w:rsidP="00A32261">
      <w:pPr>
        <w:jc w:val="both"/>
        <w:rPr>
          <w:rFonts w:ascii="Arial" w:hAnsi="Arial" w:cs="Arial"/>
        </w:rPr>
      </w:pPr>
      <w:r w:rsidRPr="00F6046E">
        <w:rPr>
          <w:rFonts w:ascii="Arial" w:hAnsi="Arial" w:cs="Arial"/>
        </w:rPr>
        <w:t>Continuous flow reactors for improved yield (75-85% vs. 40-60% batch</w:t>
      </w:r>
    </w:p>
    <w:p w14:paraId="5496651F" w14:textId="77777777" w:rsidR="00E30027" w:rsidRPr="00F6046E" w:rsidRDefault="00E30027" w:rsidP="00655776">
      <w:pPr>
        <w:pStyle w:val="Body"/>
        <w:rPr>
          <w:rFonts w:ascii="Arial" w:hAnsi="Arial" w:cs="Arial"/>
        </w:rPr>
      </w:pPr>
    </w:p>
    <w:p w14:paraId="515BC028" w14:textId="3F612E98" w:rsidR="00B74425" w:rsidRPr="00F6046E" w:rsidRDefault="00B74425" w:rsidP="00B74425">
      <w:pPr>
        <w:spacing w:line="360" w:lineRule="auto"/>
        <w:jc w:val="both"/>
        <w:rPr>
          <w:rFonts w:ascii="Arial" w:hAnsi="Arial" w:cs="Arial"/>
          <w:b/>
        </w:rPr>
      </w:pPr>
      <w:r w:rsidRPr="00F6046E">
        <w:rPr>
          <w:rFonts w:ascii="Arial" w:hAnsi="Arial" w:cs="Arial"/>
          <w:b/>
        </w:rPr>
        <w:t>3.2 Monoglyceride Formation from Vegetable Oil</w:t>
      </w:r>
    </w:p>
    <w:p w14:paraId="47E7A3E9" w14:textId="77777777" w:rsidR="00B74425" w:rsidRPr="00F6046E" w:rsidRDefault="00B74425" w:rsidP="00B74425">
      <w:pPr>
        <w:spacing w:line="360" w:lineRule="auto"/>
        <w:jc w:val="center"/>
        <w:rPr>
          <w:rFonts w:ascii="Arial" w:hAnsi="Arial" w:cs="Arial"/>
          <w:b/>
        </w:rPr>
      </w:pPr>
      <w:r w:rsidRPr="00F6046E">
        <w:rPr>
          <w:rFonts w:ascii="Arial" w:hAnsi="Arial" w:cs="Arial"/>
          <w:b/>
        </w:rPr>
        <w:t>Mix Ingredients</w:t>
      </w:r>
    </w:p>
    <w:p w14:paraId="1C87F245" w14:textId="67358B26"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49024" behindDoc="0" locked="0" layoutInCell="1" allowOverlap="1" wp14:anchorId="2F5F07BB" wp14:editId="181CB4C1">
                <wp:simplePos x="0" y="0"/>
                <wp:positionH relativeFrom="margin">
                  <wp:posOffset>3311718</wp:posOffset>
                </wp:positionH>
                <wp:positionV relativeFrom="paragraph">
                  <wp:posOffset>156679</wp:posOffset>
                </wp:positionV>
                <wp:extent cx="135172" cy="254442"/>
                <wp:effectExtent l="19050" t="0" r="36830" b="31750"/>
                <wp:wrapNone/>
                <wp:docPr id="3" name="Arrow: Down 3"/>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ACF3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60.75pt;margin-top:12.35pt;width:10.65pt;height:20.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" adj="15863" fillcolor="#4f81bd [3204]" strokecolor="#243f60 [1604]" strokeweight="2pt">
                <w10:wrap anchorx="margin"/>
              </v:shape>
            </w:pict>
          </mc:Fallback>
        </mc:AlternateContent>
      </w:r>
      <w:r w:rsidRPr="00F6046E">
        <w:rPr>
          <w:rFonts w:ascii="Arial" w:hAnsi="Arial" w:cs="Arial"/>
          <w:b/>
        </w:rPr>
        <w:t>Vegetable Oil + Glycerol (2:1 ratio)</w:t>
      </w:r>
    </w:p>
    <w:p w14:paraId="266605A1" w14:textId="3A54EDDA" w:rsidR="00B74425" w:rsidRPr="00F6046E" w:rsidRDefault="00B74425" w:rsidP="00B74425">
      <w:pPr>
        <w:spacing w:line="360" w:lineRule="auto"/>
        <w:jc w:val="center"/>
        <w:rPr>
          <w:rFonts w:ascii="Arial" w:hAnsi="Arial" w:cs="Arial"/>
          <w:b/>
        </w:rPr>
      </w:pPr>
    </w:p>
    <w:p w14:paraId="32F2ACAF" w14:textId="4DBA2F0E"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67456" behindDoc="0" locked="0" layoutInCell="1" allowOverlap="1" wp14:anchorId="7AC2C898" wp14:editId="01F70368">
                <wp:simplePos x="0" y="0"/>
                <wp:positionH relativeFrom="margin">
                  <wp:posOffset>3307743</wp:posOffset>
                </wp:positionH>
                <wp:positionV relativeFrom="paragraph">
                  <wp:posOffset>154829</wp:posOffset>
                </wp:positionV>
                <wp:extent cx="135172" cy="254442"/>
                <wp:effectExtent l="19050" t="0" r="36830" b="31750"/>
                <wp:wrapNone/>
                <wp:docPr id="8" name="Arrow: Down 8"/>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D108EF" id="Arrow: Down 8" o:spid="_x0000_s1026" type="#_x0000_t67" style="position:absolute;margin-left:260.45pt;margin-top:12.2pt;width:10.65pt;height:2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" adj="15863" fillcolor="#4f81bd [3204]" strokecolor="#243f60 [1604]" strokeweight="2pt">
                <w10:wrap anchorx="margin"/>
              </v:shape>
            </w:pict>
          </mc:Fallback>
        </mc:AlternateContent>
      </w:r>
      <w:r w:rsidRPr="00F6046E">
        <w:rPr>
          <w:rFonts w:ascii="Arial" w:hAnsi="Arial" w:cs="Arial"/>
          <w:b/>
        </w:rPr>
        <w:t>Add Catalyst (NaOH, 0.1%)</w:t>
      </w:r>
    </w:p>
    <w:p w14:paraId="22D77C15" w14:textId="22EF3468" w:rsidR="00B74425" w:rsidRPr="00F6046E" w:rsidRDefault="00B74425" w:rsidP="00B74425">
      <w:pPr>
        <w:spacing w:line="360" w:lineRule="auto"/>
        <w:rPr>
          <w:rFonts w:ascii="Arial" w:hAnsi="Arial" w:cs="Arial"/>
          <w:b/>
        </w:rPr>
      </w:pPr>
    </w:p>
    <w:p w14:paraId="3FC0088C" w14:textId="48DA6BE2" w:rsidR="00B74425" w:rsidRPr="00F6046E" w:rsidRDefault="00B74425" w:rsidP="00B74425">
      <w:pPr>
        <w:spacing w:line="360" w:lineRule="auto"/>
        <w:jc w:val="center"/>
        <w:rPr>
          <w:rFonts w:ascii="Arial" w:hAnsi="Arial" w:cs="Arial"/>
          <w:b/>
        </w:rPr>
      </w:pPr>
      <w:r w:rsidRPr="00F6046E">
        <w:rPr>
          <w:rFonts w:ascii="Arial" w:hAnsi="Arial" w:cs="Arial"/>
          <w:b/>
        </w:rPr>
        <w:t>Heat &amp; React</w:t>
      </w:r>
    </w:p>
    <w:p w14:paraId="4514B14F" w14:textId="2870352C"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72576" behindDoc="0" locked="0" layoutInCell="1" allowOverlap="1" wp14:anchorId="08FA8DDA" wp14:editId="2C655049">
                <wp:simplePos x="0" y="0"/>
                <wp:positionH relativeFrom="margin">
                  <wp:posOffset>3320995</wp:posOffset>
                </wp:positionH>
                <wp:positionV relativeFrom="paragraph">
                  <wp:posOffset>182162</wp:posOffset>
                </wp:positionV>
                <wp:extent cx="134620" cy="254000"/>
                <wp:effectExtent l="19050" t="0" r="36830" b="31750"/>
                <wp:wrapNone/>
                <wp:docPr id="9" name="Arrow: Down 9"/>
                <wp:cNvGraphicFramePr/>
                <a:graphic xmlns:a="http://schemas.openxmlformats.org/drawingml/2006/main">
                  <a:graphicData uri="http://schemas.microsoft.com/office/word/2010/wordprocessingShape">
                    <wps:wsp>
                      <wps:cNvSpPr/>
                      <wps:spPr>
                        <a:xfrm>
                          <a:off x="0" y="0"/>
                          <a:ext cx="134620" cy="254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AC385" id="Arrow: Down 9" o:spid="_x0000_s1026" type="#_x0000_t67" style="position:absolute;margin-left:261.5pt;margin-top:14.35pt;width:10.6pt;height:2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" adj="15876" fillcolor="#4f81bd [3204]" strokecolor="#243f60 [1604]" strokeweight="2pt">
                <w10:wrap anchorx="margin"/>
              </v:shape>
            </w:pict>
          </mc:Fallback>
        </mc:AlternateContent>
      </w:r>
      <w:r w:rsidRPr="00F6046E">
        <w:rPr>
          <w:rFonts w:ascii="Arial" w:hAnsi="Arial" w:cs="Arial"/>
          <w:b/>
        </w:rPr>
        <w:t>200–220°C for 2–3 hours</w:t>
      </w:r>
    </w:p>
    <w:p w14:paraId="45E3045B" w14:textId="7351E94D" w:rsidR="00B74425" w:rsidRPr="00F6046E" w:rsidRDefault="00B74425" w:rsidP="00B74425">
      <w:pPr>
        <w:spacing w:line="360" w:lineRule="auto"/>
        <w:jc w:val="center"/>
        <w:rPr>
          <w:rFonts w:ascii="Arial" w:hAnsi="Arial" w:cs="Arial"/>
          <w:b/>
        </w:rPr>
      </w:pPr>
    </w:p>
    <w:p w14:paraId="312AFD0A" w14:textId="1CDA07BD"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73600" behindDoc="0" locked="0" layoutInCell="1" allowOverlap="1" wp14:anchorId="6D46A8F8" wp14:editId="78B90B1C">
                <wp:simplePos x="0" y="0"/>
                <wp:positionH relativeFrom="margin">
                  <wp:posOffset>3331045</wp:posOffset>
                </wp:positionH>
                <wp:positionV relativeFrom="paragraph">
                  <wp:posOffset>198783</wp:posOffset>
                </wp:positionV>
                <wp:extent cx="135172" cy="254442"/>
                <wp:effectExtent l="19050" t="0" r="36830" b="31750"/>
                <wp:wrapNone/>
                <wp:docPr id="10" name="Arrow: Down 10"/>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277C0A" id="Arrow: Down 10" o:spid="_x0000_s1026" type="#_x0000_t67" style="position:absolute;margin-left:262.3pt;margin-top:15.65pt;width:10.65pt;height:2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" adj="15863" fillcolor="#4f81bd [3204]" strokecolor="#243f60 [1604]" strokeweight="2pt">
                <w10:wrap anchorx="margin"/>
              </v:shape>
            </w:pict>
          </mc:Fallback>
        </mc:AlternateContent>
      </w:r>
      <w:r w:rsidRPr="00F6046E">
        <w:rPr>
          <w:rFonts w:ascii="Arial" w:hAnsi="Arial" w:cs="Arial"/>
          <w:b/>
        </w:rPr>
        <w:t>Forms mono-/di-glyceride mixture</w:t>
      </w:r>
    </w:p>
    <w:p w14:paraId="593A2446" w14:textId="6931215E" w:rsidR="00B74425" w:rsidRPr="00F6046E" w:rsidRDefault="00B74425" w:rsidP="00B74425">
      <w:pPr>
        <w:spacing w:line="360" w:lineRule="auto"/>
        <w:jc w:val="center"/>
        <w:rPr>
          <w:rFonts w:ascii="Arial" w:hAnsi="Arial" w:cs="Arial"/>
          <w:b/>
        </w:rPr>
      </w:pPr>
    </w:p>
    <w:p w14:paraId="268E81C0" w14:textId="77777777" w:rsidR="00B74425" w:rsidRPr="00F6046E" w:rsidRDefault="00B74425" w:rsidP="00B74425">
      <w:pPr>
        <w:spacing w:line="360" w:lineRule="auto"/>
        <w:jc w:val="center"/>
        <w:rPr>
          <w:rFonts w:ascii="Arial" w:hAnsi="Arial" w:cs="Arial"/>
          <w:b/>
        </w:rPr>
      </w:pPr>
      <w:r w:rsidRPr="00F6046E">
        <w:rPr>
          <w:rFonts w:ascii="Arial" w:hAnsi="Arial" w:cs="Arial"/>
          <w:b/>
        </w:rPr>
        <w:t>Final Product</w:t>
      </w:r>
    </w:p>
    <w:p w14:paraId="441460F1" w14:textId="77777777" w:rsidR="00B74425" w:rsidRPr="00F6046E" w:rsidRDefault="00B74425" w:rsidP="00B74425">
      <w:pPr>
        <w:spacing w:line="360" w:lineRule="auto"/>
        <w:jc w:val="center"/>
        <w:rPr>
          <w:rFonts w:ascii="Arial" w:hAnsi="Arial" w:cs="Arial"/>
          <w:b/>
        </w:rPr>
      </w:pPr>
      <w:r w:rsidRPr="00F6046E">
        <w:rPr>
          <w:rFonts w:ascii="Arial" w:hAnsi="Arial" w:cs="Arial"/>
          <w:b/>
        </w:rPr>
        <w:t>Food-grade emulsifier (used in bread, ice cream, etc.)</w:t>
      </w:r>
    </w:p>
    <w:p w14:paraId="5CD7CE3F" w14:textId="79C36C38" w:rsidR="00B74425" w:rsidRPr="00F6046E" w:rsidRDefault="00B74425" w:rsidP="00B74425">
      <w:pPr>
        <w:spacing w:line="360" w:lineRule="auto"/>
        <w:jc w:val="center"/>
        <w:rPr>
          <w:rFonts w:ascii="Arial" w:hAnsi="Arial" w:cs="Arial"/>
          <w:b/>
        </w:rPr>
      </w:pPr>
      <w:r w:rsidRPr="00F6046E">
        <w:rPr>
          <w:rFonts w:ascii="Arial" w:hAnsi="Arial" w:cs="Arial"/>
          <w:b/>
        </w:rPr>
        <w:t xml:space="preserve">                                                 (</w:t>
      </w:r>
      <w:proofErr w:type="spellStart"/>
      <w:r w:rsidRPr="00F6046E">
        <w:rPr>
          <w:rFonts w:ascii="Arial" w:hAnsi="Arial" w:cs="Arial"/>
          <w:b/>
        </w:rPr>
        <w:t>Feltes</w:t>
      </w:r>
      <w:proofErr w:type="spellEnd"/>
      <w:r w:rsidRPr="00F6046E">
        <w:rPr>
          <w:rFonts w:ascii="Arial" w:hAnsi="Arial" w:cs="Arial"/>
          <w:b/>
        </w:rPr>
        <w:t xml:space="preserve"> et al.</w:t>
      </w:r>
      <w:r w:rsidR="00772286">
        <w:rPr>
          <w:rFonts w:ascii="Arial" w:hAnsi="Arial" w:cs="Arial"/>
          <w:b/>
        </w:rPr>
        <w:t xml:space="preserve">, </w:t>
      </w:r>
      <w:r w:rsidRPr="00F6046E">
        <w:rPr>
          <w:rFonts w:ascii="Arial" w:hAnsi="Arial" w:cs="Arial"/>
          <w:b/>
        </w:rPr>
        <w:t>2023)</w:t>
      </w:r>
    </w:p>
    <w:p w14:paraId="1672C991" w14:textId="6DC60E9E" w:rsidR="004353C0" w:rsidRPr="00F6046E" w:rsidRDefault="00CA7577" w:rsidP="00B74425">
      <w:pPr>
        <w:spacing w:line="360" w:lineRule="auto"/>
        <w:jc w:val="center"/>
        <w:rPr>
          <w:rFonts w:ascii="Arial" w:hAnsi="Arial" w:cs="Arial"/>
          <w:b/>
        </w:rPr>
      </w:pPr>
      <w:r>
        <w:rPr>
          <w:rFonts w:ascii="Arial" w:hAnsi="Arial" w:cs="Arial"/>
          <w:b/>
        </w:rPr>
        <w:t>Chart 1-</w:t>
      </w:r>
      <w:r w:rsidR="001E6E41">
        <w:rPr>
          <w:rFonts w:ascii="Arial" w:hAnsi="Arial" w:cs="Arial"/>
          <w:b/>
        </w:rPr>
        <w:t xml:space="preserve"> Flowchart showing the formation of </w:t>
      </w:r>
      <w:r w:rsidR="001E6E41" w:rsidRPr="00F6046E">
        <w:rPr>
          <w:rFonts w:ascii="Arial" w:hAnsi="Arial" w:cs="Arial"/>
          <w:b/>
        </w:rPr>
        <w:t xml:space="preserve">Monoglyceride </w:t>
      </w:r>
      <w:r w:rsidR="001E6E41">
        <w:rPr>
          <w:rFonts w:ascii="Arial" w:hAnsi="Arial" w:cs="Arial"/>
          <w:b/>
        </w:rPr>
        <w:t xml:space="preserve">from </w:t>
      </w:r>
      <w:r w:rsidR="001E6E41" w:rsidRPr="00F6046E">
        <w:rPr>
          <w:rFonts w:ascii="Arial" w:hAnsi="Arial" w:cs="Arial"/>
          <w:b/>
        </w:rPr>
        <w:t>Vegetable Oil</w:t>
      </w:r>
    </w:p>
    <w:p w14:paraId="704B3A75" w14:textId="6487262B" w:rsidR="004353C0" w:rsidRPr="00F6046E" w:rsidRDefault="004353C0" w:rsidP="004353C0">
      <w:pPr>
        <w:jc w:val="both"/>
        <w:rPr>
          <w:rFonts w:ascii="Arial" w:hAnsi="Arial" w:cs="Arial"/>
        </w:rPr>
      </w:pPr>
      <w:r w:rsidRPr="00F6046E">
        <w:rPr>
          <w:rFonts w:ascii="Arial" w:hAnsi="Arial" w:cs="Arial"/>
        </w:rPr>
        <w:lastRenderedPageBreak/>
        <w:t xml:space="preserve">The physicochemical properties of monoglycerides depend largely on the fatty acid composition derived from the source oil. When produced from vegetable oils like palm, soybean, or sunflower, the resulting monoglycerides typically contain C16-C18 fatty acid chains, which influence their melting </w:t>
      </w:r>
      <w:proofErr w:type="spellStart"/>
      <w:r w:rsidRPr="00F6046E">
        <w:rPr>
          <w:rFonts w:ascii="Arial" w:hAnsi="Arial" w:cs="Arial"/>
        </w:rPr>
        <w:t>behaviour</w:t>
      </w:r>
      <w:proofErr w:type="spellEnd"/>
      <w:r w:rsidRPr="00F6046E">
        <w:rPr>
          <w:rFonts w:ascii="Arial" w:hAnsi="Arial" w:cs="Arial"/>
        </w:rPr>
        <w:t xml:space="preserve"> and interfacial activity. The melting points of monoglycerides generally range from 45-75°C, significantly higher than their parent triglycerides due to increased hydrogen bonding between polar groups (</w:t>
      </w:r>
      <w:proofErr w:type="spellStart"/>
      <w:r w:rsidRPr="00F6046E">
        <w:rPr>
          <w:rFonts w:ascii="Arial" w:hAnsi="Arial" w:cs="Arial"/>
        </w:rPr>
        <w:t>Krog</w:t>
      </w:r>
      <w:proofErr w:type="spellEnd"/>
      <w:r w:rsidRPr="00F6046E">
        <w:rPr>
          <w:rFonts w:ascii="Arial" w:hAnsi="Arial" w:cs="Arial"/>
        </w:rPr>
        <w:t xml:space="preserve">, 2018). In aqueous systems, monoglycerides exhibit unique liquid crystalline phase </w:t>
      </w:r>
      <w:proofErr w:type="spellStart"/>
      <w:r w:rsidRPr="00F6046E">
        <w:rPr>
          <w:rFonts w:ascii="Arial" w:hAnsi="Arial" w:cs="Arial"/>
        </w:rPr>
        <w:t>behaviour</w:t>
      </w:r>
      <w:proofErr w:type="spellEnd"/>
      <w:r w:rsidRPr="00F6046E">
        <w:rPr>
          <w:rFonts w:ascii="Arial" w:hAnsi="Arial" w:cs="Arial"/>
        </w:rPr>
        <w:t>, forming lamellar, cubic, or hexagonal mesophases depending on temperature and concentration. These mesophases are crucial for their functionality in stabilizing emulsions and foams, as they provide viscoelastic interfacial films that prevent droplet coalescence (McClements, 2015).</w:t>
      </w:r>
    </w:p>
    <w:p w14:paraId="2FD023A7" w14:textId="77777777" w:rsidR="00552AD4" w:rsidRPr="00F6046E" w:rsidRDefault="00552AD4" w:rsidP="004353C0">
      <w:pPr>
        <w:jc w:val="both"/>
        <w:rPr>
          <w:rFonts w:ascii="Arial" w:hAnsi="Arial" w:cs="Arial"/>
        </w:rPr>
      </w:pPr>
    </w:p>
    <w:p w14:paraId="110E8FEB" w14:textId="77777777" w:rsidR="004353C0" w:rsidRPr="00F6046E" w:rsidRDefault="004353C0" w:rsidP="004353C0">
      <w:pPr>
        <w:jc w:val="both"/>
        <w:rPr>
          <w:rFonts w:ascii="Arial" w:hAnsi="Arial" w:cs="Arial"/>
        </w:rPr>
      </w:pPr>
      <w:r w:rsidRPr="00F6046E">
        <w:rPr>
          <w:rFonts w:ascii="Arial" w:hAnsi="Arial" w:cs="Arial"/>
        </w:rPr>
        <w:t>In industrial applications, monoglycerides serve multiple functions beyond basic emulsification. In bakery products, they complex with amylose to retard starch retrogradation, thereby extending shelf-life and maintaining soft texture (</w:t>
      </w:r>
      <w:proofErr w:type="spellStart"/>
      <w:r w:rsidRPr="00F6046E">
        <w:rPr>
          <w:rFonts w:ascii="Arial" w:hAnsi="Arial" w:cs="Arial"/>
        </w:rPr>
        <w:t>Stampfli</w:t>
      </w:r>
      <w:proofErr w:type="spellEnd"/>
      <w:r w:rsidRPr="00F6046E">
        <w:rPr>
          <w:rFonts w:ascii="Arial" w:hAnsi="Arial" w:cs="Arial"/>
        </w:rPr>
        <w:t xml:space="preserve"> &amp; </w:t>
      </w:r>
      <w:proofErr w:type="spellStart"/>
      <w:r w:rsidRPr="00F6046E">
        <w:rPr>
          <w:rFonts w:ascii="Arial" w:hAnsi="Arial" w:cs="Arial"/>
        </w:rPr>
        <w:t>Nersten</w:t>
      </w:r>
      <w:proofErr w:type="spellEnd"/>
      <w:r w:rsidRPr="00F6046E">
        <w:rPr>
          <w:rFonts w:ascii="Arial" w:hAnsi="Arial" w:cs="Arial"/>
        </w:rPr>
        <w:t>, 1995). The dairy industry utilizes monoglycerides in ice cream to control fat crystallization and stabilize air cells, while in margarines and spreads they prevent water droplet coalescence and improve spread ability. Their ability to form stable α-gel phases makes them particularly valuable in whipped toppings and aerated desserts (</w:t>
      </w:r>
      <w:proofErr w:type="spellStart"/>
      <w:r w:rsidRPr="00F6046E">
        <w:rPr>
          <w:rFonts w:ascii="Arial" w:hAnsi="Arial" w:cs="Arial"/>
        </w:rPr>
        <w:t>Krog</w:t>
      </w:r>
      <w:proofErr w:type="spellEnd"/>
      <w:r w:rsidRPr="00F6046E">
        <w:rPr>
          <w:rFonts w:ascii="Arial" w:hAnsi="Arial" w:cs="Arial"/>
        </w:rPr>
        <w:t>, 2018). Pharmaceutical formulations employ high-purity monoglycerides as drug delivery vehicles, taking advantage of their capacity to form cubic phase nanoparticles that enhance bioavailability of poorly water-soluble drugs (Boyd et al., 2019).</w:t>
      </w:r>
    </w:p>
    <w:p w14:paraId="76B3F61F" w14:textId="77777777" w:rsidR="004353C0" w:rsidRPr="00F6046E" w:rsidRDefault="004353C0" w:rsidP="004353C0">
      <w:pPr>
        <w:jc w:val="both"/>
        <w:rPr>
          <w:rFonts w:ascii="Arial" w:hAnsi="Arial" w:cs="Arial"/>
        </w:rPr>
      </w:pPr>
      <w:r w:rsidRPr="00F6046E">
        <w:rPr>
          <w:rFonts w:ascii="Arial" w:hAnsi="Arial" w:cs="Arial"/>
        </w:rPr>
        <w:t xml:space="preserve">The industrial production of monoglycerides involves a base-catalyzed </w:t>
      </w:r>
      <w:proofErr w:type="spellStart"/>
      <w:r w:rsidRPr="00F6046E">
        <w:rPr>
          <w:rFonts w:ascii="Arial" w:hAnsi="Arial" w:cs="Arial"/>
        </w:rPr>
        <w:t>glycerolysis</w:t>
      </w:r>
      <w:proofErr w:type="spellEnd"/>
      <w:r w:rsidRPr="00F6046E">
        <w:rPr>
          <w:rFonts w:ascii="Arial" w:hAnsi="Arial" w:cs="Arial"/>
        </w:rPr>
        <w:t xml:space="preserve"> reaction, typically using sodium hydroxide as catalyst at temperatures between 200-250°C. The reaction mechanism begins with hydroxide-ion catalyzed hydrolysis of triglycerides into free fatty acids and glycerol, followed by re-esterification to form mono- and diglycerides (Sonntag, 2019). The process requires careful control of the glycerol-to-oil ratio (usually 2:1 to 4:1 by weight), reaction time (1-4 hours), and catalyst concentration (0.05-0.2% w/w of total reactants). Excess glycerol drives the equilibrium toward monoglyceride formation, while the alkaline catalyst facilitates both ester bond cleavage and reformation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2008). Modern industrial processes often employ molecular distillation to concentrate monoglycerides to 90-95% purity, separating them from di- and triglycerides as well as unreacted glycerol.</w:t>
      </w:r>
    </w:p>
    <w:p w14:paraId="70F5F59A" w14:textId="77777777" w:rsidR="004353C0" w:rsidRPr="00F6046E" w:rsidRDefault="004353C0" w:rsidP="004353C0">
      <w:pPr>
        <w:jc w:val="both"/>
        <w:rPr>
          <w:rFonts w:ascii="Arial" w:hAnsi="Arial" w:cs="Arial"/>
        </w:rPr>
      </w:pPr>
    </w:p>
    <w:p w14:paraId="26DBF5FB" w14:textId="254B7465" w:rsidR="004353C0" w:rsidRPr="00F6046E" w:rsidRDefault="004353C0" w:rsidP="004353C0">
      <w:pPr>
        <w:jc w:val="both"/>
        <w:rPr>
          <w:rFonts w:ascii="Arial" w:hAnsi="Arial" w:cs="Arial"/>
        </w:rPr>
      </w:pPr>
      <w:r w:rsidRPr="00F6046E">
        <w:rPr>
          <w:rFonts w:ascii="Arial" w:hAnsi="Arial" w:cs="Arial"/>
        </w:rPr>
        <w:t xml:space="preserve">Recent advances in monoglyceride production have focused on enzymatic </w:t>
      </w:r>
      <w:proofErr w:type="spellStart"/>
      <w:r w:rsidRPr="00F6046E">
        <w:rPr>
          <w:rFonts w:ascii="Arial" w:hAnsi="Arial" w:cs="Arial"/>
        </w:rPr>
        <w:t>glycerolysis</w:t>
      </w:r>
      <w:proofErr w:type="spellEnd"/>
      <w:r w:rsidRPr="00F6046E">
        <w:rPr>
          <w:rFonts w:ascii="Arial" w:hAnsi="Arial" w:cs="Arial"/>
        </w:rPr>
        <w:t xml:space="preserve"> as an alternative to conventional chemical synthesis. Lipase-catalyzed reactions offer advantages including milder processing conditions (40-70°C), higher specificity for monoglyceride formation, and avoidance of undesirable side products like soaps</w:t>
      </w:r>
      <w:r w:rsidR="00865E1C">
        <w:rPr>
          <w:rFonts w:ascii="Arial" w:hAnsi="Arial" w:cs="Arial"/>
        </w:rPr>
        <w:t xml:space="preserve">. </w:t>
      </w:r>
      <w:r w:rsidRPr="00F6046E">
        <w:rPr>
          <w:rFonts w:ascii="Arial" w:hAnsi="Arial" w:cs="Arial"/>
        </w:rPr>
        <w:t xml:space="preserve">Immobilized lipases from </w:t>
      </w:r>
      <w:proofErr w:type="spellStart"/>
      <w:r w:rsidRPr="00F6046E">
        <w:rPr>
          <w:rFonts w:ascii="Arial" w:hAnsi="Arial" w:cs="Arial"/>
        </w:rPr>
        <w:t>Rhizomuc</w:t>
      </w:r>
      <w:proofErr w:type="spellEnd"/>
      <w:r w:rsidR="00F21DC3" w:rsidRPr="00F6046E">
        <w:rPr>
          <w:rFonts w:ascii="Arial" w:hAnsi="Arial" w:cs="Arial"/>
        </w:rPr>
        <w:t xml:space="preserve"> </w:t>
      </w:r>
      <w:r w:rsidRPr="00F6046E">
        <w:rPr>
          <w:rFonts w:ascii="Arial" w:hAnsi="Arial" w:cs="Arial"/>
        </w:rPr>
        <w:t xml:space="preserve">or </w:t>
      </w:r>
      <w:proofErr w:type="spellStart"/>
      <w:r w:rsidRPr="00F6046E">
        <w:rPr>
          <w:rFonts w:ascii="Arial" w:hAnsi="Arial" w:cs="Arial"/>
        </w:rPr>
        <w:t>miehei</w:t>
      </w:r>
      <w:proofErr w:type="spellEnd"/>
      <w:r w:rsidRPr="00F6046E">
        <w:rPr>
          <w:rFonts w:ascii="Arial" w:hAnsi="Arial" w:cs="Arial"/>
        </w:rPr>
        <w:t xml:space="preserve"> or Candida Antarctica have shown particular efficacy in converting oils to monoglycerides with yields exceeding 70% under optimized conditions. Enzymatic methods also enable production of structured monoglycerides with specific fatty acid profiles tailored for specialized applications</w:t>
      </w:r>
      <w:r w:rsidR="00865E1C">
        <w:rPr>
          <w:rFonts w:ascii="Arial" w:hAnsi="Arial" w:cs="Arial"/>
        </w:rPr>
        <w:t>.</w:t>
      </w:r>
    </w:p>
    <w:p w14:paraId="5F785A59" w14:textId="0E3EF8F5" w:rsidR="004353C0" w:rsidRPr="00F6046E" w:rsidRDefault="004353C0" w:rsidP="004353C0">
      <w:pPr>
        <w:jc w:val="both"/>
        <w:rPr>
          <w:rFonts w:ascii="Arial" w:hAnsi="Arial" w:cs="Arial"/>
        </w:rPr>
      </w:pPr>
      <w:r w:rsidRPr="00F6046E">
        <w:rPr>
          <w:rFonts w:ascii="Arial" w:hAnsi="Arial" w:cs="Arial"/>
        </w:rPr>
        <w:t xml:space="preserve">The functional performance of monoglycerides in formulations depends significantly on their interaction with other system components. In oil-in-water emulsions, monoglycerides adsorb at the interface with their hydrophilic glycerol moiety oriented toward the aqueous phase and fatty acid chain penetrating the oil droplet (McClements, 2015). This arrangement reduces interfacial tension to 5-15 </w:t>
      </w:r>
      <w:proofErr w:type="spellStart"/>
      <w:r w:rsidRPr="00F6046E">
        <w:rPr>
          <w:rFonts w:ascii="Arial" w:hAnsi="Arial" w:cs="Arial"/>
        </w:rPr>
        <w:t>mN</w:t>
      </w:r>
      <w:proofErr w:type="spellEnd"/>
      <w:r w:rsidRPr="00F6046E">
        <w:rPr>
          <w:rFonts w:ascii="Arial" w:hAnsi="Arial" w:cs="Arial"/>
        </w:rPr>
        <w:t>/m, facilitating emulsion formation during homogenization. The interfacial films formed by monoglycerides exhibit viscoelastic properties that resist mechanical disruption, providing long-term stability against coalescence. When combined with ionic surfactants or proteins, monoglycerides can form complex interfacial architectures that further enhance emulsion stability (Dickinson, 2019).</w:t>
      </w:r>
    </w:p>
    <w:p w14:paraId="20E1834E" w14:textId="77777777" w:rsidR="00552AD4" w:rsidRPr="00F6046E" w:rsidRDefault="00552AD4" w:rsidP="004353C0">
      <w:pPr>
        <w:jc w:val="both"/>
        <w:rPr>
          <w:rFonts w:ascii="Arial" w:hAnsi="Arial" w:cs="Arial"/>
        </w:rPr>
      </w:pPr>
    </w:p>
    <w:p w14:paraId="272F0311" w14:textId="57ADE449" w:rsidR="004353C0" w:rsidRPr="00F6046E" w:rsidRDefault="004353C0" w:rsidP="004353C0">
      <w:pPr>
        <w:jc w:val="both"/>
        <w:rPr>
          <w:rFonts w:ascii="Arial" w:hAnsi="Arial" w:cs="Arial"/>
        </w:rPr>
      </w:pPr>
      <w:r w:rsidRPr="00F6046E">
        <w:rPr>
          <w:rFonts w:ascii="Arial" w:hAnsi="Arial" w:cs="Arial"/>
        </w:rPr>
        <w:t xml:space="preserve">Despite their widespread use, monoglycerides present certain formulation challenges that require consideration. Their temperature-dependent phase </w:t>
      </w:r>
      <w:proofErr w:type="spellStart"/>
      <w:r w:rsidRPr="00F6046E">
        <w:rPr>
          <w:rFonts w:ascii="Arial" w:hAnsi="Arial" w:cs="Arial"/>
        </w:rPr>
        <w:t>behaviour</w:t>
      </w:r>
      <w:proofErr w:type="spellEnd"/>
      <w:r w:rsidRPr="00F6046E">
        <w:rPr>
          <w:rFonts w:ascii="Arial" w:hAnsi="Arial" w:cs="Arial"/>
        </w:rPr>
        <w:t xml:space="preserve"> means that storage conditions can significantly impact functionality, particularly in products subjected to freeze-thaw cycles or temperature fluctuations (</w:t>
      </w:r>
      <w:proofErr w:type="spellStart"/>
      <w:r w:rsidRPr="00F6046E">
        <w:rPr>
          <w:rFonts w:ascii="Arial" w:hAnsi="Arial" w:cs="Arial"/>
        </w:rPr>
        <w:t>Krog</w:t>
      </w:r>
      <w:proofErr w:type="spellEnd"/>
      <w:r w:rsidRPr="00F6046E">
        <w:rPr>
          <w:rFonts w:ascii="Arial" w:hAnsi="Arial" w:cs="Arial"/>
        </w:rPr>
        <w:t xml:space="preserve">, 2018). The tendency of monoglycerides to form viscous mesophases at higher concentrations can complicate processing, necessitating careful temperature control during product manufacture. Additionally, the alkaline conditions used in chemical synthesis may promote some degree of fatty acid isomerization and </w:t>
      </w:r>
      <w:proofErr w:type="spellStart"/>
      <w:r w:rsidRPr="00F6046E">
        <w:rPr>
          <w:rFonts w:ascii="Arial" w:hAnsi="Arial" w:cs="Arial"/>
        </w:rPr>
        <w:t>colour</w:t>
      </w:r>
      <w:proofErr w:type="spellEnd"/>
      <w:r w:rsidRPr="00F6046E">
        <w:rPr>
          <w:rFonts w:ascii="Arial" w:hAnsi="Arial" w:cs="Arial"/>
        </w:rPr>
        <w:t xml:space="preserve"> formation, requiring post-production bleaching in some applications.</w:t>
      </w:r>
    </w:p>
    <w:p w14:paraId="51956AE2" w14:textId="77777777" w:rsidR="004353C0" w:rsidRPr="00F6046E" w:rsidRDefault="004353C0" w:rsidP="004353C0">
      <w:pPr>
        <w:jc w:val="both"/>
        <w:rPr>
          <w:rFonts w:ascii="Arial" w:hAnsi="Arial" w:cs="Arial"/>
        </w:rPr>
      </w:pPr>
      <w:r w:rsidRPr="00F6046E">
        <w:rPr>
          <w:rFonts w:ascii="Arial" w:hAnsi="Arial" w:cs="Arial"/>
        </w:rPr>
        <w:t xml:space="preserve">Future research directions in monoglyceride technology include development of sustainable production methods using waste oils, precision engineering of molecular structures for targeted functionality, and exploration of synergistic combinations with other natural emulsifiers like phospholipids or saponins (McClements et al., 2017). The growing demand for clean-label ingredients has spurred interest in enzymatic production routes and minimally processed monoglyceride concentrates. Advances in analytical techniques such as atomic force microscopy and small-angle X-ray scattering continue to provide new insights into monoglyceride self-assembly and interfacial </w:t>
      </w:r>
      <w:proofErr w:type="spellStart"/>
      <w:r w:rsidRPr="00F6046E">
        <w:rPr>
          <w:rFonts w:ascii="Arial" w:hAnsi="Arial" w:cs="Arial"/>
        </w:rPr>
        <w:t>behaviour</w:t>
      </w:r>
      <w:proofErr w:type="spellEnd"/>
      <w:r w:rsidRPr="00F6046E">
        <w:rPr>
          <w:rFonts w:ascii="Arial" w:hAnsi="Arial" w:cs="Arial"/>
        </w:rPr>
        <w:t>, enabling more rational design of emulsion-based products (Dickinson, 2019).</w:t>
      </w:r>
    </w:p>
    <w:p w14:paraId="36735F32" w14:textId="77777777" w:rsidR="00B74425" w:rsidRPr="00F6046E" w:rsidRDefault="00B74425" w:rsidP="00655776">
      <w:pPr>
        <w:pStyle w:val="Body"/>
        <w:rPr>
          <w:rFonts w:ascii="Arial" w:hAnsi="Arial" w:cs="Arial"/>
          <w:caps/>
        </w:rPr>
      </w:pPr>
    </w:p>
    <w:p w14:paraId="3F9ADDE6" w14:textId="2E404E47" w:rsidR="00655776" w:rsidRPr="00F6046E" w:rsidRDefault="00655776" w:rsidP="00655776">
      <w:pPr>
        <w:pStyle w:val="Body"/>
        <w:rPr>
          <w:rFonts w:ascii="Arial" w:hAnsi="Arial" w:cs="Arial"/>
          <w:b/>
          <w:caps/>
        </w:rPr>
      </w:pPr>
      <w:r w:rsidRPr="00F6046E">
        <w:rPr>
          <w:rFonts w:ascii="Arial" w:hAnsi="Arial" w:cs="Arial"/>
          <w:b/>
          <w:caps/>
        </w:rPr>
        <w:t>3.</w:t>
      </w:r>
      <w:r w:rsidR="001E6C0B">
        <w:rPr>
          <w:rFonts w:ascii="Arial" w:hAnsi="Arial" w:cs="Arial"/>
          <w:b/>
          <w:caps/>
        </w:rPr>
        <w:t>3</w:t>
      </w:r>
      <w:r w:rsidRPr="00F6046E">
        <w:rPr>
          <w:rFonts w:ascii="Arial" w:hAnsi="Arial" w:cs="Arial"/>
          <w:b/>
          <w:caps/>
        </w:rPr>
        <w:t xml:space="preserve"> Applications and Challenges</w:t>
      </w:r>
    </w:p>
    <w:p w14:paraId="06EAF134" w14:textId="218245E9" w:rsidR="00655776" w:rsidRPr="00F6046E" w:rsidRDefault="00655776" w:rsidP="00655776">
      <w:pPr>
        <w:pStyle w:val="Body"/>
        <w:spacing w:after="0"/>
        <w:rPr>
          <w:rFonts w:ascii="Arial" w:hAnsi="Arial" w:cs="Arial"/>
          <w:caps/>
        </w:rPr>
      </w:pPr>
      <w:r w:rsidRPr="00F6046E">
        <w:rPr>
          <w:rFonts w:ascii="Arial" w:hAnsi="Arial" w:cs="Arial"/>
        </w:rPr>
        <w:t xml:space="preserve">In food systems, monoglycerides retard starch retrogradation in baked goods, control fat crystallization in ice cream, and improve </w:t>
      </w:r>
      <w:proofErr w:type="spellStart"/>
      <w:r w:rsidRPr="00F6046E">
        <w:rPr>
          <w:rFonts w:ascii="Arial" w:hAnsi="Arial" w:cs="Arial"/>
        </w:rPr>
        <w:t>spreadability</w:t>
      </w:r>
      <w:proofErr w:type="spellEnd"/>
      <w:r w:rsidRPr="00F6046E">
        <w:rPr>
          <w:rFonts w:ascii="Arial" w:hAnsi="Arial" w:cs="Arial"/>
        </w:rPr>
        <w:t xml:space="preserve"> in margarines. Their α-gel phases are particularly valuable in aerated desserts. Challenges include temperature-sensitive phase behavior and the need for post-synthesis bleaching due to alkaline-induced isomerization. </w:t>
      </w:r>
      <w:r w:rsidRPr="00F6046E">
        <w:rPr>
          <w:rFonts w:ascii="Arial" w:hAnsi="Arial" w:cs="Arial"/>
        </w:rPr>
        <w:lastRenderedPageBreak/>
        <w:t>Future research focuses on sustainable production from waste oils and synergistic combinations with natural emulsifiers (</w:t>
      </w:r>
      <w:proofErr w:type="spellStart"/>
      <w:r w:rsidRPr="00F6046E">
        <w:rPr>
          <w:rFonts w:ascii="Arial" w:hAnsi="Arial" w:cs="Arial"/>
        </w:rPr>
        <w:t>dickinson</w:t>
      </w:r>
      <w:proofErr w:type="spellEnd"/>
      <w:r w:rsidRPr="00F6046E">
        <w:rPr>
          <w:rFonts w:ascii="Arial" w:hAnsi="Arial" w:cs="Arial"/>
        </w:rPr>
        <w:t>, 2019).</w:t>
      </w:r>
    </w:p>
    <w:p w14:paraId="35EC8CCB" w14:textId="77777777" w:rsidR="00790ADA" w:rsidRPr="00F6046E" w:rsidRDefault="00790ADA" w:rsidP="00441B6F">
      <w:pPr>
        <w:pStyle w:val="Body"/>
        <w:spacing w:after="0"/>
        <w:rPr>
          <w:rFonts w:ascii="Arial" w:hAnsi="Arial" w:cs="Arial"/>
        </w:rPr>
      </w:pPr>
    </w:p>
    <w:p w14:paraId="4EE21CCA" w14:textId="28B96F63" w:rsidR="00902823" w:rsidRPr="00F6046E" w:rsidRDefault="005F2CDD" w:rsidP="00441B6F">
      <w:pPr>
        <w:pStyle w:val="Head1"/>
        <w:spacing w:after="0"/>
        <w:jc w:val="both"/>
        <w:rPr>
          <w:rFonts w:ascii="Arial" w:hAnsi="Arial" w:cs="Arial"/>
        </w:rPr>
      </w:pPr>
      <w:r w:rsidRPr="00F6046E">
        <w:rPr>
          <w:rFonts w:ascii="Arial" w:hAnsi="Arial" w:cs="Arial"/>
        </w:rPr>
        <w:t>4.</w:t>
      </w:r>
      <w:r w:rsidR="00902823" w:rsidRPr="00F6046E">
        <w:rPr>
          <w:rFonts w:ascii="Arial" w:hAnsi="Arial" w:cs="Arial"/>
        </w:rPr>
        <w:t xml:space="preserve"> </w:t>
      </w:r>
      <w:r w:rsidR="00A75197" w:rsidRPr="00F6046E">
        <w:rPr>
          <w:rFonts w:ascii="Arial" w:hAnsi="Arial" w:cs="Arial"/>
        </w:rPr>
        <w:t>Emulsifying propertyes of niger seed oil</w:t>
      </w:r>
    </w:p>
    <w:p w14:paraId="1D4F587B" w14:textId="4129A52B" w:rsidR="00BB1E64" w:rsidRPr="00F6046E" w:rsidRDefault="00BB1E64" w:rsidP="00A75197">
      <w:pPr>
        <w:pStyle w:val="selectable-text"/>
        <w:jc w:val="both"/>
        <w:rPr>
          <w:rFonts w:ascii="Arial" w:hAnsi="Arial" w:cs="Arial"/>
          <w:sz w:val="20"/>
        </w:rPr>
      </w:pPr>
      <w:r w:rsidRPr="00F6046E">
        <w:rPr>
          <w:rStyle w:val="selectable-text1"/>
          <w:rFonts w:ascii="Arial" w:hAnsi="Arial" w:cs="Arial"/>
          <w:sz w:val="20"/>
        </w:rPr>
        <w:t xml:space="preserve">Niger seed oil demonstrates remarkable emulsification properties, achieving interfacial tension values of 10–15 </w:t>
      </w:r>
      <w:proofErr w:type="spellStart"/>
      <w:r w:rsidRPr="00F6046E">
        <w:rPr>
          <w:rStyle w:val="selectable-text1"/>
          <w:rFonts w:ascii="Arial" w:hAnsi="Arial" w:cs="Arial"/>
          <w:sz w:val="20"/>
        </w:rPr>
        <w:t>mN</w:t>
      </w:r>
      <w:proofErr w:type="spellEnd"/>
      <w:r w:rsidRPr="00F6046E">
        <w:rPr>
          <w:rStyle w:val="selectable-text1"/>
          <w:rFonts w:ascii="Arial" w:hAnsi="Arial" w:cs="Arial"/>
          <w:sz w:val="20"/>
        </w:rPr>
        <w:t>/m comparable to commercial soybean lecithin, while offering superior oxidative stability due to its high δ-tocopherol content (58.7 mg/100g) (</w:t>
      </w:r>
      <w:proofErr w:type="spellStart"/>
      <w:r w:rsidRPr="00F6046E">
        <w:rPr>
          <w:rStyle w:val="selectable-text1"/>
          <w:rFonts w:ascii="Arial" w:hAnsi="Arial" w:cs="Arial"/>
          <w:sz w:val="20"/>
        </w:rPr>
        <w:t>Daba</w:t>
      </w:r>
      <w:proofErr w:type="spellEnd"/>
      <w:r w:rsidRPr="00F6046E">
        <w:rPr>
          <w:rStyle w:val="selectable-text1"/>
          <w:rFonts w:ascii="Arial" w:hAnsi="Arial" w:cs="Arial"/>
          <w:sz w:val="20"/>
        </w:rPr>
        <w:t xml:space="preserve"> &amp; Tola, 2023). This natural stability extends emulsion shelf-life by 30% compared to conventional oils, addressing a critical industry challenge. The oil's phospholipid </w:t>
      </w:r>
      <w:proofErr w:type="spellStart"/>
      <w:r w:rsidRPr="00F6046E">
        <w:rPr>
          <w:rStyle w:val="selectable-text1"/>
          <w:rFonts w:ascii="Arial" w:hAnsi="Arial" w:cs="Arial"/>
          <w:sz w:val="20"/>
        </w:rPr>
        <w:t>fractio</w:t>
      </w:r>
      <w:proofErr w:type="spellEnd"/>
      <w:r w:rsidRPr="00F6046E">
        <w:rPr>
          <w:rStyle w:val="selectable-text1"/>
          <w:rFonts w:ascii="Arial" w:hAnsi="Arial" w:cs="Arial"/>
          <w:sz w:val="20"/>
        </w:rPr>
        <w:t>, though lower than soy lecithin (3–4%), shows exceptional interfacial activity through phosphatidylcholine-rich assemblies that stabilize oil-water interfaces via both electrostatic and steric mechanisms</w:t>
      </w:r>
      <w:r w:rsidR="00703706">
        <w:rPr>
          <w:rStyle w:val="selectable-text1"/>
          <w:rFonts w:ascii="Arial" w:hAnsi="Arial" w:cs="Arial"/>
          <w:sz w:val="20"/>
        </w:rPr>
        <w:t>.</w:t>
      </w:r>
    </w:p>
    <w:p w14:paraId="53566CB4" w14:textId="55D58610" w:rsidR="00BB1E64" w:rsidRPr="00F6046E" w:rsidRDefault="00BB1E64" w:rsidP="00A75197">
      <w:pPr>
        <w:pStyle w:val="selectable-text"/>
        <w:jc w:val="both"/>
        <w:rPr>
          <w:rFonts w:ascii="Arial" w:hAnsi="Arial" w:cs="Arial"/>
          <w:sz w:val="20"/>
        </w:rPr>
      </w:pPr>
      <w:r w:rsidRPr="00F6046E">
        <w:rPr>
          <w:rStyle w:val="selectable-text1"/>
          <w:rFonts w:ascii="Arial" w:hAnsi="Arial" w:cs="Arial"/>
          <w:sz w:val="20"/>
        </w:rPr>
        <w:t>Health evaluations reveal significant advantages over synthetic alternatives. Unlike polysorbate 80</w:t>
      </w:r>
      <w:r w:rsidR="00A75197" w:rsidRPr="00F6046E">
        <w:rPr>
          <w:rStyle w:val="selectable-text1"/>
          <w:rFonts w:ascii="Arial" w:hAnsi="Arial" w:cs="Arial"/>
          <w:sz w:val="20"/>
        </w:rPr>
        <w:t xml:space="preserve"> </w:t>
      </w:r>
      <w:r w:rsidRPr="00F6046E">
        <w:rPr>
          <w:rStyle w:val="selectable-text1"/>
          <w:rFonts w:ascii="Arial" w:hAnsi="Arial" w:cs="Arial"/>
          <w:sz w:val="20"/>
        </w:rPr>
        <w:t>linked to gut dysbiosis in 72% of animal studies (</w:t>
      </w:r>
      <w:proofErr w:type="spellStart"/>
      <w:r w:rsidRPr="00F6046E">
        <w:rPr>
          <w:rStyle w:val="selectable-text1"/>
          <w:rFonts w:ascii="Arial" w:hAnsi="Arial" w:cs="Arial"/>
          <w:sz w:val="20"/>
        </w:rPr>
        <w:t>Chassaing</w:t>
      </w:r>
      <w:proofErr w:type="spellEnd"/>
      <w:r w:rsidRPr="00F6046E">
        <w:rPr>
          <w:rStyle w:val="selectable-text1"/>
          <w:rFonts w:ascii="Arial" w:hAnsi="Arial" w:cs="Arial"/>
          <w:sz w:val="20"/>
        </w:rPr>
        <w:t xml:space="preserve"> et al., 2015)</w:t>
      </w:r>
      <w:r w:rsidR="00A75197" w:rsidRPr="00F6046E">
        <w:rPr>
          <w:rStyle w:val="selectable-text1"/>
          <w:rFonts w:ascii="Arial" w:hAnsi="Arial" w:cs="Arial"/>
          <w:sz w:val="20"/>
        </w:rPr>
        <w:t xml:space="preserve"> </w:t>
      </w:r>
      <w:r w:rsidRPr="00F6046E">
        <w:rPr>
          <w:rStyle w:val="selectable-text1"/>
          <w:rFonts w:ascii="Arial" w:hAnsi="Arial" w:cs="Arial"/>
          <w:sz w:val="20"/>
        </w:rPr>
        <w:t>Niger oil's chlorogenic acid derivatives exhibit prebiotic potential, increasing beneficial Bifidobacterium populations by 18–22% in vitro (Tesfaye et al., 2023). Its hypoallergenic profile is particularly noteworthy, with proteomic analyses confirming absence of β-conglycinin and caseins</w:t>
      </w:r>
      <w:r w:rsidR="00A75197" w:rsidRPr="00F6046E">
        <w:rPr>
          <w:rStyle w:val="selectable-text1"/>
          <w:rFonts w:ascii="Arial" w:hAnsi="Arial" w:cs="Arial"/>
          <w:sz w:val="20"/>
        </w:rPr>
        <w:t xml:space="preserve"> </w:t>
      </w:r>
      <w:r w:rsidRPr="00F6046E">
        <w:rPr>
          <w:rStyle w:val="selectable-text1"/>
          <w:rFonts w:ascii="Arial" w:hAnsi="Arial" w:cs="Arial"/>
          <w:sz w:val="20"/>
        </w:rPr>
        <w:t>major allergens in soy/dairy emulsifiers</w:t>
      </w:r>
      <w:r w:rsidR="00F04F71" w:rsidRPr="00F6046E">
        <w:rPr>
          <w:rStyle w:val="selectable-text1"/>
          <w:rFonts w:ascii="Arial" w:hAnsi="Arial" w:cs="Arial"/>
          <w:sz w:val="20"/>
        </w:rPr>
        <w:t xml:space="preserve">. </w:t>
      </w:r>
      <w:r w:rsidRPr="00F6046E">
        <w:rPr>
          <w:rStyle w:val="selectable-text1"/>
          <w:rFonts w:ascii="Arial" w:hAnsi="Arial" w:cs="Arial"/>
          <w:sz w:val="20"/>
        </w:rPr>
        <w:t xml:space="preserve">Clinical data show zero </w:t>
      </w:r>
      <w:proofErr w:type="spellStart"/>
      <w:r w:rsidRPr="00F6046E">
        <w:rPr>
          <w:rStyle w:val="selectable-text1"/>
          <w:rFonts w:ascii="Arial" w:hAnsi="Arial" w:cs="Arial"/>
          <w:sz w:val="20"/>
        </w:rPr>
        <w:t>IgE</w:t>
      </w:r>
      <w:proofErr w:type="spellEnd"/>
      <w:r w:rsidRPr="00F6046E">
        <w:rPr>
          <w:rStyle w:val="selectable-text1"/>
          <w:rFonts w:ascii="Arial" w:hAnsi="Arial" w:cs="Arial"/>
          <w:sz w:val="20"/>
        </w:rPr>
        <w:t xml:space="preserve">-mediated reactions among 1,200 at-risk </w:t>
      </w:r>
      <w:proofErr w:type="gramStart"/>
      <w:r w:rsidRPr="00F6046E">
        <w:rPr>
          <w:rStyle w:val="selectable-text1"/>
          <w:rFonts w:ascii="Arial" w:hAnsi="Arial" w:cs="Arial"/>
          <w:sz w:val="20"/>
        </w:rPr>
        <w:t>consumers ,</w:t>
      </w:r>
      <w:proofErr w:type="gramEnd"/>
      <w:r w:rsidRPr="00F6046E">
        <w:rPr>
          <w:rStyle w:val="selectable-text1"/>
          <w:rFonts w:ascii="Arial" w:hAnsi="Arial" w:cs="Arial"/>
          <w:sz w:val="20"/>
        </w:rPr>
        <w:t xml:space="preserve"> supporting its safety for allergen-free formulations.</w:t>
      </w:r>
    </w:p>
    <w:p w14:paraId="708EEA0A" w14:textId="73E3EFA5" w:rsidR="00F04F71" w:rsidRPr="00F6046E" w:rsidRDefault="00BB1E64" w:rsidP="002A04BB">
      <w:pPr>
        <w:pStyle w:val="selectable-text"/>
        <w:jc w:val="both"/>
        <w:rPr>
          <w:rFonts w:ascii="Arial" w:hAnsi="Arial" w:cs="Arial"/>
          <w:sz w:val="20"/>
        </w:rPr>
      </w:pPr>
      <w:r w:rsidRPr="00F6046E">
        <w:rPr>
          <w:rStyle w:val="selectable-text1"/>
          <w:rFonts w:ascii="Arial" w:hAnsi="Arial" w:cs="Arial"/>
          <w:sz w:val="20"/>
        </w:rPr>
        <w:t xml:space="preserve">However, technological limitations persist. The oil's native phospholipid content requires enzymatic boosting (yield increase from 2.1% to 3.8% post-treatment) for high-performance applications like </w:t>
      </w:r>
      <w:proofErr w:type="spellStart"/>
      <w:r w:rsidRPr="00F6046E">
        <w:rPr>
          <w:rStyle w:val="selectable-text1"/>
          <w:rFonts w:ascii="Arial" w:hAnsi="Arial" w:cs="Arial"/>
          <w:sz w:val="20"/>
        </w:rPr>
        <w:t>nanoemulsions</w:t>
      </w:r>
      <w:proofErr w:type="spellEnd"/>
      <w:r w:rsidRPr="00F6046E">
        <w:rPr>
          <w:rStyle w:val="selectable-text1"/>
          <w:rFonts w:ascii="Arial" w:hAnsi="Arial" w:cs="Arial"/>
          <w:sz w:val="20"/>
          <w:szCs w:val="20"/>
        </w:rPr>
        <w:t>.</w:t>
      </w:r>
      <w:r w:rsidRPr="00F6046E">
        <w:rPr>
          <w:rStyle w:val="selectable-text1"/>
          <w:rFonts w:ascii="Arial" w:hAnsi="Arial" w:cs="Arial"/>
          <w:sz w:val="20"/>
        </w:rPr>
        <w:t xml:space="preserve"> Regional supply chains also pose challenges, with African-sourced oil costing 22–25% more than soy lecithin in Western markets (</w:t>
      </w:r>
      <w:proofErr w:type="spellStart"/>
      <w:r w:rsidRPr="00F6046E">
        <w:rPr>
          <w:rStyle w:val="selectable-text1"/>
          <w:rFonts w:ascii="Arial" w:hAnsi="Arial" w:cs="Arial"/>
          <w:sz w:val="20"/>
        </w:rPr>
        <w:t>Gebremariam</w:t>
      </w:r>
      <w:proofErr w:type="spellEnd"/>
      <w:r w:rsidRPr="00F6046E">
        <w:rPr>
          <w:rStyle w:val="selectable-text1"/>
          <w:rFonts w:ascii="Arial" w:hAnsi="Arial" w:cs="Arial"/>
          <w:sz w:val="20"/>
        </w:rPr>
        <w:t xml:space="preserve"> &amp; Mohammed, 2023). These constraints highlight the need for localized production facilities and optimized extraction protocols to enhance commercial viability</w:t>
      </w:r>
    </w:p>
    <w:p w14:paraId="4108D65B" w14:textId="77777777" w:rsidR="00CF72CC" w:rsidRPr="00F6046E" w:rsidRDefault="00CF72CC" w:rsidP="00441B6F">
      <w:pPr>
        <w:tabs>
          <w:tab w:val="left" w:pos="1080"/>
        </w:tabs>
        <w:jc w:val="both"/>
        <w:rPr>
          <w:rFonts w:ascii="Arial" w:hAnsi="Arial" w:cs="Arial"/>
          <w:b/>
        </w:rPr>
      </w:pPr>
    </w:p>
    <w:p w14:paraId="16BE0E65" w14:textId="7F7A8788" w:rsidR="00863BD3" w:rsidRPr="00F6046E" w:rsidRDefault="009500A6" w:rsidP="00441B6F">
      <w:pPr>
        <w:tabs>
          <w:tab w:val="left" w:pos="1080"/>
        </w:tabs>
        <w:jc w:val="both"/>
        <w:rPr>
          <w:rFonts w:ascii="Arial" w:hAnsi="Arial" w:cs="Arial"/>
          <w:b/>
        </w:rPr>
      </w:pPr>
      <w:r w:rsidRPr="00F6046E">
        <w:rPr>
          <w:rFonts w:ascii="Arial" w:hAnsi="Arial" w:cs="Arial"/>
          <w:b/>
        </w:rPr>
        <w:t xml:space="preserve">Table </w:t>
      </w:r>
      <w:r w:rsidR="002A04BB" w:rsidRPr="00F6046E">
        <w:rPr>
          <w:rFonts w:ascii="Arial" w:hAnsi="Arial" w:cs="Arial"/>
          <w:b/>
        </w:rPr>
        <w:t>2</w:t>
      </w:r>
      <w:r w:rsidRPr="00F6046E">
        <w:rPr>
          <w:rFonts w:ascii="Arial" w:hAnsi="Arial" w:cs="Arial"/>
          <w:b/>
        </w:rPr>
        <w:t>.</w:t>
      </w:r>
      <w:r w:rsidR="00863BD3" w:rsidRPr="00F6046E">
        <w:rPr>
          <w:rFonts w:ascii="Arial" w:hAnsi="Arial" w:cs="Arial"/>
          <w:b/>
        </w:rPr>
        <w:tab/>
      </w:r>
      <w:r w:rsidR="009E5EB5" w:rsidRPr="00F6046E">
        <w:rPr>
          <w:rFonts w:ascii="Arial" w:hAnsi="Arial" w:cs="Arial"/>
          <w:b/>
        </w:rPr>
        <w:t xml:space="preserve">Comparable functionality of </w:t>
      </w:r>
      <w:r w:rsidR="009E5EB5" w:rsidRPr="00F6046E">
        <w:rPr>
          <w:rFonts w:ascii="Arial" w:hAnsi="Arial" w:cs="Arial"/>
          <w:b/>
          <w:bCs/>
          <w:lang w:eastAsia="en-IN"/>
        </w:rPr>
        <w:t xml:space="preserve">Niger seed oil </w:t>
      </w:r>
      <w:r w:rsidR="009E5EB5" w:rsidRPr="00F6046E">
        <w:rPr>
          <w:rFonts w:ascii="Arial" w:hAnsi="Arial" w:cs="Arial"/>
          <w:b/>
        </w:rPr>
        <w:t xml:space="preserve">to </w:t>
      </w:r>
      <w:r w:rsidR="009E5EB5" w:rsidRPr="00F6046E">
        <w:rPr>
          <w:rFonts w:ascii="Arial" w:hAnsi="Arial" w:cs="Arial"/>
          <w:b/>
          <w:bCs/>
          <w:lang w:eastAsia="en-IN"/>
        </w:rPr>
        <w:t>Emulsifier</w:t>
      </w:r>
      <w:r w:rsidR="009E5EB5" w:rsidRPr="00F6046E">
        <w:rPr>
          <w:rFonts w:ascii="Arial" w:hAnsi="Arial" w:cs="Arial"/>
          <w:b/>
        </w:rPr>
        <w:t xml:space="preserve"> synthetic</w:t>
      </w:r>
    </w:p>
    <w:p w14:paraId="143B07D2" w14:textId="77777777" w:rsidR="00863BD3" w:rsidRPr="00F6046E" w:rsidRDefault="00863BD3" w:rsidP="00441B6F">
      <w:pPr>
        <w:tabs>
          <w:tab w:val="left" w:pos="1080"/>
        </w:tabs>
        <w:jc w:val="both"/>
        <w:rPr>
          <w:rFonts w:ascii="Arial" w:hAnsi="Arial" w:cs="Arial"/>
          <w:b/>
        </w:rPr>
      </w:pPr>
    </w:p>
    <w:tbl>
      <w:tblPr>
        <w:tblStyle w:val="PlainTable4"/>
        <w:tblW w:w="9498" w:type="dxa"/>
        <w:jc w:val="center"/>
        <w:tblLook w:val="04A0" w:firstRow="1" w:lastRow="0" w:firstColumn="1" w:lastColumn="0" w:noHBand="0" w:noVBand="1"/>
      </w:tblPr>
      <w:tblGrid>
        <w:gridCol w:w="2269"/>
        <w:gridCol w:w="1276"/>
        <w:gridCol w:w="1559"/>
        <w:gridCol w:w="2180"/>
        <w:gridCol w:w="2214"/>
      </w:tblGrid>
      <w:tr w:rsidR="00BB1E64" w:rsidRPr="00F6046E" w14:paraId="5020C191" w14:textId="77777777" w:rsidTr="002A04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bottom w:val="single" w:sz="4" w:space="0" w:color="auto"/>
            </w:tcBorders>
            <w:hideMark/>
          </w:tcPr>
          <w:p w14:paraId="6917FBD2" w14:textId="77777777" w:rsidR="00BB1E64" w:rsidRPr="00F6046E" w:rsidRDefault="00BB1E64" w:rsidP="00D539D7">
            <w:pPr>
              <w:spacing w:line="360" w:lineRule="auto"/>
              <w:jc w:val="both"/>
              <w:rPr>
                <w:rFonts w:ascii="Arial" w:hAnsi="Arial" w:cs="Arial"/>
                <w:bCs w:val="0"/>
                <w:lang w:eastAsia="en-IN"/>
              </w:rPr>
            </w:pPr>
            <w:r w:rsidRPr="00F6046E">
              <w:rPr>
                <w:rFonts w:ascii="Arial" w:hAnsi="Arial" w:cs="Arial"/>
                <w:bCs w:val="0"/>
                <w:lang w:eastAsia="en-IN"/>
              </w:rPr>
              <w:t>Emulsifier</w:t>
            </w:r>
          </w:p>
        </w:tc>
        <w:tc>
          <w:tcPr>
            <w:tcW w:w="1276" w:type="dxa"/>
            <w:tcBorders>
              <w:top w:val="single" w:sz="4" w:space="0" w:color="auto"/>
              <w:bottom w:val="single" w:sz="4" w:space="0" w:color="auto"/>
            </w:tcBorders>
            <w:hideMark/>
          </w:tcPr>
          <w:p w14:paraId="5824932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Source</w:t>
            </w:r>
          </w:p>
        </w:tc>
        <w:tc>
          <w:tcPr>
            <w:tcW w:w="1559" w:type="dxa"/>
            <w:tcBorders>
              <w:top w:val="single" w:sz="4" w:space="0" w:color="auto"/>
              <w:bottom w:val="single" w:sz="4" w:space="0" w:color="auto"/>
            </w:tcBorders>
            <w:hideMark/>
          </w:tcPr>
          <w:p w14:paraId="0E2F617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Allergen Risk</w:t>
            </w:r>
          </w:p>
        </w:tc>
        <w:tc>
          <w:tcPr>
            <w:tcW w:w="2180" w:type="dxa"/>
            <w:tcBorders>
              <w:top w:val="single" w:sz="4" w:space="0" w:color="auto"/>
              <w:bottom w:val="single" w:sz="4" w:space="0" w:color="auto"/>
            </w:tcBorders>
            <w:hideMark/>
          </w:tcPr>
          <w:p w14:paraId="4ABBFC6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Health Concerns</w:t>
            </w:r>
          </w:p>
        </w:tc>
        <w:tc>
          <w:tcPr>
            <w:tcW w:w="2214" w:type="dxa"/>
            <w:tcBorders>
              <w:top w:val="single" w:sz="4" w:space="0" w:color="auto"/>
              <w:bottom w:val="single" w:sz="4" w:space="0" w:color="auto"/>
            </w:tcBorders>
            <w:hideMark/>
          </w:tcPr>
          <w:p w14:paraId="28D00A1D"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Oxidative Stability</w:t>
            </w:r>
          </w:p>
        </w:tc>
      </w:tr>
      <w:tr w:rsidR="00BB1E64" w:rsidRPr="00F6046E" w14:paraId="541D5EED"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tcBorders>
            <w:hideMark/>
          </w:tcPr>
          <w:p w14:paraId="13AEB903" w14:textId="3CBBC50B"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Niger seed </w:t>
            </w:r>
            <w:proofErr w:type="gramStart"/>
            <w:r w:rsidRPr="00F6046E">
              <w:rPr>
                <w:rFonts w:ascii="Arial" w:hAnsi="Arial" w:cs="Arial"/>
                <w:b w:val="0"/>
                <w:bCs w:val="0"/>
                <w:lang w:eastAsia="en-IN"/>
              </w:rPr>
              <w:t xml:space="preserve">oil </w:t>
            </w:r>
            <w:r w:rsidR="0088314D" w:rsidRPr="00F6046E">
              <w:rPr>
                <w:rStyle w:val="Strong"/>
                <w:rFonts w:ascii="Arial" w:hAnsi="Arial" w:cs="Arial"/>
                <w:i/>
                <w:sz w:val="18"/>
              </w:rPr>
              <w:t xml:space="preserve"> </w:t>
            </w:r>
            <w:r w:rsidR="00703706">
              <w:rPr>
                <w:rStyle w:val="Strong"/>
                <w:rFonts w:ascii="Arial" w:hAnsi="Arial" w:cs="Arial"/>
                <w:i/>
                <w:sz w:val="18"/>
              </w:rPr>
              <w:t>(</w:t>
            </w:r>
            <w:proofErr w:type="spellStart"/>
            <w:proofErr w:type="gramEnd"/>
            <w:r w:rsidR="0088314D" w:rsidRPr="00F6046E">
              <w:rPr>
                <w:rStyle w:val="Strong"/>
                <w:rFonts w:ascii="Arial" w:hAnsi="Arial" w:cs="Arial"/>
                <w:i/>
                <w:sz w:val="18"/>
              </w:rPr>
              <w:t>Tsehay</w:t>
            </w:r>
            <w:proofErr w:type="spellEnd"/>
            <w:r w:rsidR="0088314D" w:rsidRPr="00F6046E">
              <w:rPr>
                <w:rStyle w:val="Strong"/>
                <w:rFonts w:ascii="Arial" w:hAnsi="Arial" w:cs="Arial"/>
                <w:i/>
                <w:sz w:val="18"/>
              </w:rPr>
              <w:t xml:space="preserve"> 2023)</w:t>
            </w:r>
            <w:r w:rsidR="0088314D" w:rsidRPr="00F6046E">
              <w:rPr>
                <w:rFonts w:ascii="Arial" w:hAnsi="Arial" w:cs="Arial"/>
                <w:i/>
                <w:sz w:val="18"/>
              </w:rPr>
              <w:t>,</w:t>
            </w:r>
          </w:p>
        </w:tc>
        <w:tc>
          <w:tcPr>
            <w:tcW w:w="1276" w:type="dxa"/>
            <w:tcBorders>
              <w:top w:val="single" w:sz="4" w:space="0" w:color="auto"/>
            </w:tcBorders>
            <w:hideMark/>
          </w:tcPr>
          <w:p w14:paraId="30FC59B2"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roofErr w:type="spellStart"/>
            <w:r w:rsidRPr="00F6046E">
              <w:rPr>
                <w:rFonts w:ascii="Arial" w:hAnsi="Arial" w:cs="Arial"/>
                <w:i/>
                <w:iCs/>
                <w:lang w:eastAsia="en-IN"/>
              </w:rPr>
              <w:t>Guizotia</w:t>
            </w:r>
            <w:proofErr w:type="spellEnd"/>
            <w:r w:rsidRPr="00F6046E">
              <w:rPr>
                <w:rFonts w:ascii="Arial" w:hAnsi="Arial" w:cs="Arial"/>
                <w:i/>
                <w:iCs/>
                <w:lang w:eastAsia="en-IN"/>
              </w:rPr>
              <w:t xml:space="preserve"> </w:t>
            </w:r>
            <w:proofErr w:type="spellStart"/>
            <w:r w:rsidRPr="00F6046E">
              <w:rPr>
                <w:rFonts w:ascii="Arial" w:hAnsi="Arial" w:cs="Arial"/>
                <w:i/>
                <w:iCs/>
                <w:lang w:eastAsia="en-IN"/>
              </w:rPr>
              <w:t>abyssinica</w:t>
            </w:r>
            <w:proofErr w:type="spellEnd"/>
          </w:p>
        </w:tc>
        <w:tc>
          <w:tcPr>
            <w:tcW w:w="1559" w:type="dxa"/>
            <w:tcBorders>
              <w:top w:val="single" w:sz="4" w:space="0" w:color="auto"/>
            </w:tcBorders>
            <w:hideMark/>
          </w:tcPr>
          <w:p w14:paraId="5C09BE9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w:t>
            </w:r>
          </w:p>
        </w:tc>
        <w:tc>
          <w:tcPr>
            <w:tcW w:w="2180" w:type="dxa"/>
            <w:tcBorders>
              <w:top w:val="single" w:sz="4" w:space="0" w:color="auto"/>
            </w:tcBorders>
            <w:hideMark/>
          </w:tcPr>
          <w:p w14:paraId="7CE1277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 reported</w:t>
            </w:r>
          </w:p>
        </w:tc>
        <w:tc>
          <w:tcPr>
            <w:tcW w:w="2214" w:type="dxa"/>
            <w:tcBorders>
              <w:top w:val="single" w:sz="4" w:space="0" w:color="auto"/>
            </w:tcBorders>
            <w:hideMark/>
          </w:tcPr>
          <w:p w14:paraId="64B3785C"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High (natural antioxidants)</w:t>
            </w:r>
          </w:p>
        </w:tc>
      </w:tr>
      <w:tr w:rsidR="00BB1E64" w:rsidRPr="00F6046E" w14:paraId="2B3B6B2F"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05CF8D75"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Soy lecithin </w:t>
            </w:r>
            <w:r w:rsidRPr="00F6046E">
              <w:rPr>
                <w:rFonts w:ascii="Arial" w:hAnsi="Arial" w:cs="Arial"/>
                <w:b w:val="0"/>
                <w:bCs w:val="0"/>
                <w:sz w:val="18"/>
                <w:lang w:eastAsia="en-IN"/>
              </w:rPr>
              <w:t>(</w:t>
            </w:r>
            <w:proofErr w:type="spellStart"/>
            <w:r w:rsidRPr="00F6046E">
              <w:rPr>
                <w:rFonts w:ascii="Arial" w:hAnsi="Arial" w:cs="Arial"/>
                <w:b w:val="0"/>
                <w:i/>
                <w:sz w:val="18"/>
              </w:rPr>
              <w:t>Hasenhuettl</w:t>
            </w:r>
            <w:proofErr w:type="spellEnd"/>
            <w:r w:rsidRPr="00F6046E">
              <w:rPr>
                <w:rFonts w:ascii="Arial" w:hAnsi="Arial" w:cs="Arial"/>
                <w:b w:val="0"/>
                <w:i/>
                <w:sz w:val="18"/>
              </w:rPr>
              <w:t xml:space="preserve"> &amp; </w:t>
            </w:r>
            <w:proofErr w:type="spellStart"/>
            <w:r w:rsidRPr="00F6046E">
              <w:rPr>
                <w:rFonts w:ascii="Arial" w:hAnsi="Arial" w:cs="Arial"/>
                <w:b w:val="0"/>
                <w:i/>
                <w:sz w:val="18"/>
              </w:rPr>
              <w:t>Hartel</w:t>
            </w:r>
            <w:proofErr w:type="spellEnd"/>
            <w:r w:rsidRPr="00F6046E">
              <w:rPr>
                <w:rFonts w:ascii="Arial" w:hAnsi="Arial" w:cs="Arial"/>
                <w:b w:val="0"/>
                <w:i/>
                <w:sz w:val="18"/>
              </w:rPr>
              <w:t>, 2008</w:t>
            </w:r>
            <w:r w:rsidRPr="00F6046E">
              <w:rPr>
                <w:rFonts w:ascii="Arial" w:hAnsi="Arial" w:cs="Arial"/>
                <w:b w:val="0"/>
                <w:bCs w:val="0"/>
                <w:sz w:val="18"/>
                <w:lang w:eastAsia="en-IN"/>
              </w:rPr>
              <w:t>)</w:t>
            </w:r>
          </w:p>
        </w:tc>
        <w:tc>
          <w:tcPr>
            <w:tcW w:w="1276" w:type="dxa"/>
            <w:hideMark/>
          </w:tcPr>
          <w:p w14:paraId="06726F70"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Soybean</w:t>
            </w:r>
          </w:p>
        </w:tc>
        <w:tc>
          <w:tcPr>
            <w:tcW w:w="1559" w:type="dxa"/>
            <w:hideMark/>
          </w:tcPr>
          <w:p w14:paraId="6F29DC6C" w14:textId="79D5CF26"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High</w:t>
            </w:r>
            <w:r w:rsidR="00CF72CC" w:rsidRPr="00F6046E">
              <w:rPr>
                <w:rFonts w:ascii="Arial" w:hAnsi="Arial" w:cs="Arial"/>
                <w:lang w:eastAsia="en-IN"/>
              </w:rPr>
              <w:t xml:space="preserve"> </w:t>
            </w:r>
            <w:r w:rsidRPr="00F6046E">
              <w:rPr>
                <w:rFonts w:ascii="Arial" w:hAnsi="Arial" w:cs="Arial"/>
                <w:lang w:eastAsia="en-IN"/>
              </w:rPr>
              <w:t>(soy protein)</w:t>
            </w:r>
          </w:p>
        </w:tc>
        <w:tc>
          <w:tcPr>
            <w:tcW w:w="2180" w:type="dxa"/>
            <w:hideMark/>
          </w:tcPr>
          <w:p w14:paraId="33FA190A"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GMO concerns, estrogenic isoflavones</w:t>
            </w:r>
          </w:p>
        </w:tc>
        <w:tc>
          <w:tcPr>
            <w:tcW w:w="2214" w:type="dxa"/>
            <w:hideMark/>
          </w:tcPr>
          <w:p w14:paraId="1C9F6D93"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Moderate (requires additives)</w:t>
            </w:r>
          </w:p>
        </w:tc>
      </w:tr>
      <w:tr w:rsidR="00BB1E64" w:rsidRPr="00F6046E" w14:paraId="7EDF7940"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218BA831" w14:textId="4ACFF9E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Polysorbate 80 </w:t>
            </w:r>
          </w:p>
        </w:tc>
        <w:tc>
          <w:tcPr>
            <w:tcW w:w="1276" w:type="dxa"/>
            <w:hideMark/>
          </w:tcPr>
          <w:p w14:paraId="05C02989"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Synthetic</w:t>
            </w:r>
          </w:p>
        </w:tc>
        <w:tc>
          <w:tcPr>
            <w:tcW w:w="1559" w:type="dxa"/>
            <w:hideMark/>
          </w:tcPr>
          <w:p w14:paraId="3806160E"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w:t>
            </w:r>
          </w:p>
        </w:tc>
        <w:tc>
          <w:tcPr>
            <w:tcW w:w="2180" w:type="dxa"/>
            <w:hideMark/>
          </w:tcPr>
          <w:p w14:paraId="5C88F425"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Gut dysbiosis, inflammation</w:t>
            </w:r>
          </w:p>
        </w:tc>
        <w:tc>
          <w:tcPr>
            <w:tcW w:w="2214" w:type="dxa"/>
            <w:hideMark/>
          </w:tcPr>
          <w:p w14:paraId="0D0B2036"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High (but synthetic)</w:t>
            </w:r>
          </w:p>
        </w:tc>
      </w:tr>
      <w:tr w:rsidR="00BB1E64" w:rsidRPr="00F6046E" w14:paraId="3F12B227"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5E3B90F2"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Egg yolk lecithin </w:t>
            </w:r>
            <w:r w:rsidRPr="00F6046E">
              <w:rPr>
                <w:rFonts w:ascii="Arial" w:hAnsi="Arial" w:cs="Arial"/>
                <w:b w:val="0"/>
                <w:bCs w:val="0"/>
                <w:sz w:val="18"/>
                <w:lang w:eastAsia="en-IN"/>
              </w:rPr>
              <w:t>(</w:t>
            </w:r>
            <w:r w:rsidRPr="00F6046E">
              <w:rPr>
                <w:rFonts w:ascii="Arial" w:hAnsi="Arial" w:cs="Arial"/>
                <w:b w:val="0"/>
                <w:i/>
                <w:sz w:val="18"/>
              </w:rPr>
              <w:t>Dickinson, 2019</w:t>
            </w:r>
            <w:r w:rsidRPr="00F6046E">
              <w:rPr>
                <w:rFonts w:ascii="Arial" w:hAnsi="Arial" w:cs="Arial"/>
                <w:b w:val="0"/>
                <w:bCs w:val="0"/>
                <w:sz w:val="18"/>
                <w:lang w:eastAsia="en-IN"/>
              </w:rPr>
              <w:t>)</w:t>
            </w:r>
          </w:p>
        </w:tc>
        <w:tc>
          <w:tcPr>
            <w:tcW w:w="1276" w:type="dxa"/>
            <w:hideMark/>
          </w:tcPr>
          <w:p w14:paraId="2E348821"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Eggs</w:t>
            </w:r>
          </w:p>
        </w:tc>
        <w:tc>
          <w:tcPr>
            <w:tcW w:w="1559" w:type="dxa"/>
            <w:hideMark/>
          </w:tcPr>
          <w:p w14:paraId="30572944"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High (egg allergy)</w:t>
            </w:r>
          </w:p>
        </w:tc>
        <w:tc>
          <w:tcPr>
            <w:tcW w:w="2180" w:type="dxa"/>
            <w:hideMark/>
          </w:tcPr>
          <w:p w14:paraId="1AD6CFED"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Cholesterol content</w:t>
            </w:r>
          </w:p>
        </w:tc>
        <w:tc>
          <w:tcPr>
            <w:tcW w:w="2214" w:type="dxa"/>
            <w:hideMark/>
          </w:tcPr>
          <w:p w14:paraId="3DF36FBE"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Low (prone to rancidity)</w:t>
            </w:r>
          </w:p>
        </w:tc>
      </w:tr>
      <w:tr w:rsidR="00BB1E64" w:rsidRPr="00F6046E" w14:paraId="1C84E429"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4B494BBF"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Sunflower lecithin </w:t>
            </w:r>
            <w:r w:rsidRPr="00F6046E">
              <w:rPr>
                <w:rFonts w:ascii="Arial" w:hAnsi="Arial" w:cs="Arial"/>
                <w:b w:val="0"/>
                <w:bCs w:val="0"/>
                <w:sz w:val="18"/>
                <w:lang w:eastAsia="en-IN"/>
              </w:rPr>
              <w:t>(</w:t>
            </w:r>
            <w:proofErr w:type="spellStart"/>
            <w:r w:rsidRPr="00F6046E">
              <w:rPr>
                <w:rFonts w:ascii="Arial" w:hAnsi="Arial" w:cs="Arial"/>
                <w:b w:val="0"/>
                <w:i/>
                <w:sz w:val="18"/>
              </w:rPr>
              <w:t>Kralova</w:t>
            </w:r>
            <w:proofErr w:type="spellEnd"/>
            <w:r w:rsidRPr="00F6046E">
              <w:rPr>
                <w:rFonts w:ascii="Arial" w:hAnsi="Arial" w:cs="Arial"/>
                <w:b w:val="0"/>
                <w:i/>
                <w:sz w:val="18"/>
              </w:rPr>
              <w:t xml:space="preserve"> &amp; </w:t>
            </w:r>
            <w:proofErr w:type="spellStart"/>
            <w:r w:rsidRPr="00F6046E">
              <w:rPr>
                <w:rFonts w:ascii="Arial" w:hAnsi="Arial" w:cs="Arial"/>
                <w:b w:val="0"/>
                <w:i/>
                <w:sz w:val="18"/>
              </w:rPr>
              <w:t>Sjöblom</w:t>
            </w:r>
            <w:proofErr w:type="spellEnd"/>
            <w:r w:rsidRPr="00F6046E">
              <w:rPr>
                <w:rFonts w:ascii="Arial" w:hAnsi="Arial" w:cs="Arial"/>
                <w:b w:val="0"/>
                <w:i/>
                <w:sz w:val="18"/>
              </w:rPr>
              <w:t>, 2009</w:t>
            </w:r>
            <w:r w:rsidRPr="00F6046E">
              <w:rPr>
                <w:rFonts w:ascii="Arial" w:hAnsi="Arial" w:cs="Arial"/>
                <w:b w:val="0"/>
                <w:bCs w:val="0"/>
                <w:sz w:val="18"/>
                <w:lang w:eastAsia="en-IN"/>
              </w:rPr>
              <w:t>)</w:t>
            </w:r>
          </w:p>
        </w:tc>
        <w:tc>
          <w:tcPr>
            <w:tcW w:w="1276" w:type="dxa"/>
            <w:hideMark/>
          </w:tcPr>
          <w:p w14:paraId="55EBC676"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Sunflower</w:t>
            </w:r>
          </w:p>
        </w:tc>
        <w:tc>
          <w:tcPr>
            <w:tcW w:w="1559" w:type="dxa"/>
            <w:hideMark/>
          </w:tcPr>
          <w:p w14:paraId="5129822B"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Low</w:t>
            </w:r>
          </w:p>
        </w:tc>
        <w:tc>
          <w:tcPr>
            <w:tcW w:w="2180" w:type="dxa"/>
            <w:hideMark/>
          </w:tcPr>
          <w:p w14:paraId="40739BA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Chemical solvent residues</w:t>
            </w:r>
          </w:p>
        </w:tc>
        <w:tc>
          <w:tcPr>
            <w:tcW w:w="2214" w:type="dxa"/>
            <w:hideMark/>
          </w:tcPr>
          <w:p w14:paraId="2E26AB43"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Moderate</w:t>
            </w:r>
          </w:p>
        </w:tc>
      </w:tr>
    </w:tbl>
    <w:p w14:paraId="1CF7E27D" w14:textId="77777777" w:rsidR="00CF72CC" w:rsidRPr="00F6046E" w:rsidRDefault="00CF72CC" w:rsidP="00441B6F">
      <w:pPr>
        <w:pStyle w:val="ConcHead"/>
        <w:spacing w:after="0"/>
        <w:jc w:val="both"/>
        <w:rPr>
          <w:rFonts w:ascii="Arial" w:hAnsi="Arial" w:cs="Arial"/>
        </w:rPr>
      </w:pPr>
    </w:p>
    <w:p w14:paraId="61A44DEF" w14:textId="0037084F" w:rsidR="00B01FCD" w:rsidRPr="00F6046E" w:rsidRDefault="005F2CDD" w:rsidP="00441B6F">
      <w:pPr>
        <w:pStyle w:val="ConcHead"/>
        <w:spacing w:after="0"/>
        <w:jc w:val="both"/>
        <w:rPr>
          <w:rFonts w:ascii="Arial" w:hAnsi="Arial" w:cs="Arial"/>
        </w:rPr>
      </w:pPr>
      <w:r w:rsidRPr="00F6046E">
        <w:rPr>
          <w:rFonts w:ascii="Arial" w:hAnsi="Arial" w:cs="Arial"/>
        </w:rPr>
        <w:t>5</w:t>
      </w:r>
      <w:r w:rsidR="00000F8F" w:rsidRPr="00F6046E">
        <w:rPr>
          <w:rFonts w:ascii="Arial" w:hAnsi="Arial" w:cs="Arial"/>
        </w:rPr>
        <w:t xml:space="preserve">. </w:t>
      </w:r>
      <w:r w:rsidR="00B01FCD" w:rsidRPr="00F6046E">
        <w:rPr>
          <w:rFonts w:ascii="Arial" w:hAnsi="Arial" w:cs="Arial"/>
        </w:rPr>
        <w:t>Conclusion</w:t>
      </w:r>
    </w:p>
    <w:p w14:paraId="774EBC2A" w14:textId="77777777" w:rsidR="00790ADA" w:rsidRPr="00F6046E" w:rsidRDefault="00790ADA" w:rsidP="00441B6F">
      <w:pPr>
        <w:pStyle w:val="ConcHead"/>
        <w:spacing w:after="0"/>
        <w:jc w:val="both"/>
        <w:rPr>
          <w:rFonts w:ascii="Arial" w:hAnsi="Arial" w:cs="Arial"/>
        </w:rPr>
      </w:pPr>
    </w:p>
    <w:p w14:paraId="38BC8BFC" w14:textId="31E851EE" w:rsidR="0040589E" w:rsidRPr="00F6046E" w:rsidRDefault="00F3582E" w:rsidP="00441B6F">
      <w:pPr>
        <w:pStyle w:val="AcknHead"/>
        <w:spacing w:after="0"/>
        <w:jc w:val="both"/>
        <w:rPr>
          <w:rFonts w:ascii="Arial" w:hAnsi="Arial" w:cs="Arial"/>
          <w:b w:val="0"/>
          <w:caps w:val="0"/>
          <w:sz w:val="20"/>
        </w:rPr>
      </w:pPr>
      <w:r w:rsidRPr="00F6046E">
        <w:rPr>
          <w:rFonts w:ascii="Arial" w:hAnsi="Arial" w:cs="Arial"/>
          <w:b w:val="0"/>
          <w:caps w:val="0"/>
          <w:sz w:val="20"/>
        </w:rPr>
        <w:t xml:space="preserve">Niger seed oil shows strong potential as a natural emulsifier due to its high linoleic acid content (55-65%) and antioxidant properties, offering comparable functionality to synthetic options while being hypoallergenic and gut-friendly. Its ability to form stable </w:t>
      </w:r>
      <w:r w:rsidR="0040589E" w:rsidRPr="00F6046E">
        <w:rPr>
          <w:rFonts w:ascii="Arial" w:hAnsi="Arial" w:cs="Arial"/>
          <w:b w:val="0"/>
          <w:caps w:val="0"/>
          <w:sz w:val="20"/>
        </w:rPr>
        <w:t>Nano emulsions</w:t>
      </w:r>
      <w:r w:rsidRPr="00F6046E">
        <w:rPr>
          <w:rFonts w:ascii="Arial" w:hAnsi="Arial" w:cs="Arial"/>
          <w:b w:val="0"/>
          <w:caps w:val="0"/>
          <w:sz w:val="20"/>
        </w:rPr>
        <w:t xml:space="preserve"> makes it suitable for diverse food applications, though its lower phospholipid content (1.5-3%) requires optimization. Challenges include scaling production and improving cost-effectiveness for broader commercial use. </w:t>
      </w:r>
      <w:r w:rsidRPr="00F6046E">
        <w:rPr>
          <w:rFonts w:ascii="Arial" w:hAnsi="Arial" w:cs="Arial"/>
          <w:b w:val="0"/>
          <w:caps w:val="0"/>
          <w:sz w:val="20"/>
        </w:rPr>
        <w:lastRenderedPageBreak/>
        <w:t>With further research on enzymatic enhancement and clinical validation, Niger seed oil could become a sustainable, clean-label alternative to conventional emulsifiers.</w:t>
      </w:r>
    </w:p>
    <w:p w14:paraId="3133F6B9" w14:textId="77777777" w:rsidR="0040589E" w:rsidRPr="00F6046E" w:rsidRDefault="0040589E" w:rsidP="00441B6F">
      <w:pPr>
        <w:pStyle w:val="AcknHead"/>
        <w:spacing w:after="0"/>
        <w:jc w:val="both"/>
        <w:rPr>
          <w:rFonts w:ascii="Arial" w:hAnsi="Arial" w:cs="Arial"/>
        </w:rPr>
      </w:pPr>
    </w:p>
    <w:p w14:paraId="5276B3BC" w14:textId="1E1574C5" w:rsidR="001A29D8" w:rsidRDefault="001A29D8" w:rsidP="00441B6F">
      <w:pPr>
        <w:pStyle w:val="ReferHead"/>
        <w:spacing w:after="0"/>
        <w:jc w:val="both"/>
        <w:rPr>
          <w:rFonts w:ascii="Arial" w:hAnsi="Arial" w:cs="Arial"/>
          <w:b w:val="0"/>
          <w:caps w:val="0"/>
          <w:sz w:val="20"/>
        </w:rPr>
      </w:pPr>
      <w:bookmarkStart w:id="1" w:name="_GoBack"/>
      <w:bookmarkEnd w:id="1"/>
    </w:p>
    <w:p w14:paraId="382D5DF1" w14:textId="3F79BF1E" w:rsidR="00A93E50" w:rsidRDefault="00A93E50" w:rsidP="00441B6F">
      <w:pPr>
        <w:pStyle w:val="ReferHead"/>
        <w:spacing w:after="0"/>
        <w:jc w:val="both"/>
        <w:rPr>
          <w:rFonts w:ascii="Arial" w:hAnsi="Arial" w:cs="Arial"/>
          <w:b w:val="0"/>
          <w:caps w:val="0"/>
          <w:sz w:val="20"/>
        </w:rPr>
      </w:pPr>
    </w:p>
    <w:p w14:paraId="3CA5B033" w14:textId="3B656740" w:rsidR="00A93E50" w:rsidRDefault="00A93E50" w:rsidP="00441B6F">
      <w:pPr>
        <w:pStyle w:val="ReferHead"/>
        <w:spacing w:after="0"/>
        <w:jc w:val="both"/>
        <w:rPr>
          <w:rFonts w:ascii="Arial" w:hAnsi="Arial" w:cs="Arial"/>
          <w:b w:val="0"/>
          <w:caps w:val="0"/>
          <w:sz w:val="20"/>
        </w:rPr>
      </w:pPr>
    </w:p>
    <w:p w14:paraId="149C82CC" w14:textId="33538314" w:rsidR="004353C0" w:rsidRPr="00F6046E" w:rsidRDefault="00B01FCD" w:rsidP="00A32261">
      <w:pPr>
        <w:pStyle w:val="ReferHead"/>
        <w:spacing w:after="0"/>
        <w:jc w:val="both"/>
        <w:rPr>
          <w:rFonts w:ascii="Arial" w:hAnsi="Arial" w:cs="Arial"/>
        </w:rPr>
      </w:pPr>
      <w:r w:rsidRPr="00F6046E">
        <w:rPr>
          <w:rFonts w:ascii="Arial" w:hAnsi="Arial" w:cs="Arial"/>
        </w:rPr>
        <w:t>References</w:t>
      </w:r>
    </w:p>
    <w:p w14:paraId="63F69232" w14:textId="77777777" w:rsidR="00240996" w:rsidRPr="00F6046E" w:rsidRDefault="00240996" w:rsidP="00F21DC3">
      <w:pPr>
        <w:rPr>
          <w:rFonts w:ascii="Arial" w:hAnsi="Arial" w:cs="Arial"/>
        </w:rPr>
      </w:pPr>
    </w:p>
    <w:p w14:paraId="055369F3" w14:textId="77777777" w:rsidR="00240996" w:rsidRPr="00F6046E" w:rsidRDefault="00240996" w:rsidP="00F21DC3">
      <w:pPr>
        <w:rPr>
          <w:rFonts w:ascii="Arial" w:hAnsi="Arial" w:cs="Arial"/>
        </w:rPr>
      </w:pPr>
    </w:p>
    <w:p w14:paraId="6C144453" w14:textId="3FF8D9FD" w:rsidR="00240996" w:rsidRDefault="00240996" w:rsidP="00022992">
      <w:pPr>
        <w:rPr>
          <w:rFonts w:ascii="Arial" w:hAnsi="Arial" w:cs="Arial"/>
        </w:rPr>
      </w:pPr>
      <w:proofErr w:type="spellStart"/>
      <w:r w:rsidRPr="00F6046E">
        <w:rPr>
          <w:rFonts w:ascii="Arial" w:hAnsi="Arial" w:cs="Arial"/>
        </w:rPr>
        <w:t>Akoh</w:t>
      </w:r>
      <w:proofErr w:type="spellEnd"/>
      <w:r w:rsidRPr="00F6046E">
        <w:rPr>
          <w:rFonts w:ascii="Arial" w:hAnsi="Arial" w:cs="Arial"/>
        </w:rPr>
        <w:t>, C. C., &amp; Kim, B. H. (2023). Lipid-based emulsifiers: Structure-function relationships in food systems. Academic Press.</w:t>
      </w:r>
    </w:p>
    <w:p w14:paraId="48CFA4AA" w14:textId="77777777" w:rsidR="00240996" w:rsidRPr="00F6046E" w:rsidRDefault="00240996" w:rsidP="00022992">
      <w:pPr>
        <w:rPr>
          <w:rFonts w:ascii="Arial" w:hAnsi="Arial" w:cs="Arial"/>
        </w:rPr>
      </w:pPr>
    </w:p>
    <w:p w14:paraId="608E1511" w14:textId="4E2267BF" w:rsidR="00240996" w:rsidRDefault="00240996" w:rsidP="00022992">
      <w:pPr>
        <w:rPr>
          <w:rFonts w:ascii="Arial" w:hAnsi="Arial" w:cs="Arial"/>
        </w:rPr>
      </w:pPr>
      <w:proofErr w:type="spellStart"/>
      <w:r w:rsidRPr="00F6046E">
        <w:rPr>
          <w:rFonts w:ascii="Arial" w:hAnsi="Arial" w:cs="Arial"/>
        </w:rPr>
        <w:t>Berton-Carabin</w:t>
      </w:r>
      <w:proofErr w:type="spellEnd"/>
      <w:r w:rsidRPr="00F6046E">
        <w:rPr>
          <w:rFonts w:ascii="Arial" w:hAnsi="Arial" w:cs="Arial"/>
        </w:rPr>
        <w:t xml:space="preserve">, C. C., &amp; </w:t>
      </w:r>
      <w:proofErr w:type="spellStart"/>
      <w:r w:rsidRPr="00F6046E">
        <w:rPr>
          <w:rFonts w:ascii="Arial" w:hAnsi="Arial" w:cs="Arial"/>
        </w:rPr>
        <w:t>Schroën</w:t>
      </w:r>
      <w:proofErr w:type="spellEnd"/>
      <w:r w:rsidRPr="00F6046E">
        <w:rPr>
          <w:rFonts w:ascii="Arial" w:hAnsi="Arial" w:cs="Arial"/>
        </w:rPr>
        <w:t xml:space="preserve">, K. (2023). Lipid oxidation in emulsions: New insights from analytical techniques. </w:t>
      </w:r>
      <w:proofErr w:type="spellStart"/>
      <w:r w:rsidRPr="00F6046E">
        <w:rPr>
          <w:rFonts w:ascii="Arial" w:hAnsi="Arial" w:cs="Arial"/>
        </w:rPr>
        <w:t>Annu</w:t>
      </w:r>
      <w:proofErr w:type="spellEnd"/>
      <w:r w:rsidRPr="00F6046E">
        <w:rPr>
          <w:rFonts w:ascii="Arial" w:hAnsi="Arial" w:cs="Arial"/>
        </w:rPr>
        <w:t xml:space="preserve"> Rev Food Sci Technol, 14, 85-108. </w:t>
      </w:r>
    </w:p>
    <w:p w14:paraId="18F2D6AB" w14:textId="77777777" w:rsidR="00240996" w:rsidRPr="00F6046E" w:rsidRDefault="00240996" w:rsidP="00022992">
      <w:pPr>
        <w:rPr>
          <w:rFonts w:ascii="Arial" w:hAnsi="Arial" w:cs="Arial"/>
        </w:rPr>
      </w:pPr>
    </w:p>
    <w:p w14:paraId="45CB2330" w14:textId="13E8E936" w:rsidR="00240996" w:rsidRDefault="00240996" w:rsidP="00F21DC3">
      <w:pPr>
        <w:rPr>
          <w:rFonts w:ascii="Arial" w:hAnsi="Arial" w:cs="Arial"/>
        </w:rPr>
      </w:pPr>
      <w:r w:rsidRPr="00F6046E">
        <w:rPr>
          <w:rFonts w:ascii="Arial" w:hAnsi="Arial" w:cs="Arial"/>
        </w:rPr>
        <w:t xml:space="preserve">Bisht A., </w:t>
      </w:r>
      <w:proofErr w:type="spellStart"/>
      <w:r w:rsidRPr="00F6046E">
        <w:rPr>
          <w:rFonts w:ascii="Arial" w:hAnsi="Arial" w:cs="Arial"/>
        </w:rPr>
        <w:t>Sahu</w:t>
      </w:r>
      <w:proofErr w:type="spellEnd"/>
      <w:r w:rsidRPr="00F6046E">
        <w:rPr>
          <w:rFonts w:ascii="Arial" w:hAnsi="Arial" w:cs="Arial"/>
        </w:rPr>
        <w:t xml:space="preserve"> S.C., Kumar A., Maqsood S., </w:t>
      </w:r>
      <w:proofErr w:type="spellStart"/>
      <w:r w:rsidRPr="00F6046E">
        <w:rPr>
          <w:rFonts w:ascii="Arial" w:hAnsi="Arial" w:cs="Arial"/>
        </w:rPr>
        <w:t>Barwant</w:t>
      </w:r>
      <w:proofErr w:type="spellEnd"/>
      <w:r w:rsidRPr="00F6046E">
        <w:rPr>
          <w:rFonts w:ascii="Arial" w:hAnsi="Arial" w:cs="Arial"/>
        </w:rPr>
        <w:t xml:space="preserve"> M. M., Jaiswal S. G. (2025</w:t>
      </w:r>
      <w:proofErr w:type="gramStart"/>
      <w:r w:rsidRPr="00F6046E">
        <w:rPr>
          <w:rFonts w:ascii="Arial" w:hAnsi="Arial" w:cs="Arial"/>
        </w:rPr>
        <w:t>).Recent</w:t>
      </w:r>
      <w:proofErr w:type="gramEnd"/>
      <w:r w:rsidRPr="00F6046E">
        <w:rPr>
          <w:rFonts w:ascii="Arial" w:hAnsi="Arial" w:cs="Arial"/>
        </w:rPr>
        <w:t xml:space="preserve"> advances in conventional and innovative extraction techniques for recovery of high-added value compounds for food additives and nutraceuticals. Food Physics, 2, 10047 </w:t>
      </w:r>
      <w:hyperlink r:id="rId14" w:history="1">
        <w:r w:rsidRPr="00850968">
          <w:rPr>
            <w:rStyle w:val="Hyperlink"/>
            <w:rFonts w:ascii="Arial" w:hAnsi="Arial" w:cs="Arial"/>
          </w:rPr>
          <w:t>https://doi.org/10.1016/j.foodp.2025.100047</w:t>
        </w:r>
      </w:hyperlink>
      <w:r>
        <w:rPr>
          <w:rFonts w:ascii="Arial" w:hAnsi="Arial" w:cs="Arial"/>
        </w:rPr>
        <w:t xml:space="preserve"> </w:t>
      </w:r>
    </w:p>
    <w:p w14:paraId="69476C6B" w14:textId="77777777" w:rsidR="00240996" w:rsidRPr="00F6046E" w:rsidRDefault="00240996" w:rsidP="00F21DC3">
      <w:pPr>
        <w:rPr>
          <w:rFonts w:ascii="Arial" w:hAnsi="Arial" w:cs="Arial"/>
        </w:rPr>
      </w:pPr>
    </w:p>
    <w:p w14:paraId="1D11C580" w14:textId="300957E1" w:rsidR="00240996" w:rsidRDefault="00240996" w:rsidP="00F21DC3">
      <w:pPr>
        <w:rPr>
          <w:rFonts w:ascii="Arial" w:hAnsi="Arial" w:cs="Arial"/>
        </w:rPr>
      </w:pPr>
      <w:r w:rsidRPr="00F6046E">
        <w:rPr>
          <w:rFonts w:ascii="Arial" w:hAnsi="Arial" w:cs="Arial"/>
        </w:rPr>
        <w:t>Boyd, B. J., Khoo, S. M., Whittaker, D. V., Davey, G., &amp; Porter, C. J. H. (2019). Lipid-based drug delivery systems for enhancing the bioavailability of poorly water-soluble drugs. Journal of Pharmaceutical Sciences, 108(5), 2876–2889.</w:t>
      </w:r>
    </w:p>
    <w:p w14:paraId="717D1AF7" w14:textId="77777777" w:rsidR="00240996" w:rsidRPr="00F6046E" w:rsidRDefault="00240996" w:rsidP="00F21DC3">
      <w:pPr>
        <w:rPr>
          <w:rFonts w:ascii="Arial" w:hAnsi="Arial" w:cs="Arial"/>
        </w:rPr>
      </w:pPr>
    </w:p>
    <w:p w14:paraId="4DD289E7" w14:textId="190942A6" w:rsidR="00240996" w:rsidRDefault="00240996" w:rsidP="00022992">
      <w:pPr>
        <w:rPr>
          <w:rFonts w:ascii="Arial" w:hAnsi="Arial" w:cs="Arial"/>
        </w:rPr>
      </w:pPr>
      <w:proofErr w:type="spellStart"/>
      <w:r w:rsidRPr="00F6046E">
        <w:rPr>
          <w:rFonts w:ascii="Arial" w:hAnsi="Arial" w:cs="Arial"/>
        </w:rPr>
        <w:t>Chassaing</w:t>
      </w:r>
      <w:proofErr w:type="spellEnd"/>
      <w:r w:rsidRPr="00F6046E">
        <w:rPr>
          <w:rFonts w:ascii="Arial" w:hAnsi="Arial" w:cs="Arial"/>
        </w:rPr>
        <w:t xml:space="preserve">, B., </w:t>
      </w:r>
      <w:proofErr w:type="spellStart"/>
      <w:r w:rsidRPr="00F6046E">
        <w:rPr>
          <w:rFonts w:ascii="Arial" w:hAnsi="Arial" w:cs="Arial"/>
        </w:rPr>
        <w:t>Koren</w:t>
      </w:r>
      <w:proofErr w:type="spellEnd"/>
      <w:r w:rsidRPr="00F6046E">
        <w:rPr>
          <w:rFonts w:ascii="Arial" w:hAnsi="Arial" w:cs="Arial"/>
        </w:rPr>
        <w:t xml:space="preserve">, O., Goodrich, J. K., Poole, A. C., Srinivasan, S., Ley, R. E., &amp; Gewirtz, A. T. (2015). Dietary emulsifiers impact the mouse gut microbiota promoting colitis and metabolic syndrome. Nature, 519(7541), 92-96. </w:t>
      </w:r>
      <w:hyperlink r:id="rId15" w:history="1">
        <w:r w:rsidRPr="00F6046E">
          <w:rPr>
            <w:rStyle w:val="Hyperlink"/>
            <w:rFonts w:ascii="Arial" w:hAnsi="Arial" w:cs="Arial"/>
          </w:rPr>
          <w:t>https://doi.org/10.1038/nature14232</w:t>
        </w:r>
      </w:hyperlink>
    </w:p>
    <w:p w14:paraId="134E89D0" w14:textId="77777777" w:rsidR="00240996" w:rsidRPr="00F6046E" w:rsidRDefault="00240996" w:rsidP="00022992">
      <w:pPr>
        <w:rPr>
          <w:rFonts w:ascii="Arial" w:hAnsi="Arial" w:cs="Arial"/>
        </w:rPr>
      </w:pPr>
    </w:p>
    <w:p w14:paraId="21014AEC" w14:textId="77777777" w:rsidR="00240996" w:rsidRPr="00F6046E" w:rsidRDefault="00240996" w:rsidP="00B74425">
      <w:pPr>
        <w:pStyle w:val="Body"/>
        <w:rPr>
          <w:rFonts w:ascii="Arial" w:hAnsi="Arial" w:cs="Arial"/>
        </w:rPr>
      </w:pPr>
      <w:r w:rsidRPr="00F6046E">
        <w:rPr>
          <w:rFonts w:ascii="Arial" w:hAnsi="Arial" w:cs="Arial"/>
        </w:rPr>
        <w:t>Codex Alimentarius (2021). International food standards (INS 471–495: Emulsifiers). FAO/WHO.</w:t>
      </w:r>
    </w:p>
    <w:p w14:paraId="49A3F7B5" w14:textId="26689E7D" w:rsidR="00240996" w:rsidRDefault="00240996" w:rsidP="00022992">
      <w:pPr>
        <w:rPr>
          <w:rFonts w:ascii="Arial" w:hAnsi="Arial" w:cs="Arial"/>
        </w:rPr>
      </w:pPr>
      <w:proofErr w:type="spellStart"/>
      <w:r w:rsidRPr="00F6046E">
        <w:rPr>
          <w:rFonts w:ascii="Arial" w:hAnsi="Arial" w:cs="Arial"/>
        </w:rPr>
        <w:t>Daba</w:t>
      </w:r>
      <w:proofErr w:type="spellEnd"/>
      <w:r w:rsidRPr="00F6046E">
        <w:rPr>
          <w:rFonts w:ascii="Arial" w:hAnsi="Arial" w:cs="Arial"/>
        </w:rPr>
        <w:t>, M., &amp; Tola, Y. B. (2023). Oxidative stability and stabilization approaches for Niger seed oil. Food Chem Adv, 2, 100198</w:t>
      </w:r>
    </w:p>
    <w:p w14:paraId="1694E78C" w14:textId="77777777" w:rsidR="00240996" w:rsidRPr="00F6046E" w:rsidRDefault="00240996" w:rsidP="00022992">
      <w:pPr>
        <w:rPr>
          <w:rFonts w:ascii="Arial" w:hAnsi="Arial" w:cs="Arial"/>
        </w:rPr>
      </w:pPr>
    </w:p>
    <w:p w14:paraId="3262A888" w14:textId="1D8CFD64" w:rsidR="00240996" w:rsidRDefault="00240996" w:rsidP="00441B6F">
      <w:pPr>
        <w:pStyle w:val="Body"/>
        <w:spacing w:after="0"/>
        <w:rPr>
          <w:rFonts w:ascii="Arial" w:hAnsi="Arial" w:cs="Arial"/>
        </w:rPr>
      </w:pPr>
      <w:proofErr w:type="spellStart"/>
      <w:r w:rsidRPr="00F6046E">
        <w:rPr>
          <w:rFonts w:ascii="Arial" w:hAnsi="Arial" w:cs="Arial"/>
        </w:rPr>
        <w:t>Dastagiri</w:t>
      </w:r>
      <w:proofErr w:type="spellEnd"/>
      <w:r w:rsidRPr="00F6046E">
        <w:rPr>
          <w:rFonts w:ascii="Arial" w:hAnsi="Arial" w:cs="Arial"/>
        </w:rPr>
        <w:t xml:space="preserve">, M. B., &amp; </w:t>
      </w:r>
      <w:proofErr w:type="spellStart"/>
      <w:r w:rsidRPr="00F6046E">
        <w:rPr>
          <w:rFonts w:ascii="Arial" w:hAnsi="Arial" w:cs="Arial"/>
        </w:rPr>
        <w:t>Jainuddin</w:t>
      </w:r>
      <w:proofErr w:type="spellEnd"/>
      <w:r w:rsidRPr="00F6046E">
        <w:rPr>
          <w:rFonts w:ascii="Arial" w:hAnsi="Arial" w:cs="Arial"/>
        </w:rPr>
        <w:t>, S. M. (2017). International trading prices of India’s oilseed crops: Growth rates, elasticity’s and foreign trade policy.      DO</w:t>
      </w:r>
      <w:r w:rsidRPr="00F6046E">
        <w:rPr>
          <w:rFonts w:ascii="Arial" w:hAnsi="Arial" w:cs="Arial"/>
          <w:color w:val="555555"/>
          <w:sz w:val="21"/>
          <w:szCs w:val="21"/>
          <w:shd w:val="clear" w:color="auto" w:fill="FFFFFF"/>
        </w:rPr>
        <w:t>I:</w:t>
      </w:r>
      <w:hyperlink r:id="rId16" w:tgtFrame="_blank" w:history="1">
        <w:r w:rsidRPr="00F6046E">
          <w:rPr>
            <w:rStyle w:val="Hyperlink"/>
            <w:rFonts w:ascii="Arial" w:hAnsi="Arial" w:cs="Arial"/>
            <w:sz w:val="21"/>
            <w:szCs w:val="21"/>
            <w:bdr w:val="none" w:sz="0" w:space="0" w:color="auto" w:frame="1"/>
            <w:shd w:val="clear" w:color="auto" w:fill="FFFFFF"/>
          </w:rPr>
          <w:t>10.19044/</w:t>
        </w:r>
        <w:proofErr w:type="gramStart"/>
        <w:r w:rsidRPr="00F6046E">
          <w:rPr>
            <w:rStyle w:val="Hyperlink"/>
            <w:rFonts w:ascii="Arial" w:hAnsi="Arial" w:cs="Arial"/>
            <w:sz w:val="21"/>
            <w:szCs w:val="21"/>
            <w:bdr w:val="none" w:sz="0" w:space="0" w:color="auto" w:frame="1"/>
            <w:shd w:val="clear" w:color="auto" w:fill="FFFFFF"/>
          </w:rPr>
          <w:t>esj.2017.v</w:t>
        </w:r>
        <w:proofErr w:type="gramEnd"/>
        <w:r w:rsidRPr="00F6046E">
          <w:rPr>
            <w:rStyle w:val="Hyperlink"/>
            <w:rFonts w:ascii="Arial" w:hAnsi="Arial" w:cs="Arial"/>
            <w:sz w:val="21"/>
            <w:szCs w:val="21"/>
            <w:bdr w:val="none" w:sz="0" w:space="0" w:color="auto" w:frame="1"/>
            <w:shd w:val="clear" w:color="auto" w:fill="FFFFFF"/>
          </w:rPr>
          <w:t>13n31p185</w:t>
        </w:r>
      </w:hyperlink>
    </w:p>
    <w:p w14:paraId="44E1B341" w14:textId="77777777" w:rsidR="00240996" w:rsidRPr="00F6046E" w:rsidRDefault="00240996" w:rsidP="00441B6F">
      <w:pPr>
        <w:pStyle w:val="Body"/>
        <w:spacing w:after="0"/>
        <w:rPr>
          <w:rFonts w:ascii="Arial" w:hAnsi="Arial" w:cs="Arial"/>
        </w:rPr>
      </w:pPr>
    </w:p>
    <w:p w14:paraId="05A78C53" w14:textId="4E61D1CB" w:rsidR="00865E1C" w:rsidRPr="00865E1C" w:rsidRDefault="00240996" w:rsidP="00865E1C">
      <w:pPr>
        <w:pStyle w:val="Heading1"/>
        <w:spacing w:before="0" w:after="0"/>
        <w:rPr>
          <w:rFonts w:ascii="Times New Roman" w:hAnsi="Times New Roman"/>
          <w:b w:val="0"/>
          <w:color w:val="1F1F1F"/>
          <w:sz w:val="20"/>
        </w:rPr>
      </w:pPr>
      <w:r w:rsidRPr="00865E1C">
        <w:rPr>
          <w:rFonts w:cs="Arial"/>
          <w:b w:val="0"/>
          <w:sz w:val="20"/>
        </w:rPr>
        <w:t>Dickinson, E. (2019</w:t>
      </w:r>
      <w:r w:rsidR="00865E1C" w:rsidRPr="00865E1C">
        <w:rPr>
          <w:b w:val="0"/>
          <w:color w:val="1F1F1F"/>
          <w:sz w:val="20"/>
        </w:rPr>
        <w:t xml:space="preserve"> </w:t>
      </w:r>
      <w:r w:rsidR="00865E1C" w:rsidRPr="00865E1C">
        <w:rPr>
          <w:rStyle w:val="title-text"/>
          <w:b w:val="0"/>
          <w:color w:val="1F1F1F"/>
          <w:sz w:val="20"/>
        </w:rPr>
        <w:t>Emulsion gels: The structuring of soft solids with protein-stabilized oil droplets</w:t>
      </w:r>
      <w:r w:rsidR="00865E1C" w:rsidRPr="00865E1C">
        <w:t xml:space="preserve"> </w:t>
      </w:r>
      <w:r w:rsidR="00865E1C">
        <w:t xml:space="preserve"> </w:t>
      </w:r>
      <w:hyperlink r:id="rId17" w:history="1">
        <w:r w:rsidR="00865E1C" w:rsidRPr="00850968">
          <w:rPr>
            <w:rStyle w:val="Hyperlink"/>
            <w:b w:val="0"/>
            <w:sz w:val="20"/>
          </w:rPr>
          <w:t>https://doi.org/10.1016/j.foodhyd.2011.12.017</w:t>
        </w:r>
      </w:hyperlink>
      <w:r w:rsidR="00865E1C">
        <w:rPr>
          <w:rStyle w:val="title-text"/>
          <w:b w:val="0"/>
          <w:color w:val="1F1F1F"/>
          <w:sz w:val="20"/>
        </w:rPr>
        <w:t xml:space="preserve"> </w:t>
      </w:r>
    </w:p>
    <w:p w14:paraId="086C2EAB" w14:textId="098D1D3E" w:rsidR="00240996" w:rsidRPr="00865E1C" w:rsidRDefault="00240996" w:rsidP="00022992">
      <w:pPr>
        <w:rPr>
          <w:rFonts w:ascii="Arial" w:hAnsi="Arial" w:cs="Arial"/>
        </w:rPr>
      </w:pPr>
    </w:p>
    <w:p w14:paraId="6C6883C1" w14:textId="77777777" w:rsidR="00865E1C" w:rsidRPr="00F6046E" w:rsidRDefault="00865E1C" w:rsidP="00022992">
      <w:pPr>
        <w:rPr>
          <w:rFonts w:ascii="Arial" w:hAnsi="Arial" w:cs="Arial"/>
          <w:szCs w:val="24"/>
        </w:rPr>
      </w:pPr>
    </w:p>
    <w:p w14:paraId="594064E3" w14:textId="06181D08" w:rsidR="00865E1C" w:rsidRPr="00865E1C" w:rsidRDefault="00240996" w:rsidP="00865E1C">
      <w:pPr>
        <w:pStyle w:val="Heading1"/>
        <w:spacing w:before="0" w:after="0"/>
        <w:rPr>
          <w:rFonts w:ascii="Times New Roman" w:hAnsi="Times New Roman"/>
          <w:b w:val="0"/>
          <w:color w:val="1F1F1F"/>
          <w:sz w:val="20"/>
        </w:rPr>
      </w:pPr>
      <w:r w:rsidRPr="00865E1C">
        <w:rPr>
          <w:rFonts w:cs="Arial"/>
          <w:b w:val="0"/>
          <w:sz w:val="20"/>
        </w:rPr>
        <w:t>Dickinson, E. (20</w:t>
      </w:r>
      <w:r w:rsidR="00865E1C">
        <w:rPr>
          <w:rFonts w:cs="Arial"/>
          <w:b w:val="0"/>
          <w:sz w:val="20"/>
        </w:rPr>
        <w:t>20</w:t>
      </w:r>
      <w:r w:rsidRPr="00865E1C">
        <w:rPr>
          <w:rFonts w:cs="Arial"/>
          <w:b w:val="0"/>
          <w:sz w:val="20"/>
        </w:rPr>
        <w:t xml:space="preserve">). </w:t>
      </w:r>
      <w:r w:rsidR="00865E1C" w:rsidRPr="00865E1C">
        <w:rPr>
          <w:rStyle w:val="title-text"/>
          <w:b w:val="0"/>
          <w:color w:val="1F1F1F"/>
          <w:sz w:val="20"/>
        </w:rPr>
        <w:t>Advances in food emulsions and foams: reflections on research in the neo-Pickering era</w:t>
      </w:r>
    </w:p>
    <w:p w14:paraId="1FC7F7D3" w14:textId="2D4E505E" w:rsidR="00240996" w:rsidRDefault="00240996" w:rsidP="00F21DC3">
      <w:pPr>
        <w:rPr>
          <w:rFonts w:ascii="Arial" w:hAnsi="Arial" w:cs="Arial"/>
        </w:rPr>
      </w:pPr>
      <w:r w:rsidRPr="00F6046E">
        <w:rPr>
          <w:rFonts w:ascii="Arial" w:hAnsi="Arial" w:cs="Arial"/>
        </w:rPr>
        <w:t xml:space="preserve">, 42, 1–9. </w:t>
      </w:r>
      <w:hyperlink r:id="rId18" w:history="1">
        <w:r w:rsidR="00865E1C" w:rsidRPr="00850968">
          <w:rPr>
            <w:rStyle w:val="Hyperlink"/>
            <w:rFonts w:ascii="Arial" w:hAnsi="Arial" w:cs="Arial"/>
          </w:rPr>
          <w:t>https://doi.org/10.1016/j.cofs.2019.12.009</w:t>
        </w:r>
      </w:hyperlink>
      <w:r w:rsidR="00865E1C">
        <w:rPr>
          <w:rFonts w:ascii="Arial" w:hAnsi="Arial" w:cs="Arial"/>
        </w:rPr>
        <w:t xml:space="preserve"> </w:t>
      </w:r>
    </w:p>
    <w:p w14:paraId="39AF531C" w14:textId="77777777" w:rsidR="00240996" w:rsidRPr="00F6046E" w:rsidRDefault="00240996" w:rsidP="00F21DC3">
      <w:pPr>
        <w:rPr>
          <w:rFonts w:ascii="Arial" w:hAnsi="Arial" w:cs="Arial"/>
        </w:rPr>
      </w:pPr>
    </w:p>
    <w:p w14:paraId="557B11EC" w14:textId="77777777" w:rsidR="00240996" w:rsidRPr="00F6046E" w:rsidRDefault="00240996" w:rsidP="00B74425">
      <w:pPr>
        <w:pStyle w:val="Body"/>
        <w:rPr>
          <w:rFonts w:ascii="Arial" w:hAnsi="Arial" w:cs="Arial"/>
        </w:rPr>
      </w:pPr>
      <w:r w:rsidRPr="00F6046E">
        <w:rPr>
          <w:rFonts w:ascii="Arial" w:hAnsi="Arial" w:cs="Arial"/>
        </w:rPr>
        <w:t>European Food Safety Authority (EFSA) (2023). *Re-evaluation of carrageenan (E 407) in infant formula*. EFSA Journal, 21(1), 1–45.</w:t>
      </w:r>
    </w:p>
    <w:p w14:paraId="6D6B7461" w14:textId="1CB05146" w:rsidR="00240996" w:rsidRDefault="00240996" w:rsidP="00441B6F">
      <w:pPr>
        <w:pStyle w:val="Appendix"/>
        <w:spacing w:after="0"/>
        <w:jc w:val="both"/>
        <w:rPr>
          <w:rStyle w:val="Hyperlink"/>
          <w:rFonts w:ascii="Arial" w:hAnsi="Arial" w:cs="Arial"/>
          <w:b w:val="0"/>
          <w:sz w:val="20"/>
        </w:rPr>
      </w:pPr>
      <w:proofErr w:type="spellStart"/>
      <w:r w:rsidRPr="00F6046E">
        <w:rPr>
          <w:rFonts w:ascii="Arial" w:hAnsi="Arial" w:cs="Arial"/>
          <w:b w:val="0"/>
          <w:caps w:val="0"/>
          <w:sz w:val="20"/>
        </w:rPr>
        <w:t>Feltes</w:t>
      </w:r>
      <w:proofErr w:type="spellEnd"/>
      <w:r w:rsidRPr="00F6046E">
        <w:rPr>
          <w:rFonts w:ascii="Arial" w:hAnsi="Arial" w:cs="Arial"/>
          <w:b w:val="0"/>
          <w:caps w:val="0"/>
          <w:sz w:val="20"/>
        </w:rPr>
        <w:t xml:space="preserve">, m. M. C., de </w:t>
      </w:r>
      <w:proofErr w:type="spellStart"/>
      <w:r w:rsidRPr="00F6046E">
        <w:rPr>
          <w:rFonts w:ascii="Arial" w:hAnsi="Arial" w:cs="Arial"/>
          <w:b w:val="0"/>
          <w:caps w:val="0"/>
          <w:sz w:val="20"/>
        </w:rPr>
        <w:t>oliveira</w:t>
      </w:r>
      <w:proofErr w:type="spellEnd"/>
      <w:r w:rsidRPr="00F6046E">
        <w:rPr>
          <w:rFonts w:ascii="Arial" w:hAnsi="Arial" w:cs="Arial"/>
          <w:b w:val="0"/>
          <w:caps w:val="0"/>
          <w:sz w:val="20"/>
        </w:rPr>
        <w:t xml:space="preserve">, d., &amp; block, j. M. (2023). Industrial scale production of monoglycerides: current status and future perspectives. Journal of the </w:t>
      </w:r>
      <w:proofErr w:type="spellStart"/>
      <w:r w:rsidRPr="00F6046E">
        <w:rPr>
          <w:rFonts w:ascii="Arial" w:hAnsi="Arial" w:cs="Arial"/>
          <w:b w:val="0"/>
          <w:caps w:val="0"/>
          <w:sz w:val="20"/>
        </w:rPr>
        <w:t>american</w:t>
      </w:r>
      <w:proofErr w:type="spellEnd"/>
      <w:r w:rsidRPr="00F6046E">
        <w:rPr>
          <w:rFonts w:ascii="Arial" w:hAnsi="Arial" w:cs="Arial"/>
          <w:b w:val="0"/>
          <w:caps w:val="0"/>
          <w:sz w:val="20"/>
        </w:rPr>
        <w:t xml:space="preserve"> oil chemists' society, </w:t>
      </w:r>
      <w:r w:rsidRPr="00F6046E">
        <w:rPr>
          <w:rFonts w:ascii="Arial" w:hAnsi="Arial" w:cs="Arial"/>
          <w:b w:val="0"/>
          <w:sz w:val="20"/>
        </w:rPr>
        <w:t xml:space="preserve">100(2), 89-104. </w:t>
      </w:r>
      <w:hyperlink r:id="rId19" w:history="1">
        <w:r w:rsidRPr="00F6046E">
          <w:rPr>
            <w:rStyle w:val="Hyperlink"/>
            <w:rFonts w:ascii="Arial" w:hAnsi="Arial" w:cs="Arial"/>
            <w:b w:val="0"/>
            <w:caps w:val="0"/>
            <w:sz w:val="20"/>
          </w:rPr>
          <w:t>Https://doi.org/10.1002/aocs.12678</w:t>
        </w:r>
      </w:hyperlink>
    </w:p>
    <w:p w14:paraId="332AB835" w14:textId="77777777" w:rsidR="00865E1C" w:rsidRPr="00F6046E" w:rsidRDefault="00865E1C" w:rsidP="00441B6F">
      <w:pPr>
        <w:pStyle w:val="Appendix"/>
        <w:spacing w:after="0"/>
        <w:jc w:val="both"/>
        <w:rPr>
          <w:rStyle w:val="Hyperlink"/>
          <w:rFonts w:ascii="Arial" w:hAnsi="Arial" w:cs="Arial"/>
          <w:b w:val="0"/>
          <w:sz w:val="20"/>
        </w:rPr>
      </w:pPr>
    </w:p>
    <w:p w14:paraId="4E5CB1C9" w14:textId="77777777" w:rsidR="00240996" w:rsidRPr="00F6046E" w:rsidRDefault="00240996" w:rsidP="00B74425">
      <w:pPr>
        <w:pStyle w:val="Body"/>
        <w:rPr>
          <w:rFonts w:ascii="Arial" w:hAnsi="Arial" w:cs="Arial"/>
        </w:rPr>
      </w:pPr>
      <w:r w:rsidRPr="00F6046E">
        <w:rPr>
          <w:rFonts w:ascii="Arial" w:hAnsi="Arial" w:cs="Arial"/>
        </w:rPr>
        <w:t>Food Navigator (2023). European food manufacturers' reformulation trends. Retrieved from [URL].</w:t>
      </w:r>
    </w:p>
    <w:p w14:paraId="551D524C" w14:textId="77777777" w:rsidR="00240996" w:rsidRPr="00F6046E" w:rsidRDefault="00240996" w:rsidP="00B74425">
      <w:pPr>
        <w:pStyle w:val="Body"/>
        <w:rPr>
          <w:rFonts w:ascii="Arial" w:hAnsi="Arial" w:cs="Arial"/>
        </w:rPr>
      </w:pPr>
      <w:r w:rsidRPr="00F6046E">
        <w:rPr>
          <w:rFonts w:ascii="Arial" w:hAnsi="Arial" w:cs="Arial"/>
        </w:rPr>
        <w:t>Food Safety and Standards Authority of India (FSSAI) (2011). Food Safety and Standards Regulations (FSSR).</w:t>
      </w:r>
    </w:p>
    <w:p w14:paraId="60EB0520" w14:textId="77777777" w:rsidR="00240996" w:rsidRPr="00F6046E" w:rsidRDefault="00240996" w:rsidP="00B74425">
      <w:pPr>
        <w:pStyle w:val="Body"/>
        <w:rPr>
          <w:rFonts w:ascii="Arial" w:hAnsi="Arial" w:cs="Arial"/>
        </w:rPr>
      </w:pPr>
      <w:r w:rsidRPr="00F6046E">
        <w:rPr>
          <w:rFonts w:ascii="Arial" w:hAnsi="Arial" w:cs="Arial"/>
        </w:rPr>
        <w:t>FSSAI (2023). Ban on brominated vegetable oil. Notification No. XYZ.</w:t>
      </w:r>
    </w:p>
    <w:p w14:paraId="33307C76" w14:textId="1CD9A2A0" w:rsidR="00240996" w:rsidRDefault="00240996" w:rsidP="00022992">
      <w:pPr>
        <w:rPr>
          <w:rFonts w:ascii="Arial" w:hAnsi="Arial" w:cs="Arial"/>
        </w:rPr>
      </w:pPr>
      <w:proofErr w:type="spellStart"/>
      <w:r w:rsidRPr="00F6046E">
        <w:rPr>
          <w:rFonts w:ascii="Arial" w:hAnsi="Arial" w:cs="Arial"/>
        </w:rPr>
        <w:t>Gebremariam</w:t>
      </w:r>
      <w:proofErr w:type="spellEnd"/>
      <w:r w:rsidRPr="00F6046E">
        <w:rPr>
          <w:rFonts w:ascii="Arial" w:hAnsi="Arial" w:cs="Arial"/>
        </w:rPr>
        <w:t>, M. M., &amp; Mohammed, A. (2023). Niger seed (</w:t>
      </w:r>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xml:space="preserve">) as a functional ingredient: Composition, applications and future perspectives. Trends Food Sci Technol, 131, 24-35. </w:t>
      </w:r>
    </w:p>
    <w:p w14:paraId="64409B61" w14:textId="77777777" w:rsidR="00865E1C" w:rsidRPr="00F6046E" w:rsidRDefault="00865E1C" w:rsidP="00022992">
      <w:pPr>
        <w:rPr>
          <w:rFonts w:ascii="Arial" w:hAnsi="Arial" w:cs="Arial"/>
        </w:rPr>
      </w:pPr>
    </w:p>
    <w:p w14:paraId="259C390C" w14:textId="59865A60" w:rsidR="00865E1C" w:rsidRPr="00F6046E" w:rsidRDefault="00240996" w:rsidP="00F21DC3">
      <w:pPr>
        <w:rPr>
          <w:rFonts w:ascii="Arial" w:hAnsi="Arial" w:cs="Arial"/>
        </w:rPr>
      </w:pPr>
      <w:proofErr w:type="spellStart"/>
      <w:r w:rsidRPr="00F6046E">
        <w:rPr>
          <w:rFonts w:ascii="Arial" w:hAnsi="Arial" w:cs="Arial"/>
        </w:rPr>
        <w:t>Ghasemi</w:t>
      </w:r>
      <w:proofErr w:type="spellEnd"/>
      <w:r w:rsidRPr="00F6046E">
        <w:rPr>
          <w:rFonts w:ascii="Arial" w:hAnsi="Arial" w:cs="Arial"/>
        </w:rPr>
        <w:t xml:space="preserve">, H., Jafari, S. M., </w:t>
      </w:r>
      <w:proofErr w:type="spellStart"/>
      <w:r w:rsidRPr="00F6046E">
        <w:rPr>
          <w:rFonts w:ascii="Arial" w:hAnsi="Arial" w:cs="Arial"/>
        </w:rPr>
        <w:t>Katouzian</w:t>
      </w:r>
      <w:proofErr w:type="spellEnd"/>
      <w:r w:rsidRPr="00F6046E">
        <w:rPr>
          <w:rFonts w:ascii="Arial" w:hAnsi="Arial" w:cs="Arial"/>
        </w:rPr>
        <w:t xml:space="preserve">, I., &amp; </w:t>
      </w:r>
      <w:proofErr w:type="spellStart"/>
      <w:r w:rsidRPr="00F6046E">
        <w:rPr>
          <w:rFonts w:ascii="Arial" w:hAnsi="Arial" w:cs="Arial"/>
        </w:rPr>
        <w:t>Akhavan</w:t>
      </w:r>
      <w:proofErr w:type="spellEnd"/>
      <w:r w:rsidRPr="00F6046E">
        <w:rPr>
          <w:rFonts w:ascii="Arial" w:hAnsi="Arial" w:cs="Arial"/>
        </w:rPr>
        <w:t xml:space="preserve">, S. (2017). Stabilization of multiple emulsions using natural surfactants. </w:t>
      </w:r>
      <w:proofErr w:type="spellStart"/>
      <w:r w:rsidRPr="00F6046E">
        <w:rPr>
          <w:rFonts w:ascii="Arial" w:hAnsi="Arial" w:cs="Arial"/>
        </w:rPr>
        <w:t>arXiv</w:t>
      </w:r>
      <w:proofErr w:type="spellEnd"/>
      <w:r w:rsidRPr="00F6046E">
        <w:rPr>
          <w:rFonts w:ascii="Arial" w:hAnsi="Arial" w:cs="Arial"/>
        </w:rPr>
        <w:t xml:space="preserve">. </w:t>
      </w:r>
      <w:hyperlink r:id="rId20" w:history="1">
        <w:r w:rsidR="00865E1C" w:rsidRPr="00850968">
          <w:rPr>
            <w:rStyle w:val="Hyperlink"/>
            <w:rFonts w:ascii="Arial" w:hAnsi="Arial" w:cs="Arial"/>
          </w:rPr>
          <w:t>https://doi.org/10.48550/arXiv.1705.08296</w:t>
        </w:r>
      </w:hyperlink>
      <w:r w:rsidR="00865E1C">
        <w:rPr>
          <w:rFonts w:ascii="Arial" w:hAnsi="Arial" w:cs="Arial"/>
        </w:rPr>
        <w:t xml:space="preserve"> </w:t>
      </w:r>
    </w:p>
    <w:p w14:paraId="38295BC4" w14:textId="77777777" w:rsidR="00865E1C" w:rsidRPr="00F6046E" w:rsidRDefault="00865E1C" w:rsidP="00022992">
      <w:pPr>
        <w:rPr>
          <w:rFonts w:ascii="Arial" w:hAnsi="Arial" w:cs="Arial"/>
        </w:rPr>
      </w:pPr>
    </w:p>
    <w:p w14:paraId="2F32345F" w14:textId="77777777" w:rsidR="00240996" w:rsidRPr="00F6046E" w:rsidRDefault="00240996" w:rsidP="00F21DC3">
      <w:pPr>
        <w:rPr>
          <w:rFonts w:ascii="Arial" w:hAnsi="Arial" w:cs="Arial"/>
        </w:rPr>
      </w:pPr>
      <w:proofErr w:type="spellStart"/>
      <w:r w:rsidRPr="00F6046E">
        <w:rPr>
          <w:rFonts w:ascii="Arial" w:hAnsi="Arial" w:cs="Arial"/>
        </w:rPr>
        <w:t>Hasenhuettl</w:t>
      </w:r>
      <w:proofErr w:type="spellEnd"/>
      <w:r w:rsidRPr="00F6046E">
        <w:rPr>
          <w:rFonts w:ascii="Arial" w:hAnsi="Arial" w:cs="Arial"/>
        </w:rPr>
        <w:t xml:space="preserve">, G. L., &amp; </w:t>
      </w:r>
      <w:proofErr w:type="spellStart"/>
      <w:r w:rsidRPr="00F6046E">
        <w:rPr>
          <w:rFonts w:ascii="Arial" w:hAnsi="Arial" w:cs="Arial"/>
        </w:rPr>
        <w:t>Hartel</w:t>
      </w:r>
      <w:proofErr w:type="spellEnd"/>
      <w:r w:rsidRPr="00F6046E">
        <w:rPr>
          <w:rFonts w:ascii="Arial" w:hAnsi="Arial" w:cs="Arial"/>
        </w:rPr>
        <w:t>, R. W. (2008). Food emulsifiers and their applications (2nd ed.). Springer.</w:t>
      </w:r>
    </w:p>
    <w:p w14:paraId="340FEDC4" w14:textId="7C8F51F7" w:rsidR="00240996" w:rsidRDefault="00D27267" w:rsidP="00441B6F">
      <w:pPr>
        <w:pStyle w:val="Body"/>
        <w:spacing w:after="0"/>
        <w:rPr>
          <w:rStyle w:val="Hyperlink"/>
          <w:rFonts w:ascii="Arial" w:hAnsi="Arial" w:cs="Arial"/>
        </w:rPr>
      </w:pPr>
      <w:hyperlink r:id="rId21" w:history="1">
        <w:r w:rsidR="00240996" w:rsidRPr="00F6046E">
          <w:rPr>
            <w:rStyle w:val="Hyperlink"/>
            <w:rFonts w:ascii="Arial" w:hAnsi="Arial" w:cs="Arial"/>
          </w:rPr>
          <w:t>http://www.globalizationandhealth.com/content/1/1/14</w:t>
        </w:r>
      </w:hyperlink>
    </w:p>
    <w:p w14:paraId="21486865" w14:textId="77777777" w:rsidR="00865E1C" w:rsidRPr="00F6046E" w:rsidRDefault="00865E1C" w:rsidP="00441B6F">
      <w:pPr>
        <w:pStyle w:val="Body"/>
        <w:spacing w:after="0"/>
        <w:rPr>
          <w:rStyle w:val="Hyperlink"/>
          <w:rFonts w:ascii="Arial" w:hAnsi="Arial" w:cs="Arial"/>
        </w:rPr>
      </w:pPr>
    </w:p>
    <w:p w14:paraId="30049CD0" w14:textId="77777777" w:rsidR="00A34F3A" w:rsidRDefault="00A34F3A" w:rsidP="00B74425">
      <w:pPr>
        <w:pStyle w:val="Body"/>
        <w:rPr>
          <w:rFonts w:ascii="Arial" w:hAnsi="Arial" w:cs="Arial"/>
          <w:color w:val="222222"/>
          <w:shd w:val="clear" w:color="auto" w:fill="FFFFFF"/>
        </w:rPr>
      </w:pPr>
      <w:r>
        <w:rPr>
          <w:rFonts w:ascii="Arial" w:hAnsi="Arial" w:cs="Arial"/>
          <w:color w:val="222222"/>
          <w:shd w:val="clear" w:color="auto" w:fill="FFFFFF"/>
        </w:rPr>
        <w:t>Jaiswal, S. G., Pradhan, S., Patel, M., Naik, M., &amp; Naik, S. (2015). Rice bran oil distillate, a choice for [gamma]-oryzanol: separation and oxidative stability study. </w:t>
      </w:r>
      <w:r>
        <w:rPr>
          <w:rFonts w:ascii="Arial" w:hAnsi="Arial" w:cs="Arial"/>
          <w:i/>
          <w:iCs/>
          <w:color w:val="222222"/>
          <w:shd w:val="clear" w:color="auto" w:fill="FFFFFF"/>
        </w:rPr>
        <w:t>Journal of Food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36.</w:t>
      </w:r>
    </w:p>
    <w:p w14:paraId="2F2511E8" w14:textId="584D7EC1" w:rsidR="00240996" w:rsidRPr="00F6046E" w:rsidRDefault="00240996" w:rsidP="00B74425">
      <w:pPr>
        <w:pStyle w:val="Body"/>
        <w:rPr>
          <w:rFonts w:ascii="Arial" w:hAnsi="Arial" w:cs="Arial"/>
        </w:rPr>
      </w:pPr>
      <w:r w:rsidRPr="00F6046E">
        <w:rPr>
          <w:rFonts w:ascii="Arial" w:hAnsi="Arial" w:cs="Arial"/>
        </w:rPr>
        <w:t xml:space="preserve">Joint FAO/WHO Expert Committee on Food Additives (JECFA) (2022). *Safety evaluation of DATEM (ADI: 0–50 mg/kg </w:t>
      </w:r>
      <w:proofErr w:type="spellStart"/>
      <w:r w:rsidRPr="00F6046E">
        <w:rPr>
          <w:rFonts w:ascii="Arial" w:hAnsi="Arial" w:cs="Arial"/>
        </w:rPr>
        <w:t>bw</w:t>
      </w:r>
      <w:proofErr w:type="spellEnd"/>
      <w:r w:rsidRPr="00F6046E">
        <w:rPr>
          <w:rFonts w:ascii="Arial" w:hAnsi="Arial" w:cs="Arial"/>
        </w:rPr>
        <w:t>/</w:t>
      </w:r>
      <w:proofErr w:type="gramStart"/>
      <w:r w:rsidRPr="00F6046E">
        <w:rPr>
          <w:rFonts w:ascii="Arial" w:hAnsi="Arial" w:cs="Arial"/>
        </w:rPr>
        <w:t>day)*</w:t>
      </w:r>
      <w:proofErr w:type="gramEnd"/>
      <w:r w:rsidRPr="00F6046E">
        <w:rPr>
          <w:rFonts w:ascii="Arial" w:hAnsi="Arial" w:cs="Arial"/>
        </w:rPr>
        <w:t>. WHO Technical Report Series.</w:t>
      </w:r>
    </w:p>
    <w:p w14:paraId="4CDB1E5D" w14:textId="0A440F00" w:rsidR="00A34F3A" w:rsidRDefault="00240996" w:rsidP="00022992">
      <w:pPr>
        <w:rPr>
          <w:rFonts w:ascii="Arial" w:hAnsi="Arial" w:cs="Arial"/>
        </w:rPr>
      </w:pPr>
      <w:proofErr w:type="spellStart"/>
      <w:r w:rsidRPr="00F6046E">
        <w:rPr>
          <w:rFonts w:ascii="Arial" w:hAnsi="Arial" w:cs="Arial"/>
        </w:rPr>
        <w:t>Kralova</w:t>
      </w:r>
      <w:proofErr w:type="spellEnd"/>
      <w:r w:rsidRPr="00F6046E">
        <w:rPr>
          <w:rFonts w:ascii="Arial" w:hAnsi="Arial" w:cs="Arial"/>
        </w:rPr>
        <w:t xml:space="preserve">, I., &amp; </w:t>
      </w:r>
      <w:proofErr w:type="spellStart"/>
      <w:r w:rsidRPr="00F6046E">
        <w:rPr>
          <w:rFonts w:ascii="Arial" w:hAnsi="Arial" w:cs="Arial"/>
        </w:rPr>
        <w:t>Sjöblom</w:t>
      </w:r>
      <w:proofErr w:type="spellEnd"/>
      <w:r w:rsidRPr="00F6046E">
        <w:rPr>
          <w:rFonts w:ascii="Arial" w:hAnsi="Arial" w:cs="Arial"/>
        </w:rPr>
        <w:t>, J. (2009). Surfactants used in food industry: A review. J Dispersion Sci Technol, 30(9), 1363-1383.</w:t>
      </w:r>
      <w:r w:rsidR="00A34F3A" w:rsidRPr="00A34F3A">
        <w:t xml:space="preserve"> </w:t>
      </w:r>
      <w:hyperlink r:id="rId22" w:history="1">
        <w:r w:rsidR="00A34F3A" w:rsidRPr="00850968">
          <w:rPr>
            <w:rStyle w:val="Hyperlink"/>
            <w:rFonts w:ascii="Arial" w:hAnsi="Arial" w:cs="Arial"/>
          </w:rPr>
          <w:t>https://doi.org/10.1080/01932690902735561</w:t>
        </w:r>
      </w:hyperlink>
      <w:r w:rsidR="00A34F3A">
        <w:rPr>
          <w:rFonts w:ascii="Arial" w:hAnsi="Arial" w:cs="Arial"/>
        </w:rPr>
        <w:t xml:space="preserve"> </w:t>
      </w:r>
    </w:p>
    <w:p w14:paraId="3C2CCD4B" w14:textId="305F2354" w:rsidR="00240996" w:rsidRDefault="00240996" w:rsidP="00022992">
      <w:pPr>
        <w:rPr>
          <w:rFonts w:ascii="Arial" w:hAnsi="Arial" w:cs="Arial"/>
        </w:rPr>
      </w:pPr>
      <w:r w:rsidRPr="00F6046E">
        <w:rPr>
          <w:rFonts w:ascii="Arial" w:hAnsi="Arial" w:cs="Arial"/>
        </w:rPr>
        <w:t xml:space="preserve"> </w:t>
      </w:r>
    </w:p>
    <w:p w14:paraId="1DCC922F" w14:textId="7164656F" w:rsidR="00240996" w:rsidRDefault="00240996" w:rsidP="00F21DC3">
      <w:pPr>
        <w:rPr>
          <w:rFonts w:ascii="Arial" w:hAnsi="Arial" w:cs="Arial"/>
        </w:rPr>
      </w:pPr>
      <w:proofErr w:type="spellStart"/>
      <w:r w:rsidRPr="00F6046E">
        <w:rPr>
          <w:rFonts w:ascii="Arial" w:hAnsi="Arial" w:cs="Arial"/>
        </w:rPr>
        <w:t>Krog</w:t>
      </w:r>
      <w:proofErr w:type="spellEnd"/>
      <w:r w:rsidRPr="00F6046E">
        <w:rPr>
          <w:rFonts w:ascii="Arial" w:hAnsi="Arial" w:cs="Arial"/>
        </w:rPr>
        <w:t>, N. (2018). Food emulsifiers: Structure-function relationships in monoglycerides and diglycerides. In Food Emulsifiers and Their Applications (pp. 47–76). Springer.</w:t>
      </w:r>
    </w:p>
    <w:p w14:paraId="33943F26" w14:textId="77777777" w:rsidR="00A34F3A" w:rsidRPr="00F6046E" w:rsidRDefault="00A34F3A" w:rsidP="00F21DC3">
      <w:pPr>
        <w:rPr>
          <w:rFonts w:ascii="Arial" w:hAnsi="Arial" w:cs="Arial"/>
        </w:rPr>
      </w:pPr>
    </w:p>
    <w:p w14:paraId="4C10EA0B" w14:textId="24A289EC" w:rsidR="00240996" w:rsidRDefault="00240996" w:rsidP="00022992">
      <w:pPr>
        <w:rPr>
          <w:rFonts w:ascii="Arial" w:hAnsi="Arial" w:cs="Arial"/>
        </w:rPr>
      </w:pPr>
      <w:r w:rsidRPr="00F6046E">
        <w:rPr>
          <w:rFonts w:ascii="Arial" w:hAnsi="Arial" w:cs="Arial"/>
        </w:rPr>
        <w:t>McClements, D. J. (2015). Food emulsions: Principles, practices, and techniques (3rd ed.). CRC Press.</w:t>
      </w:r>
    </w:p>
    <w:p w14:paraId="0A91E3B3" w14:textId="77777777" w:rsidR="00A34F3A" w:rsidRPr="00F6046E" w:rsidRDefault="00A34F3A" w:rsidP="00022992">
      <w:pPr>
        <w:rPr>
          <w:rFonts w:ascii="Arial" w:hAnsi="Arial" w:cs="Arial"/>
        </w:rPr>
      </w:pPr>
    </w:p>
    <w:p w14:paraId="3FEF8116" w14:textId="2BE3D92A" w:rsidR="00240996" w:rsidRDefault="00240996" w:rsidP="00022992">
      <w:pPr>
        <w:rPr>
          <w:rFonts w:ascii="Arial" w:hAnsi="Arial" w:cs="Arial"/>
          <w:sz w:val="24"/>
          <w:szCs w:val="24"/>
        </w:rPr>
      </w:pPr>
      <w:r w:rsidRPr="00F6046E">
        <w:rPr>
          <w:rFonts w:ascii="Arial" w:hAnsi="Arial" w:cs="Arial"/>
          <w:szCs w:val="24"/>
        </w:rPr>
        <w:t>McClements, D. J., Bai, L., &amp; Chung, C. (2017). Recent advances in the utilization of natural emulsifiers to form and stabilize emulsions. Annual Review of Food Science and Technology, 8, 205-236</w:t>
      </w:r>
      <w:r w:rsidRPr="00F6046E">
        <w:rPr>
          <w:rFonts w:ascii="Arial" w:hAnsi="Arial" w:cs="Arial"/>
          <w:sz w:val="24"/>
          <w:szCs w:val="24"/>
        </w:rPr>
        <w:t>.</w:t>
      </w:r>
    </w:p>
    <w:p w14:paraId="5F0EE2CB" w14:textId="77777777" w:rsidR="00A34F3A" w:rsidRPr="00F6046E" w:rsidRDefault="00A34F3A" w:rsidP="00022992">
      <w:pPr>
        <w:rPr>
          <w:rFonts w:ascii="Arial" w:hAnsi="Arial" w:cs="Arial"/>
          <w:sz w:val="24"/>
          <w:szCs w:val="24"/>
        </w:rPr>
      </w:pPr>
    </w:p>
    <w:p w14:paraId="2B2F9E63" w14:textId="6F4086C9" w:rsidR="000453EF" w:rsidRPr="000453EF" w:rsidRDefault="00240996" w:rsidP="000453EF">
      <w:pPr>
        <w:pStyle w:val="Heading1"/>
        <w:spacing w:before="0" w:after="0"/>
        <w:rPr>
          <w:rFonts w:ascii="Times New Roman" w:hAnsi="Times New Roman"/>
          <w:b w:val="0"/>
          <w:color w:val="1F1F1F"/>
          <w:sz w:val="20"/>
        </w:rPr>
      </w:pPr>
      <w:proofErr w:type="spellStart"/>
      <w:r w:rsidRPr="000453EF">
        <w:rPr>
          <w:rFonts w:cs="Arial"/>
          <w:b w:val="0"/>
          <w:sz w:val="20"/>
        </w:rPr>
        <w:t>Mert</w:t>
      </w:r>
      <w:proofErr w:type="spellEnd"/>
      <w:r w:rsidRPr="000453EF">
        <w:rPr>
          <w:rFonts w:cs="Arial"/>
          <w:b w:val="0"/>
          <w:sz w:val="20"/>
        </w:rPr>
        <w:t xml:space="preserve">, B., &amp; </w:t>
      </w:r>
      <w:proofErr w:type="spellStart"/>
      <w:r w:rsidRPr="000453EF">
        <w:rPr>
          <w:rFonts w:cs="Arial"/>
          <w:b w:val="0"/>
          <w:sz w:val="20"/>
        </w:rPr>
        <w:t>Demirkesen</w:t>
      </w:r>
      <w:proofErr w:type="spellEnd"/>
      <w:r w:rsidRPr="000453EF">
        <w:rPr>
          <w:rFonts w:cs="Arial"/>
          <w:b w:val="0"/>
          <w:sz w:val="20"/>
        </w:rPr>
        <w:t xml:space="preserve">, I. (2023). </w:t>
      </w:r>
      <w:r w:rsidR="000453EF" w:rsidRPr="000453EF">
        <w:rPr>
          <w:rStyle w:val="title-text"/>
          <w:b w:val="0"/>
          <w:color w:val="1F1F1F"/>
          <w:sz w:val="20"/>
        </w:rPr>
        <w:t>Impact of emerging non-thermal processing treatments on major food macromolecules: Starch, protein, and lipid</w:t>
      </w:r>
      <w:r w:rsidR="000453EF">
        <w:rPr>
          <w:rStyle w:val="title-text"/>
          <w:b w:val="0"/>
          <w:color w:val="1F1F1F"/>
          <w:sz w:val="20"/>
        </w:rPr>
        <w:t xml:space="preserve"> </w:t>
      </w:r>
      <w:hyperlink r:id="rId23" w:history="1">
        <w:r w:rsidR="000453EF" w:rsidRPr="00850968">
          <w:rPr>
            <w:rStyle w:val="Hyperlink"/>
            <w:b w:val="0"/>
            <w:sz w:val="20"/>
          </w:rPr>
          <w:t>https://doi.org/10.1016/j.tifs.2023.104208</w:t>
        </w:r>
      </w:hyperlink>
      <w:r w:rsidR="000453EF">
        <w:rPr>
          <w:rStyle w:val="title-text"/>
          <w:b w:val="0"/>
          <w:color w:val="1F1F1F"/>
          <w:sz w:val="20"/>
        </w:rPr>
        <w:t xml:space="preserve"> </w:t>
      </w:r>
    </w:p>
    <w:p w14:paraId="113A2CFD" w14:textId="1E64839A" w:rsidR="00A34F3A" w:rsidRPr="000453EF" w:rsidRDefault="00240996" w:rsidP="00022992">
      <w:pPr>
        <w:rPr>
          <w:rFonts w:ascii="Arial" w:hAnsi="Arial" w:cs="Arial"/>
        </w:rPr>
      </w:pPr>
      <w:r w:rsidRPr="000453EF">
        <w:rPr>
          <w:rFonts w:ascii="Arial" w:hAnsi="Arial" w:cs="Arial"/>
        </w:rPr>
        <w:t xml:space="preserve">. </w:t>
      </w:r>
    </w:p>
    <w:p w14:paraId="740B2873" w14:textId="358F97EA" w:rsidR="000453EF" w:rsidRPr="000453EF" w:rsidRDefault="00240996" w:rsidP="000453EF">
      <w:pPr>
        <w:pStyle w:val="Heading1"/>
        <w:spacing w:before="0" w:after="0"/>
        <w:rPr>
          <w:rFonts w:ascii="Times New Roman" w:hAnsi="Times New Roman"/>
          <w:b w:val="0"/>
          <w:color w:val="1F1F1F"/>
          <w:sz w:val="20"/>
        </w:rPr>
      </w:pPr>
      <w:r w:rsidRPr="000453EF">
        <w:rPr>
          <w:rFonts w:cs="Arial"/>
          <w:b w:val="0"/>
          <w:sz w:val="20"/>
        </w:rPr>
        <w:t xml:space="preserve">Singh, R., et al. (2023). </w:t>
      </w:r>
      <w:r w:rsidR="000453EF" w:rsidRPr="000453EF">
        <w:rPr>
          <w:rStyle w:val="title-text"/>
          <w:b w:val="0"/>
          <w:color w:val="1F1F1F"/>
          <w:sz w:val="20"/>
        </w:rPr>
        <w:t>Application of emulsion technology in food products</w:t>
      </w:r>
      <w:r w:rsidR="000453EF">
        <w:rPr>
          <w:rStyle w:val="title-text"/>
          <w:b w:val="0"/>
          <w:color w:val="1F1F1F"/>
          <w:sz w:val="20"/>
        </w:rPr>
        <w:t xml:space="preserve"> </w:t>
      </w:r>
      <w:hyperlink r:id="rId24" w:history="1">
        <w:r w:rsidR="000453EF" w:rsidRPr="00850968">
          <w:rPr>
            <w:rStyle w:val="Hyperlink"/>
            <w:b w:val="0"/>
            <w:sz w:val="20"/>
          </w:rPr>
          <w:t>https://doi.org/10.1016/j.foohum.2024.100400</w:t>
        </w:r>
      </w:hyperlink>
      <w:r w:rsidR="000453EF">
        <w:rPr>
          <w:rStyle w:val="title-text"/>
          <w:b w:val="0"/>
          <w:color w:val="1F1F1F"/>
          <w:sz w:val="20"/>
        </w:rPr>
        <w:t xml:space="preserve"> </w:t>
      </w:r>
    </w:p>
    <w:p w14:paraId="31DAF6C5" w14:textId="6990D368" w:rsidR="00A34F3A" w:rsidRPr="00F6046E" w:rsidRDefault="00A34F3A" w:rsidP="00B74425">
      <w:pPr>
        <w:pStyle w:val="Body"/>
        <w:spacing w:after="0"/>
        <w:rPr>
          <w:rFonts w:ascii="Arial" w:hAnsi="Arial" w:cs="Arial"/>
        </w:rPr>
      </w:pPr>
    </w:p>
    <w:p w14:paraId="1DB0D2C1" w14:textId="159574C5" w:rsidR="00240996" w:rsidRDefault="00240996" w:rsidP="00F21DC3">
      <w:pPr>
        <w:rPr>
          <w:rFonts w:ascii="Arial" w:hAnsi="Arial" w:cs="Arial"/>
        </w:rPr>
      </w:pPr>
      <w:r w:rsidRPr="00F6046E">
        <w:rPr>
          <w:rFonts w:ascii="Arial" w:hAnsi="Arial" w:cs="Arial"/>
        </w:rPr>
        <w:t>Sonntag, N. O. V. (</w:t>
      </w:r>
      <w:r w:rsidR="000453EF">
        <w:rPr>
          <w:rFonts w:ascii="Arial" w:hAnsi="Arial" w:cs="Arial"/>
        </w:rPr>
        <w:t>1982</w:t>
      </w:r>
      <w:r w:rsidRPr="00F6046E">
        <w:rPr>
          <w:rFonts w:ascii="Arial" w:hAnsi="Arial" w:cs="Arial"/>
        </w:rPr>
        <w:t xml:space="preserve">). </w:t>
      </w:r>
      <w:proofErr w:type="spellStart"/>
      <w:r w:rsidRPr="00F6046E">
        <w:rPr>
          <w:rFonts w:ascii="Arial" w:hAnsi="Arial" w:cs="Arial"/>
        </w:rPr>
        <w:t>Glycerolysis</w:t>
      </w:r>
      <w:proofErr w:type="spellEnd"/>
      <w:r w:rsidRPr="00F6046E">
        <w:rPr>
          <w:rFonts w:ascii="Arial" w:hAnsi="Arial" w:cs="Arial"/>
        </w:rPr>
        <w:t xml:space="preserve"> of fats and methyl esters—Status, review, and critique. Journal of the American Oil Chemists’ Society, 96(8), </w:t>
      </w:r>
      <w:hyperlink r:id="rId25" w:history="1">
        <w:r w:rsidR="000453EF" w:rsidRPr="00850968">
          <w:rPr>
            <w:rStyle w:val="Hyperlink"/>
            <w:rFonts w:ascii="Arial" w:hAnsi="Arial" w:cs="Arial"/>
          </w:rPr>
          <w:t>https://doi.org/10.1007/BF02634442</w:t>
        </w:r>
      </w:hyperlink>
      <w:r w:rsidR="000453EF">
        <w:rPr>
          <w:rFonts w:ascii="Arial" w:hAnsi="Arial" w:cs="Arial"/>
        </w:rPr>
        <w:t xml:space="preserve"> </w:t>
      </w:r>
    </w:p>
    <w:p w14:paraId="4B678FCE" w14:textId="77777777" w:rsidR="000453EF" w:rsidRPr="00F6046E" w:rsidRDefault="000453EF" w:rsidP="00F21DC3">
      <w:pPr>
        <w:rPr>
          <w:rFonts w:ascii="Arial" w:hAnsi="Arial" w:cs="Arial"/>
        </w:rPr>
      </w:pPr>
    </w:p>
    <w:p w14:paraId="2391FEB9" w14:textId="182C2EFC" w:rsidR="00240996" w:rsidRDefault="00240996" w:rsidP="00F21DC3">
      <w:pPr>
        <w:rPr>
          <w:rFonts w:ascii="Arial" w:hAnsi="Arial" w:cs="Arial"/>
        </w:rPr>
      </w:pPr>
      <w:proofErr w:type="spellStart"/>
      <w:r w:rsidRPr="00F6046E">
        <w:rPr>
          <w:rFonts w:ascii="Arial" w:hAnsi="Arial" w:cs="Arial"/>
        </w:rPr>
        <w:t>Stampfli</w:t>
      </w:r>
      <w:proofErr w:type="spellEnd"/>
      <w:r w:rsidRPr="00F6046E">
        <w:rPr>
          <w:rFonts w:ascii="Arial" w:hAnsi="Arial" w:cs="Arial"/>
        </w:rPr>
        <w:t xml:space="preserve">, L., &amp; </w:t>
      </w:r>
      <w:proofErr w:type="spellStart"/>
      <w:r w:rsidRPr="00F6046E">
        <w:rPr>
          <w:rFonts w:ascii="Arial" w:hAnsi="Arial" w:cs="Arial"/>
        </w:rPr>
        <w:t>Nersten</w:t>
      </w:r>
      <w:proofErr w:type="spellEnd"/>
      <w:r w:rsidRPr="00F6046E">
        <w:rPr>
          <w:rFonts w:ascii="Arial" w:hAnsi="Arial" w:cs="Arial"/>
        </w:rPr>
        <w:t xml:space="preserve">, B. (1995). Emulsifiers in bread making: Mechanisms of interaction with starch and gluten. Food Chemistry, 52(4), </w:t>
      </w:r>
      <w:hyperlink r:id="rId26" w:history="1">
        <w:r w:rsidR="000453EF" w:rsidRPr="00850968">
          <w:rPr>
            <w:rStyle w:val="Hyperlink"/>
            <w:rFonts w:ascii="Arial" w:hAnsi="Arial" w:cs="Arial"/>
          </w:rPr>
          <w:t>https://doi.org/10.1016/0308-8146(95)93281-U</w:t>
        </w:r>
      </w:hyperlink>
      <w:r w:rsidR="000453EF">
        <w:rPr>
          <w:rFonts w:ascii="Arial" w:hAnsi="Arial" w:cs="Arial"/>
        </w:rPr>
        <w:t xml:space="preserve"> </w:t>
      </w:r>
    </w:p>
    <w:p w14:paraId="0120AE49" w14:textId="77777777" w:rsidR="000453EF" w:rsidRPr="00F6046E" w:rsidRDefault="000453EF" w:rsidP="00F21DC3">
      <w:pPr>
        <w:rPr>
          <w:rFonts w:ascii="Arial" w:hAnsi="Arial" w:cs="Arial"/>
        </w:rPr>
      </w:pPr>
    </w:p>
    <w:p w14:paraId="7F32A581" w14:textId="77777777" w:rsidR="00A714F8" w:rsidRDefault="000453EF" w:rsidP="00B74425">
      <w:pPr>
        <w:pStyle w:val="Body"/>
        <w:rPr>
          <w:rFonts w:ascii="Arial" w:hAnsi="Arial" w:cs="Arial"/>
          <w:color w:val="222222"/>
          <w:shd w:val="clear" w:color="auto" w:fill="FFFFFF"/>
        </w:rPr>
      </w:pPr>
      <w:proofErr w:type="spellStart"/>
      <w:r>
        <w:rPr>
          <w:rFonts w:ascii="Arial" w:hAnsi="Arial" w:cs="Arial"/>
          <w:color w:val="222222"/>
          <w:shd w:val="clear" w:color="auto" w:fill="FFFFFF"/>
        </w:rPr>
        <w:t>Tsehay</w:t>
      </w:r>
      <w:proofErr w:type="spellEnd"/>
      <w:r>
        <w:rPr>
          <w:rFonts w:ascii="Arial" w:hAnsi="Arial" w:cs="Arial"/>
          <w:color w:val="222222"/>
          <w:shd w:val="clear" w:color="auto" w:fill="FFFFFF"/>
        </w:rPr>
        <w:t xml:space="preserve">, S. (2023). Nutritional profiling, SNP-based genomic tools development for population genetic analysis and genotype-by-environment interaction in </w:t>
      </w:r>
      <w:proofErr w:type="spellStart"/>
      <w:r>
        <w:rPr>
          <w:rFonts w:ascii="Arial" w:hAnsi="Arial" w:cs="Arial"/>
          <w:color w:val="222222"/>
          <w:shd w:val="clear" w:color="auto" w:fill="FFFFFF"/>
        </w:rPr>
        <w:t>noug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Guizotia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abyssinica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Lf</w:t>
      </w:r>
      <w:proofErr w:type="spellEnd"/>
      <w:r>
        <w:rPr>
          <w:rFonts w:ascii="Arial" w:hAnsi="Arial" w:cs="Arial"/>
          <w:color w:val="222222"/>
          <w:shd w:val="clear" w:color="auto" w:fill="FFFFFF"/>
        </w:rPr>
        <w:t>) Cass.). </w:t>
      </w:r>
      <w:r>
        <w:rPr>
          <w:rFonts w:ascii="Arial" w:hAnsi="Arial" w:cs="Arial"/>
          <w:i/>
          <w:iCs/>
          <w:color w:val="222222"/>
          <w:shd w:val="clear" w:color="auto" w:fill="FFFFFF"/>
        </w:rPr>
        <w:t xml:space="preserve">Acta Universitatis </w:t>
      </w:r>
      <w:proofErr w:type="spellStart"/>
      <w:r>
        <w:rPr>
          <w:rFonts w:ascii="Arial" w:hAnsi="Arial" w:cs="Arial"/>
          <w:i/>
          <w:iCs/>
          <w:color w:val="222222"/>
          <w:shd w:val="clear" w:color="auto" w:fill="FFFFFF"/>
        </w:rPr>
        <w:t>Agriculturae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Sueciae</w:t>
      </w:r>
      <w:proofErr w:type="spellEnd"/>
      <w:r>
        <w:rPr>
          <w:rFonts w:ascii="Arial" w:hAnsi="Arial" w:cs="Arial"/>
          <w:color w:val="222222"/>
          <w:shd w:val="clear" w:color="auto" w:fill="FFFFFF"/>
        </w:rPr>
        <w:t>, (2023: 100).</w:t>
      </w:r>
    </w:p>
    <w:p w14:paraId="3113149A" w14:textId="25245DE3" w:rsidR="00240996" w:rsidRPr="00F6046E" w:rsidRDefault="00240996" w:rsidP="00B74425">
      <w:pPr>
        <w:pStyle w:val="Body"/>
        <w:rPr>
          <w:rFonts w:ascii="Arial" w:hAnsi="Arial" w:cs="Arial"/>
        </w:rPr>
      </w:pPr>
      <w:r w:rsidRPr="00F6046E">
        <w:rPr>
          <w:rFonts w:ascii="Arial" w:hAnsi="Arial" w:cs="Arial"/>
        </w:rPr>
        <w:t>U.S. Food and Drug Administration (FDA) (2022). GRAS notification program for food additives.</w:t>
      </w:r>
    </w:p>
    <w:p w14:paraId="440A1CBB" w14:textId="77777777" w:rsidR="00240996" w:rsidRPr="00F6046E" w:rsidRDefault="00240996" w:rsidP="00B74425">
      <w:pPr>
        <w:pStyle w:val="Body"/>
        <w:rPr>
          <w:rFonts w:ascii="Arial" w:hAnsi="Arial" w:cs="Arial"/>
        </w:rPr>
      </w:pPr>
      <w:r w:rsidRPr="00F6046E">
        <w:rPr>
          <w:rFonts w:ascii="Arial" w:hAnsi="Arial" w:cs="Arial"/>
        </w:rPr>
        <w:t>USDA (2023). Guidelines for "natural" claims in food labeling.</w:t>
      </w:r>
    </w:p>
    <w:p w14:paraId="3E799541" w14:textId="77777777" w:rsidR="00773B4D" w:rsidRDefault="001A73B1" w:rsidP="00C148C8">
      <w:pPr>
        <w:rPr>
          <w:rFonts w:ascii="Arial" w:hAnsi="Arial" w:cs="Arial"/>
        </w:rPr>
      </w:pPr>
      <w:r>
        <w:rPr>
          <w:rFonts w:ascii="Arial" w:hAnsi="Arial" w:cs="Arial"/>
          <w:color w:val="222222"/>
          <w:shd w:val="clear" w:color="auto" w:fill="FFFFFF"/>
        </w:rPr>
        <w:t xml:space="preserve">Srikanth, H. V., </w:t>
      </w:r>
      <w:proofErr w:type="spellStart"/>
      <w:r>
        <w:rPr>
          <w:rFonts w:ascii="Arial" w:hAnsi="Arial" w:cs="Arial"/>
          <w:color w:val="222222"/>
          <w:shd w:val="clear" w:color="auto" w:fill="FFFFFF"/>
        </w:rPr>
        <w:t>Sharanappa</w:t>
      </w:r>
      <w:proofErr w:type="spellEnd"/>
      <w:r>
        <w:rPr>
          <w:rFonts w:ascii="Arial" w:hAnsi="Arial" w:cs="Arial"/>
          <w:color w:val="222222"/>
          <w:shd w:val="clear" w:color="auto" w:fill="FFFFFF"/>
        </w:rPr>
        <w:t>, G., Manne, B., &amp; Kumar, S. B. (2021). Niger seed oil biodiesel as an emulsifier in diesel-ethanol blends for compression ignition engine. </w:t>
      </w:r>
      <w:r>
        <w:rPr>
          <w:rFonts w:ascii="Arial" w:hAnsi="Arial" w:cs="Arial"/>
          <w:i/>
          <w:iCs/>
          <w:color w:val="222222"/>
          <w:shd w:val="clear" w:color="auto" w:fill="FFFFFF"/>
        </w:rPr>
        <w:t>Renewable Energy</w:t>
      </w:r>
      <w:r>
        <w:rPr>
          <w:rFonts w:ascii="Arial" w:hAnsi="Arial" w:cs="Arial"/>
          <w:color w:val="222222"/>
          <w:shd w:val="clear" w:color="auto" w:fill="FFFFFF"/>
        </w:rPr>
        <w:t>, </w:t>
      </w:r>
      <w:r>
        <w:rPr>
          <w:rFonts w:ascii="Arial" w:hAnsi="Arial" w:cs="Arial"/>
          <w:i/>
          <w:iCs/>
          <w:color w:val="222222"/>
          <w:shd w:val="clear" w:color="auto" w:fill="FFFFFF"/>
        </w:rPr>
        <w:t>163</w:t>
      </w:r>
      <w:r>
        <w:rPr>
          <w:rFonts w:ascii="Arial" w:hAnsi="Arial" w:cs="Arial"/>
          <w:color w:val="222222"/>
          <w:shd w:val="clear" w:color="auto" w:fill="FFFFFF"/>
        </w:rPr>
        <w:t>, 1467-1478.</w:t>
      </w:r>
      <w:r w:rsidRPr="00F6046E">
        <w:rPr>
          <w:rFonts w:ascii="Arial" w:hAnsi="Arial" w:cs="Arial"/>
        </w:rPr>
        <w:t xml:space="preserve"> </w:t>
      </w:r>
    </w:p>
    <w:p w14:paraId="662D1ED7" w14:textId="77777777" w:rsidR="00773B4D" w:rsidRDefault="00773B4D" w:rsidP="00C148C8">
      <w:pPr>
        <w:rPr>
          <w:rFonts w:ascii="Arial" w:hAnsi="Arial" w:cs="Arial"/>
        </w:rPr>
      </w:pPr>
    </w:p>
    <w:p w14:paraId="4F43CD6A" w14:textId="5AE033B9" w:rsidR="00240996" w:rsidRPr="00F6046E" w:rsidRDefault="00240996" w:rsidP="00C148C8">
      <w:pPr>
        <w:rPr>
          <w:rFonts w:ascii="Arial" w:hAnsi="Arial" w:cs="Arial"/>
        </w:rPr>
      </w:pPr>
      <w:proofErr w:type="spellStart"/>
      <w:r w:rsidRPr="00F6046E">
        <w:rPr>
          <w:rFonts w:ascii="Arial" w:hAnsi="Arial" w:cs="Arial"/>
        </w:rPr>
        <w:t>Yadeta</w:t>
      </w:r>
      <w:proofErr w:type="spellEnd"/>
      <w:r w:rsidRPr="00F6046E">
        <w:rPr>
          <w:rFonts w:ascii="Arial" w:hAnsi="Arial" w:cs="Arial"/>
        </w:rPr>
        <w:t>, B., &amp; Awoke, A. (2024). Physicochemical characterization of Niger seed (</w:t>
      </w:r>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xml:space="preserve">) oil for food applications. Journal of Food Science and Technology, *61*(3), 456-465. </w:t>
      </w:r>
      <w:hyperlink r:id="rId27" w:history="1">
        <w:r w:rsidRPr="00F6046E">
          <w:rPr>
            <w:rStyle w:val="Hyperlink"/>
            <w:rFonts w:ascii="Arial" w:hAnsi="Arial" w:cs="Arial"/>
          </w:rPr>
          <w:t>https://doi.org/10.1007/s13197-023-05854-5</w:t>
        </w:r>
      </w:hyperlink>
    </w:p>
    <w:sectPr w:rsidR="00240996" w:rsidRPr="00F6046E" w:rsidSect="00A93E50">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AFFA4" w14:textId="77777777" w:rsidR="00D27267" w:rsidRDefault="00D27267" w:rsidP="00C37E61">
      <w:r>
        <w:separator/>
      </w:r>
    </w:p>
  </w:endnote>
  <w:endnote w:type="continuationSeparator" w:id="0">
    <w:p w14:paraId="7D19B3DA" w14:textId="77777777" w:rsidR="00D27267" w:rsidRDefault="00D272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1D98" w14:textId="77777777" w:rsidR="008A2038" w:rsidRDefault="008A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FD23" w14:textId="77777777" w:rsidR="008A2038" w:rsidRDefault="008A2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E1AF" w14:textId="77777777" w:rsidR="00D539D7" w:rsidRDefault="00D539D7">
    <w:pPr>
      <w:pStyle w:val="Footer"/>
      <w:rPr>
        <w:rFonts w:ascii="Arial" w:hAnsi="Arial" w:cs="Arial"/>
        <w:sz w:val="16"/>
      </w:rPr>
    </w:pPr>
  </w:p>
  <w:p w14:paraId="1368FAAD" w14:textId="77777777" w:rsidR="00D539D7" w:rsidRDefault="00D539D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657B51" w14:textId="77777777" w:rsidR="00D539D7" w:rsidRDefault="00D539D7">
    <w:pPr>
      <w:pStyle w:val="Footer"/>
      <w:rPr>
        <w:rFonts w:ascii="Arial" w:hAnsi="Arial" w:cs="Arial"/>
        <w:sz w:val="16"/>
      </w:rPr>
    </w:pPr>
  </w:p>
  <w:p w14:paraId="79389C4D" w14:textId="77777777" w:rsidR="00D539D7" w:rsidRPr="009E048A" w:rsidRDefault="00D539D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9C03" w14:textId="77777777" w:rsidR="00D539D7" w:rsidRPr="00C37E61" w:rsidRDefault="00D539D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05A8D" w14:textId="77777777" w:rsidR="00D27267" w:rsidRDefault="00D27267" w:rsidP="00C37E61">
      <w:r>
        <w:separator/>
      </w:r>
    </w:p>
  </w:footnote>
  <w:footnote w:type="continuationSeparator" w:id="0">
    <w:p w14:paraId="47D7CBF9" w14:textId="77777777" w:rsidR="00D27267" w:rsidRDefault="00D272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DBA0" w14:textId="5E3B3815" w:rsidR="008A2038" w:rsidRDefault="008A2038">
    <w:pPr>
      <w:pStyle w:val="Header"/>
    </w:pPr>
    <w:r>
      <w:rPr>
        <w:noProof/>
      </w:rPr>
      <w:pict w14:anchorId="54A87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9E12" w14:textId="23C3B4B8" w:rsidR="008A2038" w:rsidRDefault="008A2038">
    <w:pPr>
      <w:pStyle w:val="Header"/>
    </w:pPr>
    <w:r>
      <w:rPr>
        <w:noProof/>
      </w:rPr>
      <w:pict w14:anchorId="4898A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F1E0" w14:textId="61EB8ED1" w:rsidR="00D539D7" w:rsidRPr="00296529" w:rsidRDefault="008A2038" w:rsidP="00296529">
    <w:pPr>
      <w:ind w:left="2160"/>
      <w:jc w:val="center"/>
      <w:rPr>
        <w:rFonts w:ascii="Times New Roman" w:eastAsia="Calibri" w:hAnsi="Times New Roman"/>
        <w:i/>
        <w:sz w:val="18"/>
        <w:szCs w:val="22"/>
      </w:rPr>
    </w:pPr>
    <w:r>
      <w:rPr>
        <w:noProof/>
      </w:rPr>
      <w:pict w14:anchorId="28B27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97FB5C" w14:textId="77777777" w:rsidR="00D539D7" w:rsidRPr="00296529" w:rsidRDefault="00D539D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92E238" w14:textId="77777777" w:rsidR="00D539D7" w:rsidRPr="00296529" w:rsidRDefault="00D539D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FD6A77" w14:textId="77777777" w:rsidR="00D539D7" w:rsidRPr="00296529" w:rsidRDefault="00D539D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EA3531" w14:textId="77777777" w:rsidR="00D539D7" w:rsidRDefault="00D539D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076A18" w14:textId="77777777" w:rsidR="00D539D7" w:rsidRDefault="00D539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7E1DFF" w14:textId="77777777" w:rsidR="00D539D7" w:rsidRDefault="00D539D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2EE0" w14:textId="5F7F0C96" w:rsidR="008A2038" w:rsidRDefault="008A2038">
    <w:pPr>
      <w:pStyle w:val="Header"/>
    </w:pPr>
    <w:r>
      <w:rPr>
        <w:noProof/>
      </w:rPr>
      <w:pict w14:anchorId="21AC0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49C8" w14:textId="16475C16" w:rsidR="008A2038" w:rsidRDefault="008A2038">
    <w:pPr>
      <w:pStyle w:val="Header"/>
    </w:pPr>
    <w:r>
      <w:rPr>
        <w:noProof/>
      </w:rPr>
      <w:pict w14:anchorId="1B9AA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1995" w14:textId="6912FC58" w:rsidR="008A2038" w:rsidRDefault="008A2038">
    <w:pPr>
      <w:pStyle w:val="Header"/>
    </w:pPr>
    <w:r>
      <w:rPr>
        <w:noProof/>
      </w:rPr>
      <w:pict w14:anchorId="21D45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MTQzNLI0NDAwMTVQ0lEKTi0uzszPAykwrAUAuF+pHCwAAAA="/>
  </w:docVars>
  <w:rsids>
    <w:rsidRoot w:val="00AA6219"/>
    <w:rsid w:val="00000F8F"/>
    <w:rsid w:val="00003BD4"/>
    <w:rsid w:val="00022992"/>
    <w:rsid w:val="00025232"/>
    <w:rsid w:val="00030174"/>
    <w:rsid w:val="00036DB3"/>
    <w:rsid w:val="000453EF"/>
    <w:rsid w:val="0004579C"/>
    <w:rsid w:val="00086255"/>
    <w:rsid w:val="00093E77"/>
    <w:rsid w:val="000A47FA"/>
    <w:rsid w:val="000A65D3"/>
    <w:rsid w:val="000B1E33"/>
    <w:rsid w:val="000C00A7"/>
    <w:rsid w:val="000C7C4F"/>
    <w:rsid w:val="000D689F"/>
    <w:rsid w:val="000E7B7B"/>
    <w:rsid w:val="000E7D62"/>
    <w:rsid w:val="00103357"/>
    <w:rsid w:val="00123C9F"/>
    <w:rsid w:val="00126190"/>
    <w:rsid w:val="00130F17"/>
    <w:rsid w:val="001320BF"/>
    <w:rsid w:val="00136EB2"/>
    <w:rsid w:val="0015322D"/>
    <w:rsid w:val="00163BC4"/>
    <w:rsid w:val="00172EA3"/>
    <w:rsid w:val="00191062"/>
    <w:rsid w:val="00192B72"/>
    <w:rsid w:val="001A29D8"/>
    <w:rsid w:val="001A5CAA"/>
    <w:rsid w:val="001A73B1"/>
    <w:rsid w:val="001B0427"/>
    <w:rsid w:val="001D3A51"/>
    <w:rsid w:val="001E07E6"/>
    <w:rsid w:val="001E10D2"/>
    <w:rsid w:val="001E2151"/>
    <w:rsid w:val="001E25B4"/>
    <w:rsid w:val="001E44FE"/>
    <w:rsid w:val="001E6C0B"/>
    <w:rsid w:val="001E6E41"/>
    <w:rsid w:val="00200595"/>
    <w:rsid w:val="00204835"/>
    <w:rsid w:val="00231920"/>
    <w:rsid w:val="0023195C"/>
    <w:rsid w:val="00240996"/>
    <w:rsid w:val="0024282C"/>
    <w:rsid w:val="002460DC"/>
    <w:rsid w:val="00250985"/>
    <w:rsid w:val="002556F6"/>
    <w:rsid w:val="00276325"/>
    <w:rsid w:val="002813DD"/>
    <w:rsid w:val="00283105"/>
    <w:rsid w:val="00284C4C"/>
    <w:rsid w:val="00287E68"/>
    <w:rsid w:val="00296529"/>
    <w:rsid w:val="002A04BB"/>
    <w:rsid w:val="002B27FB"/>
    <w:rsid w:val="002B685A"/>
    <w:rsid w:val="002C57D2"/>
    <w:rsid w:val="002E0D56"/>
    <w:rsid w:val="00310966"/>
    <w:rsid w:val="00315186"/>
    <w:rsid w:val="00316D69"/>
    <w:rsid w:val="0033343E"/>
    <w:rsid w:val="003512C2"/>
    <w:rsid w:val="00371FB6"/>
    <w:rsid w:val="003763C1"/>
    <w:rsid w:val="00376BBE"/>
    <w:rsid w:val="0039224F"/>
    <w:rsid w:val="003A43A4"/>
    <w:rsid w:val="003A7E18"/>
    <w:rsid w:val="003C4C86"/>
    <w:rsid w:val="003C6258"/>
    <w:rsid w:val="003E2904"/>
    <w:rsid w:val="00401927"/>
    <w:rsid w:val="0040589E"/>
    <w:rsid w:val="0041027F"/>
    <w:rsid w:val="00412475"/>
    <w:rsid w:val="00423789"/>
    <w:rsid w:val="004353C0"/>
    <w:rsid w:val="00440F43"/>
    <w:rsid w:val="00441B6F"/>
    <w:rsid w:val="00446221"/>
    <w:rsid w:val="00450E62"/>
    <w:rsid w:val="004539DB"/>
    <w:rsid w:val="00471A80"/>
    <w:rsid w:val="00471E7B"/>
    <w:rsid w:val="004767AB"/>
    <w:rsid w:val="004D305E"/>
    <w:rsid w:val="004D4277"/>
    <w:rsid w:val="00502516"/>
    <w:rsid w:val="00505F06"/>
    <w:rsid w:val="00506828"/>
    <w:rsid w:val="0053056E"/>
    <w:rsid w:val="005369C7"/>
    <w:rsid w:val="00552AD4"/>
    <w:rsid w:val="00554FDA"/>
    <w:rsid w:val="005C784C"/>
    <w:rsid w:val="005D17F6"/>
    <w:rsid w:val="005E5539"/>
    <w:rsid w:val="005F2CDD"/>
    <w:rsid w:val="00602BF5"/>
    <w:rsid w:val="00603196"/>
    <w:rsid w:val="00617FDD"/>
    <w:rsid w:val="00633614"/>
    <w:rsid w:val="00633F68"/>
    <w:rsid w:val="00636EB2"/>
    <w:rsid w:val="006375B8"/>
    <w:rsid w:val="00655776"/>
    <w:rsid w:val="0066510A"/>
    <w:rsid w:val="00673F9F"/>
    <w:rsid w:val="00686953"/>
    <w:rsid w:val="00687DEA"/>
    <w:rsid w:val="00687E67"/>
    <w:rsid w:val="006967F7"/>
    <w:rsid w:val="006A250C"/>
    <w:rsid w:val="006B21D3"/>
    <w:rsid w:val="006B57D0"/>
    <w:rsid w:val="006D30FF"/>
    <w:rsid w:val="006D6940"/>
    <w:rsid w:val="006F11EC"/>
    <w:rsid w:val="0070082C"/>
    <w:rsid w:val="00703706"/>
    <w:rsid w:val="007369E6"/>
    <w:rsid w:val="00746E59"/>
    <w:rsid w:val="00754C9A"/>
    <w:rsid w:val="0075599A"/>
    <w:rsid w:val="00761D52"/>
    <w:rsid w:val="00772286"/>
    <w:rsid w:val="00773B4D"/>
    <w:rsid w:val="0077749E"/>
    <w:rsid w:val="00790ADA"/>
    <w:rsid w:val="007C2EFF"/>
    <w:rsid w:val="007D2288"/>
    <w:rsid w:val="007E088F"/>
    <w:rsid w:val="007F7B32"/>
    <w:rsid w:val="00804BC2"/>
    <w:rsid w:val="0081431A"/>
    <w:rsid w:val="0083216F"/>
    <w:rsid w:val="0085079C"/>
    <w:rsid w:val="00850F50"/>
    <w:rsid w:val="00860000"/>
    <w:rsid w:val="00863BD3"/>
    <w:rsid w:val="008641ED"/>
    <w:rsid w:val="00865E1C"/>
    <w:rsid w:val="00866D66"/>
    <w:rsid w:val="008671C6"/>
    <w:rsid w:val="00875803"/>
    <w:rsid w:val="0088314D"/>
    <w:rsid w:val="008A2038"/>
    <w:rsid w:val="008B459E"/>
    <w:rsid w:val="008E13AE"/>
    <w:rsid w:val="008E1506"/>
    <w:rsid w:val="008E710C"/>
    <w:rsid w:val="008F12E5"/>
    <w:rsid w:val="008F69D6"/>
    <w:rsid w:val="00902823"/>
    <w:rsid w:val="009066E9"/>
    <w:rsid w:val="00915CA6"/>
    <w:rsid w:val="00916950"/>
    <w:rsid w:val="00927834"/>
    <w:rsid w:val="00941ED2"/>
    <w:rsid w:val="009500A6"/>
    <w:rsid w:val="00957C18"/>
    <w:rsid w:val="009659BA"/>
    <w:rsid w:val="00965EB5"/>
    <w:rsid w:val="00976FA6"/>
    <w:rsid w:val="00983040"/>
    <w:rsid w:val="009B3FB9"/>
    <w:rsid w:val="009C2465"/>
    <w:rsid w:val="009D35A0"/>
    <w:rsid w:val="009D7EB7"/>
    <w:rsid w:val="009E048A"/>
    <w:rsid w:val="009E08E9"/>
    <w:rsid w:val="009E3DB9"/>
    <w:rsid w:val="009E5EB5"/>
    <w:rsid w:val="009E6E35"/>
    <w:rsid w:val="009F0EDA"/>
    <w:rsid w:val="00A03B96"/>
    <w:rsid w:val="00A05B19"/>
    <w:rsid w:val="00A1134E"/>
    <w:rsid w:val="00A24E7E"/>
    <w:rsid w:val="00A258C3"/>
    <w:rsid w:val="00A32261"/>
    <w:rsid w:val="00A347C0"/>
    <w:rsid w:val="00A34F3A"/>
    <w:rsid w:val="00A51431"/>
    <w:rsid w:val="00A5276B"/>
    <w:rsid w:val="00A539AD"/>
    <w:rsid w:val="00A714F8"/>
    <w:rsid w:val="00A75197"/>
    <w:rsid w:val="00A93E50"/>
    <w:rsid w:val="00A94063"/>
    <w:rsid w:val="00AA6219"/>
    <w:rsid w:val="00AA74E0"/>
    <w:rsid w:val="00AB703F"/>
    <w:rsid w:val="00AC6BB8"/>
    <w:rsid w:val="00AC72BA"/>
    <w:rsid w:val="00AD1FA2"/>
    <w:rsid w:val="00AE008F"/>
    <w:rsid w:val="00AF7B72"/>
    <w:rsid w:val="00B01FCD"/>
    <w:rsid w:val="00B07D7C"/>
    <w:rsid w:val="00B14A87"/>
    <w:rsid w:val="00B1776C"/>
    <w:rsid w:val="00B43F95"/>
    <w:rsid w:val="00B52583"/>
    <w:rsid w:val="00B52896"/>
    <w:rsid w:val="00B74425"/>
    <w:rsid w:val="00B95236"/>
    <w:rsid w:val="00B96BD9"/>
    <w:rsid w:val="00B9797D"/>
    <w:rsid w:val="00BA1234"/>
    <w:rsid w:val="00BA1B01"/>
    <w:rsid w:val="00BA2641"/>
    <w:rsid w:val="00BB1E64"/>
    <w:rsid w:val="00BB37AA"/>
    <w:rsid w:val="00BC53A0"/>
    <w:rsid w:val="00BE62AD"/>
    <w:rsid w:val="00BF121F"/>
    <w:rsid w:val="00BF1F80"/>
    <w:rsid w:val="00C148C8"/>
    <w:rsid w:val="00C166EF"/>
    <w:rsid w:val="00C17EB0"/>
    <w:rsid w:val="00C27F5F"/>
    <w:rsid w:val="00C30A0F"/>
    <w:rsid w:val="00C328E3"/>
    <w:rsid w:val="00C37E61"/>
    <w:rsid w:val="00C53387"/>
    <w:rsid w:val="00C70F1B"/>
    <w:rsid w:val="00C71A47"/>
    <w:rsid w:val="00C7464C"/>
    <w:rsid w:val="00C82749"/>
    <w:rsid w:val="00C83918"/>
    <w:rsid w:val="00C85588"/>
    <w:rsid w:val="00CA7577"/>
    <w:rsid w:val="00CD6755"/>
    <w:rsid w:val="00CD6856"/>
    <w:rsid w:val="00CE0089"/>
    <w:rsid w:val="00CE793C"/>
    <w:rsid w:val="00CF193C"/>
    <w:rsid w:val="00CF72CC"/>
    <w:rsid w:val="00D173F1"/>
    <w:rsid w:val="00D27267"/>
    <w:rsid w:val="00D539D7"/>
    <w:rsid w:val="00D606DC"/>
    <w:rsid w:val="00D74CB0"/>
    <w:rsid w:val="00D8295D"/>
    <w:rsid w:val="00DC2A65"/>
    <w:rsid w:val="00DE15F0"/>
    <w:rsid w:val="00DE5663"/>
    <w:rsid w:val="00DE78AA"/>
    <w:rsid w:val="00E053D0"/>
    <w:rsid w:val="00E15994"/>
    <w:rsid w:val="00E30027"/>
    <w:rsid w:val="00E30C3B"/>
    <w:rsid w:val="00E3114E"/>
    <w:rsid w:val="00E31A70"/>
    <w:rsid w:val="00E35B02"/>
    <w:rsid w:val="00E35F58"/>
    <w:rsid w:val="00E66496"/>
    <w:rsid w:val="00E66B35"/>
    <w:rsid w:val="00E66E10"/>
    <w:rsid w:val="00E769F6"/>
    <w:rsid w:val="00E8407C"/>
    <w:rsid w:val="00E84F3C"/>
    <w:rsid w:val="00E92463"/>
    <w:rsid w:val="00EA012C"/>
    <w:rsid w:val="00EA56CA"/>
    <w:rsid w:val="00EC6902"/>
    <w:rsid w:val="00EC6A55"/>
    <w:rsid w:val="00ED0288"/>
    <w:rsid w:val="00EE52CB"/>
    <w:rsid w:val="00EF581D"/>
    <w:rsid w:val="00EF7FD8"/>
    <w:rsid w:val="00F04F71"/>
    <w:rsid w:val="00F06F59"/>
    <w:rsid w:val="00F17988"/>
    <w:rsid w:val="00F21DC3"/>
    <w:rsid w:val="00F3582E"/>
    <w:rsid w:val="00F469F0"/>
    <w:rsid w:val="00F53273"/>
    <w:rsid w:val="00F6046E"/>
    <w:rsid w:val="00F755E4"/>
    <w:rsid w:val="00F77A0D"/>
    <w:rsid w:val="00F77D02"/>
    <w:rsid w:val="00FA16BE"/>
    <w:rsid w:val="00FB3A86"/>
    <w:rsid w:val="00FD36C8"/>
    <w:rsid w:val="00FE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67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cimalAligned">
    <w:name w:val="Decimal Aligned"/>
    <w:basedOn w:val="Normal"/>
    <w:uiPriority w:val="40"/>
    <w:qFormat/>
    <w:rsid w:val="00941ED2"/>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941ED2"/>
    <w:rPr>
      <w:rFonts w:asciiTheme="minorHAnsi" w:eastAsiaTheme="minorEastAsia" w:hAnsiTheme="minorHAnsi"/>
    </w:rPr>
  </w:style>
  <w:style w:type="character" w:customStyle="1" w:styleId="FootnoteTextChar">
    <w:name w:val="Footnote Text Char"/>
    <w:basedOn w:val="DefaultParagraphFont"/>
    <w:link w:val="FootnoteText"/>
    <w:uiPriority w:val="99"/>
    <w:rsid w:val="00941ED2"/>
    <w:rPr>
      <w:rFonts w:asciiTheme="minorHAnsi" w:eastAsiaTheme="minorEastAsia" w:hAnsiTheme="minorHAnsi"/>
    </w:rPr>
  </w:style>
  <w:style w:type="character" w:styleId="SubtleEmphasis">
    <w:name w:val="Subtle Emphasis"/>
    <w:basedOn w:val="DefaultParagraphFont"/>
    <w:uiPriority w:val="19"/>
    <w:qFormat/>
    <w:rsid w:val="00941ED2"/>
    <w:rPr>
      <w:i/>
      <w:iCs/>
    </w:rPr>
  </w:style>
  <w:style w:type="table" w:styleId="LightShading-Accent1">
    <w:name w:val="Light Shading Accent 1"/>
    <w:basedOn w:val="TableNormal"/>
    <w:uiPriority w:val="60"/>
    <w:rsid w:val="00941ED2"/>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electable-text">
    <w:name w:val="selectable-text"/>
    <w:basedOn w:val="Normal"/>
    <w:rsid w:val="00BB1E64"/>
    <w:pPr>
      <w:spacing w:before="100" w:beforeAutospacing="1" w:after="100" w:afterAutospacing="1"/>
    </w:pPr>
    <w:rPr>
      <w:rFonts w:ascii="Times New Roman" w:hAnsi="Times New Roman"/>
      <w:sz w:val="24"/>
      <w:szCs w:val="24"/>
      <w:lang w:val="en-IN" w:eastAsia="en-IN"/>
    </w:rPr>
  </w:style>
  <w:style w:type="character" w:customStyle="1" w:styleId="selectable-text1">
    <w:name w:val="selectable-text1"/>
    <w:basedOn w:val="DefaultParagraphFont"/>
    <w:rsid w:val="00BB1E64"/>
  </w:style>
  <w:style w:type="table" w:styleId="PlainTable4">
    <w:name w:val="Plain Table 4"/>
    <w:basedOn w:val="TableNormal"/>
    <w:uiPriority w:val="44"/>
    <w:rsid w:val="00BB1E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8314D"/>
    <w:rPr>
      <w:b/>
      <w:bCs/>
    </w:rPr>
  </w:style>
  <w:style w:type="table" w:styleId="PlainTable2">
    <w:name w:val="Plain Table 2"/>
    <w:basedOn w:val="TableNormal"/>
    <w:uiPriority w:val="42"/>
    <w:rsid w:val="002A04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f1">
    <w:name w:val="ff1"/>
    <w:basedOn w:val="DefaultParagraphFont"/>
    <w:rsid w:val="005F2CDD"/>
  </w:style>
  <w:style w:type="character" w:customStyle="1" w:styleId="Heading2Char">
    <w:name w:val="Heading 2 Char"/>
    <w:basedOn w:val="DefaultParagraphFont"/>
    <w:link w:val="Heading2"/>
    <w:semiHidden/>
    <w:rsid w:val="004767AB"/>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rsid w:val="0086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67823">
      <w:bodyDiv w:val="1"/>
      <w:marLeft w:val="0"/>
      <w:marRight w:val="0"/>
      <w:marTop w:val="0"/>
      <w:marBottom w:val="0"/>
      <w:divBdr>
        <w:top w:val="none" w:sz="0" w:space="0" w:color="auto"/>
        <w:left w:val="none" w:sz="0" w:space="0" w:color="auto"/>
        <w:bottom w:val="none" w:sz="0" w:space="0" w:color="auto"/>
        <w:right w:val="none" w:sz="0" w:space="0" w:color="auto"/>
      </w:divBdr>
    </w:div>
    <w:div w:id="20741565">
      <w:bodyDiv w:val="1"/>
      <w:marLeft w:val="0"/>
      <w:marRight w:val="0"/>
      <w:marTop w:val="0"/>
      <w:marBottom w:val="0"/>
      <w:divBdr>
        <w:top w:val="none" w:sz="0" w:space="0" w:color="auto"/>
        <w:left w:val="none" w:sz="0" w:space="0" w:color="auto"/>
        <w:bottom w:val="none" w:sz="0" w:space="0" w:color="auto"/>
        <w:right w:val="none" w:sz="0" w:space="0" w:color="auto"/>
      </w:divBdr>
    </w:div>
    <w:div w:id="941321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734824">
      <w:bodyDiv w:val="1"/>
      <w:marLeft w:val="0"/>
      <w:marRight w:val="0"/>
      <w:marTop w:val="0"/>
      <w:marBottom w:val="0"/>
      <w:divBdr>
        <w:top w:val="none" w:sz="0" w:space="0" w:color="auto"/>
        <w:left w:val="none" w:sz="0" w:space="0" w:color="auto"/>
        <w:bottom w:val="none" w:sz="0" w:space="0" w:color="auto"/>
        <w:right w:val="none" w:sz="0" w:space="0" w:color="auto"/>
      </w:divBdr>
    </w:div>
    <w:div w:id="4344412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64097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2718383">
      <w:bodyDiv w:val="1"/>
      <w:marLeft w:val="0"/>
      <w:marRight w:val="0"/>
      <w:marTop w:val="0"/>
      <w:marBottom w:val="0"/>
      <w:divBdr>
        <w:top w:val="none" w:sz="0" w:space="0" w:color="auto"/>
        <w:left w:val="none" w:sz="0" w:space="0" w:color="auto"/>
        <w:bottom w:val="none" w:sz="0" w:space="0" w:color="auto"/>
        <w:right w:val="none" w:sz="0" w:space="0" w:color="auto"/>
      </w:divBdr>
    </w:div>
    <w:div w:id="13019577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ofs.2019.12.009" TargetMode="External"/><Relationship Id="rId26" Type="http://schemas.openxmlformats.org/officeDocument/2006/relationships/hyperlink" Target="https://doi.org/10.1016/0308-8146(95)93281-U" TargetMode="External"/><Relationship Id="rId3" Type="http://schemas.openxmlformats.org/officeDocument/2006/relationships/styles" Target="styles.xml"/><Relationship Id="rId21" Type="http://schemas.openxmlformats.org/officeDocument/2006/relationships/hyperlink" Target="http://www.globalizationandhealth.com/content/1/1/1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oodhyd.2011.12.017" TargetMode="External"/><Relationship Id="rId25" Type="http://schemas.openxmlformats.org/officeDocument/2006/relationships/hyperlink" Target="https://doi.org/10.1007/BF0263444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9044/esj.2017.v13n31p185" TargetMode="External"/><Relationship Id="rId20" Type="http://schemas.openxmlformats.org/officeDocument/2006/relationships/hyperlink" Target="https://doi.org/10.48550/arXiv.1705.08296"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foohum.2024.1004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nature14232" TargetMode="External"/><Relationship Id="rId23" Type="http://schemas.openxmlformats.org/officeDocument/2006/relationships/hyperlink" Target="https://doi.org/10.1016/j.tifs.2023.104208"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2/aocs.12678"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p.2025.100047" TargetMode="External"/><Relationship Id="rId22" Type="http://schemas.openxmlformats.org/officeDocument/2006/relationships/hyperlink" Target="https://doi.org/10.1080/01932690902735561" TargetMode="External"/><Relationship Id="rId27" Type="http://schemas.openxmlformats.org/officeDocument/2006/relationships/hyperlink" Target="https://doi.org/10.1007/s13197-023-05854-5"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1427-021E-4FCE-80E7-89C40CD8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10</Pages>
  <Words>5551</Words>
  <Characters>31644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2025-08-06T01:02:00Z</dcterms:created>
  <dcterms:modified xsi:type="dcterms:W3CDTF">2025-08-06T10:01:00Z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7c3a1125-ae36-4511-91eb-bc9c3ef0aeeb</vt:lpwstr>
  </property>
</Properties>
</file>